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color w:val="auto"/>
          <w:sz w:val="52"/>
          <w:szCs w:val="52"/>
          <w:highlight w:val="none"/>
        </w:rPr>
      </w:pPr>
      <w:r>
        <w:rPr>
          <w:rFonts w:hint="eastAsia" w:ascii="仿宋" w:eastAsia="仿宋"/>
          <w:b/>
          <w:bCs/>
          <w:color w:val="auto"/>
          <w:sz w:val="52"/>
          <w:szCs w:val="52"/>
          <w:highlight w:val="none"/>
        </w:rPr>
        <w:t>绍兴市越城区市场监督管理局</w:t>
      </w:r>
    </w:p>
    <w:p>
      <w:pPr>
        <w:jc w:val="center"/>
        <w:rPr>
          <w:rFonts w:hint="eastAsia" w:ascii="仿宋" w:eastAsia="仿宋"/>
          <w:color w:val="auto"/>
          <w:sz w:val="36"/>
          <w:szCs w:val="36"/>
          <w:highlight w:val="none"/>
        </w:rPr>
      </w:pPr>
      <w:r>
        <w:rPr>
          <w:rFonts w:hint="eastAsia" w:ascii="仿宋" w:eastAsia="仿宋"/>
          <w:b/>
          <w:bCs/>
          <w:color w:val="auto"/>
          <w:sz w:val="52"/>
          <w:szCs w:val="52"/>
          <w:highlight w:val="none"/>
        </w:rPr>
        <w:t>2024年度产</w:t>
      </w:r>
      <w:r>
        <w:rPr>
          <w:rFonts w:hint="eastAsia" w:ascii="仿宋" w:eastAsia="仿宋"/>
          <w:b/>
          <w:bCs/>
          <w:color w:val="auto"/>
          <w:sz w:val="52"/>
          <w:szCs w:val="52"/>
          <w:highlight w:val="none"/>
          <w:lang w:val="en-US" w:eastAsia="zh-CN"/>
        </w:rPr>
        <w:t>(商)</w:t>
      </w:r>
      <w:r>
        <w:rPr>
          <w:rFonts w:hint="eastAsia" w:ascii="仿宋" w:eastAsia="仿宋"/>
          <w:b/>
          <w:bCs/>
          <w:color w:val="auto"/>
          <w:sz w:val="52"/>
          <w:szCs w:val="52"/>
          <w:highlight w:val="none"/>
        </w:rPr>
        <w:t>品质量监督抽查项目</w:t>
      </w:r>
    </w:p>
    <w:p>
      <w:pPr>
        <w:jc w:val="center"/>
        <w:rPr>
          <w:rFonts w:hint="eastAsia" w:ascii="仿宋" w:eastAsia="仿宋"/>
          <w:b/>
          <w:bCs/>
          <w:color w:val="auto"/>
          <w:sz w:val="72"/>
          <w:szCs w:val="72"/>
          <w:highlight w:val="none"/>
        </w:rPr>
      </w:pP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竞</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争</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性</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磋</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商</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pPr>
        <w:jc w:val="center"/>
        <w:rPr>
          <w:rFonts w:hint="eastAsia" w:ascii="仿宋" w:eastAsia="仿宋"/>
          <w:b/>
          <w:bCs/>
          <w:color w:val="auto"/>
          <w:sz w:val="72"/>
          <w:szCs w:val="72"/>
          <w:highlight w:val="none"/>
        </w:rPr>
      </w:pPr>
    </w:p>
    <w:tbl>
      <w:tblPr>
        <w:tblStyle w:val="30"/>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vAlign w:val="to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l2br w:val="nil"/>
              <w:tr2bl w:val="nil"/>
            </w:tcBorders>
            <w:noWrap/>
            <w:vAlign w:val="to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u w:val="single"/>
              </w:rPr>
            </w:pPr>
            <w:r>
              <w:rPr>
                <w:rFonts w:hint="eastAsia" w:ascii="仿宋" w:eastAsia="仿宋"/>
                <w:color w:val="auto"/>
                <w:sz w:val="28"/>
                <w:highlight w:val="none"/>
                <w:u w:val="single"/>
              </w:rPr>
              <w:t>SXQS-202403-CS004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vAlign w:val="to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l2br w:val="nil"/>
              <w:tr2bl w:val="nil"/>
            </w:tcBorders>
            <w:noWrap/>
            <w:vAlign w:val="to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rPr>
            </w:pPr>
            <w:r>
              <w:rPr>
                <w:rFonts w:hint="eastAsia" w:ascii="仿宋" w:hAnsi="Times New Roman" w:eastAsia="仿宋" w:cs="Times New Roman"/>
                <w:color w:val="auto"/>
                <w:sz w:val="28"/>
                <w:highlight w:val="none"/>
              </w:rPr>
              <w:t>绍兴市越城区市场监督管理局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vAlign w:val="to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l2br w:val="nil"/>
              <w:tr2bl w:val="nil"/>
            </w:tcBorders>
            <w:noWrap/>
            <w:vAlign w:val="to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rPr>
            </w:pPr>
            <w:r>
              <w:rPr>
                <w:rFonts w:hint="eastAsia" w:ascii="仿宋" w:eastAsia="仿宋"/>
                <w:color w:val="auto"/>
                <w:sz w:val="28"/>
                <w:highlight w:val="none"/>
              </w:rPr>
              <w:t>绍兴虬实企业管理咨询有限公司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exact"/>
          <w:jc w:val="center"/>
        </w:trPr>
        <w:tc>
          <w:tcPr>
            <w:tcW w:w="2396" w:type="dxa"/>
            <w:tcBorders>
              <w:top w:val="nil"/>
              <w:left w:val="nil"/>
              <w:bottom w:val="nil"/>
              <w:right w:val="nil"/>
              <w:tl2br w:val="nil"/>
              <w:tr2bl w:val="nil"/>
            </w:tcBorders>
            <w:noWrap/>
            <w:vAlign w:val="to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l2br w:val="nil"/>
              <w:tr2bl w:val="nil"/>
            </w:tcBorders>
            <w:noWrap/>
            <w:vAlign w:val="to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pPr>
        <w:jc w:val="both"/>
        <w:rPr>
          <w:rFonts w:hint="eastAsia" w:ascii="仿宋" w:eastAsia="仿宋"/>
          <w:b/>
          <w:color w:val="auto"/>
          <w:sz w:val="44"/>
          <w:szCs w:val="44"/>
          <w:highlight w:val="none"/>
        </w:rPr>
      </w:pPr>
    </w:p>
    <w:p>
      <w:pPr>
        <w:jc w:val="center"/>
        <w:rPr>
          <w:rFonts w:hint="eastAsia" w:ascii="仿宋" w:eastAsia="仿宋"/>
          <w:color w:val="auto"/>
          <w:sz w:val="28"/>
          <w:highlight w:val="none"/>
        </w:rPr>
      </w:pPr>
      <w:r>
        <w:rPr>
          <w:rFonts w:hint="eastAsia" w:ascii="仿宋" w:eastAsia="仿宋"/>
          <w:color w:val="auto"/>
          <w:sz w:val="28"/>
          <w:highlight w:val="none"/>
          <w:u w:val="single"/>
          <w:lang w:val="en-US" w:eastAsia="zh-CN"/>
        </w:rPr>
        <w:t>2024</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3</w:t>
      </w:r>
      <w:r>
        <w:rPr>
          <w:rFonts w:hint="eastAsia" w:ascii="仿宋" w:eastAsia="仿宋"/>
          <w:color w:val="auto"/>
          <w:sz w:val="28"/>
          <w:highlight w:val="none"/>
        </w:rPr>
        <w:t>月</w:t>
      </w:r>
    </w:p>
    <w:p>
      <w:pPr>
        <w:jc w:val="center"/>
        <w:rPr>
          <w:rFonts w:hint="eastAsia" w:ascii="仿宋" w:eastAsia="仿宋"/>
          <w:b/>
          <w:color w:val="auto"/>
          <w:sz w:val="44"/>
          <w:szCs w:val="44"/>
          <w:highlight w:val="none"/>
        </w:rPr>
      </w:pPr>
    </w:p>
    <w:p>
      <w:pPr>
        <w:jc w:val="center"/>
        <w:rPr>
          <w:rFonts w:hint="eastAsia" w:ascii="仿宋" w:eastAsia="仿宋"/>
          <w:b/>
          <w:color w:val="auto"/>
          <w:sz w:val="44"/>
          <w:szCs w:val="44"/>
          <w:highlight w:val="none"/>
        </w:rPr>
      </w:pPr>
      <w:r>
        <w:rPr>
          <w:rFonts w:hint="eastAsia" w:ascii="仿宋" w:eastAsia="仿宋"/>
          <w:b/>
          <w:color w:val="auto"/>
          <w:sz w:val="44"/>
          <w:szCs w:val="44"/>
          <w:highlight w:val="none"/>
        </w:rPr>
        <w:t>目录</w:t>
      </w:r>
    </w:p>
    <w:p>
      <w:pPr>
        <w:jc w:val="center"/>
        <w:rPr>
          <w:rFonts w:hint="eastAsia" w:ascii="仿宋" w:eastAsia="仿宋"/>
          <w:color w:val="auto"/>
          <w:sz w:val="28"/>
          <w:szCs w:val="28"/>
          <w:highlight w:val="none"/>
        </w:rPr>
      </w:pP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_Toc20305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竞争性磋商公告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_Toc20305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_Toc26022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_Toc26022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_Toc22600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_Toc22600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_Toc13745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二、磋商文件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_Toc13745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_Toc15092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三、磋商响应文件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_Toc15092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_Toc23137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四、磋商和评审</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_Toc5995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_Toc5995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_Toc21391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_Toc21391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_Toc13775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_Toc13775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_Toc14779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_Toc14779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_Toc8673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_Toc8673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_Toc29150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磋商办法及标准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_Toc29150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_Toc31756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磋商响应文件格式附件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_Toc31756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_Toc29888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_Toc29888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_Toc29656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_Toc29656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_Toc28199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_Toc28199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_Toc16101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_Toc16101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sectPr>
          <w:headerReference r:id="rId3" w:type="default"/>
          <w:pgSz w:w="11907" w:h="16840"/>
          <w:pgMar w:top="1440" w:right="1463" w:bottom="1440" w:left="1803" w:header="851" w:footer="992" w:gutter="0"/>
          <w:pgNumType w:start="1"/>
          <w:cols w:space="720" w:num="1"/>
          <w:docGrid w:type="lines" w:linePitch="312" w:charSpace="0"/>
        </w:sectPr>
      </w:pPr>
      <w:r>
        <w:rPr>
          <w:rFonts w:hint="eastAsia" w:ascii="仿宋" w:hAnsi="仿宋" w:eastAsia="仿宋" w:cs="仿宋"/>
          <w:color w:val="auto"/>
          <w:sz w:val="28"/>
          <w:szCs w:val="28"/>
          <w:highlight w:val="none"/>
        </w:rPr>
        <w:fldChar w:fldCharType="end"/>
      </w:r>
    </w:p>
    <w:p>
      <w:pPr>
        <w:pStyle w:val="2"/>
        <w:numPr>
          <w:ilvl w:val="0"/>
          <w:numId w:val="0"/>
        </w:numPr>
        <w:ind w:left="0" w:firstLine="0"/>
        <w:jc w:val="center"/>
        <w:rPr>
          <w:rFonts w:hint="eastAsia" w:ascii="仿宋" w:eastAsia="仿宋"/>
          <w:color w:val="auto"/>
          <w:sz w:val="44"/>
          <w:highlight w:val="none"/>
        </w:rPr>
      </w:pPr>
      <w:bookmarkStart w:id="0" w:name="_Hlt10553106"/>
      <w:bookmarkEnd w:id="0"/>
      <w:bookmarkStart w:id="1" w:name="_Hlt10553107"/>
      <w:bookmarkEnd w:id="1"/>
      <w:bookmarkStart w:id="2" w:name="_Toc20305"/>
      <w:r>
        <w:rPr>
          <w:rFonts w:hint="eastAsia" w:ascii="仿宋" w:eastAsia="仿宋"/>
          <w:color w:val="auto"/>
          <w:sz w:val="44"/>
          <w:highlight w:val="none"/>
        </w:rPr>
        <w:t>第一章 竞争性磋商公告</w:t>
      </w:r>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hAnsi="仿宋" w:eastAsia="仿宋" w:cs="仿宋"/>
          <w:color w:val="auto"/>
          <w:sz w:val="24"/>
          <w:highlight w:val="none"/>
          <w:u w:val="single"/>
        </w:rPr>
        <w:t>绍兴市越城区市场监督管理局2024年度产</w:t>
      </w:r>
      <w:r>
        <w:rPr>
          <w:rFonts w:hint="eastAsia" w:ascii="仿宋" w:hAnsi="仿宋" w:eastAsia="仿宋" w:cs="仿宋"/>
          <w:color w:val="auto"/>
          <w:sz w:val="24"/>
          <w:highlight w:val="none"/>
          <w:u w:val="single"/>
          <w:lang w:val="en-US" w:eastAsia="zh-CN"/>
        </w:rPr>
        <w:t>(商)</w:t>
      </w:r>
      <w:r>
        <w:rPr>
          <w:rFonts w:hint="eastAsia" w:ascii="仿宋" w:hAnsi="仿宋" w:eastAsia="仿宋" w:cs="仿宋"/>
          <w:color w:val="auto"/>
          <w:sz w:val="24"/>
          <w:highlight w:val="none"/>
          <w:u w:val="single"/>
        </w:rPr>
        <w:t>品质量监督抽查项</w:t>
      </w:r>
      <w:r>
        <w:rPr>
          <w:rFonts w:hint="eastAsia" w:ascii="仿宋" w:hAnsi="仿宋" w:eastAsia="仿宋" w:cs="仿宋"/>
          <w:color w:val="auto"/>
          <w:sz w:val="24"/>
          <w:highlight w:val="none"/>
          <w:u w:val="single"/>
          <w:lang w:val="en-US" w:eastAsia="zh-Hans"/>
        </w:rPr>
        <w:t>目</w:t>
      </w:r>
      <w:r>
        <w:rPr>
          <w:rFonts w:ascii="仿宋" w:eastAsia="仿宋"/>
          <w:color w:val="auto"/>
          <w:sz w:val="24"/>
          <w:szCs w:val="24"/>
          <w:highlight w:val="none"/>
        </w:rPr>
        <w:t>采购</w:t>
      </w:r>
      <w:r>
        <w:rPr>
          <w:rFonts w:hint="eastAsia" w:ascii="仿宋" w:eastAsia="仿宋"/>
          <w:color w:val="auto"/>
          <w:sz w:val="24"/>
          <w:szCs w:val="24"/>
          <w:highlight w:val="none"/>
        </w:rPr>
        <w:t>项目的潜在</w:t>
      </w:r>
      <w:r>
        <w:rPr>
          <w:rFonts w:ascii="仿宋" w:eastAsia="仿宋"/>
          <w:color w:val="auto"/>
          <w:sz w:val="24"/>
          <w:szCs w:val="24"/>
          <w:highlight w:val="none"/>
        </w:rPr>
        <w:t>供应商</w:t>
      </w:r>
      <w:r>
        <w:rPr>
          <w:rFonts w:hint="eastAsia" w:ascii="仿宋" w:eastAsia="仿宋"/>
          <w:color w:val="auto"/>
          <w:sz w:val="24"/>
          <w:szCs w:val="24"/>
          <w:highlight w:val="none"/>
        </w:rPr>
        <w:t>应在</w:t>
      </w:r>
      <w:r>
        <w:rPr>
          <w:rFonts w:hint="eastAsia" w:ascii="仿宋" w:eastAsia="仿宋"/>
          <w:bCs/>
          <w:color w:val="auto"/>
          <w:sz w:val="24"/>
          <w:szCs w:val="24"/>
          <w:highlight w:val="none"/>
        </w:rPr>
        <w:t>浙江政府采购云平台（以下简称“政采云平台”），网址</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采购</w:t>
      </w:r>
      <w:r>
        <w:rPr>
          <w:rFonts w:hint="eastAsia" w:ascii="仿宋" w:eastAsia="仿宋"/>
          <w:color w:val="auto"/>
          <w:sz w:val="24"/>
          <w:szCs w:val="24"/>
          <w:highlight w:val="none"/>
        </w:rPr>
        <w:t>文件，并于</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04</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hint="eastAsia" w:ascii="仿宋" w:eastAsia="仿宋"/>
          <w:bCs/>
          <w:color w:val="auto"/>
          <w:sz w:val="24"/>
          <w:szCs w:val="24"/>
          <w:highlight w:val="none"/>
          <w:u w:val="single"/>
        </w:rPr>
        <w:t>点</w:t>
      </w:r>
      <w:r>
        <w:rPr>
          <w:rFonts w:hint="eastAsia" w:ascii="仿宋" w:eastAsia="仿宋"/>
          <w:bCs/>
          <w:color w:val="auto"/>
          <w:sz w:val="24"/>
          <w:szCs w:val="24"/>
          <w:highlight w:val="none"/>
          <w:u w:val="single"/>
          <w:lang w:val="en-US" w:eastAsia="zh-CN"/>
        </w:rPr>
        <w:t>00</w:t>
      </w:r>
      <w:r>
        <w:rPr>
          <w:rFonts w:hint="eastAsia" w:ascii="仿宋" w:eastAsia="仿宋"/>
          <w:bCs/>
          <w:color w:val="auto"/>
          <w:sz w:val="24"/>
          <w:szCs w:val="24"/>
          <w:highlight w:val="none"/>
          <w:u w:val="single"/>
        </w:rPr>
        <w:t>分（</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（上传）响应文件</w:t>
      </w:r>
      <w:r>
        <w:rPr>
          <w:rFonts w:hint="eastAsia" w:ascii="仿宋" w:eastAsia="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bookmarkStart w:id="3" w:name="_Toc35393790"/>
      <w:bookmarkStart w:id="4" w:name="_Toc28359079"/>
      <w:bookmarkStart w:id="5" w:name="_Toc35393621"/>
      <w:bookmarkStart w:id="6" w:name="_Toc28359002"/>
      <w:bookmarkStart w:id="7" w:name="_Hlk24379207"/>
      <w:r>
        <w:rPr>
          <w:rFonts w:hint="eastAsia" w:ascii="仿宋" w:hAnsi="仿宋" w:eastAsia="仿宋" w:cs="仿宋"/>
          <w:b/>
          <w:bCs/>
          <w:color w:val="auto"/>
          <w:sz w:val="24"/>
          <w:szCs w:val="24"/>
          <w:highlight w:val="none"/>
        </w:rPr>
        <w:t>一、项目基本情况</w:t>
      </w:r>
      <w:bookmarkEnd w:id="3"/>
      <w:bookmarkEnd w:id="4"/>
      <w:bookmarkEnd w:id="5"/>
      <w:bookmarkEnd w:id="6"/>
    </w:p>
    <w:p>
      <w:pPr>
        <w:spacing w:line="360" w:lineRule="auto"/>
        <w:ind w:firstLine="540"/>
        <w:rPr>
          <w:rFonts w:hint="eastAsia" w:ascii="仿宋" w:eastAsia="仿宋" w:cs="宋体"/>
          <w:bCs/>
          <w:color w:val="auto"/>
          <w:sz w:val="24"/>
          <w:szCs w:val="24"/>
          <w:highlight w:val="none"/>
          <w:u w:val="single"/>
        </w:rPr>
      </w:pPr>
      <w:r>
        <w:rPr>
          <w:rFonts w:hint="eastAsia" w:ascii="仿宋" w:eastAsia="仿宋" w:cs="宋体"/>
          <w:bCs/>
          <w:color w:val="auto"/>
          <w:sz w:val="24"/>
          <w:szCs w:val="24"/>
          <w:highlight w:val="none"/>
          <w:u w:val="none"/>
        </w:rPr>
        <w:t>项目编号：</w:t>
      </w:r>
      <w:r>
        <w:rPr>
          <w:rFonts w:hint="default"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rPr>
        <w:t>SXQS-202403-CS004</w:t>
      </w:r>
      <w:r>
        <w:rPr>
          <w:rFonts w:hint="default"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szCs w:val="24"/>
          <w:highlight w:val="none"/>
          <w:u w:val="single"/>
        </w:rPr>
      </w:pPr>
      <w:r>
        <w:rPr>
          <w:rFonts w:hint="eastAsia" w:ascii="仿宋" w:eastAsia="仿宋" w:cs="宋体"/>
          <w:bCs/>
          <w:color w:val="auto"/>
          <w:sz w:val="24"/>
          <w:szCs w:val="24"/>
          <w:highlight w:val="none"/>
          <w:u w:val="none"/>
        </w:rPr>
        <w:t>项目名称：</w:t>
      </w:r>
      <w:r>
        <w:rPr>
          <w:rFonts w:hint="eastAsia" w:ascii="仿宋" w:eastAsia="仿宋" w:cs="宋体"/>
          <w:bCs/>
          <w:color w:val="auto"/>
          <w:sz w:val="24"/>
          <w:szCs w:val="24"/>
          <w:highlight w:val="none"/>
          <w:u w:val="single"/>
          <w:lang w:val="en-US" w:eastAsia="zh-Hans"/>
        </w:rPr>
        <w:t>绍兴</w:t>
      </w:r>
      <w:r>
        <w:rPr>
          <w:rFonts w:hint="eastAsia" w:ascii="仿宋" w:eastAsia="仿宋" w:cs="宋体"/>
          <w:bCs/>
          <w:color w:val="auto"/>
          <w:sz w:val="24"/>
          <w:szCs w:val="24"/>
          <w:highlight w:val="none"/>
          <w:u w:val="single"/>
        </w:rPr>
        <w:t>市越城区市场监督管理局2024年度产</w:t>
      </w:r>
      <w:r>
        <w:rPr>
          <w:rFonts w:hint="eastAsia" w:ascii="仿宋" w:eastAsia="仿宋" w:cs="宋体"/>
          <w:bCs/>
          <w:color w:val="auto"/>
          <w:sz w:val="24"/>
          <w:szCs w:val="24"/>
          <w:highlight w:val="none"/>
          <w:u w:val="single"/>
          <w:lang w:val="en-US" w:eastAsia="zh-CN"/>
        </w:rPr>
        <w:t>(商)</w:t>
      </w:r>
      <w:r>
        <w:rPr>
          <w:rFonts w:hint="eastAsia" w:ascii="仿宋" w:eastAsia="仿宋" w:cs="宋体"/>
          <w:bCs/>
          <w:color w:val="auto"/>
          <w:sz w:val="24"/>
          <w:szCs w:val="24"/>
          <w:highlight w:val="none"/>
          <w:u w:val="single"/>
        </w:rPr>
        <w:t>品质量监督抽查项目</w:t>
      </w:r>
    </w:p>
    <w:bookmarkEnd w:id="7"/>
    <w:p>
      <w:pPr>
        <w:spacing w:line="360" w:lineRule="auto"/>
        <w:ind w:firstLine="540"/>
        <w:rPr>
          <w:rFonts w:hint="default" w:ascii="仿宋" w:eastAsia="仿宋" w:cs="宋体"/>
          <w:bCs/>
          <w:color w:val="auto"/>
          <w:sz w:val="24"/>
          <w:szCs w:val="24"/>
          <w:highlight w:val="none"/>
          <w:u w:val="single"/>
        </w:rPr>
      </w:pPr>
      <w:r>
        <w:rPr>
          <w:rFonts w:hint="default" w:ascii="仿宋" w:eastAsia="仿宋" w:cs="宋体"/>
          <w:bCs/>
          <w:color w:val="auto"/>
          <w:sz w:val="24"/>
          <w:szCs w:val="24"/>
          <w:highlight w:val="none"/>
          <w:u w:val="none"/>
        </w:rPr>
        <w:t>采购方式：</w:t>
      </w:r>
      <w:r>
        <w:rPr>
          <w:rFonts w:hint="default" w:ascii="仿宋" w:eastAsia="仿宋" w:cs="宋体"/>
          <w:bCs/>
          <w:color w:val="auto"/>
          <w:sz w:val="24"/>
          <w:szCs w:val="24"/>
          <w:highlight w:val="none"/>
          <w:u w:val="single"/>
        </w:rPr>
        <w:t>竞争性磋商</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default" w:ascii="仿宋" w:eastAsia="仿宋" w:cs="宋体"/>
          <w:bCs/>
          <w:color w:val="auto"/>
          <w:sz w:val="24"/>
          <w:szCs w:val="24"/>
          <w:highlight w:val="none"/>
          <w:u w:val="single"/>
        </w:rPr>
        <w:t>1150000</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1150000</w:t>
      </w:r>
      <w:r>
        <w:rPr>
          <w:rFonts w:ascii="仿宋" w:eastAsia="仿宋" w:cs="宋体"/>
          <w:bCs/>
          <w:color w:val="auto"/>
          <w:sz w:val="24"/>
          <w:szCs w:val="24"/>
          <w:highlight w:val="none"/>
          <w:u w:val="single"/>
        </w:rPr>
        <w:t xml:space="preserve"> </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采购需求：  </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w:t>
      </w:r>
      <w:r>
        <w:rPr>
          <w:rFonts w:ascii="仿宋" w:eastAsia="仿宋" w:cs="宋体"/>
          <w:bCs/>
          <w:color w:val="auto"/>
          <w:sz w:val="24"/>
          <w:highlight w:val="none"/>
        </w:rPr>
        <w:t xml:space="preserve">   </w:t>
      </w:r>
      <w:r>
        <w:rPr>
          <w:rFonts w:hint="eastAsia" w:ascii="仿宋" w:eastAsia="仿宋" w:cs="宋体"/>
          <w:bCs/>
          <w:color w:val="auto"/>
          <w:sz w:val="24"/>
          <w:highlight w:val="none"/>
        </w:rPr>
        <w:t>标项一</w:t>
      </w:r>
      <w:r>
        <w:rPr>
          <w:rFonts w:ascii="仿宋" w:eastAsia="仿宋" w:cs="宋体"/>
          <w:bCs/>
          <w:color w:val="auto"/>
          <w:sz w:val="24"/>
          <w:highlight w:val="none"/>
        </w:rPr>
        <w:t>：</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hAnsi="仿宋" w:eastAsia="仿宋" w:cs="仿宋"/>
          <w:color w:val="auto"/>
          <w:sz w:val="24"/>
          <w:highlight w:val="none"/>
          <w:u w:val="single"/>
          <w:lang w:val="en-US" w:eastAsia="zh-CN"/>
        </w:rPr>
        <w:t>全区工业品和重要消费品监督抽查项目</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default" w:ascii="仿宋" w:eastAsia="仿宋" w:cs="宋体"/>
          <w:bCs/>
          <w:color w:val="auto"/>
          <w:sz w:val="24"/>
          <w:szCs w:val="24"/>
          <w:highlight w:val="none"/>
          <w:u w:val="single"/>
        </w:rPr>
        <w:t>750000</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highlight w:val="none"/>
          <w:u w:val="single"/>
          <w:lang w:val="en-US" w:eastAsia="zh-CN"/>
        </w:rPr>
      </w:pPr>
      <w:r>
        <w:rPr>
          <w:rFonts w:hint="eastAsia" w:ascii="仿宋" w:eastAsia="仿宋" w:cs="宋体"/>
          <w:bCs/>
          <w:color w:val="auto"/>
          <w:sz w:val="24"/>
          <w:highlight w:val="none"/>
        </w:rPr>
        <w:t xml:space="preserve">    简要规格描述或项目基本概况介绍、用途：</w:t>
      </w:r>
      <w:bookmarkStart w:id="96" w:name="_GoBack"/>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val="en-US" w:eastAsia="zh-CN"/>
        </w:rPr>
        <w:t>0</w:t>
      </w:r>
      <w:bookmarkEnd w:id="96"/>
      <w:r>
        <w:rPr>
          <w:rFonts w:hint="eastAsia" w:ascii="仿宋" w:hAnsi="仿宋" w:eastAsia="仿宋" w:cs="仿宋"/>
          <w:color w:val="auto"/>
          <w:sz w:val="24"/>
          <w:highlight w:val="none"/>
          <w:u w:val="single"/>
          <w:lang w:val="en-US" w:eastAsia="zh-CN"/>
        </w:rPr>
        <w:t>24年越城区生产及流通领域工业品和重要消费品监督抽查，</w:t>
      </w:r>
      <w:r>
        <w:rPr>
          <w:rFonts w:hint="eastAsia" w:ascii="仿宋" w:hAnsi="仿宋" w:eastAsia="仿宋" w:cs="仿宋"/>
          <w:color w:val="auto"/>
          <w:sz w:val="24"/>
          <w:highlight w:val="none"/>
          <w:u w:val="single"/>
        </w:rPr>
        <w:t>预计抽检批次为</w:t>
      </w:r>
      <w:r>
        <w:rPr>
          <w:rFonts w:hint="eastAsia" w:ascii="仿宋" w:hAnsi="仿宋" w:eastAsia="仿宋" w:cs="仿宋"/>
          <w:color w:val="auto"/>
          <w:sz w:val="24"/>
          <w:highlight w:val="none"/>
          <w:u w:val="single"/>
          <w:lang w:val="en-US" w:eastAsia="zh-CN"/>
        </w:rPr>
        <w:t>275</w:t>
      </w:r>
      <w:r>
        <w:rPr>
          <w:rFonts w:hint="eastAsia" w:ascii="仿宋" w:hAnsi="仿宋" w:eastAsia="仿宋" w:cs="仿宋"/>
          <w:color w:val="auto"/>
          <w:sz w:val="24"/>
          <w:highlight w:val="none"/>
          <w:u w:val="single"/>
        </w:rPr>
        <w:t>批次</w:t>
      </w:r>
      <w:r>
        <w:rPr>
          <w:rFonts w:ascii="仿宋" w:eastAsia="仿宋" w:cs="宋体"/>
          <w:bCs/>
          <w:color w:val="auto"/>
          <w:sz w:val="24"/>
          <w:highlight w:val="none"/>
          <w:u w:val="single"/>
        </w:rPr>
        <w:t>。</w:t>
      </w:r>
      <w:r>
        <w:rPr>
          <w:rFonts w:hint="eastAsia" w:ascii="仿宋" w:eastAsia="仿宋" w:cs="宋体"/>
          <w:bCs/>
          <w:color w:val="auto"/>
          <w:sz w:val="24"/>
          <w:highlight w:val="none"/>
          <w:u w:val="single"/>
          <w:lang w:val="en-US" w:eastAsia="zh-CN"/>
        </w:rPr>
        <w:t xml:space="preserve"> </w:t>
      </w:r>
    </w:p>
    <w:p>
      <w:pPr>
        <w:spacing w:line="360" w:lineRule="auto"/>
        <w:ind w:firstLine="1094" w:firstLineChars="456"/>
        <w:rPr>
          <w:rFonts w:hint="eastAsia" w:ascii="仿宋" w:eastAsia="仿宋" w:cs="宋体"/>
          <w:bCs/>
          <w:color w:val="auto"/>
          <w:sz w:val="24"/>
          <w:highlight w:val="none"/>
        </w:rPr>
      </w:pPr>
      <w:r>
        <w:rPr>
          <w:rFonts w:hint="eastAsia" w:ascii="仿宋" w:eastAsia="仿宋" w:cs="宋体"/>
          <w:bCs/>
          <w:color w:val="auto"/>
          <w:sz w:val="24"/>
          <w:highlight w:val="none"/>
        </w:rPr>
        <w:t>标项</w:t>
      </w:r>
      <w:r>
        <w:rPr>
          <w:rFonts w:hint="eastAsia" w:ascii="仿宋" w:eastAsia="仿宋" w:cs="宋体"/>
          <w:bCs/>
          <w:color w:val="auto"/>
          <w:sz w:val="24"/>
          <w:highlight w:val="none"/>
          <w:lang w:val="en-US" w:eastAsia="zh-Hans"/>
        </w:rPr>
        <w:t>二</w:t>
      </w:r>
      <w:r>
        <w:rPr>
          <w:rFonts w:hint="eastAsia" w:ascii="仿宋" w:eastAsia="仿宋" w:cs="宋体"/>
          <w:bCs/>
          <w:color w:val="auto"/>
          <w:sz w:val="24"/>
          <w:highlight w:val="none"/>
        </w:rPr>
        <w:t>：</w:t>
      </w:r>
    </w:p>
    <w:p>
      <w:pPr>
        <w:spacing w:line="360" w:lineRule="auto"/>
        <w:ind w:firstLine="540"/>
        <w:rPr>
          <w:rFonts w:hint="eastAsia" w:ascii="仿宋" w:eastAsia="仿宋" w:cs="宋体"/>
          <w:bCs/>
          <w:color w:val="auto"/>
          <w:sz w:val="24"/>
          <w:highlight w:val="none"/>
          <w:u w:val="singl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hAnsi="仿宋" w:eastAsia="仿宋" w:cs="仿宋"/>
          <w:color w:val="auto"/>
          <w:sz w:val="24"/>
          <w:highlight w:val="none"/>
          <w:u w:val="single"/>
          <w:lang w:val="en-US" w:eastAsia="zh-CN"/>
        </w:rPr>
        <w:t>全区重点监管产品专项监督抽查项目</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default" w:ascii="仿宋" w:eastAsia="仿宋" w:cs="宋体"/>
          <w:bCs/>
          <w:color w:val="auto"/>
          <w:sz w:val="24"/>
          <w:szCs w:val="24"/>
          <w:highlight w:val="none"/>
          <w:u w:val="single"/>
        </w:rPr>
        <w:t>1</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default" w:ascii="仿宋" w:eastAsia="仿宋" w:cs="宋体"/>
          <w:bCs/>
          <w:color w:val="auto"/>
          <w:sz w:val="24"/>
          <w:szCs w:val="24"/>
          <w:highlight w:val="none"/>
          <w:u w:val="single"/>
        </w:rPr>
        <w:t>300000</w:t>
      </w:r>
      <w:r>
        <w:rPr>
          <w:rFonts w:ascii="仿宋" w:eastAsia="仿宋" w:cs="宋体"/>
          <w:bCs/>
          <w:color w:val="auto"/>
          <w:sz w:val="24"/>
          <w:szCs w:val="24"/>
          <w:highlight w:val="none"/>
          <w:u w:val="single"/>
        </w:rPr>
        <w:t xml:space="preserve">  </w:t>
      </w:r>
    </w:p>
    <w:p>
      <w:pPr>
        <w:spacing w:line="360" w:lineRule="auto"/>
        <w:ind w:firstLine="960" w:firstLineChars="400"/>
        <w:rPr>
          <w:rFonts w:hint="eastAsia" w:ascii="仿宋" w:eastAsia="仿宋" w:cs="宋体"/>
          <w:bCs/>
          <w:color w:val="auto"/>
          <w:sz w:val="24"/>
          <w:highlight w:val="none"/>
          <w:u w:val="single"/>
        </w:rPr>
      </w:pPr>
      <w:r>
        <w:rPr>
          <w:rFonts w:hint="eastAsia" w:ascii="仿宋" w:eastAsia="仿宋" w:cs="宋体"/>
          <w:bCs/>
          <w:color w:val="auto"/>
          <w:sz w:val="24"/>
          <w:highlight w:val="none"/>
          <w:u w:val="none"/>
          <w:lang w:val="en-US" w:eastAsia="zh-CN"/>
        </w:rPr>
        <w:t>简要规格描述或项目基本概况介绍、用途：</w:t>
      </w:r>
      <w:r>
        <w:rPr>
          <w:rFonts w:hint="eastAsia" w:ascii="仿宋" w:eastAsia="仿宋" w:cs="宋体"/>
          <w:bCs/>
          <w:color w:val="auto"/>
          <w:sz w:val="24"/>
          <w:highlight w:val="none"/>
          <w:u w:val="single"/>
          <w:lang w:val="en-US" w:eastAsia="zh-CN"/>
        </w:rPr>
        <w:t>2024年越城区重点监管产品专项监督抽查，</w:t>
      </w:r>
      <w:r>
        <w:rPr>
          <w:rFonts w:hint="eastAsia" w:ascii="仿宋" w:eastAsia="仿宋" w:cs="宋体"/>
          <w:bCs/>
          <w:color w:val="auto"/>
          <w:sz w:val="24"/>
          <w:highlight w:val="none"/>
          <w:u w:val="single"/>
        </w:rPr>
        <w:t>预计抽检批次为1</w:t>
      </w:r>
      <w:r>
        <w:rPr>
          <w:rFonts w:hint="eastAsia" w:ascii="仿宋" w:eastAsia="仿宋" w:cs="宋体"/>
          <w:bCs/>
          <w:color w:val="auto"/>
          <w:sz w:val="24"/>
          <w:highlight w:val="none"/>
          <w:u w:val="single"/>
          <w:lang w:val="en-US" w:eastAsia="zh-CN"/>
        </w:rPr>
        <w:t>05</w:t>
      </w:r>
      <w:r>
        <w:rPr>
          <w:rFonts w:hint="eastAsia" w:ascii="仿宋" w:eastAsia="仿宋" w:cs="宋体"/>
          <w:bCs/>
          <w:color w:val="auto"/>
          <w:sz w:val="24"/>
          <w:highlight w:val="none"/>
          <w:u w:val="single"/>
        </w:rPr>
        <w:t>批次</w:t>
      </w:r>
      <w:r>
        <w:rPr>
          <w:rFonts w:hint="eastAsia" w:ascii="仿宋" w:eastAsia="仿宋" w:cs="宋体"/>
          <w:bCs/>
          <w:color w:val="auto"/>
          <w:sz w:val="24"/>
          <w:highlight w:val="none"/>
          <w:u w:val="single"/>
          <w:lang w:eastAsia="zh-CN"/>
        </w:rPr>
        <w:t>。</w:t>
      </w:r>
    </w:p>
    <w:p>
      <w:pPr>
        <w:spacing w:line="360" w:lineRule="auto"/>
        <w:ind w:firstLine="960" w:firstLineChars="400"/>
        <w:rPr>
          <w:rFonts w:hint="eastAsia" w:ascii="仿宋" w:eastAsia="仿宋" w:cs="宋体"/>
          <w:bCs/>
          <w:color w:val="auto"/>
          <w:sz w:val="24"/>
          <w:highlight w:val="none"/>
        </w:rPr>
      </w:pPr>
      <w:r>
        <w:rPr>
          <w:rFonts w:hint="eastAsia" w:ascii="仿宋" w:eastAsia="仿宋" w:cs="宋体"/>
          <w:bCs/>
          <w:color w:val="auto"/>
          <w:sz w:val="24"/>
          <w:highlight w:val="none"/>
        </w:rPr>
        <w:t>标项</w:t>
      </w:r>
      <w:r>
        <w:rPr>
          <w:rFonts w:hint="eastAsia" w:ascii="仿宋" w:eastAsia="仿宋" w:cs="宋体"/>
          <w:bCs/>
          <w:color w:val="auto"/>
          <w:sz w:val="24"/>
          <w:highlight w:val="none"/>
          <w:lang w:val="en-US" w:eastAsia="zh-Hans"/>
        </w:rPr>
        <w:t>三</w:t>
      </w:r>
      <w:r>
        <w:rPr>
          <w:rFonts w:ascii="仿宋" w:eastAsia="仿宋" w:cs="宋体"/>
          <w:bCs/>
          <w:color w:val="auto"/>
          <w:sz w:val="24"/>
          <w:highlight w:val="none"/>
        </w:rPr>
        <w:t>：</w:t>
      </w:r>
    </w:p>
    <w:p>
      <w:pPr>
        <w:kinsoku/>
        <w:overflowPunct/>
        <w:topLinePunct w:val="0"/>
        <w:bidi w:val="0"/>
        <w:spacing w:line="240" w:lineRule="auto"/>
        <w:ind w:firstLine="480" w:firstLineChars="200"/>
        <w:jc w:val="left"/>
        <w:rPr>
          <w:rFonts w:hint="eastAsia" w:ascii="仿宋" w:eastAsia="仿宋" w:cs="宋体"/>
          <w:bCs/>
          <w:color w:val="auto"/>
          <w:sz w:val="24"/>
          <w:highlight w:val="none"/>
          <w:u w:val="singl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hAnsi="仿宋" w:eastAsia="仿宋" w:cs="仿宋"/>
          <w:color w:val="auto"/>
          <w:sz w:val="24"/>
          <w:highlight w:val="none"/>
          <w:u w:val="single"/>
          <w:lang w:val="en-US" w:eastAsia="zh-CN"/>
        </w:rPr>
        <w:t>全区纺织消费品产品质量监督抽查项目</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default" w:ascii="仿宋" w:eastAsia="仿宋" w:cs="宋体"/>
          <w:bCs/>
          <w:color w:val="auto"/>
          <w:sz w:val="24"/>
          <w:szCs w:val="24"/>
          <w:highlight w:val="none"/>
          <w:u w:val="single"/>
        </w:rPr>
        <w:t>1</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default" w:ascii="仿宋" w:eastAsia="仿宋" w:cs="宋体"/>
          <w:bCs/>
          <w:color w:val="auto"/>
          <w:sz w:val="24"/>
          <w:szCs w:val="24"/>
          <w:highlight w:val="none"/>
          <w:u w:val="single"/>
        </w:rPr>
        <w:t>100000</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highlight w:val="none"/>
          <w:u w:val="single"/>
          <w:lang w:val="en-US" w:eastAsia="zh-CN"/>
        </w:rPr>
      </w:pPr>
      <w:r>
        <w:rPr>
          <w:rFonts w:hint="eastAsia" w:ascii="仿宋" w:eastAsia="仿宋" w:cs="宋体"/>
          <w:bCs/>
          <w:color w:val="auto"/>
          <w:sz w:val="24"/>
          <w:highlight w:val="none"/>
          <w:u w:val="none"/>
          <w:lang w:val="en-US" w:eastAsia="zh-CN"/>
        </w:rPr>
        <w:t xml:space="preserve">    简要规格描述或项目基本概况介绍、用途：</w:t>
      </w:r>
      <w:r>
        <w:rPr>
          <w:rFonts w:hint="eastAsia" w:ascii="仿宋" w:eastAsia="仿宋" w:cs="宋体"/>
          <w:bCs/>
          <w:color w:val="auto"/>
          <w:sz w:val="24"/>
          <w:highlight w:val="none"/>
          <w:u w:val="single"/>
          <w:lang w:val="en-US" w:eastAsia="zh-CN"/>
        </w:rPr>
        <w:t>2024年越城区纺织消费品产品质量监督抽查，预计抽检批次为50批次。</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rPr>
        <w:t>按双方合同约定条款执行</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w:t>
      </w:r>
      <w:r>
        <w:rPr>
          <w:rFonts w:ascii="仿宋" w:eastAsia="仿宋" w:cs="宋体"/>
          <w:bCs/>
          <w:color w:val="auto"/>
          <w:sz w:val="24"/>
          <w:szCs w:val="24"/>
          <w:highlight w:val="none"/>
        </w:rPr>
        <w:t>磋商</w:t>
      </w:r>
      <w:r>
        <w:rPr>
          <w:rFonts w:hint="eastAsia" w:ascii="仿宋" w:eastAsia="仿宋"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bookmarkStart w:id="8" w:name="_Toc28359003"/>
      <w:bookmarkStart w:id="9" w:name="_Toc35393791"/>
      <w:bookmarkStart w:id="10" w:name="_Toc28359080"/>
      <w:bookmarkStart w:id="11" w:name="_Toc35393622"/>
      <w:r>
        <w:rPr>
          <w:rFonts w:hint="eastAsia" w:ascii="仿宋" w:hAnsi="仿宋" w:eastAsia="仿宋" w:cs="仿宋"/>
          <w:b/>
          <w:bCs/>
          <w:color w:val="auto"/>
          <w:sz w:val="24"/>
          <w:szCs w:val="24"/>
          <w:highlight w:val="none"/>
        </w:rPr>
        <w:t>二、申请人的资格要求：</w:t>
      </w:r>
      <w:bookmarkEnd w:id="8"/>
      <w:bookmarkEnd w:id="9"/>
      <w:bookmarkEnd w:id="10"/>
      <w:bookmarkEnd w:id="11"/>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color w:val="auto"/>
          <w:sz w:val="24"/>
          <w:szCs w:val="24"/>
          <w:highlight w:val="none"/>
        </w:rPr>
      </w:pPr>
      <w:bookmarkStart w:id="12" w:name="_Toc28359004"/>
      <w:bookmarkStart w:id="13"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default" w:ascii="仿宋" w:eastAsia="仿宋" w:cs="宋体"/>
          <w:bCs/>
          <w:iCs/>
          <w:color w:val="auto"/>
          <w:sz w:val="24"/>
          <w:szCs w:val="24"/>
          <w:highlight w:val="none"/>
          <w:u w:val="single"/>
          <w:lang w:val="en-US"/>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 xml:space="preserve"> </w:t>
      </w:r>
      <w:r>
        <w:rPr>
          <w:rFonts w:hint="eastAsia" w:ascii="仿宋" w:eastAsia="仿宋" w:cs="宋体"/>
          <w:bCs/>
          <w:caps w:val="0"/>
          <w:smallCaps w:val="0"/>
          <w:snapToGrid/>
          <w:vanish w:val="0"/>
          <w:color w:val="auto"/>
          <w:sz w:val="24"/>
          <w:szCs w:val="24"/>
          <w:highlight w:val="none"/>
          <w:u w:val="single"/>
          <w:vertAlign w:val="baseline"/>
          <w:lang w:val="en-US" w:eastAsia="zh-CN"/>
        </w:rPr>
        <w:t xml:space="preserve">无 </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bookmarkStart w:id="14" w:name="_Toc35393792"/>
      <w:bookmarkStart w:id="15" w:name="_Toc35393623"/>
      <w:r>
        <w:rPr>
          <w:rFonts w:hint="eastAsia" w:ascii="仿宋" w:hAnsi="仿宋" w:eastAsia="仿宋" w:cs="仿宋"/>
          <w:b/>
          <w:bCs/>
          <w:color w:val="auto"/>
          <w:sz w:val="24"/>
          <w:szCs w:val="24"/>
          <w:highlight w:val="none"/>
        </w:rPr>
        <w:t>三、获取（下载）采购文件</w:t>
      </w:r>
      <w:bookmarkEnd w:id="12"/>
      <w:bookmarkEnd w:id="13"/>
      <w:bookmarkEnd w:id="14"/>
      <w:bookmarkEnd w:id="15"/>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04</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08</w:t>
      </w:r>
      <w:r>
        <w:rPr>
          <w:rFonts w:hint="eastAsia" w:ascii="仿宋" w:eastAsia="仿宋"/>
          <w:bCs/>
          <w:color w:val="auto"/>
          <w:sz w:val="24"/>
          <w:szCs w:val="24"/>
          <w:highlight w:val="none"/>
          <w:u w:val="single"/>
        </w:rPr>
        <w:t>日</w:t>
      </w:r>
      <w:r>
        <w:rPr>
          <w:rFonts w:ascii="仿宋" w:eastAsia="仿宋" w:cs="宋体"/>
          <w:color w:val="auto"/>
          <w:sz w:val="24"/>
          <w:szCs w:val="24"/>
          <w:highlight w:val="none"/>
          <w:u w:val="single"/>
        </w:rPr>
        <w:t xml:space="preserve"> </w:t>
      </w:r>
      <w:r>
        <w:rPr>
          <w:rFonts w:ascii="仿宋" w:eastAsia="仿宋" w:cs="宋体"/>
          <w:color w:val="auto"/>
          <w:sz w:val="24"/>
          <w:szCs w:val="24"/>
          <w:highlight w:val="none"/>
        </w:rPr>
        <w:t>，每天上午00:00至12:00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w:t>
      </w:r>
      <w:r>
        <w:rPr>
          <w:rFonts w:hint="eastAsia" w:ascii="仿宋" w:eastAsia="仿宋" w:cs="宋体"/>
          <w:bCs/>
          <w:caps w:val="0"/>
          <w:smallCaps w:val="0"/>
          <w:snapToGrid/>
          <w:vanish w:val="0"/>
          <w:color w:val="auto"/>
          <w:sz w:val="24"/>
          <w:szCs w:val="24"/>
          <w:highlight w:val="none"/>
          <w:vertAlign w:val="baseline"/>
        </w:rPr>
        <w:t xml:space="preserve">供应商登陆政采云平台https://www.zcygov.cn/在线申请获取磋商文件（进入“项目采购”应用，在获取采购文件菜单中选择项目，申请获取磋商文件） </w:t>
      </w:r>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bookmarkStart w:id="16" w:name="_Toc28359082"/>
      <w:bookmarkStart w:id="17" w:name="_Toc28359005"/>
      <w:bookmarkStart w:id="18" w:name="_Toc35393624"/>
      <w:bookmarkStart w:id="19" w:name="_Toc35393793"/>
      <w:r>
        <w:rPr>
          <w:rFonts w:hint="eastAsia" w:ascii="仿宋" w:hAnsi="仿宋" w:eastAsia="仿宋" w:cs="仿宋"/>
          <w:b/>
          <w:bCs/>
          <w:color w:val="auto"/>
          <w:sz w:val="24"/>
          <w:szCs w:val="24"/>
          <w:highlight w:val="none"/>
        </w:rPr>
        <w:t>四、</w:t>
      </w:r>
      <w:bookmarkEnd w:id="16"/>
      <w:bookmarkEnd w:id="17"/>
      <w:bookmarkEnd w:id="18"/>
      <w:bookmarkEnd w:id="19"/>
      <w:r>
        <w:rPr>
          <w:rFonts w:hint="eastAsia" w:ascii="仿宋" w:hAnsi="仿宋" w:eastAsia="仿宋" w:cs="仿宋"/>
          <w:b/>
          <w:bCs/>
          <w:color w:val="auto"/>
          <w:sz w:val="24"/>
          <w:szCs w:val="24"/>
          <w:highlight w:val="none"/>
        </w:rPr>
        <w:t>响应文件提交（上传）</w:t>
      </w:r>
    </w:p>
    <w:p>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截止时间：</w:t>
      </w:r>
      <w:r>
        <w:rPr>
          <w:rFonts w:hint="eastAsia" w:ascii="仿宋" w:eastAsia="仿宋"/>
          <w:bCs/>
          <w:color w:val="auto"/>
          <w:sz w:val="24"/>
          <w:szCs w:val="24"/>
          <w:highlight w:val="none"/>
          <w:u w:val="single"/>
        </w:rPr>
        <w:t xml:space="preserve"> </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04</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hint="eastAsia" w:ascii="仿宋" w:eastAsia="仿宋"/>
          <w:bCs/>
          <w:color w:val="auto"/>
          <w:sz w:val="24"/>
          <w:szCs w:val="24"/>
          <w:highlight w:val="none"/>
          <w:u w:val="single"/>
        </w:rPr>
        <w:t>点</w:t>
      </w:r>
      <w:r>
        <w:rPr>
          <w:rFonts w:hint="eastAsia" w:ascii="仿宋" w:eastAsia="仿宋"/>
          <w:bCs/>
          <w:color w:val="auto"/>
          <w:sz w:val="24"/>
          <w:szCs w:val="24"/>
          <w:highlight w:val="none"/>
          <w:u w:val="single"/>
          <w:lang w:val="en-US" w:eastAsia="zh-CN"/>
        </w:rPr>
        <w:t>00</w:t>
      </w:r>
      <w:r>
        <w:rPr>
          <w:rFonts w:hint="eastAsia" w:ascii="仿宋" w:eastAsia="仿宋"/>
          <w:bCs/>
          <w:color w:val="auto"/>
          <w:sz w:val="24"/>
          <w:szCs w:val="24"/>
          <w:highlight w:val="none"/>
          <w:u w:val="single"/>
        </w:rPr>
        <w:t>分</w:t>
      </w:r>
      <w:r>
        <w:rPr>
          <w:rFonts w:hint="eastAsia" w:ascii="仿宋" w:eastAsia="仿宋"/>
          <w:bCs/>
          <w:color w:val="auto"/>
          <w:sz w:val="24"/>
          <w:szCs w:val="24"/>
          <w:highlight w:val="none"/>
        </w:rPr>
        <w:t>（北京时间）</w:t>
      </w:r>
    </w:p>
    <w:p>
      <w:pPr>
        <w:spacing w:line="360" w:lineRule="auto"/>
        <w:ind w:firstLine="480" w:firstLineChars="200"/>
        <w:rPr>
          <w:rFonts w:ascii="仿宋" w:eastAsia="仿宋"/>
          <w:b w:val="0"/>
          <w:bCs w:val="0"/>
          <w:i w:val="0"/>
          <w:iCs w:val="0"/>
          <w:caps w:val="0"/>
          <w:smallCaps w:val="0"/>
          <w:color w:val="auto"/>
          <w:spacing w:val="0"/>
          <w:sz w:val="24"/>
          <w:szCs w:val="24"/>
          <w:highlight w:val="none"/>
        </w:rPr>
      </w:pP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w:t>
      </w:r>
      <w:r>
        <w:rPr>
          <w:rStyle w:val="35"/>
          <w:rFonts w:hint="eastAsia" w:ascii="仿宋" w:eastAsia="仿宋"/>
          <w:b w:val="0"/>
          <w:bCs w:val="0"/>
          <w:i w:val="0"/>
          <w:iCs w:val="0"/>
          <w:caps w:val="0"/>
          <w:smallCaps w:val="0"/>
          <w:color w:val="auto"/>
          <w:spacing w:val="0"/>
          <w:sz w:val="24"/>
          <w:szCs w:val="24"/>
          <w:highlight w:val="none"/>
        </w:rPr>
        <w:fldChar w:fldCharType="begin"/>
      </w:r>
      <w:r>
        <w:rPr>
          <w:color w:val="auto"/>
          <w:highlight w:val="none"/>
        </w:rPr>
        <w:instrText xml:space="preserve">HYPERLINK "http://www.zcygov.cn/"</w:instrText>
      </w:r>
      <w:r>
        <w:rPr>
          <w:rStyle w:val="35"/>
          <w:rFonts w:hint="eastAsia" w:ascii="仿宋" w:eastAsia="仿宋"/>
          <w:b w:val="0"/>
          <w:bCs w:val="0"/>
          <w:i w:val="0"/>
          <w:iCs w:val="0"/>
          <w:caps w:val="0"/>
          <w:smallCaps w:val="0"/>
          <w:color w:val="auto"/>
          <w:spacing w:val="0"/>
          <w:sz w:val="24"/>
          <w:szCs w:val="24"/>
          <w:highlight w:val="none"/>
        </w:rPr>
        <w:fldChar w:fldCharType="separate"/>
      </w:r>
      <w:r>
        <w:rPr>
          <w:rStyle w:val="35"/>
          <w:rFonts w:hint="eastAsia" w:ascii="仿宋" w:eastAsia="仿宋"/>
          <w:b w:val="0"/>
          <w:bCs w:val="0"/>
          <w:i w:val="0"/>
          <w:iCs w:val="0"/>
          <w:caps w:val="0"/>
          <w:smallCaps w:val="0"/>
          <w:color w:val="auto"/>
          <w:spacing w:val="0"/>
          <w:sz w:val="24"/>
          <w:szCs w:val="24"/>
          <w:highlight w:val="none"/>
        </w:rPr>
        <w:t>http://www.zcygov.cn/</w:t>
      </w:r>
      <w:r>
        <w:rPr>
          <w:rStyle w:val="35"/>
          <w:rFonts w:hint="eastAsia" w:ascii="仿宋" w:eastAsia="仿宋"/>
          <w:b w:val="0"/>
          <w:bCs w:val="0"/>
          <w:i w:val="0"/>
          <w:iCs w:val="0"/>
          <w:caps w:val="0"/>
          <w:smallCaps w:val="0"/>
          <w:color w:val="auto"/>
          <w:spacing w:val="0"/>
          <w:sz w:val="24"/>
          <w:szCs w:val="24"/>
          <w:highlight w:val="none"/>
        </w:rPr>
        <w:fldChar w:fldCharType="end"/>
      </w:r>
      <w:r>
        <w:rPr>
          <w:rFonts w:ascii="仿宋" w:eastAsia="仿宋"/>
          <w:b w:val="0"/>
          <w:bCs w:val="0"/>
          <w:i w:val="0"/>
          <w:iCs w:val="0"/>
          <w:caps w:val="0"/>
          <w:smallCaps w:val="0"/>
          <w:color w:val="auto"/>
          <w:spacing w:val="0"/>
          <w:sz w:val="24"/>
          <w:szCs w:val="24"/>
          <w:highlight w:val="none"/>
        </w:rPr>
        <w:t xml:space="preserve">  </w:t>
      </w:r>
      <w:r>
        <w:rPr>
          <w:rFonts w:hint="eastAsia" w:ascii="仿宋" w:eastAsia="仿宋"/>
          <w:b w:val="0"/>
          <w:bCs w:val="0"/>
          <w:i w:val="0"/>
          <w:iCs w:val="0"/>
          <w:caps w:val="0"/>
          <w:smallCaps w:val="0"/>
          <w:color w:val="auto"/>
          <w:spacing w:val="0"/>
          <w:sz w:val="24"/>
          <w:szCs w:val="24"/>
          <w:highlight w:val="none"/>
        </w:rPr>
        <w:t>在线递交</w:t>
      </w:r>
      <w:r>
        <w:rPr>
          <w:rFonts w:ascii="仿宋" w:eastAsia="仿宋"/>
          <w:b w:val="0"/>
          <w:bCs w:val="0"/>
          <w:i w:val="0"/>
          <w:iCs w:val="0"/>
          <w:caps w:val="0"/>
          <w:smallCaps w:val="0"/>
          <w:color w:val="auto"/>
          <w:spacing w:val="0"/>
          <w:sz w:val="24"/>
          <w:szCs w:val="24"/>
          <w:highlight w:val="none"/>
        </w:rPr>
        <w:t>，不接收纸质响应文件。</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五、响应文件开启</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开启时间：</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04</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hint="eastAsia" w:ascii="仿宋" w:eastAsia="仿宋"/>
          <w:bCs/>
          <w:color w:val="auto"/>
          <w:sz w:val="24"/>
          <w:szCs w:val="24"/>
          <w:highlight w:val="none"/>
          <w:u w:val="single"/>
        </w:rPr>
        <w:t>点</w:t>
      </w:r>
      <w:r>
        <w:rPr>
          <w:rFonts w:hint="eastAsia" w:ascii="仿宋" w:eastAsia="仿宋"/>
          <w:bCs/>
          <w:color w:val="auto"/>
          <w:sz w:val="24"/>
          <w:szCs w:val="24"/>
          <w:highlight w:val="none"/>
          <w:u w:val="single"/>
          <w:lang w:val="en-US" w:eastAsia="zh-CN"/>
        </w:rPr>
        <w:t>00</w:t>
      </w:r>
      <w:r>
        <w:rPr>
          <w:rFonts w:hint="eastAsia" w:ascii="仿宋" w:eastAsia="仿宋"/>
          <w:bCs/>
          <w:color w:val="auto"/>
          <w:sz w:val="24"/>
          <w:szCs w:val="24"/>
          <w:highlight w:val="none"/>
          <w:u w:val="single"/>
        </w:rPr>
        <w:t>分</w:t>
      </w:r>
    </w:p>
    <w:p>
      <w:pPr>
        <w:spacing w:line="360" w:lineRule="auto"/>
        <w:ind w:firstLine="480" w:firstLineChars="200"/>
        <w:rPr>
          <w:rFonts w:ascii="仿宋" w:eastAsia="仿宋"/>
          <w:b w:val="0"/>
          <w:bCs w:val="0"/>
          <w:i w:val="0"/>
          <w:iCs w:val="0"/>
          <w:caps w:val="0"/>
          <w:smallCaps w:val="0"/>
          <w:color w:val="auto"/>
          <w:spacing w:val="0"/>
          <w:sz w:val="24"/>
          <w:szCs w:val="24"/>
          <w:highlight w:val="none"/>
          <w:u w:val="single"/>
        </w:rPr>
      </w:pPr>
      <w:r>
        <w:rPr>
          <w:rFonts w:ascii="仿宋" w:eastAsia="仿宋"/>
          <w:color w:val="auto"/>
          <w:sz w:val="24"/>
          <w:szCs w:val="24"/>
          <w:highlight w:val="none"/>
        </w:rPr>
        <w:t>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；现场地点：</w:t>
      </w:r>
      <w:r>
        <w:rPr>
          <w:rFonts w:hint="eastAsia" w:ascii="仿宋" w:eastAsia="仿宋"/>
          <w:b w:val="0"/>
          <w:bCs w:val="0"/>
          <w:i w:val="0"/>
          <w:iCs w:val="0"/>
          <w:caps w:val="0"/>
          <w:smallCaps w:val="0"/>
          <w:color w:val="auto"/>
          <w:spacing w:val="0"/>
          <w:sz w:val="24"/>
          <w:szCs w:val="24"/>
          <w:highlight w:val="none"/>
          <w:u w:val="single"/>
        </w:rPr>
        <w:t>绍兴市越城区迪荡街道龙湖大厦17楼SP1703室。</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bookmarkStart w:id="20" w:name="_Toc35393794"/>
      <w:bookmarkStart w:id="21" w:name="_Toc35393625"/>
      <w:bookmarkStart w:id="22" w:name="_Toc28359007"/>
      <w:bookmarkStart w:id="23" w:name="_Toc28359084"/>
      <w:r>
        <w:rPr>
          <w:rFonts w:hint="eastAsia" w:ascii="仿宋" w:hAnsi="仿宋" w:eastAsia="仿宋" w:cs="仿宋"/>
          <w:b/>
          <w:bCs/>
          <w:color w:val="auto"/>
          <w:sz w:val="24"/>
          <w:szCs w:val="24"/>
          <w:highlight w:val="none"/>
        </w:rPr>
        <w:t>六、公告期限</w:t>
      </w:r>
      <w:bookmarkEnd w:id="20"/>
      <w:bookmarkEnd w:id="21"/>
      <w:bookmarkEnd w:id="22"/>
      <w:bookmarkEnd w:id="23"/>
    </w:p>
    <w:p>
      <w:pPr>
        <w:ind w:firstLine="480" w:firstLineChars="200"/>
        <w:rPr>
          <w:rFonts w:hint="eastAsia"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w:t>
      </w:r>
      <w:r>
        <w:rPr>
          <w:rFonts w:ascii="仿宋" w:eastAsia="仿宋" w:cs="宋体"/>
          <w:color w:val="auto"/>
          <w:kern w:val="0"/>
          <w:sz w:val="24"/>
          <w:szCs w:val="24"/>
          <w:highlight w:val="none"/>
        </w:rPr>
        <w:t>3</w:t>
      </w:r>
      <w:r>
        <w:rPr>
          <w:rFonts w:hint="eastAsia" w:ascii="仿宋" w:eastAsia="仿宋" w:cs="宋体"/>
          <w:color w:val="auto"/>
          <w:kern w:val="0"/>
          <w:sz w:val="24"/>
          <w:szCs w:val="24"/>
          <w:highlight w:val="none"/>
        </w:rPr>
        <w:t>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bookmarkStart w:id="24" w:name="_Toc35393626"/>
      <w:bookmarkStart w:id="25" w:name="_Toc35393795"/>
      <w:r>
        <w:rPr>
          <w:rFonts w:hint="eastAsia" w:ascii="仿宋" w:hAnsi="仿宋" w:eastAsia="仿宋" w:cs="仿宋"/>
          <w:b/>
          <w:bCs/>
          <w:color w:val="auto"/>
          <w:sz w:val="24"/>
          <w:szCs w:val="24"/>
          <w:highlight w:val="none"/>
        </w:rPr>
        <w:t>七、其他补充事宜</w:t>
      </w:r>
      <w:bookmarkEnd w:id="24"/>
      <w:bookmarkEnd w:id="25"/>
    </w:p>
    <w:p>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bookmarkStart w:id="26" w:name="_Toc35393796"/>
      <w:bookmarkStart w:id="27" w:name="_Toc35393627"/>
      <w:bookmarkStart w:id="28" w:name="_Toc28359008"/>
      <w:bookmarkStart w:id="29" w:name="_Toc28359085"/>
      <w:r>
        <w:rPr>
          <w:rFonts w:hint="eastAsia" w:ascii="仿宋" w:hAnsi="仿宋" w:eastAsia="仿宋" w:cs="仿宋"/>
          <w:b/>
          <w:bCs/>
          <w:color w:val="auto"/>
          <w:sz w:val="24"/>
          <w:szCs w:val="24"/>
          <w:highlight w:val="none"/>
        </w:rPr>
        <w:t>八、凡对本次磋商提出询问、质疑、投诉，请按以下方式联系</w:t>
      </w:r>
      <w:bookmarkEnd w:id="26"/>
      <w:bookmarkEnd w:id="27"/>
      <w:bookmarkEnd w:id="28"/>
      <w:bookmarkEnd w:id="29"/>
    </w:p>
    <w:p>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pPr>
        <w:spacing w:line="360" w:lineRule="auto"/>
        <w:ind w:left="1079" w:leftChars="371" w:hanging="300" w:hangingChars="125"/>
        <w:jc w:val="left"/>
        <w:rPr>
          <w:rFonts w:ascii="仿宋" w:eastAsia="仿宋"/>
          <w:color w:val="auto"/>
          <w:sz w:val="24"/>
          <w:szCs w:val="24"/>
          <w:highlight w:val="none"/>
          <w:u w:val="singl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绍兴市越城区市场监督管理局</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绍兴市越城区稽山街道延安东路301号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xml:space="preserve">　　 </w:t>
      </w:r>
      <w:bookmarkStart w:id="30" w:name="_Toc28359009"/>
      <w:bookmarkStart w:id="31" w:name="_Toc28359086"/>
    </w:p>
    <w:p>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eastAsia="zh-CN"/>
        </w:rPr>
        <w:t>凌先生</w:t>
      </w:r>
    </w:p>
    <w:p>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lang w:val="en-US" w:eastAsia="zh-CN"/>
        </w:rPr>
        <w:t>0575-85129993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hint="eastAsia" w:ascii="仿宋" w:eastAsia="仿宋"/>
          <w:color w:val="auto"/>
          <w:sz w:val="24"/>
          <w:szCs w:val="24"/>
          <w:highlight w:val="none"/>
          <w:lang w:eastAsia="zh-CN"/>
        </w:rPr>
      </w:pPr>
      <w:r>
        <w:rPr>
          <w:rFonts w:ascii="仿宋" w:eastAsia="仿宋"/>
          <w:color w:val="auto"/>
          <w:sz w:val="24"/>
          <w:szCs w:val="24"/>
          <w:highlight w:val="none"/>
        </w:rPr>
        <w:t>质疑联系人：</w:t>
      </w:r>
      <w:r>
        <w:rPr>
          <w:rFonts w:hint="eastAsia" w:ascii="仿宋" w:eastAsia="仿宋"/>
          <w:color w:val="auto"/>
          <w:sz w:val="24"/>
          <w:szCs w:val="24"/>
          <w:highlight w:val="none"/>
          <w:u w:val="single"/>
          <w:lang w:eastAsia="zh-CN"/>
        </w:rPr>
        <w:t>方先生</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0575-85087307</w:t>
      </w:r>
    </w:p>
    <w:p>
      <w:pPr>
        <w:spacing w:line="360" w:lineRule="auto"/>
        <w:ind w:left="1079" w:leftChars="371" w:hanging="300" w:hangingChars="125"/>
        <w:jc w:val="left"/>
        <w:rPr>
          <w:rFonts w:ascii="仿宋" w:eastAsia="仿宋"/>
          <w:color w:val="auto"/>
          <w:sz w:val="24"/>
          <w:szCs w:val="24"/>
          <w:highlight w:val="none"/>
          <w:u w:val="single"/>
        </w:rPr>
      </w:pP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30"/>
      <w:bookmarkEnd w:id="31"/>
    </w:p>
    <w:p>
      <w:pPr>
        <w:spacing w:line="360" w:lineRule="auto"/>
        <w:ind w:left="1079" w:leftChars="371" w:hanging="300" w:hangingChars="125"/>
        <w:jc w:val="left"/>
        <w:rPr>
          <w:rFonts w:ascii="仿宋" w:eastAsia="仿宋"/>
          <w:color w:val="auto"/>
          <w:sz w:val="24"/>
          <w:szCs w:val="24"/>
          <w:highlight w:val="none"/>
        </w:rPr>
      </w:pPr>
      <w:bookmarkStart w:id="32" w:name="_Toc28359010"/>
      <w:bookmarkStart w:id="33" w:name="_Toc28359087"/>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绍兴虬实企业管理咨询有限公司</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绍兴市越城区迪荡街道龙湖大厦17楼SP1703室</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p>
    <w:p>
      <w:pPr>
        <w:spacing w:line="360" w:lineRule="auto"/>
        <w:ind w:left="1079" w:leftChars="371" w:hanging="300" w:hangingChars="125"/>
        <w:jc w:val="left"/>
        <w:rPr>
          <w:rFonts w:hint="eastAsia" w:ascii="仿宋" w:eastAsia="仿宋"/>
          <w:color w:val="auto"/>
          <w:sz w:val="24"/>
          <w:szCs w:val="24"/>
          <w:highlight w:val="none"/>
          <w:u w:val="single"/>
          <w:lang w:val="en-US"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蒋丹</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17826810855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金琼洁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0575-85352613　　　 </w:t>
      </w:r>
    </w:p>
    <w:p>
      <w:pPr>
        <w:spacing w:line="360" w:lineRule="auto"/>
        <w:ind w:firstLine="720" w:firstLineChars="300"/>
        <w:rPr>
          <w:rFonts w:ascii="仿宋" w:eastAsia="仿宋"/>
          <w:color w:val="auto"/>
          <w:sz w:val="24"/>
          <w:szCs w:val="24"/>
          <w:highlight w:val="none"/>
        </w:rPr>
      </w:pPr>
    </w:p>
    <w:p>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2"/>
      <w:bookmarkEnd w:id="33"/>
      <w:r>
        <w:rPr>
          <w:rFonts w:ascii="仿宋" w:eastAsia="仿宋" w:cs="宋体"/>
          <w:color w:val="auto"/>
          <w:sz w:val="24"/>
          <w:szCs w:val="24"/>
          <w:highlight w:val="none"/>
        </w:rPr>
        <w:t>同级政府采购监督管理部门</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pPr>
        <w:pStyle w:val="19"/>
        <w:spacing w:line="360" w:lineRule="auto"/>
        <w:ind w:firstLine="720" w:firstLineChars="300"/>
        <w:rPr>
          <w:rFonts w:hint="default" w:ascii="仿宋" w:eastAsia="仿宋"/>
          <w:color w:val="auto"/>
          <w:sz w:val="24"/>
          <w:szCs w:val="24"/>
          <w:highlight w:val="none"/>
          <w:u w:val="single"/>
          <w:lang w:val="en-US" w:eastAsia="zh-CN"/>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lang w:val="en-US" w:eastAsia="zh-CN"/>
        </w:rPr>
        <w:t xml:space="preserve">        </w:t>
      </w:r>
      <w:r>
        <w:rPr>
          <w:rFonts w:ascii="仿宋" w:eastAsia="仿宋"/>
          <w:color w:val="auto"/>
          <w:sz w:val="24"/>
          <w:szCs w:val="24"/>
          <w:highlight w:val="none"/>
          <w:u w:val="single"/>
        </w:rPr>
        <w:t>季</w:t>
      </w:r>
      <w:r>
        <w:rPr>
          <w:rFonts w:hint="eastAsia" w:ascii="仿宋" w:eastAsia="仿宋"/>
          <w:color w:val="auto"/>
          <w:sz w:val="24"/>
          <w:szCs w:val="24"/>
          <w:highlight w:val="none"/>
          <w:u w:val="single"/>
          <w:lang w:val="en-US" w:eastAsia="zh-CN"/>
        </w:rPr>
        <w:t xml:space="preserve"> </w:t>
      </w:r>
      <w:r>
        <w:rPr>
          <w:rFonts w:ascii="仿宋" w:eastAsia="仿宋"/>
          <w:color w:val="auto"/>
          <w:sz w:val="24"/>
          <w:szCs w:val="24"/>
          <w:highlight w:val="none"/>
          <w:u w:val="single"/>
        </w:rPr>
        <w:t>扬</w:t>
      </w:r>
      <w:r>
        <w:rPr>
          <w:rFonts w:hint="eastAsia" w:ascii="仿宋" w:eastAsia="仿宋"/>
          <w:color w:val="auto"/>
          <w:sz w:val="24"/>
          <w:szCs w:val="24"/>
          <w:highlight w:val="none"/>
          <w:u w:val="single"/>
          <w:lang w:val="en-US" w:eastAsia="zh-CN"/>
        </w:rPr>
        <w:t xml:space="preserve">            </w:t>
      </w:r>
    </w:p>
    <w:p>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ascii="仿宋" w:eastAsia="仿宋"/>
          <w:color w:val="auto"/>
          <w:sz w:val="24"/>
          <w:szCs w:val="24"/>
          <w:highlight w:val="none"/>
          <w:u w:val="single"/>
        </w:rPr>
        <w:t>0575-85221643</w:t>
      </w:r>
      <w:r>
        <w:rPr>
          <w:rFonts w:hint="eastAsia" w:ascii="仿宋" w:eastAsia="仿宋"/>
          <w:color w:val="auto"/>
          <w:sz w:val="24"/>
          <w:szCs w:val="24"/>
          <w:highlight w:val="none"/>
          <w:u w:val="single"/>
        </w:rPr>
        <w:t>　　　</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采购组织类型：</w:t>
      </w:r>
      <w:r>
        <w:rPr>
          <w:rFonts w:hint="eastAsia" w:ascii="仿宋" w:eastAsia="仿宋" w:cs="Arial"/>
          <w:bCs/>
          <w:color w:val="auto"/>
          <w:sz w:val="24"/>
          <w:highlight w:val="none"/>
          <w:u w:val="single"/>
        </w:rPr>
        <w:t xml:space="preserve">   </w:t>
      </w:r>
      <w:r>
        <w:rPr>
          <w:rFonts w:hint="eastAsia" w:ascii="仿宋" w:eastAsia="仿宋" w:cs="Arial"/>
          <w:bCs/>
          <w:color w:val="auto"/>
          <w:sz w:val="24"/>
          <w:highlight w:val="none"/>
          <w:u w:val="single"/>
          <w:lang w:val="en-US" w:eastAsia="zh-CN"/>
        </w:rPr>
        <w:t>分散采购</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r>
        <w:rPr>
          <w:rFonts w:ascii="仿宋" w:eastAsia="仿宋" w:cs="Arial"/>
          <w:bCs/>
          <w:color w:val="auto"/>
          <w:sz w:val="24"/>
          <w:highlight w:val="none"/>
        </w:rPr>
        <w:t xml:space="preserve"> </w:t>
      </w:r>
    </w:p>
    <w:p>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w:t>
      </w:r>
      <w:r>
        <w:rPr>
          <w:rFonts w:ascii="仿宋" w:eastAsia="仿宋" w:cs="宋体"/>
          <w:color w:val="auto"/>
          <w:kern w:val="0"/>
          <w:sz w:val="24"/>
          <w:highlight w:val="none"/>
        </w:rPr>
        <w:t>磋商</w:t>
      </w:r>
      <w:r>
        <w:rPr>
          <w:rFonts w:hint="eastAsia" w:ascii="仿宋" w:eastAsia="仿宋" w:cs="宋体"/>
          <w:color w:val="auto"/>
          <w:kern w:val="0"/>
          <w:sz w:val="24"/>
          <w:highlight w:val="none"/>
        </w:rPr>
        <w:t>。</w:t>
      </w:r>
    </w:p>
    <w:p>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请供应商务必认真学习网上相关培训课程。电子化交易准备工作详见</w:t>
      </w:r>
      <w:r>
        <w:rPr>
          <w:rStyle w:val="35"/>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5"/>
          <w:rFonts w:hint="eastAsia" w:ascii="仿宋" w:eastAsia="仿宋"/>
          <w:color w:val="auto"/>
          <w:spacing w:val="-4"/>
          <w:sz w:val="24"/>
          <w:highlight w:val="none"/>
        </w:rPr>
        <w:fldChar w:fldCharType="separate"/>
      </w:r>
      <w:r>
        <w:rPr>
          <w:rStyle w:val="35"/>
          <w:rFonts w:hint="eastAsia" w:ascii="仿宋" w:eastAsia="仿宋"/>
          <w:color w:val="auto"/>
          <w:spacing w:val="-4"/>
          <w:sz w:val="24"/>
          <w:highlight w:val="none"/>
        </w:rPr>
        <w:t>http://www.sxyc.gov.cn/art/2019/9/11/art_1559761_38044415.html</w:t>
      </w:r>
      <w:r>
        <w:rPr>
          <w:rStyle w:val="35"/>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5"/>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、CA申领需要时间，请各潜在供应商及时办理和绑定。</w:t>
      </w:r>
    </w:p>
    <w:p>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w:t>
      </w:r>
      <w:r>
        <w:rPr>
          <w:rFonts w:ascii="仿宋" w:eastAsia="仿宋" w:cs="Arial"/>
          <w:bCs/>
          <w:color w:val="auto"/>
          <w:sz w:val="24"/>
          <w:highlight w:val="none"/>
        </w:rPr>
        <w:t>磋商</w:t>
      </w:r>
      <w:r>
        <w:rPr>
          <w:rFonts w:hint="eastAsia" w:ascii="仿宋" w:eastAsia="仿宋" w:cs="Arial"/>
          <w:bCs/>
          <w:color w:val="auto"/>
          <w:sz w:val="24"/>
          <w:highlight w:val="none"/>
        </w:rPr>
        <w:t>的供应商，须向采购代理机构提供书面说明。</w:t>
      </w:r>
    </w:p>
    <w:p>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w:t>
      </w:r>
      <w:r>
        <w:rPr>
          <w:rFonts w:ascii="仿宋" w:eastAsia="仿宋"/>
          <w:b/>
          <w:bCs/>
          <w:color w:val="auto"/>
          <w:sz w:val="24"/>
          <w:highlight w:val="none"/>
        </w:rPr>
        <w:t>磋商响应</w:t>
      </w:r>
      <w:r>
        <w:rPr>
          <w:rFonts w:hint="eastAsia" w:ascii="仿宋" w:eastAsia="仿宋"/>
          <w:b/>
          <w:bCs/>
          <w:color w:val="auto"/>
          <w:sz w:val="24"/>
          <w:highlight w:val="none"/>
        </w:rPr>
        <w:t>文件（建议提前一天，供应商解密电子</w:t>
      </w:r>
      <w:r>
        <w:rPr>
          <w:rFonts w:ascii="仿宋" w:eastAsia="仿宋"/>
          <w:b/>
          <w:bCs/>
          <w:color w:val="auto"/>
          <w:sz w:val="24"/>
          <w:highlight w:val="none"/>
        </w:rPr>
        <w:t>磋商响应</w:t>
      </w:r>
      <w:r>
        <w:rPr>
          <w:rFonts w:hint="eastAsia" w:ascii="仿宋" w:eastAsia="仿宋"/>
          <w:b/>
          <w:bCs/>
          <w:color w:val="auto"/>
          <w:sz w:val="24"/>
          <w:highlight w:val="none"/>
        </w:rPr>
        <w:t>文件前处于加密状态）。</w:t>
      </w:r>
    </w:p>
    <w:p>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五</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pPr>
        <w:spacing w:line="360" w:lineRule="exact"/>
        <w:ind w:firstLine="482" w:firstLineChars="200"/>
        <w:rPr>
          <w:rFonts w:hint="eastAsia" w:ascii="仿宋" w:eastAsia="仿宋"/>
          <w:b/>
          <w:color w:val="auto"/>
          <w:sz w:val="24"/>
          <w:highlight w:val="none"/>
        </w:rPr>
      </w:pPr>
      <w:r>
        <w:rPr>
          <w:rFonts w:ascii="仿宋" w:eastAsia="仿宋"/>
          <w:b/>
          <w:color w:val="auto"/>
          <w:sz w:val="24"/>
          <w:highlight w:val="none"/>
        </w:rPr>
        <w:t>六</w:t>
      </w:r>
      <w:r>
        <w:rPr>
          <w:rFonts w:hint="eastAsia" w:ascii="仿宋" w:eastAsia="仿宋"/>
          <w:b/>
          <w:color w:val="auto"/>
          <w:sz w:val="24"/>
          <w:highlight w:val="none"/>
        </w:rPr>
        <w:t>、供应商入驻：</w:t>
      </w:r>
    </w:p>
    <w:p>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pPr>
        <w:spacing w:line="380" w:lineRule="exact"/>
        <w:rPr>
          <w:rFonts w:hint="eastAsia" w:ascii="仿宋" w:eastAsia="仿宋"/>
          <w:color w:val="auto"/>
          <w:highlight w:val="none"/>
        </w:rPr>
      </w:pPr>
      <w:r>
        <w:rPr>
          <w:rFonts w:ascii="仿宋" w:eastAsia="仿宋"/>
          <w:color w:val="auto"/>
          <w:highlight w:val="none"/>
        </w:rPr>
        <w:t>（无需提交纸质资料现场审核）</w:t>
      </w:r>
    </w:p>
    <w:p>
      <w:pPr>
        <w:wordWrap w:val="0"/>
        <w:spacing w:line="360" w:lineRule="exact"/>
        <w:jc w:val="right"/>
        <w:rPr>
          <w:rFonts w:hint="eastAsia" w:ascii="仿宋" w:eastAsia="仿宋"/>
          <w:color w:val="auto"/>
          <w:sz w:val="24"/>
          <w:highlight w:val="none"/>
        </w:rPr>
      </w:pPr>
    </w:p>
    <w:p>
      <w:pPr>
        <w:pStyle w:val="2"/>
        <w:numPr>
          <w:ilvl w:val="0"/>
          <w:numId w:val="0"/>
        </w:numPr>
        <w:ind w:left="0" w:firstLine="0"/>
        <w:jc w:val="center"/>
        <w:rPr>
          <w:rFonts w:hint="eastAsia" w:ascii="仿宋" w:eastAsia="仿宋"/>
          <w:color w:val="auto"/>
          <w:sz w:val="44"/>
          <w:highlight w:val="none"/>
        </w:rPr>
      </w:pPr>
      <w:bookmarkStart w:id="34" w:name="_Toc26022"/>
      <w:r>
        <w:rPr>
          <w:rFonts w:hint="eastAsia" w:ascii="仿宋" w:eastAsia="仿宋"/>
          <w:color w:val="auto"/>
          <w:sz w:val="44"/>
          <w:highlight w:val="none"/>
        </w:rPr>
        <w:t>第二章 供应商须知</w:t>
      </w:r>
      <w:bookmarkEnd w:id="34"/>
    </w:p>
    <w:p>
      <w:pPr>
        <w:pStyle w:val="3"/>
        <w:rPr>
          <w:rFonts w:hint="eastAsia" w:ascii="仿宋"/>
          <w:color w:val="auto"/>
          <w:highlight w:val="none"/>
        </w:rPr>
      </w:pPr>
      <w:bookmarkStart w:id="35" w:name="_Toc22600"/>
      <w:r>
        <w:rPr>
          <w:rFonts w:hint="eastAsia" w:ascii="仿宋"/>
          <w:color w:val="auto"/>
          <w:highlight w:val="none"/>
        </w:rPr>
        <w:t>一、前附表</w:t>
      </w:r>
      <w:bookmarkEnd w:id="35"/>
    </w:p>
    <w:tbl>
      <w:tblPr>
        <w:tblStyle w:val="3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before="156" w:beforeLines="50" w:after="94" w:afterLines="30" w:line="360" w:lineRule="auto"/>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cBorders>
            <w:noWrap/>
            <w:vAlign w:val="center"/>
          </w:tcPr>
          <w:p>
            <w:pPr>
              <w:spacing w:before="156" w:beforeLines="50" w:after="94" w:afterLines="30" w:line="360" w:lineRule="auto"/>
              <w:jc w:val="center"/>
              <w:rPr>
                <w:rFonts w:hint="eastAsia"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eastAsia="仿宋" w:cs="宋体"/>
                <w:b/>
                <w:color w:val="auto"/>
                <w:kern w:val="0"/>
                <w:sz w:val="24"/>
                <w:highlight w:val="none"/>
                <w:u w:val="single"/>
              </w:rPr>
            </w:pPr>
            <w:r>
              <w:rPr>
                <w:rFonts w:hint="eastAsia" w:ascii="仿宋" w:eastAsia="仿宋"/>
                <w:b/>
                <w:color w:val="auto"/>
                <w:sz w:val="24"/>
                <w:highlight w:val="none"/>
              </w:rPr>
              <w:t>磋商项目名称：</w:t>
            </w:r>
            <w:r>
              <w:rPr>
                <w:rFonts w:hint="eastAsia" w:ascii="仿宋" w:hAnsi="仿宋" w:eastAsia="仿宋" w:cs="仿宋"/>
                <w:color w:val="auto"/>
                <w:sz w:val="24"/>
                <w:highlight w:val="none"/>
                <w:u w:val="single"/>
              </w:rPr>
              <w:t>绍兴市越城区市场监督管理局2024年度产</w:t>
            </w:r>
            <w:r>
              <w:rPr>
                <w:rFonts w:hint="eastAsia" w:ascii="仿宋" w:hAnsi="仿宋" w:eastAsia="仿宋" w:cs="仿宋"/>
                <w:color w:val="auto"/>
                <w:sz w:val="24"/>
                <w:highlight w:val="none"/>
                <w:u w:val="single"/>
                <w:lang w:val="en-US" w:eastAsia="zh-CN"/>
              </w:rPr>
              <w:t>(商)</w:t>
            </w:r>
            <w:r>
              <w:rPr>
                <w:rFonts w:hint="eastAsia" w:ascii="仿宋" w:hAnsi="仿宋" w:eastAsia="仿宋" w:cs="仿宋"/>
                <w:color w:val="auto"/>
                <w:sz w:val="24"/>
                <w:highlight w:val="none"/>
                <w:u w:val="single"/>
              </w:rPr>
              <w:t>品质量监督抽查项目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textAlignment w:val="bottom"/>
              <w:rPr>
                <w:rFonts w:hint="eastAsia" w:ascii="仿宋" w:eastAsia="仿宋"/>
                <w:color w:val="auto"/>
                <w:sz w:val="24"/>
                <w:highlight w:val="none"/>
              </w:rPr>
            </w:pPr>
            <w:r>
              <w:rPr>
                <w:rFonts w:hint="eastAsia" w:ascii="仿宋" w:eastAsia="仿宋"/>
                <w:b/>
                <w:color w:val="auto"/>
                <w:sz w:val="24"/>
                <w:highlight w:val="none"/>
              </w:rPr>
              <w:t>磋商有效期：</w:t>
            </w:r>
            <w:r>
              <w:rPr>
                <w:rFonts w:hint="eastAsia" w:ascii="仿宋" w:eastAsia="仿宋"/>
                <w:color w:val="auto"/>
                <w:sz w:val="24"/>
                <w:highlight w:val="none"/>
              </w:rPr>
              <w:t>自磋商截止日起45天。如采购人认为必要，可延长至总计最长不超过60天。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b/>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textAlignment w:val="bottom"/>
              <w:rPr>
                <w:rFonts w:hint="eastAsia" w:ascii="仿宋" w:eastAsia="仿宋" w:cs="Arial"/>
                <w:b/>
                <w:color w:val="auto"/>
                <w:sz w:val="24"/>
                <w:highlight w:val="non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无</w:t>
            </w:r>
            <w:r>
              <w:rPr>
                <w:rFonts w:hint="eastAsia" w:ascii="仿宋" w:eastAsia="仿宋"/>
                <w:color w:val="auto"/>
                <w:sz w:val="24"/>
                <w:highlight w:val="none"/>
                <w:u w:val="single"/>
              </w:rPr>
              <w:t xml:space="preserve">   </w:t>
            </w:r>
            <w:r>
              <w:rPr>
                <w:rFonts w:hint="eastAsia" w:ascii="仿宋" w:eastAsia="仿宋"/>
                <w:b/>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textAlignment w:val="bottom"/>
              <w:rPr>
                <w:rFonts w:hint="default" w:ascii="仿宋" w:eastAsia="仿宋"/>
                <w:b/>
                <w:color w:val="auto"/>
                <w:sz w:val="24"/>
                <w:highlight w:val="none"/>
                <w:lang w:val="en-US" w:eastAsia="zh-CN"/>
              </w:rPr>
            </w:pPr>
            <w:r>
              <w:rPr>
                <w:rFonts w:hint="eastAsia" w:ascii="仿宋" w:eastAsia="仿宋"/>
                <w:b/>
                <w:color w:val="auto"/>
                <w:sz w:val="24"/>
                <w:highlight w:val="none"/>
              </w:rPr>
              <w:t>现场踏勘：</w:t>
            </w:r>
            <w:r>
              <w:rPr>
                <w:rFonts w:hint="eastAsia" w:ascii="仿宋" w:eastAsia="仿宋"/>
                <w:caps w:val="0"/>
                <w:smallCaps w:val="0"/>
                <w:snapToGrid/>
                <w:vanish w:val="0"/>
                <w:color w:val="auto"/>
                <w:sz w:val="24"/>
                <w:szCs w:val="24"/>
                <w:highlight w:val="none"/>
                <w:u w:val="single"/>
                <w:vertAlign w:val="baseline"/>
              </w:rPr>
              <w:t xml:space="preserve">    </w:t>
            </w:r>
            <w:r>
              <w:rPr>
                <w:rFonts w:hint="eastAsia" w:ascii="仿宋" w:eastAsia="仿宋"/>
                <w:caps w:val="0"/>
                <w:smallCaps w:val="0"/>
                <w:snapToGrid/>
                <w:vanish w:val="0"/>
                <w:color w:val="auto"/>
                <w:sz w:val="24"/>
                <w:szCs w:val="24"/>
                <w:highlight w:val="none"/>
                <w:u w:val="single"/>
                <w:vertAlign w:val="baseline"/>
                <w:lang w:val="en-US" w:eastAsia="zh-CN"/>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eastAsia="仿宋"/>
                <w:color w:val="auto"/>
                <w:sz w:val="24"/>
                <w:highlight w:val="none"/>
              </w:rPr>
            </w:pPr>
            <w:r>
              <w:rPr>
                <w:rFonts w:hint="eastAsia" w:ascii="仿宋" w:eastAsia="仿宋"/>
                <w:b/>
                <w:color w:val="auto"/>
                <w:sz w:val="24"/>
                <w:highlight w:val="none"/>
              </w:rPr>
              <w:t>磋商响应文件份数：</w:t>
            </w:r>
            <w:r>
              <w:rPr>
                <w:rFonts w:hint="eastAsia" w:ascii="仿宋" w:eastAsia="仿宋"/>
                <w:b/>
                <w:bCs/>
                <w:color w:val="auto"/>
                <w:sz w:val="24"/>
                <w:highlight w:val="none"/>
              </w:rPr>
              <w:t>上传加密电子磋商响应文件一份，准备备份加密电子磋商响应文件一份。</w:t>
            </w: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w:t>
            </w:r>
            <w:r>
              <w:rPr>
                <w:rFonts w:hint="eastAsia" w:ascii="仿宋" w:eastAsia="仿宋"/>
                <w:b/>
                <w:color w:val="auto"/>
                <w:sz w:val="24"/>
                <w:highlight w:val="none"/>
              </w:rPr>
              <w:t>及缴退</w:t>
            </w:r>
            <w:r>
              <w:rPr>
                <w:rFonts w:ascii="仿宋" w:eastAsia="仿宋"/>
                <w:b/>
                <w:color w:val="auto"/>
                <w:sz w:val="24"/>
                <w:highlight w:val="none"/>
              </w:rPr>
              <w:t>时间</w:t>
            </w:r>
            <w:r>
              <w:rPr>
                <w:rFonts w:hint="eastAsia" w:ascii="仿宋" w:eastAsia="仿宋"/>
                <w:b/>
                <w:color w:val="auto"/>
                <w:sz w:val="24"/>
                <w:highlight w:val="none"/>
              </w:rPr>
              <w:t>：</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无</w:t>
            </w:r>
            <w:r>
              <w:rPr>
                <w:rFonts w:hint="eastAsia" w:ascii="仿宋" w:eastAsia="仿宋"/>
                <w:color w:val="auto"/>
                <w:sz w:val="24"/>
                <w:highlight w:val="none"/>
                <w:u w:val="single"/>
              </w:rPr>
              <w:t xml:space="preserve">    </w:t>
            </w:r>
          </w:p>
          <w:p>
            <w:pPr>
              <w:spacing w:line="360" w:lineRule="auto"/>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31"/>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val="0"/>
                      <w:bCs w:val="0"/>
                      <w:color w:val="auto"/>
                      <w:sz w:val="24"/>
                      <w:highlight w:val="none"/>
                      <w:vertAlign w:val="baseline"/>
                      <w:lang w:val="en-US" w:eastAsia="zh-CN"/>
                    </w:rPr>
                  </w:pPr>
                  <w:r>
                    <w:rPr>
                      <w:rFonts w:hint="default" w:ascii="仿宋" w:eastAsia="仿宋"/>
                      <w:b w:val="0"/>
                      <w:bCs w:val="0"/>
                      <w:color w:val="auto"/>
                      <w:sz w:val="24"/>
                      <w:highlight w:val="none"/>
                      <w:vertAlign w:val="baseline"/>
                      <w:lang w:val="en-US" w:eastAsia="zh-CN"/>
                    </w:rPr>
                    <w:t>全区工业品和重要消费品监督抽查</w:t>
                  </w:r>
                </w:p>
              </w:tc>
              <w:tc>
                <w:tcPr>
                  <w:tcW w:w="4078" w:type="dxa"/>
                  <w:vAlign w:val="center"/>
                </w:tcPr>
                <w:p>
                  <w:pPr>
                    <w:snapToGrid w:val="0"/>
                    <w:jc w:val="center"/>
                    <w:rPr>
                      <w:rFonts w:hint="default" w:ascii="仿宋" w:eastAsia="仿宋"/>
                      <w:b w:val="0"/>
                      <w:bCs w:val="0"/>
                      <w:color w:val="auto"/>
                      <w:sz w:val="24"/>
                      <w:highlight w:val="none"/>
                      <w:vertAlign w:val="baseline"/>
                      <w:lang w:val="en-US" w:eastAsia="zh-CN"/>
                    </w:rPr>
                  </w:pPr>
                  <w:r>
                    <w:rPr>
                      <w:rFonts w:hint="eastAsia" w:ascii="仿宋" w:eastAsia="仿宋"/>
                      <w:b w:val="0"/>
                      <w:bCs w:val="0"/>
                      <w:color w:val="auto"/>
                      <w:sz w:val="24"/>
                      <w:highlight w:val="none"/>
                      <w:vertAlign w:val="baseline"/>
                      <w:lang w:val="en-US" w:eastAsia="zh-CN"/>
                    </w:rPr>
                    <w:t>专业技术服务行业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kinsoku/>
                    <w:overflowPunct/>
                    <w:topLinePunct w:val="0"/>
                    <w:bidi w:val="0"/>
                    <w:spacing w:line="240" w:lineRule="auto"/>
                    <w:ind w:firstLine="480" w:firstLineChars="200"/>
                    <w:jc w:val="left"/>
                    <w:rPr>
                      <w:rFonts w:hint="default" w:ascii="仿宋" w:eastAsia="仿宋"/>
                      <w:b w:val="0"/>
                      <w:bCs w:val="0"/>
                      <w:color w:val="auto"/>
                      <w:sz w:val="24"/>
                      <w:highlight w:val="none"/>
                      <w:vertAlign w:val="baseline"/>
                      <w:lang w:val="en-US" w:eastAsia="zh-CN"/>
                    </w:rPr>
                  </w:pPr>
                  <w:r>
                    <w:rPr>
                      <w:rFonts w:hint="eastAsia" w:ascii="仿宋" w:hAnsi="仿宋" w:eastAsia="仿宋" w:cs="仿宋"/>
                      <w:b w:val="0"/>
                      <w:bCs w:val="0"/>
                      <w:color w:val="auto"/>
                      <w:sz w:val="24"/>
                      <w:highlight w:val="none"/>
                      <w:lang w:val="en-US" w:eastAsia="zh-CN"/>
                    </w:rPr>
                    <w:t>全区重点监管产品专项监督抽查</w:t>
                  </w:r>
                </w:p>
              </w:tc>
              <w:tc>
                <w:tcPr>
                  <w:tcW w:w="4078" w:type="dxa"/>
                  <w:vAlign w:val="center"/>
                </w:tcPr>
                <w:p>
                  <w:pPr>
                    <w:snapToGrid w:val="0"/>
                    <w:jc w:val="center"/>
                    <w:rPr>
                      <w:rFonts w:hint="default" w:ascii="仿宋" w:eastAsia="仿宋"/>
                      <w:b w:val="0"/>
                      <w:bCs w:val="0"/>
                      <w:color w:val="auto"/>
                      <w:sz w:val="24"/>
                      <w:highlight w:val="none"/>
                      <w:vertAlign w:val="baseline"/>
                      <w:lang w:val="en-US" w:eastAsia="zh-CN"/>
                    </w:rPr>
                  </w:pPr>
                  <w:r>
                    <w:rPr>
                      <w:rFonts w:hint="eastAsia" w:ascii="仿宋" w:eastAsia="仿宋"/>
                      <w:b w:val="0"/>
                      <w:bCs w:val="0"/>
                      <w:color w:val="auto"/>
                      <w:sz w:val="24"/>
                      <w:highlight w:val="none"/>
                      <w:vertAlign w:val="baseline"/>
                      <w:lang w:val="en-US" w:eastAsia="zh-CN"/>
                    </w:rPr>
                    <w:t>专业技术服务行业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val="0"/>
                      <w:bCs w:val="0"/>
                      <w:color w:val="auto"/>
                      <w:sz w:val="24"/>
                      <w:highlight w:val="none"/>
                      <w:vertAlign w:val="baseline"/>
                      <w:lang w:val="en-US" w:eastAsia="zh-CN"/>
                    </w:rPr>
                  </w:pPr>
                  <w:r>
                    <w:rPr>
                      <w:rFonts w:hint="eastAsia" w:ascii="仿宋" w:hAnsi="仿宋" w:eastAsia="仿宋" w:cs="仿宋"/>
                      <w:b w:val="0"/>
                      <w:bCs w:val="0"/>
                      <w:color w:val="auto"/>
                      <w:sz w:val="24"/>
                      <w:highlight w:val="none"/>
                      <w:lang w:val="en-US" w:eastAsia="zh-CN"/>
                    </w:rPr>
                    <w:t>全区纺织消费品产品质量监督抽查</w:t>
                  </w:r>
                </w:p>
              </w:tc>
              <w:tc>
                <w:tcPr>
                  <w:tcW w:w="4078" w:type="dxa"/>
                  <w:vAlign w:val="center"/>
                </w:tcPr>
                <w:p>
                  <w:pPr>
                    <w:snapToGrid w:val="0"/>
                    <w:jc w:val="center"/>
                    <w:rPr>
                      <w:rFonts w:hint="default" w:ascii="仿宋" w:eastAsia="仿宋"/>
                      <w:b w:val="0"/>
                      <w:bCs w:val="0"/>
                      <w:color w:val="auto"/>
                      <w:sz w:val="24"/>
                      <w:highlight w:val="none"/>
                      <w:vertAlign w:val="baseline"/>
                      <w:lang w:val="en-US" w:eastAsia="zh-CN"/>
                    </w:rPr>
                  </w:pPr>
                  <w:r>
                    <w:rPr>
                      <w:rFonts w:hint="eastAsia" w:ascii="仿宋" w:eastAsia="仿宋"/>
                      <w:b w:val="0"/>
                      <w:bCs w:val="0"/>
                      <w:color w:val="auto"/>
                      <w:sz w:val="24"/>
                      <w:highlight w:val="none"/>
                      <w:vertAlign w:val="baseline"/>
                      <w:lang w:val="en-US" w:eastAsia="zh-CN"/>
                    </w:rPr>
                    <w:t>专业技术服务行业</w:t>
                  </w:r>
                </w:p>
              </w:tc>
            </w:tr>
          </w:tbl>
          <w:p>
            <w:pPr>
              <w:autoSpaceDE w:val="0"/>
              <w:autoSpaceDN w:val="0"/>
              <w:spacing w:line="360" w:lineRule="auto"/>
              <w:jc w:val="left"/>
              <w:textAlignment w:val="bottom"/>
              <w:rPr>
                <w:rFonts w:hint="eastAsia" w:asci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eastAsia="仿宋"/>
                <w:color w:val="auto"/>
                <w:sz w:val="24"/>
                <w:highlight w:val="none"/>
              </w:rPr>
            </w:pPr>
            <w:r>
              <w:rPr>
                <w:rFonts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pPr>
              <w:snapToGrid w:val="0"/>
              <w:spacing w:line="440" w:lineRule="exact"/>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中标人须向招标代理机构交纳代理服务费：</w:t>
            </w:r>
          </w:p>
          <w:p>
            <w:pPr>
              <w:snapToGrid w:val="0"/>
              <w:spacing w:line="440" w:lineRule="exact"/>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1）以中标通知中确定的中标总金额作为服务费的计算基数，收费标准参照《国家计委关于印发&lt;招标代理服务收费管理暂行办法&gt;的通知》（计价格[2002]1980号）。收费标准：中标金额在100万以下部分为1.5%，100万-500万部分为0.8%。</w:t>
            </w:r>
          </w:p>
          <w:p>
            <w:pPr>
              <w:snapToGrid w:val="0"/>
              <w:spacing w:line="440" w:lineRule="exact"/>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（2）代理服务费的交纳方式：</w:t>
            </w:r>
          </w:p>
          <w:p>
            <w:pPr>
              <w:snapToGrid w:val="0"/>
              <w:spacing w:line="440" w:lineRule="exact"/>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用银行支票、汇票、电汇、现金等付款方式直接交纳代理服务费。</w:t>
            </w:r>
          </w:p>
          <w:p>
            <w:pPr>
              <w:snapToGrid w:val="0"/>
              <w:spacing w:line="440" w:lineRule="exact"/>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公司名称：绍兴虬实企业管理咨询有限公司</w:t>
            </w:r>
          </w:p>
          <w:p>
            <w:pPr>
              <w:snapToGrid w:val="0"/>
              <w:spacing w:line="440" w:lineRule="exact"/>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账    号：2006767942000015</w:t>
            </w:r>
          </w:p>
          <w:p>
            <w:pPr>
              <w:snapToGrid w:val="0"/>
              <w:spacing w:line="440" w:lineRule="exact"/>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开 户 行：绍兴银行股份有限公司禹陵支行</w:t>
            </w:r>
          </w:p>
          <w:p>
            <w:pPr>
              <w:snapToGrid w:val="0"/>
              <w:spacing w:line="440" w:lineRule="exact"/>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（3）领取中标通知书前交纳。</w:t>
            </w:r>
          </w:p>
          <w:p>
            <w:pPr>
              <w:autoSpaceDE w:val="0"/>
              <w:autoSpaceDN w:val="0"/>
              <w:spacing w:line="360" w:lineRule="auto"/>
              <w:jc w:val="left"/>
              <w:textAlignment w:val="bottom"/>
              <w:rPr>
                <w:rFonts w:ascii="仿宋" w:eastAsia="仿宋" w:cs="仿宋_GB2312"/>
                <w:b/>
                <w:bCs/>
                <w:color w:val="auto"/>
                <w:sz w:val="24"/>
                <w:highlight w:val="none"/>
              </w:rPr>
            </w:pPr>
            <w:r>
              <w:rPr>
                <w:rFonts w:hint="eastAsia" w:ascii="仿宋_GB2312" w:hAnsi="仿宋" w:eastAsia="仿宋_GB2312"/>
                <w:color w:val="auto"/>
                <w:sz w:val="24"/>
                <w:highlight w:val="none"/>
              </w:rPr>
              <w:t>（4）潜在供应商因充分考虑此部分费用，参与投标活动时综合考虑在报价中。</w:t>
            </w:r>
          </w:p>
        </w:tc>
      </w:tr>
    </w:tbl>
    <w:p>
      <w:pPr>
        <w:pStyle w:val="3"/>
        <w:jc w:val="center"/>
        <w:rPr>
          <w:rFonts w:hint="eastAsia" w:ascii="仿宋"/>
          <w:color w:val="auto"/>
          <w:highlight w:val="none"/>
        </w:rPr>
      </w:pPr>
      <w:bookmarkStart w:id="36" w:name="_Toc13745"/>
      <w:r>
        <w:rPr>
          <w:rFonts w:hint="eastAsia" w:ascii="仿宋"/>
          <w:color w:val="auto"/>
          <w:highlight w:val="none"/>
        </w:rPr>
        <w:t>二、磋商文件</w:t>
      </w:r>
      <w:bookmarkEnd w:id="36"/>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磋商文件效力</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1.1本磋商文件适用于本次所述项目的磋商、合同签订及履约、付款等全过程（法律法规另有规定的从其规定）。</w:t>
      </w:r>
    </w:p>
    <w:p>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供应商对本磋商文件如有异议，均应在法定时间内提出质疑或投诉，否则即被视为认可磋商文件的全部内容。</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w:t>
      </w:r>
      <w:r>
        <w:rPr>
          <w:rFonts w:hint="eastAsia" w:ascii="仿宋" w:eastAsia="仿宋"/>
          <w:color w:val="auto"/>
          <w:sz w:val="24"/>
          <w:szCs w:val="24"/>
          <w:highlight w:val="none"/>
          <w:u w:val="none"/>
        </w:rPr>
        <w:t>绍兴虬实企业管理咨询有限公司</w:t>
      </w:r>
      <w:r>
        <w:rPr>
          <w:rFonts w:hint="eastAsia" w:ascii="仿宋" w:eastAsia="仿宋" w:cs="仿宋_GB2312"/>
          <w:color w:val="auto"/>
          <w:sz w:val="24"/>
          <w:highlight w:val="none"/>
        </w:rPr>
        <w:t>，分散采购项目的采购代理机构为社会中介代理机构。采购代理机构按照与采购人的采购代理合同约定行使采购活动组织等事宜。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”系指供方按磋商文件规定，经合法途径取得的，须向采购人提供的一切产品、保险、税金、安装、施工、调试、备品备件、工具、手册及其他有关技术资料和材料。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”系指磋商文件规定供应商须承担的安装、调试、技术协助、校准、培训、技术指导以及其他类似的义务。</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供应商</w:t>
      </w:r>
      <w:r>
        <w:rPr>
          <w:rFonts w:hint="eastAsia" w:ascii="仿宋" w:eastAsia="仿宋"/>
          <w:color w:val="auto"/>
          <w:sz w:val="24"/>
          <w:highlight w:val="none"/>
        </w:rPr>
        <w:t>”指已经按采购公告要求获取磋商文件的磋商供应商。“</w:t>
      </w:r>
      <w:r>
        <w:rPr>
          <w:rFonts w:hint="eastAsia" w:ascii="仿宋" w:eastAsia="仿宋"/>
          <w:b/>
          <w:bCs/>
          <w:color w:val="auto"/>
          <w:sz w:val="24"/>
          <w:highlight w:val="none"/>
        </w:rPr>
        <w:t>潜在供应商</w:t>
      </w:r>
      <w:r>
        <w:rPr>
          <w:rFonts w:hint="eastAsia" w:ascii="仿宋" w:eastAsia="仿宋"/>
          <w:color w:val="auto"/>
          <w:sz w:val="24"/>
          <w:highlight w:val="none"/>
        </w:rPr>
        <w:t>”指未按采购公告要求获取磋商文件的供应商。</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供应商代表</w:t>
      </w:r>
      <w:r>
        <w:rPr>
          <w:rFonts w:hint="eastAsia" w:ascii="仿宋" w:eastAsia="仿宋"/>
          <w:color w:val="auto"/>
          <w:sz w:val="24"/>
          <w:highlight w:val="none"/>
        </w:rPr>
        <w:t>”，指受供应商的法定代表人委托，办理本项目磋商、质疑投诉、合同签订等整个采购活动的被授权委托人。个体工商户参与磋商的，经营者等同于法定代表人。</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”：供应商必须响应的条款，未响应的作无效磋商响应处理。在本磋商文件中，实质性响应条款前标注“★”符号。</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供应商公章</w:t>
      </w:r>
      <w:r>
        <w:rPr>
          <w:rFonts w:hint="eastAsia" w:ascii="仿宋" w:eastAsia="仿宋"/>
          <w:color w:val="auto"/>
          <w:sz w:val="24"/>
          <w:highlight w:val="none"/>
        </w:rPr>
        <w:t>”指供应商法定名称章（或其CA电子签章）。</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磋商有效期</w:t>
      </w:r>
      <w:r>
        <w:rPr>
          <w:rFonts w:hint="eastAsia" w:ascii="仿宋" w:eastAsia="仿宋"/>
          <w:color w:val="auto"/>
          <w:sz w:val="24"/>
          <w:highlight w:val="none"/>
        </w:rPr>
        <w:t>”指磋商文件中规定的一个适当时间，磋商有效期内需完成磋商以及与成交供应商签订合同的事宜。</w:t>
      </w:r>
    </w:p>
    <w:p>
      <w:pPr>
        <w:snapToGrid w:val="0"/>
        <w:spacing w:line="440" w:lineRule="exact"/>
        <w:jc w:val="left"/>
        <w:rPr>
          <w:rFonts w:hint="eastAsia" w:ascii="仿宋" w:eastAsia="仿宋"/>
          <w:b/>
          <w:bCs/>
          <w:color w:val="auto"/>
          <w:sz w:val="24"/>
          <w:highlight w:val="none"/>
        </w:rPr>
      </w:pPr>
      <w:bookmarkStart w:id="37" w:name="_Toc81372964"/>
      <w:bookmarkStart w:id="38" w:name="_Toc80157775"/>
      <w:bookmarkStart w:id="39" w:name="_Toc81372787"/>
      <w:bookmarkStart w:id="40" w:name="_Toc84325981"/>
      <w:r>
        <w:rPr>
          <w:rFonts w:hint="eastAsia" w:ascii="仿宋" w:eastAsia="仿宋"/>
          <w:b/>
          <w:bCs/>
          <w:color w:val="auto"/>
          <w:sz w:val="24"/>
          <w:highlight w:val="none"/>
        </w:rPr>
        <w:t>3、政府采购政策性规定</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限额标准以上的产品应当提供本国生产的产品，否则作无效磋商处理。</w:t>
      </w:r>
      <w:r>
        <w:rPr>
          <w:rFonts w:hint="eastAsia" w:ascii="仿宋" w:eastAsia="仿宋"/>
          <w:color w:val="auto"/>
          <w:sz w:val="24"/>
          <w:highlight w:val="none"/>
        </w:rPr>
        <w:t>采购进口产品的，不得限制潜在国产的同类产品参与磋商。</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r>
        <w:rPr>
          <w:rFonts w:ascii="仿宋" w:eastAsia="仿宋"/>
          <w:b/>
          <w:bCs/>
          <w:color w:val="auto"/>
          <w:sz w:val="24"/>
          <w:highlight w:val="none"/>
        </w:rPr>
        <w:t>（专门面向中小企业采购的项目除外）</w:t>
      </w:r>
    </w:p>
    <w:p>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lang w:eastAsia="zh-CN"/>
        </w:rPr>
        <w:t>本项目依据</w:t>
      </w:r>
      <w:r>
        <w:rPr>
          <w:rFonts w:ascii="仿宋" w:eastAsia="仿宋" w:cs="仿宋_GB2312"/>
          <w:color w:val="auto"/>
          <w:sz w:val="24"/>
          <w:highlight w:val="none"/>
        </w:rPr>
        <w:t>《政府采购促进中小企业发展管理办法》（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highlight w:val="none"/>
          <w:shd w:val="clear" w:color="auto" w:fill="FFFFFF"/>
        </w:rPr>
        <w:t>〔202</w:t>
      </w:r>
      <w:r>
        <w:rPr>
          <w:rFonts w:ascii="楷体" w:eastAsia="楷体"/>
          <w:b w:val="0"/>
          <w:bCs w:val="0"/>
          <w:i w:val="0"/>
          <w:iCs w:val="0"/>
          <w:caps w:val="0"/>
          <w:smallCaps w:val="0"/>
          <w:color w:val="auto"/>
          <w:spacing w:val="0"/>
          <w:sz w:val="24"/>
          <w:szCs w:val="24"/>
          <w:highlight w:val="none"/>
          <w:shd w:val="clear" w:color="auto" w:fill="FFFFFF"/>
        </w:rPr>
        <w:t>2</w:t>
      </w:r>
      <w:r>
        <w:rPr>
          <w:rFonts w:hint="eastAsia" w:ascii="楷体" w:eastAsia="楷体"/>
          <w:b w:val="0"/>
          <w:bCs w:val="0"/>
          <w:i w:val="0"/>
          <w:iCs w:val="0"/>
          <w:caps w:val="0"/>
          <w:smallCaps w:val="0"/>
          <w:color w:val="auto"/>
          <w:spacing w:val="0"/>
          <w:sz w:val="24"/>
          <w:szCs w:val="24"/>
          <w:highlight w:val="none"/>
          <w:shd w:val="clear" w:color="auto" w:fill="FFFFFF"/>
        </w:rPr>
        <w:t>〕</w:t>
      </w:r>
      <w:r>
        <w:rPr>
          <w:rFonts w:ascii="楷体" w:eastAsia="楷体"/>
          <w:b w:val="0"/>
          <w:bCs w:val="0"/>
          <w:i w:val="0"/>
          <w:iCs w:val="0"/>
          <w:caps w:val="0"/>
          <w:smallCaps w:val="0"/>
          <w:color w:val="auto"/>
          <w:spacing w:val="0"/>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w:t>
      </w:r>
      <w:r>
        <w:rPr>
          <w:rFonts w:hint="eastAsia" w:ascii="仿宋" w:eastAsia="仿宋" w:cs="仿宋_GB2312"/>
          <w:color w:val="auto"/>
          <w:sz w:val="24"/>
          <w:highlight w:val="none"/>
          <w:lang w:eastAsia="zh-CN"/>
        </w:rPr>
        <w:t>，</w:t>
      </w:r>
      <w:r>
        <w:rPr>
          <w:rFonts w:hint="eastAsia" w:ascii="仿宋" w:eastAsia="仿宋" w:cs="仿宋_GB2312"/>
          <w:b w:val="0"/>
          <w:bCs w:val="0"/>
          <w:color w:val="auto"/>
          <w:sz w:val="24"/>
          <w:highlight w:val="none"/>
          <w:lang w:eastAsia="zh-CN"/>
        </w:rPr>
        <w:t>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的服务部分（不含货物部分，详见前附表）全部</w:t>
      </w:r>
      <w:r>
        <w:rPr>
          <w:rFonts w:hint="eastAsia" w:ascii="仿宋" w:eastAsia="仿宋" w:cs="仿宋_GB2312"/>
          <w:b w:val="0"/>
          <w:bCs w:val="0"/>
          <w:color w:val="auto"/>
          <w:sz w:val="24"/>
          <w:highlight w:val="none"/>
        </w:rPr>
        <w:t>为</w:t>
      </w:r>
      <w:r>
        <w:rPr>
          <w:rFonts w:hint="eastAsia" w:ascii="仿宋" w:eastAsia="仿宋" w:cs="仿宋_GB2312"/>
          <w:b w:val="0"/>
          <w:bCs w:val="0"/>
          <w:color w:val="auto"/>
          <w:sz w:val="24"/>
          <w:highlight w:val="none"/>
          <w:lang w:eastAsia="zh-CN"/>
        </w:rPr>
        <w:t>小微</w:t>
      </w:r>
      <w:r>
        <w:rPr>
          <w:rFonts w:hint="eastAsia" w:ascii="仿宋" w:eastAsia="仿宋" w:cs="仿宋_GB2312"/>
          <w:b w:val="0"/>
          <w:bCs w:val="0"/>
          <w:color w:val="auto"/>
          <w:sz w:val="24"/>
          <w:highlight w:val="none"/>
        </w:rPr>
        <w:t>企业</w:t>
      </w:r>
      <w:r>
        <w:rPr>
          <w:rFonts w:hint="eastAsia" w:ascii="仿宋" w:eastAsia="仿宋" w:cs="仿宋_GB2312"/>
          <w:b w:val="0"/>
          <w:bCs w:val="0"/>
          <w:color w:val="auto"/>
          <w:sz w:val="24"/>
          <w:highlight w:val="none"/>
          <w:lang w:eastAsia="zh-CN"/>
        </w:rPr>
        <w:t>承接的，</w:t>
      </w:r>
      <w:r>
        <w:rPr>
          <w:rFonts w:ascii="仿宋" w:eastAsia="仿宋" w:cs="仿宋_GB2312"/>
          <w:color w:val="auto"/>
          <w:sz w:val="24"/>
          <w:highlight w:val="none"/>
        </w:rPr>
        <w:t>对</w:t>
      </w:r>
      <w:r>
        <w:rPr>
          <w:rFonts w:hint="eastAsia" w:ascii="仿宋" w:eastAsia="仿宋" w:cs="仿宋_GB2312"/>
          <w:color w:val="auto"/>
          <w:sz w:val="24"/>
          <w:highlight w:val="none"/>
          <w:lang w:eastAsia="zh-CN"/>
        </w:rPr>
        <w:t>投标</w:t>
      </w:r>
      <w:r>
        <w:rPr>
          <w:rFonts w:hint="eastAsia" w:ascii="仿宋" w:eastAsia="仿宋" w:cs="仿宋_GB2312"/>
          <w:b w:val="0"/>
          <w:bCs w:val="0"/>
          <w:color w:val="auto"/>
          <w:sz w:val="24"/>
          <w:highlight w:val="none"/>
        </w:rPr>
        <w:t>报价给予</w:t>
      </w:r>
      <w:r>
        <w:rPr>
          <w:rFonts w:hint="eastAsia" w:ascii="仿宋" w:eastAsia="仿宋" w:cs="仿宋_GB2312"/>
          <w:b w:val="0"/>
          <w:bCs w:val="0"/>
          <w:color w:val="auto"/>
          <w:sz w:val="24"/>
          <w:highlight w:val="none"/>
          <w:lang w:val="en-US" w:eastAsia="zh-CN"/>
        </w:rPr>
        <w:t>1</w:t>
      </w:r>
      <w:r>
        <w:rPr>
          <w:rFonts w:ascii="仿宋" w:eastAsia="仿宋" w:cs="仿宋_GB2312"/>
          <w:b w:val="0"/>
          <w:bCs w:val="0"/>
          <w:color w:val="auto"/>
          <w:sz w:val="24"/>
          <w:highlight w:val="none"/>
        </w:rPr>
        <w:t>0</w:t>
      </w:r>
      <w:r>
        <w:rPr>
          <w:rFonts w:hint="eastAsia" w:ascii="仿宋" w:eastAsia="仿宋" w:cs="仿宋_GB2312"/>
          <w:b w:val="0"/>
          <w:bCs w:val="0"/>
          <w:color w:val="auto"/>
          <w:sz w:val="24"/>
          <w:highlight w:val="none"/>
        </w:rPr>
        <w:t>%</w:t>
      </w:r>
      <w:r>
        <w:rPr>
          <w:rFonts w:hint="eastAsia" w:ascii="仿宋" w:eastAsia="仿宋" w:cs="仿宋_GB2312"/>
          <w:color w:val="auto"/>
          <w:sz w:val="24"/>
          <w:highlight w:val="none"/>
        </w:rPr>
        <w:t>的扣除，用扣除后的价格参加评审。</w:t>
      </w:r>
    </w:p>
    <w:p>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lang w:eastAsia="zh-CN"/>
        </w:rPr>
        <w:t>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或分包方式参与政府采购活动的，</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w:t>
      </w:r>
      <w:r>
        <w:rPr>
          <w:rFonts w:hint="eastAsia" w:ascii="仿宋" w:eastAsia="仿宋" w:cs="仿宋_GB2312"/>
          <w:b w:val="0"/>
          <w:bCs w:val="0"/>
          <w:color w:val="auto"/>
          <w:sz w:val="24"/>
          <w:highlight w:val="none"/>
        </w:rPr>
        <w:t>中</w:t>
      </w:r>
      <w:r>
        <w:rPr>
          <w:rFonts w:hint="eastAsia" w:ascii="仿宋" w:eastAsia="仿宋" w:cs="仿宋_GB2312"/>
          <w:b w:val="0"/>
          <w:bCs w:val="0"/>
          <w:color w:val="auto"/>
          <w:sz w:val="24"/>
          <w:highlight w:val="none"/>
          <w:lang w:eastAsia="zh-CN"/>
        </w:rPr>
        <w:t>任意</w:t>
      </w:r>
      <w:r>
        <w:rPr>
          <w:rFonts w:hint="eastAsia" w:ascii="仿宋" w:eastAsia="仿宋" w:cs="仿宋_GB2312"/>
          <w:b w:val="0"/>
          <w:bCs w:val="0"/>
          <w:color w:val="auto"/>
          <w:sz w:val="24"/>
          <w:highlight w:val="none"/>
        </w:rPr>
        <w:t>一方</w:t>
      </w:r>
      <w:r>
        <w:rPr>
          <w:rFonts w:hint="eastAsia" w:ascii="仿宋" w:eastAsia="仿宋" w:cs="仿宋_GB2312"/>
          <w:b w:val="0"/>
          <w:bCs w:val="0"/>
          <w:color w:val="auto"/>
          <w:sz w:val="24"/>
          <w:highlight w:val="none"/>
          <w:lang w:eastAsia="zh-CN"/>
        </w:rPr>
        <w:t>（或多方）所</w:t>
      </w:r>
      <w:r>
        <w:rPr>
          <w:rFonts w:hint="eastAsia" w:ascii="仿宋" w:eastAsia="仿宋" w:cs="仿宋_GB2312"/>
          <w:b w:val="0"/>
          <w:bCs w:val="0"/>
          <w:color w:val="auto"/>
          <w:sz w:val="24"/>
          <w:highlight w:val="none"/>
        </w:rPr>
        <w:t>提供的全部</w:t>
      </w:r>
      <w:r>
        <w:rPr>
          <w:rFonts w:hint="eastAsia" w:ascii="仿宋" w:eastAsia="仿宋" w:cs="仿宋_GB2312"/>
          <w:b w:val="0"/>
          <w:bCs w:val="0"/>
          <w:color w:val="auto"/>
          <w:sz w:val="24"/>
          <w:highlight w:val="none"/>
          <w:lang w:eastAsia="zh-CN"/>
        </w:rPr>
        <w:t>服务</w:t>
      </w:r>
      <w:r>
        <w:rPr>
          <w:rFonts w:hint="eastAsia" w:ascii="仿宋" w:eastAsia="仿宋" w:cs="仿宋_GB2312"/>
          <w:b w:val="0"/>
          <w:bCs w:val="0"/>
          <w:color w:val="auto"/>
          <w:sz w:val="24"/>
          <w:highlight w:val="none"/>
        </w:rPr>
        <w:t>为小微企业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则这一方（或多方）视为小微企业，其在联合体协议或分包意向协议中约定的</w:t>
      </w:r>
      <w:r>
        <w:rPr>
          <w:rFonts w:hint="eastAsia" w:ascii="仿宋" w:eastAsia="仿宋" w:cs="仿宋_GB2312"/>
          <w:b w:val="0"/>
          <w:bCs w:val="0"/>
          <w:color w:val="auto"/>
          <w:sz w:val="24"/>
          <w:highlight w:val="none"/>
        </w:rPr>
        <w:t>合同份额占到合同总金额30%以上的，可按规定享受</w:t>
      </w:r>
      <w:r>
        <w:rPr>
          <w:rFonts w:hint="eastAsia" w:ascii="仿宋" w:eastAsia="仿宋" w:cs="仿宋_GB2312"/>
          <w:b w:val="0"/>
          <w:bCs w:val="0"/>
          <w:color w:val="auto"/>
          <w:sz w:val="24"/>
          <w:highlight w:val="none"/>
          <w:lang w:val="en-US" w:eastAsia="zh-CN"/>
        </w:rPr>
        <w:t>4</w:t>
      </w:r>
      <w:r>
        <w:rPr>
          <w:rFonts w:hint="eastAsia" w:ascii="仿宋" w:eastAsia="仿宋" w:cs="仿宋_GB2312"/>
          <w:b w:val="0"/>
          <w:bCs w:val="0"/>
          <w:color w:val="auto"/>
          <w:sz w:val="24"/>
          <w:highlight w:val="none"/>
        </w:rPr>
        <w:t>%的价格扣除。</w:t>
      </w:r>
    </w:p>
    <w:p>
      <w:pPr>
        <w:snapToGrid w:val="0"/>
        <w:spacing w:line="420" w:lineRule="exact"/>
        <w:ind w:firstLine="480" w:firstLineChars="200"/>
        <w:rPr>
          <w:rFonts w:hint="eastAsia" w:ascii="仿宋" w:eastAsia="仿宋" w:cs="仿宋_GB2312"/>
          <w:b w:val="0"/>
          <w:bCs w:val="0"/>
          <w:color w:val="auto"/>
          <w:sz w:val="24"/>
          <w:highlight w:val="none"/>
        </w:rPr>
      </w:pPr>
      <w:r>
        <w:rPr>
          <w:rFonts w:hint="eastAsia" w:ascii="仿宋" w:eastAsia="仿宋" w:cs="仿宋_GB2312"/>
          <w:color w:val="auto"/>
          <w:sz w:val="24"/>
          <w:highlight w:val="none"/>
          <w:lang w:eastAsia="zh-CN"/>
        </w:rPr>
        <w:t>供应商</w:t>
      </w:r>
      <w:r>
        <w:rPr>
          <w:rFonts w:hint="eastAsia" w:ascii="仿宋" w:eastAsia="仿宋" w:cs="仿宋_GB2312"/>
          <w:b w:val="0"/>
          <w:bCs w:val="0"/>
          <w:color w:val="auto"/>
          <w:sz w:val="24"/>
          <w:highlight w:val="none"/>
        </w:rPr>
        <w:t>应当在</w:t>
      </w:r>
      <w:r>
        <w:rPr>
          <w:rFonts w:hint="eastAsia" w:ascii="仿宋" w:eastAsia="仿宋" w:cs="仿宋_GB2312"/>
          <w:b w:val="0"/>
          <w:bCs w:val="0"/>
          <w:color w:val="auto"/>
          <w:sz w:val="24"/>
          <w:highlight w:val="none"/>
          <w:lang w:eastAsia="zh-CN"/>
        </w:rPr>
        <w:t>联合体协议或分包意向协议中约定各方承担的货物和服务内容以及各方的合同份额，并在</w:t>
      </w:r>
      <w:r>
        <w:rPr>
          <w:rFonts w:hint="eastAsia" w:ascii="仿宋" w:eastAsia="仿宋" w:cs="仿宋_GB2312"/>
          <w:b w:val="0"/>
          <w:bCs w:val="0"/>
          <w:color w:val="auto"/>
          <w:sz w:val="24"/>
          <w:highlight w:val="none"/>
        </w:rPr>
        <w:t>《中小企业声明函》</w:t>
      </w:r>
      <w:r>
        <w:rPr>
          <w:rFonts w:hint="eastAsia" w:ascii="仿宋" w:eastAsia="仿宋" w:cs="仿宋_GB2312"/>
          <w:b w:val="0"/>
          <w:bCs w:val="0"/>
          <w:color w:val="auto"/>
          <w:sz w:val="24"/>
          <w:highlight w:val="none"/>
          <w:lang w:eastAsia="zh-CN"/>
        </w:rPr>
        <w:t>中</w:t>
      </w:r>
      <w:r>
        <w:rPr>
          <w:rFonts w:hint="eastAsia" w:ascii="仿宋" w:eastAsia="仿宋" w:cs="仿宋_GB2312"/>
          <w:b w:val="0"/>
          <w:bCs w:val="0"/>
          <w:color w:val="auto"/>
          <w:sz w:val="24"/>
          <w:highlight w:val="none"/>
        </w:rPr>
        <w:t>填写</w:t>
      </w:r>
      <w:r>
        <w:rPr>
          <w:rFonts w:hint="eastAsia" w:ascii="仿宋" w:eastAsia="仿宋" w:cs="仿宋_GB2312"/>
          <w:b w:val="0"/>
          <w:bCs w:val="0"/>
          <w:color w:val="auto"/>
          <w:sz w:val="24"/>
          <w:highlight w:val="none"/>
          <w:lang w:eastAsia="zh-CN"/>
        </w:rPr>
        <w:t>服务承接商</w:t>
      </w:r>
      <w:r>
        <w:rPr>
          <w:rFonts w:hint="eastAsia" w:ascii="仿宋" w:eastAsia="仿宋" w:cs="仿宋_GB2312"/>
          <w:b w:val="0"/>
          <w:bCs w:val="0"/>
          <w:color w:val="auto"/>
          <w:sz w:val="24"/>
          <w:highlight w:val="none"/>
        </w:rPr>
        <w:t>的小微企业相关信息</w:t>
      </w:r>
      <w:r>
        <w:rPr>
          <w:rFonts w:hint="eastAsia" w:ascii="仿宋" w:eastAsia="仿宋" w:cs="仿宋_GB2312"/>
          <w:b w:val="0"/>
          <w:bCs w:val="0"/>
          <w:color w:val="auto"/>
          <w:sz w:val="24"/>
          <w:highlight w:val="none"/>
          <w:lang w:eastAsia="zh-CN"/>
        </w:rPr>
        <w:t>，否则不予享受价格扣除</w:t>
      </w:r>
      <w:r>
        <w:rPr>
          <w:rFonts w:hint="eastAsia" w:ascii="仿宋" w:eastAsia="仿宋" w:cs="仿宋_GB2312"/>
          <w:b w:val="0"/>
          <w:bCs w:val="0"/>
          <w:color w:val="auto"/>
          <w:sz w:val="24"/>
          <w:highlight w:val="none"/>
        </w:rPr>
        <w:t>。</w:t>
      </w:r>
    </w:p>
    <w:p>
      <w:pPr>
        <w:snapToGrid w:val="0"/>
        <w:spacing w:line="420" w:lineRule="exact"/>
        <w:ind w:left="0" w:firstLine="480" w:firstLineChars="200"/>
        <w:rPr>
          <w:rFonts w:hint="eastAsia"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pPr>
        <w:snapToGrid w:val="0"/>
        <w:spacing w:line="440" w:lineRule="exact"/>
        <w:ind w:firstLine="480" w:firstLineChars="200"/>
        <w:jc w:val="left"/>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b w:val="0"/>
          <w:bCs w:val="0"/>
          <w:color w:val="auto"/>
          <w:sz w:val="24"/>
          <w:highlight w:val="none"/>
        </w:rPr>
        <w:t>供应商</w:t>
      </w:r>
      <w:r>
        <w:rPr>
          <w:rFonts w:hint="eastAsia" w:ascii="仿宋" w:eastAsia="仿宋" w:cs="仿宋_GB2312"/>
          <w:b w:val="0"/>
          <w:bCs w:val="0"/>
          <w:color w:val="auto"/>
          <w:sz w:val="24"/>
          <w:highlight w:val="none"/>
        </w:rPr>
        <w:t>提供由省级以上监狱管理局、戒毒管理局（含新疆生产建设兵团）出具的属于监狱企业的证明文件（格式自拟），视同为小型和微型企业。</w:t>
      </w:r>
    </w:p>
    <w:p>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3.3节能环保政策（服务项目除外）</w:t>
      </w:r>
    </w:p>
    <w:p>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rPr>
        <w:t>磋商响应产品若属于节能（环境标志）产品的，请提供参与实施政府采购节能（环境标志）产品认证机构出具的认证证书或证书发布平台的磋商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磋商处理。</w:t>
      </w:r>
    </w:p>
    <w:p>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4.磋商文件的澄清与修改</w:t>
      </w:r>
    </w:p>
    <w:p>
      <w:pPr>
        <w:pStyle w:val="6"/>
        <w:widowControl w:val="0"/>
        <w:tabs>
          <w:tab w:val="left" w:pos="454"/>
          <w:tab w:val="clear" w:pos="360"/>
        </w:tabs>
        <w:spacing w:after="0" w:line="440" w:lineRule="exact"/>
        <w:ind w:left="0" w:firstLine="0"/>
        <w:rPr>
          <w:rFonts w:hint="eastAsia" w:ascii="仿宋" w:eastAsia="仿宋"/>
          <w:color w:val="auto"/>
          <w:sz w:val="24"/>
          <w:highlight w:val="none"/>
        </w:rPr>
      </w:pPr>
      <w:r>
        <w:rPr>
          <w:rFonts w:hint="eastAsia" w:ascii="仿宋" w:eastAsia="仿宋"/>
          <w:color w:val="auto"/>
          <w:sz w:val="24"/>
          <w:highlight w:val="none"/>
        </w:rPr>
        <w:t>4.1采购人如对磋商文件进行澄清、补充、变更的，或者在磋商截止时间前规定时间内，采购人需要对磋商文件进行补充或修改的，采购人将会通过浙江省政府采购网（</w:t>
      </w:r>
      <w:r>
        <w:rPr>
          <w:rFonts w:hint="eastAsia" w:ascii="仿宋" w:eastAsia="仿宋" w:cs="Arial"/>
          <w:color w:val="auto"/>
          <w:sz w:val="24"/>
          <w:highlight w:val="none"/>
        </w:rPr>
        <w:t>http://zfcg.czt.zj.gov.cn/</w:t>
      </w:r>
      <w:r>
        <w:rPr>
          <w:rFonts w:hint="eastAsia" w:ascii="仿宋" w:eastAsia="仿宋"/>
          <w:color w:val="auto"/>
          <w:sz w:val="24"/>
          <w:highlight w:val="none"/>
        </w:rPr>
        <w:t>）和绍兴市越城区人民政府网站公共资源交易采购公告版块（http://www.sxyc.gov.cn）以更正公告的形式发布，公告中没有注明更改磋商截止时间的视为截止时间不变。更正公告作为磋商文件的补充和组成部分，对所有供应商均有约束力。供应商也可以登录政采云平台下载。</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4.2为使供应商有足够的时间按更正公告要求修改磋商响应文件，采购人可酌情推迟磋商截止时间和磋商时间，并将此变更以更正公告的形式通过上述途径通知供应商。</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磋商文件如涉及各类品牌、型号，则所述品牌、型号是结合实际现有情况的推荐性参考方案，供应商也可根据磋商文件的要求推荐性能相当或高于、服务条款相等或高于、符合采购人实际业务需求其他同档次优质品牌的产品，进行方案优化，但需详细说明并提供相关证明材料。</w:t>
      </w:r>
    </w:p>
    <w:p>
      <w:pPr>
        <w:pStyle w:val="3"/>
        <w:spacing w:line="415" w:lineRule="auto"/>
        <w:jc w:val="center"/>
        <w:rPr>
          <w:rFonts w:hint="eastAsia" w:ascii="仿宋"/>
          <w:color w:val="auto"/>
          <w:highlight w:val="none"/>
        </w:rPr>
      </w:pPr>
      <w:bookmarkStart w:id="41" w:name="_Toc643610529"/>
      <w:bookmarkStart w:id="42" w:name="_Toc15092"/>
      <w:r>
        <w:rPr>
          <w:rFonts w:hint="eastAsia" w:ascii="仿宋"/>
          <w:color w:val="auto"/>
          <w:highlight w:val="none"/>
        </w:rPr>
        <w:t>三、磋商响应文件</w:t>
      </w:r>
      <w:bookmarkEnd w:id="41"/>
      <w:bookmarkEnd w:id="42"/>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磋商响应文件的语言及货币单位</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1.1磋商响应文件以及有关磋商事宜的所有来往函电均应以中文书写，专业术语和外文证明材料除外。</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1.2磋商响应文件以人民币元报价或以下浮率（优惠率）报价，具体详见《磋商一览表》。</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磋商响应文件的组成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本项目磋商响应文件由“资格文件”、“商务和技术文件”、“报价文件”三部分组成：</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2.1.1磋商声明函；</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法定代表人授权委托书（个体工商户需经营者参与磋商，不得授权）</w:t>
      </w:r>
      <w:r>
        <w:rPr>
          <w:rFonts w:hint="eastAsia" w:ascii="仿宋" w:eastAsia="仿宋" w:cs="Arial"/>
          <w:bCs/>
          <w:color w:val="auto"/>
          <w:sz w:val="24"/>
          <w:highlight w:val="none"/>
          <w:lang w:bidi="ar-SA"/>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 xml:space="preserve"> 资格条件证明材料：</w:t>
      </w:r>
    </w:p>
    <w:p>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磋商</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5</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6</w:t>
      </w:r>
      <w:r>
        <w:rPr>
          <w:rFonts w:hint="eastAsia" w:ascii="仿宋" w:eastAsia="仿宋"/>
          <w:b/>
          <w:bCs/>
          <w:color w:val="auto"/>
          <w:sz w:val="32"/>
          <w:szCs w:val="32"/>
          <w:highlight w:val="none"/>
          <w:u w:val="single"/>
        </w:rPr>
        <w:t>均为原件扫描件或彩色图片，</w:t>
      </w:r>
      <w:r>
        <w:rPr>
          <w:rFonts w:ascii="仿宋" w:eastAsia="仿宋"/>
          <w:b/>
          <w:bCs/>
          <w:color w:val="auto"/>
          <w:sz w:val="32"/>
          <w:szCs w:val="32"/>
          <w:highlight w:val="none"/>
          <w:u w:val="single"/>
        </w:rPr>
        <w:t>未按磋商文件要求签字、盖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供应商在技术响应表中，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供应商在技术响应表中注明无偏离或正偏离，评标结束后、签订采购合同前又认为其实际产品与磋商技术需求不一致的，视为供应商在磋商有效期内对其磋商响应文件进行了实质性修改，其磋商将被追认为无效，采购机构将把这一情况报送采购监管部门。</w:t>
      </w:r>
      <w:r>
        <w:rPr>
          <w:rFonts w:hint="eastAsia" w:ascii="仿宋" w:eastAsia="仿宋"/>
          <w:color w:val="auto"/>
          <w:sz w:val="24"/>
          <w:highlight w:val="none"/>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2.2.3商务响应表（需对磋商文件中付款方式、供货期限等商务要求进行逐一答复、说明和解释，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pPr>
        <w:pStyle w:val="53"/>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pStyle w:val="53"/>
        <w:spacing w:line="360" w:lineRule="auto"/>
        <w:ind w:firstLine="0" w:firstLineChars="0"/>
        <w:jc w:val="left"/>
        <w:rPr>
          <w:rFonts w:ascii="仿宋" w:eastAsia="仿宋"/>
          <w:color w:val="auto"/>
          <w:sz w:val="24"/>
          <w:szCs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pPr>
        <w:pStyle w:val="53"/>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其他供应商认为需要提供的材料，如供应商简介等，格式自拟。</w:t>
      </w:r>
    </w:p>
    <w:p>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注：“商务和技术文件”可在磋商文件格式的基础上</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，以使内容更加完备。供应商自有的各类证书、业绩等证明材料均为原件扫描件或彩色图片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.1磋商一览表；</w:t>
      </w:r>
    </w:p>
    <w:p>
      <w:pPr>
        <w:snapToGrid w:val="0"/>
        <w:spacing w:line="440" w:lineRule="exact"/>
        <w:jc w:val="left"/>
        <w:rPr>
          <w:rFonts w:hint="eastAsia" w:ascii="仿宋" w:eastAsia="仿宋"/>
          <w:color w:val="auto"/>
          <w:sz w:val="24"/>
          <w:highlight w:val="none"/>
        </w:rPr>
      </w:pPr>
      <w:r>
        <w:rPr>
          <w:rFonts w:ascii="仿宋" w:eastAsia="仿宋"/>
          <w:color w:val="auto"/>
          <w:sz w:val="24"/>
          <w:highlight w:val="none"/>
        </w:rPr>
        <w:t>2.</w:t>
      </w:r>
      <w:r>
        <w:rPr>
          <w:rFonts w:hint="eastAsia" w:ascii="仿宋" w:eastAsia="仿宋"/>
          <w:color w:val="auto"/>
          <w:sz w:val="24"/>
          <w:highlight w:val="none"/>
          <w:lang w:val="en-US" w:eastAsia="zh-CN"/>
        </w:rPr>
        <w:t>3.2</w:t>
      </w:r>
      <w:r>
        <w:rPr>
          <w:rFonts w:hint="eastAsia" w:ascii="仿宋" w:eastAsia="仿宋"/>
          <w:color w:val="auto"/>
          <w:sz w:val="24"/>
          <w:highlight w:val="none"/>
        </w:rPr>
        <w:t>中小企业声明函（如有）；</w:t>
      </w:r>
    </w:p>
    <w:p>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3.3</w:t>
      </w:r>
      <w:r>
        <w:rPr>
          <w:rFonts w:hint="eastAsia" w:ascii="仿宋" w:eastAsia="仿宋"/>
          <w:color w:val="auto"/>
          <w:sz w:val="24"/>
          <w:highlight w:val="none"/>
        </w:rPr>
        <w:t>残疾人福利性单位声明函（如有）；</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eastAsia="zh-CN"/>
        </w:rPr>
        <w:t>磋商一览表</w:t>
      </w:r>
      <w:r>
        <w:rPr>
          <w:rFonts w:hint="eastAsia" w:ascii="仿宋" w:eastAsia="仿宋"/>
          <w:b/>
          <w:bCs/>
          <w:color w:val="auto"/>
          <w:sz w:val="32"/>
          <w:szCs w:val="32"/>
          <w:highlight w:val="none"/>
          <w:u w:val="single"/>
        </w:rPr>
        <w:t>”需按</w:t>
      </w:r>
      <w:r>
        <w:rPr>
          <w:rFonts w:ascii="仿宋" w:eastAsia="仿宋"/>
          <w:b/>
          <w:bCs/>
          <w:color w:val="auto"/>
          <w:sz w:val="32"/>
          <w:szCs w:val="32"/>
          <w:highlight w:val="none"/>
          <w:u w:val="single"/>
        </w:rPr>
        <w:t>磋商</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未按磋商文件要求签字、盖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作无效磋商处理</w:t>
      </w:r>
      <w:r>
        <w:rPr>
          <w:rFonts w:ascii="仿宋" w:eastAsia="仿宋"/>
          <w:b/>
          <w:bCs/>
          <w:color w:val="auto"/>
          <w:sz w:val="32"/>
          <w:szCs w:val="32"/>
          <w:highlight w:val="none"/>
          <w:u w:val="singl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磋商响应文件的制作要求</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3.1电子磋商响应文件，按“供应商-政府采购项目电子交易操作指南”（https://help.zcygov.cn/web/site_2/2018/12-28/2573.html?utm=a0017.1b5152f3.cl12.1.6a74a560d9dd11e9943b71555d71591e）及本磋商文件要求制作、加密并上传，</w:t>
      </w:r>
      <w:r>
        <w:rPr>
          <w:rFonts w:hint="eastAsia" w:ascii="仿宋" w:eastAsia="仿宋"/>
          <w:b/>
          <w:bCs/>
          <w:color w:val="auto"/>
          <w:spacing w:val="-4"/>
          <w:sz w:val="24"/>
          <w:highlight w:val="none"/>
        </w:rPr>
        <w:t>未按“政采云”平台电子磋商工具（政府采购电子交易客户端）制作将无法上传和解密</w:t>
      </w:r>
      <w:r>
        <w:rPr>
          <w:rFonts w:hint="eastAsia" w:ascii="仿宋" w:eastAsia="仿宋"/>
          <w:b/>
          <w:color w:val="auto"/>
          <w:sz w:val="24"/>
          <w:highlight w:val="none"/>
        </w:rPr>
        <w:t>。</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3.2磋商响应文件须为PDF格式文档。</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3.3磋商响应文件需做好“标书关联”（即设置关联点），未设置关联点而导致失分或作无效磋商处理的风险由供应商承担。</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3.4供应商需在上传加密电子磋商响应文件的同时，准备备份加密电子磋商响应文件，以便在上传的加密电子磋商响应文件解密失败后启用备份加密磋商响应文件。备份加密电子磋商</w:t>
      </w:r>
      <w:r>
        <w:rPr>
          <w:rFonts w:ascii="仿宋" w:eastAsia="仿宋"/>
          <w:b/>
          <w:bCs/>
          <w:color w:val="auto"/>
          <w:spacing w:val="-4"/>
          <w:sz w:val="24"/>
          <w:highlight w:val="none"/>
        </w:rPr>
        <w:t>响应</w:t>
      </w:r>
      <w:r>
        <w:rPr>
          <w:rFonts w:hint="eastAsia" w:ascii="仿宋" w:eastAsia="仿宋"/>
          <w:b/>
          <w:bCs/>
          <w:color w:val="auto"/>
          <w:spacing w:val="-4"/>
          <w:sz w:val="24"/>
          <w:highlight w:val="none"/>
        </w:rPr>
        <w:t>文件在解密失败后发送采购代理机构，由采购代理机构上传。</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3.5个体工商户参与磋商的，法定代表人或授权代表签字（盖章）处由个体工商户经营者签署（盖章）。</w:t>
      </w:r>
    </w:p>
    <w:p>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友情提醒：在生成加密电子磋商响应文件过程中，花费时间较长，预计需要10-20分钟时间，请供应商耐心等待，不要关闭电子交易客户端。</w:t>
      </w:r>
    </w:p>
    <w:p>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磋商响应文件的补充和修改</w:t>
      </w:r>
    </w:p>
    <w:p>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磋商截止时间前，供应商可以通过替换加密电子磋商响应文件的形式以对磋商响应文件进行补充和修改，补充和修改将以磋商截止时间后的最终加密电子磋商响应文件为准，</w:t>
      </w:r>
      <w:r>
        <w:rPr>
          <w:rFonts w:hint="eastAsia" w:ascii="仿宋" w:eastAsia="仿宋"/>
          <w:color w:val="auto"/>
          <w:kern w:val="0"/>
          <w:sz w:val="24"/>
          <w:highlight w:val="none"/>
        </w:rPr>
        <w:t>磋商截止时间前未完成上传的，视为磋商响应文件撤回。不接受其他途径的补充和修改。</w:t>
      </w:r>
    </w:p>
    <w:p>
      <w:pPr>
        <w:pStyle w:val="6"/>
        <w:tabs>
          <w:tab w:val="left" w:pos="454"/>
          <w:tab w:val="clear" w:pos="360"/>
        </w:tabs>
        <w:spacing w:after="0" w:line="440" w:lineRule="atLeast"/>
        <w:rPr>
          <w:rFonts w:hint="eastAsia" w:ascii="仿宋" w:eastAsia="仿宋"/>
          <w:b/>
          <w:color w:val="auto"/>
          <w:kern w:val="0"/>
          <w:sz w:val="24"/>
          <w:highlight w:val="none"/>
        </w:rPr>
      </w:pPr>
      <w:r>
        <w:rPr>
          <w:rFonts w:hint="eastAsia" w:ascii="仿宋" w:eastAsia="仿宋"/>
          <w:b/>
          <w:color w:val="auto"/>
          <w:kern w:val="0"/>
          <w:sz w:val="24"/>
          <w:highlight w:val="none"/>
        </w:rPr>
        <w:t>5.磋商响应文件的有效期</w:t>
      </w:r>
    </w:p>
    <w:p>
      <w:pPr>
        <w:pStyle w:val="6"/>
        <w:tabs>
          <w:tab w:val="left" w:pos="454"/>
          <w:tab w:val="clear" w:pos="360"/>
        </w:tabs>
        <w:spacing w:after="0" w:line="440" w:lineRule="atLeast"/>
        <w:rPr>
          <w:rFonts w:hint="eastAsia" w:ascii="仿宋" w:eastAsia="仿宋"/>
          <w:color w:val="auto"/>
          <w:kern w:val="0"/>
          <w:sz w:val="24"/>
          <w:highlight w:val="none"/>
        </w:rPr>
      </w:pPr>
      <w:r>
        <w:rPr>
          <w:rFonts w:hint="eastAsia" w:ascii="仿宋" w:eastAsia="仿宋"/>
          <w:color w:val="auto"/>
          <w:kern w:val="0"/>
          <w:sz w:val="24"/>
          <w:highlight w:val="none"/>
        </w:rPr>
        <w:t>5.1磋商响应文件有效期详见前附表。磋商有效期内，供应商不得撤销或更换磋商响应文件。</w:t>
      </w:r>
    </w:p>
    <w:p>
      <w:pPr>
        <w:pStyle w:val="6"/>
        <w:tabs>
          <w:tab w:val="left" w:pos="454"/>
          <w:tab w:val="clear" w:pos="360"/>
        </w:tabs>
        <w:spacing w:after="0" w:line="440" w:lineRule="atLeast"/>
        <w:rPr>
          <w:rFonts w:hint="eastAsia" w:ascii="仿宋" w:eastAsia="仿宋"/>
          <w:color w:val="auto"/>
          <w:kern w:val="0"/>
          <w:sz w:val="24"/>
          <w:highlight w:val="none"/>
        </w:rPr>
      </w:pPr>
      <w:r>
        <w:rPr>
          <w:rFonts w:hint="eastAsia" w:ascii="仿宋" w:eastAsia="仿宋"/>
          <w:color w:val="auto"/>
          <w:kern w:val="0"/>
          <w:sz w:val="24"/>
          <w:highlight w:val="none"/>
        </w:rPr>
        <w:t>5.2磋商有效期内未完成开评标及与成交供应商签订合同的，采购人需与供应商书面协商延长磋商响应文件的有效期。</w:t>
      </w:r>
    </w:p>
    <w:p>
      <w:pPr>
        <w:pStyle w:val="6"/>
        <w:tabs>
          <w:tab w:val="left" w:pos="454"/>
          <w:tab w:val="clear" w:pos="360"/>
        </w:tabs>
        <w:spacing w:after="0" w:line="440" w:lineRule="atLeast"/>
        <w:rPr>
          <w:rFonts w:hint="eastAsia" w:ascii="仿宋" w:eastAsia="仿宋"/>
          <w:color w:val="auto"/>
          <w:kern w:val="0"/>
          <w:sz w:val="24"/>
          <w:highlight w:val="none"/>
        </w:rPr>
      </w:pPr>
      <w:r>
        <w:rPr>
          <w:rFonts w:hint="eastAsia" w:ascii="仿宋" w:eastAsia="仿宋"/>
          <w:color w:val="auto"/>
          <w:kern w:val="0"/>
          <w:sz w:val="24"/>
          <w:highlight w:val="none"/>
        </w:rPr>
        <w:t>5.3供应商可拒绝接受延期要求。同意延长有效期的供应商不能修改磋商响应文件。</w:t>
      </w:r>
    </w:p>
    <w:p>
      <w:pPr>
        <w:pStyle w:val="6"/>
        <w:tabs>
          <w:tab w:val="left" w:pos="454"/>
          <w:tab w:val="clear" w:pos="360"/>
        </w:tabs>
        <w:spacing w:after="0" w:line="440" w:lineRule="atLeast"/>
        <w:rPr>
          <w:rFonts w:hint="eastAsia" w:ascii="仿宋" w:eastAsia="仿宋"/>
          <w:color w:val="auto"/>
          <w:kern w:val="0"/>
          <w:sz w:val="24"/>
          <w:highlight w:val="none"/>
        </w:rPr>
      </w:pPr>
      <w:r>
        <w:rPr>
          <w:rFonts w:hint="eastAsia" w:ascii="仿宋" w:eastAsia="仿宋"/>
          <w:color w:val="auto"/>
          <w:kern w:val="0"/>
          <w:sz w:val="24"/>
          <w:highlight w:val="none"/>
        </w:rPr>
        <w:t>5.4磋商响应文件不予退还。</w:t>
      </w:r>
    </w:p>
    <w:p>
      <w:pPr>
        <w:pStyle w:val="6"/>
        <w:tabs>
          <w:tab w:val="left" w:pos="454"/>
        </w:tabs>
        <w:spacing w:line="440" w:lineRule="atLeast"/>
        <w:rPr>
          <w:rFonts w:hint="eastAsia" w:ascii="仿宋" w:eastAsia="仿宋"/>
          <w:b/>
          <w:bCs/>
          <w:color w:val="auto"/>
          <w:kern w:val="0"/>
          <w:sz w:val="24"/>
          <w:highlight w:val="none"/>
        </w:rPr>
      </w:pPr>
      <w:r>
        <w:rPr>
          <w:rFonts w:hint="eastAsia" w:ascii="仿宋" w:eastAsia="仿宋"/>
          <w:b/>
          <w:bCs/>
          <w:color w:val="auto"/>
          <w:kern w:val="0"/>
          <w:sz w:val="24"/>
          <w:highlight w:val="none"/>
        </w:rPr>
        <w:t>6.磋商响应文件的保密</w:t>
      </w:r>
    </w:p>
    <w:p>
      <w:pPr>
        <w:ind w:left="0"/>
        <w:jc w:val="left"/>
        <w:rPr>
          <w:rFonts w:hint="eastAsia" w:ascii="仿宋" w:eastAsia="仿宋"/>
          <w:color w:val="auto"/>
          <w:kern w:val="0"/>
          <w:sz w:val="24"/>
          <w:highlight w:val="none"/>
        </w:rPr>
      </w:pPr>
      <w:r>
        <w:rPr>
          <w:rFonts w:hint="eastAsia" w:ascii="仿宋" w:eastAsia="仿宋"/>
          <w:color w:val="auto"/>
          <w:kern w:val="0"/>
          <w:sz w:val="24"/>
          <w:highlight w:val="none"/>
        </w:rPr>
        <w:t>6.1备份电子磋商响应文件在解密前处于保密状态。</w:t>
      </w:r>
    </w:p>
    <w:p>
      <w:pPr>
        <w:ind w:left="0"/>
        <w:jc w:val="left"/>
        <w:rPr>
          <w:rFonts w:hint="eastAsia" w:ascii="仿宋" w:eastAsia="仿宋"/>
          <w:color w:val="auto"/>
          <w:kern w:val="0"/>
          <w:sz w:val="24"/>
          <w:highlight w:val="none"/>
        </w:rPr>
      </w:pPr>
      <w:r>
        <w:rPr>
          <w:rFonts w:hint="eastAsia" w:ascii="仿宋" w:eastAsia="仿宋"/>
          <w:color w:val="auto"/>
          <w:kern w:val="0"/>
          <w:sz w:val="24"/>
          <w:highlight w:val="none"/>
        </w:rPr>
        <w:t>6.2解密成功后，“资格文件”、“商务和技术文件”、“报价文件”各自处于数据隔离状态，各部分信息只有在相关环节评审时可见，不受解密影响。</w:t>
      </w:r>
    </w:p>
    <w:p>
      <w:pPr>
        <w:pStyle w:val="3"/>
        <w:spacing w:line="415" w:lineRule="auto"/>
        <w:jc w:val="center"/>
        <w:rPr>
          <w:rFonts w:hint="eastAsia" w:ascii="仿宋"/>
          <w:color w:val="auto"/>
          <w:highlight w:val="none"/>
        </w:rPr>
      </w:pPr>
      <w:bookmarkStart w:id="43" w:name="_Toc643610530"/>
      <w:bookmarkStart w:id="44" w:name="_Toc23137"/>
      <w:r>
        <w:rPr>
          <w:rFonts w:hint="eastAsia" w:ascii="仿宋"/>
          <w:color w:val="auto"/>
          <w:highlight w:val="none"/>
        </w:rPr>
        <w:t>四、</w:t>
      </w:r>
      <w:bookmarkEnd w:id="43"/>
      <w:r>
        <w:rPr>
          <w:rFonts w:hint="eastAsia" w:ascii="仿宋"/>
          <w:color w:val="auto"/>
          <w:highlight w:val="none"/>
        </w:rPr>
        <w:t>磋商和评审</w:t>
      </w:r>
      <w:bookmarkEnd w:id="44"/>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1．磋商出席</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供应商法定代表人或其授权代表或个体工商户经营者需准时通过“政采云平台”在线参加磋商，否则将导致磋商响应文件无法按时解密、无法在线询标等。</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1.2供应商自主选择是否出席现场磋商，但除电子交易技术指导外，现场不接受任何与磋商有关的资料。</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2．磋商程序</w:t>
      </w:r>
    </w:p>
    <w:p>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磋商由采购代理机构主持：</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2.1主持人宣布磋商开始，介绍到会单位和人员。</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2.2采购人依法组建磋商小组，对磋商响应文件进行评估和比较。</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2.3宣读完成加密电子磋商响应文件上传的供应商名单。</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2.4组织各供应商法定代表人或其授权代表或个体工商户经营者签署《政府采购活动现场确认声明书》（视情）。</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2.5采购代理机构通过政采云平台和上传电子磋商响应文件时登记的手机号发出解密指令，供应商对加密电子磋商响应文件进行在线解密。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w:t>
      </w:r>
      <w:r>
        <w:rPr>
          <w:rFonts w:hint="eastAsia" w:ascii="仿宋" w:eastAsia="仿宋"/>
          <w:color w:val="auto"/>
          <w:sz w:val="24"/>
          <w:highlight w:val="none"/>
          <w:lang w:eastAsia="zh-CN"/>
        </w:rPr>
        <w:t>磋商响应</w:t>
      </w:r>
      <w:r>
        <w:rPr>
          <w:rFonts w:hint="eastAsia" w:ascii="仿宋" w:eastAsia="仿宋"/>
          <w:color w:val="auto"/>
          <w:sz w:val="24"/>
          <w:highlight w:val="none"/>
        </w:rPr>
        <w:t>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解密成功的，备份加密电子磋商响应文件自动失效。若在规定时间内无法解密或解密失败，上传备份电子加密磋商响应文件并解密。</w:t>
      </w:r>
    </w:p>
    <w:p>
      <w:pPr>
        <w:snapToGrid w:val="0"/>
        <w:spacing w:line="480" w:lineRule="exact"/>
        <w:jc w:val="left"/>
        <w:rPr>
          <w:rFonts w:ascii="仿宋" w:eastAsia="仿宋"/>
          <w:b/>
          <w:bCs/>
          <w:color w:val="auto"/>
          <w:spacing w:val="-4"/>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制作电子磋商响应文件和解密磋商响应文件的需为同一把CA。解密时间截止后仍未解密成功的，视为撤回磋商响应文件，放弃磋商。</w:t>
      </w:r>
    </w:p>
    <w:p>
      <w:pPr>
        <w:snapToGrid w:val="0"/>
        <w:spacing w:line="480" w:lineRule="exact"/>
        <w:jc w:val="left"/>
        <w:rPr>
          <w:rFonts w:hint="eastAsia" w:ascii="仿宋" w:eastAsia="仿宋"/>
          <w:b/>
          <w:bCs/>
          <w:color w:val="auto"/>
          <w:sz w:val="24"/>
          <w:highlight w:val="none"/>
          <w:u w:val="single"/>
        </w:rPr>
      </w:pPr>
      <w:r>
        <w:rPr>
          <w:rFonts w:ascii="仿宋" w:eastAsia="仿宋"/>
          <w:color w:val="auto"/>
          <w:sz w:val="24"/>
          <w:highlight w:val="none"/>
        </w:rPr>
        <w:t>2.6采购机构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w:t>
      </w:r>
      <w:r>
        <w:rPr>
          <w:rFonts w:hint="eastAsia" w:ascii="仿宋" w:eastAsia="仿宋"/>
          <w:color w:val="auto"/>
          <w:sz w:val="24"/>
          <w:highlight w:val="none"/>
        </w:rPr>
        <w:t>磋商小组对“商务和技术文件”进行评审，发布评审结果。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color w:val="auto"/>
          <w:sz w:val="24"/>
          <w:highlight w:val="none"/>
        </w:rPr>
        <w:t>磋商小组与单一供应商分别进行线上磋商。（磋商时供应商的技术资料、价格和其他信息在评审、磋商过程中保密）</w:t>
      </w:r>
      <w:r>
        <w:rPr>
          <w:rFonts w:hint="eastAsia" w:ascii="仿宋" w:eastAsia="仿宋"/>
          <w:color w:val="auto"/>
          <w:sz w:val="24"/>
          <w:highlight w:val="none"/>
        </w:rPr>
        <w:t>。磋商内容包括采购需求中的技术、服务要求以及合同草案条款，但不得变动磋商文件中的其他内容。</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2.8磋商小组要求所有实质性响应的供应商在规定时间内提交最后报价（第一次报价不公开）</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color w:val="auto"/>
          <w:sz w:val="24"/>
          <w:highlight w:val="none"/>
        </w:rPr>
        <w:t>磋商小组对报价文件进行评审，计算价格分。</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2.10</w:t>
      </w:r>
      <w:r>
        <w:rPr>
          <w:rFonts w:hint="eastAsia" w:ascii="仿宋" w:eastAsia="仿宋"/>
          <w:color w:val="auto"/>
          <w:sz w:val="24"/>
          <w:highlight w:val="none"/>
        </w:rPr>
        <w:t>汇总技术商务分、价格分，根据总得分排序确定成交候选人，</w:t>
      </w:r>
      <w:r>
        <w:rPr>
          <w:rFonts w:hint="eastAsia" w:ascii="仿宋" w:eastAsia="仿宋"/>
          <w:color w:val="auto"/>
          <w:sz w:val="24"/>
          <w:highlight w:val="none"/>
        </w:rPr>
        <w:t>公布评审结果。</w:t>
      </w:r>
    </w:p>
    <w:p>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3.磋商小组的组成</w:t>
      </w:r>
    </w:p>
    <w:p>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磋商小组由采购单位依法组建，负责磋商及协助处理质疑投诉。</w:t>
      </w:r>
      <w:r>
        <w:rPr>
          <w:rFonts w:hint="eastAsia" w:ascii="仿宋" w:eastAsia="仿宋"/>
          <w:color w:val="auto"/>
          <w:sz w:val="24"/>
          <w:highlight w:val="none"/>
        </w:rPr>
        <w:t>参与本项目进口论证的专家不得作为采购评审专家参与同一项目的磋商工作。</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3.2磋商小组由采购人代表和有关方面的专家组成，成员人数为三人及以上单数；预算金额达到公开招标限额的，成员人数为五人及以上单数。</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3.3采购人代表不担任磋商组长。</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3.4经采购监督部门同意，由于专家库无相应专业专家或技术复杂等原因允许采购人自行组建或推荐抽取磋商小组中的评审专家，相关操作规则需符合法律规定。</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依据法律、法规和磋商文件规定，对磋商响应文件中“资格文件”等进行审查，以确定供应商是否具备磋商资格。</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评定每份磋商响应文件是否在实质上响应了磋商文件要求，审查范围包括实质性响应条款、磋商文件规定的无效磋商条款、违反法律法规的行为以及磋商小组认为的对磋商文件构成重大偏差的内容。</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4.1.5报价评分：根据评审价格和价格分计算公式计算各供应商价格分。</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4.2磋商小组不负责解释供应商的得分高低和失分情况。</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4.3磋商小组不得依据磋商响应文件（包括样品、演示）以外的资料评分。</w:t>
      </w:r>
    </w:p>
    <w:p>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磋商响应文件中含义不明确、同类问题表述不一致或者有明显文字和计算错误的内容，磋商小组将在政采云平台中要求供应商作出必要的澄清、说明或者补正。供应商的澄清、说明或者补正应当在政采云平台中完成。供应商的澄清、说明或者补正不得超出磋商响应文件的范围或者改变磋商响应文件的实质性内容。</w:t>
      </w:r>
      <w:r>
        <w:rPr>
          <w:rFonts w:hint="eastAsia" w:ascii="仿宋" w:eastAsia="仿宋"/>
          <w:b/>
          <w:bCs/>
          <w:color w:val="auto"/>
          <w:sz w:val="24"/>
          <w:highlight w:val="none"/>
        </w:rPr>
        <w:t>不接受供应商提出的主动澄清。</w:t>
      </w:r>
    </w:p>
    <w:p>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4.5磋商小组不向落标方解释落标的原因，不退还磋商响应文件。</w:t>
      </w:r>
    </w:p>
    <w:p>
      <w:pPr>
        <w:widowControl/>
        <w:snapToGrid w:val="0"/>
        <w:spacing w:line="480" w:lineRule="exact"/>
        <w:rPr>
          <w:rFonts w:hint="eastAsia" w:ascii="仿宋" w:eastAsia="仿宋" w:cs="宋体"/>
          <w:color w:val="auto"/>
          <w:sz w:val="24"/>
          <w:highlight w:val="none"/>
        </w:rPr>
      </w:pPr>
      <w:r>
        <w:rPr>
          <w:rFonts w:hint="eastAsia" w:ascii="仿宋" w:eastAsia="仿宋"/>
          <w:color w:val="auto"/>
          <w:sz w:val="24"/>
          <w:highlight w:val="none"/>
        </w:rPr>
        <w:t>4.6如某一标项实质性磋商响应文件的供应商不足三家时，由采购人重新组织开展采购活动或按有关规定实施，政府购买服务项目（含政府和社会资本合作项目）除外。</w:t>
      </w:r>
    </w:p>
    <w:p>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5.1磋商响应文件中磋商一览表（报价表）内容与磋商响应文件中相应内容不一致的，以磋商一览表（报价表）为准；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5.3单价金额小数点或者百分比有明显错位的，以磋商一览表的总价为准，并修改单价；</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《政府采购货物和服务招标磋商管理办法》</w:t>
      </w:r>
      <w:r>
        <w:rPr>
          <w:rFonts w:hint="eastAsia" w:ascii="仿宋" w:eastAsia="仿宋" w:cs="宋体"/>
          <w:color w:val="auto"/>
          <w:sz w:val="24"/>
          <w:highlight w:val="none"/>
        </w:rPr>
        <w:t>第五十一条第二款的规定经供应商确认后产生约束力，供应商不确认的，其磋商无效。</w:t>
      </w:r>
    </w:p>
    <w:p>
      <w:pPr>
        <w:pStyle w:val="19"/>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6．无效磋商的情形</w:t>
      </w:r>
    </w:p>
    <w:p>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磋商响应文件有下列情形之一的作无效磋商处理：</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6.1单位负责人为同一人或者存在直接控股、管理关系的不同供应商参加同一合同项（标项）下的政府采购活动的（双方均作无效磋商处理）；</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6.3供应商不具备磋商文件中规定的资格要求的（供应商未按磋商文件要求提供资格文件的，视为供应商不具备磋商文件中规定的资格要求）；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color w:val="auto"/>
          <w:kern w:val="0"/>
          <w:sz w:val="24"/>
          <w:highlight w:val="none"/>
        </w:rPr>
      </w:pPr>
      <w:r>
        <w:rPr>
          <w:rFonts w:hint="eastAsia" w:ascii="仿宋" w:eastAsia="仿宋"/>
          <w:color w:val="auto"/>
          <w:kern w:val="0"/>
          <w:sz w:val="24"/>
          <w:highlight w:val="none"/>
        </w:rPr>
        <w:t>6.4</w:t>
      </w:r>
      <w:r>
        <w:rPr>
          <w:rFonts w:hint="eastAsia" w:ascii="仿宋" w:eastAsia="仿宋"/>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color w:val="auto"/>
          <w:kern w:val="0"/>
          <w:sz w:val="24"/>
          <w:highlight w:val="none"/>
        </w:rPr>
        <w:t>；</w:t>
      </w:r>
    </w:p>
    <w:p>
      <w:pPr>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6.5磋商响应文件制作出现如下情况：</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6.5.1未按磋商文件要求制作“资格文件”的；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6.5.2报价一经涂改，未在涂改处加盖磋商单位公章或者未经法定代表人或其授权代表签字或盖章的；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6.5.3“资格文件”或“商务和技术文件”部分中出现用于价格分评审的磋商报价的（磋商文件另有规定的参与“商务和技术文件”评审的报价除外）；</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6.5.4对磋商</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内容不全、有缺失的,经磋商小组认定为无法评审的；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6.5.5关键信息填写不完整或字迹不能辨认或有漏项的，经磋商小组认定属于重大偏差的；</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6.5.6未按磋商文件规定要求签署盖章的。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《磋商一览表》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供应商递交的磋商响应文件与项目不符或内容严重不全的；</w:t>
      </w:r>
    </w:p>
    <w:p>
      <w:pPr>
        <w:pStyle w:val="19"/>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6.7重要信息前后不一致，经磋商小组询标后仍然无法评审的；</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磋商响应文件含有采购人不能接受的附加条件；</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，但未能在报价文件中详细阐述不影响产品质量或者诚信履约的具体原因或具体原因未被磋商小组认可的；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6.10报价超过磋商文件中规定的预算金额或最高限价（包括单价限价等磋商文件规定的各类限价）的；</w:t>
      </w:r>
    </w:p>
    <w:p>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6.11采购人拟采购的产品属于政府强制采购的节能产品品目清单范围的，供应商未按采购文件要求提供国家确定的认证机构出具的、处于有效期之内的节能产品认证证书的；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磋商小组认定有重大偏差或实质性不响应磋商文件要求的；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6.13供应商对根据修正原则修正后的报价不确认的；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6.14供应商提供虚假材料磋商的（包括但不限于以下情节）：</w:t>
      </w:r>
    </w:p>
    <w:p>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6.15供应商串通磋商的。</w:t>
      </w:r>
    </w:p>
    <w:p>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有下列情形之一的，视为供应商串通磋商，其磋商无效：</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6.15.1不同供应商的磋商响应文件由同一单位或者个人编制；</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6.15.2不同供应商委托同一单位或者个人办理磋商事宜；</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6.15.3不同供应商的磋商响应文件载明的项目管理成员或者联系人员为同一人；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6.15.4不同供应商的磋商响应文件异常一致或者磋商报价呈规律性差异；</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6.15.5不同供应商的磋商响应文件相互混装；</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6.15.6法律规定的其他串通磋商情形。</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6.16属于《中华人民共和国政府采购法实施条例》第七十四条规定的恶意串通情形的，其磋商无效；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6.17联合体磋商的，联合体各方在同一磋商项目中以自己名义单独磋商或者参加其他联合体磋商的，相关磋商均无效；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违反法律、法规及本磋商文件规定的其他无效磋商情形。</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7.1采购人在收到评审报告之日起5个工作日内在评审报告推荐的成交候选供应商中按排序由高到低的原则确定成交供应商。</w:t>
      </w:r>
    </w:p>
    <w:p>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7.2采购代理机构在采购人确认成交或成交供应商后2个工作日内发布成交公告。成交公告与磋商公告发布网址一致。成交公告期限为一个工作日。</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8.成交通知书的申领</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电子版成交通知书</w:t>
      </w:r>
      <w:r>
        <w:rPr>
          <w:rFonts w:hint="eastAsia" w:ascii="仿宋" w:eastAsia="仿宋"/>
          <w:color w:val="auto"/>
          <w:kern w:val="0"/>
          <w:sz w:val="24"/>
          <w:highlight w:val="none"/>
        </w:rPr>
        <w:t>，成交供应商在政采云平台中登陆后领取（社会中介代理机构组织的政府采购项目另行规定）。</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8.2成交通知书在成交公告发布的同时发出。</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8.3成交通知书发出后，采购人不得违法改变成交结果，成交供应商无正当理由不得放弃成交。</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8.4成交通知书的领取不妨碍相关质疑投诉的提出和处置，成交结果在法定情形内允许改变。在处理完针对成交结果的质疑或投诉前，原则上不签订采购合同。</w:t>
      </w:r>
    </w:p>
    <w:p>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pPr>
        <w:pStyle w:val="3"/>
        <w:spacing w:line="415" w:lineRule="auto"/>
        <w:jc w:val="center"/>
        <w:rPr>
          <w:rFonts w:hint="eastAsia" w:ascii="仿宋"/>
          <w:color w:val="auto"/>
          <w:highlight w:val="none"/>
        </w:rPr>
      </w:pPr>
      <w:bookmarkStart w:id="45" w:name="_Toc643610531"/>
      <w:bookmarkStart w:id="46" w:name="_Toc5995"/>
      <w:r>
        <w:rPr>
          <w:rFonts w:hint="eastAsia" w:ascii="仿宋"/>
          <w:color w:val="auto"/>
          <w:highlight w:val="none"/>
        </w:rPr>
        <w:t>五、合同签订及履约</w:t>
      </w:r>
      <w:bookmarkEnd w:id="45"/>
      <w:bookmarkEnd w:id="46"/>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成交供应商应当在成交通知书发出之日起30日内（投诉处理等原因导致签订合同延误的除外），按照磋商文件和成交供应商磋商响应文件的规定，签订书面合同。所签订的合同不得对磋商文件确定的事项和成交供应商磋商响应文件作实质性修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1.2采购人和成交供应商不得向对方提出任何不合理的要求作为签订合同的条件。</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1.3采购人和成交供应商需在磋商有效期内签订采购合同。磋商有效期允许延长，但需征得成交供应商同意。</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2.1采购合同签订的同时，成交供应商应当以支票、汇票、本票或者金融机构、担保机构出具的保函等非现金形式交纳履约保证金。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lang w:eastAsia="zh-CN"/>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3.1成交供应商应当自采购合同签订之日起3个工作日内，将采购合同原件报采购代理机构备案存档。</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hint="eastAsia" w:ascii="仿宋" w:eastAsia="仿宋"/>
          <w:color w:val="auto"/>
          <w:sz w:val="24"/>
          <w:highlight w:val="none"/>
        </w:rPr>
        <w:t xml:space="preserve"> </w:t>
      </w:r>
      <w:r>
        <w:rPr>
          <w:rFonts w:ascii="仿宋" w:eastAsia="仿宋"/>
          <w:b/>
          <w:color w:val="auto"/>
          <w:sz w:val="24"/>
          <w:highlight w:val="none"/>
        </w:rPr>
        <w:t>履约检查</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pStyle w:val="2"/>
        <w:numPr>
          <w:ilvl w:val="0"/>
          <w:numId w:val="0"/>
        </w:numPr>
        <w:ind w:left="0" w:firstLine="0"/>
        <w:jc w:val="center"/>
        <w:rPr>
          <w:rFonts w:hint="eastAsia" w:ascii="仿宋" w:eastAsia="仿宋"/>
          <w:color w:val="auto"/>
          <w:highlight w:val="none"/>
        </w:rPr>
      </w:pPr>
      <w:bookmarkStart w:id="47" w:name="_Toc21391"/>
      <w:bookmarkStart w:id="48" w:name="_Toc643610532"/>
    </w:p>
    <w:p>
      <w:pPr>
        <w:pStyle w:val="2"/>
        <w:numPr>
          <w:ilvl w:val="0"/>
          <w:numId w:val="0"/>
        </w:numPr>
        <w:ind w:left="0" w:firstLine="0"/>
        <w:jc w:val="center"/>
        <w:rPr>
          <w:rFonts w:hint="eastAsia" w:ascii="仿宋" w:eastAsia="仿宋"/>
          <w:color w:val="auto"/>
          <w:highlight w:val="none"/>
        </w:rPr>
      </w:pPr>
    </w:p>
    <w:p>
      <w:pPr>
        <w:pStyle w:val="2"/>
        <w:numPr>
          <w:ilvl w:val="0"/>
          <w:numId w:val="0"/>
        </w:numPr>
        <w:ind w:left="0" w:firstLine="0"/>
        <w:jc w:val="center"/>
        <w:rPr>
          <w:rFonts w:hint="eastAsia" w:ascii="仿宋" w:eastAsia="仿宋"/>
          <w:color w:val="auto"/>
          <w:highlight w:val="none"/>
        </w:rPr>
      </w:pPr>
    </w:p>
    <w:p>
      <w:pPr>
        <w:pStyle w:val="2"/>
        <w:numPr>
          <w:ilvl w:val="0"/>
          <w:numId w:val="0"/>
        </w:numPr>
        <w:ind w:left="0" w:firstLine="0"/>
        <w:jc w:val="center"/>
        <w:rPr>
          <w:rFonts w:hint="eastAsia" w:ascii="仿宋" w:eastAsia="仿宋"/>
          <w:color w:val="auto"/>
          <w:highlight w:val="none"/>
        </w:rPr>
      </w:pPr>
    </w:p>
    <w:p>
      <w:pPr>
        <w:pStyle w:val="2"/>
        <w:numPr>
          <w:ilvl w:val="0"/>
          <w:numId w:val="0"/>
        </w:numPr>
        <w:ind w:left="0" w:firstLine="0"/>
        <w:jc w:val="center"/>
        <w:rPr>
          <w:rFonts w:hint="eastAsia" w:ascii="仿宋" w:eastAsia="仿宋"/>
          <w:color w:val="auto"/>
          <w:highlight w:val="none"/>
        </w:rPr>
      </w:pPr>
    </w:p>
    <w:p>
      <w:pPr>
        <w:pStyle w:val="2"/>
        <w:numPr>
          <w:ilvl w:val="0"/>
          <w:numId w:val="0"/>
        </w:numPr>
        <w:ind w:left="0" w:firstLine="0"/>
        <w:jc w:val="both"/>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sectPr>
          <w:footerReference r:id="rId4" w:type="default"/>
          <w:pgSz w:w="11907" w:h="16840"/>
          <w:pgMar w:top="1440" w:right="1463" w:bottom="1440" w:left="1803" w:header="851" w:footer="992" w:gutter="0"/>
          <w:pgNumType w:start="1"/>
          <w:cols w:space="0" w:num="1"/>
          <w:rtlGutter w:val="0"/>
          <w:docGrid w:type="lines" w:linePitch="320" w:charSpace="0"/>
        </w:sectPr>
      </w:pPr>
    </w:p>
    <w:p>
      <w:pPr>
        <w:pStyle w:val="2"/>
        <w:numPr>
          <w:ilvl w:val="0"/>
          <w:numId w:val="0"/>
        </w:numPr>
        <w:tabs>
          <w:tab w:val="left" w:pos="3538"/>
          <w:tab w:val="center" w:pos="7039"/>
        </w:tabs>
        <w:ind w:left="0" w:firstLine="0"/>
        <w:jc w:val="center"/>
        <w:rPr>
          <w:rFonts w:hint="eastAsia" w:ascii="仿宋" w:hAnsi="仿宋" w:eastAsia="仿宋" w:cs="仿宋"/>
          <w:b/>
          <w:color w:val="auto"/>
          <w:sz w:val="44"/>
          <w:szCs w:val="44"/>
          <w:highlight w:val="none"/>
          <w:lang w:eastAsia="zh-CN"/>
        </w:rPr>
      </w:pPr>
      <w:r>
        <w:rPr>
          <w:rFonts w:hint="eastAsia" w:ascii="仿宋" w:eastAsia="仿宋"/>
          <w:color w:val="auto"/>
          <w:sz w:val="44"/>
          <w:szCs w:val="44"/>
          <w:highlight w:val="none"/>
        </w:rPr>
        <w:t>第三章  采购需求</w:t>
      </w:r>
      <w:bookmarkEnd w:id="47"/>
      <w:bookmarkEnd w:id="48"/>
      <w:bookmarkStart w:id="49" w:name="_Toc643610533"/>
      <w:bookmarkStart w:id="50" w:name="_Toc1377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一、服务清单及要求</w:t>
      </w:r>
      <w:bookmarkEnd w:id="49"/>
      <w:bookmarkEnd w:id="50"/>
    </w:p>
    <w:p>
      <w:pPr>
        <w:pStyle w:val="59"/>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bookmarkStart w:id="51" w:name="_Toc14779"/>
      <w:bookmarkStart w:id="52" w:name="_Toc643610534"/>
      <w:r>
        <w:rPr>
          <w:rFonts w:hint="eastAsia" w:ascii="仿宋" w:hAnsi="仿宋" w:eastAsia="仿宋" w:cs="仿宋"/>
          <w:b/>
          <w:bCs/>
          <w:color w:val="auto"/>
          <w:kern w:val="2"/>
          <w:sz w:val="24"/>
          <w:szCs w:val="24"/>
          <w:highlight w:val="none"/>
          <w:lang w:val="en-US" w:eastAsia="zh-CN" w:bidi="ar-SA"/>
        </w:rPr>
        <w:t>1.采购内容</w:t>
      </w:r>
    </w:p>
    <w:p>
      <w:pPr>
        <w:pStyle w:val="59"/>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本次采购内容为绍兴市越城区市场监督管理局2024年度产(商)品质量监督抽查，包括但不限于提供运输服务，配套车辆设备，配备服务人员，检测等全部工作。</w:t>
      </w:r>
    </w:p>
    <w:p>
      <w:pPr>
        <w:pStyle w:val="59"/>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2.项目检测清单</w:t>
      </w:r>
    </w:p>
    <w:p>
      <w:pPr>
        <w:pStyle w:val="59"/>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根据《产品质量法》、《浙江省市场监督管理局关于印发浙江省产品质量安全分级分类监管工作指引的通知》要求，检测产品如下（包括但不限于）：</w:t>
      </w:r>
    </w:p>
    <w:p>
      <w:pPr>
        <w:pStyle w:val="59"/>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标项一：全区工业品和重要消费品监督抽查项目</w:t>
      </w:r>
    </w:p>
    <w:tbl>
      <w:tblPr>
        <w:tblStyle w:val="30"/>
        <w:tblW w:w="13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78"/>
        <w:gridCol w:w="1025"/>
        <w:gridCol w:w="1750"/>
        <w:gridCol w:w="3722"/>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578"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sz w:val="22"/>
                <w:szCs w:val="22"/>
                <w:highlight w:val="none"/>
                <w:lang w:eastAsia="zh-CN"/>
              </w:rPr>
              <w:t>序号</w:t>
            </w:r>
          </w:p>
        </w:tc>
        <w:tc>
          <w:tcPr>
            <w:tcW w:w="1025"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lang w:bidi="ar"/>
              </w:rPr>
              <w:t>产品名称</w:t>
            </w:r>
          </w:p>
        </w:tc>
        <w:tc>
          <w:tcPr>
            <w:tcW w:w="175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检测费</w:t>
            </w:r>
          </w:p>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lang w:bidi="ar"/>
              </w:rPr>
              <w:t>批/元(最高限价)</w:t>
            </w:r>
          </w:p>
        </w:tc>
        <w:tc>
          <w:tcPr>
            <w:tcW w:w="3722"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lang w:val="en-US" w:eastAsia="zh-CN" w:bidi="ar"/>
              </w:rPr>
              <w:t>检验依据</w:t>
            </w:r>
          </w:p>
        </w:tc>
        <w:tc>
          <w:tcPr>
            <w:tcW w:w="6635"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lang w:bidi="ar"/>
              </w:rPr>
              <w:t>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w:t>
            </w:r>
          </w:p>
        </w:tc>
        <w:tc>
          <w:tcPr>
            <w:tcW w:w="102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内墙涂料</w:t>
            </w:r>
          </w:p>
        </w:tc>
        <w:tc>
          <w:tcPr>
            <w:tcW w:w="175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2800</w:t>
            </w:r>
          </w:p>
        </w:tc>
        <w:tc>
          <w:tcPr>
            <w:tcW w:w="3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GB/T 9756-2018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低温稳定性、耐碱性、对比率、耐洗刷性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75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GB 18582-2020</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挥发性有机化合物、甲醛、苯系物总和、总铅（Pb）含量、重金属含量（铅、镉、铬、汞）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外墙涂料</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3100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GB/T 9755-2014</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低温稳定性、耐碱性、透水性、对比率、耐洗刷性、耐人工气候老化性、耐沾污性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75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GB 18582-2020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挥发性有机化合物、甲醛、苯系物总和、总铅（Pb）含量、重金属含量（铅、镉、铬、汞）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活性染料</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3500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HG/T 3965-2020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强度和色光、水分的质量分数、水不溶物的质量分散、pH值、溶解度、防尘性、固色率、有害芳香胺、重金属元素、耐摩擦色牢度、耐皂洗色牢度、耐汗渍色牢度、耐热压色牢度、耐光色牢度、耐氯化水氯色牢度、耐汗光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HG/T 4422-2012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色光和强度、水分、水不溶物、溶解度、防尘性、有害芳香胺、重金属元素、耐摩擦色牢度、耐洗色牢度、耐汗渍色牢度、耐水色牢度、耐热压色牢度、耐光色牢度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HG/T 4423-2012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色光和强度、水分、水不溶物、溶解度、防尘性、有害芳香胺、重金属元素、耐摩擦色牢度、耐洗色牢度、耐汗渍色牢度、耐水色牢度、耐热压色牢度、耐光色牢度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分散染料</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2110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HG/T 3893-2014</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外观、色光和强度、扩散性能、分散性、高温分散稳定性、上色率、提升力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HG/T 3894-2014</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外观、色光和强度、扩散性能、分散性、高温分散稳定性、上色率、提升力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5</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荧光增白剂</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2110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10661-2010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外观、荧光强度、增白强度和色光、细度、不溶于水的杂质含量、水分、有害芳香胺、重金属元素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HG/T 2556-2009</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外观、紫外吸收、增白强度和色光、有害芳香胺、重金属元素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HG/T 2555-2010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外观、增白强度和色光、水分、颗粒细度、有害芳香胺、重金属元素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6</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铜管</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1350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1527-2017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化学成分(Cu,Ag,P,Bi,Sb,As,Fe,Ni,Pb,Sn,S,Zn,O,Cd)、外形尺寸、 拉伸、布氏硬度、维氏硬度、压扁、扩口、涡流探伤、晶粒度、残余应力、耐脱锌腐蚀性能、表面质量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20928-2020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化学成分(Cu,Ag,P,Bi,Sb,As,Fe,Ni,Pb,Sn,S,Zn,O,Cd)、外形尺寸、 抗拉强度、扩口试验、晶粒度、表面质量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17791-2017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化学成分(Cu,Ag,P,Bi,Sb,As,Fe,Ni, Pb,Sn,S,Zn,O,Cd)、尺寸、拉伸、扩口、压扁、晶粒度、表面质量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YS/T 650-2020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化学成分(Cu,Ag,P,Bi,Sb,As,Fe,Ni, Pb,Sn,S,Zn,O,Cd)、尺寸、拉伸试验、维氏硬度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7</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制冷用阀门</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3500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QC/T 663-2019</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外观、开度迟滞、静态过热度、阀口泄漏、平衡部泄漏、气密性、耐压强度、破坏强度、耐振动性、耐冷热冲击性、耐高温性、耐低温性、耐腐蚀性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JB/T 10302-2013</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外观和标志、气密性、最高动作压差、最低动作压差、内部泄漏量、流量、噪声、线圈温度、耐振动、耐压强度、绝缘电阻、电气强度、匝间绝缘、恒定湿热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JB/T 10212-2016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外观、开阀脉冲、泄漏量、最大动作压差、逆向开阀压差、气密性、噪声、线圈温度、耐振动、液压强度、破坏强度、绝缘电阻、电气强度、恒定湿热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JB/T 10648-2017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外观要求、清洁度要求、密封性、耐压强度、破坏强度、耐高温、耐低温、耐冷热循环、耐振动、耐冲击、破坏力矩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8</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电线电缆</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5023.3-2008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导体、绝缘、导体电阻、2500V电压试验、70℃时绝缘电阻、结构检查、绝缘厚度测量、外径测量、老化前拉力测试、老化后拉力测试、不延燃试验、热稳定试验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5023.4-2008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导体、绝缘、绝缘线芯成缆、内护层、护套、导体电阻、绝缘线芯2000V电压试验、成品电缆2000V电压试验、70℃时绝缘电阻、结构检查、绝缘厚度测量、护套厚度测量、外径测量、绝缘老化前拉力测试、绝缘老化后拉力测试、护套老化前拉力测试、护套老化后拉力测试、不延燃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5023.5-2008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导体、绝缘、绝缘线芯和填充（若有）成缆、护套、导体电阻、绝缘线芯电压试验、成品电缆电压试验、绝缘电阻、结构检查、绝缘厚度测量、护套厚度测量、外形尺寸测量、绝缘老化前拉力测试、绝缘老化后拉力测试、不延燃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JB/T 8734.2-2016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导体、绝缘、绝缘线芯成缆、护套、导体电阻、绝缘线芯电压试验、成品电缆电压试验、绝缘电阻、结构检查、绝缘厚度测量、护套厚度测量、外径或外形尺寸测量、椭圆度、绝缘老化前拉力测试、绝缘老化后拉力测试、绝缘失重试验、护套老化前拉力测试、护套老化后拉力测试、不延燃试验、标志耐擦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JB/T 8734.3-2016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导体、绝缘、绝缘线芯绞合、护套导体电阻、护套、导体电阻、绝缘线芯电压试验、成品电缆电压试验、绝缘电阻、结构检查、绝缘厚度测量、护套厚度测量、外径或外形尺寸测量、椭圆度、绝缘老化前拉力测试、绝缘老化后拉力测试、绝缘失重试验、护套老化前拉力测试、护套老化后拉力测试、不延燃试验、标志耐擦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JB/T 8734.4-2016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导体、绝缘、绝缘线芯成缆、护套、导体电阻、绝缘线芯电压试验、成品电缆电压试验、绝缘电阻、结构检查、导体导通试验、绝缘厚度测量、护套厚度测量、外径或外形尺寸测量、椭圆度、绝缘老化前拉力测试、绝缘老化后拉力测试、护套老化前拉力测试、护套老化后拉力测试、不延燃试验、标志耐擦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给水用聚乙烯（PE）管材管件</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13663.3-2018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标志、外观、颜色、壁厚、熔接端平均外径、不圆度、最小通径、常规管状长度、承口平均内径、最大不圆度、最小通径、承口参考长度、承口加热长度、管材插入深度、静液压强度(20℃ 、100h)、静液压强度(80℃ 、165h)、氧化诱导时间、灰分、卫生性能(镉) 、卫生性能(铅)、卫生性能(高锰酸钾消耗量)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建筑排水用硬聚氯乙烯（PVC-U）管材</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5836.1-2018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志、外观、颜色、规格尺寸(平均外径)、规格尺寸(壁厚)、规格尺寸(承口平均内径)、规格尺寸(最小承口深度)、规格尺寸(最小承口平均内径)、规格尺寸(最小接合长度)、密度、维卡软化温度、纵向回缩率、拉伸屈服应力、断裂伸长率、落锤冲击试验、铅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11</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冷热水用聚丙烯管材管件</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3515</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18742.2-2017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标志、颜色、外观、规格尺寸(平均外径)、规格尺寸(壁厚)、静液压强度(20℃ 、1h)、静液压强度(95℃ 、22h)、静液压强度(95℃ 、165h)、灰分、熔融温度、氧化诱导时间、颜料分散、纵向回缩率、简支梁冲击试验、、卫生性能(镉) 、卫生性能(铅)、卫生性能(高锰酸钾消耗量)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18742.3-2017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标志、颜色、外观、规格尺寸(壁厚)、规格尺寸(承口平均内径)、规格尺寸(最大不圆度)、规格尺寸(最小通径)、规格尺寸(承口深度)、规格尺寸(承插深度)、静液压强度(20℃ 、1h)、灰分、熔融温度、氧化诱导时间、颜料分散、卫生性能(镉)、卫生性能(铅) 、卫生性能(高锰酸钾消耗量)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12</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冷热水用分集水器</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29730-2013</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外观、气密性、压力强度、水力平衡性能、流量调节性能、抗弯性能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13</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水泥包装袋</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9774-2020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外观、袋型、复膜塑编袋、纸塑复合袋的物理力学性能、适用温度、牢固度、制袋材料对水泥强度的影响、防潮性能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14</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预拌砂浆</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25181-2019、GB 6566-2010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外观、保塑时间、稠度、压力泌水率、保水率、凝结时间、稠度损失率、拉伸粘结强度、收缩、抗压强度、抗冻性、抗渗压力、内照射指数、外照射指数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15</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水泥</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2190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175-2007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烧失量、氧化镁、三氧化硫、氯离子、碱含量、凝结时间、安定性、强度、细度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2015-2017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三氧化硫、水溶性六价铬 (Ⅵ)、氯离子、碱含量、细度、沸煮法安定性、凝结时间、强度、放射性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3183-2017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三氧化硫、氯离子、水泥中水溶性铬(Ⅵ)、细度、凝结时间、沸煮法安定性、保水率、强度、放射性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16</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新型墙体材料（砖和砌块）</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11945-2019</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尺寸偏差和外观、颜色、抗压强度和抗折强度、抗冻性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5101-2017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尺寸偏差、外观质量、强度等级、抗风化性能、泛霜、石灰爆裂、欠火砖、酥砖和螺旋纹砖、配砖、放射性核素限量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13544-2011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尺寸允许偏差、外观质量、密度等级、强度等级、孔型孔结构及孔洞率、泛霜、石灰爆裂、抗风化性能、欠火砖、酥砖、放射性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21144-2007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尺寸偏差、外观质量、密度等级、强度等级、最大吸水率、干燥收缩率和相对含水量、抗冻性、碳化系数、软化系数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13545-2014</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尺寸偏差、外观质量、强度等级、密度等级、孔洞排列及其结构、泛霜、石灰爆裂、抗风化性能、欠火砖、酥砖、放射性核素限量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11968-2020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尺寸允许偏差和外观质量、抗压强度、干密度、干燥收缩、抗冻性、导热系数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29060-2012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外观质量、尺寸允许偏差、表观密度、抗压强度、断裂荷载、抗折强度、连接强度、传热系数、抗渗性、抗冻性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17</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预拌混凝土</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2750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14902-2012、GB 6566-2010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强度、坍落度和坍落度经时损失、扩展度、含气量、水溶性氯离子含量、耐久性、内照射指数、外照射指数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18</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热轧带肋钢筋</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1499.2-2018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化学成分（C，Si，Mn，P，S）、拉伸、弯曲、反向弯曲、晶粒度、表面质量、尺寸、外形、重量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19</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实木地板</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18103-2022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浸渍剥离、静曲强度、弹性模量、含水率、漆膜附着力、漆膜表面耐磨、漆膜硬度、表面耐污染、甲醛释放量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20</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木塑家具板材</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JC/T 2436-2018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观质量、规格尺寸及偏差、抗弯强度、抗弯弹性模量、尺寸稳定性、板面握螺钉力、邵氏硬度、吸水厚度膨胀率、表面耐污染腐蚀、漆膜附着力、表面耐划痕、表面耐磨性、甲醛释放量、重金属含量(可溶性铅)、重金属含量(可溶性镉)、重金属含量(可溶性铬)、重金属含量(可溶性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21</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木家具</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QB/T 1951.1-2010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漆膜耐液性、漆膜耐湿热、漆膜耐干热、漆膜附着力、漆膜耐冷热温差、漆膜耐磨性、漆膜抗冲击、漆膜耐香烟灼烧、软、硬质覆面耐冷热循环、软、硬质覆面耐干热、软、硬质覆面耐划痕、软、硬质覆面耐液性、软、硬质覆面表面耐磨性、软、硬质覆面耐香烟着烧、软、硬质覆面抗冲击性、软、硬质覆面耐光色牢度、表面胶合强度、金属拉手耐腐蚀性、桌类强度和耐久性、椅凳类稳定性、椅凳类强度和耐久性、柜类稳定性、柜类强度和耐久性、单层床强度和耐久性、桌类稳定性、有害物质限量(可溶性铅)、有害物质限量(可溶性镉)、有害物质限量(可溶性铬)、有害物质限量(可溶性汞)、有害物质限量（甲醛释放量）、阻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22</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小功率电动机</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12350-2022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标志与说明、机座与外壳、机械装配与零件、连接件、内部布线、电气间隙和爬电距离、接地、温升试验、绝缘电阻和电气强度、工作温度下的泄漏电流、湿热试验、起动、噪声测定、其他要求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23</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纺织机械</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17780.1-2012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常见危险的安全要求和/或措施、纺织机械特殊零部件的主要危险及其相应的安全要求和/或措施、安全要求和/或措施的检验、机器的使用说明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24</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电除尘器</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JB/T 5910-2013</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总体要求、基本要求、整体性能要求、主要零部件要求、电气部分要求、噪声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JB/T 6407-2017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电除尘器设计、调试、运行、维护（防滑措施、设备整洁度及照明、围栏及盖板、隔离护网、高压安全警告、通风防尘、消防要求、照明电源电压、接地电阻）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25</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家用和类似用途插头插座</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2099.1-2021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额定值、分类、标志、尺寸的检查、防触电保护、接地措施、端子、固定式插座的结构、插头和移动式插座的结构、联锁插座、耐老化、防有害进水和防潮、绝缘电阻和电气强度、接地触头的工作、温升、分断容量、正常操作、拔出插头所需的力、软缆及其连接、机械强度、螺钉、载流部件及其连接、爬电距离、电气间隙和通过密封胶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2099.2-2012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额定值、分类、标志、尺寸的检查、防触电保护、接地措施、端子、固定式插座的结构、插头和移动式插座的结构、联锁插座、耐老化、防有害进水和防潮、绝缘电阻和电气强度、接地触头的工作、温升、分断容量、正常操作、拔出插头所需的力、软缆及其连接、机械强度、螺钉、载流部件及其连接、爬电距离、电气间隙和通过密封胶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2099.7-2015</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额定值、分类、标志、尺寸的检查、防触电保护、接地措施、端子、固定式插座的结构、插头和移动式插座的结构、联锁插座、耐老化、防有害进水和防潮、绝缘电阻和电气强度、接地触头的工作、温升、分断容量、正常操作、拔出插头所需的力、软缆及其连接、机械强度、螺钉、载流部件及其连接、爬电距离、电气间隙和通过密封胶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26</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电热暖手器</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4706.99-2009</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分类、标志和说明、对触及带电部件的防护、输入功率和电流、发热、工作温度下的泄漏电流和电气强度、瞬态过电流 、耐潮湿、泄漏电流和电气强度、变压器和相关电路的过载保护、非正常工作、稳定性和机械危险、机械强度、结构、内部布线、元件、电源连接和外部软线、外部导线用接线端子、接地措施、螺钉和连接、电气间隙、爬电距离和固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27</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室内加热器</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4706.23-2007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分类、标志和说明、对触及带电部件的防护、输入功率和电流、发热、工作温度下的泄漏电流和电气强度、瞬态过电流、耐潮湿、泄漏电流和电气强度、变压器和相关电路的过载保护、非正常工作、稳定性和机械危险、机械强度、结构、内部布线、元件、电源连接和外部软线、外部导线用接线端子、接地措施、螺钉和连接、电气间隙、爬电距离和固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28</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室内空气</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18883-2022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氨、甲醛、苯、甲苯、二甲苯、总挥发性有机化合物、氡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29</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弹簧软床垫</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QB/T 1952.2-2011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尺寸偏差、床垫铺面对角线偏差、其他外观或感官检验、复合面料耐干色牢度、铺垫料强度、泡沫塑料回弹性、泡沫塑料拉伸强度、异味、弹簧安全性、甲醛释放量、家用弹簧软床垫阻燃性能、公共场所用弹簧软床垫阻燃性能、弹簧要求、耐久性、产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30</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配装眼镜</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13511.1-2011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镜片顶焦度、镜片厚度、镜片色泽、镜片表面质量、光透射性、镜架外观质量、光学中心水平距离偏差、水平光学中心与眼瞳的单侧偏差、光学中心垂直互差、柱镜轴位偏差、处方棱镜度偏差、多焦点镜片的位置、装配质量、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31</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机动车驾驶员专用眼镜</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QB/T 2659-2021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镜片表面或内在疵病、镜架外观质量、顶焦度、棱镜度互差、装配质量、耐疲劳强度、鼻梁变形和镜片夹持力、包覆层结合力、光透射比、光透射比的均匀性、光谱透射比、信号灯识别、紫外性能、抗冲击性能、阻燃性、偏振方向、标志、抗汗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32</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卫生纸</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20810-2018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定量、D65亮度、横向吸液高度、抗张指数、柔软度、可迁移性荧光物质、灰分、球形耐破度、可分散性、掉粉率、洞眼、尘埃度、交货水分、铅、砷、细菌菌落总数、大肠菌群、金黄色葡萄球菌、溶血性链球菌、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QB/T 4509-2013</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定量、亮度、荧光性物质、灰分、横向吸液高度、抗张指数、纵向湿抗张强度、柔软度、洞眼、尘埃度、交货水分、细菌菌落总数、大肠菌群、绿脓杆菌、金黄色葡萄球菌、溶血性链球菌、真菌菌落总数、尺寸偏差、偏斜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33</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纸巾纸</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20808-2011、GB 15979-2002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定量、亮度(白度)、可迁移性荧光增白剂、灰分、横向吸液高度、横向抗张指数、纵向湿抗张强度、柔软度纵横向平均、洞眼、尘埃度、交货水分、内装量、细菌菌落总数、大肠菌群、绿脓杆菌、金黄色葡萄球菌、溶血性链球菌、真菌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20808-2022、GB 15979-2002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定量、亮度(白度)、可迁移性荧光增白剂、灰分、横向吸液高度、横向抗张指数、纵向湿抗张强度、柔软度、洞眼、尘埃度、交货水分、内装量短缺量、微生物（细菌菌落总数、大肠菌群、绿脓杆菌、金黄色葡萄球菌、溶血性链球菌、真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QB/T 4509-2013</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定量、亮度、荧光性物质、灰分、横向吸液高度、抗张指数、纵向湿抗张强度、柔软度、洞眼、尘埃度、交货水分、细菌菌落总数、大肠菌群、绿脓杆菌、金黄色葡萄球菌、溶血性链球菌、真菌菌落总数、尺寸偏差、偏斜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34</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商品条码</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12904-2008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编码、条码表示、条码符号的设计、条码符号选用、条码符号的放置、条码符号质量的评价和要求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14257-2009</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商品条码符号放置通则、零售商品条码符号的放置、储运包装商品上条码符号的放置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35</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户外休闲家具</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28478-2012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边和角、使用时可接触到的管件、孔和间隙、放置和折叠时的剪切和挤压点、金属件(铅含量)、金属件(耐盐雾)、木制件、藤条、板带、非弹性面料(塑性变形率)、非弹性面料(撕裂强力)、普通纺织面料(阻燃性)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36</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折叠椅</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QB/T 4458-2013</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观、含水率、塑料部件耐老化、喷涂件(表面涂层含铅量)、喷涂件(耐腐蚀)、电镀件耐腐蚀、衬垫料、面料耐干、耐湿色牢度、面料耐酸汗渍、耐碱汗渍色牢度、面料PH、可分解致癌芳香胺染料、甲醛含量、甲醛释放量、塑料折叠椅有害物质限量（可溶性铅）、塑料折叠椅有害物质限量（可溶性镉）、塑料折叠椅有害物质限量（可溶性铬）、塑料折叠椅有害物质限量（可溶性汞）、尺寸极限偏差、安全要求、力学性能-椅类强度和耐久性、力学性能-椅类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37</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非复合膜袋</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4806.7-2016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感官要求、总迁移量、高锰酸钾消耗量、重金属（以Pb计）、脱色试验、标签标识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38</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复合膜袋</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4806.7-2016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感官要求、总迁移量、高锰酸钾消耗量、重金属（以Pb计）、脱色试验、标签标识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9683-1988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感官指标、甲苯二胺、蒸发残渣（4%乙酸）、蒸发残渣（正己烷）、蒸发残渣（65%乙醇）、高锰酸钾消耗量、重金属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39</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纸杯</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27590-2022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标签标识、感官指标、容量偏差、渗漏性能、杯身挺度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40</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塑料购物袋</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38082-2019</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标识、厚度及偏差、宽度偏差、长度偏差、感官、提吊试验、跌落试验、漏水性、热合强度、落镖冲击、有机成分、生物分解率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41</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一次性餐饮具</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18006.1-2009</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签标识、感官、容积偏差、负重试验、跌落试验、盖体对折试验、耐温试验、漏水性、耐微波炉试验、淀粉含量、含水量、感官指标、总迁移量、高锰酸钾消耗量、重金属（以Pb计）、脱色试验、大肠菌群、沙门氏菌、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4806.7-2016、GB 14934-2016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感官要求、总迁移量、高锰酸钾消耗量、重金属（以Pb计）、脱色试验、标签标识、大肠菌群、沙门氏菌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42</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羽绒服装</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GB/T 14272-2011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充绒量、含绒量、绒子含量、蓬松度、耗氧量、残脂率、清洁度、气味、纤维含量、甲醛含量、pH值、可分解致癌芳香胺染料、异味、耐皂洗色牢度、耐水色牢度、耐摩擦色牢度、耐光色牢度、儿童上衣拉带安全规格、童装绳索和拉带安全要求、婴幼儿服装的纽扣等不可拆卸附件拉力、防钻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GB/T 14272-2021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充绒量测定、羽绒品质测定、婴幼儿及儿童服装安全性能、烷基酚和烷基酚聚氧乙烯醚、耐皂洗色牢度、耐光色牢度、拼接互染色牢度、钻绒值、其他理化性能项目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FZ/T 73053-2015</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甲醛含量、pH值、异味、可分解芳香胺染料、耐汗渍色牢度、耐皂洗色牢度、  耐水色牢度、耐摩擦色牢度、耐光色牢度、纤维含量、防钻绒性、起球、儿童上衣拉带安全规格、童装绳索和拉带安全要求、残留金属针、充绒量、含绒量、绒子含量、蓬松度、耗氧量、残脂率、清洁度、气味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43</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湿巾</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27728-2011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偏差、含液量、横向抗张强度、包装密封性能、pH、可迁移性荧光增白剂、尘埃度、内装量、细菌菌落总数、大肠菌群、绿脓杆菌、金黄色葡球球菌、溶血性链球菌、真菌菌落总数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44</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纸尿裤（片、垫）</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28004-2011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全长、全宽、条质量偏差、渗透性能、pH值、交货水分、卫生指标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28004.1-2021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条质量偏差、渗透性能 、面层附着物、pH、杂质、重金属、可迁移荧光物质、丙烯酰胺含量、甲醛含量、邻苯二甲酸酯、可分解致癌芳香胺染料、卫生指标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28004.2-2021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条质量偏差、渗透性能、面层附着物、pH、杂质、甲醛含量、可迁移荧光物质、吸收倍率、饱和吸收量、卫生指标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45</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拉链</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QB/T 2173-2014</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平拉强力、拉合轻滑度、拉头拉片结合强力、拉头拉片抗扭力矩、拉头抗张强力、耐摩擦色牢度、耐皂洗色牢、拉链洗涤和干燥后外观变化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46</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豆浆机</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4706.1-2005</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志和说明、对触及带电部件的防护、输入功率和电流、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47</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食品用塑料容器</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4806.7-2016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感官要求、总迁移量、高锰酸钾消耗量、重金属（以Pb计）、脱色试验、标签标识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48</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工业和商用电热食品加工设备</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4706.36-2014</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志和说明、对触及带电部件的防护、电动器具的启动、输入功率和电流、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8" w:type="dxa"/>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49</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商用燃气灶</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35848-2018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志、警示、使用说明书、材料、通用结构、燃气系统零部件、燃具特殊结构、外观、燃气系统密封性、热负荷、准确度、燃烧工况、熄火保护装置、点火性能、稳压性能、预清扫、B型燃具安全装置、表面温升、电气性能、辅助能源、能源合理利用、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50</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瓦楞纸箱</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6543-2008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厚度、金属钉线、尺寸公差、接合、钉合、粘合、压痕线、切断部及棱、箱面印刷图字、摇盖耐折、抗压能力、耐破强度、粘合强度、边压强度</w:t>
            </w:r>
          </w:p>
        </w:tc>
      </w:tr>
    </w:tbl>
    <w:p>
      <w:pPr>
        <w:pStyle w:val="59"/>
        <w:ind w:left="0" w:leftChars="0" w:firstLine="0" w:firstLineChars="0"/>
        <w:rPr>
          <w:rFonts w:hint="eastAsia" w:ascii="仿宋" w:hAnsi="仿宋" w:eastAsia="仿宋" w:cs="仿宋"/>
          <w:color w:val="auto"/>
          <w:kern w:val="2"/>
          <w:sz w:val="21"/>
          <w:szCs w:val="21"/>
          <w:highlight w:val="none"/>
          <w:lang w:val="en-US" w:eastAsia="zh-CN" w:bidi="ar-SA"/>
        </w:rPr>
      </w:pPr>
    </w:p>
    <w:p>
      <w:pPr>
        <w:pStyle w:val="59"/>
        <w:ind w:left="0" w:leftChars="0" w:firstLine="422" w:firstLineChars="200"/>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标项二：全区重点监管产品专项监督抽查项目</w:t>
      </w:r>
    </w:p>
    <w:tbl>
      <w:tblPr>
        <w:tblStyle w:val="30"/>
        <w:tblpPr w:leftFromText="180" w:rightFromText="180" w:vertAnchor="text" w:horzAnchor="page" w:tblpX="1255" w:tblpY="380"/>
        <w:tblOverlap w:val="never"/>
        <w:tblW w:w="13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90"/>
        <w:gridCol w:w="1753"/>
        <w:gridCol w:w="2132"/>
        <w:gridCol w:w="2200"/>
        <w:gridCol w:w="6635"/>
      </w:tblGrid>
      <w:tr>
        <w:tblPrEx>
          <w:shd w:val="clear" w:color="auto" w:fill="auto"/>
          <w:tblCellMar>
            <w:top w:w="0" w:type="dxa"/>
            <w:left w:w="0" w:type="dxa"/>
            <w:bottom w:w="0" w:type="dxa"/>
            <w:right w:w="0" w:type="dxa"/>
          </w:tblCellMar>
        </w:tblPrEx>
        <w:trPr>
          <w:trHeight w:val="330" w:hRule="atLeast"/>
        </w:trPr>
        <w:tc>
          <w:tcPr>
            <w:tcW w:w="99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sz w:val="22"/>
                <w:szCs w:val="22"/>
                <w:highlight w:val="none"/>
                <w:lang w:eastAsia="zh-CN"/>
              </w:rPr>
              <w:t>序号</w:t>
            </w:r>
          </w:p>
        </w:tc>
        <w:tc>
          <w:tcPr>
            <w:tcW w:w="175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lang w:bidi="ar"/>
              </w:rPr>
              <w:t>产品名称</w:t>
            </w:r>
          </w:p>
        </w:tc>
        <w:tc>
          <w:tcPr>
            <w:tcW w:w="2132"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检测费</w:t>
            </w:r>
          </w:p>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lang w:bidi="ar"/>
              </w:rPr>
              <w:t>批/元(最高限价)</w:t>
            </w:r>
          </w:p>
        </w:tc>
        <w:tc>
          <w:tcPr>
            <w:tcW w:w="220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lang w:val="en-US" w:eastAsia="zh-CN" w:bidi="ar"/>
              </w:rPr>
              <w:t>检验依据</w:t>
            </w:r>
          </w:p>
        </w:tc>
        <w:tc>
          <w:tcPr>
            <w:tcW w:w="6635"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lang w:bidi="ar"/>
              </w:rPr>
              <w:t>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车用汽油</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17930-2016</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研究法辛烷值、抗爆指数、铅含量、馏程、胶质含量、硫含量、硫醇、铜片腐蚀、水溶性酸及碱、机械杂质及水分、苯、芳烃、烯烃、密度、铁含量、锰含量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车用柴油</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19147-2016</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硫含量、酸度、10%蒸余物残炭、灰分、铜片腐蚀、水分、机械杂质、运动黏度、凝点、冷滤点、闪点（闭口）、十六烷值、十六烷指数、馏程、密度、多环芳烃含量、总污染物含量、脂肪酸甲酯含量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尿素水溶液</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29518-2013</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尿素含量、密度、折光率、杂质含量(碱度)、杂质含量(缩二脲)、杂质含量(醛类)、杂质含量(不溶物)、杂质含量(磷酸盐)、杂质含量(钙)、杂质含量(铁)、杂质含量(铜)、杂质含量(锌)、杂质含量(铬)、杂质含量(镍)、杂质含量(铝)、杂质含量(镁)、杂质含量(钠)、杂质含量(钾)、一致性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家用燃气灶</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16410-2020</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气密性、热负荷、燃烧工况、温升、耐热冲击、耐重力冲击、安全装置、电点火装置、使用性能、电气性能、耐振动性能、耐跌落性能、包装承压性能、集成灶吸排油烟装置要求、结构的一般要求、灶结构、集成灶结构、使用交流电源灶具结构的特殊要求、材料的一般要求、密封材料、保温材料、导电材料、燃气导管及点火燃烧器导管、旋塞阀、喷嘴、喷嘴座、空气调节器（风门）、燃烧器、锅支架、盛液盘、熄火保护装置火焰检测器、集成灶、标志、包装、安装使用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5</w:t>
            </w:r>
          </w:p>
        </w:tc>
        <w:tc>
          <w:tcPr>
            <w:tcW w:w="1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可燃气体探测器</w:t>
            </w:r>
          </w:p>
        </w:tc>
        <w:tc>
          <w:tcPr>
            <w:tcW w:w="213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15322.1-2019</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报警动作值试验、方位试验、绝缘电阻试验、电气强度试验、电快速瞬变脉冲群抗扰度试验、高温（运行）试验、跌落试验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15322.2-2019</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报警动作值试验、方位试验、绝缘电阻试验、电气强度试验、电快速瞬变脉冲群抗扰度试验(不适用于仅以电池供电的试样)、高温（运行）试验、跌落试验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15322.3-2019</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报警动作值试验、方位试验、报警重复性试验、高速气流试验、高温（运行）试验、跌落试验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6</w:t>
            </w:r>
          </w:p>
        </w:tc>
        <w:tc>
          <w:tcPr>
            <w:tcW w:w="1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瓶装液化石油气调压器</w:t>
            </w:r>
          </w:p>
        </w:tc>
        <w:tc>
          <w:tcPr>
            <w:tcW w:w="213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CJ/T 50-2008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金属零部件、橡胶件耐液化石油气性能、塑料件耐液化石油气性能、防止改变状态措施、进口过滤网、呼吸孔、手轮螺纹及尺寸、出气口尺寸、表面处理、多功能调压器、多出气口调压器的出气口阀门、气密性、关闭压力、出口压力、调压静特性、强度、耐低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35844-2018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金属零部件、非金属零部件、一般要求、感压组件、调压组件、承压组件、接头组件、气密性、调压静特性、机械强度、压力或流量安全装置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7</w:t>
            </w:r>
          </w:p>
        </w:tc>
        <w:tc>
          <w:tcPr>
            <w:tcW w:w="1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燃气用具连接用软管</w:t>
            </w:r>
          </w:p>
        </w:tc>
        <w:tc>
          <w:tcPr>
            <w:tcW w:w="213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CJ/T 490-2016</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软管耐压性、软管气密性、软管摆动弯曲试验、接头耐安装性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41317-2022</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软管耐压性、软管气密性、软管弯曲性、软管接头耐安装性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CJ/T 197-2010</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软管耐压性、软管气密性、软管弯曲性、软管接头耐安装性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26002-2010</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软管弯曲性、软管气密性、软管耐压性、管件气密性、管件耐压性、管件通气性、管件耐应力腐蚀性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CJ/T 491-2016</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气密性、耐压性、弯曲性能耐拉伸性、拔出力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29993-2013</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老化性能、气密性、验证压力试验、软管的拉断性能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8</w:t>
            </w:r>
          </w:p>
        </w:tc>
        <w:tc>
          <w:tcPr>
            <w:tcW w:w="1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灭火器</w:t>
            </w:r>
          </w:p>
        </w:tc>
        <w:tc>
          <w:tcPr>
            <w:tcW w:w="213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4351.1-2005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质量、最小有效喷射时间、最小喷射距离、使用温度范围、结构要求、灭火剂、标志、颜色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4351.2-2005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化学成分(C,Mn ，Si，S ，P,Cr,Mo)、低倍组织、瓶体制造公差、瓶体壁厚、拉伸试验、冲击试验、冷弯试验、压扁试验、硬度、脱碳层深度、瓶体底部解剖、超声波探伤、瓶口螺纹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8109-2005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灭火剂、使用温度范围、有效喷射时间、喷射距离、使用温度范围内的喷射性能、结构要求、标志、颜色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消防接口</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12514.1-2005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基本尺寸、外观质量、操作力和操作力矩、密封性能、水压性能、抗跌落性能、耐腐蚀性能、标志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消防水带</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6246-2011</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外观质量、内径、长度、设计工作压力、试验压力、最小爆破压力、单位长度质量、延伸率、膨胀率、扭转方向、可弯曲性、衬里（或外覆层）物理力学性能、标志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11</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消防水枪</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8181-2005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基本参数、表面质量 、密封性能、耐水压强度、抗跌落性能、耐腐蚀性能、标志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12</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湿法硬质纤维板</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12626.2-2009</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厚度偏差、长度和宽度偏差、垂直度、板内密度偏差、含水率、外观质量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13</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电动自行车</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17761-2018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铭牌、整车编码、电动机编码、号牌安装位置、产品合格证、车速限值、制动性能、整车质量、尺寸限值、脚蹬间隙、突出物、防碰擦、车速提示音、鞍管安全线、鸣号装置、导线布线安装、短路保护、电气强度、制动断电功能、过流保护功能、防失控功能 、蓄电池的最大输出电压、蓄电池防篡改、使用说明书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14</w:t>
            </w:r>
          </w:p>
        </w:tc>
        <w:tc>
          <w:tcPr>
            <w:tcW w:w="1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电动自行车用充电器</w:t>
            </w:r>
          </w:p>
        </w:tc>
        <w:tc>
          <w:tcPr>
            <w:tcW w:w="213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36944-2018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充电参数、机械性能、电气性能、环境适用性能、其他要求、外观、标志、说明书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QB/T 2947.1-2008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对触及带电部件的防护、输入功率和电流、空载直流输出电压、发热、工作温度下的泄漏电流和电气强度、过载保护、机械强度、布线、输入、输出线及插头、安全标志、说明书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4706.18-2014</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分类、标志和说明、对触及带电部件的防护、输入功率和电流、发热、工作温度下的泄漏电流和电气强度、瞬态过电流、耐潮湿、泄漏电流和电气强度、变压器和相关电路的过载保护、非正常工作、稳定性和机械危险、机械强度、结构、内部布线、元件、电源连接和外部软线、外部导线用接线端子、接地措施、螺钉和连接、电气间隙、爬电距离和固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15</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电动自行车用蓄电池</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QB/T 2947.1-2008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对触及带电部件的防护、输入功率和电流、空载直流输出电压、发热、工作温度下的泄漏电流和电气强度、过载保护、机械强度、布线、输入、输出线及插头、安全标志、说明书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16</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应急照明灯具</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7000.2-2008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标记、结构、爬电距离和电气间隙、接地规定、接线端子、外部接线和内部接线、防触电保护、绝缘电阻和电气强度、安全功能、转换操作、高温操作、自容式应急灯具的蓄电池充电器、应急工作试验装置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17</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聚乙烯吹塑农用地面覆盖薄膜</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13735-2017</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厚度、厚度偏差、宽度极限偏差、净质量极限偏差、外观、拉伸负荷、断裂伸长率、直角撕裂负荷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18</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复混肥料(复合肥料)</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15063-2020</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观、总养分、水溶性磷占有效磷百分率、硝态氮、水分、粒度、氯离子、单一中量元素（有效钙）、单一中量元素（有效镁）、单一中量元素（总硫）、单一微量元素（铜、铁、锰、锌、硼、钼）、缩二脲含量、肥料中有毒有害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19</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尿素</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2440-2017</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外观、总氮、缩二脲、水分、亚甲基二脲、粒度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20</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太阳镜</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39552.1-2020</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结构与材料、透射比、透射比的均匀性、行路及驾驶用太阳镜、散射光、偏振镜片和偏振太阳镜、蓝光吸收率和透射比、紫外光谱吸收率和透射比、球镜度、散光度和棱镜度、太阳镜镜片尺寸、标志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21</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野营帐篷</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GB/Z 27735-2022</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拉绳系统的拉伸力、帐篷支架和金属孔眼的耐腐蚀、拉链的平拉强力、抗褪色、部件测试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22</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儿童少年矫正眼镜</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WS 219-2015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眼镜镜片、眼镜架、镜片顶焦度允差、柱镜轴位允许偏差、光学中心水平偏差、光学中心垂直互差、光学中心高度、棱镜度允许偏差、棱镜基底取向允许偏差、镜片色泽互差、镜片厚度、镜片表面质量及内在疵病、眼镜装配质量和整形要求、透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23</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玩具</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6675.4-2014、GB/T 22048-2015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特定元素迁移(铅、镉、铬、钡、口锑、砷、硒、汞)、塑料附件中特定邻苯二甲酸酯增塑剂的测定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24</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儿童书写台灯</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7000.4-2007</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标记、结构、爬电距离和电气间隙、接地规定、接线端子、外部和内部接线、防触电保护、防尘和防潮、绝缘电阻和电气强度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25</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过滤式消防自救呼吸器</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21976.7-2012</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结构、佩戴质量测定、金属材料表面质量、橡塑材料老化性能、材料阻燃性能、一氧化碳防护性能、滤烟性能、连接强度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0" w:hRule="atLeast"/>
        </w:trPr>
        <w:tc>
          <w:tcPr>
            <w:tcW w:w="990" w:type="dxa"/>
            <w:vMerge w:val="restart"/>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26</w:t>
            </w:r>
          </w:p>
        </w:tc>
        <w:tc>
          <w:tcPr>
            <w:tcW w:w="1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老视成镜</w:t>
            </w:r>
          </w:p>
        </w:tc>
        <w:tc>
          <w:tcPr>
            <w:tcW w:w="213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13511.1-2011</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标志、顶焦度偏差、光学中心水平距离偏差、光学中心单侧水平偏差、光学中心垂直互差、两镜片顶焦度互差、镜片的材料和表面的质量、装配质量、透射比要求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5"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13511.3-2019</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标志、顶焦度偏差、镜片的材料和表面质量、镜片的光透射比性能、镜架外观质量、镜片和镜圈的几何形状、顶焦度范围、两镜片顶焦度互差、光学中心水平偏差、光学中心单侧水平偏差、光学中心垂直互差</w:t>
            </w:r>
          </w:p>
        </w:tc>
      </w:tr>
    </w:tbl>
    <w:p>
      <w:pPr>
        <w:pStyle w:val="13"/>
        <w:rPr>
          <w:rFonts w:hint="eastAsia" w:ascii="仿宋" w:hAnsi="仿宋" w:eastAsia="仿宋" w:cs="仿宋"/>
          <w:color w:val="auto"/>
          <w:highlight w:val="none"/>
          <w:lang w:eastAsia="zh-CN"/>
        </w:rPr>
      </w:pPr>
    </w:p>
    <w:p>
      <w:pPr>
        <w:pStyle w:val="14"/>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pStyle w:val="59"/>
        <w:ind w:left="0" w:leftChars="0" w:firstLine="422" w:firstLineChars="200"/>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标项三：全区纺织消费品产品质量监督抽查项目</w:t>
      </w:r>
    </w:p>
    <w:tbl>
      <w:tblPr>
        <w:tblStyle w:val="30"/>
        <w:tblW w:w="137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2"/>
        <w:gridCol w:w="1755"/>
        <w:gridCol w:w="2175"/>
        <w:gridCol w:w="2160"/>
        <w:gridCol w:w="6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cs="宋体"/>
                <w:b/>
                <w:bCs/>
                <w:color w:val="auto"/>
                <w:sz w:val="22"/>
                <w:szCs w:val="22"/>
                <w:highlight w:val="none"/>
                <w:lang w:eastAsia="zh-CN"/>
              </w:rPr>
              <w:t>序号</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宋体" w:hAnsi="宋体" w:cs="宋体"/>
                <w:b/>
                <w:bCs/>
                <w:color w:val="auto"/>
                <w:kern w:val="0"/>
                <w:sz w:val="22"/>
                <w:szCs w:val="22"/>
                <w:highlight w:val="none"/>
                <w:lang w:bidi="ar"/>
              </w:rPr>
              <w:t>产品名称</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检测费</w:t>
            </w:r>
          </w:p>
          <w:p>
            <w:pPr>
              <w:widowControl/>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宋体" w:hAnsi="宋体" w:cs="宋体"/>
                <w:b/>
                <w:bCs/>
                <w:color w:val="auto"/>
                <w:kern w:val="0"/>
                <w:sz w:val="22"/>
                <w:szCs w:val="22"/>
                <w:highlight w:val="none"/>
                <w:lang w:bidi="ar"/>
              </w:rPr>
              <w:t>批/元(最高限价)</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宋体" w:hAnsi="宋体" w:eastAsia="宋体" w:cs="宋体"/>
                <w:b/>
                <w:bCs/>
                <w:color w:val="auto"/>
                <w:kern w:val="0"/>
                <w:sz w:val="22"/>
                <w:szCs w:val="22"/>
                <w:highlight w:val="none"/>
                <w:lang w:val="en-US" w:eastAsia="zh-CN" w:bidi="ar"/>
              </w:rPr>
              <w:t>检验依据</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宋体" w:hAnsi="宋体" w:cs="宋体"/>
                <w:b/>
                <w:bCs/>
                <w:color w:val="auto"/>
                <w:kern w:val="0"/>
                <w:sz w:val="22"/>
                <w:szCs w:val="22"/>
                <w:highlight w:val="none"/>
                <w:lang w:bidi="ar"/>
              </w:rPr>
              <w:t>检测项目明细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衬衫</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2660-2017</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耐皂洗色牢度、耐干洗色牢度、耐水色牢度、耐摩擦色牢度、耐光色牢度、耐汗渍色牢度、撕破强力、甲醛含量、pH值、异味、可分解芳香胺染料、纤维含量、残留金属针或金属锐利物、儿童服装安全性能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FZ/T 73043-2020</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纤维含量、甲醛含量、pH值、异味、可分解致癌芳香胺染料、顶破强力、起球、耐光、汗色牢度、耐光色牢度、耐水色牢度、耐皂洗色牢度、耐干洗色牢度、耐汗渍色牢度、耐摩擦色牢度、拼接互染程度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成人服装</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8878-2014</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顶破强力、纤维含量、甲醛含量、pH值、异味、可分解致癌芳香胺染料、耐水色牢度、耐皂洗色牢度、 耐汗渍色牢度、耐摩擦色牢度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22849-2014</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纤维含量、甲醛含量、pH值、异味、可分解致癌芳香胺染料、顶破强力、起球、耐光、汗色牢度、耐人造光色牢度、耐皂洗色牢度、印(烫)花耐皂洗色牢度、耐水色牢度、耐汗渍色牢度、耐摩擦色牢度、印(烫)花色牢度、拼接互染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22853-2019</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起球、耐皂洗色牢度、印(烫)花耐皂洗色牢度、耐水色牢度、耐汗渍色牢度、耐摩擦色牢度、印(烫)花色牢度、耐光色牢度、耐光、汗复合色牢度、拼接互染色牢度、甲醛含量、 顶破强力、pH值、异味、可分解致癌芳香胺染料、纤维含量、色差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FZ/T 73017-2014</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顶破强力、 纤维含量、甲醛含量、pH值、异味、可分解致癌芳香胺染料、耐皂洗色牢度、耐水色牢度、耐汗渍色牢度、耐摩擦色牢度、拼接互染程度、起球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FZ/T 81007-2022</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纤维含量、甲醛含量、pH值、可分解芳香胺染料、异味、耐干洗色牢度、耐皂洗色牢度、耐摩擦色牢度、耐光色牢度、耐汗渍色牢度、耐水色牢度、拼接互染色牢度、起球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FZ/T 81006-2017</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耐皂洗色牢度、耐光色牢度、耐摩擦色牢度、耐水色牢度、耐汗渍色牢度、耐唾液色牢度、耐磨性能、甲醛含量、pH值、异味可分解致癌芳香胺染料、纤维含量、钮扣附着强力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FZ/T 81010-2018</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儿童服装安全性能、耐皂洗色牢度、耐干洗色牢度、耐光色牢度、耐热压色牢度、拼接互染色牢度、附件尖端和边缘的锐利性、纤维含量、甲醛含量、pH值、异味、可分解芳香胺染料、耐汗渍色牢度、耐水色牢度、耐摩擦色牢度、染料迁移性能、酚黄化色牢度、起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儿童及婴幼儿服装</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31900-2015</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耐皂洗色牢度、儿童上衣拉带安全规格、童装绳索和拉带安全要求、其他理化性能项目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33271-2016</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纤维成分和含量、甲醛含量、pH值、异味、可分解致癌芳香胺染料、可萃取重金属、汞、砷、耐摩擦色牢度、耐洗色牢度、耐汗渍色牢度、耐水色牢度、耐唾液色牢度、衣带缝纫强力、附件拉力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22853-2019</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起球、耐皂洗色牢度、印(烫)花耐皂洗色牢度、耐水色牢度、耐汗渍色牢度、耐摩擦色牢度、印(烫)花色牢度、耐光色牢度、耐光、汗复合色牢度、拼接互染色牢度、甲醛含量、顶破强力、pH值、异味、可分解致癌芳香胺染料、纤维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39508-2020</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纤维含量、甲醛含量、pH值、异味、可分解致癌芳香胺染料、顶破强力、起球、耐唾液色牢度、耐水色牢度、耐汗渍色牢度、耐皂洗色牢度、耐摩擦色牢度、耐干洗色牢度、耐光色牢度、耐光、汗复合色牢度、拼接互染色牢度、衣带抗拉强力、可萃取重金属、重金属含量、邻苯二甲酸酯含量、燃烧性能、附件及填充物、残留金属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FZ/T 73025-2019</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纤维含量、甲醛含量、pH值、异味、重金属、邻苯二甲酸酯、燃烧性能、附件、填充物、可分解致癌芳香胺染料、可萃取重金属、起球、衣带抗拉强力、耐水色牢度、耐皂洗色牢度、耐汗渍色牢度、耐摩擦色牢度、耐唾液色牢度、拼接互染程度、残留金属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FZ/T 73045-2013</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顶破强力、耐皂洗色牢度、印(烫)花耐皂洗色牢度、耐汗渍色牢度、耐水色牢度、耐摩擦色牢度、印(烫)花色牢度、耐光色牢度、耐光、汗复合色牢度、起球、甲醛含量、pH值、异味、可分解致癌芳香胺染料、纤维含量、拼接互染程度、童装绳索和拉带安全要求、残留金属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FZ/T 81014-2008</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纤维成分和含量、甲醛含量 、pH值、异味、可分解致癌芳香胺染料、可萃取重金属、汞、砷 、耐摩擦色牢度、耐洗色牢度、耐汗渍色牢度、耐水色牢度、耐唾液色牢度、衣带缝纫强力、附件拉力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童鞋</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30585-2014</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锐利边缘测定、锐利尖点测定、断针检测、小附件抗拉强力、异味、皮革和毛皮中六价铬含量、可分解有害芳香胺、甲醛含量、重金属总含量、富马酸二甲酯含量、亚硝酸含量、邻苯二甲酸盐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QB/T 4331-2021</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帮底剥离强度或底墙与帮面剥离强度、成鞋耐折性能、外底耐磨性能、帮面材料低温屈挠指标、衬里和内垫耐摩擦色牢度、外底硬度 、外底和外中底粘合强度、异味、纺织品中可分解致癌芳香胺染料含量、皮革中可致分解癌芳香胺染料含量、 纺织品中甲醛含量、皮革中甲醛含量、重金属总含量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QB/T 2880-2016</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耐折性能、耐磨性能、剥离强度、硬度、粘合强度、鞋帮拉出强度、耐摩擦色牢度、低温耐折性能、锐利边缘测定、锐利尖点测定、断针检测、小附件抗拉强力、异味、皮革和毛皮中六价铬含量、可分解有害芳香胺、甲醛含量、重金属总含量、富马酸二甲酯含量、亚硝酸含量、邻苯二甲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5</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旅游休闲鞋</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GB/T 15107-2013   </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帮底剥离强度或底墙与帮面剥离强度、成鞋耐折性能、外底耐磨性能、外底与外中底粘合强度、可分解致癌芳香胺染料、游离或可部分水解的甲醛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QB/T 2955-2017  </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耐折性能、外底耐磨性能、剥离强度、鞋帮拉出强度、外底与外中底粘合强度、可分解有害芳香胺、游离或可部分水解的甲醛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6</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皮凉鞋</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GB/T 22756-2017</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耐折性能、外底耐磨性能、帮底剥离强度、帮带拉出强度、成型底鞋跟硬度、外底与外中底粘合强度、鞋跟结合力、勾心纵向刚度、勾心硬度、勾心长度、勾心弯曲性能、中底纵向刚度、跟面耐磨性能、可分解有害芳香胺染料、甲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7</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皮鞋</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QB/T 1002-2015  </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帮底剥离强度、外底与外中底黏合强度、鞋帮拉出强度、成鞋耐折性能、外底耐磨性能、跟面耐磨性能、鞋跟结合力、成型底鞋跟硬度、衬里和内垫材料的耐摩擦色牢度、勾心纵向刚度、勾心硬度、勾心长度、勾心弯曲性能、中底纵向刚度、游离或可部分水解的甲醛、可分解有害芳香胺染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8</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背提包</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QB/T 1333—2018</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振荡冲击性能、缝合强度、游离甲醛含量、可分解有害芳香胺染料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伞类产品安全通用技术条件</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31892-2015</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伞帽或伞顶尖（套）、珠尾、使用安全要求、甲醛含量、可分解有害芳香胺染料、伞面防紫外线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rPr>
            </w:pPr>
            <w:r>
              <w:rPr>
                <w:rFonts w:hint="eastAsia" w:ascii="仿宋" w:hAnsi="仿宋" w:eastAsia="仿宋" w:cs="仿宋"/>
                <w:i w:val="0"/>
                <w:color w:val="auto"/>
                <w:kern w:val="0"/>
                <w:sz w:val="21"/>
                <w:szCs w:val="21"/>
                <w:highlight w:val="none"/>
                <w:u w:val="none"/>
                <w:lang w:val="en-US" w:eastAsia="zh-CN" w:bidi="ar"/>
              </w:rPr>
              <w:t>10</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儿童伞安全技术要求</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GB 28477-2012</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使用安全要求、伞帽或伞顶尖（套）、珠尾、部件结合牢度、甲醛含量、可分解有害芳香胺染料、冲击强度、伞带扣拉力、饰件</w:t>
            </w:r>
          </w:p>
        </w:tc>
      </w:tr>
    </w:tbl>
    <w:p>
      <w:pPr>
        <w:pStyle w:val="59"/>
        <w:ind w:left="0" w:lef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备注：</w:t>
      </w:r>
    </w:p>
    <w:p>
      <w:pPr>
        <w:pStyle w:val="59"/>
        <w:ind w:left="0" w:leftChars="0"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1.1如上述三个标项检测标准与现行有效检测标准不符，以最新现行有效检测标准为准。</w:t>
      </w:r>
    </w:p>
    <w:p>
      <w:pPr>
        <w:pStyle w:val="59"/>
        <w:ind w:left="0" w:leftChars="0"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1.2本项目报价以单项检测费为上限价，投标人按折扣率（折扣率90%即打九折）报价。</w:t>
      </w:r>
    </w:p>
    <w:p>
      <w:pPr>
        <w:pStyle w:val="59"/>
        <w:ind w:left="0" w:leftChars="0"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1.3下述内容及商务要求为标项一、标项二、标项三共同部分要求</w:t>
      </w:r>
    </w:p>
    <w:p>
      <w:pPr>
        <w:outlineLvl w:val="0"/>
        <w:rPr>
          <w:rFonts w:hint="eastAsia" w:ascii="仿宋" w:hAnsi="仿宋" w:eastAsia="仿宋" w:cs="仿宋"/>
          <w:b/>
          <w:color w:val="auto"/>
          <w:sz w:val="24"/>
          <w:szCs w:val="24"/>
          <w:highlight w:val="none"/>
          <w:lang w:eastAsia="zh-CN"/>
        </w:rPr>
        <w:sectPr>
          <w:pgSz w:w="16840" w:h="11907" w:orient="landscape"/>
          <w:pgMar w:top="1803" w:right="1440" w:bottom="1463" w:left="1440" w:header="851" w:footer="992" w:gutter="0"/>
          <w:pgNumType w:start="1"/>
          <w:cols w:space="0" w:num="1"/>
          <w:rtlGutter w:val="0"/>
          <w:docGrid w:type="lines" w:linePitch="320" w:charSpace="0"/>
        </w:sectPr>
      </w:pPr>
    </w:p>
    <w:p>
      <w:pPr>
        <w:pageBreakBefore w:val="0"/>
        <w:kinsoku/>
        <w:wordWrap/>
        <w:overflowPunct/>
        <w:topLinePunct w:val="0"/>
        <w:bidi w:val="0"/>
        <w:spacing w:line="336" w:lineRule="auto"/>
        <w:textAlignment w:val="auto"/>
        <w:outlineLvl w:val="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lang w:eastAsia="zh-CN"/>
        </w:rPr>
        <w:t>、工作要求</w:t>
      </w:r>
    </w:p>
    <w:p>
      <w:pPr>
        <w:keepNext w:val="0"/>
        <w:keepLines w:val="0"/>
        <w:pageBreakBefore w:val="0"/>
        <w:widowControl w:val="0"/>
        <w:numPr>
          <w:ilvl w:val="0"/>
          <w:numId w:val="0"/>
        </w:numPr>
        <w:tabs>
          <w:tab w:val="left" w:pos="9135"/>
        </w:tabs>
        <w:kinsoku/>
        <w:wordWrap/>
        <w:overflowPunct/>
        <w:topLinePunct w:val="0"/>
        <w:autoSpaceDE w:val="0"/>
        <w:autoSpaceDN w:val="0"/>
        <w:bidi w:val="0"/>
        <w:adjustRightInd w:val="0"/>
        <w:snapToGrid/>
        <w:spacing w:line="336" w:lineRule="auto"/>
        <w:ind w:leftChars="0" w:firstLine="480" w:firstLineChars="200"/>
        <w:textAlignment w:val="auto"/>
        <w:rPr>
          <w:rStyle w:val="57"/>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bidi="ar-SA"/>
        </w:rPr>
        <w:t>3.1抽检范围：绍兴市越城区行政区域范围内的相关产品生产单位和经营单位，投标报价时应考虑全部的风险因素。</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Style w:val="57"/>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bidi="ar-SA"/>
        </w:rPr>
        <w:t>3.2完成期限：本项目的抽检任务应在采购人要求期限内完成，整个服务在2024年12月31日前完成。</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Style w:val="57"/>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bidi="ar-SA"/>
        </w:rPr>
        <w:t>3.3严格按照《产品质量法》、《产品质量监督抽查管理暂行办法》、《浙江省产品质量监督管理条例》、《浙江省检验机构管理条例》、《浙江省产品质量监督抽查工作实施办法（试行）》、任务下达文件（委托书）等相关要求开展监督抽查中的产品采样、企业信息调查、检验检测、质量分析、报告寄送、信息录入维护（浙江省产品质量智慧监管平台，包括抽检数据、企业信息等）等，确保监督抽查公正性和有效性。</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Style w:val="57"/>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bidi="ar-SA"/>
        </w:rPr>
        <w:t>3.4本次招标针对本项目产品技术服务进行采购，涉及费用包括抽样技术服务费、检验技术服务费，抽样技术服务费包括抽样人员差旅费、样品的购置费、销毁样品的处置费、抽查文书和样品（含检毕样品）邮递费；检验技术服务费为样品检验费（含复检、复查检验费用）。采购人按合同约定支付费用。上述全部费用包含在本项目的预算中，费用报价不得高于对应的预算金额。</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Style w:val="57"/>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bidi="ar-SA"/>
        </w:rPr>
        <w:t>3.5中标供应商应具有相应的承担产品质量监督抽检的保障能力，包括但不限于人员（抽样和检测）、车辆交通、检测设备、检测场所等。</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Style w:val="57"/>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bidi="ar-SA"/>
        </w:rPr>
        <w:t>3.6中标供应商应具有能全部覆盖所投产品检验项目的检验能力，且不得以任何方式转包、分包。检验机构若因设备损坏等影响任务完成时间等客观原因，在征得采购人同意的前提下，方可进行产品中部分检测项目分包。</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Style w:val="57"/>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bidi="ar-SA"/>
        </w:rPr>
        <w:t>3.7中标供应商对采购人所有服务信息应当保密，未经采购人同意不得外泄外传、内部使用；采购人因工作原因，需要获取抽样、检测等过程相关信息时，抽检单位、承检机构应当及时提供。</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Style w:val="57"/>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bidi="ar-SA"/>
        </w:rPr>
        <w:t>3.8抽样过程需全程录像，录像内容由抽样机构自行保管，保管期限为合同期满后6个月，到期后方可删除。保管期限内采购人有权随时调取录像视频并拷贝。</w:t>
      </w:r>
    </w:p>
    <w:p>
      <w:pPr>
        <w:pageBreakBefore w:val="0"/>
        <w:kinsoku/>
        <w:wordWrap/>
        <w:overflowPunct/>
        <w:topLinePunct w:val="0"/>
        <w:bidi w:val="0"/>
        <w:spacing w:line="336" w:lineRule="auto"/>
        <w:textAlignment w:val="auto"/>
        <w:outlineLvl w:val="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lang w:eastAsia="zh-CN"/>
        </w:rPr>
        <w:t>、服务质量要求</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Style w:val="57"/>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bidi="ar-SA"/>
        </w:rPr>
        <w:t>4.1抽样</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Style w:val="57"/>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bidi="ar-SA"/>
        </w:rPr>
        <w:t>（1）抽样时间：按照采购人实际需求确定的任务，中标供应商在接到采购人抽样计划通知后，在规定要求时间内完成抽样。</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Style w:val="57"/>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bidi="ar-SA"/>
        </w:rPr>
        <w:t>（2）抽样地点：根据采购人实际工作要求，由采购人确定具体抽样地点进行抽样，如果改变抽样地点必须经采购人同意。</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Style w:val="57"/>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bidi="ar-SA"/>
        </w:rPr>
        <w:t>（3）抽样条件：每次抽样时，中标供应商至少安排2名以上技术娴熟的专业人员现场抽样，并自行配齐交通、采样器具、贮存设施等采样工具；同时根据采购人的紧急抽样工作要求，中标供应商应当至少同时出动2组以上（4名技术以上娴熟的专业抽样人员）承担抽样任务；整个抽样过程必须全程录像，并确保视频资料清晰完整。</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Style w:val="57"/>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bidi="ar-SA"/>
        </w:rPr>
        <w:t>（4）抽检分离：中标供应商必须满足抽检分离的要求，除现场检验外，抽样人员不得承担其抽样产品的检验工作。</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Style w:val="57"/>
          <w:rFonts w:hint="eastAsia" w:ascii="仿宋" w:hAnsi="仿宋" w:eastAsia="仿宋" w:cs="仿宋"/>
          <w:color w:val="auto"/>
          <w:kern w:val="0"/>
          <w:sz w:val="24"/>
          <w:szCs w:val="24"/>
          <w:highlight w:val="none"/>
          <w:lang w:val="en-US" w:eastAsia="zh-CN" w:bidi="ar-SA"/>
        </w:rPr>
        <w:t>（5）抽样办法：</w:t>
      </w:r>
      <w:r>
        <w:rPr>
          <w:rFonts w:hint="eastAsia" w:ascii="仿宋" w:hAnsi="仿宋" w:eastAsia="仿宋" w:cs="仿宋"/>
          <w:color w:val="auto"/>
          <w:kern w:val="0"/>
          <w:sz w:val="24"/>
          <w:szCs w:val="24"/>
          <w:highlight w:val="none"/>
        </w:rPr>
        <w:t>抽样人员应当核对被抽样经营者的营业执照、许可证等资质证明文件。抽样人员应按照相关安全法律法规规定的采样方法抽取样品，抽样数量原则上应当满足检验和复检的要求。</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样品费用支付：需要购买样品的产品，抽样人员应按规定向被抽检人支付监督抽检的样品购买费。</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确认样品：样品须按照法律法规和相关国家安全标准、行业标准、地方标准的规定，分为检验样品和复检备份样品。抽样人员应当采取有效的防拆封措施，对复检备份样品单独封样由抽样人员、被抽检人或其依法指定的代表签字或者盖章确认、加贴封条。</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8）文书记录：抽样人员应当使用规范的抽样文书，准确、详细、客观地记录抽样信息，认真填写《抽样单》，须与被抽检人或其依法指定的代表在《抽样单》上签名（盖章），应尽量通过拍照、录像、留存购物票据等方式保存抽样信息。中标供应商对抽样过程及《抽样单》记录内容的合法性、真实性负责，《抽样单》等抽样记录材料保存期限不得少于2年。</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Style w:val="57"/>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bidi="ar-SA"/>
        </w:rPr>
        <w:t>（9）样品贮存运输：样品抽样、运输以及检验过程中的贮存必须符合国家相关产品安全标准或产品的保存属性要求，确保样品安全有效。</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)样品保管：由</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负责，接收监督抽检的样品时，应当查验、记录样品的外观、状态、封条有无破损以及其他可能对对检验结果或者综合判定产生影响的情况，并确认样品与抽样文书的记录相符，对检验样品和复检备份样品分别加贴相应标识后，依照法律法规和相关安全标准规定及商品标签要求的方式、条件保存，确保样品不遗失、不调换、不损坏，并按照</w:t>
      </w:r>
      <w:r>
        <w:rPr>
          <w:rFonts w:hint="eastAsia" w:ascii="仿宋" w:hAnsi="仿宋" w:eastAsia="仿宋" w:cs="仿宋"/>
          <w:color w:val="auto"/>
          <w:kern w:val="0"/>
          <w:sz w:val="24"/>
          <w:szCs w:val="24"/>
          <w:highlight w:val="none"/>
          <w:lang w:eastAsia="zh-CN"/>
        </w:rPr>
        <w:t>相关规定</w:t>
      </w:r>
      <w:r>
        <w:rPr>
          <w:rFonts w:hint="eastAsia" w:ascii="仿宋" w:hAnsi="仿宋" w:eastAsia="仿宋" w:cs="仿宋"/>
          <w:color w:val="auto"/>
          <w:kern w:val="0"/>
          <w:sz w:val="24"/>
          <w:szCs w:val="24"/>
          <w:highlight w:val="none"/>
        </w:rPr>
        <w:t>进行销毁等处理。检验发现样品抽取不规范或有其他问题的，应及时向采购人报告，按采购人的意见处置。</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应及时报告产品质量监督抽查情况，并</w:t>
      </w:r>
      <w:r>
        <w:rPr>
          <w:rFonts w:hint="eastAsia" w:ascii="仿宋" w:hAnsi="仿宋" w:eastAsia="仿宋" w:cs="仿宋"/>
          <w:color w:val="auto"/>
          <w:kern w:val="0"/>
          <w:sz w:val="24"/>
          <w:szCs w:val="24"/>
          <w:highlight w:val="none"/>
          <w:lang w:eastAsia="zh-CN"/>
        </w:rPr>
        <w:t>定期整理</w:t>
      </w:r>
      <w:r>
        <w:rPr>
          <w:rFonts w:hint="eastAsia" w:ascii="仿宋" w:hAnsi="仿宋" w:eastAsia="仿宋" w:cs="仿宋"/>
          <w:color w:val="auto"/>
          <w:kern w:val="0"/>
          <w:sz w:val="24"/>
          <w:szCs w:val="24"/>
          <w:highlight w:val="none"/>
        </w:rPr>
        <w:t>将汇总表报送采购人，计划内无法抽到样品的，要说明原因。</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Style w:val="57"/>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要建立监督抽查样品的管理规范，应有样品登记、编号等流转记录，配备必要的设备设施，在规定条件下保存备样，确保备样的有效性。对检验结论为不合格的产品，其备样应保留至被抽查单位不合格后处理工作结束后方可处置。</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4.2</w:t>
      </w:r>
      <w:r>
        <w:rPr>
          <w:rFonts w:hint="eastAsia" w:ascii="仿宋" w:hAnsi="仿宋" w:eastAsia="仿宋" w:cs="仿宋"/>
          <w:b w:val="0"/>
          <w:bCs/>
          <w:color w:val="auto"/>
          <w:kern w:val="0"/>
          <w:sz w:val="24"/>
          <w:szCs w:val="24"/>
          <w:highlight w:val="none"/>
        </w:rPr>
        <w:t>检验及结果报告</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（1）检验实验室：所有样品必须在响应文件中明确的承担本项目检测的实验室中进行检测。</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（2）检验依据：依照法律法规和相关国家安全标准、行业标准、地方标准、备案有效的企业标准。</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（3）检验方法：</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应当对检验工作负责，须按照法律法规、国家安全标准、行业标准、地方标准、备案有效的企业标准和检验技术要求开展检验工作，如实、准确、完整、及时地填写检验原始记录，保证检验工作的科学、独立、客观和规范。</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（4）结果判定：</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应根据国家相关标准进行判定检测项目是否合格并出具检查结果，同时</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要对检测结果进行综合评价和原因分析，并作出消费</w:t>
      </w:r>
      <w:r>
        <w:rPr>
          <w:rFonts w:hint="eastAsia" w:ascii="仿宋" w:hAnsi="仿宋" w:eastAsia="仿宋" w:cs="仿宋"/>
          <w:color w:val="auto"/>
          <w:kern w:val="0"/>
          <w:sz w:val="24"/>
          <w:szCs w:val="24"/>
          <w:highlight w:val="none"/>
          <w:lang w:eastAsia="zh-CN"/>
        </w:rPr>
        <w:t>警示</w:t>
      </w:r>
      <w:r>
        <w:rPr>
          <w:rFonts w:hint="eastAsia" w:ascii="仿宋" w:hAnsi="仿宋" w:eastAsia="仿宋" w:cs="仿宋"/>
          <w:color w:val="auto"/>
          <w:kern w:val="0"/>
          <w:sz w:val="24"/>
          <w:szCs w:val="24"/>
          <w:highlight w:val="none"/>
        </w:rPr>
        <w:t>。</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出具结果：中标供应商须在收到样品之日起25个工作日内出具检测报告，特殊项目检测周期较长的可适当延长检测时间，出具的检验报告应具有相关执法效力。在出具检测报告之日起五个工作日内，并将相关抽样单、检验报告抽查和检验情况汇总表等资料严格按照《浙江省产品质量监督抽查工作实施办法（试行）》要求进行寄送和报送。中标供应商负责核查销售者、生产者和标称生产者的检验结果送达情况，并汇总《企业检验结果送达表》报送采购人。</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应对检测结果做出抽查检验情况分析报告（应包括不合格项目原因分析和消费</w:t>
      </w:r>
      <w:r>
        <w:rPr>
          <w:rFonts w:hint="eastAsia" w:ascii="仿宋" w:hAnsi="仿宋" w:eastAsia="仿宋" w:cs="仿宋"/>
          <w:color w:val="auto"/>
          <w:kern w:val="0"/>
          <w:sz w:val="24"/>
          <w:szCs w:val="24"/>
          <w:highlight w:val="none"/>
          <w:lang w:eastAsia="zh-CN"/>
        </w:rPr>
        <w:t>警示</w:t>
      </w:r>
      <w:r>
        <w:rPr>
          <w:rFonts w:hint="eastAsia" w:ascii="仿宋" w:hAnsi="仿宋" w:eastAsia="仿宋" w:cs="仿宋"/>
          <w:color w:val="auto"/>
          <w:kern w:val="0"/>
          <w:sz w:val="24"/>
          <w:szCs w:val="24"/>
          <w:highlight w:val="none"/>
        </w:rPr>
        <w:t>等）并报送给采购人，应及时将检测数据录入“浙江省产品质量智慧监管平台”。</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（7）若需要复检的，则应由采购人指定的具有复检资质的第三方机构进行复检，初检机构应配合复检机构完成样品交接等复检工作，并承担合理的备样寄送费用。</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b w:val="0"/>
          <w:bCs/>
          <w:color w:val="auto"/>
          <w:kern w:val="0"/>
          <w:sz w:val="24"/>
          <w:szCs w:val="24"/>
          <w:highlight w:val="none"/>
        </w:rPr>
        <w:t>3、抽检质量要求</w:t>
      </w:r>
    </w:p>
    <w:p>
      <w:pPr>
        <w:keepNext w:val="0"/>
        <w:keepLines w:val="0"/>
        <w:pageBreakBefore w:val="0"/>
        <w:widowControl/>
        <w:shd w:val="clear" w:color="auto" w:fill="FFFFFF"/>
        <w:kinsoku/>
        <w:wordWrap/>
        <w:overflowPunct/>
        <w:topLinePunct w:val="0"/>
        <w:autoSpaceDE/>
        <w:autoSpaceDN/>
        <w:bidi w:val="0"/>
        <w:adjustRightInd/>
        <w:snapToGrid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）检验与结果判定：中标供应商</w:t>
      </w:r>
      <w:r>
        <w:rPr>
          <w:rFonts w:hint="eastAsia" w:ascii="仿宋" w:hAnsi="仿宋" w:eastAsia="仿宋" w:cs="仿宋"/>
          <w:color w:val="auto"/>
          <w:kern w:val="0"/>
          <w:sz w:val="24"/>
          <w:szCs w:val="24"/>
          <w:highlight w:val="none"/>
          <w:lang w:val="en-US" w:eastAsia="zh-CN"/>
        </w:rPr>
        <w:t>实施产品检验检测时，必须按照采购</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lang w:val="en-US" w:eastAsia="zh-CN"/>
        </w:rPr>
        <w:t>抽检（专项）方案中明确的省级监督抽查评价规则或</w:t>
      </w:r>
      <w:r>
        <w:rPr>
          <w:rFonts w:hint="eastAsia" w:ascii="仿宋" w:hAnsi="仿宋" w:eastAsia="仿宋" w:cs="仿宋"/>
          <w:color w:val="auto"/>
          <w:kern w:val="0"/>
          <w:sz w:val="24"/>
          <w:szCs w:val="24"/>
          <w:highlight w:val="none"/>
          <w:lang w:eastAsia="zh-CN"/>
        </w:rPr>
        <w:t>采购人发布的评价细则要求的</w:t>
      </w:r>
      <w:r>
        <w:rPr>
          <w:rFonts w:hint="eastAsia" w:ascii="仿宋" w:hAnsi="仿宋" w:eastAsia="仿宋" w:cs="仿宋"/>
          <w:color w:val="auto"/>
          <w:kern w:val="0"/>
          <w:sz w:val="24"/>
          <w:szCs w:val="24"/>
          <w:highlight w:val="none"/>
          <w:lang w:val="en-US" w:eastAsia="zh-CN"/>
        </w:rPr>
        <w:t>检测</w:t>
      </w: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检验方法</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判定依据</w:t>
      </w:r>
      <w:r>
        <w:rPr>
          <w:rFonts w:hint="eastAsia" w:ascii="仿宋" w:hAnsi="仿宋" w:eastAsia="仿宋" w:cs="仿宋"/>
          <w:color w:val="auto"/>
          <w:kern w:val="0"/>
          <w:sz w:val="24"/>
          <w:szCs w:val="24"/>
          <w:highlight w:val="none"/>
          <w:lang w:val="en-US" w:eastAsia="zh-CN"/>
        </w:rPr>
        <w:t>进行检验和判定。</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（2）质控管理：</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具有完善的检测规范和检测</w:t>
      </w:r>
      <w:r>
        <w:rPr>
          <w:rFonts w:hint="eastAsia" w:ascii="仿宋" w:hAnsi="仿宋" w:eastAsia="仿宋" w:cs="仿宋"/>
          <w:color w:val="auto"/>
          <w:kern w:val="0"/>
          <w:sz w:val="24"/>
          <w:szCs w:val="24"/>
          <w:highlight w:val="none"/>
          <w:lang w:eastAsia="zh-CN"/>
        </w:rPr>
        <w:t>质量</w:t>
      </w:r>
      <w:r>
        <w:rPr>
          <w:rFonts w:hint="eastAsia" w:ascii="仿宋" w:hAnsi="仿宋" w:eastAsia="仿宋" w:cs="仿宋"/>
          <w:color w:val="auto"/>
          <w:kern w:val="0"/>
          <w:sz w:val="24"/>
          <w:szCs w:val="24"/>
          <w:highlight w:val="none"/>
        </w:rPr>
        <w:t>管理制度，有良好的检测信誉。严格遵守国家法律、法规，严格按照国家标准、检测技术规范执行，保证和维护检测工作的科学性、公正性、诚实性、判断独立性，确保向社会提供高质量的服务。</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color w:val="auto"/>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其他质量保证要求：</w:t>
      </w:r>
      <w:r>
        <w:rPr>
          <w:rFonts w:hint="eastAsia" w:ascii="仿宋" w:hAnsi="仿宋" w:eastAsia="仿宋" w:cs="仿宋"/>
          <w:color w:val="auto"/>
          <w:kern w:val="0"/>
          <w:sz w:val="24"/>
          <w:szCs w:val="24"/>
          <w:highlight w:val="none"/>
          <w:lang w:eastAsia="zh-CN"/>
        </w:rPr>
        <w:t>中标供应商必须满足采购人对抽样和检验检测其他相关质量保证的要求。</w:t>
      </w:r>
    </w:p>
    <w:p>
      <w:pPr>
        <w:pStyle w:val="3"/>
        <w:keepNext/>
        <w:keepLines/>
        <w:pageBreakBefore w:val="0"/>
        <w:widowControl w:val="0"/>
        <w:suppressLineNumbers w:val="0"/>
        <w:suppressAutoHyphens w:val="0"/>
        <w:kinsoku/>
        <w:wordWrap/>
        <w:overflowPunct/>
        <w:topLinePunct w:val="0"/>
        <w:bidi w:val="0"/>
        <w:spacing w:before="0" w:after="0" w:line="336" w:lineRule="auto"/>
        <w:textAlignment w:val="auto"/>
        <w:rPr>
          <w:rFonts w:hint="eastAsia" w:ascii="仿宋"/>
          <w:color w:val="auto"/>
          <w:highlight w:val="none"/>
        </w:rPr>
      </w:pPr>
      <w:r>
        <w:rPr>
          <w:rFonts w:hint="eastAsia" w:ascii="仿宋"/>
          <w:color w:val="auto"/>
          <w:highlight w:val="none"/>
        </w:rPr>
        <w:t>二、商务要求</w:t>
      </w:r>
      <w:bookmarkEnd w:id="51"/>
      <w:bookmarkEnd w:id="52"/>
    </w:p>
    <w:p>
      <w:pPr>
        <w:pageBreakBefore w:val="0"/>
        <w:widowControl/>
        <w:kinsoku/>
        <w:wordWrap/>
        <w:overflowPunct/>
        <w:topLinePunct w:val="0"/>
        <w:bidi w:val="0"/>
        <w:snapToGrid w:val="0"/>
        <w:spacing w:line="336" w:lineRule="auto"/>
        <w:ind w:firstLine="0"/>
        <w:textAlignment w:val="auto"/>
        <w:rPr>
          <w:rFonts w:hint="eastAsia" w:ascii="仿宋" w:eastAsia="仿宋"/>
          <w:b/>
          <w:bCs/>
          <w:color w:val="auto"/>
          <w:kern w:val="0"/>
          <w:sz w:val="24"/>
          <w:highlight w:val="none"/>
        </w:rPr>
      </w:pPr>
      <w:bookmarkStart w:id="53" w:name="_Toc643610535"/>
      <w:r>
        <w:rPr>
          <w:rFonts w:hint="eastAsia" w:ascii="仿宋" w:eastAsia="仿宋"/>
          <w:b/>
          <w:bCs/>
          <w:color w:val="auto"/>
          <w:kern w:val="0"/>
          <w:sz w:val="24"/>
          <w:highlight w:val="none"/>
        </w:rPr>
        <w:t>★</w:t>
      </w:r>
      <w:r>
        <w:rPr>
          <w:rFonts w:hint="eastAsia" w:ascii="仿宋" w:eastAsia="仿宋"/>
          <w:b/>
          <w:bCs/>
          <w:color w:val="auto"/>
          <w:kern w:val="0"/>
          <w:sz w:val="24"/>
          <w:highlight w:val="none"/>
          <w:lang w:val="en-US" w:eastAsia="zh-CN"/>
        </w:rPr>
        <w:t>1</w:t>
      </w:r>
      <w:r>
        <w:rPr>
          <w:rFonts w:hint="eastAsia" w:ascii="仿宋" w:eastAsia="仿宋"/>
          <w:b/>
          <w:bCs/>
          <w:color w:val="auto"/>
          <w:kern w:val="0"/>
          <w:sz w:val="24"/>
          <w:highlight w:val="none"/>
          <w:lang w:eastAsia="zh-CN"/>
        </w:rPr>
        <w:t>、</w:t>
      </w:r>
      <w:r>
        <w:rPr>
          <w:rFonts w:hint="eastAsia" w:ascii="仿宋" w:eastAsia="仿宋"/>
          <w:b/>
          <w:bCs/>
          <w:color w:val="auto"/>
          <w:kern w:val="0"/>
          <w:sz w:val="24"/>
          <w:highlight w:val="none"/>
        </w:rPr>
        <w:t>服务期限</w:t>
      </w:r>
    </w:p>
    <w:p>
      <w:pPr>
        <w:keepNext w:val="0"/>
        <w:keepLines w:val="0"/>
        <w:pageBreakBefore w:val="0"/>
        <w:widowControl w:val="0"/>
        <w:suppressLineNumbers w:val="0"/>
        <w:suppressAutoHyphens w:val="0"/>
        <w:kinsoku/>
        <w:wordWrap/>
        <w:overflowPunct/>
        <w:topLinePunct w:val="0"/>
        <w:bidi w:val="0"/>
        <w:spacing w:line="336" w:lineRule="auto"/>
        <w:ind w:firstLine="480" w:firstLineChars="200"/>
        <w:textAlignment w:val="auto"/>
        <w:rPr>
          <w:rFonts w:hint="eastAsia" w:ascii="仿宋" w:eastAsia="仿宋"/>
          <w:color w:val="auto"/>
          <w:sz w:val="24"/>
          <w:szCs w:val="24"/>
          <w:highlight w:val="none"/>
        </w:rPr>
      </w:pPr>
      <w:r>
        <w:rPr>
          <w:rFonts w:hint="eastAsia" w:ascii="仿宋" w:eastAsia="仿宋"/>
          <w:color w:val="auto"/>
          <w:sz w:val="24"/>
          <w:szCs w:val="24"/>
          <w:highlight w:val="none"/>
        </w:rPr>
        <w:t>采购合同签订生效之日起至2024年12月31日止。</w:t>
      </w:r>
    </w:p>
    <w:p>
      <w:pPr>
        <w:pageBreakBefore w:val="0"/>
        <w:widowControl/>
        <w:kinsoku/>
        <w:wordWrap/>
        <w:overflowPunct/>
        <w:topLinePunct w:val="0"/>
        <w:bidi w:val="0"/>
        <w:snapToGrid w:val="0"/>
        <w:spacing w:line="336" w:lineRule="auto"/>
        <w:ind w:firstLine="0"/>
        <w:textAlignment w:val="auto"/>
        <w:rPr>
          <w:rFonts w:hint="eastAsia" w:ascii="仿宋" w:eastAsia="仿宋"/>
          <w:b/>
          <w:bCs/>
          <w:color w:val="auto"/>
          <w:kern w:val="0"/>
          <w:sz w:val="24"/>
          <w:highlight w:val="none"/>
        </w:rPr>
      </w:pPr>
      <w:r>
        <w:rPr>
          <w:rFonts w:hint="eastAsia" w:ascii="仿宋" w:eastAsia="仿宋"/>
          <w:b/>
          <w:bCs/>
          <w:color w:val="auto"/>
          <w:kern w:val="0"/>
          <w:sz w:val="24"/>
          <w:highlight w:val="none"/>
          <w:lang w:val="en-US" w:eastAsia="zh-CN"/>
        </w:rPr>
        <w:t>2</w:t>
      </w:r>
      <w:r>
        <w:rPr>
          <w:rFonts w:hint="eastAsia" w:ascii="仿宋" w:eastAsia="仿宋"/>
          <w:b/>
          <w:bCs/>
          <w:color w:val="auto"/>
          <w:kern w:val="0"/>
          <w:sz w:val="24"/>
          <w:highlight w:val="none"/>
          <w:lang w:eastAsia="zh-CN"/>
        </w:rPr>
        <w:t>、</w:t>
      </w:r>
      <w:r>
        <w:rPr>
          <w:rFonts w:hint="eastAsia" w:ascii="仿宋" w:eastAsia="仿宋"/>
          <w:b/>
          <w:bCs/>
          <w:color w:val="auto"/>
          <w:kern w:val="0"/>
          <w:sz w:val="24"/>
          <w:highlight w:val="none"/>
        </w:rPr>
        <w:t>技术培训</w:t>
      </w:r>
    </w:p>
    <w:p>
      <w:pPr>
        <w:pageBreakBefore w:val="0"/>
        <w:widowControl/>
        <w:kinsoku/>
        <w:wordWrap/>
        <w:overflowPunct/>
        <w:topLinePunct w:val="0"/>
        <w:bidi w:val="0"/>
        <w:snapToGrid w:val="0"/>
        <w:spacing w:line="336" w:lineRule="auto"/>
        <w:ind w:left="0"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供应商需在任务开始前完成</w:t>
      </w:r>
      <w:r>
        <w:rPr>
          <w:rFonts w:hint="eastAsia" w:ascii="仿宋" w:eastAsia="仿宋"/>
          <w:color w:val="auto"/>
          <w:kern w:val="0"/>
          <w:sz w:val="24"/>
          <w:highlight w:val="none"/>
          <w:lang w:eastAsia="zh-CN"/>
        </w:rPr>
        <w:t>抽查</w:t>
      </w:r>
      <w:r>
        <w:rPr>
          <w:rFonts w:hint="eastAsia" w:ascii="仿宋" w:eastAsia="仿宋"/>
          <w:color w:val="auto"/>
          <w:kern w:val="0"/>
          <w:sz w:val="24"/>
          <w:highlight w:val="none"/>
        </w:rPr>
        <w:t>人员的培训，抽查人员需熟悉</w:t>
      </w:r>
      <w:r>
        <w:rPr>
          <w:rFonts w:hint="eastAsia" w:ascii="仿宋" w:eastAsia="仿宋"/>
          <w:color w:val="auto"/>
          <w:kern w:val="0"/>
          <w:sz w:val="24"/>
          <w:highlight w:val="none"/>
          <w:lang w:eastAsia="zh-CN"/>
        </w:rPr>
        <w:t>产（商）品</w:t>
      </w:r>
      <w:r>
        <w:rPr>
          <w:rFonts w:hint="eastAsia" w:ascii="仿宋" w:eastAsia="仿宋"/>
          <w:color w:val="auto"/>
          <w:kern w:val="0"/>
          <w:sz w:val="24"/>
          <w:highlight w:val="none"/>
        </w:rPr>
        <w:t>抽检各大类及细类划分，能对常见及易混淆产品进行划分，能准确理解</w:t>
      </w:r>
      <w:r>
        <w:rPr>
          <w:rFonts w:hint="eastAsia" w:ascii="仿宋" w:eastAsia="仿宋"/>
          <w:color w:val="auto"/>
          <w:kern w:val="0"/>
          <w:sz w:val="24"/>
          <w:highlight w:val="none"/>
          <w:lang w:eastAsia="zh-CN"/>
        </w:rPr>
        <w:t>相关法律法规的</w:t>
      </w:r>
      <w:r>
        <w:rPr>
          <w:rFonts w:hint="eastAsia" w:ascii="仿宋" w:eastAsia="仿宋"/>
          <w:color w:val="auto"/>
          <w:kern w:val="0"/>
          <w:sz w:val="24"/>
          <w:highlight w:val="none"/>
        </w:rPr>
        <w:t>各项要求及相关抽检文件等材料，确保抽样工作顺利进行。</w:t>
      </w:r>
    </w:p>
    <w:p>
      <w:pPr>
        <w:pageBreakBefore w:val="0"/>
        <w:widowControl/>
        <w:kinsoku/>
        <w:wordWrap/>
        <w:overflowPunct/>
        <w:topLinePunct w:val="0"/>
        <w:bidi w:val="0"/>
        <w:snapToGrid w:val="0"/>
        <w:spacing w:line="336" w:lineRule="auto"/>
        <w:ind w:left="0"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在服务期内，中标人必须接受越城区市场监督管理局及相关部门的管理与考核,并免费提供专业知识培训和</w:t>
      </w:r>
      <w:r>
        <w:rPr>
          <w:rFonts w:hint="eastAsia" w:ascii="仿宋" w:eastAsia="仿宋"/>
          <w:color w:val="auto"/>
          <w:kern w:val="0"/>
          <w:sz w:val="24"/>
          <w:highlight w:val="none"/>
          <w:lang w:eastAsia="zh-CN"/>
        </w:rPr>
        <w:t>产（商）品</w:t>
      </w:r>
      <w:r>
        <w:rPr>
          <w:rFonts w:hint="eastAsia" w:ascii="仿宋" w:eastAsia="仿宋"/>
          <w:color w:val="auto"/>
          <w:kern w:val="0"/>
          <w:sz w:val="24"/>
          <w:highlight w:val="none"/>
        </w:rPr>
        <w:t>安全宣传活动。</w:t>
      </w:r>
    </w:p>
    <w:p>
      <w:pPr>
        <w:pageBreakBefore w:val="0"/>
        <w:widowControl/>
        <w:kinsoku/>
        <w:wordWrap/>
        <w:overflowPunct/>
        <w:topLinePunct w:val="0"/>
        <w:bidi w:val="0"/>
        <w:snapToGrid w:val="0"/>
        <w:spacing w:line="336" w:lineRule="auto"/>
        <w:ind w:left="0"/>
        <w:textAlignment w:val="auto"/>
        <w:rPr>
          <w:rFonts w:hint="eastAsia" w:ascii="仿宋" w:eastAsia="仿宋"/>
          <w:b/>
          <w:bCs/>
          <w:color w:val="auto"/>
          <w:sz w:val="24"/>
          <w:highlight w:val="none"/>
        </w:rPr>
      </w:pPr>
      <w:r>
        <w:rPr>
          <w:rFonts w:hint="eastAsia" w:ascii="仿宋" w:eastAsia="仿宋"/>
          <w:b/>
          <w:bCs/>
          <w:color w:val="auto"/>
          <w:sz w:val="24"/>
          <w:highlight w:val="none"/>
          <w:lang w:val="en-US" w:eastAsia="zh-CN"/>
        </w:rPr>
        <w:t>3</w:t>
      </w:r>
      <w:r>
        <w:rPr>
          <w:rFonts w:hint="eastAsia" w:ascii="仿宋" w:eastAsia="仿宋"/>
          <w:b/>
          <w:bCs/>
          <w:color w:val="auto"/>
          <w:sz w:val="24"/>
          <w:highlight w:val="none"/>
          <w:lang w:eastAsia="zh-CN"/>
        </w:rPr>
        <w:t>、</w:t>
      </w:r>
      <w:r>
        <w:rPr>
          <w:rFonts w:hint="eastAsia" w:ascii="仿宋" w:eastAsia="仿宋"/>
          <w:b/>
          <w:bCs/>
          <w:color w:val="auto"/>
          <w:sz w:val="24"/>
          <w:highlight w:val="none"/>
        </w:rPr>
        <w:t>数量调整</w:t>
      </w:r>
    </w:p>
    <w:p>
      <w:pPr>
        <w:pageBreakBefore w:val="0"/>
        <w:widowControl/>
        <w:kinsoku/>
        <w:wordWrap/>
        <w:overflowPunct/>
        <w:topLinePunct w:val="0"/>
        <w:bidi w:val="0"/>
        <w:snapToGrid w:val="0"/>
        <w:spacing w:line="336" w:lineRule="auto"/>
        <w:ind w:left="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力，供应商应对服务类别明细报价，按磋商响应单价不变的前提下进行调整，双方不得拒绝。如遇本次采购没有涉及的设备或服务时，由成交供应商提供申请，采购人确认后实施。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pPr>
        <w:pageBreakBefore w:val="0"/>
        <w:widowControl/>
        <w:kinsoku/>
        <w:wordWrap/>
        <w:overflowPunct/>
        <w:topLinePunct w:val="0"/>
        <w:bidi w:val="0"/>
        <w:snapToGrid w:val="0"/>
        <w:spacing w:line="336" w:lineRule="auto"/>
        <w:textAlignment w:val="auto"/>
        <w:rPr>
          <w:rFonts w:hint="eastAsia" w:ascii="仿宋" w:eastAsia="仿宋"/>
          <w:b/>
          <w:bCs/>
          <w:color w:val="auto"/>
          <w:sz w:val="24"/>
          <w:highlight w:val="none"/>
        </w:rPr>
      </w:pPr>
      <w:r>
        <w:rPr>
          <w:rFonts w:hint="eastAsia" w:ascii="仿宋" w:eastAsia="仿宋"/>
          <w:b/>
          <w:bCs/>
          <w:color w:val="auto"/>
          <w:sz w:val="24"/>
          <w:highlight w:val="none"/>
          <w:lang w:val="en-US" w:eastAsia="zh-CN"/>
        </w:rPr>
        <w:t>4</w:t>
      </w:r>
      <w:r>
        <w:rPr>
          <w:rFonts w:hint="eastAsia" w:ascii="仿宋" w:eastAsia="仿宋"/>
          <w:b/>
          <w:bCs/>
          <w:color w:val="auto"/>
          <w:sz w:val="24"/>
          <w:highlight w:val="none"/>
          <w:lang w:eastAsia="zh-CN"/>
        </w:rPr>
        <w:t>、</w:t>
      </w:r>
      <w:r>
        <w:rPr>
          <w:rFonts w:hint="eastAsia" w:ascii="仿宋" w:eastAsia="仿宋"/>
          <w:b/>
          <w:bCs/>
          <w:color w:val="auto"/>
          <w:sz w:val="24"/>
          <w:highlight w:val="none"/>
        </w:rPr>
        <w:t>履约要求</w:t>
      </w:r>
    </w:p>
    <w:p>
      <w:pPr>
        <w:pageBreakBefore w:val="0"/>
        <w:widowControl/>
        <w:kinsoku/>
        <w:wordWrap/>
        <w:overflowPunct/>
        <w:topLinePunct w:val="0"/>
        <w:bidi w:val="0"/>
        <w:snapToGrid w:val="0"/>
        <w:spacing w:line="336" w:lineRule="auto"/>
        <w:ind w:left="0" w:firstLine="479"/>
        <w:textAlignment w:val="auto"/>
        <w:rPr>
          <w:rFonts w:hint="eastAsia" w:ascii="仿宋" w:eastAsia="仿宋"/>
          <w:color w:val="auto"/>
          <w:kern w:val="0"/>
          <w:sz w:val="24"/>
          <w:highlight w:val="none"/>
          <w:u w:val="none"/>
        </w:rPr>
      </w:pPr>
      <w:r>
        <w:rPr>
          <w:rFonts w:hint="eastAsia" w:ascii="仿宋" w:eastAsia="仿宋"/>
          <w:color w:val="auto"/>
          <w:sz w:val="24"/>
          <w:highlight w:val="none"/>
          <w:lang w:val="en-US" w:eastAsia="zh-CN"/>
        </w:rPr>
        <w:t>4.1</w:t>
      </w:r>
      <w:r>
        <w:rPr>
          <w:rFonts w:hint="eastAsia" w:ascii="仿宋" w:eastAsia="仿宋"/>
          <w:color w:val="auto"/>
          <w:sz w:val="24"/>
          <w:highlight w:val="none"/>
        </w:rPr>
        <w:t>报告真</w:t>
      </w:r>
      <w:r>
        <w:rPr>
          <w:rFonts w:hint="eastAsia" w:ascii="仿宋" w:eastAsia="仿宋"/>
          <w:color w:val="auto"/>
          <w:kern w:val="0"/>
          <w:sz w:val="24"/>
          <w:highlight w:val="none"/>
          <w:u w:val="none"/>
        </w:rPr>
        <w:t>实：中标供应商对检验结果的真实性负责，伪造检验检测数据或提供虚假、错误检验检测数据或者结论以及出具虚假报告给采购人、被抽样单位（个人）、产品生产制造商造成损失、带来影响的，采购人有权终止合同取消其承检资格，并由成交供应商承担相应法律责任。</w:t>
      </w:r>
    </w:p>
    <w:p>
      <w:pPr>
        <w:pageBreakBefore w:val="0"/>
        <w:widowControl/>
        <w:kinsoku/>
        <w:wordWrap/>
        <w:overflowPunct/>
        <w:topLinePunct w:val="0"/>
        <w:bidi w:val="0"/>
        <w:snapToGrid w:val="0"/>
        <w:spacing w:line="336" w:lineRule="auto"/>
        <w:ind w:left="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4.2</w:t>
      </w:r>
      <w:r>
        <w:rPr>
          <w:rFonts w:hint="eastAsia" w:ascii="仿宋" w:eastAsia="仿宋"/>
          <w:color w:val="auto"/>
          <w:kern w:val="0"/>
          <w:sz w:val="24"/>
          <w:highlight w:val="none"/>
          <w:u w:val="none"/>
        </w:rPr>
        <w:t>质量事件：由于中标供应商发生抽样或检验质量事件被采购人约谈3次及以上的采购人有权终止合同取消其抽样任务或承检资格停检半年。</w:t>
      </w:r>
    </w:p>
    <w:p>
      <w:pPr>
        <w:pageBreakBefore w:val="0"/>
        <w:widowControl/>
        <w:kinsoku/>
        <w:wordWrap/>
        <w:overflowPunct/>
        <w:topLinePunct w:val="0"/>
        <w:bidi w:val="0"/>
        <w:snapToGrid w:val="0"/>
        <w:spacing w:line="336" w:lineRule="auto"/>
        <w:ind w:left="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4.3</w:t>
      </w:r>
      <w:r>
        <w:rPr>
          <w:rFonts w:hint="eastAsia" w:ascii="仿宋" w:eastAsia="仿宋"/>
          <w:color w:val="auto"/>
          <w:kern w:val="0"/>
          <w:sz w:val="24"/>
          <w:highlight w:val="none"/>
          <w:u w:val="none"/>
        </w:rPr>
        <w:t>剩余检样处理：中标供应商不得擅自处理剩余检样，必须经采购人同意后进行监督处理或授权处理，授权处理的上报处理清单、数量并对处理过程进行全程摄像。</w:t>
      </w:r>
    </w:p>
    <w:p>
      <w:pPr>
        <w:pageBreakBefore w:val="0"/>
        <w:widowControl/>
        <w:kinsoku/>
        <w:wordWrap/>
        <w:overflowPunct/>
        <w:topLinePunct w:val="0"/>
        <w:bidi w:val="0"/>
        <w:snapToGrid w:val="0"/>
        <w:spacing w:line="336" w:lineRule="auto"/>
        <w:ind w:left="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1.1</w:t>
      </w:r>
      <w:r>
        <w:rPr>
          <w:rFonts w:hint="eastAsia" w:ascii="仿宋" w:eastAsia="仿宋"/>
          <w:color w:val="auto"/>
          <w:kern w:val="0"/>
          <w:sz w:val="24"/>
          <w:highlight w:val="none"/>
          <w:u w:val="none"/>
        </w:rPr>
        <w:t>其他要求：中标供应商必须动态满足采购人对质量保证和履约新规定新要求，保证采购人产品抽样检验任务完成。</w:t>
      </w:r>
    </w:p>
    <w:p>
      <w:pPr>
        <w:pageBreakBefore w:val="0"/>
        <w:widowControl/>
        <w:kinsoku/>
        <w:wordWrap/>
        <w:overflowPunct/>
        <w:topLinePunct w:val="0"/>
        <w:bidi w:val="0"/>
        <w:snapToGrid w:val="0"/>
        <w:spacing w:line="336" w:lineRule="auto"/>
        <w:textAlignment w:val="auto"/>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lang w:val="en-US" w:eastAsia="zh-CN"/>
        </w:rPr>
        <w:t>5</w:t>
      </w:r>
      <w:r>
        <w:rPr>
          <w:rFonts w:hint="eastAsia" w:ascii="仿宋" w:eastAsia="仿宋"/>
          <w:b/>
          <w:bCs/>
          <w:color w:val="auto"/>
          <w:kern w:val="0"/>
          <w:sz w:val="24"/>
          <w:highlight w:val="none"/>
          <w:u w:val="none"/>
        </w:rPr>
        <w:t>、其他需求</w:t>
      </w:r>
    </w:p>
    <w:p>
      <w:pPr>
        <w:pageBreakBefore w:val="0"/>
        <w:widowControl/>
        <w:kinsoku/>
        <w:wordWrap/>
        <w:overflowPunct/>
        <w:topLinePunct w:val="0"/>
        <w:bidi w:val="0"/>
        <w:snapToGrid w:val="0"/>
        <w:spacing w:line="336" w:lineRule="auto"/>
        <w:ind w:left="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5.1</w:t>
      </w:r>
      <w:r>
        <w:rPr>
          <w:rFonts w:hint="eastAsia" w:ascii="仿宋" w:eastAsia="仿宋"/>
          <w:color w:val="auto"/>
          <w:kern w:val="0"/>
          <w:sz w:val="24"/>
          <w:highlight w:val="none"/>
          <w:u w:val="none"/>
        </w:rPr>
        <w:t>产品种类和抽检批次数可以根据实际情况由业主进行调整，费用按实结算，最高不超过预算价。</w:t>
      </w:r>
    </w:p>
    <w:p>
      <w:pPr>
        <w:pageBreakBefore w:val="0"/>
        <w:widowControl/>
        <w:kinsoku/>
        <w:wordWrap/>
        <w:overflowPunct/>
        <w:topLinePunct w:val="0"/>
        <w:bidi w:val="0"/>
        <w:snapToGrid w:val="0"/>
        <w:spacing w:line="336" w:lineRule="auto"/>
        <w:ind w:left="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5.2</w:t>
      </w:r>
      <w:r>
        <w:rPr>
          <w:rFonts w:hint="eastAsia" w:ascii="仿宋" w:eastAsia="仿宋"/>
          <w:color w:val="auto"/>
          <w:kern w:val="0"/>
          <w:sz w:val="24"/>
          <w:highlight w:val="none"/>
          <w:u w:val="none"/>
        </w:rPr>
        <w:t>若采购人有临时增加的检测任务且报价清单中没有的检测类别或检测产品，单项检测费用在不高于行业或市场收费标准的前提下双方可协商确定。（采购人可以个性化表述，增减内容）</w:t>
      </w:r>
    </w:p>
    <w:p>
      <w:pPr>
        <w:pageBreakBefore w:val="0"/>
        <w:widowControl/>
        <w:kinsoku/>
        <w:wordWrap/>
        <w:overflowPunct/>
        <w:topLinePunct w:val="0"/>
        <w:bidi w:val="0"/>
        <w:snapToGrid w:val="0"/>
        <w:spacing w:line="336" w:lineRule="auto"/>
        <w:textAlignment w:val="auto"/>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lang w:val="en-US" w:eastAsia="zh-CN"/>
        </w:rPr>
        <w:t>6</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rPr>
        <w:t>验收</w:t>
      </w:r>
    </w:p>
    <w:p>
      <w:pPr>
        <w:pageBreakBefore w:val="0"/>
        <w:widowControl/>
        <w:kinsoku/>
        <w:wordWrap/>
        <w:overflowPunct/>
        <w:topLinePunct w:val="0"/>
        <w:bidi w:val="0"/>
        <w:snapToGrid w:val="0"/>
        <w:spacing w:line="336" w:lineRule="auto"/>
        <w:ind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pPr>
        <w:pageBreakBefore w:val="0"/>
        <w:widowControl/>
        <w:kinsoku/>
        <w:wordWrap/>
        <w:overflowPunct/>
        <w:topLinePunct w:val="0"/>
        <w:bidi w:val="0"/>
        <w:snapToGrid w:val="0"/>
        <w:spacing w:line="336" w:lineRule="auto"/>
        <w:ind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采购人保留邀请参加本项目的其他磋商供应商或者第三方机构或相关技术专家参与验收的权利。参与验收的磋商供应商或者第三方机构的意见作为验收书的参考资料一并存档。</w:t>
      </w:r>
    </w:p>
    <w:p>
      <w:pPr>
        <w:pageBreakBefore w:val="0"/>
        <w:widowControl/>
        <w:kinsoku/>
        <w:wordWrap/>
        <w:overflowPunct/>
        <w:topLinePunct w:val="0"/>
        <w:bidi w:val="0"/>
        <w:snapToGrid w:val="0"/>
        <w:spacing w:line="336" w:lineRule="auto"/>
        <w:ind w:left="0"/>
        <w:textAlignment w:val="auto"/>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lang w:val="en-US" w:eastAsia="zh-CN"/>
        </w:rPr>
        <w:t>7</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rPr>
        <w:t>付款方式</w:t>
      </w:r>
    </w:p>
    <w:p>
      <w:pPr>
        <w:pageBreakBefore w:val="0"/>
        <w:widowControl/>
        <w:kinsoku/>
        <w:wordWrap/>
        <w:overflowPunct/>
        <w:topLinePunct w:val="0"/>
        <w:bidi w:val="0"/>
        <w:snapToGrid w:val="0"/>
        <w:spacing w:line="336" w:lineRule="auto"/>
        <w:ind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u w:val="none"/>
        </w:rPr>
        <w:t>半年度完成当季任务并提交相应的检验报告、分析材料等，由绍兴市越城区市场监督管理局验收通过后，支付该季度的相</w:t>
      </w:r>
      <w:r>
        <w:rPr>
          <w:rFonts w:hint="eastAsia" w:ascii="仿宋" w:eastAsia="仿宋"/>
          <w:color w:val="auto"/>
          <w:kern w:val="0"/>
          <w:sz w:val="24"/>
          <w:highlight w:val="none"/>
          <w:u w:val="none"/>
        </w:rPr>
        <w:t>关费</w:t>
      </w:r>
      <w:r>
        <w:rPr>
          <w:rFonts w:hint="eastAsia" w:ascii="仿宋" w:eastAsia="仿宋"/>
          <w:color w:val="auto"/>
          <w:kern w:val="0"/>
          <w:sz w:val="24"/>
          <w:highlight w:val="none"/>
        </w:rPr>
        <w:t>用。</w:t>
      </w:r>
    </w:p>
    <w:p>
      <w:pPr>
        <w:pStyle w:val="2"/>
        <w:keepNext/>
        <w:keepLines/>
        <w:pageBreakBefore w:val="0"/>
        <w:widowControl w:val="0"/>
        <w:numPr>
          <w:ilvl w:val="0"/>
          <w:numId w:val="0"/>
        </w:numPr>
        <w:suppressLineNumbers w:val="0"/>
        <w:suppressAutoHyphens w:val="0"/>
        <w:spacing w:line="578" w:lineRule="auto"/>
        <w:ind w:left="0" w:firstLine="0"/>
        <w:jc w:val="center"/>
        <w:rPr>
          <w:rFonts w:hint="eastAsia" w:ascii="仿宋" w:eastAsia="仿宋"/>
          <w:color w:val="auto"/>
          <w:highlight w:val="none"/>
        </w:rPr>
      </w:pPr>
      <w:bookmarkStart w:id="54" w:name="_Toc8673"/>
    </w:p>
    <w:p>
      <w:pPr>
        <w:pStyle w:val="2"/>
        <w:keepNext/>
        <w:keepLines/>
        <w:pageBreakBefore w:val="0"/>
        <w:widowControl w:val="0"/>
        <w:numPr>
          <w:ilvl w:val="0"/>
          <w:numId w:val="0"/>
        </w:numPr>
        <w:suppressLineNumbers w:val="0"/>
        <w:suppressAutoHyphens w:val="0"/>
        <w:spacing w:line="578" w:lineRule="auto"/>
        <w:ind w:left="0" w:firstLine="0"/>
        <w:jc w:val="cente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pStyle w:val="2"/>
        <w:keepNext/>
        <w:keepLines/>
        <w:pageBreakBefore w:val="0"/>
        <w:widowControl w:val="0"/>
        <w:numPr>
          <w:ilvl w:val="0"/>
          <w:numId w:val="0"/>
        </w:numPr>
        <w:suppressLineNumbers w:val="0"/>
        <w:suppressAutoHyphens w:val="0"/>
        <w:spacing w:line="578" w:lineRule="auto"/>
        <w:ind w:left="0" w:firstLine="0"/>
        <w:jc w:val="center"/>
        <w:rPr>
          <w:rFonts w:hint="eastAsia" w:ascii="仿宋" w:eastAsia="仿宋"/>
          <w:color w:val="auto"/>
          <w:highlight w:val="none"/>
        </w:rPr>
      </w:pPr>
      <w:r>
        <w:rPr>
          <w:rFonts w:hint="eastAsia" w:ascii="仿宋" w:eastAsia="仿宋"/>
          <w:color w:val="auto"/>
          <w:highlight w:val="none"/>
        </w:rPr>
        <w:t>第四章  拟签订合同的主要条款</w:t>
      </w:r>
      <w:bookmarkEnd w:id="53"/>
      <w:bookmarkEnd w:id="54"/>
    </w:p>
    <w:p>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（合同按磋商文件及成交供应商磋商响应文件的内容制定，以下仅为部分主要条款）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single"/>
          <w:lang w:val="en-US" w:eastAsia="zh-CN"/>
        </w:rPr>
        <w:t xml:space="preserve">      </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lang w:val="en-US" w:eastAsia="zh-CN"/>
        </w:rPr>
        <w:t xml:space="preserve">           </w:t>
      </w:r>
      <w:r>
        <w:rPr>
          <w:rFonts w:hint="eastAsia" w:ascii="仿宋" w:eastAsia="仿宋"/>
          <w:color w:val="auto"/>
          <w:kern w:val="0"/>
          <w:sz w:val="24"/>
          <w:highlight w:val="none"/>
          <w:u w:val="none"/>
        </w:rPr>
        <w:t>项目的政府采购交易结果，签署本合同。</w:t>
      </w:r>
    </w:p>
    <w:p>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（按采购需求及磋商响应文件的内容填写）</w:t>
      </w:r>
    </w:p>
    <w:p>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3.采购文件、磋商响应文件与本合同具有同等法律效力。</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pPr>
        <w:widowControl/>
        <w:snapToGrid w:val="0"/>
        <w:spacing w:line="480" w:lineRule="exact"/>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pPr>
        <w:widowControl/>
        <w:snapToGrid w:val="0"/>
        <w:spacing w:line="480" w:lineRule="exact"/>
        <w:ind w:firstLine="480" w:firstLineChars="200"/>
        <w:rPr>
          <w:rFonts w:hint="eastAsia" w:ascii="仿宋" w:hAnsi="仿宋" w:eastAsia="仿宋" w:cs="仿宋"/>
          <w:b/>
          <w:color w:val="auto"/>
          <w:sz w:val="36"/>
          <w:szCs w:val="36"/>
          <w:highlight w:val="none"/>
        </w:rPr>
      </w:pPr>
      <w:r>
        <w:rPr>
          <w:rFonts w:hint="eastAsia" w:ascii="仿宋" w:eastAsia="仿宋"/>
          <w:color w:val="auto"/>
          <w:kern w:val="0"/>
          <w:sz w:val="24"/>
          <w:highlight w:val="none"/>
          <w:u w:val="none"/>
        </w:rPr>
        <w:t>签名日期：      年   月   日</w:t>
      </w:r>
    </w:p>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Start w:id="55" w:name="第四部分"/>
      <w:r>
        <w:rPr>
          <w:rFonts w:hint="eastAsia" w:ascii="仿宋" w:hAnsi="仿宋" w:eastAsia="仿宋" w:cs="仿宋"/>
          <w:b/>
          <w:color w:val="auto"/>
          <w:sz w:val="36"/>
          <w:szCs w:val="36"/>
          <w:highlight w:val="none"/>
        </w:rPr>
        <w:t>评审方法及评审标准</w:t>
      </w:r>
    </w:p>
    <w:bookmarkEnd w:id="55"/>
    <w:p>
      <w:pPr>
        <w:keepNext w:val="0"/>
        <w:keepLines w:val="0"/>
        <w:pageBreakBefore w:val="0"/>
        <w:kinsoku/>
        <w:wordWrap/>
        <w:overflowPunct/>
        <w:topLinePunct w:val="0"/>
        <w:autoSpaceDE/>
        <w:autoSpaceDN/>
        <w:bidi w:val="0"/>
        <w:adjustRightInd/>
        <w:spacing w:line="336" w:lineRule="auto"/>
        <w:ind w:left="0" w:leftChars="0" w:right="0" w:rightChars="0"/>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1、磋商方法：</w:t>
      </w:r>
    </w:p>
    <w:p>
      <w:pPr>
        <w:keepNext w:val="0"/>
        <w:keepLines w:val="0"/>
        <w:pageBreakBefore w:val="0"/>
        <w:kinsoku/>
        <w:wordWrap/>
        <w:overflowPunct/>
        <w:topLinePunct w:val="0"/>
        <w:autoSpaceDE/>
        <w:autoSpaceDN/>
        <w:bidi w:val="0"/>
        <w:adjustRightInd/>
        <w:spacing w:line="336" w:lineRule="auto"/>
        <w:ind w:left="0" w:leftChars="0" w:right="0" w:rightChars="0"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pPr>
        <w:keepNext w:val="0"/>
        <w:keepLines w:val="0"/>
        <w:pageBreakBefore w:val="0"/>
        <w:kinsoku/>
        <w:wordWrap/>
        <w:overflowPunct/>
        <w:topLinePunct w:val="0"/>
        <w:autoSpaceDE/>
        <w:autoSpaceDN/>
        <w:bidi w:val="0"/>
        <w:adjustRightInd/>
        <w:spacing w:line="336" w:lineRule="auto"/>
        <w:ind w:left="0" w:leftChars="0" w:right="0" w:rightChars="0" w:firstLine="472" w:firstLineChars="196"/>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1.2采用综合评分法的，提供相同品牌产品且通过资格审查、符合性审查的不同供应商参加同一合同项下磋商的，按一家供应商计算，评审后得分最高的同品牌供应商获得成交人推荐资格；评审得分相同的，由采购人或者采购人委托评标委员会按照磋商文件规定的方式确定一个供应商获得成交人推荐资格，磋商文件未规定的采取随机抽取方式确定，其他同品牌供应商不作为中标候选人。</w:t>
      </w:r>
    </w:p>
    <w:p>
      <w:pPr>
        <w:keepNext w:val="0"/>
        <w:keepLines w:val="0"/>
        <w:pageBreakBefore w:val="0"/>
        <w:kinsoku/>
        <w:wordWrap/>
        <w:overflowPunct/>
        <w:topLinePunct w:val="0"/>
        <w:autoSpaceDE/>
        <w:autoSpaceDN/>
        <w:bidi w:val="0"/>
        <w:adjustRightInd/>
        <w:spacing w:line="336" w:lineRule="auto"/>
        <w:ind w:left="0" w:leftChars="0" w:right="0" w:rightChars="0" w:firstLine="482" w:firstLineChars="200"/>
        <w:jc w:val="lef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非单一产品采购项目，采购人应当根据采购项目技术构成、产品价格比重等合理确定核心产品，并在磋商文件中载明。多家供应商提供的核心产品品牌相同的，按前款规定处理。</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bCs/>
          <w:iCs/>
          <w:color w:val="auto"/>
          <w:sz w:val="24"/>
          <w:highlight w:val="none"/>
          <w:lang w:eastAsia="zh-CN"/>
        </w:rPr>
        <w:t>标项一、标项二、标项三</w:t>
      </w:r>
      <w:r>
        <w:rPr>
          <w:rFonts w:hint="eastAsia" w:ascii="仿宋" w:hAnsi="仿宋" w:eastAsia="仿宋" w:cs="仿宋"/>
          <w:b/>
          <w:color w:val="auto"/>
          <w:sz w:val="24"/>
          <w:highlight w:val="none"/>
        </w:rPr>
        <w:t>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rPr>
        <w:t>90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rPr>
        <w:t>10</w:t>
      </w:r>
      <w:r>
        <w:rPr>
          <w:rFonts w:hint="eastAsia" w:ascii="仿宋" w:hAnsi="仿宋" w:eastAsia="仿宋" w:cs="仿宋"/>
          <w:color w:val="auto"/>
          <w:sz w:val="24"/>
          <w:highlight w:val="none"/>
        </w:rPr>
        <w:t>分。评分依下述所列为评审打分依据，分值如下（计算分值时，按其算术平均值保留小数2位）。</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outlineLvl w:val="1"/>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rPr>
        <w:t>90</w:t>
      </w:r>
      <w:r>
        <w:rPr>
          <w:rFonts w:hint="eastAsia" w:ascii="仿宋" w:hAnsi="仿宋" w:eastAsia="仿宋" w:cs="仿宋"/>
          <w:b/>
          <w:bCs/>
          <w:iCs/>
          <w:color w:val="auto"/>
          <w:sz w:val="24"/>
          <w:highlight w:val="none"/>
        </w:rPr>
        <w:t>分）</w:t>
      </w:r>
    </w:p>
    <w:tbl>
      <w:tblPr>
        <w:tblStyle w:val="3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87"/>
        <w:gridCol w:w="651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387"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评审内容</w:t>
            </w:r>
          </w:p>
        </w:tc>
        <w:tc>
          <w:tcPr>
            <w:tcW w:w="6510"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846"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blHeader/>
          <w:jc w:val="center"/>
        </w:trPr>
        <w:tc>
          <w:tcPr>
            <w:tcW w:w="825" w:type="dxa"/>
            <w:vMerge w:val="restart"/>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1</w:t>
            </w:r>
          </w:p>
        </w:tc>
        <w:tc>
          <w:tcPr>
            <w:tcW w:w="1387" w:type="dxa"/>
            <w:vMerge w:val="restart"/>
            <w:noWrap w:val="0"/>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综合实力</w:t>
            </w:r>
          </w:p>
        </w:tc>
        <w:tc>
          <w:tcPr>
            <w:tcW w:w="6510"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jc w:val="both"/>
              <w:textAlignment w:val="auto"/>
              <w:rPr>
                <w:rStyle w:val="57"/>
                <w:rFonts w:hint="eastAsia" w:ascii="仿宋" w:hAnsi="仿宋" w:eastAsia="仿宋" w:cs="仿宋"/>
                <w:color w:val="auto"/>
                <w:sz w:val="24"/>
                <w:szCs w:val="24"/>
                <w:highlight w:val="none"/>
              </w:rPr>
            </w:pPr>
            <w:r>
              <w:rPr>
                <w:rStyle w:val="57"/>
                <w:rFonts w:hint="eastAsia" w:ascii="仿宋" w:hAnsi="仿宋" w:eastAsia="仿宋" w:cs="仿宋"/>
                <w:color w:val="auto"/>
                <w:sz w:val="24"/>
                <w:szCs w:val="24"/>
                <w:highlight w:val="none"/>
                <w:lang w:val="en-US" w:eastAsia="zh-CN"/>
              </w:rPr>
              <w:t>1、</w:t>
            </w:r>
            <w:r>
              <w:rPr>
                <w:rStyle w:val="57"/>
                <w:rFonts w:hint="eastAsia" w:ascii="仿宋" w:hAnsi="仿宋" w:eastAsia="仿宋" w:cs="仿宋"/>
                <w:color w:val="auto"/>
                <w:sz w:val="24"/>
                <w:szCs w:val="24"/>
                <w:highlight w:val="none"/>
              </w:rPr>
              <w:t>检验检测资质</w:t>
            </w:r>
          </w:p>
          <w:p>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jc w:val="both"/>
              <w:textAlignment w:val="auto"/>
              <w:rPr>
                <w:rStyle w:val="57"/>
                <w:rFonts w:hint="eastAsia" w:ascii="仿宋" w:hAnsi="仿宋" w:eastAsia="仿宋" w:cs="仿宋"/>
                <w:color w:val="auto"/>
                <w:sz w:val="24"/>
                <w:szCs w:val="24"/>
                <w:highlight w:val="none"/>
              </w:rPr>
            </w:pPr>
            <w:r>
              <w:rPr>
                <w:rStyle w:val="57"/>
                <w:rFonts w:hint="eastAsia" w:ascii="仿宋" w:hAnsi="仿宋" w:eastAsia="仿宋" w:cs="仿宋"/>
                <w:color w:val="auto"/>
                <w:sz w:val="24"/>
                <w:szCs w:val="24"/>
                <w:highlight w:val="none"/>
                <w:lang w:eastAsia="zh-CN"/>
              </w:rPr>
              <w:t>供应商</w:t>
            </w:r>
            <w:r>
              <w:rPr>
                <w:rStyle w:val="57"/>
                <w:rFonts w:hint="eastAsia" w:ascii="仿宋" w:hAnsi="仿宋" w:eastAsia="仿宋" w:cs="仿宋"/>
                <w:color w:val="auto"/>
                <w:sz w:val="24"/>
                <w:szCs w:val="24"/>
                <w:highlight w:val="none"/>
              </w:rPr>
              <w:t>取得本项目抽检</w:t>
            </w:r>
            <w:r>
              <w:rPr>
                <w:rStyle w:val="57"/>
                <w:rFonts w:hint="eastAsia" w:ascii="仿宋" w:hAnsi="仿宋" w:eastAsia="仿宋" w:cs="仿宋"/>
                <w:color w:val="auto"/>
                <w:sz w:val="24"/>
                <w:szCs w:val="24"/>
                <w:highlight w:val="none"/>
                <w:lang w:eastAsia="zh-CN"/>
              </w:rPr>
              <w:t>产品对应</w:t>
            </w:r>
            <w:r>
              <w:rPr>
                <w:rStyle w:val="57"/>
                <w:rFonts w:hint="eastAsia" w:ascii="仿宋" w:hAnsi="仿宋" w:eastAsia="仿宋" w:cs="仿宋"/>
                <w:color w:val="auto"/>
                <w:sz w:val="24"/>
                <w:szCs w:val="24"/>
                <w:highlight w:val="none"/>
              </w:rPr>
              <w:t>领域</w:t>
            </w:r>
            <w:r>
              <w:rPr>
                <w:rStyle w:val="57"/>
                <w:rFonts w:hint="eastAsia" w:ascii="仿宋" w:hAnsi="仿宋" w:eastAsia="仿宋" w:cs="仿宋"/>
                <w:color w:val="auto"/>
                <w:sz w:val="24"/>
                <w:szCs w:val="24"/>
                <w:highlight w:val="none"/>
                <w:lang w:eastAsia="zh-CN"/>
              </w:rPr>
              <w:t>的</w:t>
            </w:r>
            <w:r>
              <w:rPr>
                <w:rStyle w:val="57"/>
                <w:rFonts w:hint="eastAsia" w:ascii="仿宋" w:hAnsi="仿宋" w:eastAsia="仿宋" w:cs="仿宋"/>
                <w:color w:val="auto"/>
                <w:sz w:val="24"/>
                <w:szCs w:val="24"/>
                <w:highlight w:val="none"/>
              </w:rPr>
              <w:t>国家级检验中心的，</w:t>
            </w:r>
            <w:r>
              <w:rPr>
                <w:rStyle w:val="57"/>
                <w:rFonts w:hint="eastAsia" w:ascii="仿宋" w:hAnsi="仿宋" w:eastAsia="仿宋" w:cs="仿宋"/>
                <w:color w:val="auto"/>
                <w:sz w:val="24"/>
                <w:szCs w:val="24"/>
                <w:highlight w:val="none"/>
                <w:lang w:eastAsia="zh-CN"/>
              </w:rPr>
              <w:t>每个</w:t>
            </w:r>
            <w:r>
              <w:rPr>
                <w:rStyle w:val="57"/>
                <w:rFonts w:hint="eastAsia" w:ascii="仿宋" w:hAnsi="仿宋" w:eastAsia="仿宋" w:cs="仿宋"/>
                <w:color w:val="auto"/>
                <w:sz w:val="24"/>
                <w:szCs w:val="24"/>
                <w:highlight w:val="none"/>
              </w:rPr>
              <w:t>得</w:t>
            </w:r>
            <w:r>
              <w:rPr>
                <w:rStyle w:val="57"/>
                <w:rFonts w:hint="eastAsia" w:ascii="仿宋" w:hAnsi="仿宋" w:eastAsia="仿宋" w:cs="仿宋"/>
                <w:color w:val="auto"/>
                <w:sz w:val="24"/>
                <w:szCs w:val="24"/>
                <w:highlight w:val="none"/>
                <w:lang w:val="en-US" w:eastAsia="zh-CN"/>
              </w:rPr>
              <w:t>3</w:t>
            </w:r>
            <w:r>
              <w:rPr>
                <w:rStyle w:val="57"/>
                <w:rFonts w:hint="eastAsia" w:ascii="仿宋" w:hAnsi="仿宋" w:eastAsia="仿宋" w:cs="仿宋"/>
                <w:color w:val="auto"/>
                <w:sz w:val="24"/>
                <w:szCs w:val="24"/>
                <w:highlight w:val="none"/>
              </w:rPr>
              <w:t>分</w:t>
            </w:r>
            <w:r>
              <w:rPr>
                <w:rStyle w:val="57"/>
                <w:rFonts w:hint="eastAsia" w:ascii="仿宋" w:hAnsi="仿宋" w:eastAsia="仿宋" w:cs="仿宋"/>
                <w:color w:val="auto"/>
                <w:sz w:val="24"/>
                <w:szCs w:val="24"/>
                <w:highlight w:val="none"/>
                <w:lang w:eastAsia="zh-CN"/>
              </w:rPr>
              <w:t>，</w:t>
            </w:r>
            <w:r>
              <w:rPr>
                <w:rStyle w:val="57"/>
                <w:rFonts w:hint="eastAsia" w:ascii="仿宋" w:hAnsi="仿宋" w:eastAsia="仿宋" w:cs="仿宋"/>
                <w:color w:val="auto"/>
                <w:sz w:val="24"/>
                <w:szCs w:val="24"/>
                <w:highlight w:val="none"/>
              </w:rPr>
              <w:t>最高</w:t>
            </w:r>
            <w:r>
              <w:rPr>
                <w:rStyle w:val="57"/>
                <w:rFonts w:hint="eastAsia" w:ascii="仿宋" w:hAnsi="仿宋" w:eastAsia="仿宋" w:cs="仿宋"/>
                <w:color w:val="auto"/>
                <w:sz w:val="24"/>
                <w:szCs w:val="24"/>
                <w:highlight w:val="none"/>
                <w:lang w:val="en-US" w:eastAsia="zh-CN"/>
              </w:rPr>
              <w:t>6</w:t>
            </w:r>
            <w:r>
              <w:rPr>
                <w:rStyle w:val="57"/>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jc w:val="both"/>
              <w:textAlignment w:val="auto"/>
              <w:rPr>
                <w:rStyle w:val="57"/>
                <w:rFonts w:hint="eastAsia" w:ascii="仿宋" w:hAnsi="仿宋" w:eastAsia="仿宋" w:cs="仿宋"/>
                <w:color w:val="auto"/>
                <w:sz w:val="24"/>
                <w:szCs w:val="24"/>
                <w:highlight w:val="none"/>
              </w:rPr>
            </w:pPr>
            <w:r>
              <w:rPr>
                <w:rStyle w:val="57"/>
                <w:rFonts w:hint="eastAsia" w:ascii="仿宋" w:hAnsi="仿宋" w:eastAsia="仿宋" w:cs="仿宋"/>
                <w:color w:val="auto"/>
                <w:sz w:val="24"/>
                <w:szCs w:val="24"/>
                <w:highlight w:val="none"/>
              </w:rPr>
              <w:t>供应商取得本项目抽检</w:t>
            </w:r>
            <w:r>
              <w:rPr>
                <w:rStyle w:val="57"/>
                <w:rFonts w:hint="eastAsia" w:ascii="仿宋" w:hAnsi="仿宋" w:eastAsia="仿宋" w:cs="仿宋"/>
                <w:color w:val="auto"/>
                <w:sz w:val="24"/>
                <w:szCs w:val="24"/>
                <w:highlight w:val="none"/>
                <w:lang w:eastAsia="zh-CN"/>
              </w:rPr>
              <w:t>产品对应</w:t>
            </w:r>
            <w:r>
              <w:rPr>
                <w:rStyle w:val="57"/>
                <w:rFonts w:hint="eastAsia" w:ascii="仿宋" w:hAnsi="仿宋" w:eastAsia="仿宋" w:cs="仿宋"/>
                <w:color w:val="auto"/>
                <w:sz w:val="24"/>
                <w:szCs w:val="24"/>
                <w:highlight w:val="none"/>
              </w:rPr>
              <w:t>领域</w:t>
            </w:r>
            <w:r>
              <w:rPr>
                <w:rStyle w:val="57"/>
                <w:rFonts w:hint="eastAsia" w:ascii="仿宋" w:hAnsi="仿宋" w:eastAsia="仿宋" w:cs="仿宋"/>
                <w:color w:val="auto"/>
                <w:sz w:val="24"/>
                <w:szCs w:val="24"/>
                <w:highlight w:val="none"/>
                <w:lang w:eastAsia="zh-CN"/>
              </w:rPr>
              <w:t>的</w:t>
            </w:r>
            <w:r>
              <w:rPr>
                <w:rStyle w:val="57"/>
                <w:rFonts w:hint="eastAsia" w:ascii="仿宋" w:hAnsi="仿宋" w:eastAsia="仿宋" w:cs="仿宋"/>
                <w:color w:val="auto"/>
                <w:sz w:val="24"/>
                <w:szCs w:val="24"/>
                <w:highlight w:val="none"/>
              </w:rPr>
              <w:t>省级质检中心的</w:t>
            </w:r>
            <w:r>
              <w:rPr>
                <w:rStyle w:val="57"/>
                <w:rFonts w:hint="eastAsia" w:ascii="仿宋" w:hAnsi="仿宋" w:eastAsia="仿宋" w:cs="仿宋"/>
                <w:color w:val="auto"/>
                <w:sz w:val="24"/>
                <w:szCs w:val="24"/>
                <w:highlight w:val="none"/>
                <w:lang w:eastAsia="zh-CN"/>
              </w:rPr>
              <w:t>，每个</w:t>
            </w:r>
            <w:r>
              <w:rPr>
                <w:rStyle w:val="57"/>
                <w:rFonts w:hint="eastAsia" w:ascii="仿宋" w:hAnsi="仿宋" w:eastAsia="仿宋" w:cs="仿宋"/>
                <w:color w:val="auto"/>
                <w:sz w:val="24"/>
                <w:szCs w:val="24"/>
                <w:highlight w:val="none"/>
              </w:rPr>
              <w:t>得</w:t>
            </w:r>
            <w:r>
              <w:rPr>
                <w:rStyle w:val="57"/>
                <w:rFonts w:hint="eastAsia" w:ascii="仿宋" w:hAnsi="仿宋" w:eastAsia="仿宋" w:cs="仿宋"/>
                <w:color w:val="auto"/>
                <w:sz w:val="24"/>
                <w:szCs w:val="24"/>
                <w:highlight w:val="none"/>
                <w:lang w:val="en-US" w:eastAsia="zh-CN"/>
              </w:rPr>
              <w:t>1</w:t>
            </w:r>
            <w:r>
              <w:rPr>
                <w:rStyle w:val="57"/>
                <w:rFonts w:hint="eastAsia" w:ascii="仿宋" w:hAnsi="仿宋" w:eastAsia="仿宋" w:cs="仿宋"/>
                <w:color w:val="auto"/>
                <w:sz w:val="24"/>
                <w:szCs w:val="24"/>
                <w:highlight w:val="none"/>
              </w:rPr>
              <w:t>分</w:t>
            </w:r>
            <w:r>
              <w:rPr>
                <w:rStyle w:val="57"/>
                <w:rFonts w:hint="eastAsia" w:ascii="仿宋" w:hAnsi="仿宋" w:eastAsia="仿宋" w:cs="仿宋"/>
                <w:color w:val="auto"/>
                <w:sz w:val="24"/>
                <w:szCs w:val="24"/>
                <w:highlight w:val="none"/>
                <w:lang w:eastAsia="zh-CN"/>
              </w:rPr>
              <w:t>，</w:t>
            </w:r>
            <w:r>
              <w:rPr>
                <w:rStyle w:val="57"/>
                <w:rFonts w:hint="eastAsia" w:ascii="仿宋" w:hAnsi="仿宋" w:eastAsia="仿宋" w:cs="仿宋"/>
                <w:color w:val="auto"/>
                <w:sz w:val="24"/>
                <w:szCs w:val="24"/>
                <w:highlight w:val="none"/>
              </w:rPr>
              <w:t>最高</w:t>
            </w:r>
            <w:r>
              <w:rPr>
                <w:rStyle w:val="57"/>
                <w:rFonts w:hint="eastAsia" w:ascii="仿宋" w:hAnsi="仿宋" w:eastAsia="仿宋" w:cs="仿宋"/>
                <w:color w:val="auto"/>
                <w:sz w:val="24"/>
                <w:szCs w:val="24"/>
                <w:highlight w:val="none"/>
                <w:lang w:val="en-US" w:eastAsia="zh-CN"/>
              </w:rPr>
              <w:t>2</w:t>
            </w:r>
            <w:r>
              <w:rPr>
                <w:rStyle w:val="57"/>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Style w:val="57"/>
                <w:rFonts w:hint="eastAsia" w:ascii="仿宋" w:hAnsi="仿宋" w:eastAsia="仿宋" w:cs="仿宋"/>
                <w:color w:val="auto"/>
                <w:sz w:val="24"/>
                <w:szCs w:val="24"/>
                <w:highlight w:val="none"/>
                <w:lang w:eastAsia="zh-CN"/>
              </w:rPr>
              <w:t>注：</w:t>
            </w:r>
            <w:r>
              <w:rPr>
                <w:rStyle w:val="57"/>
                <w:rFonts w:hint="eastAsia" w:ascii="仿宋" w:hAnsi="仿宋" w:eastAsia="仿宋" w:cs="仿宋"/>
                <w:color w:val="auto"/>
                <w:sz w:val="24"/>
                <w:szCs w:val="24"/>
                <w:highlight w:val="none"/>
              </w:rPr>
              <w:t>提供相关证明材料。</w:t>
            </w:r>
          </w:p>
        </w:tc>
        <w:tc>
          <w:tcPr>
            <w:tcW w:w="846" w:type="dxa"/>
            <w:noWrap w:val="0"/>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rPr>
              <w:t>8</w:t>
            </w:r>
            <w:r>
              <w:rPr>
                <w:rStyle w:val="57"/>
                <w:rFonts w:hint="eastAsia" w:ascii="仿宋" w:hAnsi="仿宋" w:eastAsia="仿宋" w:cs="仿宋"/>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blHeader/>
          <w:jc w:val="center"/>
        </w:trPr>
        <w:tc>
          <w:tcPr>
            <w:tcW w:w="825" w:type="dxa"/>
            <w:vMerge w:val="continue"/>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rPr>
            </w:pPr>
          </w:p>
        </w:tc>
        <w:tc>
          <w:tcPr>
            <w:tcW w:w="1387" w:type="dxa"/>
            <w:vMerge w:val="continue"/>
            <w:noWrap w:val="0"/>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sz w:val="24"/>
                <w:szCs w:val="24"/>
                <w:highlight w:val="none"/>
              </w:rPr>
            </w:pPr>
          </w:p>
        </w:tc>
        <w:tc>
          <w:tcPr>
            <w:tcW w:w="6510"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jc w:val="both"/>
              <w:textAlignment w:val="auto"/>
              <w:rPr>
                <w:rStyle w:val="57"/>
                <w:rFonts w:hint="eastAsia" w:ascii="仿宋" w:hAnsi="仿宋" w:eastAsia="仿宋" w:cs="仿宋"/>
                <w:color w:val="auto"/>
                <w:sz w:val="24"/>
                <w:szCs w:val="24"/>
                <w:highlight w:val="none"/>
                <w:lang w:eastAsia="zh-CN"/>
              </w:rPr>
            </w:pPr>
            <w:r>
              <w:rPr>
                <w:rStyle w:val="57"/>
                <w:rFonts w:hint="eastAsia" w:ascii="仿宋" w:hAnsi="仿宋" w:eastAsia="仿宋" w:cs="仿宋"/>
                <w:color w:val="auto"/>
                <w:sz w:val="24"/>
                <w:szCs w:val="24"/>
                <w:highlight w:val="none"/>
              </w:rPr>
              <w:t>2、202</w:t>
            </w:r>
            <w:r>
              <w:rPr>
                <w:rStyle w:val="57"/>
                <w:rFonts w:hint="eastAsia" w:ascii="仿宋" w:hAnsi="仿宋" w:eastAsia="仿宋" w:cs="仿宋"/>
                <w:color w:val="auto"/>
                <w:sz w:val="24"/>
                <w:szCs w:val="24"/>
                <w:highlight w:val="none"/>
                <w:lang w:val="en-US" w:eastAsia="zh-CN"/>
              </w:rPr>
              <w:t>2</w:t>
            </w:r>
            <w:r>
              <w:rPr>
                <w:rStyle w:val="57"/>
                <w:rFonts w:hint="eastAsia" w:ascii="仿宋" w:hAnsi="仿宋" w:eastAsia="仿宋" w:cs="仿宋"/>
                <w:color w:val="auto"/>
                <w:sz w:val="24"/>
                <w:szCs w:val="24"/>
                <w:highlight w:val="none"/>
              </w:rPr>
              <w:t>年1月1日以来</w:t>
            </w:r>
            <w:r>
              <w:rPr>
                <w:rStyle w:val="57"/>
                <w:rFonts w:hint="eastAsia" w:ascii="仿宋" w:hAnsi="仿宋" w:eastAsia="仿宋" w:cs="仿宋"/>
                <w:color w:val="auto"/>
                <w:sz w:val="24"/>
                <w:szCs w:val="24"/>
                <w:highlight w:val="none"/>
                <w:lang w:eastAsia="zh-CN"/>
              </w:rPr>
              <w:t>供应商</w:t>
            </w:r>
            <w:r>
              <w:rPr>
                <w:rStyle w:val="57"/>
                <w:rFonts w:hint="eastAsia" w:ascii="仿宋" w:hAnsi="仿宋" w:eastAsia="仿宋" w:cs="仿宋"/>
                <w:color w:val="auto"/>
                <w:sz w:val="24"/>
                <w:szCs w:val="24"/>
                <w:highlight w:val="none"/>
              </w:rPr>
              <w:t>参与国内相关机构组织的</w:t>
            </w:r>
            <w:r>
              <w:rPr>
                <w:rStyle w:val="57"/>
                <w:rFonts w:hint="eastAsia" w:ascii="仿宋" w:hAnsi="仿宋" w:eastAsia="仿宋" w:cs="仿宋"/>
                <w:color w:val="auto"/>
                <w:sz w:val="24"/>
                <w:szCs w:val="24"/>
                <w:highlight w:val="none"/>
                <w:lang w:eastAsia="zh-CN"/>
              </w:rPr>
              <w:t>本项目</w:t>
            </w:r>
            <w:r>
              <w:rPr>
                <w:rStyle w:val="57"/>
                <w:rFonts w:hint="eastAsia" w:ascii="仿宋" w:hAnsi="仿宋" w:eastAsia="仿宋" w:cs="仿宋"/>
                <w:color w:val="auto"/>
                <w:sz w:val="24"/>
                <w:szCs w:val="24"/>
                <w:highlight w:val="none"/>
              </w:rPr>
              <w:t>相关产品实验室能力验证，每次评价为满意的得0.5分</w:t>
            </w:r>
            <w:r>
              <w:rPr>
                <w:rStyle w:val="57"/>
                <w:rFonts w:hint="eastAsia" w:ascii="仿宋" w:hAnsi="仿宋" w:eastAsia="仿宋" w:cs="仿宋"/>
                <w:color w:val="auto"/>
                <w:sz w:val="24"/>
                <w:szCs w:val="24"/>
                <w:highlight w:val="none"/>
                <w:lang w:eastAsia="zh-CN"/>
              </w:rPr>
              <w:t>，</w:t>
            </w:r>
            <w:r>
              <w:rPr>
                <w:rStyle w:val="57"/>
                <w:rFonts w:hint="eastAsia" w:ascii="仿宋" w:hAnsi="仿宋" w:eastAsia="仿宋" w:cs="仿宋"/>
                <w:color w:val="auto"/>
                <w:sz w:val="24"/>
                <w:szCs w:val="24"/>
                <w:highlight w:val="none"/>
                <w:lang w:val="zh-CN"/>
              </w:rPr>
              <w:t>没有不得分</w:t>
            </w:r>
            <w:r>
              <w:rPr>
                <w:rStyle w:val="57"/>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bCs/>
                <w:color w:val="auto"/>
                <w:kern w:val="2"/>
                <w:sz w:val="24"/>
                <w:szCs w:val="24"/>
                <w:highlight w:val="none"/>
                <w:lang w:val="en-US" w:eastAsia="zh-CN" w:bidi="ar-SA"/>
              </w:rPr>
            </w:pPr>
            <w:r>
              <w:rPr>
                <w:rStyle w:val="57"/>
                <w:rFonts w:hint="eastAsia" w:ascii="仿宋" w:hAnsi="仿宋" w:eastAsia="仿宋" w:cs="仿宋"/>
                <w:color w:val="auto"/>
                <w:sz w:val="24"/>
                <w:szCs w:val="24"/>
                <w:highlight w:val="none"/>
                <w:lang w:eastAsia="zh-CN"/>
              </w:rPr>
              <w:t>注：</w:t>
            </w:r>
            <w:r>
              <w:rPr>
                <w:rStyle w:val="57"/>
                <w:rFonts w:hint="eastAsia" w:ascii="仿宋" w:hAnsi="仿宋" w:eastAsia="仿宋" w:cs="仿宋"/>
                <w:color w:val="auto"/>
                <w:sz w:val="24"/>
                <w:szCs w:val="24"/>
                <w:highlight w:val="none"/>
              </w:rPr>
              <w:t>提供相关证明材料。</w:t>
            </w:r>
          </w:p>
        </w:tc>
        <w:tc>
          <w:tcPr>
            <w:tcW w:w="846" w:type="dxa"/>
            <w:noWrap w:val="0"/>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Style w:val="57"/>
                <w:rFonts w:hint="eastAsia" w:ascii="仿宋" w:hAnsi="仿宋" w:eastAsia="仿宋" w:cs="仿宋"/>
                <w:color w:val="auto"/>
                <w:kern w:val="0"/>
                <w:sz w:val="24"/>
                <w:szCs w:val="24"/>
                <w:highlight w:val="none"/>
                <w:lang w:val="en-US" w:eastAsia="zh-CN"/>
              </w:rPr>
              <w:t>2</w:t>
            </w:r>
            <w:r>
              <w:rPr>
                <w:rStyle w:val="57"/>
                <w:rFonts w:hint="eastAsia" w:ascii="仿宋" w:hAnsi="仿宋" w:eastAsia="仿宋" w:cs="仿宋"/>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blHeader/>
          <w:jc w:val="center"/>
        </w:trPr>
        <w:tc>
          <w:tcPr>
            <w:tcW w:w="825"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2</w:t>
            </w:r>
          </w:p>
        </w:tc>
        <w:tc>
          <w:tcPr>
            <w:tcW w:w="1387" w:type="dxa"/>
            <w:noWrap w:val="0"/>
            <w:vAlign w:val="center"/>
          </w:tcPr>
          <w:p>
            <w:pPr>
              <w:pStyle w:val="19"/>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项目实施方案</w:t>
            </w:r>
          </w:p>
        </w:tc>
        <w:tc>
          <w:tcPr>
            <w:tcW w:w="65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left="0" w:leftChars="0" w:right="0" w:rightChars="0"/>
              <w:jc w:val="both"/>
              <w:textAlignment w:val="auto"/>
              <w:rPr>
                <w:rStyle w:val="57"/>
                <w:rFonts w:hint="eastAsia" w:ascii="仿宋" w:hAnsi="仿宋" w:eastAsia="仿宋" w:cs="仿宋"/>
                <w:color w:val="auto"/>
                <w:sz w:val="24"/>
                <w:szCs w:val="24"/>
                <w:highlight w:val="none"/>
                <w:lang w:eastAsia="zh-CN"/>
              </w:rPr>
            </w:pPr>
            <w:r>
              <w:rPr>
                <w:rStyle w:val="57"/>
                <w:rFonts w:hint="eastAsia" w:ascii="仿宋" w:hAnsi="仿宋" w:eastAsia="仿宋" w:cs="仿宋"/>
                <w:color w:val="auto"/>
                <w:sz w:val="24"/>
                <w:szCs w:val="24"/>
                <w:highlight w:val="none"/>
              </w:rPr>
              <w:t>根据本项目采购需求，针对性提出项目实施方案，包括</w:t>
            </w:r>
            <w:bookmarkStart w:id="56" w:name="_Toc21993"/>
            <w:r>
              <w:rPr>
                <w:rStyle w:val="57"/>
                <w:rFonts w:hint="eastAsia" w:ascii="仿宋" w:hAnsi="仿宋" w:eastAsia="仿宋" w:cs="仿宋"/>
                <w:color w:val="auto"/>
                <w:sz w:val="24"/>
                <w:szCs w:val="24"/>
                <w:highlight w:val="none"/>
              </w:rPr>
              <w:t>对本项目系统总体要求的理解</w:t>
            </w:r>
            <w:bookmarkEnd w:id="56"/>
            <w:bookmarkStart w:id="57" w:name="_Toc7414"/>
            <w:r>
              <w:rPr>
                <w:rStyle w:val="57"/>
                <w:rFonts w:hint="eastAsia" w:ascii="仿宋" w:hAnsi="仿宋" w:eastAsia="仿宋" w:cs="仿宋"/>
                <w:color w:val="auto"/>
                <w:sz w:val="24"/>
                <w:szCs w:val="24"/>
                <w:highlight w:val="none"/>
                <w:lang w:eastAsia="zh-CN"/>
              </w:rPr>
              <w:t>（结合项目地产业状况及历年监督抽检数据等进行阐述）、</w:t>
            </w:r>
            <w:r>
              <w:rPr>
                <w:rStyle w:val="57"/>
                <w:rFonts w:hint="eastAsia" w:ascii="仿宋" w:hAnsi="仿宋" w:eastAsia="仿宋" w:cs="仿宋"/>
                <w:color w:val="auto"/>
                <w:sz w:val="24"/>
                <w:szCs w:val="24"/>
                <w:highlight w:val="none"/>
              </w:rPr>
              <w:t>重难点分析</w:t>
            </w:r>
            <w:bookmarkEnd w:id="57"/>
            <w:r>
              <w:rPr>
                <w:rStyle w:val="57"/>
                <w:rFonts w:hint="eastAsia" w:ascii="仿宋" w:hAnsi="仿宋" w:eastAsia="仿宋" w:cs="仿宋"/>
                <w:color w:val="auto"/>
                <w:sz w:val="24"/>
                <w:szCs w:val="24"/>
                <w:highlight w:val="none"/>
              </w:rPr>
              <w:t>及抽检工作方案（包括抽样安排、样品物流安排、检验工作安排、</w:t>
            </w:r>
            <w:r>
              <w:rPr>
                <w:rFonts w:hint="eastAsia" w:ascii="仿宋" w:hAnsi="仿宋" w:eastAsia="仿宋" w:cs="仿宋"/>
                <w:color w:val="auto"/>
                <w:kern w:val="0"/>
                <w:sz w:val="24"/>
                <w:szCs w:val="24"/>
                <w:highlight w:val="none"/>
              </w:rPr>
              <w:t>异议复检安排</w:t>
            </w:r>
            <w:r>
              <w:rPr>
                <w:rFonts w:hint="eastAsia" w:ascii="仿宋" w:hAnsi="仿宋" w:eastAsia="仿宋" w:cs="仿宋"/>
                <w:color w:val="auto"/>
                <w:kern w:val="0"/>
                <w:sz w:val="24"/>
                <w:szCs w:val="24"/>
                <w:highlight w:val="none"/>
                <w:lang w:eastAsia="zh-CN"/>
              </w:rPr>
              <w:t>、</w:t>
            </w:r>
            <w:r>
              <w:rPr>
                <w:rStyle w:val="57"/>
                <w:rFonts w:hint="eastAsia" w:ascii="仿宋" w:hAnsi="仿宋" w:eastAsia="仿宋" w:cs="仿宋"/>
                <w:color w:val="auto"/>
                <w:sz w:val="24"/>
                <w:szCs w:val="24"/>
                <w:highlight w:val="none"/>
              </w:rPr>
              <w:t>检毕样品处置安排等）</w:t>
            </w:r>
            <w:r>
              <w:rPr>
                <w:rStyle w:val="57"/>
                <w:rFonts w:hint="eastAsia" w:ascii="仿宋" w:hAnsi="仿宋" w:eastAsia="仿宋" w:cs="仿宋"/>
                <w:color w:val="auto"/>
                <w:sz w:val="24"/>
                <w:szCs w:val="24"/>
                <w:highlight w:val="none"/>
                <w:lang w:eastAsia="zh-CN"/>
              </w:rPr>
              <w:t>，</w:t>
            </w:r>
            <w:r>
              <w:rPr>
                <w:rStyle w:val="57"/>
                <w:rFonts w:hint="eastAsia" w:ascii="仿宋" w:hAnsi="仿宋" w:eastAsia="仿宋" w:cs="仿宋"/>
                <w:color w:val="auto"/>
                <w:sz w:val="24"/>
                <w:szCs w:val="24"/>
                <w:highlight w:val="none"/>
              </w:rPr>
              <w:t>由评委综合评价打分。</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left="0" w:leftChars="0" w:right="0" w:rightChars="0"/>
              <w:jc w:val="both"/>
              <w:textAlignment w:val="auto"/>
              <w:rPr>
                <w:rStyle w:val="57"/>
                <w:rFonts w:hint="eastAsia" w:ascii="仿宋" w:hAnsi="仿宋" w:eastAsia="仿宋" w:cs="仿宋"/>
                <w:color w:val="auto"/>
                <w:sz w:val="24"/>
                <w:szCs w:val="24"/>
                <w:highlight w:val="none"/>
              </w:rPr>
            </w:pPr>
            <w:r>
              <w:rPr>
                <w:rStyle w:val="57"/>
                <w:rFonts w:hint="eastAsia" w:ascii="仿宋" w:hAnsi="仿宋" w:eastAsia="仿宋" w:cs="仿宋"/>
                <w:color w:val="auto"/>
                <w:sz w:val="24"/>
                <w:szCs w:val="24"/>
                <w:highlight w:val="none"/>
                <w:lang w:eastAsia="zh-CN"/>
              </w:rPr>
              <w:t>（</w:t>
            </w:r>
            <w:r>
              <w:rPr>
                <w:rStyle w:val="57"/>
                <w:rFonts w:hint="eastAsia" w:ascii="仿宋" w:hAnsi="仿宋" w:eastAsia="仿宋" w:cs="仿宋"/>
                <w:color w:val="auto"/>
                <w:sz w:val="24"/>
                <w:szCs w:val="24"/>
                <w:highlight w:val="none"/>
                <w:lang w:val="en-US" w:eastAsia="zh-CN"/>
              </w:rPr>
              <w:t>1</w:t>
            </w:r>
            <w:r>
              <w:rPr>
                <w:rStyle w:val="57"/>
                <w:rFonts w:hint="eastAsia" w:ascii="仿宋" w:hAnsi="仿宋" w:eastAsia="仿宋" w:cs="仿宋"/>
                <w:color w:val="auto"/>
                <w:sz w:val="24"/>
                <w:szCs w:val="24"/>
                <w:highlight w:val="none"/>
                <w:lang w:eastAsia="zh-CN"/>
              </w:rPr>
              <w:t>）</w:t>
            </w:r>
            <w:r>
              <w:rPr>
                <w:rStyle w:val="57"/>
                <w:rFonts w:hint="eastAsia" w:ascii="仿宋" w:hAnsi="仿宋" w:eastAsia="仿宋" w:cs="仿宋"/>
                <w:color w:val="auto"/>
                <w:sz w:val="24"/>
                <w:szCs w:val="24"/>
                <w:highlight w:val="none"/>
                <w:lang w:val="en-US" w:eastAsia="zh-CN"/>
              </w:rPr>
              <w:t>方案完善、监督抽检数据详实并符合本项目实际情况，实施管理科学合理的，得6</w:t>
            </w:r>
            <w:r>
              <w:rPr>
                <w:rStyle w:val="57"/>
                <w:rFonts w:hint="eastAsia" w:ascii="仿宋" w:hAnsi="仿宋" w:eastAsia="仿宋" w:cs="仿宋"/>
                <w:color w:val="auto"/>
                <w:sz w:val="24"/>
                <w:szCs w:val="24"/>
                <w:highlight w:val="none"/>
              </w:rPr>
              <w:t>.1-</w:t>
            </w:r>
            <w:r>
              <w:rPr>
                <w:rStyle w:val="57"/>
                <w:rFonts w:hint="eastAsia" w:ascii="仿宋" w:hAnsi="仿宋" w:eastAsia="仿宋" w:cs="仿宋"/>
                <w:color w:val="auto"/>
                <w:sz w:val="24"/>
                <w:szCs w:val="24"/>
                <w:highlight w:val="none"/>
                <w:lang w:val="en-US" w:eastAsia="zh-CN"/>
              </w:rPr>
              <w:t>12</w:t>
            </w:r>
            <w:r>
              <w:rPr>
                <w:rStyle w:val="57"/>
                <w:rFonts w:hint="eastAsia" w:ascii="仿宋" w:hAnsi="仿宋" w:eastAsia="仿宋" w:cs="仿宋"/>
                <w:color w:val="auto"/>
                <w:sz w:val="24"/>
                <w:szCs w:val="24"/>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left="0" w:leftChars="0" w:right="0" w:rightChars="0"/>
              <w:jc w:val="both"/>
              <w:textAlignment w:val="auto"/>
              <w:rPr>
                <w:rStyle w:val="57"/>
                <w:rFonts w:hint="eastAsia" w:ascii="仿宋" w:hAnsi="仿宋" w:eastAsia="仿宋" w:cs="仿宋"/>
                <w:color w:val="auto"/>
                <w:sz w:val="24"/>
                <w:szCs w:val="24"/>
                <w:highlight w:val="none"/>
              </w:rPr>
            </w:pPr>
            <w:r>
              <w:rPr>
                <w:rStyle w:val="57"/>
                <w:rFonts w:hint="eastAsia" w:ascii="仿宋" w:hAnsi="仿宋" w:eastAsia="仿宋" w:cs="仿宋"/>
                <w:color w:val="auto"/>
                <w:sz w:val="24"/>
                <w:szCs w:val="24"/>
                <w:highlight w:val="none"/>
                <w:lang w:eastAsia="zh-CN"/>
              </w:rPr>
              <w:t>（</w:t>
            </w:r>
            <w:r>
              <w:rPr>
                <w:rStyle w:val="57"/>
                <w:rFonts w:hint="eastAsia" w:ascii="仿宋" w:hAnsi="仿宋" w:eastAsia="仿宋" w:cs="仿宋"/>
                <w:color w:val="auto"/>
                <w:sz w:val="24"/>
                <w:szCs w:val="24"/>
                <w:highlight w:val="none"/>
                <w:lang w:val="en-US" w:eastAsia="zh-CN"/>
              </w:rPr>
              <w:t>2</w:t>
            </w:r>
            <w:r>
              <w:rPr>
                <w:rStyle w:val="57"/>
                <w:rFonts w:hint="eastAsia" w:ascii="仿宋" w:hAnsi="仿宋" w:eastAsia="仿宋" w:cs="仿宋"/>
                <w:color w:val="auto"/>
                <w:sz w:val="24"/>
                <w:szCs w:val="24"/>
                <w:highlight w:val="none"/>
                <w:lang w:eastAsia="zh-CN"/>
              </w:rPr>
              <w:t>）</w:t>
            </w:r>
            <w:r>
              <w:rPr>
                <w:rStyle w:val="57"/>
                <w:rFonts w:hint="eastAsia" w:ascii="仿宋" w:hAnsi="仿宋" w:eastAsia="仿宋" w:cs="仿宋"/>
                <w:color w:val="auto"/>
                <w:sz w:val="24"/>
                <w:szCs w:val="24"/>
                <w:highlight w:val="none"/>
              </w:rPr>
              <w:t>方案内容简单，阐述片面，缺乏可行性的</w:t>
            </w:r>
            <w:r>
              <w:rPr>
                <w:rStyle w:val="57"/>
                <w:rFonts w:hint="eastAsia" w:ascii="仿宋" w:hAnsi="仿宋" w:eastAsia="仿宋" w:cs="仿宋"/>
                <w:color w:val="auto"/>
                <w:sz w:val="24"/>
                <w:szCs w:val="24"/>
                <w:highlight w:val="none"/>
                <w:lang w:eastAsia="zh-CN"/>
              </w:rPr>
              <w:t>，</w:t>
            </w:r>
            <w:r>
              <w:rPr>
                <w:rStyle w:val="57"/>
                <w:rFonts w:hint="eastAsia" w:ascii="仿宋" w:hAnsi="仿宋" w:eastAsia="仿宋" w:cs="仿宋"/>
                <w:color w:val="auto"/>
                <w:sz w:val="24"/>
                <w:szCs w:val="24"/>
                <w:highlight w:val="none"/>
              </w:rPr>
              <w:t>得0.1-</w:t>
            </w:r>
            <w:r>
              <w:rPr>
                <w:rStyle w:val="57"/>
                <w:rFonts w:hint="eastAsia" w:ascii="仿宋" w:hAnsi="仿宋" w:eastAsia="仿宋" w:cs="仿宋"/>
                <w:color w:val="auto"/>
                <w:sz w:val="24"/>
                <w:szCs w:val="24"/>
                <w:highlight w:val="none"/>
                <w:lang w:val="en-US" w:eastAsia="zh-CN"/>
              </w:rPr>
              <w:t>6</w:t>
            </w:r>
            <w:r>
              <w:rPr>
                <w:rStyle w:val="57"/>
                <w:rFonts w:hint="eastAsia" w:ascii="仿宋" w:hAnsi="仿宋" w:eastAsia="仿宋" w:cs="仿宋"/>
                <w:color w:val="auto"/>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Style w:val="57"/>
                <w:rFonts w:hint="eastAsia" w:ascii="仿宋" w:hAnsi="仿宋" w:eastAsia="仿宋" w:cs="仿宋"/>
                <w:color w:val="auto"/>
                <w:sz w:val="24"/>
                <w:szCs w:val="24"/>
                <w:highlight w:val="none"/>
                <w:lang w:eastAsia="zh-CN"/>
              </w:rPr>
              <w:t>（</w:t>
            </w:r>
            <w:r>
              <w:rPr>
                <w:rStyle w:val="57"/>
                <w:rFonts w:hint="eastAsia" w:ascii="仿宋" w:hAnsi="仿宋" w:eastAsia="仿宋" w:cs="仿宋"/>
                <w:color w:val="auto"/>
                <w:sz w:val="24"/>
                <w:szCs w:val="24"/>
                <w:highlight w:val="none"/>
                <w:lang w:val="en-US" w:eastAsia="zh-CN"/>
              </w:rPr>
              <w:t>3</w:t>
            </w:r>
            <w:r>
              <w:rPr>
                <w:rStyle w:val="57"/>
                <w:rFonts w:hint="eastAsia" w:ascii="仿宋" w:hAnsi="仿宋" w:eastAsia="仿宋" w:cs="仿宋"/>
                <w:color w:val="auto"/>
                <w:sz w:val="24"/>
                <w:szCs w:val="24"/>
                <w:highlight w:val="none"/>
                <w:lang w:eastAsia="zh-CN"/>
              </w:rPr>
              <w:t>）</w:t>
            </w:r>
            <w:r>
              <w:rPr>
                <w:rStyle w:val="57"/>
                <w:rFonts w:hint="eastAsia" w:ascii="仿宋" w:hAnsi="仿宋" w:eastAsia="仿宋" w:cs="仿宋"/>
                <w:color w:val="auto"/>
                <w:sz w:val="24"/>
                <w:szCs w:val="24"/>
                <w:highlight w:val="none"/>
              </w:rPr>
              <w:t>不提供或严重欠缺不足的</w:t>
            </w:r>
            <w:r>
              <w:rPr>
                <w:rStyle w:val="57"/>
                <w:rFonts w:hint="eastAsia" w:ascii="仿宋" w:hAnsi="仿宋" w:eastAsia="仿宋" w:cs="仿宋"/>
                <w:color w:val="auto"/>
                <w:sz w:val="24"/>
                <w:szCs w:val="24"/>
                <w:highlight w:val="none"/>
                <w:lang w:eastAsia="zh-CN"/>
              </w:rPr>
              <w:t>，</w:t>
            </w:r>
            <w:r>
              <w:rPr>
                <w:rStyle w:val="57"/>
                <w:rFonts w:hint="eastAsia" w:ascii="仿宋" w:hAnsi="仿宋" w:eastAsia="仿宋" w:cs="仿宋"/>
                <w:color w:val="auto"/>
                <w:sz w:val="24"/>
                <w:szCs w:val="24"/>
                <w:highlight w:val="none"/>
              </w:rPr>
              <w:t>不得分。</w:t>
            </w:r>
          </w:p>
        </w:tc>
        <w:tc>
          <w:tcPr>
            <w:tcW w:w="846"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blHeader/>
          <w:jc w:val="center"/>
        </w:trPr>
        <w:tc>
          <w:tcPr>
            <w:tcW w:w="825"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3</w:t>
            </w:r>
          </w:p>
        </w:tc>
        <w:tc>
          <w:tcPr>
            <w:tcW w:w="1387" w:type="dxa"/>
            <w:noWrap w:val="0"/>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质量保障措施</w:t>
            </w:r>
          </w:p>
        </w:tc>
        <w:tc>
          <w:tcPr>
            <w:tcW w:w="6510" w:type="dxa"/>
            <w:noWrap w:val="0"/>
            <w:vAlign w:val="center"/>
          </w:tcPr>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是否具有完善的质量控制方案、安全检验工作制度、检验责任追究制度、检验档案管理制度、实验室信息化管理等，</w:t>
            </w:r>
            <w:r>
              <w:rPr>
                <w:rStyle w:val="57"/>
                <w:rFonts w:hint="eastAsia" w:ascii="仿宋" w:hAnsi="仿宋" w:eastAsia="仿宋" w:cs="仿宋"/>
                <w:color w:val="auto"/>
                <w:sz w:val="24"/>
                <w:szCs w:val="24"/>
                <w:highlight w:val="none"/>
              </w:rPr>
              <w:t>由评委综合评价打分。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（1）方案完善并符合本项目实际情况，</w:t>
            </w:r>
            <w:r>
              <w:rPr>
                <w:rFonts w:hint="eastAsia" w:ascii="仿宋" w:hAnsi="仿宋" w:eastAsia="仿宋" w:cs="仿宋"/>
                <w:color w:val="auto"/>
                <w:kern w:val="0"/>
                <w:sz w:val="24"/>
                <w:szCs w:val="24"/>
                <w:highlight w:val="none"/>
                <w:lang w:val="en-US" w:eastAsia="zh-CN"/>
              </w:rPr>
              <w:t>保障措施</w:t>
            </w:r>
            <w:r>
              <w:rPr>
                <w:rFonts w:hint="eastAsia" w:ascii="仿宋" w:hAnsi="仿宋" w:eastAsia="仿宋" w:cs="仿宋"/>
                <w:color w:val="auto"/>
                <w:kern w:val="0"/>
                <w:sz w:val="24"/>
                <w:szCs w:val="24"/>
                <w:highlight w:val="none"/>
              </w:rPr>
              <w:t>科学合理的得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（2）方案内容简单，阐述片面，缺乏可行性的得0.1-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（3）未提及此项不得分。</w:t>
            </w:r>
          </w:p>
        </w:tc>
        <w:tc>
          <w:tcPr>
            <w:tcW w:w="846"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blHeader/>
          <w:jc w:val="center"/>
        </w:trPr>
        <w:tc>
          <w:tcPr>
            <w:tcW w:w="825"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4</w:t>
            </w:r>
          </w:p>
        </w:tc>
        <w:tc>
          <w:tcPr>
            <w:tcW w:w="1387" w:type="dxa"/>
            <w:noWrap w:val="0"/>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服务质量保证</w:t>
            </w:r>
          </w:p>
        </w:tc>
        <w:tc>
          <w:tcPr>
            <w:tcW w:w="6510" w:type="dxa"/>
            <w:noWrap w:val="0"/>
            <w:vAlign w:val="center"/>
          </w:tcPr>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包括服务及时率、抽检有效性、业务培训、质量分析、工作纪律管理制度等，</w:t>
            </w:r>
            <w:r>
              <w:rPr>
                <w:rStyle w:val="57"/>
                <w:rFonts w:hint="eastAsia" w:ascii="仿宋" w:hAnsi="仿宋" w:eastAsia="仿宋" w:cs="仿宋"/>
                <w:color w:val="auto"/>
                <w:sz w:val="24"/>
                <w:szCs w:val="24"/>
                <w:highlight w:val="none"/>
              </w:rPr>
              <w:t>由评委综合评价打分。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（1）方案完善并符合本项目实际情况，</w:t>
            </w:r>
            <w:r>
              <w:rPr>
                <w:rFonts w:hint="eastAsia" w:ascii="仿宋" w:hAnsi="仿宋" w:eastAsia="仿宋" w:cs="仿宋"/>
                <w:color w:val="auto"/>
                <w:kern w:val="0"/>
                <w:sz w:val="24"/>
                <w:szCs w:val="24"/>
                <w:highlight w:val="none"/>
                <w:lang w:val="en-US" w:eastAsia="zh-CN"/>
              </w:rPr>
              <w:t>服务工作</w:t>
            </w:r>
            <w:r>
              <w:rPr>
                <w:rFonts w:hint="eastAsia" w:ascii="仿宋" w:hAnsi="仿宋" w:eastAsia="仿宋" w:cs="仿宋"/>
                <w:color w:val="auto"/>
                <w:kern w:val="0"/>
                <w:sz w:val="24"/>
                <w:szCs w:val="24"/>
                <w:highlight w:val="none"/>
              </w:rPr>
              <w:t>科学合理的得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（2）方案内容简单，阐述片面，缺乏可行性的得0.1-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（3）未提及此项不得分。</w:t>
            </w:r>
          </w:p>
        </w:tc>
        <w:tc>
          <w:tcPr>
            <w:tcW w:w="846"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blHeader/>
          <w:jc w:val="center"/>
        </w:trPr>
        <w:tc>
          <w:tcPr>
            <w:tcW w:w="825"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5</w:t>
            </w:r>
          </w:p>
        </w:tc>
        <w:tc>
          <w:tcPr>
            <w:tcW w:w="1387" w:type="dxa"/>
            <w:noWrap w:val="0"/>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检测能力覆盖范围</w:t>
            </w:r>
          </w:p>
        </w:tc>
        <w:tc>
          <w:tcPr>
            <w:tcW w:w="6510" w:type="dxa"/>
            <w:noWrap w:val="0"/>
            <w:vAlign w:val="center"/>
          </w:tcPr>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自身具有满足本</w:t>
            </w:r>
            <w:r>
              <w:rPr>
                <w:rFonts w:hint="eastAsia" w:ascii="仿宋" w:hAnsi="仿宋" w:eastAsia="仿宋" w:cs="仿宋"/>
                <w:color w:val="auto"/>
                <w:kern w:val="0"/>
                <w:sz w:val="24"/>
                <w:szCs w:val="24"/>
                <w:highlight w:val="none"/>
                <w:lang w:eastAsia="zh-CN"/>
              </w:rPr>
              <w:t>标项</w:t>
            </w:r>
            <w:r>
              <w:rPr>
                <w:rFonts w:hint="eastAsia" w:ascii="仿宋" w:hAnsi="仿宋" w:eastAsia="仿宋" w:cs="仿宋"/>
                <w:color w:val="auto"/>
                <w:kern w:val="0"/>
                <w:sz w:val="24"/>
                <w:szCs w:val="24"/>
                <w:highlight w:val="none"/>
              </w:rPr>
              <w:t>确定的产品和检测项目明细的全项检验能力。具备全项检验能力的，得</w:t>
            </w:r>
            <w:r>
              <w:rPr>
                <w:rFonts w:hint="eastAsia" w:ascii="仿宋" w:hAnsi="仿宋" w:eastAsia="仿宋" w:cs="仿宋"/>
                <w:color w:val="auto"/>
                <w:kern w:val="0"/>
                <w:sz w:val="24"/>
                <w:szCs w:val="24"/>
                <w:highlight w:val="none"/>
                <w:lang w:val="en-US" w:eastAsia="zh-CN"/>
              </w:rPr>
              <w:t>24</w:t>
            </w:r>
            <w:r>
              <w:rPr>
                <w:rFonts w:hint="eastAsia" w:ascii="仿宋" w:hAnsi="仿宋" w:eastAsia="仿宋" w:cs="仿宋"/>
                <w:color w:val="auto"/>
                <w:kern w:val="0"/>
                <w:sz w:val="24"/>
                <w:szCs w:val="24"/>
                <w:highlight w:val="none"/>
              </w:rPr>
              <w:t>分；不具备能力的，每个产品扣4分；</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个产品及以上不具备检验能力的，本项得0分。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产品中涉及的检验依据和检测项目能力不全的，视同不具备该产品检测能力；</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资质</w:t>
            </w:r>
            <w:r>
              <w:rPr>
                <w:rFonts w:hint="eastAsia" w:ascii="仿宋" w:hAnsi="仿宋" w:eastAsia="仿宋" w:cs="仿宋"/>
                <w:color w:val="auto"/>
                <w:kern w:val="0"/>
                <w:sz w:val="24"/>
                <w:szCs w:val="24"/>
                <w:highlight w:val="none"/>
                <w:lang w:val="en-US" w:eastAsia="zh-CN"/>
              </w:rPr>
              <w:t>认定</w:t>
            </w:r>
            <w:r>
              <w:rPr>
                <w:rFonts w:hint="eastAsia" w:ascii="仿宋" w:hAnsi="仿宋" w:eastAsia="仿宋" w:cs="仿宋"/>
                <w:color w:val="auto"/>
                <w:kern w:val="0"/>
                <w:sz w:val="24"/>
                <w:szCs w:val="24"/>
                <w:highlight w:val="none"/>
              </w:rPr>
              <w:t>证书应当为省级及以上相关部门颁发的CMA资质证书，资料中还需提供资质认定证书相对应的</w:t>
            </w:r>
            <w:r>
              <w:rPr>
                <w:rFonts w:hint="eastAsia" w:ascii="仿宋" w:hAnsi="仿宋" w:eastAsia="仿宋" w:cs="仿宋"/>
                <w:color w:val="auto"/>
                <w:kern w:val="0"/>
                <w:sz w:val="24"/>
                <w:szCs w:val="24"/>
                <w:highlight w:val="none"/>
                <w:lang w:val="en-US" w:eastAsia="zh-CN"/>
              </w:rPr>
              <w:t>产品</w:t>
            </w:r>
            <w:r>
              <w:rPr>
                <w:rFonts w:hint="eastAsia" w:ascii="仿宋" w:hAnsi="仿宋" w:eastAsia="仿宋" w:cs="仿宋"/>
                <w:color w:val="auto"/>
                <w:kern w:val="0"/>
                <w:sz w:val="24"/>
                <w:szCs w:val="24"/>
                <w:highlight w:val="none"/>
              </w:rPr>
              <w:t>检测项目</w:t>
            </w:r>
            <w:r>
              <w:rPr>
                <w:rFonts w:hint="eastAsia" w:ascii="仿宋" w:hAnsi="仿宋" w:eastAsia="仿宋" w:cs="仿宋"/>
                <w:color w:val="auto"/>
                <w:kern w:val="0"/>
                <w:sz w:val="24"/>
                <w:szCs w:val="24"/>
                <w:highlight w:val="none"/>
                <w:lang w:val="en-US" w:eastAsia="zh-CN"/>
              </w:rPr>
              <w:t>附表证明文件</w:t>
            </w:r>
            <w:r>
              <w:rPr>
                <w:rFonts w:hint="eastAsia" w:ascii="仿宋" w:hAnsi="仿宋" w:eastAsia="仿宋" w:cs="仿宋"/>
                <w:color w:val="auto"/>
                <w:kern w:val="0"/>
                <w:sz w:val="24"/>
                <w:szCs w:val="24"/>
                <w:highlight w:val="none"/>
              </w:rPr>
              <w:t>并加盖公章，不提供者不得分。</w:t>
            </w:r>
          </w:p>
        </w:tc>
        <w:tc>
          <w:tcPr>
            <w:tcW w:w="846"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6</w:t>
            </w:r>
          </w:p>
        </w:tc>
        <w:tc>
          <w:tcPr>
            <w:tcW w:w="1387" w:type="dxa"/>
            <w:noWrap w:val="0"/>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人员配置</w:t>
            </w:r>
          </w:p>
        </w:tc>
        <w:tc>
          <w:tcPr>
            <w:tcW w:w="6510" w:type="dxa"/>
            <w:noWrap w:val="0"/>
            <w:vAlign w:val="center"/>
          </w:tcPr>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拥有承担本项目所需的专业技术人员及抽样人员：</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项目负责人：</w:t>
            </w:r>
            <w:r>
              <w:rPr>
                <w:rFonts w:hint="eastAsia" w:ascii="仿宋" w:hAnsi="仿宋" w:eastAsia="仿宋" w:cs="仿宋"/>
                <w:color w:val="auto"/>
                <w:kern w:val="0"/>
                <w:sz w:val="24"/>
                <w:szCs w:val="24"/>
                <w:highlight w:val="none"/>
              </w:rPr>
              <w:t>具有正高级职称</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分，具有副高级职称的得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分，其他不得分。本项累计最高不超过</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）项目检验人员：</w:t>
            </w:r>
            <w:r>
              <w:rPr>
                <w:rFonts w:hint="eastAsia" w:ascii="仿宋" w:hAnsi="仿宋" w:eastAsia="仿宋" w:cs="仿宋"/>
                <w:color w:val="auto"/>
                <w:kern w:val="0"/>
                <w:sz w:val="24"/>
                <w:szCs w:val="24"/>
                <w:highlight w:val="none"/>
                <w:lang w:eastAsia="zh-CN"/>
              </w:rPr>
              <w:t>根据投入本项目的检测人员配备数量、职称等级、分工安排等进行综合评分。</w:t>
            </w:r>
            <w:r>
              <w:rPr>
                <w:rFonts w:hint="eastAsia" w:ascii="仿宋" w:hAnsi="仿宋" w:eastAsia="仿宋" w:cs="仿宋"/>
                <w:color w:val="auto"/>
                <w:kern w:val="0"/>
                <w:sz w:val="24"/>
                <w:szCs w:val="24"/>
                <w:highlight w:val="none"/>
              </w:rPr>
              <w:t>本项累计最高不超过</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）项目抽样人员：</w:t>
            </w:r>
            <w:r>
              <w:rPr>
                <w:rFonts w:hint="eastAsia" w:ascii="仿宋" w:hAnsi="仿宋" w:eastAsia="仿宋" w:cs="仿宋"/>
                <w:color w:val="auto"/>
                <w:kern w:val="0"/>
                <w:sz w:val="24"/>
                <w:szCs w:val="24"/>
                <w:highlight w:val="none"/>
                <w:lang w:eastAsia="zh-CN"/>
              </w:rPr>
              <w:t>采样人员数量6-9人的得2分，10人及以上的得3分，其他不得分。</w:t>
            </w:r>
            <w:r>
              <w:rPr>
                <w:rFonts w:hint="eastAsia" w:ascii="仿宋" w:hAnsi="仿宋" w:eastAsia="仿宋" w:cs="仿宋"/>
                <w:color w:val="auto"/>
                <w:kern w:val="0"/>
                <w:sz w:val="24"/>
                <w:szCs w:val="24"/>
                <w:highlight w:val="none"/>
              </w:rPr>
              <w:t>本项累计最高不超过</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rPr>
              <w:t>注：</w:t>
            </w:r>
            <w:r>
              <w:rPr>
                <w:rFonts w:hint="eastAsia" w:ascii="仿宋" w:hAnsi="仿宋" w:eastAsia="仿宋" w:cs="仿宋"/>
                <w:color w:val="auto"/>
                <w:kern w:val="0"/>
                <w:sz w:val="24"/>
                <w:szCs w:val="24"/>
                <w:highlight w:val="none"/>
              </w:rPr>
              <w:t>提供相关证明材料，人员名单及岗位配置，</w:t>
            </w:r>
            <w:r>
              <w:rPr>
                <w:rFonts w:hint="eastAsia" w:ascii="仿宋" w:hAnsi="仿宋" w:eastAsia="仿宋" w:cs="仿宋"/>
                <w:color w:val="auto"/>
                <w:kern w:val="0"/>
                <w:sz w:val="24"/>
                <w:szCs w:val="24"/>
                <w:highlight w:val="none"/>
                <w:lang w:eastAsia="zh-CN"/>
              </w:rPr>
              <w:t>相关证书复印件和供应商为其缴纳的近期社保证明并加盖公章，未提供或不符合要求的不得分。</w:t>
            </w:r>
          </w:p>
        </w:tc>
        <w:tc>
          <w:tcPr>
            <w:tcW w:w="846"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vMerge w:val="restart"/>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rPr>
              <w:t>7</w:t>
            </w:r>
          </w:p>
        </w:tc>
        <w:tc>
          <w:tcPr>
            <w:tcW w:w="1387" w:type="dxa"/>
            <w:vMerge w:val="restart"/>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rPr>
              <w:t>设备配置</w:t>
            </w:r>
          </w:p>
        </w:tc>
        <w:tc>
          <w:tcPr>
            <w:tcW w:w="6510"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1、</w:t>
            </w:r>
            <w:r>
              <w:rPr>
                <w:rFonts w:hint="eastAsia" w:ascii="仿宋" w:hAnsi="仿宋" w:eastAsia="仿宋" w:cs="仿宋"/>
                <w:bCs/>
                <w:iCs/>
                <w:color w:val="auto"/>
                <w:sz w:val="24"/>
                <w:szCs w:val="24"/>
                <w:highlight w:val="none"/>
                <w:lang w:val="zh-CN" w:eastAsia="zh-CN"/>
              </w:rPr>
              <w:t>供应商配备满足本项目产品检测的仪器设备，性能先进优越的，种类能充分满足检测需求，保障项目实施质量的得</w:t>
            </w:r>
            <w:r>
              <w:rPr>
                <w:rFonts w:hint="eastAsia" w:ascii="仿宋" w:hAnsi="仿宋" w:eastAsia="仿宋" w:cs="仿宋"/>
                <w:bCs/>
                <w:iCs/>
                <w:color w:val="auto"/>
                <w:sz w:val="24"/>
                <w:szCs w:val="24"/>
                <w:highlight w:val="none"/>
                <w:lang w:val="en-US" w:eastAsia="zh-CN"/>
              </w:rPr>
              <w:t>1.5-3分；明显欠缺或不足的得0.1-1.5分；不提供或严重欠缺不足的不得分。</w:t>
            </w:r>
          </w:p>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lang w:val="zh-CN" w:eastAsia="zh-CN"/>
              </w:rPr>
            </w:pPr>
            <w:r>
              <w:rPr>
                <w:rFonts w:hint="eastAsia" w:ascii="仿宋" w:hAnsi="仿宋" w:eastAsia="仿宋" w:cs="仿宋"/>
                <w:bCs/>
                <w:iCs/>
                <w:color w:val="auto"/>
                <w:sz w:val="24"/>
                <w:szCs w:val="24"/>
                <w:highlight w:val="none"/>
              </w:rPr>
              <w:t>注：</w:t>
            </w:r>
            <w:r>
              <w:rPr>
                <w:rFonts w:hint="eastAsia" w:ascii="仿宋" w:hAnsi="仿宋" w:eastAsia="仿宋" w:cs="仿宋"/>
                <w:bCs/>
                <w:iCs/>
                <w:color w:val="auto"/>
                <w:sz w:val="24"/>
                <w:szCs w:val="24"/>
                <w:highlight w:val="none"/>
                <w:lang w:val="zh-CN"/>
              </w:rPr>
              <w:t>提供设备清单、照片、购置发票等相关证明材料。</w:t>
            </w:r>
          </w:p>
        </w:tc>
        <w:tc>
          <w:tcPr>
            <w:tcW w:w="846"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3</w:t>
            </w:r>
            <w:r>
              <w:rPr>
                <w:rFonts w:hint="eastAsia" w:ascii="仿宋" w:hAnsi="仿宋" w:eastAsia="仿宋" w:cs="仿宋"/>
                <w:bCs/>
                <w:i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vMerge w:val="continue"/>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rPr>
            </w:pPr>
          </w:p>
        </w:tc>
        <w:tc>
          <w:tcPr>
            <w:tcW w:w="1387" w:type="dxa"/>
            <w:vMerge w:val="continue"/>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rPr>
            </w:pPr>
          </w:p>
        </w:tc>
        <w:tc>
          <w:tcPr>
            <w:tcW w:w="6510"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lang w:val="en-US" w:eastAsia="zh-CN"/>
              </w:rPr>
              <w:t>2、</w:t>
            </w:r>
            <w:r>
              <w:rPr>
                <w:rFonts w:hint="eastAsia" w:ascii="仿宋" w:hAnsi="仿宋" w:eastAsia="仿宋" w:cs="仿宋"/>
                <w:bCs/>
                <w:iCs/>
                <w:color w:val="auto"/>
                <w:sz w:val="24"/>
                <w:szCs w:val="24"/>
                <w:highlight w:val="none"/>
              </w:rPr>
              <w:t>配备抽样现场信息记录仪器，能够确保完整记录抽样现场有声视频、音频及清晰照片以证明抽样工作的公正、合规的，每台0.</w:t>
            </w:r>
            <w:r>
              <w:rPr>
                <w:rFonts w:hint="eastAsia" w:ascii="仿宋" w:hAnsi="仿宋" w:eastAsia="仿宋" w:cs="仿宋"/>
                <w:bCs/>
                <w:iCs/>
                <w:color w:val="auto"/>
                <w:sz w:val="24"/>
                <w:szCs w:val="24"/>
                <w:highlight w:val="none"/>
                <w:lang w:val="en-US" w:eastAsia="zh-CN"/>
              </w:rPr>
              <w:t>5</w:t>
            </w:r>
            <w:r>
              <w:rPr>
                <w:rFonts w:hint="eastAsia" w:ascii="仿宋" w:hAnsi="仿宋" w:eastAsia="仿宋" w:cs="仿宋"/>
                <w:bCs/>
                <w:iCs/>
                <w:color w:val="auto"/>
                <w:sz w:val="24"/>
                <w:szCs w:val="24"/>
                <w:highlight w:val="none"/>
              </w:rPr>
              <w:t>分，最高不超过2分。</w:t>
            </w:r>
          </w:p>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注：</w:t>
            </w:r>
            <w:r>
              <w:rPr>
                <w:rFonts w:hint="eastAsia" w:ascii="仿宋" w:hAnsi="仿宋" w:eastAsia="仿宋" w:cs="仿宋"/>
                <w:bCs/>
                <w:iCs/>
                <w:color w:val="auto"/>
                <w:sz w:val="24"/>
                <w:szCs w:val="24"/>
                <w:highlight w:val="none"/>
                <w:lang w:val="zh-CN"/>
              </w:rPr>
              <w:t>提供设备清单、照片、购置发票等相关证明材料。</w:t>
            </w:r>
          </w:p>
        </w:tc>
        <w:tc>
          <w:tcPr>
            <w:tcW w:w="846"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vMerge w:val="continue"/>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rPr>
            </w:pPr>
          </w:p>
        </w:tc>
        <w:tc>
          <w:tcPr>
            <w:tcW w:w="1387" w:type="dxa"/>
            <w:vMerge w:val="continue"/>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rPr>
            </w:pPr>
          </w:p>
        </w:tc>
        <w:tc>
          <w:tcPr>
            <w:tcW w:w="6510"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lang w:val="en-US" w:eastAsia="zh-CN"/>
              </w:rPr>
              <w:t>3、</w:t>
            </w:r>
            <w:r>
              <w:rPr>
                <w:rFonts w:hint="eastAsia" w:ascii="仿宋" w:hAnsi="仿宋" w:eastAsia="仿宋" w:cs="仿宋"/>
                <w:bCs/>
                <w:iCs/>
                <w:color w:val="auto"/>
                <w:sz w:val="24"/>
                <w:szCs w:val="24"/>
                <w:highlight w:val="none"/>
                <w:lang w:eastAsia="zh-CN"/>
              </w:rPr>
              <w:t>配备</w:t>
            </w:r>
            <w:r>
              <w:rPr>
                <w:rFonts w:hint="eastAsia" w:ascii="仿宋" w:hAnsi="仿宋" w:eastAsia="仿宋" w:cs="仿宋"/>
                <w:bCs/>
                <w:iCs/>
                <w:color w:val="auto"/>
                <w:sz w:val="24"/>
                <w:szCs w:val="24"/>
                <w:highlight w:val="none"/>
              </w:rPr>
              <w:t>本项目的采样车数量情况,每辆得</w:t>
            </w:r>
            <w:r>
              <w:rPr>
                <w:rFonts w:hint="eastAsia" w:ascii="仿宋" w:hAnsi="仿宋" w:eastAsia="仿宋" w:cs="仿宋"/>
                <w:bCs/>
                <w:iCs/>
                <w:color w:val="auto"/>
                <w:sz w:val="24"/>
                <w:szCs w:val="24"/>
                <w:highlight w:val="none"/>
                <w:lang w:val="en-US" w:eastAsia="zh-CN"/>
              </w:rPr>
              <w:t>0.5</w:t>
            </w:r>
            <w:r>
              <w:rPr>
                <w:rFonts w:hint="eastAsia" w:ascii="仿宋" w:hAnsi="仿宋" w:eastAsia="仿宋" w:cs="仿宋"/>
                <w:bCs/>
                <w:iCs/>
                <w:color w:val="auto"/>
                <w:sz w:val="24"/>
                <w:szCs w:val="24"/>
                <w:highlight w:val="none"/>
              </w:rPr>
              <w:t>分，最高不超过</w:t>
            </w:r>
            <w:r>
              <w:rPr>
                <w:rFonts w:hint="eastAsia" w:ascii="仿宋" w:hAnsi="仿宋" w:eastAsia="仿宋" w:cs="仿宋"/>
                <w:bCs/>
                <w:iCs/>
                <w:color w:val="auto"/>
                <w:sz w:val="24"/>
                <w:szCs w:val="24"/>
                <w:highlight w:val="none"/>
                <w:lang w:val="en-US" w:eastAsia="zh-CN"/>
              </w:rPr>
              <w:t>2</w:t>
            </w:r>
            <w:r>
              <w:rPr>
                <w:rFonts w:hint="eastAsia" w:ascii="仿宋" w:hAnsi="仿宋" w:eastAsia="仿宋" w:cs="仿宋"/>
                <w:bCs/>
                <w:iCs/>
                <w:color w:val="auto"/>
                <w:sz w:val="24"/>
                <w:szCs w:val="24"/>
                <w:highlight w:val="none"/>
              </w:rPr>
              <w:t>分。</w:t>
            </w:r>
          </w:p>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注：提供车辆</w:t>
            </w:r>
            <w:r>
              <w:rPr>
                <w:rFonts w:hint="eastAsia" w:ascii="仿宋" w:hAnsi="仿宋" w:eastAsia="仿宋" w:cs="仿宋"/>
                <w:bCs/>
                <w:iCs/>
                <w:color w:val="auto"/>
                <w:sz w:val="24"/>
                <w:szCs w:val="24"/>
                <w:highlight w:val="none"/>
                <w:lang w:eastAsia="zh-CN"/>
              </w:rPr>
              <w:t>信息、</w:t>
            </w:r>
            <w:r>
              <w:rPr>
                <w:rFonts w:hint="eastAsia" w:ascii="仿宋" w:hAnsi="仿宋" w:eastAsia="仿宋" w:cs="仿宋"/>
                <w:bCs/>
                <w:iCs/>
                <w:color w:val="auto"/>
                <w:sz w:val="24"/>
                <w:szCs w:val="24"/>
                <w:highlight w:val="none"/>
              </w:rPr>
              <w:t>照片</w:t>
            </w:r>
            <w:r>
              <w:rPr>
                <w:rFonts w:hint="eastAsia" w:ascii="仿宋" w:hAnsi="仿宋" w:eastAsia="仿宋" w:cs="仿宋"/>
                <w:bCs/>
                <w:iCs/>
                <w:color w:val="auto"/>
                <w:sz w:val="24"/>
                <w:szCs w:val="24"/>
                <w:highlight w:val="none"/>
                <w:lang w:eastAsia="zh-CN"/>
              </w:rPr>
              <w:t>、</w:t>
            </w:r>
            <w:r>
              <w:rPr>
                <w:rFonts w:hint="eastAsia" w:ascii="仿宋" w:hAnsi="仿宋" w:eastAsia="仿宋" w:cs="仿宋"/>
                <w:bCs/>
                <w:iCs/>
                <w:color w:val="auto"/>
                <w:sz w:val="24"/>
                <w:szCs w:val="24"/>
                <w:highlight w:val="none"/>
              </w:rPr>
              <w:t>行驶证（车辆租赁的另须提供租赁证明）</w:t>
            </w:r>
            <w:r>
              <w:rPr>
                <w:rFonts w:hint="eastAsia" w:ascii="仿宋" w:hAnsi="仿宋" w:eastAsia="仿宋" w:cs="仿宋"/>
                <w:bCs/>
                <w:iCs/>
                <w:color w:val="auto"/>
                <w:sz w:val="24"/>
                <w:szCs w:val="24"/>
                <w:highlight w:val="none"/>
                <w:lang w:eastAsia="zh-CN"/>
              </w:rPr>
              <w:t>、保险单等相关证明材料</w:t>
            </w:r>
            <w:r>
              <w:rPr>
                <w:rFonts w:hint="eastAsia" w:ascii="仿宋" w:hAnsi="仿宋" w:eastAsia="仿宋" w:cs="仿宋"/>
                <w:bCs/>
                <w:iCs/>
                <w:color w:val="auto"/>
                <w:sz w:val="24"/>
                <w:szCs w:val="24"/>
                <w:highlight w:val="none"/>
              </w:rPr>
              <w:t>。</w:t>
            </w:r>
          </w:p>
        </w:tc>
        <w:tc>
          <w:tcPr>
            <w:tcW w:w="846"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2</w:t>
            </w:r>
            <w:r>
              <w:rPr>
                <w:rFonts w:hint="eastAsia" w:ascii="仿宋" w:hAnsi="仿宋" w:eastAsia="仿宋" w:cs="仿宋"/>
                <w:bCs/>
                <w:i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blHeader/>
          <w:jc w:val="center"/>
        </w:trPr>
        <w:tc>
          <w:tcPr>
            <w:tcW w:w="825" w:type="dxa"/>
            <w:vMerge w:val="restart"/>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8</w:t>
            </w:r>
          </w:p>
        </w:tc>
        <w:tc>
          <w:tcPr>
            <w:tcW w:w="1387" w:type="dxa"/>
            <w:vMerge w:val="restart"/>
            <w:noWrap w:val="0"/>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检验检测场地情况</w:t>
            </w:r>
          </w:p>
        </w:tc>
        <w:tc>
          <w:tcPr>
            <w:tcW w:w="6510"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lang w:val="zh-CN" w:eastAsia="zh-CN"/>
              </w:rPr>
            </w:pPr>
            <w:r>
              <w:rPr>
                <w:rFonts w:hint="eastAsia" w:ascii="仿宋" w:hAnsi="仿宋" w:eastAsia="仿宋" w:cs="仿宋"/>
                <w:bCs/>
                <w:iCs/>
                <w:color w:val="auto"/>
                <w:sz w:val="24"/>
                <w:szCs w:val="24"/>
                <w:highlight w:val="none"/>
                <w:lang w:val="zh-CN" w:eastAsia="zh-CN"/>
              </w:rPr>
              <w:t>1、在服务地配有与本项目业务相匹配的固定经营或样品仓储相关场所的得</w:t>
            </w:r>
            <w:r>
              <w:rPr>
                <w:rFonts w:hint="eastAsia" w:ascii="仿宋" w:hAnsi="仿宋" w:eastAsia="仿宋" w:cs="仿宋"/>
                <w:bCs/>
                <w:iCs/>
                <w:color w:val="auto"/>
                <w:sz w:val="24"/>
                <w:szCs w:val="24"/>
                <w:highlight w:val="none"/>
                <w:lang w:val="en-US" w:eastAsia="zh-CN"/>
              </w:rPr>
              <w:t>3</w:t>
            </w:r>
            <w:r>
              <w:rPr>
                <w:rFonts w:hint="eastAsia" w:ascii="仿宋" w:hAnsi="仿宋" w:eastAsia="仿宋" w:cs="仿宋"/>
                <w:bCs/>
                <w:iCs/>
                <w:color w:val="auto"/>
                <w:sz w:val="24"/>
                <w:szCs w:val="24"/>
                <w:highlight w:val="none"/>
                <w:lang w:val="zh-CN" w:eastAsia="zh-CN"/>
              </w:rPr>
              <w:t>分，没有不得分。</w:t>
            </w:r>
          </w:p>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lang w:val="zh-CN" w:eastAsia="zh-CN"/>
              </w:rPr>
            </w:pPr>
            <w:r>
              <w:rPr>
                <w:rFonts w:hint="eastAsia" w:ascii="仿宋" w:hAnsi="仿宋" w:eastAsia="仿宋" w:cs="仿宋"/>
                <w:bCs/>
                <w:iCs/>
                <w:color w:val="auto"/>
                <w:sz w:val="24"/>
                <w:szCs w:val="24"/>
                <w:highlight w:val="none"/>
                <w:lang w:val="zh-CN" w:eastAsia="zh-CN"/>
              </w:rPr>
              <w:t>注：提供挂牌场所实地照片，自有</w:t>
            </w:r>
            <w:r>
              <w:rPr>
                <w:rFonts w:hint="eastAsia" w:ascii="仿宋" w:hAnsi="仿宋" w:eastAsia="仿宋" w:cs="仿宋"/>
                <w:bCs/>
                <w:iCs/>
                <w:color w:val="auto"/>
                <w:sz w:val="24"/>
                <w:szCs w:val="24"/>
                <w:highlight w:val="none"/>
                <w:lang w:eastAsia="zh-CN"/>
              </w:rPr>
              <w:t>场地的提供房产证复印件；租用场地的提供房屋租赁合同清晰复印件或原件扫描件。</w:t>
            </w:r>
          </w:p>
        </w:tc>
        <w:tc>
          <w:tcPr>
            <w:tcW w:w="846"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blHeader/>
          <w:jc w:val="center"/>
        </w:trPr>
        <w:tc>
          <w:tcPr>
            <w:tcW w:w="825" w:type="dxa"/>
            <w:vMerge w:val="continue"/>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rPr>
            </w:pPr>
          </w:p>
        </w:tc>
        <w:tc>
          <w:tcPr>
            <w:tcW w:w="1387" w:type="dxa"/>
            <w:vMerge w:val="continue"/>
            <w:noWrap w:val="0"/>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rPr>
            </w:pPr>
          </w:p>
        </w:tc>
        <w:tc>
          <w:tcPr>
            <w:tcW w:w="6510" w:type="dxa"/>
            <w:noWrap w:val="0"/>
            <w:vAlign w:val="center"/>
          </w:tcPr>
          <w:p>
            <w:pPr>
              <w:pStyle w:val="58"/>
              <w:keepNext w:val="0"/>
              <w:keepLines w:val="0"/>
              <w:pageBreakBefore w:val="0"/>
              <w:widowControl w:val="0"/>
              <w:numPr>
                <w:ilvl w:val="0"/>
                <w:numId w:val="0"/>
              </w:numPr>
              <w:kinsoku/>
              <w:wordWrap/>
              <w:overflowPunct/>
              <w:topLinePunct w:val="0"/>
              <w:autoSpaceDE/>
              <w:autoSpaceDN/>
              <w:bidi w:val="0"/>
              <w:adjustRightInd/>
              <w:spacing w:line="336" w:lineRule="auto"/>
              <w:ind w:left="0" w:leftChars="0" w:right="0" w:rightChars="0" w:firstLine="0" w:firstLineChars="0"/>
              <w:jc w:val="both"/>
              <w:textAlignment w:val="auto"/>
              <w:rPr>
                <w:rFonts w:hint="eastAsia" w:ascii="仿宋" w:hAnsi="仿宋" w:eastAsia="仿宋" w:cs="仿宋"/>
                <w:bCs/>
                <w:iCs/>
                <w:color w:val="auto"/>
                <w:kern w:val="2"/>
                <w:sz w:val="24"/>
                <w:szCs w:val="24"/>
                <w:highlight w:val="none"/>
                <w:lang w:val="zh-CN" w:eastAsia="zh-CN" w:bidi="ar-SA"/>
              </w:rPr>
            </w:pPr>
            <w:r>
              <w:rPr>
                <w:rFonts w:hint="eastAsia" w:ascii="仿宋" w:hAnsi="仿宋" w:eastAsia="仿宋" w:cs="仿宋"/>
                <w:bCs/>
                <w:iCs/>
                <w:color w:val="auto"/>
                <w:kern w:val="2"/>
                <w:sz w:val="24"/>
                <w:szCs w:val="24"/>
                <w:highlight w:val="none"/>
                <w:lang w:val="en-US" w:eastAsia="zh-CN" w:bidi="ar-SA"/>
              </w:rPr>
              <w:t>2、</w:t>
            </w:r>
            <w:r>
              <w:rPr>
                <w:rFonts w:hint="eastAsia" w:ascii="仿宋" w:hAnsi="仿宋" w:eastAsia="仿宋" w:cs="仿宋"/>
                <w:bCs/>
                <w:iCs/>
                <w:color w:val="auto"/>
                <w:kern w:val="2"/>
                <w:sz w:val="24"/>
                <w:szCs w:val="24"/>
                <w:highlight w:val="none"/>
                <w:lang w:val="zh-CN" w:eastAsia="zh-CN" w:bidi="ar-SA"/>
              </w:rPr>
              <w:t>供应商具有满足检测工作需要的、独立的、固定的检测场所，检测场所布局合理，优于项目需要的得</w:t>
            </w:r>
            <w:r>
              <w:rPr>
                <w:rFonts w:hint="eastAsia" w:ascii="仿宋" w:hAnsi="仿宋" w:eastAsia="仿宋" w:cs="仿宋"/>
                <w:bCs/>
                <w:iCs/>
                <w:color w:val="auto"/>
                <w:kern w:val="2"/>
                <w:sz w:val="24"/>
                <w:szCs w:val="24"/>
                <w:highlight w:val="none"/>
                <w:lang w:val="en-US" w:eastAsia="zh-CN" w:bidi="ar-SA"/>
              </w:rPr>
              <w:t>1.1-2分，有欠缺或不足的得0.1-1分，不提供不得分。注：提供整个实验室平面布局图，自有场地的提供房产证复印件；租用场地的提供房屋租赁合同清晰复印件或原件扫描件。</w:t>
            </w:r>
          </w:p>
        </w:tc>
        <w:tc>
          <w:tcPr>
            <w:tcW w:w="846" w:type="dxa"/>
            <w:noWrap w:val="0"/>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kern w:val="2"/>
                <w:sz w:val="24"/>
                <w:szCs w:val="24"/>
                <w:highlight w:val="none"/>
                <w:lang w:val="en-US" w:eastAsia="zh-CN"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9</w:t>
            </w:r>
          </w:p>
        </w:tc>
        <w:tc>
          <w:tcPr>
            <w:tcW w:w="1387" w:type="dxa"/>
            <w:noWrap w:val="0"/>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应急处置能力</w:t>
            </w:r>
          </w:p>
        </w:tc>
        <w:tc>
          <w:tcPr>
            <w:tcW w:w="6510" w:type="dxa"/>
            <w:noWrap w:val="0"/>
            <w:vAlign w:val="center"/>
          </w:tcPr>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供应商提供</w:t>
            </w:r>
            <w:r>
              <w:rPr>
                <w:rFonts w:hint="eastAsia" w:ascii="仿宋" w:hAnsi="仿宋" w:eastAsia="仿宋" w:cs="仿宋"/>
                <w:color w:val="auto"/>
                <w:kern w:val="0"/>
                <w:sz w:val="24"/>
                <w:szCs w:val="24"/>
                <w:highlight w:val="none"/>
              </w:rPr>
              <w:t>项目服务过程中的</w:t>
            </w:r>
            <w:r>
              <w:rPr>
                <w:rFonts w:hint="eastAsia" w:ascii="仿宋" w:hAnsi="仿宋" w:eastAsia="仿宋" w:cs="仿宋"/>
                <w:color w:val="auto"/>
                <w:kern w:val="0"/>
                <w:sz w:val="24"/>
                <w:szCs w:val="24"/>
                <w:highlight w:val="none"/>
                <w:lang w:val="zh-CN"/>
              </w:rPr>
              <w:t>相关应急预案，预案应针对可能出现的产品质量突发性、应急性等事件，设置应对</w:t>
            </w:r>
            <w:r>
              <w:rPr>
                <w:rFonts w:hint="eastAsia" w:ascii="仿宋" w:hAnsi="仿宋" w:eastAsia="仿宋" w:cs="仿宋"/>
                <w:color w:val="auto"/>
                <w:kern w:val="0"/>
                <w:sz w:val="24"/>
                <w:szCs w:val="24"/>
                <w:highlight w:val="none"/>
              </w:rPr>
              <w:t>机构、人员及</w:t>
            </w:r>
            <w:r>
              <w:rPr>
                <w:rFonts w:hint="eastAsia" w:ascii="仿宋" w:hAnsi="仿宋" w:eastAsia="仿宋" w:cs="仿宋"/>
                <w:color w:val="auto"/>
                <w:kern w:val="0"/>
                <w:sz w:val="24"/>
                <w:szCs w:val="24"/>
                <w:highlight w:val="none"/>
                <w:lang w:val="zh-CN"/>
              </w:rPr>
              <w:t>措施，提供有效保障等内容。</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）应急预案内容要素完整，方案合理、可行，完全满足采购需求的，得</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zh-CN"/>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rPr>
              <w:t>）预案基本可行，</w:t>
            </w:r>
            <w:r>
              <w:rPr>
                <w:rFonts w:hint="eastAsia" w:ascii="仿宋" w:hAnsi="仿宋" w:eastAsia="仿宋" w:cs="仿宋"/>
                <w:color w:val="auto"/>
                <w:kern w:val="0"/>
                <w:sz w:val="24"/>
                <w:szCs w:val="24"/>
                <w:highlight w:val="none"/>
              </w:rPr>
              <w:t>部分内容稍有不足的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未提及此项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不得分。</w:t>
            </w:r>
          </w:p>
        </w:tc>
        <w:tc>
          <w:tcPr>
            <w:tcW w:w="846"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10</w:t>
            </w:r>
          </w:p>
        </w:tc>
        <w:tc>
          <w:tcPr>
            <w:tcW w:w="1387" w:type="dxa"/>
            <w:noWrap w:val="0"/>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响应服务</w:t>
            </w:r>
          </w:p>
        </w:tc>
        <w:tc>
          <w:tcPr>
            <w:tcW w:w="6510" w:type="dxa"/>
            <w:noWrap w:val="0"/>
            <w:vAlign w:val="center"/>
          </w:tcPr>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实验室开车到达采购单位响</w:t>
            </w:r>
            <w:r>
              <w:rPr>
                <w:rFonts w:hint="eastAsia" w:ascii="仿宋" w:hAnsi="仿宋" w:eastAsia="仿宋" w:cs="仿宋"/>
                <w:color w:val="auto"/>
                <w:kern w:val="0"/>
                <w:sz w:val="24"/>
                <w:szCs w:val="24"/>
                <w:highlight w:val="none"/>
                <w:lang w:val="zh-CN"/>
              </w:rPr>
              <w:t>应时间≤</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小时的</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zh-CN"/>
              </w:rPr>
              <w:t>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zh-CN"/>
              </w:rPr>
              <w:t>分</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小时&lt;响应时间≤</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rPr>
              <w:t>小时内的</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zh-CN"/>
              </w:rPr>
              <w:t>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分；</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rPr>
              <w:t>小时&lt;响应时间≤</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小时内的</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zh-CN"/>
              </w:rPr>
              <w:t>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分；其它时间或未提供保障响应时间证明材料的</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zh-CN"/>
              </w:rPr>
              <w:t>不得分。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rPr>
              <w:t>注：提供供应商</w:t>
            </w:r>
            <w:r>
              <w:rPr>
                <w:rFonts w:hint="eastAsia" w:ascii="仿宋" w:hAnsi="仿宋" w:eastAsia="仿宋" w:cs="仿宋"/>
                <w:color w:val="auto"/>
                <w:kern w:val="0"/>
                <w:sz w:val="24"/>
                <w:szCs w:val="24"/>
                <w:highlight w:val="none"/>
                <w:lang w:val="en-US" w:eastAsia="zh-CN"/>
              </w:rPr>
              <w:t>检验检测机构资质认定证书原件扫描件</w:t>
            </w:r>
            <w:r>
              <w:rPr>
                <w:rFonts w:hint="eastAsia" w:ascii="仿宋" w:hAnsi="仿宋" w:eastAsia="仿宋" w:cs="仿宋"/>
                <w:color w:val="auto"/>
                <w:kern w:val="0"/>
                <w:sz w:val="24"/>
                <w:szCs w:val="24"/>
                <w:highlight w:val="none"/>
                <w:lang w:val="zh-CN"/>
              </w:rPr>
              <w:t>及</w:t>
            </w:r>
            <w:r>
              <w:rPr>
                <w:rFonts w:hint="eastAsia" w:ascii="仿宋" w:hAnsi="仿宋" w:eastAsia="仿宋" w:cs="仿宋"/>
                <w:color w:val="auto"/>
                <w:kern w:val="0"/>
                <w:sz w:val="24"/>
                <w:szCs w:val="24"/>
                <w:highlight w:val="none"/>
                <w:lang w:val="zh-CN" w:eastAsia="zh-CN"/>
              </w:rPr>
              <w:t>高德</w:t>
            </w:r>
            <w:r>
              <w:rPr>
                <w:rFonts w:hint="eastAsia" w:ascii="仿宋" w:hAnsi="仿宋" w:eastAsia="仿宋" w:cs="仿宋"/>
                <w:color w:val="auto"/>
                <w:kern w:val="0"/>
                <w:sz w:val="24"/>
                <w:szCs w:val="24"/>
                <w:highlight w:val="none"/>
                <w:lang w:val="zh-CN"/>
              </w:rPr>
              <w:t>地图截图作为保障响应时间的证明材料</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zh-CN"/>
              </w:rPr>
              <w:t>响应时间以供应商</w:t>
            </w:r>
            <w:r>
              <w:rPr>
                <w:rFonts w:hint="eastAsia" w:ascii="仿宋" w:hAnsi="仿宋" w:eastAsia="仿宋" w:cs="仿宋"/>
                <w:color w:val="auto"/>
                <w:kern w:val="0"/>
                <w:sz w:val="24"/>
                <w:szCs w:val="24"/>
                <w:highlight w:val="none"/>
                <w:lang w:val="zh-CN" w:eastAsia="zh-CN"/>
              </w:rPr>
              <w:t>提供</w:t>
            </w:r>
            <w:r>
              <w:rPr>
                <w:rFonts w:hint="eastAsia" w:ascii="仿宋" w:hAnsi="仿宋" w:eastAsia="仿宋" w:cs="仿宋"/>
                <w:color w:val="auto"/>
                <w:kern w:val="0"/>
                <w:sz w:val="24"/>
                <w:szCs w:val="24"/>
                <w:highlight w:val="none"/>
                <w:lang w:val="en-US" w:eastAsia="zh-CN"/>
              </w:rPr>
              <w:t>的检验检测机构资质认定证书地址</w:t>
            </w:r>
            <w:r>
              <w:rPr>
                <w:rFonts w:hint="eastAsia" w:ascii="仿宋" w:hAnsi="仿宋" w:eastAsia="仿宋" w:cs="仿宋"/>
                <w:color w:val="auto"/>
                <w:kern w:val="0"/>
                <w:sz w:val="24"/>
                <w:szCs w:val="24"/>
                <w:highlight w:val="none"/>
                <w:lang w:val="zh-CN"/>
              </w:rPr>
              <w:t>至采购单位的</w:t>
            </w:r>
            <w:r>
              <w:rPr>
                <w:rFonts w:hint="eastAsia" w:ascii="仿宋" w:hAnsi="仿宋" w:eastAsia="仿宋" w:cs="仿宋"/>
                <w:color w:val="auto"/>
                <w:kern w:val="0"/>
                <w:sz w:val="24"/>
                <w:szCs w:val="24"/>
                <w:highlight w:val="none"/>
                <w:lang w:val="zh-CN" w:eastAsia="zh-CN"/>
              </w:rPr>
              <w:t>高德</w:t>
            </w:r>
            <w:r>
              <w:rPr>
                <w:rFonts w:hint="eastAsia" w:ascii="仿宋" w:hAnsi="仿宋" w:eastAsia="仿宋" w:cs="仿宋"/>
                <w:color w:val="auto"/>
                <w:kern w:val="0"/>
                <w:sz w:val="24"/>
                <w:szCs w:val="24"/>
                <w:highlight w:val="none"/>
                <w:lang w:val="zh-CN"/>
              </w:rPr>
              <w:t>地图的工作日早高峰（7：00-9：00）驾车预计时间数据为准</w:t>
            </w:r>
            <w:r>
              <w:rPr>
                <w:rStyle w:val="57"/>
                <w:rFonts w:hint="eastAsia" w:ascii="仿宋" w:hAnsi="仿宋" w:eastAsia="仿宋" w:cs="仿宋"/>
                <w:color w:val="auto"/>
                <w:kern w:val="0"/>
                <w:sz w:val="24"/>
                <w:szCs w:val="24"/>
                <w:highlight w:val="none"/>
              </w:rPr>
              <w:t>。</w:t>
            </w:r>
          </w:p>
        </w:tc>
        <w:tc>
          <w:tcPr>
            <w:tcW w:w="846" w:type="dxa"/>
            <w:noWrap w:val="0"/>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bl>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hint="eastAsia"/>
          <w:color w:val="auto"/>
          <w:highlight w:val="none"/>
        </w:rPr>
      </w:pPr>
    </w:p>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注：1.本项目招标文件内对开标现场原件核验不作要求，招标单位有权在标后对中标候选人进行原件核验，投标人对所提供的全部资料的真实性承担法律责任。 </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2.所有的证书及检测报告必须在有效期内，不在有效期内的不得分。</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2.2价格分（10分）</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2.2.1评标基准价：即满足招标文件要求且投标折扣</w:t>
      </w:r>
      <w:r>
        <w:rPr>
          <w:rFonts w:hint="eastAsia" w:ascii="仿宋" w:hAnsi="仿宋" w:eastAsia="仿宋" w:cs="仿宋"/>
          <w:color w:val="auto"/>
          <w:sz w:val="24"/>
          <w:highlight w:val="none"/>
          <w:lang w:eastAsia="zh-CN"/>
        </w:rPr>
        <w:t>率（折扣）</w:t>
      </w:r>
      <w:r>
        <w:rPr>
          <w:rFonts w:hint="eastAsia" w:ascii="仿宋" w:hAnsi="仿宋" w:eastAsia="仿宋" w:cs="仿宋"/>
          <w:color w:val="auto"/>
          <w:sz w:val="24"/>
          <w:highlight w:val="none"/>
        </w:rPr>
        <w:t>最低的投标报价为评标基准价，其价格分为满分。</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2.2.2其他投标人的价格分统一按照下列公式计算：</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投标报价得分=(评标基准价／投标报价)×价格权值×100</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即：投标报价得分=(评标基准价／投标报价)×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w:t>
      </w:r>
    </w:p>
    <w:p>
      <w:pPr>
        <w:widowControl/>
        <w:snapToGrid w:val="0"/>
        <w:spacing w:line="480" w:lineRule="exact"/>
        <w:ind w:left="0"/>
        <w:rPr>
          <w:rFonts w:hint="eastAsia" w:ascii="仿宋" w:eastAsia="仿宋"/>
          <w:bCs/>
          <w:iCs/>
          <w:color w:val="auto"/>
          <w:sz w:val="24"/>
          <w:highlight w:val="none"/>
          <w:u w:val="single"/>
          <w:lang w:eastAsia="zh-CN"/>
        </w:rPr>
      </w:pPr>
    </w:p>
    <w:p>
      <w:pPr>
        <w:widowControl/>
        <w:snapToGrid w:val="0"/>
        <w:spacing w:line="480" w:lineRule="exact"/>
        <w:ind w:left="0"/>
        <w:rPr>
          <w:rFonts w:hint="eastAsia" w:ascii="仿宋" w:eastAsia="仿宋"/>
          <w:bCs/>
          <w:iCs/>
          <w:color w:val="auto"/>
          <w:sz w:val="24"/>
          <w:highlight w:val="none"/>
          <w:u w:val="single"/>
          <w:lang w:eastAsia="zh-CN"/>
        </w:rPr>
      </w:pPr>
    </w:p>
    <w:p>
      <w:pPr>
        <w:widowControl/>
        <w:snapToGrid w:val="0"/>
        <w:spacing w:line="480" w:lineRule="exact"/>
        <w:ind w:left="0"/>
        <w:rPr>
          <w:rFonts w:hint="eastAsia" w:ascii="仿宋" w:eastAsia="仿宋"/>
          <w:bCs/>
          <w:iCs/>
          <w:color w:val="auto"/>
          <w:sz w:val="24"/>
          <w:highlight w:val="none"/>
          <w:u w:val="single"/>
          <w:lang w:eastAsia="zh-CN"/>
        </w:rPr>
      </w:pPr>
    </w:p>
    <w:p>
      <w:pPr>
        <w:widowControl/>
        <w:snapToGrid w:val="0"/>
        <w:spacing w:line="480" w:lineRule="exact"/>
        <w:ind w:left="0"/>
        <w:rPr>
          <w:rFonts w:hint="eastAsia" w:ascii="仿宋" w:eastAsia="仿宋"/>
          <w:bCs/>
          <w:iCs/>
          <w:color w:val="auto"/>
          <w:sz w:val="24"/>
          <w:highlight w:val="none"/>
          <w:u w:val="single"/>
          <w:lang w:eastAsia="zh-CN"/>
        </w:rPr>
      </w:pPr>
    </w:p>
    <w:p>
      <w:pPr>
        <w:widowControl/>
        <w:snapToGrid w:val="0"/>
        <w:spacing w:line="480" w:lineRule="exact"/>
        <w:ind w:left="0"/>
        <w:rPr>
          <w:rFonts w:hint="eastAsia" w:ascii="仿宋" w:eastAsia="仿宋"/>
          <w:bCs/>
          <w:iCs/>
          <w:color w:val="auto"/>
          <w:sz w:val="24"/>
          <w:highlight w:val="none"/>
          <w:u w:val="single"/>
          <w:lang w:eastAsia="zh-CN"/>
        </w:rPr>
      </w:pPr>
    </w:p>
    <w:p>
      <w:pPr>
        <w:widowControl/>
        <w:snapToGrid w:val="0"/>
        <w:spacing w:line="480" w:lineRule="exact"/>
        <w:ind w:left="0"/>
        <w:rPr>
          <w:rFonts w:hint="eastAsia" w:ascii="仿宋" w:eastAsia="仿宋"/>
          <w:bCs/>
          <w:iCs/>
          <w:color w:val="auto"/>
          <w:sz w:val="24"/>
          <w:highlight w:val="none"/>
          <w:u w:val="single"/>
          <w:lang w:eastAsia="zh-CN"/>
        </w:rPr>
      </w:pPr>
    </w:p>
    <w:bookmarkEnd w:id="37"/>
    <w:bookmarkEnd w:id="38"/>
    <w:bookmarkEnd w:id="39"/>
    <w:bookmarkEnd w:id="40"/>
    <w:p>
      <w:pPr>
        <w:pStyle w:val="2"/>
        <w:keepNext/>
        <w:keepLines/>
        <w:pageBreakBefore w:val="0"/>
        <w:widowControl w:val="0"/>
        <w:numPr>
          <w:ilvl w:val="0"/>
          <w:numId w:val="0"/>
        </w:numPr>
        <w:suppressLineNumbers w:val="0"/>
        <w:suppressAutoHyphens w:val="0"/>
        <w:spacing w:line="578" w:lineRule="auto"/>
        <w:ind w:left="0" w:firstLine="0"/>
        <w:jc w:val="center"/>
        <w:rPr>
          <w:rFonts w:hint="eastAsia" w:ascii="仿宋" w:eastAsia="仿宋"/>
          <w:color w:val="auto"/>
          <w:highlight w:val="none"/>
        </w:rPr>
      </w:pPr>
      <w:bookmarkStart w:id="58" w:name="_Toc31756"/>
      <w:bookmarkStart w:id="59" w:name="_Toc643610537"/>
      <w:r>
        <w:rPr>
          <w:rFonts w:hint="eastAsia" w:ascii="仿宋" w:eastAsia="仿宋"/>
          <w:color w:val="auto"/>
          <w:highlight w:val="none"/>
        </w:rPr>
        <w:t>第六章  磋商响应文件格式附件</w:t>
      </w:r>
      <w:bookmarkEnd w:id="58"/>
      <w:bookmarkEnd w:id="59"/>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磋商响应文件制作请按照本磋商文件“第二章 供应商须知”第三部分“磋商响应文件”的规定制作，有关格式附件如下：</w:t>
      </w: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both"/>
        <w:rPr>
          <w:rFonts w:hint="eastAsia" w:ascii="仿宋" w:eastAsia="仿宋"/>
          <w:color w:val="auto"/>
          <w:sz w:val="36"/>
          <w:szCs w:val="36"/>
          <w:highlight w:val="none"/>
        </w:rPr>
      </w:pP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供应商名称（盖章）：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156" w:beforeLines="50" w:after="50"/>
        <w:jc w:val="center"/>
        <w:rPr>
          <w:rFonts w:hint="eastAsia" w:ascii="仿宋" w:eastAsia="仿宋" w:cs="仿宋_GB2312"/>
          <w:color w:val="auto"/>
          <w:sz w:val="30"/>
          <w:szCs w:val="30"/>
          <w:highlight w:val="none"/>
        </w:rPr>
      </w:pPr>
      <w:bookmarkStart w:id="60" w:name="_Toc64369786"/>
      <w:r>
        <w:rPr>
          <w:rFonts w:hint="eastAsia" w:ascii="仿宋" w:eastAsia="仿宋" w:cs="仿宋_GB2312"/>
          <w:color w:val="auto"/>
          <w:sz w:val="30"/>
          <w:szCs w:val="30"/>
          <w:highlight w:val="none"/>
        </w:rPr>
        <w:t>目 录</w:t>
      </w:r>
      <w:bookmarkEnd w:id="60"/>
    </w:p>
    <w:p>
      <w:pPr>
        <w:pStyle w:val="5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1.磋商声明函 ……………………………………………………………………（页码）</w:t>
      </w:r>
    </w:p>
    <w:p>
      <w:pPr>
        <w:pStyle w:val="5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pPr>
        <w:pStyle w:val="53"/>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pPr>
        <w:pStyle w:val="5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pPr>
        <w:pStyle w:val="5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pPr>
        <w:pStyle w:val="53"/>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6</w:t>
      </w:r>
      <w:r>
        <w:rPr>
          <w:rFonts w:hint="eastAsia" w:ascii="仿宋" w:eastAsia="仿宋" w:cs="仿宋_GB2312"/>
          <w:color w:val="auto"/>
          <w:sz w:val="24"/>
          <w:szCs w:val="24"/>
          <w:highlight w:val="none"/>
        </w:rPr>
        <w:t>.资格条件证明材料</w:t>
      </w:r>
    </w:p>
    <w:p>
      <w:pPr>
        <w:pStyle w:val="53"/>
        <w:spacing w:line="360" w:lineRule="auto"/>
        <w:ind w:firstLine="240" w:firstLineChars="100"/>
        <w:jc w:val="left"/>
        <w:rPr>
          <w:rFonts w:hint="eastAsia" w:ascii="仿宋" w:eastAsia="仿宋" w:cs="仿宋_GB2312"/>
          <w:color w:val="auto"/>
          <w:highlight w:val="none"/>
        </w:rPr>
      </w:pPr>
      <w:bookmarkStart w:id="61"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61"/>
    </w:p>
    <w:p>
      <w:pPr>
        <w:pStyle w:val="53"/>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.2</w:t>
      </w:r>
      <w:bookmarkStart w:id="62" w:name="_Toc64369788"/>
      <w:r>
        <w:rPr>
          <w:rFonts w:hint="eastAsia" w:ascii="仿宋" w:eastAsia="仿宋" w:cs="仿宋_GB2312"/>
          <w:color w:val="auto"/>
          <w:highlight w:val="none"/>
        </w:rPr>
        <w:t>特定资格条件的有关证明材料（如有）…………………………………（页码）</w:t>
      </w:r>
      <w:bookmarkEnd w:id="62"/>
    </w:p>
    <w:p>
      <w:pPr>
        <w:spacing w:line="360" w:lineRule="auto"/>
        <w:jc w:val="left"/>
        <w:rPr>
          <w:rFonts w:hint="eastAsia" w:ascii="仿宋" w:eastAsia="仿宋" w:cs="仿宋_GB2312"/>
          <w:b/>
          <w:bCs/>
          <w:color w:val="auto"/>
          <w:sz w:val="24"/>
          <w:highlight w:val="none"/>
        </w:rPr>
      </w:pPr>
    </w:p>
    <w:p>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注：以上文件按磋商文件提供的格式制作，磋商供应商根据内容做好加密电子磋商响应文件的关联点设置。</w:t>
      </w:r>
    </w:p>
    <w:p>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附件3：磋商声明函</w:t>
      </w:r>
    </w:p>
    <w:p>
      <w:pPr>
        <w:pStyle w:val="36"/>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36"/>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（填写供应商全称；联合体磋商的写全部联合体成员）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（填写项目名称）（项目编号：    ）</w:t>
      </w:r>
      <w:r>
        <w:rPr>
          <w:rFonts w:hint="eastAsia" w:ascii="仿宋" w:eastAsia="仿宋"/>
          <w:color w:val="auto"/>
          <w:szCs w:val="24"/>
          <w:highlight w:val="none"/>
        </w:rPr>
        <w:t>的磋商，为此，我方就本次磋商有关事项郑重声明如下：</w:t>
      </w:r>
    </w:p>
    <w:p>
      <w:pPr>
        <w:pStyle w:val="36"/>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1.我方已详细审查全部磋商文件，同意磋商文件的各项要求。</w:t>
      </w:r>
    </w:p>
    <w:p>
      <w:pPr>
        <w:pStyle w:val="5"/>
        <w:tabs>
          <w:tab w:val="clear" w:pos="780"/>
        </w:tabs>
        <w:spacing w:after="50" w:line="440" w:lineRule="exact"/>
        <w:ind w:left="0"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2.若我方成交，承诺按磋商文件、磋商响应文件和合同的规定履行责任和义务。</w:t>
      </w:r>
    </w:p>
    <w:p>
      <w:pPr>
        <w:pStyle w:val="36"/>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pPr>
        <w:pStyle w:val="36"/>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磋商响应文件中填列的技术参数、配置、服务、数量等相关内容都是真实、准确的。保证在本次项目中所提供的资料全部真实和合法。同意向采购代理机构提供可能另外要求的与磋商有关且合法的任何数据或资料。</w:t>
      </w:r>
    </w:p>
    <w:p>
      <w:pPr>
        <w:pStyle w:val="36"/>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5.我方保证所供货物质量符合国家强制性规范和标准，达到磋商文件规定的要求；</w:t>
      </w:r>
    </w:p>
    <w:p>
      <w:pPr>
        <w:pStyle w:val="36"/>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6.我方承诺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pPr>
        <w:pStyle w:val="36"/>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36"/>
        <w:spacing w:after="50" w:afterLines="0" w:line="440" w:lineRule="exact"/>
        <w:rPr>
          <w:rFonts w:hint="eastAsia" w:ascii="仿宋" w:eastAsia="仿宋"/>
          <w:color w:val="auto"/>
          <w:szCs w:val="24"/>
          <w:highlight w:val="none"/>
        </w:rPr>
      </w:pPr>
    </w:p>
    <w:p>
      <w:pPr>
        <w:pStyle w:val="36"/>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pPr>
        <w:pStyle w:val="36"/>
        <w:spacing w:after="50" w:afterLines="0" w:line="440" w:lineRule="exact"/>
        <w:rPr>
          <w:rFonts w:hint="eastAsia" w:ascii="仿宋" w:eastAsia="仿宋"/>
          <w:color w:val="auto"/>
          <w:szCs w:val="24"/>
          <w:highlight w:val="none"/>
        </w:rPr>
      </w:pPr>
    </w:p>
    <w:p>
      <w:pPr>
        <w:pStyle w:val="36"/>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磋商供应商(盖章)：　　　　　　　　　　　　　　　　　　日期：     </w:t>
      </w:r>
    </w:p>
    <w:p>
      <w:pPr>
        <w:pStyle w:val="36"/>
        <w:spacing w:after="50" w:afterLines="0" w:line="440" w:lineRule="exact"/>
        <w:rPr>
          <w:rFonts w:ascii="仿宋" w:eastAsia="仿宋"/>
          <w:color w:val="auto"/>
          <w:szCs w:val="24"/>
          <w:highlight w:val="none"/>
        </w:rPr>
      </w:pPr>
    </w:p>
    <w:p>
      <w:pPr>
        <w:pStyle w:val="36"/>
        <w:spacing w:after="50" w:afterLines="0" w:line="440" w:lineRule="exact"/>
        <w:rPr>
          <w:rFonts w:hint="eastAsia" w:ascii="仿宋" w:eastAsia="仿宋"/>
          <w:color w:val="auto"/>
          <w:szCs w:val="24"/>
          <w:highlight w:val="none"/>
        </w:rPr>
      </w:pPr>
    </w:p>
    <w:p>
      <w:pPr>
        <w:pStyle w:val="36"/>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pPr>
        <w:pStyle w:val="7"/>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的采购活动联合进行磋商之事宜，达成如下协议：</w:t>
      </w:r>
    </w:p>
    <w:p>
      <w:pPr>
        <w:pStyle w:val="7"/>
        <w:numPr>
          <w:ilvl w:val="0"/>
          <w:numId w:val="6"/>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pPr>
        <w:pStyle w:val="7"/>
        <w:numPr>
          <w:ilvl w:val="0"/>
          <w:numId w:val="6"/>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为联合体牵头人，负责包括但不仅限于磋商、配合处理质疑投诉等一切和采购活动相关的事宜。</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三、联合体各方对磋商响应文件及磋商过程中的各种书面承诺、澄清等均予以认可，对联合体各方均产生约束力。</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四、如果成交，联合体各方共同与采购人签订采购合同，共同履行对采购人所负有的全部义务并就采购合同约定的事项对采购人承担连带责任。</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五、联合体各方不再单独参加或与其他供应商另外组成联合体参加同一标项（项目）的政府采购活动，否则均被视为无效磋商。</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六、如果成交，联合体各方在项目实施过程中承担的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pPr>
        <w:pStyle w:val="7"/>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八、本协议签约各方各持一份，并作为磋商响应文件的一部分。</w:t>
      </w:r>
    </w:p>
    <w:p>
      <w:pPr>
        <w:pStyle w:val="7"/>
        <w:overflowPunct w:val="0"/>
        <w:spacing w:line="460" w:lineRule="exact"/>
        <w:ind w:firstLine="513" w:firstLineChars="214"/>
        <w:rPr>
          <w:rFonts w:hint="eastAsia" w:ascii="仿宋" w:eastAsia="仿宋"/>
          <w:color w:val="auto"/>
          <w:sz w:val="24"/>
          <w:szCs w:val="24"/>
          <w:highlight w:val="none"/>
        </w:rPr>
      </w:pPr>
    </w:p>
    <w:p>
      <w:pPr>
        <w:pStyle w:val="7"/>
        <w:overflowPunct w:val="0"/>
        <w:spacing w:line="460" w:lineRule="exact"/>
        <w:ind w:firstLine="513" w:firstLineChars="214"/>
        <w:rPr>
          <w:rFonts w:hint="eastAsia" w:ascii="仿宋" w:eastAsia="仿宋"/>
          <w:color w:val="auto"/>
          <w:sz w:val="24"/>
          <w:szCs w:val="24"/>
          <w:highlight w:val="none"/>
        </w:rPr>
      </w:pPr>
    </w:p>
    <w:tbl>
      <w:tblPr>
        <w:tblStyle w:val="30"/>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pPr>
              <w:pStyle w:val="7"/>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pPr>
        <w:pStyle w:val="36"/>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pPr>
        <w:pStyle w:val="7"/>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pPr>
        <w:pStyle w:val="7"/>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pPr>
        <w:pStyle w:val="7"/>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pPr>
        <w:pStyle w:val="7"/>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pPr>
        <w:pStyle w:val="7"/>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pPr>
        <w:pStyle w:val="7"/>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pPr>
        <w:pStyle w:val="7"/>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pPr>
        <w:pStyle w:val="7"/>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pPr>
        <w:pStyle w:val="7"/>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pPr>
        <w:pStyle w:val="7"/>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pPr>
        <w:pStyle w:val="7"/>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pPr>
        <w:pStyle w:val="7"/>
        <w:overflowPunct w:val="0"/>
        <w:spacing w:line="460" w:lineRule="exact"/>
        <w:ind w:firstLine="513" w:firstLineChars="214"/>
        <w:rPr>
          <w:rFonts w:hint="eastAsia" w:ascii="仿宋" w:hAnsi="Calibri" w:eastAsia="仿宋"/>
          <w:color w:val="auto"/>
          <w:sz w:val="24"/>
          <w:szCs w:val="24"/>
          <w:highlight w:val="none"/>
          <w:lang w:val="zh-CN"/>
        </w:rPr>
      </w:pPr>
    </w:p>
    <w:p>
      <w:pPr>
        <w:pStyle w:val="7"/>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pPr>
        <w:pStyle w:val="7"/>
        <w:overflowPunct w:val="0"/>
        <w:spacing w:line="460" w:lineRule="exact"/>
        <w:ind w:firstLine="513" w:firstLineChars="214"/>
        <w:rPr>
          <w:rFonts w:hint="eastAsia" w:ascii="仿宋" w:hAnsi="Calibri" w:eastAsia="仿宋"/>
          <w:color w:val="auto"/>
          <w:sz w:val="24"/>
          <w:szCs w:val="24"/>
          <w:highlight w:val="none"/>
          <w:lang w:val="zh-CN"/>
        </w:rPr>
      </w:pPr>
    </w:p>
    <w:p>
      <w:pPr>
        <w:pStyle w:val="7"/>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pPr>
        <w:pStyle w:val="7"/>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pPr>
        <w:pStyle w:val="7"/>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pPr>
        <w:pStyle w:val="7"/>
        <w:overflowPunct w:val="0"/>
        <w:spacing w:line="460" w:lineRule="exact"/>
        <w:ind w:firstLine="513" w:firstLineChars="214"/>
        <w:rPr>
          <w:rFonts w:hint="eastAsia" w:ascii="仿宋" w:hAnsi="Calibri" w:eastAsia="仿宋"/>
          <w:color w:val="auto"/>
          <w:sz w:val="24"/>
          <w:szCs w:val="24"/>
          <w:highlight w:val="none"/>
          <w:u w:val="none"/>
          <w:lang w:val="zh-CN"/>
        </w:rPr>
      </w:pPr>
    </w:p>
    <w:p>
      <w:pPr>
        <w:pStyle w:val="7"/>
        <w:overflowPunct w:val="0"/>
        <w:spacing w:line="460" w:lineRule="exact"/>
        <w:ind w:firstLine="513" w:firstLineChars="214"/>
        <w:rPr>
          <w:rFonts w:hint="eastAsia" w:ascii="仿宋" w:hAnsi="Calibri" w:eastAsia="仿宋"/>
          <w:color w:val="auto"/>
          <w:sz w:val="24"/>
          <w:szCs w:val="24"/>
          <w:highlight w:val="none"/>
          <w:u w:val="none"/>
          <w:lang w:val="zh-CN"/>
        </w:rPr>
      </w:pPr>
    </w:p>
    <w:p>
      <w:pPr>
        <w:pStyle w:val="36"/>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pPr>
        <w:snapToGrid w:val="0"/>
        <w:spacing w:before="50" w:after="50"/>
        <w:jc w:val="center"/>
        <w:rPr>
          <w:rFonts w:hint="eastAsia" w:ascii="仿宋" w:eastAsia="仿宋"/>
          <w:b/>
          <w:color w:val="auto"/>
          <w:sz w:val="36"/>
          <w:szCs w:val="36"/>
          <w:highlight w:val="none"/>
        </w:rPr>
      </w:pP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hint="eastAsia" w:ascii="仿宋" w:eastAsia="仿宋"/>
          <w:bCs/>
          <w:color w:val="auto"/>
          <w:sz w:val="24"/>
          <w:szCs w:val="24"/>
          <w:highlight w:val="none"/>
          <w:u w:val="single"/>
        </w:rPr>
        <w:t>（填写采购人或采购代理机构名称）</w:t>
      </w:r>
      <w:r>
        <w:rPr>
          <w:rFonts w:hint="eastAsia" w:ascii="仿宋" w:eastAsia="仿宋"/>
          <w:bCs/>
          <w:color w:val="auto"/>
          <w:sz w:val="24"/>
          <w:szCs w:val="24"/>
          <w:highlight w:val="none"/>
        </w:rPr>
        <w:t>：</w:t>
      </w:r>
    </w:p>
    <w:p>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（磋商供应商或联合体牵头人全称）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的磋商活动，并代表我方全权办理针对上述项目的磋商、评审、签约等具体事务和签署相关文件。我方对授权代表的签名事项负全部认可并承担责任。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156" w:beforeLines="50" w:after="50" w:line="460" w:lineRule="exact"/>
        <w:ind w:firstLine="480"/>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供应商全称（盖公章）：            日  期：</w:t>
      </w:r>
      <w:r>
        <w:rPr>
          <w:rFonts w:hint="eastAsia" w:ascii="仿宋" w:eastAsia="仿宋"/>
          <w:color w:val="auto"/>
          <w:sz w:val="24"/>
          <w:szCs w:val="24"/>
          <w:highlight w:val="none"/>
          <w:u w:val="single"/>
        </w:rPr>
        <w:t xml:space="preserve">     年   月  日</w:t>
      </w:r>
    </w:p>
    <w:p>
      <w:pPr>
        <w:widowControl/>
        <w:jc w:val="left"/>
        <w:rPr>
          <w:rFonts w:hint="eastAsia" w:ascii="仿宋" w:eastAsia="仿宋"/>
          <w:color w:val="auto"/>
          <w:sz w:val="24"/>
          <w:szCs w:val="24"/>
          <w:highlight w:val="none"/>
          <w:u w:val="single"/>
        </w:rPr>
      </w:pPr>
    </w:p>
    <w:p>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1、请仔细核对身份证号码，若填写错误，作无效磋商处理。</w:t>
      </w:r>
    </w:p>
    <w:p>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2、联合体磋商的，需提供联合体牵头人的法定代表人授权委托书，否则作无效磋商处理。</w:t>
      </w: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pStyle w:val="36"/>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pPr>
        <w:pStyle w:val="36"/>
        <w:spacing w:after="50" w:afterLines="0" w:line="440" w:lineRule="exact"/>
        <w:ind w:left="0" w:firstLine="0" w:firstLineChars="0"/>
        <w:rPr>
          <w:rFonts w:hint="eastAsia" w:ascii="仿宋" w:eastAsia="仿宋"/>
          <w:b/>
          <w:bCs/>
          <w:color w:val="auto"/>
          <w:sz w:val="28"/>
          <w:szCs w:val="28"/>
          <w:highlight w:val="none"/>
        </w:rPr>
      </w:pPr>
    </w:p>
    <w:p>
      <w:pPr>
        <w:pStyle w:val="36"/>
        <w:spacing w:after="50" w:afterLines="0" w:line="440" w:lineRule="exact"/>
        <w:ind w:left="0" w:firstLine="0" w:firstLineChars="0"/>
        <w:rPr>
          <w:rFonts w:hint="eastAsia" w:ascii="仿宋" w:eastAsia="仿宋"/>
          <w:b/>
          <w:bCs/>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pPr>
        <w:pStyle w:val="36"/>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提供身份证原件正反两面的彩色图片，内容清晰可辨，加盖单位CA签章，否则视为无效磋商。</w:t>
      </w:r>
    </w:p>
    <w:p>
      <w:pPr>
        <w:pStyle w:val="36"/>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联合体磋商的，提供联合体牵头人的法定代表人及其授权代表身份证。</w:t>
      </w:r>
    </w:p>
    <w:p>
      <w:pPr>
        <w:pStyle w:val="36"/>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个体工商户参与磋商的提供经营者本人的身份证。</w:t>
      </w: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pStyle w:val="36"/>
        <w:spacing w:after="50" w:afterLines="0" w:line="440" w:lineRule="exact"/>
        <w:ind w:left="0" w:firstLine="0" w:firstLineChars="0"/>
        <w:rPr>
          <w:rFonts w:hint="eastAsia" w:ascii="仿宋" w:eastAsia="仿宋"/>
          <w:color w:val="auto"/>
          <w:sz w:val="28"/>
          <w:szCs w:val="28"/>
          <w:highlight w:val="none"/>
        </w:r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color w:val="auto"/>
          <w:sz w:val="30"/>
          <w:szCs w:val="30"/>
          <w:highlight w:val="none"/>
        </w:rPr>
        <w:t>：商务和技术文件封面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供应商名称（盖章）：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：商务和技术文件目录</w:t>
      </w:r>
    </w:p>
    <w:p>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53"/>
        <w:spacing w:line="360" w:lineRule="auto"/>
        <w:ind w:firstLine="0" w:firstLineChars="0"/>
        <w:jc w:val="left"/>
        <w:rPr>
          <w:rFonts w:hint="eastAsia" w:ascii="仿宋" w:eastAsia="仿宋" w:cs="仿宋_GB2312"/>
          <w:color w:val="auto"/>
          <w:highlight w:val="none"/>
        </w:rPr>
      </w:pPr>
      <w:bookmarkStart w:id="63"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3"/>
    </w:p>
    <w:p>
      <w:pPr>
        <w:pStyle w:val="53"/>
        <w:spacing w:line="360" w:lineRule="auto"/>
        <w:ind w:firstLine="0" w:firstLineChars="0"/>
        <w:jc w:val="left"/>
        <w:rPr>
          <w:rFonts w:hint="eastAsia" w:ascii="仿宋" w:eastAsia="仿宋" w:cs="仿宋_GB2312"/>
          <w:color w:val="auto"/>
          <w:highlight w:val="none"/>
        </w:rPr>
      </w:pPr>
      <w:bookmarkStart w:id="64" w:name="_Toc64369790"/>
      <w:r>
        <w:rPr>
          <w:rFonts w:hint="eastAsia" w:ascii="仿宋" w:eastAsia="仿宋" w:cs="仿宋_GB2312"/>
          <w:color w:val="auto"/>
          <w:highlight w:val="none"/>
        </w:rPr>
        <w:t>2.技术响应表……………………………………………………………………（页码）</w:t>
      </w:r>
      <w:bookmarkEnd w:id="64"/>
    </w:p>
    <w:p>
      <w:pPr>
        <w:pStyle w:val="53"/>
        <w:spacing w:line="360" w:lineRule="auto"/>
        <w:ind w:firstLine="0" w:firstLineChars="0"/>
        <w:jc w:val="left"/>
        <w:rPr>
          <w:rFonts w:hint="eastAsia" w:ascii="仿宋" w:eastAsia="仿宋" w:cs="仿宋_GB2312"/>
          <w:color w:val="auto"/>
          <w:highlight w:val="none"/>
        </w:rPr>
      </w:pPr>
      <w:bookmarkStart w:id="65" w:name="_Toc64369791"/>
      <w:r>
        <w:rPr>
          <w:rFonts w:hint="eastAsia" w:ascii="仿宋" w:eastAsia="仿宋" w:cs="仿宋_GB2312"/>
          <w:color w:val="auto"/>
          <w:highlight w:val="none"/>
        </w:rPr>
        <w:t>3.商务响应表……………………………………………………………………（页码）</w:t>
      </w:r>
      <w:bookmarkEnd w:id="65"/>
    </w:p>
    <w:p>
      <w:pPr>
        <w:pStyle w:val="53"/>
        <w:spacing w:line="360" w:lineRule="auto"/>
        <w:ind w:firstLine="0" w:firstLineChars="0"/>
        <w:jc w:val="left"/>
        <w:rPr>
          <w:rFonts w:hint="eastAsia" w:ascii="仿宋" w:eastAsia="仿宋" w:cs="仿宋_GB2312"/>
          <w:color w:val="auto"/>
          <w:highlight w:val="none"/>
        </w:rPr>
      </w:pPr>
      <w:bookmarkStart w:id="66"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6"/>
    </w:p>
    <w:p>
      <w:pPr>
        <w:pStyle w:val="53"/>
        <w:spacing w:line="360" w:lineRule="auto"/>
        <w:ind w:firstLine="0" w:firstLineChars="0"/>
        <w:jc w:val="left"/>
        <w:rPr>
          <w:rFonts w:hint="eastAsia" w:ascii="仿宋" w:eastAsia="仿宋" w:cs="仿宋_GB2312"/>
          <w:color w:val="auto"/>
          <w:highlight w:val="none"/>
        </w:rPr>
      </w:pPr>
      <w:bookmarkStart w:id="67"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7"/>
    </w:p>
    <w:p>
      <w:pPr>
        <w:pStyle w:val="53"/>
        <w:spacing w:line="360" w:lineRule="auto"/>
        <w:ind w:firstLine="0" w:firstLineChars="0"/>
        <w:jc w:val="left"/>
        <w:rPr>
          <w:rFonts w:hint="eastAsia" w:ascii="仿宋" w:eastAsia="仿宋" w:cs="仿宋_GB2312"/>
          <w:color w:val="auto"/>
          <w:highlight w:val="none"/>
        </w:rPr>
      </w:pPr>
      <w:bookmarkStart w:id="68" w:name="_Toc64369794"/>
      <w:r>
        <w:rPr>
          <w:rFonts w:hint="eastAsia" w:ascii="仿宋" w:eastAsia="仿宋" w:cs="仿宋_GB2312"/>
          <w:color w:val="auto"/>
          <w:highlight w:val="none"/>
          <w:lang w:val="zh-CN"/>
        </w:rPr>
        <w:t>6.</w:t>
      </w:r>
      <w:bookmarkEnd w:id="68"/>
      <w:bookmarkStart w:id="69" w:name="_Toc64369796"/>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9"/>
    </w:p>
    <w:p>
      <w:pPr>
        <w:pStyle w:val="53"/>
        <w:spacing w:line="360" w:lineRule="auto"/>
        <w:ind w:firstLine="0" w:firstLineChars="0"/>
        <w:jc w:val="left"/>
        <w:rPr>
          <w:rFonts w:hint="eastAsia" w:ascii="仿宋" w:eastAsia="仿宋" w:cs="仿宋_GB2312"/>
          <w:color w:val="auto"/>
          <w:highlight w:val="none"/>
        </w:rPr>
      </w:pPr>
      <w:bookmarkStart w:id="70" w:name="_Toc64369797"/>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70"/>
    </w:p>
    <w:p>
      <w:pPr>
        <w:pStyle w:val="53"/>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53"/>
        <w:spacing w:line="360" w:lineRule="auto"/>
        <w:ind w:firstLine="0" w:firstLineChars="0"/>
        <w:jc w:val="left"/>
        <w:rPr>
          <w:rFonts w:hint="eastAsia" w:ascii="仿宋" w:eastAsia="仿宋" w:cs="仿宋_GB2312"/>
          <w:color w:val="auto"/>
          <w:highlight w:val="none"/>
        </w:rPr>
      </w:pPr>
      <w:bookmarkStart w:id="71"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71"/>
    </w:p>
    <w:p>
      <w:pPr>
        <w:pStyle w:val="54"/>
        <w:numPr>
          <w:ilvl w:val="0"/>
          <w:numId w:val="0"/>
        </w:numPr>
        <w:spacing w:line="240" w:lineRule="auto"/>
        <w:ind w:left="0" w:firstLine="0"/>
        <w:rPr>
          <w:rFonts w:hint="eastAsia" w:ascii="仿宋" w:eastAsia="仿宋"/>
          <w:color w:val="auto"/>
          <w:highlight w:val="none"/>
        </w:rPr>
      </w:pPr>
    </w:p>
    <w:p>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注：以上文件供应商可以在本磋商文件提供的格式范本基础上适当微调，使得内容更加完备。制作加密电子磋商响应文件时做好关联点设置。</w:t>
      </w: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pStyle w:val="36"/>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10</w:t>
      </w:r>
      <w:r>
        <w:rPr>
          <w:rFonts w:hint="eastAsia" w:ascii="仿宋" w:eastAsia="仿宋"/>
          <w:b/>
          <w:bCs/>
          <w:color w:val="auto"/>
          <w:sz w:val="28"/>
          <w:szCs w:val="28"/>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p>
    <w:p>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供应商全称（公章）：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3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30"/>
        <w:tblW w:w="88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40"/>
        <w:gridCol w:w="818"/>
        <w:gridCol w:w="1249"/>
        <w:gridCol w:w="1384"/>
        <w:gridCol w:w="2172"/>
        <w:gridCol w:w="10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1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4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38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17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5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1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4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38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17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5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1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4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38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17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5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1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4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38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17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5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156" w:beforeLines="50"/>
        <w:rPr>
          <w:rFonts w:hint="eastAsia" w:ascii="仿宋" w:eastAsia="仿宋"/>
          <w:color w:val="auto"/>
          <w:sz w:val="30"/>
          <w:szCs w:val="30"/>
          <w:highlight w:val="none"/>
        </w:rPr>
      </w:pP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：技术响应表</w:t>
      </w:r>
    </w:p>
    <w:p>
      <w:pPr>
        <w:snapToGrid w:val="0"/>
        <w:spacing w:before="50" w:after="156" w:afterLines="50"/>
        <w:jc w:val="center"/>
        <w:rPr>
          <w:rFonts w:hint="eastAsia" w:ascii="仿宋" w:eastAsia="仿宋"/>
          <w:b/>
          <w:color w:val="auto"/>
          <w:spacing w:val="40"/>
          <w:kern w:val="0"/>
          <w:sz w:val="36"/>
          <w:szCs w:val="36"/>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156" w:afterLines="50"/>
        <w:jc w:val="center"/>
        <w:rPr>
          <w:rFonts w:hint="eastAsia" w:ascii="仿宋" w:eastAsia="仿宋"/>
          <w:b/>
          <w:color w:val="auto"/>
          <w:sz w:val="32"/>
          <w:szCs w:val="32"/>
          <w:highlight w:val="none"/>
        </w:rPr>
      </w:pPr>
    </w:p>
    <w:p>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p>
    <w:p>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0"/>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72" w:name="_Toc64369800"/>
            <w:r>
              <w:rPr>
                <w:rFonts w:hint="eastAsia" w:ascii="仿宋" w:eastAsia="仿宋"/>
                <w:color w:val="auto"/>
                <w:spacing w:val="20"/>
                <w:sz w:val="24"/>
                <w:szCs w:val="24"/>
                <w:highlight w:val="none"/>
              </w:rPr>
              <w:t>序号</w:t>
            </w:r>
            <w:bookmarkEnd w:id="72"/>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73" w:name="_Toc64369801"/>
            <w:bookmarkStart w:id="74" w:name="_Toc64369802"/>
            <w:r>
              <w:rPr>
                <w:rFonts w:hint="eastAsia" w:ascii="仿宋" w:eastAsia="仿宋"/>
                <w:color w:val="auto"/>
                <w:spacing w:val="20"/>
                <w:sz w:val="24"/>
                <w:szCs w:val="24"/>
                <w:highlight w:val="none"/>
              </w:rPr>
              <w:t>磋商文件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73"/>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磋商响应文件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4"/>
            <w:r>
              <w:rPr>
                <w:rFonts w:hint="eastAsia" w:ascii="仿宋" w:eastAsia="仿宋"/>
                <w:color w:val="auto"/>
                <w:spacing w:val="20"/>
                <w:sz w:val="24"/>
                <w:szCs w:val="24"/>
                <w:highlight w:val="none"/>
              </w:rPr>
              <w:t>情况</w:t>
            </w:r>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75" w:name="_Toc64369803"/>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1</w:t>
            </w:r>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76"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76"/>
            <w:r>
              <w:rPr>
                <w:rFonts w:hint="eastAsia" w:ascii="仿宋" w:eastAsia="仿宋"/>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序号</w:t>
            </w:r>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磋商文件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磋商响应文件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响应情况</w:t>
            </w: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bl>
    <w:p>
      <w:pPr>
        <w:pStyle w:val="11"/>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注：1、供应商应对照磋商文件要求和磋商响应文件响应情况在“偏离情况”栏注明“正偏离”、“负偏离”或“无偏离”。若正偏离的，需详细说明或提供证明材料。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2、“磋商文件要求”一列按采购需求中的“服务清单及要求”填写。</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color w:val="auto"/>
          <w:spacing w:val="20"/>
          <w:sz w:val="30"/>
          <w:szCs w:val="30"/>
          <w:highlight w:val="none"/>
        </w:rPr>
      </w:pP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snapToGrid w:val="0"/>
        <w:spacing w:before="156" w:beforeLines="50"/>
        <w:rPr>
          <w:rFonts w:hint="eastAsia" w:ascii="仿宋" w:eastAsia="仿宋"/>
          <w:color w:val="auto"/>
          <w:sz w:val="24"/>
          <w:szCs w:val="24"/>
          <w:highlight w:val="none"/>
        </w:rPr>
      </w:pPr>
    </w:p>
    <w:p>
      <w:pPr>
        <w:snapToGrid w:val="0"/>
        <w:spacing w:before="156" w:beforeLines="50"/>
        <w:rPr>
          <w:rFonts w:hint="eastAsia" w:ascii="仿宋" w:eastAsia="仿宋"/>
          <w:color w:val="auto"/>
          <w:sz w:val="24"/>
          <w:szCs w:val="24"/>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：商务响应表</w:t>
      </w:r>
    </w:p>
    <w:p>
      <w:pPr>
        <w:snapToGrid w:val="0"/>
        <w:spacing w:before="50" w:after="156" w:afterLines="50"/>
        <w:jc w:val="center"/>
        <w:rPr>
          <w:rFonts w:hint="eastAsia" w:ascii="仿宋" w:eastAsia="仿宋"/>
          <w:b/>
          <w:color w:val="auto"/>
          <w:spacing w:val="40"/>
          <w:kern w:val="0"/>
          <w:sz w:val="36"/>
          <w:szCs w:val="36"/>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pPr>
        <w:snapToGrid w:val="0"/>
        <w:spacing w:before="50" w:after="156" w:afterLines="50"/>
        <w:jc w:val="center"/>
        <w:rPr>
          <w:rFonts w:hint="eastAsia" w:ascii="仿宋" w:eastAsia="仿宋"/>
          <w:b/>
          <w:color w:val="auto"/>
          <w:sz w:val="32"/>
          <w:szCs w:val="32"/>
          <w:highlight w:val="none"/>
        </w:rPr>
      </w:pPr>
    </w:p>
    <w:p>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p>
    <w:p>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0"/>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color w:val="auto"/>
                <w:spacing w:val="20"/>
                <w:sz w:val="28"/>
                <w:szCs w:val="28"/>
                <w:highlight w:val="none"/>
              </w:rPr>
            </w:pPr>
            <w:bookmarkStart w:id="77" w:name="_Toc64369824"/>
            <w:bookmarkEnd w:id="77"/>
            <w:bookmarkStart w:id="78" w:name="_Toc64369815"/>
            <w:r>
              <w:rPr>
                <w:rFonts w:hint="eastAsia" w:ascii="仿宋" w:eastAsia="仿宋" w:cs="仿宋_GB2312"/>
                <w:color w:val="auto"/>
                <w:spacing w:val="20"/>
                <w:sz w:val="28"/>
                <w:szCs w:val="28"/>
                <w:highlight w:val="none"/>
              </w:rPr>
              <w:t>类别</w:t>
            </w:r>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79" w:name="_Toc64369816"/>
            <w:r>
              <w:rPr>
                <w:rFonts w:hint="eastAsia" w:ascii="仿宋" w:eastAsia="仿宋" w:cs="仿宋_GB2312"/>
                <w:color w:val="auto"/>
                <w:sz w:val="30"/>
                <w:szCs w:val="30"/>
                <w:highlight w:val="none"/>
              </w:rPr>
              <w:t>磋商文件要求</w:t>
            </w:r>
            <w:bookmarkEnd w:id="79"/>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80" w:name="_Toc64369817"/>
            <w:r>
              <w:rPr>
                <w:rFonts w:hint="eastAsia" w:ascii="仿宋" w:eastAsia="仿宋" w:cs="仿宋_GB2312"/>
                <w:color w:val="auto"/>
                <w:sz w:val="30"/>
                <w:szCs w:val="30"/>
                <w:highlight w:val="none"/>
              </w:rPr>
              <w:t>磋商响应文件响应</w:t>
            </w:r>
            <w:bookmarkEnd w:id="80"/>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81" w:name="_Toc64369818"/>
            <w:r>
              <w:rPr>
                <w:rFonts w:hint="eastAsia" w:ascii="仿宋" w:eastAsia="仿宋" w:cs="仿宋_GB2312"/>
                <w:color w:val="auto"/>
                <w:sz w:val="30"/>
                <w:szCs w:val="30"/>
                <w:highlight w:val="none"/>
              </w:rPr>
              <w:t>偏离情况</w:t>
            </w:r>
            <w:bookmarkEnd w:id="8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bookmarkStart w:id="82" w:name="_Toc64369823"/>
            <w:bookmarkStart w:id="83" w:name="_Toc64369819"/>
            <w:r>
              <w:rPr>
                <w:rFonts w:hint="eastAsia" w:ascii="仿宋" w:eastAsia="仿宋"/>
                <w:color w:val="auto"/>
                <w:spacing w:val="20"/>
                <w:sz w:val="28"/>
                <w:szCs w:val="28"/>
                <w:highlight w:val="none"/>
              </w:rPr>
              <w:t>付款方式</w:t>
            </w:r>
            <w:bookmarkEnd w:id="82"/>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9"/>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hint="eastAsia" w:ascii="仿宋" w:eastAsia="仿宋"/>
                <w:color w:val="auto"/>
                <w:sz w:val="28"/>
                <w:szCs w:val="28"/>
                <w:highlight w:val="none"/>
              </w:rPr>
            </w:pPr>
          </w:p>
        </w:tc>
      </w:tr>
    </w:tbl>
    <w:p>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注：1、供应商应对照磋商文件要求和磋商响应文件的响应情况在“偏离情况”栏注明“正偏离”、“负偏离”或“无偏离”。若正偏离的，需详细说明或提供证明材料。</w:t>
      </w:r>
    </w:p>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2、“类别”一栏按磋商文件第三章中“商务要求”的分类填写。</w:t>
      </w: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156" w:beforeLines="50"/>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：项目实施人员清单</w:t>
      </w:r>
    </w:p>
    <w:p>
      <w:pPr>
        <w:snapToGrid w:val="0"/>
        <w:spacing w:before="50" w:after="156" w:afterLines="50"/>
        <w:jc w:val="center"/>
        <w:rPr>
          <w:rFonts w:hint="eastAsia" w:ascii="仿宋" w:eastAsia="仿宋"/>
          <w:b/>
          <w:color w:val="auto"/>
          <w:kern w:val="0"/>
          <w:sz w:val="36"/>
          <w:szCs w:val="36"/>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p>
    <w:p>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0"/>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21"/>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bl>
    <w:p>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注：在填写时，如本表格不适合供应商的实际情况，可根据本表格式自行划表填写。 </w:t>
      </w:r>
    </w:p>
    <w:p>
      <w:pPr>
        <w:snapToGrid w:val="0"/>
        <w:spacing w:before="50" w:after="156" w:afterLines="50" w:line="460" w:lineRule="exact"/>
        <w:jc w:val="left"/>
        <w:rPr>
          <w:rFonts w:hint="eastAsia" w:ascii="仿宋" w:eastAsia="仿宋"/>
          <w:color w:val="auto"/>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156" w:afterLines="50" w:line="460" w:lineRule="exact"/>
        <w:jc w:val="left"/>
        <w:rPr>
          <w:rFonts w:hint="eastAsia" w:ascii="仿宋" w:eastAsia="仿宋"/>
          <w:color w:val="auto"/>
          <w:sz w:val="28"/>
          <w:szCs w:val="28"/>
          <w:highlight w:val="none"/>
        </w:rPr>
      </w:pPr>
    </w:p>
    <w:p>
      <w:pPr>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pPr>
        <w:snapToGrid w:val="0"/>
        <w:spacing w:before="50" w:after="50"/>
        <w:jc w:val="left"/>
        <w:rPr>
          <w:rFonts w:hint="eastAsia" w:ascii="仿宋" w:eastAsia="仿宋"/>
          <w:color w:val="auto"/>
          <w:sz w:val="30"/>
          <w:szCs w:val="30"/>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供应商全称（公章）：</w:t>
      </w:r>
      <w:r>
        <w:rPr>
          <w:rFonts w:hint="eastAsia" w:ascii="仿宋" w:eastAsia="仿宋"/>
          <w:color w:val="auto"/>
          <w:sz w:val="24"/>
          <w:szCs w:val="24"/>
          <w:highlight w:val="none"/>
          <w:u w:val="single"/>
        </w:rPr>
        <w:t xml:space="preserve">                           </w:t>
      </w:r>
    </w:p>
    <w:p>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pPr>
        <w:rPr>
          <w:rFonts w:hint="eastAsia" w:ascii="仿宋" w:eastAsia="仿宋"/>
          <w:color w:val="auto"/>
          <w:highlight w:val="none"/>
        </w:rPr>
      </w:pPr>
    </w:p>
    <w:tbl>
      <w:tblPr>
        <w:tblStyle w:val="30"/>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pPr>
        <w:snapToGrid w:val="0"/>
        <w:spacing w:line="440" w:lineRule="exact"/>
        <w:ind w:left="0"/>
        <w:jc w:val="left"/>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pPr>
        <w:numPr>
          <w:ilvl w:val="0"/>
          <w:numId w:val="8"/>
        </w:numPr>
        <w:snapToGrid w:val="0"/>
        <w:spacing w:line="440" w:lineRule="exact"/>
        <w:jc w:val="left"/>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pPr>
        <w:numPr>
          <w:ilvl w:val="0"/>
          <w:numId w:val="8"/>
        </w:num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hint="eastAsia" w:ascii="仿宋" w:eastAsia="仿宋"/>
          <w:color w:val="auto"/>
          <w:kern w:val="2"/>
          <w:sz w:val="24"/>
          <w:szCs w:val="20"/>
          <w:highlight w:val="none"/>
          <w:u w:val="none"/>
        </w:rPr>
      </w:pPr>
    </w:p>
    <w:p>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（如有）：</w:t>
      </w:r>
    </w:p>
    <w:p>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pPr>
        <w:pStyle w:val="19"/>
        <w:spacing w:line="360" w:lineRule="auto"/>
        <w:rPr>
          <w:rFonts w:hint="eastAsia" w:ascii="仿宋" w:eastAsia="仿宋"/>
          <w:b/>
          <w:bCs/>
          <w:color w:val="auto"/>
          <w:sz w:val="24"/>
          <w:szCs w:val="24"/>
          <w:highlight w:val="none"/>
        </w:rPr>
      </w:pPr>
      <w:r>
        <w:rPr>
          <w:rFonts w:ascii="仿宋" w:eastAsia="仿宋"/>
          <w:b/>
          <w:bCs/>
          <w:color w:val="auto"/>
          <w:sz w:val="24"/>
          <w:szCs w:val="24"/>
          <w:highlight w:val="none"/>
        </w:rPr>
        <w:t>供应商</w:t>
      </w:r>
      <w:r>
        <w:rPr>
          <w:rFonts w:hint="eastAsia" w:ascii="仿宋" w:eastAsia="仿宋"/>
          <w:b/>
          <w:bCs/>
          <w:color w:val="auto"/>
          <w:sz w:val="24"/>
          <w:szCs w:val="24"/>
          <w:highlight w:val="none"/>
        </w:rPr>
        <w:t>名称：</w:t>
      </w:r>
    </w:p>
    <w:p>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30"/>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pPr>
              <w:pStyle w:val="56"/>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6"/>
              <w:tabs>
                <w:tab w:val="left" w:pos="1260"/>
              </w:tabs>
              <w:snapToGrid w:val="0"/>
              <w:spacing w:line="360" w:lineRule="auto"/>
              <w:jc w:val="center"/>
              <w:rPr>
                <w:rFonts w:hint="eastAsia" w:ascii="仿宋" w:eastAsia="仿宋"/>
                <w:color w:val="auto"/>
                <w:sz w:val="24"/>
                <w:highlight w:val="none"/>
                <w:lang w:val="en-GB"/>
              </w:rPr>
            </w:pPr>
          </w:p>
        </w:tc>
      </w:tr>
    </w:tbl>
    <w:p>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w:t>
      </w:r>
      <w:r>
        <w:rPr>
          <w:rFonts w:ascii="仿宋" w:eastAsia="仿宋"/>
          <w:color w:val="auto"/>
          <w:sz w:val="24"/>
          <w:szCs w:val="24"/>
          <w:highlight w:val="none"/>
        </w:rPr>
        <w:t>磋商</w:t>
      </w:r>
      <w:r>
        <w:rPr>
          <w:rFonts w:hint="eastAsia" w:ascii="仿宋" w:eastAsia="仿宋"/>
          <w:color w:val="auto"/>
          <w:sz w:val="24"/>
          <w:szCs w:val="24"/>
          <w:highlight w:val="none"/>
        </w:rPr>
        <w:t>一览表》、《项目明细清单》中的相应产品一致。</w:t>
      </w:r>
    </w:p>
    <w:p>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w:t>
      </w:r>
      <w:r>
        <w:rPr>
          <w:rFonts w:ascii="仿宋" w:eastAsia="仿宋"/>
          <w:color w:val="auto"/>
          <w:sz w:val="24"/>
          <w:szCs w:val="24"/>
          <w:highlight w:val="none"/>
        </w:rPr>
        <w:t>供应商</w:t>
      </w:r>
      <w:r>
        <w:rPr>
          <w:rFonts w:hint="eastAsia" w:ascii="仿宋" w:eastAsia="仿宋"/>
          <w:color w:val="auto"/>
          <w:sz w:val="24"/>
          <w:szCs w:val="24"/>
          <w:highlight w:val="none"/>
        </w:rPr>
        <w:t>须知”第</w:t>
      </w:r>
      <w:r>
        <w:rPr>
          <w:rFonts w:ascii="仿宋" w:eastAsia="仿宋"/>
          <w:color w:val="auto"/>
          <w:sz w:val="24"/>
          <w:szCs w:val="24"/>
          <w:highlight w:val="none"/>
        </w:rPr>
        <w:t>二</w:t>
      </w:r>
      <w:r>
        <w:rPr>
          <w:rFonts w:hint="eastAsia" w:ascii="仿宋" w:eastAsia="仿宋"/>
          <w:color w:val="auto"/>
          <w:sz w:val="24"/>
          <w:szCs w:val="24"/>
          <w:highlight w:val="none"/>
        </w:rPr>
        <w:t>部分“</w:t>
      </w:r>
      <w:r>
        <w:rPr>
          <w:rFonts w:ascii="仿宋" w:eastAsia="仿宋"/>
          <w:color w:val="auto"/>
          <w:sz w:val="24"/>
          <w:szCs w:val="24"/>
          <w:highlight w:val="none"/>
        </w:rPr>
        <w:t>磋商</w:t>
      </w:r>
      <w:r>
        <w:rPr>
          <w:rFonts w:hint="eastAsia" w:ascii="仿宋" w:eastAsia="仿宋"/>
          <w:color w:val="auto"/>
          <w:sz w:val="24"/>
          <w:szCs w:val="24"/>
          <w:highlight w:val="none"/>
        </w:rPr>
        <w:t>文件”，否则不予认可。</w:t>
      </w:r>
    </w:p>
    <w:p>
      <w:pPr>
        <w:pStyle w:val="19"/>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特别提示：供应商务必仔细阅读采购文件“政府采购政策性规定”中关于无效磋商的内容。</w:t>
      </w:r>
      <w:r>
        <w:rPr>
          <w:rFonts w:ascii="仿宋" w:eastAsia="仿宋"/>
          <w:b/>
          <w:color w:val="auto"/>
          <w:sz w:val="24"/>
          <w:szCs w:val="24"/>
          <w:highlight w:val="none"/>
        </w:rPr>
        <w:t xml:space="preserve"> </w:t>
      </w: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hint="eastAsia" w:ascii="仿宋" w:eastAsia="仿宋"/>
          <w:color w:val="auto"/>
          <w:spacing w:val="20"/>
          <w:sz w:val="24"/>
          <w:szCs w:val="24"/>
          <w:highlight w:val="none"/>
        </w:rPr>
      </w:pPr>
    </w:p>
    <w:p>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rPr>
          <w:rFonts w:hint="eastAsia" w:ascii="仿宋" w:eastAsia="仿宋"/>
          <w:color w:val="auto"/>
          <w:spacing w:val="20"/>
          <w:sz w:val="24"/>
          <w:szCs w:val="24"/>
          <w:highlight w:val="none"/>
        </w:rPr>
      </w:pPr>
    </w:p>
    <w:p>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pPr>
        <w:rPr>
          <w:rFonts w:ascii="仿宋" w:eastAsia="仿宋"/>
          <w:color w:val="auto"/>
          <w:spacing w:val="20"/>
          <w:sz w:val="24"/>
          <w:szCs w:val="24"/>
          <w:highlight w:val="none"/>
          <w:u w:val="single"/>
        </w:rPr>
      </w:pPr>
    </w:p>
    <w:p>
      <w:pPr>
        <w:rPr>
          <w:rFonts w:ascii="仿宋" w:eastAsia="仿宋"/>
          <w:color w:val="auto"/>
          <w:spacing w:val="20"/>
          <w:sz w:val="24"/>
          <w:szCs w:val="24"/>
          <w:highlight w:val="none"/>
          <w:u w:val="singl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：报价文件封面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供应商名称（盖章）：</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hint="eastAsia" w:ascii="仿宋" w:eastAsia="仿宋"/>
          <w:color w:val="auto"/>
          <w:kern w:val="2"/>
          <w:sz w:val="24"/>
          <w:szCs w:val="20"/>
          <w:highlight w:val="none"/>
          <w:u w:val="non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：报价文件目录</w:t>
      </w:r>
    </w:p>
    <w:p>
      <w:pPr>
        <w:snapToGrid w:val="0"/>
        <w:spacing w:before="156" w:beforeLines="50" w:after="50"/>
        <w:jc w:val="left"/>
        <w:rPr>
          <w:rFonts w:hint="eastAsia" w:ascii="仿宋" w:eastAsia="仿宋"/>
          <w:color w:val="auto"/>
          <w:sz w:val="30"/>
          <w:szCs w:val="30"/>
          <w:highlight w:val="none"/>
        </w:rPr>
      </w:pPr>
    </w:p>
    <w:p>
      <w:pPr>
        <w:pStyle w:val="53"/>
        <w:spacing w:line="360" w:lineRule="auto"/>
        <w:ind w:firstLine="0" w:firstLineChars="0"/>
        <w:jc w:val="center"/>
        <w:rPr>
          <w:rFonts w:hint="eastAsia" w:ascii="仿宋" w:eastAsia="仿宋" w:cs="仿宋_GB2312"/>
          <w:color w:val="auto"/>
          <w:highlight w:val="none"/>
        </w:rPr>
      </w:pPr>
      <w:bookmarkStart w:id="84" w:name="_Toc64369825"/>
      <w:r>
        <w:rPr>
          <w:rFonts w:hint="eastAsia" w:ascii="仿宋" w:eastAsia="仿宋" w:cs="仿宋_GB2312"/>
          <w:color w:val="auto"/>
          <w:highlight w:val="none"/>
        </w:rPr>
        <w:t>目 录</w:t>
      </w:r>
      <w:bookmarkEnd w:id="84"/>
    </w:p>
    <w:p>
      <w:pPr>
        <w:pStyle w:val="5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1、磋商一览表 …………………………………………………………………（页码）</w:t>
      </w:r>
    </w:p>
    <w:p>
      <w:pPr>
        <w:pStyle w:val="5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中小企业声明函（如有）……………………………………………………（页码）</w:t>
      </w:r>
    </w:p>
    <w:p>
      <w:pPr>
        <w:pStyle w:val="5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残疾人福利性单位声明函（如有）…………………………………………（页码）</w:t>
      </w:r>
    </w:p>
    <w:p>
      <w:pPr>
        <w:pStyle w:val="5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、关于报价的其他说明（如有，自拟）………………………………………（页码）</w:t>
      </w: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18</w:t>
      </w:r>
      <w:r>
        <w:rPr>
          <w:rFonts w:hint="eastAsia" w:ascii="仿宋" w:eastAsia="仿宋"/>
          <w:b/>
          <w:bCs/>
          <w:color w:val="auto"/>
          <w:sz w:val="30"/>
          <w:szCs w:val="30"/>
          <w:highlight w:val="none"/>
        </w:rPr>
        <w:t>（如有）：</w:t>
      </w:r>
    </w:p>
    <w:p>
      <w:pPr>
        <w:snapToGrid w:val="0"/>
        <w:spacing w:before="50" w:after="50" w:line="480" w:lineRule="auto"/>
        <w:jc w:val="center"/>
        <w:rPr>
          <w:rFonts w:ascii="仿宋" w:eastAsia="仿宋"/>
          <w:b/>
          <w:color w:val="auto"/>
          <w:sz w:val="32"/>
          <w:szCs w:val="32"/>
          <w:highlight w:val="none"/>
        </w:rPr>
      </w:pPr>
      <w:bookmarkStart w:id="85" w:name="_Hlk523382353"/>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（采购文件中明确的所属行业）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（采购文件中明确的所属行业）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80" w:firstLineChars="200"/>
        <w:jc w:val="left"/>
        <w:rPr>
          <w:rFonts w:hint="eastAsia"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line="360" w:lineRule="auto"/>
        <w:ind w:firstLine="480" w:firstLineChars="200"/>
        <w:jc w:val="left"/>
        <w:rPr>
          <w:rFonts w:hint="eastAsia" w:ascii="仿宋" w:eastAsia="仿宋"/>
          <w:color w:val="auto"/>
          <w:sz w:val="24"/>
          <w:szCs w:val="24"/>
          <w:highlight w:val="none"/>
        </w:rPr>
      </w:pPr>
    </w:p>
    <w:p>
      <w:pPr>
        <w:snapToGrid w:val="0"/>
        <w:spacing w:before="50" w:after="50" w:line="360" w:lineRule="auto"/>
        <w:ind w:firstLine="480" w:firstLineChars="200"/>
        <w:jc w:val="left"/>
        <w:rPr>
          <w:rFonts w:hint="eastAsia" w:ascii="仿宋" w:eastAsia="仿宋"/>
          <w:color w:val="auto"/>
          <w:sz w:val="24"/>
          <w:szCs w:val="24"/>
          <w:highlight w:val="none"/>
        </w:rPr>
      </w:pPr>
    </w:p>
    <w:p>
      <w:pPr>
        <w:snapToGrid w:val="0"/>
        <w:spacing w:before="50" w:after="50" w:line="360" w:lineRule="auto"/>
        <w:ind w:firstLine="480" w:firstLineChars="200"/>
        <w:jc w:val="left"/>
        <w:rPr>
          <w:rFonts w:hint="eastAsia" w:ascii="仿宋" w:eastAsia="仿宋"/>
          <w:color w:val="auto"/>
          <w:sz w:val="24"/>
          <w:szCs w:val="24"/>
          <w:highlight w:val="none"/>
        </w:rPr>
      </w:pPr>
    </w:p>
    <w:p>
      <w:p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numPr>
          <w:ilvl w:val="0"/>
          <w:numId w:val="9"/>
        </w:numPr>
        <w:snapToGrid w:val="0"/>
        <w:spacing w:before="50" w:after="50" w:line="240" w:lineRule="auto"/>
        <w:jc w:val="left"/>
        <w:rPr>
          <w:rFonts w:ascii="仿宋" w:eastAsia="仿宋"/>
          <w:b/>
          <w:bCs/>
          <w:color w:val="auto"/>
          <w:sz w:val="24"/>
          <w:szCs w:val="24"/>
          <w:highlight w:val="none"/>
          <w:u w:val="single"/>
        </w:rPr>
      </w:pPr>
      <w:r>
        <w:rPr>
          <w:rFonts w:hint="eastAsia" w:ascii="仿宋" w:eastAsia="仿宋" w:cs="仿宋_GB2312"/>
          <w:b/>
          <w:bCs/>
          <w:color w:val="auto"/>
          <w:sz w:val="24"/>
          <w:highlight w:val="none"/>
          <w:u w:val="single"/>
          <w:lang w:eastAsia="zh-CN"/>
        </w:rPr>
        <w:t>“标的名称”、“所属行业”按前附表所列填写，否则不予享受价格扣除。</w:t>
      </w:r>
    </w:p>
    <w:p>
      <w:pPr>
        <w:spacing w:line="588" w:lineRule="exact"/>
        <w:rPr>
          <w:rFonts w:hint="eastAsia" w:ascii="仿宋" w:eastAsia="仿宋"/>
          <w:b/>
          <w:color w:val="auto"/>
          <w:spacing w:val="6"/>
          <w:sz w:val="30"/>
          <w:szCs w:val="30"/>
          <w:highlight w:val="none"/>
        </w:rPr>
      </w:pPr>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19</w:t>
      </w:r>
      <w:r>
        <w:rPr>
          <w:rFonts w:hint="eastAsia" w:ascii="仿宋" w:eastAsia="仿宋"/>
          <w:b/>
          <w:color w:val="auto"/>
          <w:spacing w:val="6"/>
          <w:sz w:val="30"/>
          <w:szCs w:val="30"/>
          <w:highlight w:val="none"/>
        </w:rPr>
        <w:t>（如有）：</w:t>
      </w:r>
    </w:p>
    <w:bookmarkEnd w:id="85"/>
    <w:p>
      <w:pPr>
        <w:spacing w:line="588" w:lineRule="exact"/>
        <w:ind w:firstLine="667"/>
        <w:jc w:val="center"/>
        <w:rPr>
          <w:rFonts w:hint="eastAsia" w:ascii="仿宋" w:eastAsia="仿宋"/>
          <w:b/>
          <w:color w:val="auto"/>
          <w:spacing w:val="6"/>
          <w:sz w:val="32"/>
          <w:szCs w:val="32"/>
          <w:highlight w:val="none"/>
        </w:rPr>
      </w:pPr>
    </w:p>
    <w:p>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hint="eastAsia" w:ascii="仿宋" w:eastAsia="仿宋"/>
          <w:b/>
          <w:color w:val="auto"/>
          <w:spacing w:val="6"/>
          <w:sz w:val="30"/>
          <w:szCs w:val="30"/>
          <w:highlight w:val="none"/>
        </w:rPr>
      </w:pP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pPr>
        <w:ind w:firstLine="480"/>
        <w:rPr>
          <w:rFonts w:hint="eastAsia" w:ascii="仿宋" w:eastAsia="仿宋" w:cs="仿宋_GB2312"/>
          <w:color w:val="auto"/>
          <w:sz w:val="24"/>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snapToGrid w:val="0"/>
        <w:spacing w:before="50" w:after="50"/>
        <w:jc w:val="left"/>
        <w:rPr>
          <w:rFonts w:hint="eastAsia" w:ascii="仿宋" w:eastAsia="仿宋"/>
          <w:b/>
          <w:color w:val="auto"/>
          <w:sz w:val="36"/>
          <w:szCs w:val="36"/>
          <w:highlight w:val="none"/>
        </w:rPr>
        <w:sectPr>
          <w:pgSz w:w="11907" w:h="16840"/>
          <w:pgMar w:top="1440" w:right="1463" w:bottom="1440" w:left="1803" w:header="851" w:footer="992" w:gutter="0"/>
          <w:cols w:space="0" w:num="1"/>
          <w:rtlGutter w:val="0"/>
          <w:docGrid w:type="lines" w:linePitch="320" w:charSpace="0"/>
        </w:sect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磋商一览表</w:t>
      </w:r>
    </w:p>
    <w:p>
      <w:pPr>
        <w:spacing w:line="400" w:lineRule="exact"/>
        <w:rPr>
          <w:rFonts w:hint="eastAsia" w:ascii="仿宋" w:eastAsia="仿宋"/>
          <w:color w:val="auto"/>
          <w:sz w:val="24"/>
          <w:highlight w:val="none"/>
        </w:rPr>
      </w:pPr>
      <w:r>
        <w:rPr>
          <w:rFonts w:hint="eastAsia" w:ascii="仿宋" w:eastAsia="仿宋"/>
          <w:color w:val="auto"/>
          <w:sz w:val="24"/>
          <w:highlight w:val="none"/>
        </w:rPr>
        <w:t>供应商名称：</w:t>
      </w:r>
      <w:r>
        <w:rPr>
          <w:rFonts w:hint="eastAsia" w:ascii="仿宋" w:eastAsia="仿宋"/>
          <w:color w:val="auto"/>
          <w:sz w:val="24"/>
          <w:highlight w:val="none"/>
          <w:u w:val="single"/>
        </w:rPr>
        <w:t xml:space="preserve">                                    </w:t>
      </w:r>
      <w:r>
        <w:rPr>
          <w:rFonts w:hint="eastAsia" w:ascii="仿宋" w:eastAsia="仿宋"/>
          <w:color w:val="auto"/>
          <w:sz w:val="24"/>
          <w:highlight w:val="none"/>
        </w:rPr>
        <w:t>供应商地址：</w:t>
      </w:r>
      <w:r>
        <w:rPr>
          <w:rFonts w:hint="eastAsia" w:ascii="仿宋" w:eastAsia="仿宋"/>
          <w:color w:val="auto"/>
          <w:sz w:val="24"/>
          <w:highlight w:val="none"/>
          <w:u w:val="single"/>
        </w:rPr>
        <w:t xml:space="preserve">                                    </w:t>
      </w:r>
    </w:p>
    <w:p>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30"/>
        <w:tblW w:w="14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653"/>
        <w:gridCol w:w="10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926" w:type="dxa"/>
            <w:vAlign w:val="center"/>
          </w:tcPr>
          <w:p>
            <w:pPr>
              <w:jc w:val="center"/>
              <w:rPr>
                <w:rFonts w:eastAsia="仿宋"/>
                <w:color w:val="auto"/>
                <w:sz w:val="24"/>
                <w:highlight w:val="none"/>
              </w:rPr>
            </w:pPr>
            <w:r>
              <w:rPr>
                <w:rFonts w:hint="eastAsia" w:eastAsia="仿宋"/>
                <w:color w:val="auto"/>
                <w:sz w:val="24"/>
                <w:highlight w:val="none"/>
              </w:rPr>
              <w:t>标项名称</w:t>
            </w:r>
          </w:p>
        </w:tc>
        <w:tc>
          <w:tcPr>
            <w:tcW w:w="12233" w:type="dxa"/>
            <w:gridSpan w:val="2"/>
            <w:vAlign w:val="center"/>
          </w:tcPr>
          <w:p>
            <w:pPr>
              <w:jc w:val="center"/>
              <w:rPr>
                <w:rFonts w:eastAsia="仿宋"/>
                <w:color w:val="auto"/>
                <w:sz w:val="24"/>
                <w:highlight w:val="none"/>
              </w:rPr>
            </w:pPr>
            <w:r>
              <w:rPr>
                <w:rFonts w:hint="eastAsia" w:eastAsia="仿宋"/>
                <w:color w:val="auto"/>
                <w:sz w:val="24"/>
                <w:highlight w:val="none"/>
              </w:rPr>
              <w:t>投标</w:t>
            </w:r>
            <w:r>
              <w:rPr>
                <w:rFonts w:hint="eastAsia" w:eastAsia="仿宋"/>
                <w:color w:val="auto"/>
                <w:sz w:val="24"/>
                <w:highlight w:val="none"/>
                <w:lang w:eastAsia="zh-CN"/>
              </w:rPr>
              <w:t>折扣率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折扣</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1926" w:type="dxa"/>
            <w:vMerge w:val="restart"/>
            <w:vAlign w:val="center"/>
          </w:tcPr>
          <w:p>
            <w:pPr>
              <w:jc w:val="center"/>
              <w:rPr>
                <w:rFonts w:eastAsia="仿宋"/>
                <w:color w:val="auto"/>
                <w:sz w:val="24"/>
                <w:highlight w:val="none"/>
              </w:rPr>
            </w:pPr>
            <w:r>
              <w:rPr>
                <w:rFonts w:hint="eastAsia" w:eastAsia="仿宋"/>
                <w:color w:val="auto"/>
                <w:sz w:val="24"/>
                <w:highlight w:val="none"/>
              </w:rPr>
              <w:t>标项（一/二</w:t>
            </w:r>
            <w:r>
              <w:rPr>
                <w:rFonts w:hint="eastAsia" w:eastAsia="仿宋"/>
                <w:color w:val="auto"/>
                <w:sz w:val="24"/>
                <w:highlight w:val="none"/>
                <w:lang w:val="en-US" w:eastAsia="zh-CN"/>
              </w:rPr>
              <w:t>/三</w:t>
            </w:r>
            <w:r>
              <w:rPr>
                <w:rFonts w:hint="eastAsia" w:eastAsia="仿宋"/>
                <w:color w:val="auto"/>
                <w:sz w:val="24"/>
                <w:highlight w:val="none"/>
              </w:rPr>
              <w:t>）</w:t>
            </w:r>
          </w:p>
          <w:p>
            <w:pPr>
              <w:jc w:val="center"/>
              <w:rPr>
                <w:rFonts w:eastAsia="仿宋"/>
                <w:color w:val="auto"/>
                <w:sz w:val="24"/>
                <w:highlight w:val="none"/>
              </w:rPr>
            </w:pPr>
          </w:p>
        </w:tc>
        <w:tc>
          <w:tcPr>
            <w:tcW w:w="1653" w:type="dxa"/>
            <w:vAlign w:val="center"/>
          </w:tcPr>
          <w:p>
            <w:pPr>
              <w:jc w:val="center"/>
              <w:rPr>
                <w:rFonts w:eastAsia="仿宋"/>
                <w:color w:val="auto"/>
                <w:sz w:val="24"/>
                <w:highlight w:val="none"/>
              </w:rPr>
            </w:pPr>
            <w:r>
              <w:rPr>
                <w:rFonts w:hint="eastAsia" w:eastAsia="仿宋"/>
                <w:color w:val="auto"/>
                <w:sz w:val="24"/>
                <w:highlight w:val="none"/>
              </w:rPr>
              <w:t>小写：</w:t>
            </w:r>
          </w:p>
        </w:tc>
        <w:tc>
          <w:tcPr>
            <w:tcW w:w="10580" w:type="dxa"/>
            <w:vAlign w:val="center"/>
          </w:tcPr>
          <w:p>
            <w:pPr>
              <w:rPr>
                <w:rFonts w:eastAsia="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926" w:type="dxa"/>
            <w:vMerge w:val="continue"/>
            <w:vAlign w:val="center"/>
          </w:tcPr>
          <w:p>
            <w:pPr>
              <w:jc w:val="center"/>
              <w:rPr>
                <w:rFonts w:eastAsia="仿宋"/>
                <w:color w:val="auto"/>
                <w:sz w:val="24"/>
                <w:highlight w:val="none"/>
              </w:rPr>
            </w:pPr>
          </w:p>
        </w:tc>
        <w:tc>
          <w:tcPr>
            <w:tcW w:w="1653" w:type="dxa"/>
            <w:vAlign w:val="center"/>
          </w:tcPr>
          <w:p>
            <w:pPr>
              <w:jc w:val="center"/>
              <w:rPr>
                <w:rFonts w:eastAsia="仿宋"/>
                <w:color w:val="auto"/>
                <w:sz w:val="24"/>
                <w:highlight w:val="none"/>
              </w:rPr>
            </w:pPr>
            <w:r>
              <w:rPr>
                <w:rFonts w:hint="eastAsia" w:eastAsia="仿宋"/>
                <w:color w:val="auto"/>
                <w:sz w:val="24"/>
                <w:highlight w:val="none"/>
              </w:rPr>
              <w:t>大写：</w:t>
            </w:r>
          </w:p>
        </w:tc>
        <w:tc>
          <w:tcPr>
            <w:tcW w:w="10580" w:type="dxa"/>
            <w:vAlign w:val="center"/>
          </w:tcPr>
          <w:p>
            <w:pPr>
              <w:rPr>
                <w:rFonts w:eastAsia="仿宋"/>
                <w:color w:val="auto"/>
                <w:sz w:val="24"/>
                <w:highlight w:val="none"/>
              </w:rPr>
            </w:pPr>
          </w:p>
        </w:tc>
      </w:tr>
    </w:tbl>
    <w:p>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1.报价一经涂改，应在涂改处加盖单位公章或者由法定代表人或其授权代表签字或盖章，否则其磋商作无效磋商处理。</w:t>
      </w:r>
    </w:p>
    <w:p>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3.有关本项目的磋商及项目实施所涉及的一切费用均计入磋商报价。</w:t>
      </w:r>
    </w:p>
    <w:p>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特别提示：采购机构将在成交公告中公布成交供应商的《磋商一览表》，接受社会监督。</w:t>
      </w:r>
    </w:p>
    <w:p>
      <w:pPr>
        <w:ind w:firstLine="482" w:firstLineChars="200"/>
        <w:rPr>
          <w:rFonts w:hint="eastAsia" w:ascii="仿宋" w:eastAsia="仿宋"/>
          <w:b/>
          <w:color w:val="auto"/>
          <w:kern w:val="0"/>
          <w:sz w:val="24"/>
          <w:highlight w:val="none"/>
          <w:u w:val="single"/>
          <w:lang w:val="zh-CN"/>
        </w:rPr>
      </w:pPr>
    </w:p>
    <w:p>
      <w:pPr>
        <w:snapToGrid w:val="0"/>
        <w:ind w:firstLine="480" w:firstLineChars="200"/>
        <w:jc w:val="left"/>
        <w:rPr>
          <w:rFonts w:hint="eastAsia" w:ascii="仿宋" w:eastAsia="仿宋"/>
          <w:color w:val="auto"/>
          <w:sz w:val="24"/>
          <w:highlight w:val="none"/>
        </w:rPr>
      </w:pPr>
      <w:bookmarkStart w:id="86" w:name="_Toc64369826"/>
      <w:r>
        <w:rPr>
          <w:rFonts w:hint="eastAsia" w:ascii="仿宋" w:eastAsia="仿宋"/>
          <w:color w:val="auto"/>
          <w:sz w:val="24"/>
          <w:highlight w:val="none"/>
        </w:rPr>
        <w:t xml:space="preserve">法定代表人或其授权代表签字（或盖章）：            </w:t>
      </w:r>
      <w:bookmarkEnd w:id="86"/>
    </w:p>
    <w:p>
      <w:pPr>
        <w:spacing w:line="360" w:lineRule="auto"/>
        <w:jc w:val="left"/>
        <w:outlineLvl w:val="0"/>
        <w:rPr>
          <w:rFonts w:hint="eastAsia" w:ascii="仿宋" w:eastAsia="仿宋"/>
          <w:color w:val="auto"/>
          <w:sz w:val="24"/>
          <w:highlight w:val="none"/>
        </w:rPr>
      </w:pPr>
    </w:p>
    <w:p>
      <w:pPr>
        <w:snapToGrid w:val="0"/>
        <w:ind w:firstLine="480" w:firstLineChars="200"/>
        <w:jc w:val="left"/>
        <w:rPr>
          <w:rFonts w:hint="eastAsia" w:ascii="仿宋" w:eastAsia="仿宋"/>
          <w:color w:val="auto"/>
          <w:sz w:val="24"/>
          <w:highlight w:val="none"/>
        </w:rPr>
      </w:pPr>
      <w:bookmarkStart w:id="87" w:name="_Toc64369827"/>
      <w:r>
        <w:rPr>
          <w:rFonts w:hint="eastAsia" w:ascii="仿宋" w:eastAsia="仿宋"/>
          <w:color w:val="auto"/>
          <w:sz w:val="24"/>
          <w:highlight w:val="none"/>
        </w:rPr>
        <w:t>日期：    年   月   日</w:t>
      </w:r>
      <w:bookmarkEnd w:id="87"/>
    </w:p>
    <w:p>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pPr>
        <w:pStyle w:val="2"/>
        <w:keepNext/>
        <w:keepLines/>
        <w:pageBreakBefore w:val="0"/>
        <w:widowControl w:val="0"/>
        <w:numPr>
          <w:ilvl w:val="0"/>
          <w:numId w:val="0"/>
        </w:numPr>
        <w:suppressLineNumbers w:val="0"/>
        <w:suppressAutoHyphens w:val="0"/>
        <w:spacing w:line="578" w:lineRule="auto"/>
        <w:ind w:left="0" w:firstLine="0"/>
        <w:jc w:val="center"/>
        <w:rPr>
          <w:rFonts w:hint="eastAsia" w:ascii="仿宋" w:eastAsia="仿宋"/>
          <w:color w:val="auto"/>
          <w:highlight w:val="none"/>
        </w:rPr>
      </w:pPr>
      <w:bookmarkStart w:id="88" w:name="_Toc643610538"/>
      <w:bookmarkStart w:id="89" w:name="_Toc29888"/>
      <w:r>
        <w:rPr>
          <w:rFonts w:hint="eastAsia" w:ascii="仿宋" w:eastAsia="仿宋"/>
          <w:color w:val="auto"/>
          <w:highlight w:val="none"/>
        </w:rPr>
        <w:t>第七章  询问、质疑及投诉</w:t>
      </w:r>
      <w:bookmarkEnd w:id="88"/>
      <w:bookmarkEnd w:id="89"/>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spacing w:line="415" w:lineRule="auto"/>
        <w:jc w:val="center"/>
        <w:rPr>
          <w:rFonts w:hint="eastAsia" w:ascii="仿宋"/>
          <w:color w:val="auto"/>
          <w:highlight w:val="none"/>
        </w:rPr>
      </w:pPr>
      <w:bookmarkStart w:id="90" w:name="_Toc29656"/>
      <w:bookmarkStart w:id="91" w:name="_Toc643610539"/>
      <w:r>
        <w:rPr>
          <w:rFonts w:hint="eastAsia" w:ascii="仿宋"/>
          <w:color w:val="auto"/>
          <w:highlight w:val="none"/>
        </w:rPr>
        <w:t>一、供应商询问</w:t>
      </w:r>
      <w:bookmarkEnd w:id="90"/>
      <w:bookmarkEnd w:id="91"/>
    </w:p>
    <w:p>
      <w:pPr>
        <w:pStyle w:val="19"/>
        <w:spacing w:line="360" w:lineRule="auto"/>
        <w:ind w:left="0"/>
        <w:rPr>
          <w:rFonts w:hint="eastAsia" w:ascii="仿宋" w:eastAsia="仿宋"/>
          <w:color w:val="auto"/>
          <w:sz w:val="24"/>
          <w:highlight w:val="none"/>
        </w:rPr>
      </w:pPr>
      <w:bookmarkStart w:id="92" w:name="_Toc643610540"/>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pPr>
        <w:pStyle w:val="19"/>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pPr>
        <w:pStyle w:val="3"/>
        <w:spacing w:line="415" w:lineRule="auto"/>
        <w:jc w:val="center"/>
        <w:rPr>
          <w:rFonts w:hint="eastAsia" w:ascii="仿宋"/>
          <w:color w:val="auto"/>
          <w:highlight w:val="none"/>
        </w:rPr>
      </w:pPr>
      <w:bookmarkStart w:id="93" w:name="_Toc28199"/>
      <w:r>
        <w:rPr>
          <w:rFonts w:hint="eastAsia" w:ascii="仿宋"/>
          <w:color w:val="auto"/>
          <w:highlight w:val="none"/>
        </w:rPr>
        <w:t>二、供应商质疑</w:t>
      </w:r>
      <w:bookmarkEnd w:id="92"/>
      <w:bookmarkEnd w:id="93"/>
    </w:p>
    <w:p>
      <w:pPr>
        <w:pStyle w:val="19"/>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pPr>
        <w:pStyle w:val="19"/>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pPr>
        <w:pStyle w:val="19"/>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磋商文件提出质疑的，质疑期限为供应商获得磋商文件之日或者招标公告期限届满之日起计算，但磋商文件在招标公告期限届满之日后获得的，应当自招标公告截止之日起计算，且应当在磋商响应截止时间之前提出。</w:t>
      </w:r>
    </w:p>
    <w:p>
      <w:pPr>
        <w:pStyle w:val="19"/>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r>
        <w:rPr>
          <w:rFonts w:hint="eastAsia" w:ascii="仿宋" w:eastAsia="仿宋"/>
          <w:b/>
          <w:bCs/>
          <w:color w:val="auto"/>
          <w:sz w:val="24"/>
          <w:highlight w:val="none"/>
        </w:rPr>
        <w:t>供应商的法定代表人或其授权代表或个体工商户经营者未参加磋商会议的，事后不得对采购相关人员、磋商过程和磋商结果提出质疑。</w:t>
      </w:r>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pPr>
        <w:pStyle w:val="19"/>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pPr>
        <w:pStyle w:val="19"/>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pPr>
        <w:pStyle w:val="19"/>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pPr>
        <w:pStyle w:val="19"/>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采购机构将在收到供应商的书面质疑后七个工作日内作出答复，但答复的内容不得涉及商业秘密。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形式通知质疑供应商和其他与质疑处理结果有利害关系的政府采购当事人。</w:t>
      </w:r>
    </w:p>
    <w:p>
      <w:pPr>
        <w:pStyle w:val="19"/>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pPr>
        <w:pStyle w:val="19"/>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pPr>
        <w:pStyle w:val="3"/>
        <w:keepNext/>
        <w:keepLines/>
        <w:pageBreakBefore w:val="0"/>
        <w:widowControl w:val="0"/>
        <w:suppressLineNumbers w:val="0"/>
        <w:suppressAutoHyphens w:val="0"/>
        <w:spacing w:line="415" w:lineRule="auto"/>
        <w:rPr>
          <w:rFonts w:hint="eastAsia" w:ascii="仿宋"/>
          <w:color w:val="auto"/>
          <w:highlight w:val="none"/>
        </w:rPr>
      </w:pPr>
      <w:bookmarkStart w:id="94" w:name="_Toc643610541"/>
      <w:bookmarkStart w:id="95" w:name="_Toc16101"/>
      <w:r>
        <w:rPr>
          <w:rFonts w:hint="eastAsia" w:ascii="仿宋"/>
          <w:color w:val="auto"/>
          <w:highlight w:val="none"/>
        </w:rPr>
        <w:t>三、供应商投诉</w:t>
      </w:r>
      <w:bookmarkEnd w:id="94"/>
      <w:bookmarkEnd w:id="95"/>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磋商文件获取日期：</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color w:val="auto"/>
          <w:sz w:val="24"/>
          <w:szCs w:val="24"/>
          <w:highlight w:val="none"/>
          <w:u w:val="dotted"/>
        </w:rPr>
      </w:pP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磋商供应商签章：                      </w:t>
      </w: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hint="eastAsia" w:ascii="仿宋" w:eastAsia="仿宋" w:cs="仿宋"/>
          <w:color w:val="auto"/>
          <w:sz w:val="24"/>
          <w:szCs w:val="24"/>
          <w:highlight w:val="none"/>
        </w:rPr>
      </w:pPr>
    </w:p>
    <w:p>
      <w:pPr>
        <w:pStyle w:val="15"/>
        <w:spacing w:line="360" w:lineRule="auto"/>
        <w:ind w:left="0" w:leftChars="0"/>
        <w:jc w:val="center"/>
        <w:rPr>
          <w:rFonts w:hint="eastAsia" w:ascii="仿宋" w:eastAsia="仿宋"/>
          <w:color w:val="auto"/>
          <w:sz w:val="24"/>
          <w:highlight w:val="none"/>
        </w:rPr>
      </w:pPr>
    </w:p>
    <w:sectPr>
      <w:footerReference r:id="rId5" w:type="default"/>
      <w:footerReference r:id="rId6" w:type="even"/>
      <w:pgSz w:w="11906" w:h="16838"/>
      <w:pgMar w:top="1440" w:right="1406" w:bottom="1246" w:left="1758"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3"/>
      </w:rPr>
    </w:pPr>
    <w:r>
      <w:rPr>
        <w:rStyle w:val="33"/>
      </w:rPr>
      <w:fldChar w:fldCharType="begin"/>
    </w:r>
    <w:r>
      <w:rPr>
        <w:rStyle w:val="33"/>
      </w:rPr>
      <w:instrText xml:space="preserve">PAGE  </w:instrText>
    </w:r>
    <w:r>
      <w:fldChar w:fldCharType="separate"/>
    </w:r>
    <w:r>
      <w:t xml:space="preserve"> </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7DF01"/>
    <w:multiLevelType w:val="multilevel"/>
    <w:tmpl w:val="98E7DF01"/>
    <w:lvl w:ilvl="0" w:tentative="0">
      <w:start w:val="1"/>
      <w:numFmt w:val="decimal"/>
      <w:pStyle w:val="2"/>
      <w:suff w:val="space"/>
      <w:lvlText w:val="第 %1 章"/>
      <w:lvlJc w:val="left"/>
      <w:pPr>
        <w:tabs>
          <w:tab w:val="left" w:pos="0"/>
        </w:tabs>
        <w:ind w:left="425" w:hanging="425"/>
      </w:pPr>
      <w:rPr>
        <w:rFonts w:hint="eastAsia"/>
      </w:rPr>
    </w:lvl>
    <w:lvl w:ilvl="1" w:tentative="0">
      <w:start w:val="1"/>
      <w:numFmt w:val="decimal"/>
      <w:lvlText w:val="%1.%2 "/>
      <w:lvlJc w:val="left"/>
      <w:pPr>
        <w:tabs>
          <w:tab w:val="left" w:pos="0"/>
        </w:tabs>
        <w:ind w:left="992" w:hanging="567"/>
      </w:pPr>
      <w:rPr>
        <w:rFonts w:hint="eastAsia"/>
      </w:rPr>
    </w:lvl>
    <w:lvl w:ilvl="2" w:tentative="0">
      <w:start w:val="1"/>
      <w:numFmt w:val="decimal"/>
      <w:lvlText w:val="〔%3〕、"/>
      <w:lvlJc w:val="left"/>
      <w:pPr>
        <w:tabs>
          <w:tab w:val="left" w:pos="0"/>
        </w:tabs>
        <w:ind w:left="1418" w:hanging="567"/>
      </w:pPr>
      <w:rPr>
        <w:rFonts w:hint="eastAsia"/>
      </w:rPr>
    </w:lvl>
    <w:lvl w:ilvl="3" w:tentative="0">
      <w:start w:val="1"/>
      <w:numFmt w:val="none"/>
      <w:lvlText w:val=""/>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A947B38"/>
    <w:multiLevelType w:val="multilevel"/>
    <w:tmpl w:val="CA947B38"/>
    <w:lvl w:ilvl="0" w:tentative="0">
      <w:start w:val="1"/>
      <w:numFmt w:val="decimal"/>
      <w:lvlText w:val="%1."/>
      <w:legacy w:legacy="1" w:legacySpace="0" w:legacyIndent="425"/>
      <w:lvlJc w:val="left"/>
      <w:pPr>
        <w:ind w:left="425" w:hanging="425"/>
      </w:pPr>
    </w:lvl>
    <w:lvl w:ilvl="1" w:tentative="0">
      <w:start w:val="1"/>
      <w:numFmt w:val="decimal"/>
      <w:pStyle w:val="5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E9599FA9"/>
    <w:multiLevelType w:val="multilevel"/>
    <w:tmpl w:val="E9599FA9"/>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0"/>
  </w:num>
  <w:num w:numId="2">
    <w:abstractNumId w:val="2"/>
  </w:num>
  <w:num w:numId="3">
    <w:abstractNumId w:val="1"/>
  </w:num>
  <w:num w:numId="4">
    <w:abstractNumId w:val="7"/>
  </w:num>
  <w:num w:numId="5">
    <w:abstractNumId w:val="3"/>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HorizontalSpacing w:val="105"/>
  <w:drawingGridVerticalSpacing w:val="160"/>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ZmJmYmM3ZmI4YzdhZjM2MjExOGEwYWVlNDI0MWMifQ=="/>
  </w:docVars>
  <w:rsids>
    <w:rsidRoot w:val="00000000"/>
    <w:rsid w:val="07B07701"/>
    <w:rsid w:val="09504035"/>
    <w:rsid w:val="0A286F49"/>
    <w:rsid w:val="0DDE5FFF"/>
    <w:rsid w:val="0E25700A"/>
    <w:rsid w:val="13AC3DE3"/>
    <w:rsid w:val="13AC75C2"/>
    <w:rsid w:val="143E33B3"/>
    <w:rsid w:val="19091F82"/>
    <w:rsid w:val="1A8E38DF"/>
    <w:rsid w:val="1B48696A"/>
    <w:rsid w:val="1F3743BD"/>
    <w:rsid w:val="1FAB3EA0"/>
    <w:rsid w:val="20D14BEF"/>
    <w:rsid w:val="246C4A50"/>
    <w:rsid w:val="277B7E10"/>
    <w:rsid w:val="2EB229A3"/>
    <w:rsid w:val="2EF24844"/>
    <w:rsid w:val="31ED365B"/>
    <w:rsid w:val="341046F8"/>
    <w:rsid w:val="369F1C64"/>
    <w:rsid w:val="3B690A78"/>
    <w:rsid w:val="472E262A"/>
    <w:rsid w:val="4D18517F"/>
    <w:rsid w:val="4E9E3D32"/>
    <w:rsid w:val="50A25ADF"/>
    <w:rsid w:val="50B74AFE"/>
    <w:rsid w:val="51B8338E"/>
    <w:rsid w:val="56A71923"/>
    <w:rsid w:val="5DF9072B"/>
    <w:rsid w:val="5F833B84"/>
    <w:rsid w:val="60723647"/>
    <w:rsid w:val="638849A7"/>
    <w:rsid w:val="646C6EB7"/>
    <w:rsid w:val="69C92F8E"/>
    <w:rsid w:val="6AC249BF"/>
    <w:rsid w:val="6B203294"/>
    <w:rsid w:val="6E956668"/>
    <w:rsid w:val="763209AA"/>
    <w:rsid w:val="76B957C7"/>
    <w:rsid w:val="791A5320"/>
    <w:rsid w:val="BFEFC6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autoRedefine/>
    <w:qFormat/>
    <w:uiPriority w:val="0"/>
    <w:pPr>
      <w:keepNext/>
      <w:keepLines/>
      <w:numPr>
        <w:ilvl w:val="0"/>
        <w:numId w:val="1"/>
      </w:numPr>
      <w:spacing w:before="340" w:after="330" w:line="578" w:lineRule="auto"/>
      <w:outlineLvl w:val="0"/>
    </w:pPr>
    <w:rPr>
      <w:rFonts w:ascii="Times New Roman" w:hAnsi="Times New Roman" w:eastAsia="仿宋_GB2312" w:cs="Times New Roman"/>
      <w:b/>
      <w:kern w:val="44"/>
      <w:sz w:val="28"/>
      <w:szCs w:val="20"/>
      <w:lang w:val="en-US" w:eastAsia="zh-CN" w:bidi="ar-SA"/>
    </w:rPr>
  </w:style>
  <w:style w:type="paragraph" w:styleId="3">
    <w:name w:val="heading 2"/>
    <w:next w:val="1"/>
    <w:qFormat/>
    <w:uiPriority w:val="0"/>
    <w:pPr>
      <w:keepNext/>
      <w:keepLines/>
      <w:widowControl w:val="0"/>
      <w:spacing w:before="260" w:after="260" w:line="415" w:lineRule="auto"/>
      <w:jc w:val="center"/>
      <w:outlineLvl w:val="1"/>
    </w:pPr>
    <w:rPr>
      <w:rFonts w:ascii="Arial" w:hAnsi="Arial" w:eastAsia="仿宋" w:cs="Times New Roman"/>
      <w:b/>
      <w:kern w:val="2"/>
      <w:sz w:val="32"/>
      <w:szCs w:val="20"/>
      <w:lang w:val="en-US" w:eastAsia="zh-CN" w:bidi="ar-SA"/>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32">
    <w:name w:val="Default Paragraph Font"/>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5">
    <w:name w:val="List Number 2"/>
    <w:basedOn w:val="1"/>
    <w:autoRedefine/>
    <w:qFormat/>
    <w:uiPriority w:val="0"/>
    <w:pPr>
      <w:tabs>
        <w:tab w:val="left" w:pos="780"/>
      </w:tabs>
      <w:ind w:left="780" w:hanging="360"/>
    </w:pPr>
  </w:style>
  <w:style w:type="paragraph" w:styleId="6">
    <w:name w:val="List Number"/>
    <w:basedOn w:val="1"/>
    <w:autoRedefine/>
    <w:qFormat/>
    <w:uiPriority w:val="0"/>
    <w:pPr>
      <w:tabs>
        <w:tab w:val="left" w:pos="360"/>
      </w:tabs>
      <w:ind w:left="360" w:hanging="360"/>
    </w:pPr>
  </w:style>
  <w:style w:type="paragraph" w:styleId="7">
    <w:name w:val="Normal Indent"/>
    <w:next w:val="8"/>
    <w:autoRedefine/>
    <w:qFormat/>
    <w:uiPriority w:val="0"/>
    <w:pPr>
      <w:widowControl w:val="0"/>
      <w:ind w:firstLine="420"/>
      <w:jc w:val="both"/>
    </w:pPr>
    <w:rPr>
      <w:rFonts w:ascii="Calibri" w:hAnsi="Calibri" w:eastAsia="宋体" w:cs="Times New Roman"/>
      <w:kern w:val="2"/>
      <w:sz w:val="21"/>
      <w:szCs w:val="20"/>
      <w:lang w:val="en-US" w:eastAsia="zh-CN" w:bidi="ar-SA"/>
    </w:rPr>
  </w:style>
  <w:style w:type="paragraph" w:customStyle="1" w:styleId="8">
    <w:name w:val="p0"/>
    <w:basedOn w:val="1"/>
    <w:autoRedefine/>
    <w:qFormat/>
    <w:uiPriority w:val="0"/>
    <w:pPr>
      <w:widowControl/>
    </w:pPr>
    <w:rPr>
      <w:kern w:val="0"/>
      <w:szCs w:val="21"/>
    </w:rPr>
  </w:style>
  <w:style w:type="paragraph" w:styleId="9">
    <w:name w:val="caption"/>
    <w:next w:val="1"/>
    <w:autoRedefine/>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next w:val="12"/>
    <w:autoRedefine/>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customStyle="1" w:styleId="12">
    <w:name w:val="列出段落1"/>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styleId="13">
    <w:name w:val="Body Text"/>
    <w:basedOn w:val="1"/>
    <w:next w:val="14"/>
    <w:autoRedefine/>
    <w:qFormat/>
    <w:uiPriority w:val="0"/>
    <w:pPr>
      <w:spacing w:line="360" w:lineRule="auto"/>
    </w:pPr>
    <w:rPr>
      <w:rFonts w:eastAsia="仿宋_GB2312"/>
      <w:sz w:val="28"/>
    </w:rPr>
  </w:style>
  <w:style w:type="paragraph" w:styleId="14">
    <w:name w:val="Body Text First Indent"/>
    <w:basedOn w:val="13"/>
    <w:next w:val="1"/>
    <w:autoRedefine/>
    <w:qFormat/>
    <w:uiPriority w:val="99"/>
    <w:pPr>
      <w:ind w:firstLine="420"/>
    </w:pPr>
    <w:rPr>
      <w:rFonts w:hAnsi="Times New Roman" w:cs="Times New Roman"/>
      <w:szCs w:val="20"/>
    </w:rPr>
  </w:style>
  <w:style w:type="paragraph" w:styleId="15">
    <w:name w:val="Body Text Indent"/>
    <w:basedOn w:val="1"/>
    <w:qFormat/>
    <w:uiPriority w:val="0"/>
    <w:pPr>
      <w:spacing w:after="120"/>
      <w:ind w:left="200" w:leftChars="200"/>
    </w:pPr>
  </w:style>
  <w:style w:type="paragraph" w:styleId="16">
    <w:name w:val="List Number 3"/>
    <w:basedOn w:val="1"/>
    <w:autoRedefine/>
    <w:qFormat/>
    <w:uiPriority w:val="0"/>
    <w:pPr>
      <w:tabs>
        <w:tab w:val="left" w:pos="1200"/>
      </w:tabs>
      <w:ind w:left="1200" w:hanging="360"/>
    </w:pPr>
  </w:style>
  <w:style w:type="paragraph" w:styleId="17">
    <w:name w:val="toc 5"/>
    <w:basedOn w:val="1"/>
    <w:next w:val="1"/>
    <w:autoRedefine/>
    <w:qFormat/>
    <w:uiPriority w:val="0"/>
    <w:pPr>
      <w:ind w:left="1680"/>
    </w:pPr>
  </w:style>
  <w:style w:type="paragraph" w:styleId="18">
    <w:name w:val="toc 3"/>
    <w:basedOn w:val="1"/>
    <w:next w:val="1"/>
    <w:autoRedefine/>
    <w:qFormat/>
    <w:uiPriority w:val="0"/>
    <w:pPr>
      <w:ind w:left="840"/>
    </w:pPr>
  </w:style>
  <w:style w:type="paragraph" w:styleId="19">
    <w:name w:val="Plain Text"/>
    <w:basedOn w:val="1"/>
    <w:next w:val="20"/>
    <w:autoRedefine/>
    <w:qFormat/>
    <w:uiPriority w:val="0"/>
    <w:rPr>
      <w:rFonts w:ascii="宋体"/>
      <w:szCs w:val="20"/>
    </w:rPr>
  </w:style>
  <w:style w:type="paragraph" w:styleId="20">
    <w:name w:val="toc 2"/>
    <w:basedOn w:val="1"/>
    <w:next w:val="1"/>
    <w:autoRedefine/>
    <w:qFormat/>
    <w:uiPriority w:val="0"/>
    <w:pPr>
      <w:ind w:left="420"/>
    </w:pPr>
  </w:style>
  <w:style w:type="paragraph" w:styleId="21">
    <w:name w:val="Date"/>
    <w:next w:val="1"/>
    <w:autoRedefine/>
    <w:qFormat/>
    <w:uiPriority w:val="0"/>
    <w:pPr>
      <w:widowControl w:val="0"/>
      <w:spacing w:line="240" w:lineRule="auto"/>
      <w:ind w:left="2500" w:leftChars="2500"/>
      <w:jc w:val="both"/>
    </w:pPr>
    <w:rPr>
      <w:rFonts w:ascii="Times New Roman" w:hAnsi="Times New Roman" w:eastAsia="宋体" w:cs="Times New Roman"/>
      <w:kern w:val="2"/>
      <w:sz w:val="21"/>
      <w:szCs w:val="20"/>
      <w:lang w:val="en-US" w:eastAsia="zh-CN" w:bidi="ar-SA"/>
    </w:rPr>
  </w:style>
  <w:style w:type="paragraph" w:styleId="22">
    <w:name w:val="Body Text Indent 2"/>
    <w:basedOn w:val="1"/>
    <w:autoRedefine/>
    <w:qFormat/>
    <w:uiPriority w:val="0"/>
    <w:pPr>
      <w:spacing w:after="120" w:line="480" w:lineRule="auto"/>
      <w:ind w:left="200" w:leftChars="200"/>
    </w:pPr>
  </w:style>
  <w:style w:type="paragraph" w:styleId="23">
    <w:name w:val="Balloon Text"/>
    <w:basedOn w:val="1"/>
    <w:autoRedefine/>
    <w:qFormat/>
    <w:uiPriority w:val="0"/>
    <w:rPr>
      <w:sz w:val="18"/>
      <w:szCs w:val="18"/>
    </w:rPr>
  </w:style>
  <w:style w:type="paragraph" w:styleId="24">
    <w:name w:val="footer"/>
    <w:basedOn w:val="1"/>
    <w:autoRedefine/>
    <w:qFormat/>
    <w:uiPriority w:val="0"/>
    <w:pPr>
      <w:tabs>
        <w:tab w:val="center" w:pos="4153"/>
        <w:tab w:val="right" w:pos="8306"/>
      </w:tabs>
      <w:snapToGrid w:val="0"/>
      <w:jc w:val="left"/>
    </w:pPr>
    <w:rPr>
      <w:sz w:val="18"/>
      <w:szCs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toc 4"/>
    <w:basedOn w:val="1"/>
    <w:next w:val="1"/>
    <w:autoRedefine/>
    <w:qFormat/>
    <w:uiPriority w:val="0"/>
    <w:pPr>
      <w:ind w:left="1260"/>
    </w:pPr>
  </w:style>
  <w:style w:type="paragraph" w:styleId="28">
    <w:name w:val="Body Text Indent 3"/>
    <w:basedOn w:val="1"/>
    <w:qFormat/>
    <w:uiPriority w:val="0"/>
    <w:pPr>
      <w:spacing w:after="120"/>
      <w:ind w:left="200" w:leftChars="200"/>
    </w:pPr>
    <w:rPr>
      <w:sz w:val="16"/>
      <w:szCs w:val="16"/>
    </w:rPr>
  </w:style>
  <w:style w:type="paragraph" w:styleId="29">
    <w:name w:val="Body Text 2"/>
    <w:basedOn w:val="1"/>
    <w:autoRedefine/>
    <w:qFormat/>
    <w:uiPriority w:val="0"/>
    <w:pPr>
      <w:widowControl/>
      <w:spacing w:after="50" w:afterLines="50" w:line="216" w:lineRule="auto"/>
      <w:jc w:val="center"/>
    </w:pPr>
    <w:rPr>
      <w:rFonts w:ascii="隶书" w:eastAsia="隶书"/>
      <w:bCs/>
      <w:kern w:val="0"/>
      <w:sz w:val="72"/>
      <w:szCs w:val="8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autoRedefine/>
    <w:qFormat/>
    <w:uiPriority w:val="0"/>
  </w:style>
  <w:style w:type="character" w:styleId="34">
    <w:name w:val="FollowedHyperlink"/>
    <w:basedOn w:val="32"/>
    <w:autoRedefine/>
    <w:qFormat/>
    <w:uiPriority w:val="0"/>
    <w:rPr>
      <w:color w:val="800080"/>
      <w:u w:val="single"/>
    </w:rPr>
  </w:style>
  <w:style w:type="character" w:styleId="35">
    <w:name w:val="Hyperlink"/>
    <w:autoRedefine/>
    <w:qFormat/>
    <w:uiPriority w:val="0"/>
    <w:rPr>
      <w:color w:val="0000FF"/>
      <w:u w:val="single"/>
    </w:rPr>
  </w:style>
  <w:style w:type="paragraph" w:customStyle="1" w:styleId="36">
    <w:name w:val="正文段"/>
    <w:basedOn w:val="1"/>
    <w:qFormat/>
    <w:uiPriority w:val="0"/>
    <w:pPr>
      <w:widowControl/>
      <w:snapToGrid w:val="0"/>
      <w:spacing w:after="50" w:afterLines="50"/>
      <w:ind w:firstLine="200" w:firstLineChars="200"/>
    </w:pPr>
    <w:rPr>
      <w:kern w:val="0"/>
      <w:sz w:val="24"/>
      <w:szCs w:val="20"/>
    </w:rPr>
  </w:style>
  <w:style w:type="paragraph" w:customStyle="1" w:styleId="37">
    <w:name w:val="正文2"/>
    <w:basedOn w:val="1"/>
    <w:qFormat/>
    <w:uiPriority w:val="0"/>
    <w:pPr>
      <w:spacing w:before="156" w:line="360" w:lineRule="auto"/>
      <w:ind w:firstLine="200" w:firstLineChars="200"/>
    </w:pPr>
    <w:rPr>
      <w:sz w:val="24"/>
      <w:szCs w:val="20"/>
    </w:rPr>
  </w:style>
  <w:style w:type="paragraph" w:customStyle="1" w:styleId="38">
    <w:name w:val="表正文"/>
    <w:basedOn w:val="1"/>
    <w:next w:val="19"/>
    <w:autoRedefine/>
    <w:qFormat/>
    <w:uiPriority w:val="0"/>
    <w:rPr>
      <w:rFonts w:ascii="宋体"/>
      <w:szCs w:val="20"/>
    </w:rPr>
  </w:style>
  <w:style w:type="paragraph" w:styleId="39">
    <w:name w:val="List Paragraph"/>
    <w:basedOn w:val="1"/>
    <w:autoRedefine/>
    <w:qFormat/>
    <w:uiPriority w:val="0"/>
    <w:pPr>
      <w:ind w:firstLine="200" w:firstLineChars="200"/>
    </w:pPr>
  </w:style>
  <w:style w:type="paragraph" w:customStyle="1" w:styleId="40">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4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45">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4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4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8">
    <w:name w:val="xl7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49">
    <w:name w:val="xl77"/>
    <w:basedOn w:val="1"/>
    <w:autoRedefine/>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50">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51">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52">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53">
    <w:name w:val="样式5"/>
    <w:next w:val="54"/>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54">
    <w:name w:val="正文文字 8"/>
    <w:next w:val="1"/>
    <w:qFormat/>
    <w:uiPriority w:val="0"/>
    <w:pPr>
      <w:widowControl w:val="0"/>
      <w:numPr>
        <w:ilvl w:val="1"/>
        <w:numId w:val="2"/>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5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56">
    <w:name w:val="正文_13"/>
    <w:next w:val="3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NormalCharacter"/>
    <w:qFormat/>
    <w:uiPriority w:val="0"/>
  </w:style>
  <w:style w:type="paragraph" w:customStyle="1" w:styleId="58">
    <w:name w:val="[Normal]"/>
    <w:qFormat/>
    <w:uiPriority w:val="0"/>
    <w:rPr>
      <w:rFonts w:ascii="宋体" w:hAnsi="宋体" w:eastAsia="宋体" w:cs="Times New Roman"/>
      <w:sz w:val="24"/>
      <w:lang w:val="zh-CN" w:eastAsia="zh-CN" w:bidi="ar-SA"/>
    </w:rPr>
  </w:style>
  <w:style w:type="paragraph" w:customStyle="1" w:styleId="59">
    <w:name w:val="Body Text First Indent 2"/>
    <w:basedOn w:val="60"/>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0">
    <w:name w:val="Body Text Indent"/>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49</Pages>
  <Words>20205</Words>
  <Characters>21649</Characters>
  <Lines>1501</Lines>
  <Paragraphs>804</Paragraphs>
  <TotalTime>9</TotalTime>
  <ScaleCrop>false</ScaleCrop>
  <LinksUpToDate>false</LinksUpToDate>
  <CharactersWithSpaces>24140</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2019-11-11T15:41:00Z</dcterms:created>
  <dc:creator>Administrator</dc:creator>
  <cp:lastModifiedBy>豆浆</cp:lastModifiedBy>
  <cp:lastPrinted>2020-01-08T17:15:00Z</cp:lastPrinted>
  <dcterms:modified xsi:type="dcterms:W3CDTF">2024-03-28T07:37:04Z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8B282F3254AD4D0E84F2408F1EC0E182_13</vt:lpwstr>
  </property>
</Properties>
</file>