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z w:val="56"/>
          <w:szCs w:val="56"/>
          <w:highlight w:val="none"/>
          <w:lang w:eastAsia="zh-CN"/>
        </w:rPr>
      </w:pPr>
      <w:bookmarkStart w:id="0" w:name="_Hlt67893495"/>
      <w:bookmarkEnd w:id="0"/>
      <w:r>
        <w:rPr>
          <w:rFonts w:hint="eastAsia" w:ascii="仿宋" w:hAnsi="仿宋" w:eastAsia="仿宋" w:cs="仿宋"/>
          <w:b/>
          <w:color w:val="auto"/>
          <w:sz w:val="56"/>
          <w:szCs w:val="56"/>
          <w:highlight w:val="none"/>
          <w:lang w:eastAsia="zh-CN"/>
        </w:rPr>
        <w:t>绍兴市能源检测院液化天然气加气机检定设备、燃气表密封性试验装置采购项目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12" w:lineRule="auto"/>
        <w:jc w:val="center"/>
        <w:rPr>
          <w:rFonts w:hint="eastAsia" w:ascii="隶书" w:eastAsia="隶书"/>
          <w:b/>
          <w:color w:val="auto"/>
          <w:sz w:val="28"/>
          <w:szCs w:val="28"/>
          <w:highlight w:val="none"/>
          <w:lang w:eastAsia="zh-CN"/>
        </w:rPr>
      </w:pPr>
      <w:r>
        <w:rPr>
          <w:rFonts w:hint="eastAsia" w:ascii="仿宋" w:hAnsi="仿宋" w:eastAsia="仿宋" w:cs="仿宋"/>
          <w:b/>
          <w:color w:val="auto"/>
          <w:sz w:val="44"/>
          <w:szCs w:val="44"/>
          <w:highlight w:val="none"/>
        </w:rPr>
        <w:t xml:space="preserve"> </w:t>
      </w: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SXQS-202402-GK016</w:t>
      </w:r>
    </w:p>
    <w:tbl>
      <w:tblPr>
        <w:tblStyle w:val="16"/>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spacing w:after="100" w:afterAutospacing="1" w:line="440" w:lineRule="exact"/>
              <w:rPr>
                <w:rFonts w:hint="eastAsia" w:ascii="仿宋" w:hAnsi="仿宋" w:eastAsia="仿宋" w:cs="仿宋"/>
                <w:spacing w:val="1"/>
                <w:kern w:val="0"/>
                <w:sz w:val="28"/>
                <w:szCs w:val="28"/>
                <w:highlight w:val="none"/>
                <w:lang w:eastAsia="zh-CN"/>
              </w:rPr>
            </w:pPr>
            <w:r>
              <w:rPr>
                <w:rFonts w:hint="eastAsia" w:ascii="仿宋" w:hAnsi="仿宋" w:eastAsia="仿宋" w:cs="仿宋"/>
                <w:spacing w:val="1"/>
                <w:kern w:val="0"/>
                <w:sz w:val="28"/>
                <w:szCs w:val="28"/>
                <w:highlight w:val="none"/>
                <w:lang w:eastAsia="zh-CN"/>
              </w:rPr>
              <w:t>绍兴市能源检测院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0"/>
                <w:kern w:val="0"/>
                <w:sz w:val="28"/>
                <w:szCs w:val="28"/>
                <w:highlight w:val="none"/>
                <w:fitText w:val="1680" w:id="1338600331"/>
              </w:rPr>
              <w:t>采购代理机构</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1800544968"/>
              </w:rPr>
              <w:t>监督单</w:t>
            </w:r>
            <w:r>
              <w:rPr>
                <w:rFonts w:hint="eastAsia" w:ascii="仿宋" w:hAnsi="仿宋" w:eastAsia="仿宋" w:cs="仿宋"/>
                <w:spacing w:val="1"/>
                <w:kern w:val="0"/>
                <w:sz w:val="28"/>
                <w:szCs w:val="28"/>
                <w:highlight w:val="none"/>
                <w:fitText w:val="1680" w:id="1800544968"/>
              </w:rPr>
              <w:t>位</w:t>
            </w:r>
            <w:r>
              <w:rPr>
                <w:rFonts w:hint="eastAsia" w:ascii="仿宋" w:hAnsi="仿宋" w:eastAsia="仿宋" w:cs="仿宋"/>
                <w:sz w:val="28"/>
                <w:szCs w:val="28"/>
                <w:highlight w:val="none"/>
              </w:rPr>
              <w:t>：</w:t>
            </w:r>
          </w:p>
        </w:tc>
        <w:tc>
          <w:tcPr>
            <w:tcW w:w="5445" w:type="dxa"/>
          </w:tcPr>
          <w:p>
            <w:pPr>
              <w:spacing w:after="100" w:afterAutospacing="1" w:line="440" w:lineRule="exact"/>
              <w:rPr>
                <w:rFonts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highlight w:val="none"/>
              </w:rPr>
            </w:pPr>
            <w:r>
              <w:rPr>
                <w:rFonts w:hint="eastAsia" w:ascii="仿宋" w:hAnsi="仿宋" w:eastAsia="仿宋" w:cs="仿宋"/>
                <w:sz w:val="28"/>
                <w:szCs w:val="28"/>
                <w:highlight w:val="none"/>
              </w:rPr>
              <w:t>二○二</w:t>
            </w:r>
            <w:r>
              <w:rPr>
                <w:rFonts w:hint="eastAsia" w:ascii="仿宋" w:hAnsi="仿宋" w:eastAsia="仿宋" w:cs="仿宋"/>
                <w:sz w:val="28"/>
                <w:szCs w:val="28"/>
                <w:highlight w:val="none"/>
                <w:lang w:val="en-US" w:eastAsia="zh-CN"/>
              </w:rPr>
              <w:t>四</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rPr>
              <w:t>月</w:t>
            </w:r>
          </w:p>
        </w:tc>
      </w:tr>
    </w:tbl>
    <w:p>
      <w:pPr>
        <w:pStyle w:val="21"/>
        <w:rPr>
          <w:color w:val="auto"/>
          <w:highlight w:val="none"/>
        </w:rPr>
      </w:pPr>
    </w:p>
    <w:p>
      <w:pPr>
        <w:pStyle w:val="21"/>
        <w:rPr>
          <w:color w:val="auto"/>
          <w:highlight w:val="none"/>
        </w:rPr>
      </w:pPr>
    </w:p>
    <w:p>
      <w:pPr>
        <w:pStyle w:val="21"/>
        <w:rPr>
          <w:color w:val="auto"/>
          <w:highlight w:val="none"/>
        </w:rPr>
      </w:pPr>
    </w:p>
    <w:p>
      <w:pPr>
        <w:pStyle w:val="21"/>
        <w:rPr>
          <w:rFonts w:hint="eastAsia"/>
          <w:color w:val="auto"/>
          <w:highlight w:val="none"/>
        </w:rPr>
      </w:pPr>
    </w:p>
    <w:p>
      <w:pPr>
        <w:pStyle w:val="22"/>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NumType w:start="1"/>
          <w:cols w:space="720" w:num="1"/>
          <w:titlePg/>
          <w:docGrid w:linePitch="312" w:charSpace="0"/>
        </w:sectPr>
      </w:pPr>
    </w:p>
    <w:p>
      <w:pPr>
        <w:spacing w:line="360" w:lineRule="auto"/>
        <w:jc w:val="center"/>
        <w:rPr>
          <w:rFonts w:hint="eastAsia" w:ascii="仿宋" w:hAnsi="仿宋" w:eastAsia="仿宋" w:cs="仿宋"/>
          <w:color w:val="auto"/>
          <w:sz w:val="24"/>
          <w:highlight w:val="none"/>
        </w:rPr>
      </w:pPr>
    </w:p>
    <w:p>
      <w:pPr>
        <w:spacing w:line="360" w:lineRule="auto"/>
        <w:jc w:val="center"/>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pPr>
        <w:spacing w:line="360" w:lineRule="auto"/>
        <w:jc w:val="center"/>
        <w:rPr>
          <w:rFonts w:hint="eastAsia" w:ascii="仿宋" w:hAnsi="仿宋" w:eastAsia="仿宋" w:cs="仿宋"/>
          <w:b/>
          <w:color w:val="auto"/>
          <w:sz w:val="44"/>
          <w:szCs w:val="44"/>
          <w:highlight w:val="none"/>
        </w:rPr>
      </w:pPr>
    </w:p>
    <w:p>
      <w:pPr>
        <w:spacing w:line="360" w:lineRule="auto"/>
        <w:jc w:val="center"/>
        <w:rPr>
          <w:rFonts w:hint="eastAsia" w:ascii="仿宋" w:hAnsi="仿宋" w:eastAsia="仿宋" w:cs="仿宋"/>
          <w:color w:val="auto"/>
          <w:highlight w:val="none"/>
        </w:rPr>
      </w:pP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bookmarkEnd w:id="2"/>
    <w:p>
      <w:pPr>
        <w:adjustRightInd/>
        <w:spacing w:line="360" w:lineRule="auto"/>
        <w:outlineLvl w:val="0"/>
        <w:rPr>
          <w:rFonts w:hint="eastAsia" w:ascii="仿宋" w:hAnsi="仿宋" w:eastAsia="仿宋" w:cs="仿宋"/>
          <w:b/>
          <w:color w:val="auto"/>
          <w:sz w:val="36"/>
          <w:szCs w:val="20"/>
          <w:highlight w:val="none"/>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cols w:space="720" w:num="1"/>
          <w:titlePg/>
          <w:docGrid w:linePitch="312" w:charSpace="0"/>
        </w:sectPr>
      </w:pPr>
      <w:bookmarkStart w:id="3" w:name="_Hlt74729822"/>
      <w:bookmarkEnd w:id="3"/>
      <w:bookmarkStart w:id="4" w:name="_Hlt74649545"/>
      <w:bookmarkEnd w:id="4"/>
      <w:bookmarkStart w:id="5" w:name="_Hlt74728647"/>
      <w:bookmarkEnd w:id="5"/>
      <w:bookmarkStart w:id="6" w:name="_Hlt74707423"/>
      <w:bookmarkEnd w:id="6"/>
      <w:bookmarkStart w:id="7" w:name="_Toc91899870"/>
      <w:bookmarkStart w:id="8" w:name="第二部分"/>
      <w:bookmarkStart w:id="9" w:name="_Toc91899871"/>
    </w:p>
    <w:p>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绍兴市能源检测院液化天然气加气机检定设备、燃气表密封性试验装置采购项目</w:t>
      </w:r>
      <w:r>
        <w:rPr>
          <w:rFonts w:hint="eastAsia" w:ascii="仿宋" w:hAnsi="仿宋" w:eastAsia="仿宋" w:cs="仿宋"/>
          <w:color w:val="auto"/>
          <w:sz w:val="24"/>
          <w:highlight w:val="none"/>
        </w:rPr>
        <w:t>的潜在投标人应在政采云平台（</w:t>
      </w:r>
      <w:r>
        <w:rPr>
          <w:rFonts w:ascii="仿宋" w:hAnsi="仿宋" w:eastAsia="仿宋" w:cs="仿宋"/>
          <w:color w:val="auto"/>
          <w:sz w:val="24"/>
          <w:highlight w:val="none"/>
        </w:rPr>
        <w:fldChar w:fldCharType="begin"/>
      </w:r>
      <w:r>
        <w:rPr>
          <w:rFonts w:ascii="仿宋" w:hAnsi="仿宋" w:eastAsia="仿宋" w:cs="仿宋"/>
          <w:color w:val="auto"/>
          <w:sz w:val="24"/>
          <w:highlight w:val="none"/>
        </w:rPr>
        <w:instrText xml:space="preserve"> </w:instrText>
      </w:r>
      <w:r>
        <w:rPr>
          <w:rFonts w:hint="eastAsia" w:ascii="仿宋" w:hAnsi="仿宋" w:eastAsia="仿宋" w:cs="仿宋"/>
          <w:color w:val="auto"/>
          <w:sz w:val="24"/>
          <w:highlight w:val="none"/>
        </w:rPr>
        <w:instrText xml:space="preserve">HYPERLINK "https://www.zcygov.cn/）获取（下载）招标文件，并于</w:instrText>
      </w:r>
      <w:r>
        <w:rPr>
          <w:rFonts w:ascii="仿宋" w:hAnsi="仿宋" w:eastAsia="仿宋" w:cs="仿宋"/>
          <w:color w:val="auto"/>
          <w:sz w:val="24"/>
          <w:highlight w:val="none"/>
        </w:rPr>
        <w:instrText xml:space="preserve">2023</w:instrText>
      </w:r>
      <w:r>
        <w:rPr>
          <w:rFonts w:hint="eastAsia" w:ascii="仿宋" w:hAnsi="仿宋" w:eastAsia="仿宋" w:cs="仿宋"/>
          <w:color w:val="auto"/>
          <w:sz w:val="24"/>
          <w:highlight w:val="none"/>
        </w:rPr>
        <w:instrText xml:space="preserve">年1</w:instrText>
      </w:r>
      <w:r>
        <w:rPr>
          <w:rFonts w:ascii="仿宋" w:hAnsi="仿宋" w:eastAsia="仿宋" w:cs="仿宋"/>
          <w:color w:val="auto"/>
          <w:sz w:val="24"/>
          <w:highlight w:val="none"/>
        </w:rPr>
        <w:instrText xml:space="preserve">1</w:instrText>
      </w:r>
      <w:r>
        <w:rPr>
          <w:rFonts w:hint="eastAsia" w:ascii="仿宋" w:hAnsi="仿宋" w:eastAsia="仿宋" w:cs="仿宋"/>
          <w:color w:val="auto"/>
          <w:sz w:val="24"/>
          <w:highlight w:val="none"/>
        </w:rPr>
        <w:instrText xml:space="preserve">月1</w:instrText>
      </w:r>
      <w:r>
        <w:rPr>
          <w:rFonts w:ascii="仿宋" w:hAnsi="仿宋" w:eastAsia="仿宋" w:cs="仿宋"/>
          <w:color w:val="auto"/>
          <w:sz w:val="24"/>
          <w:highlight w:val="none"/>
        </w:rPr>
        <w:instrText xml:space="preserve">6</w:instrText>
      </w:r>
      <w:r>
        <w:rPr>
          <w:rFonts w:hint="eastAsia" w:ascii="仿宋" w:hAnsi="仿宋" w:eastAsia="仿宋" w:cs="仿宋"/>
          <w:color w:val="auto"/>
          <w:sz w:val="24"/>
          <w:highlight w:val="none"/>
        </w:rPr>
        <w:instrText xml:space="preserve">日</w:instrText>
      </w:r>
      <w:r>
        <w:rPr>
          <w:rFonts w:ascii="仿宋" w:hAnsi="仿宋" w:eastAsia="仿宋" w:cs="仿宋"/>
          <w:color w:val="auto"/>
          <w:sz w:val="24"/>
          <w:highlight w:val="none"/>
        </w:rPr>
        <w:instrText xml:space="preserve">14</w:instrText>
      </w:r>
      <w:r>
        <w:rPr>
          <w:rFonts w:hint="eastAsia" w:ascii="仿宋" w:hAnsi="仿宋" w:eastAsia="仿宋" w:cs="仿宋"/>
          <w:color w:val="auto"/>
          <w:sz w:val="24"/>
          <w:highlight w:val="none"/>
        </w:rPr>
        <w:instrText xml:space="preserve">点</w:instrText>
      </w:r>
      <w:r>
        <w:rPr>
          <w:rFonts w:ascii="仿宋" w:hAnsi="仿宋" w:eastAsia="仿宋" w:cs="仿宋"/>
          <w:color w:val="auto"/>
          <w:sz w:val="24"/>
          <w:highlight w:val="none"/>
        </w:rPr>
        <w:instrText xml:space="preserve">30</w:instrText>
      </w:r>
      <w:r>
        <w:rPr>
          <w:rFonts w:hint="eastAsia" w:ascii="仿宋" w:hAnsi="仿宋" w:eastAsia="仿宋" w:cs="仿宋"/>
          <w:color w:val="auto"/>
          <w:sz w:val="24"/>
          <w:highlight w:val="none"/>
        </w:rPr>
        <w:instrText xml:space="preserve">分</w:instrText>
      </w:r>
      <w:r>
        <w:rPr>
          <w:rFonts w:hint="eastAsia" w:ascii="仿宋" w:hAnsi="仿宋" w:eastAsia="仿宋" w:cs="仿宋"/>
          <w:bCs/>
          <w:color w:val="auto"/>
          <w:sz w:val="24"/>
          <w:highlight w:val="none"/>
        </w:rPr>
        <w:instrText xml:space="preserve">00秒</w:instrText>
      </w:r>
      <w:r>
        <w:rPr>
          <w:rFonts w:hint="eastAsia" w:ascii="仿宋" w:hAnsi="仿宋" w:eastAsia="仿宋" w:cs="仿宋"/>
          <w:color w:val="auto"/>
          <w:sz w:val="24"/>
          <w:highlight w:val="none"/>
        </w:rPr>
        <w:instrText xml:space="preserve">"</w:instrText>
      </w:r>
      <w:r>
        <w:rPr>
          <w:rFonts w:ascii="仿宋" w:hAnsi="仿宋" w:eastAsia="仿宋" w:cs="仿宋"/>
          <w:color w:val="auto"/>
          <w:sz w:val="24"/>
          <w:highlight w:val="none"/>
        </w:rPr>
        <w:instrText xml:space="preserve"> </w:instrText>
      </w:r>
      <w:r>
        <w:rPr>
          <w:rFonts w:ascii="仿宋" w:hAnsi="仿宋" w:eastAsia="仿宋" w:cs="仿宋"/>
          <w:color w:val="auto"/>
          <w:sz w:val="24"/>
          <w:highlight w:val="none"/>
        </w:rPr>
        <w:fldChar w:fldCharType="separate"/>
      </w:r>
      <w:r>
        <w:rPr>
          <w:rStyle w:val="19"/>
          <w:rFonts w:hint="eastAsia" w:ascii="仿宋" w:hAnsi="仿宋" w:eastAsia="仿宋" w:cs="仿宋"/>
          <w:snapToGrid/>
          <w:color w:val="auto"/>
          <w:kern w:val="2"/>
          <w:sz w:val="24"/>
          <w:szCs w:val="24"/>
          <w:highlight w:val="none"/>
        </w:rPr>
        <w:t>https://www.zcygov.cn/）获取（下载）招标文件，并于</w:t>
      </w:r>
      <w:r>
        <w:rPr>
          <w:rStyle w:val="19"/>
          <w:rFonts w:ascii="仿宋" w:hAnsi="仿宋" w:eastAsia="仿宋" w:cs="仿宋"/>
          <w:snapToGrid/>
          <w:color w:val="auto"/>
          <w:kern w:val="2"/>
          <w:sz w:val="24"/>
          <w:szCs w:val="24"/>
          <w:highlight w:val="none"/>
        </w:rPr>
        <w:t>202</w:t>
      </w:r>
      <w:r>
        <w:rPr>
          <w:rStyle w:val="19"/>
          <w:rFonts w:hint="eastAsia" w:ascii="仿宋" w:hAnsi="仿宋" w:eastAsia="仿宋" w:cs="仿宋"/>
          <w:snapToGrid/>
          <w:color w:val="auto"/>
          <w:kern w:val="2"/>
          <w:sz w:val="24"/>
          <w:szCs w:val="24"/>
          <w:highlight w:val="none"/>
          <w:lang w:val="en-US" w:eastAsia="zh-CN"/>
        </w:rPr>
        <w:t>4</w:t>
      </w:r>
      <w:r>
        <w:rPr>
          <w:rStyle w:val="19"/>
          <w:rFonts w:hint="eastAsia" w:ascii="仿宋" w:hAnsi="仿宋" w:eastAsia="仿宋" w:cs="仿宋"/>
          <w:snapToGrid/>
          <w:color w:val="auto"/>
          <w:kern w:val="2"/>
          <w:sz w:val="24"/>
          <w:szCs w:val="24"/>
          <w:highlight w:val="none"/>
        </w:rPr>
        <w:t>年</w:t>
      </w:r>
      <w:r>
        <w:rPr>
          <w:rStyle w:val="19"/>
          <w:rFonts w:hint="eastAsia" w:ascii="仿宋" w:hAnsi="仿宋" w:eastAsia="仿宋" w:cs="仿宋"/>
          <w:snapToGrid/>
          <w:color w:val="auto"/>
          <w:kern w:val="2"/>
          <w:sz w:val="24"/>
          <w:szCs w:val="24"/>
          <w:highlight w:val="none"/>
          <w:lang w:val="en-US" w:eastAsia="zh-CN"/>
        </w:rPr>
        <w:t>03</w:t>
      </w:r>
      <w:r>
        <w:rPr>
          <w:rStyle w:val="19"/>
          <w:rFonts w:hint="eastAsia" w:ascii="仿宋" w:hAnsi="仿宋" w:eastAsia="仿宋" w:cs="仿宋"/>
          <w:snapToGrid/>
          <w:color w:val="auto"/>
          <w:kern w:val="2"/>
          <w:sz w:val="24"/>
          <w:szCs w:val="24"/>
          <w:highlight w:val="none"/>
        </w:rPr>
        <w:t>月</w:t>
      </w:r>
      <w:r>
        <w:rPr>
          <w:rStyle w:val="19"/>
          <w:rFonts w:hint="eastAsia" w:ascii="仿宋" w:hAnsi="仿宋" w:eastAsia="仿宋" w:cs="仿宋"/>
          <w:snapToGrid/>
          <w:color w:val="auto"/>
          <w:kern w:val="2"/>
          <w:sz w:val="24"/>
          <w:szCs w:val="24"/>
          <w:highlight w:val="none"/>
          <w:lang w:val="en-US" w:eastAsia="zh-CN"/>
        </w:rPr>
        <w:t>24</w:t>
      </w:r>
      <w:r>
        <w:rPr>
          <w:rStyle w:val="19"/>
          <w:rFonts w:hint="eastAsia" w:ascii="仿宋" w:hAnsi="仿宋" w:eastAsia="仿宋" w:cs="仿宋"/>
          <w:snapToGrid/>
          <w:color w:val="auto"/>
          <w:kern w:val="2"/>
          <w:sz w:val="24"/>
          <w:szCs w:val="24"/>
          <w:highlight w:val="none"/>
        </w:rPr>
        <w:t>日</w:t>
      </w:r>
      <w:r>
        <w:rPr>
          <w:rStyle w:val="19"/>
          <w:rFonts w:hint="eastAsia" w:ascii="仿宋" w:hAnsi="仿宋" w:eastAsia="仿宋" w:cs="仿宋"/>
          <w:snapToGrid/>
          <w:color w:val="auto"/>
          <w:kern w:val="2"/>
          <w:sz w:val="24"/>
          <w:szCs w:val="24"/>
          <w:highlight w:val="none"/>
          <w:lang w:val="en-US" w:eastAsia="zh-CN"/>
        </w:rPr>
        <w:t>14</w:t>
      </w:r>
      <w:r>
        <w:rPr>
          <w:rStyle w:val="19"/>
          <w:rFonts w:hint="eastAsia" w:ascii="仿宋" w:hAnsi="仿宋" w:eastAsia="仿宋" w:cs="仿宋"/>
          <w:snapToGrid/>
          <w:color w:val="auto"/>
          <w:kern w:val="2"/>
          <w:sz w:val="24"/>
          <w:szCs w:val="24"/>
          <w:highlight w:val="none"/>
        </w:rPr>
        <w:t>点</w:t>
      </w:r>
      <w:r>
        <w:rPr>
          <w:rStyle w:val="19"/>
          <w:rFonts w:hint="eastAsia" w:ascii="仿宋" w:hAnsi="仿宋" w:eastAsia="仿宋" w:cs="仿宋"/>
          <w:snapToGrid/>
          <w:color w:val="auto"/>
          <w:kern w:val="2"/>
          <w:sz w:val="24"/>
          <w:szCs w:val="24"/>
          <w:highlight w:val="none"/>
          <w:lang w:val="en-US" w:eastAsia="zh-CN"/>
        </w:rPr>
        <w:t>0</w:t>
      </w:r>
      <w:r>
        <w:rPr>
          <w:rStyle w:val="19"/>
          <w:rFonts w:ascii="仿宋" w:hAnsi="仿宋" w:eastAsia="仿宋" w:cs="仿宋"/>
          <w:snapToGrid/>
          <w:color w:val="auto"/>
          <w:kern w:val="2"/>
          <w:sz w:val="24"/>
          <w:szCs w:val="24"/>
          <w:highlight w:val="none"/>
        </w:rPr>
        <w:t>0</w:t>
      </w:r>
      <w:r>
        <w:rPr>
          <w:rStyle w:val="19"/>
          <w:rFonts w:hint="eastAsia" w:ascii="仿宋" w:hAnsi="仿宋" w:eastAsia="仿宋" w:cs="仿宋"/>
          <w:snapToGrid/>
          <w:color w:val="auto"/>
          <w:kern w:val="2"/>
          <w:sz w:val="24"/>
          <w:szCs w:val="24"/>
          <w:highlight w:val="none"/>
        </w:rPr>
        <w:t>分</w:t>
      </w:r>
      <w:r>
        <w:rPr>
          <w:rStyle w:val="19"/>
          <w:rFonts w:hint="eastAsia" w:ascii="仿宋" w:hAnsi="仿宋" w:eastAsia="仿宋" w:cs="仿宋"/>
          <w:bCs/>
          <w:snapToGrid/>
          <w:color w:val="auto"/>
          <w:kern w:val="2"/>
          <w:sz w:val="24"/>
          <w:szCs w:val="24"/>
          <w:highlight w:val="none"/>
        </w:rPr>
        <w:t>00秒</w:t>
      </w:r>
      <w:r>
        <w:rPr>
          <w:rFonts w:ascii="仿宋" w:hAnsi="仿宋" w:eastAsia="仿宋" w:cs="仿宋"/>
          <w:color w:val="auto"/>
          <w:sz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440" w:lineRule="exact"/>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 xml:space="preserve">一、项目基本情况       </w:t>
      </w:r>
      <w:r>
        <w:rPr>
          <w:rFonts w:hint="eastAsia" w:ascii="仿宋" w:hAnsi="仿宋" w:eastAsia="仿宋" w:cs="仿宋"/>
          <w:bCs/>
          <w:color w:val="auto"/>
          <w:sz w:val="24"/>
          <w:highlight w:val="none"/>
        </w:rPr>
        <w:t xml:space="preserve">                                     </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项目编号：</w:t>
      </w:r>
      <w:r>
        <w:rPr>
          <w:rFonts w:hint="eastAsia" w:ascii="仿宋" w:hAnsi="仿宋" w:eastAsia="仿宋" w:cs="仿宋"/>
          <w:bCs/>
          <w:color w:val="auto"/>
          <w:sz w:val="24"/>
          <w:highlight w:val="none"/>
          <w:lang w:eastAsia="zh-CN"/>
        </w:rPr>
        <w:t>SXQS-202402-GK016</w:t>
      </w:r>
    </w:p>
    <w:p>
      <w:pPr>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项目名称：</w:t>
      </w:r>
      <w:r>
        <w:rPr>
          <w:rFonts w:hint="eastAsia" w:ascii="仿宋" w:hAnsi="仿宋" w:eastAsia="仿宋" w:cs="仿宋"/>
          <w:bCs/>
          <w:color w:val="auto"/>
          <w:sz w:val="24"/>
          <w:highlight w:val="none"/>
          <w:lang w:eastAsia="zh-CN"/>
        </w:rPr>
        <w:t>绍兴市能源检测院液化天然气加气机检定设备、燃气表密封性试验装置采购项目</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采购方式：公开招标</w:t>
      </w:r>
    </w:p>
    <w:p>
      <w:pPr>
        <w:spacing w:line="440" w:lineRule="exact"/>
        <w:ind w:firstLine="480" w:firstLineChars="200"/>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val="en-US" w:eastAsia="zh-CN"/>
        </w:rPr>
        <w:t>550000</w:t>
      </w:r>
      <w:r>
        <w:rPr>
          <w:rFonts w:hint="eastAsia" w:ascii="仿宋" w:hAnsi="仿宋" w:eastAsia="仿宋" w:cs="仿宋"/>
          <w:bCs/>
          <w:color w:val="auto"/>
          <w:sz w:val="24"/>
          <w:highlight w:val="none"/>
        </w:rPr>
        <w:t>.00</w:t>
      </w:r>
      <w:r>
        <w:rPr>
          <w:rFonts w:hint="eastAsia" w:ascii="仿宋" w:hAnsi="仿宋" w:eastAsia="仿宋" w:cs="仿宋"/>
          <w:bCs/>
          <w:color w:val="auto"/>
          <w:sz w:val="24"/>
          <w:highlight w:val="none"/>
          <w:lang w:val="en-US" w:eastAsia="zh-CN"/>
        </w:rPr>
        <w:t>,60000.00</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最高限价（元）：</w:t>
      </w:r>
      <w:r>
        <w:rPr>
          <w:rFonts w:hint="eastAsia" w:ascii="仿宋" w:hAnsi="仿宋" w:eastAsia="仿宋" w:cs="仿宋"/>
          <w:bCs/>
          <w:color w:val="auto"/>
          <w:sz w:val="24"/>
          <w:highlight w:val="none"/>
          <w:lang w:val="en-US" w:eastAsia="zh-CN"/>
        </w:rPr>
        <w:t>550000</w:t>
      </w:r>
      <w:r>
        <w:rPr>
          <w:rFonts w:hint="eastAsia" w:ascii="仿宋" w:hAnsi="仿宋" w:eastAsia="仿宋" w:cs="仿宋"/>
          <w:bCs/>
          <w:color w:val="auto"/>
          <w:sz w:val="24"/>
          <w:highlight w:val="none"/>
        </w:rPr>
        <w:t>.00</w:t>
      </w:r>
      <w:r>
        <w:rPr>
          <w:rFonts w:hint="eastAsia" w:ascii="仿宋" w:hAnsi="仿宋" w:eastAsia="仿宋" w:cs="仿宋"/>
          <w:bCs/>
          <w:color w:val="auto"/>
          <w:sz w:val="24"/>
          <w:highlight w:val="none"/>
          <w:lang w:val="en-US" w:eastAsia="zh-CN"/>
        </w:rPr>
        <w:t>,60000.00</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采购需求：详见采购文件</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液化天然气加气机检定设备采购项目</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数量:1套</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val="en-US" w:eastAsia="zh-CN"/>
        </w:rPr>
        <w:t>550000</w:t>
      </w:r>
      <w:r>
        <w:rPr>
          <w:rFonts w:hint="eastAsia" w:ascii="仿宋" w:hAnsi="仿宋" w:eastAsia="仿宋" w:cs="仿宋"/>
          <w:bCs/>
          <w:color w:val="auto"/>
          <w:sz w:val="24"/>
          <w:highlight w:val="none"/>
        </w:rPr>
        <w:t>.00</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主要内容：详见招标文件。 </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w:t>
      </w:r>
      <w:r>
        <w:rPr>
          <w:rFonts w:hint="eastAsia" w:ascii="仿宋" w:hAnsi="仿宋" w:eastAsia="仿宋" w:cs="仿宋"/>
          <w:bCs/>
          <w:color w:val="auto"/>
          <w:sz w:val="24"/>
          <w:highlight w:val="none"/>
          <w:lang w:eastAsia="zh-CN"/>
        </w:rPr>
        <w:t>二</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燃气表密封性试验装置设备采购项目</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数量:1套</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val="en-US" w:eastAsia="zh-CN"/>
        </w:rPr>
        <w:t>60000</w:t>
      </w:r>
      <w:r>
        <w:rPr>
          <w:rFonts w:hint="eastAsia" w:ascii="仿宋" w:hAnsi="仿宋" w:eastAsia="仿宋" w:cs="仿宋"/>
          <w:bCs/>
          <w:color w:val="auto"/>
          <w:sz w:val="24"/>
          <w:highlight w:val="none"/>
        </w:rPr>
        <w:t>.00</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主要内容：详见招标文件。 </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备注：无。</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合同履约期限：按双方合同约定条款执行。</w:t>
      </w:r>
    </w:p>
    <w:p>
      <w:pPr>
        <w:pStyle w:val="23"/>
        <w:spacing w:afterLines="0" w:line="440" w:lineRule="exact"/>
        <w:ind w:firstLine="482"/>
        <w:rPr>
          <w:rFonts w:ascii="仿宋_GB2312" w:hAnsi="新宋体" w:eastAsia="仿宋_GB2312"/>
          <w:b w:val="0"/>
          <w:bCs/>
          <w:color w:val="auto"/>
          <w:szCs w:val="24"/>
          <w:highlight w:val="none"/>
        </w:rPr>
      </w:pPr>
      <w:r>
        <w:rPr>
          <w:rFonts w:hint="eastAsia" w:ascii="仿宋_GB2312" w:hAnsi="新宋体" w:eastAsia="仿宋_GB2312"/>
          <w:b w:val="0"/>
          <w:bCs/>
          <w:color w:val="auto"/>
          <w:szCs w:val="24"/>
          <w:highlight w:val="none"/>
        </w:rPr>
        <w:t>本项目接受联合体投标：</w:t>
      </w:r>
      <w:r>
        <w:rPr>
          <w:rFonts w:hint="eastAsia" w:ascii="仿宋" w:hAnsi="仿宋" w:eastAsia="仿宋" w:cs="仿宋"/>
          <w:color w:val="auto"/>
          <w:sz w:val="24"/>
          <w:highlight w:val="none"/>
          <w:lang w:eastAsia="zh-CN"/>
        </w:rPr>
        <w:t>☑</w:t>
      </w:r>
      <w:r>
        <w:rPr>
          <w:rFonts w:hint="eastAsia" w:ascii="仿宋_GB2312" w:hAnsi="新宋体" w:eastAsia="仿宋_GB2312"/>
          <w:b w:val="0"/>
          <w:bCs/>
          <w:color w:val="auto"/>
          <w:szCs w:val="24"/>
          <w:highlight w:val="none"/>
        </w:rPr>
        <w:t>是，</w:t>
      </w:r>
      <w:r>
        <w:rPr>
          <w:rFonts w:hint="eastAsia" w:ascii="仿宋" w:hAnsi="仿宋" w:eastAsia="仿宋" w:cs="仿宋"/>
          <w:color w:val="auto"/>
          <w:kern w:val="0"/>
          <w:sz w:val="24"/>
          <w:highlight w:val="none"/>
        </w:rPr>
        <w:t>☐</w:t>
      </w:r>
      <w:r>
        <w:rPr>
          <w:rFonts w:hint="eastAsia" w:ascii="仿宋_GB2312" w:hAnsi="新宋体" w:eastAsia="仿宋_GB2312"/>
          <w:b w:val="0"/>
          <w:bCs/>
          <w:color w:val="auto"/>
          <w:szCs w:val="24"/>
          <w:highlight w:val="none"/>
        </w:rPr>
        <w:t>否。</w:t>
      </w:r>
    </w:p>
    <w:p>
      <w:pPr>
        <w:spacing w:line="440" w:lineRule="exact"/>
        <w:ind w:firstLine="482" w:firstLineChars="200"/>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二、申请人的资格要求</w:t>
      </w:r>
      <w:r>
        <w:rPr>
          <w:rFonts w:hint="eastAsia" w:ascii="仿宋" w:hAnsi="仿宋" w:eastAsia="仿宋" w:cs="仿宋"/>
          <w:bCs/>
          <w:color w:val="auto"/>
          <w:sz w:val="24"/>
          <w:highlight w:val="none"/>
        </w:rPr>
        <w:t>：</w:t>
      </w:r>
    </w:p>
    <w:p>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440" w:lineRule="exact"/>
        <w:ind w:firstLine="480" w:firstLineChars="200"/>
        <w:rPr>
          <w:rFonts w:hint="eastAsia" w:ascii="仿宋" w:hAnsi="仿宋" w:eastAsia="仿宋" w:cs="仿宋"/>
          <w:strike/>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p>
    <w:p>
      <w:pPr>
        <w:spacing w:line="440" w:lineRule="exact"/>
        <w:ind w:firstLine="480" w:firstLineChars="200"/>
        <w:rPr>
          <w:rFonts w:hint="eastAsia" w:ascii="仿宋" w:hAnsi="仿宋" w:eastAsia="仿宋" w:cs="仿宋"/>
          <w:strike w:val="0"/>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strike w:val="0"/>
          <w:color w:val="auto"/>
          <w:sz w:val="24"/>
          <w:highlight w:val="none"/>
        </w:rPr>
        <w:t>专门面向中小企业</w:t>
      </w:r>
    </w:p>
    <w:p>
      <w:pPr>
        <w:spacing w:line="440" w:lineRule="exact"/>
        <w:ind w:firstLine="897" w:firstLineChars="37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p>
      <w:pPr>
        <w:spacing w:line="440" w:lineRule="exact"/>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440" w:lineRule="exact"/>
        <w:ind w:firstLine="512" w:firstLineChars="200"/>
        <w:rPr>
          <w:rFonts w:hint="eastAsia" w:ascii="仿宋" w:hAnsi="仿宋" w:eastAsia="仿宋" w:cs="仿宋"/>
          <w:color w:val="auto"/>
          <w:spacing w:val="8"/>
          <w:kern w:val="0"/>
          <w:sz w:val="24"/>
          <w:highlight w:val="none"/>
          <w:lang w:val="en-US" w:eastAsia="zh-CN"/>
        </w:rPr>
      </w:pPr>
      <w:r>
        <w:rPr>
          <w:rFonts w:hint="eastAsia" w:ascii="仿宋" w:hAnsi="仿宋" w:eastAsia="仿宋" w:cs="仿宋"/>
          <w:color w:val="auto"/>
          <w:spacing w:val="8"/>
          <w:kern w:val="0"/>
          <w:sz w:val="24"/>
          <w:highlight w:val="none"/>
        </w:rPr>
        <w:t>4.本项目的特定资格要求：</w:t>
      </w:r>
      <w:r>
        <w:rPr>
          <w:rFonts w:hint="eastAsia" w:ascii="仿宋" w:hAnsi="仿宋" w:eastAsia="仿宋" w:cs="仿宋"/>
          <w:color w:val="auto"/>
          <w:spacing w:val="8"/>
          <w:kern w:val="0"/>
          <w:sz w:val="24"/>
          <w:highlight w:val="none"/>
          <w:lang w:val="en-US" w:eastAsia="zh-CN"/>
        </w:rPr>
        <w:t>无。</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w:t>
      </w:r>
      <w:r>
        <w:rPr>
          <w:rFonts w:ascii="仿宋" w:hAnsi="仿宋" w:eastAsia="仿宋" w:cs="仿宋"/>
          <w:color w:val="auto"/>
          <w:sz w:val="24"/>
          <w:highlight w:val="none"/>
          <w:u w:val="single"/>
        </w:rPr>
        <w:t>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440" w:lineRule="exact"/>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03</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25</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w:t>
      </w:r>
      <w:r>
        <w:rPr>
          <w:rFonts w:ascii="仿宋" w:hAnsi="仿宋" w:eastAsia="仿宋" w:cs="仿宋"/>
          <w:color w:val="auto"/>
          <w:sz w:val="24"/>
          <w:highlight w:val="none"/>
          <w:u w:val="single"/>
        </w:rPr>
        <w:t>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w:t>
      </w:r>
      <w:r>
        <w:rPr>
          <w:rFonts w:ascii="仿宋" w:hAnsi="仿宋" w:eastAsia="仿宋" w:cs="仿宋"/>
          <w:color w:val="auto"/>
          <w:sz w:val="24"/>
          <w:highlight w:val="none"/>
        </w:rPr>
        <w:fldChar w:fldCharType="begin"/>
      </w:r>
      <w:r>
        <w:rPr>
          <w:rFonts w:ascii="仿宋" w:hAnsi="仿宋" w:eastAsia="仿宋" w:cs="仿宋"/>
          <w:color w:val="auto"/>
          <w:sz w:val="24"/>
          <w:highlight w:val="none"/>
        </w:rPr>
        <w:instrText xml:space="preserve"> </w:instrText>
      </w:r>
      <w:r>
        <w:rPr>
          <w:rFonts w:hint="eastAsia" w:ascii="仿宋" w:hAnsi="仿宋" w:eastAsia="仿宋" w:cs="仿宋"/>
          <w:color w:val="auto"/>
          <w:sz w:val="24"/>
          <w:highlight w:val="none"/>
        </w:rPr>
        <w:instrText xml:space="preserve">HYPERLINK "https://www.zcygov.cn/"</w:instrText>
      </w:r>
      <w:r>
        <w:rPr>
          <w:rFonts w:ascii="仿宋" w:hAnsi="仿宋" w:eastAsia="仿宋" w:cs="仿宋"/>
          <w:color w:val="auto"/>
          <w:sz w:val="24"/>
          <w:highlight w:val="none"/>
        </w:rPr>
        <w:instrText xml:space="preserve"> </w:instrText>
      </w:r>
      <w:r>
        <w:rPr>
          <w:rFonts w:ascii="仿宋" w:hAnsi="仿宋" w:eastAsia="仿宋" w:cs="仿宋"/>
          <w:color w:val="auto"/>
          <w:sz w:val="24"/>
          <w:highlight w:val="none"/>
        </w:rPr>
        <w:fldChar w:fldCharType="separate"/>
      </w:r>
      <w:r>
        <w:rPr>
          <w:rStyle w:val="19"/>
          <w:rFonts w:hint="eastAsia" w:ascii="仿宋" w:hAnsi="仿宋" w:eastAsia="仿宋" w:cs="仿宋"/>
          <w:snapToGrid/>
          <w:color w:val="auto"/>
          <w:kern w:val="2"/>
          <w:sz w:val="24"/>
          <w:szCs w:val="24"/>
          <w:highlight w:val="none"/>
        </w:rPr>
        <w:t>https://www.zcygov.cn/</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kinsoku/>
        <w:wordWrap/>
        <w:overflowPunct/>
        <w:topLinePunct w:val="0"/>
        <w:autoSpaceDE/>
        <w:autoSpaceDN/>
        <w:bidi w:val="0"/>
        <w:snapToGrid/>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kinsoku/>
        <w:wordWrap/>
        <w:overflowPunct/>
        <w:topLinePunct w:val="0"/>
        <w:autoSpaceDE/>
        <w:autoSpaceDN/>
        <w:bidi w:val="0"/>
        <w:snapToGrid/>
        <w:spacing w:line="360" w:lineRule="auto"/>
        <w:ind w:left="0" w:firstLine="482" w:firstLineChars="200"/>
        <w:textAlignment w:val="auto"/>
        <w:rPr>
          <w:rFonts w:hint="eastAsia" w:ascii="仿宋" w:eastAsia="仿宋" w:cs="仿宋"/>
          <w:color w:val="auto"/>
          <w:sz w:val="24"/>
          <w:szCs w:val="24"/>
          <w:highlight w:val="none"/>
        </w:rPr>
      </w:pPr>
      <w:bookmarkStart w:id="11" w:name="_Toc35393806"/>
      <w:bookmarkStart w:id="12" w:name="_Toc28359019"/>
      <w:bookmarkStart w:id="13" w:name="_Toc35393637"/>
      <w:bookmarkStart w:id="14" w:name="_Toc28359096"/>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pPr>
        <w:pStyle w:val="23"/>
        <w:pageBreakBefore w:val="0"/>
        <w:kinsoku/>
        <w:wordWrap/>
        <w:overflowPunct/>
        <w:topLinePunct w:val="0"/>
        <w:autoSpaceDE/>
        <w:autoSpaceDN/>
        <w:bidi w:val="0"/>
        <w:snapToGrid/>
        <w:spacing w:after="0" w:afterLines="0" w:line="360"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绍兴市能源检测院</w:t>
      </w:r>
      <w:r>
        <w:rPr>
          <w:rFonts w:hint="eastAsia" w:ascii="仿宋" w:hAnsi="仿宋" w:eastAsia="仿宋" w:cs="仿宋"/>
          <w:color w:val="auto"/>
          <w:szCs w:val="24"/>
          <w:highlight w:val="none"/>
        </w:rPr>
        <w:t xml:space="preserve">    </w:t>
      </w:r>
    </w:p>
    <w:p>
      <w:pPr>
        <w:pStyle w:val="23"/>
        <w:pageBreakBefore w:val="0"/>
        <w:kinsoku/>
        <w:wordWrap/>
        <w:overflowPunct/>
        <w:topLinePunct w:val="0"/>
        <w:autoSpaceDE/>
        <w:autoSpaceDN/>
        <w:bidi w:val="0"/>
        <w:snapToGrid/>
        <w:spacing w:after="0" w:afterLines="0" w:line="360"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地址：绍兴市越城区世纪东街17号</w:t>
      </w:r>
    </w:p>
    <w:p>
      <w:pPr>
        <w:pStyle w:val="23"/>
        <w:pageBreakBefore w:val="0"/>
        <w:kinsoku/>
        <w:wordWrap/>
        <w:overflowPunct/>
        <w:topLinePunct w:val="0"/>
        <w:autoSpaceDE/>
        <w:autoSpaceDN/>
        <w:bidi w:val="0"/>
        <w:snapToGrid/>
        <w:spacing w:after="0" w:afterLines="0" w:line="360"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p>
    <w:p>
      <w:pPr>
        <w:pStyle w:val="23"/>
        <w:pageBreakBefore w:val="0"/>
        <w:kinsoku/>
        <w:wordWrap/>
        <w:overflowPunct/>
        <w:topLinePunct w:val="0"/>
        <w:autoSpaceDE/>
        <w:autoSpaceDN/>
        <w:bidi w:val="0"/>
        <w:snapToGrid/>
        <w:spacing w:after="0" w:afterLines="0" w:line="360" w:lineRule="auto"/>
        <w:ind w:firstLine="480"/>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项目联系人（询问）：梁政</w:t>
      </w:r>
    </w:p>
    <w:p>
      <w:pPr>
        <w:pStyle w:val="23"/>
        <w:pageBreakBefore w:val="0"/>
        <w:kinsoku/>
        <w:wordWrap/>
        <w:overflowPunct/>
        <w:topLinePunct w:val="0"/>
        <w:autoSpaceDE/>
        <w:autoSpaceDN/>
        <w:bidi w:val="0"/>
        <w:snapToGrid/>
        <w:spacing w:after="0" w:afterLines="0" w:line="360"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0575-</w:t>
      </w:r>
      <w:r>
        <w:rPr>
          <w:rFonts w:hint="eastAsia" w:ascii="仿宋" w:hAnsi="仿宋" w:eastAsia="仿宋" w:cs="仿宋"/>
          <w:color w:val="auto"/>
          <w:szCs w:val="24"/>
          <w:highlight w:val="none"/>
        </w:rPr>
        <w:t>89119110</w:t>
      </w:r>
    </w:p>
    <w:p>
      <w:pPr>
        <w:pStyle w:val="23"/>
        <w:pageBreakBefore w:val="0"/>
        <w:kinsoku/>
        <w:wordWrap/>
        <w:overflowPunct/>
        <w:topLinePunct w:val="0"/>
        <w:autoSpaceDE/>
        <w:autoSpaceDN/>
        <w:bidi w:val="0"/>
        <w:snapToGrid/>
        <w:spacing w:after="0" w:afterLines="0" w:line="360" w:lineRule="auto"/>
        <w:ind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质疑联系人：</w:t>
      </w:r>
      <w:r>
        <w:rPr>
          <w:rFonts w:hint="eastAsia" w:ascii="仿宋" w:hAnsi="仿宋" w:eastAsia="仿宋" w:cs="仿宋"/>
          <w:color w:val="auto"/>
          <w:szCs w:val="24"/>
          <w:highlight w:val="none"/>
          <w:lang w:val="en-US" w:eastAsia="zh-CN"/>
        </w:rPr>
        <w:t xml:space="preserve"> 陈瑛</w:t>
      </w:r>
    </w:p>
    <w:p>
      <w:pPr>
        <w:pStyle w:val="23"/>
        <w:pageBreakBefore w:val="0"/>
        <w:kinsoku/>
        <w:wordWrap/>
        <w:overflowPunct/>
        <w:topLinePunct w:val="0"/>
        <w:autoSpaceDE/>
        <w:autoSpaceDN/>
        <w:bidi w:val="0"/>
        <w:snapToGrid/>
        <w:spacing w:after="0" w:afterLines="0" w:line="360"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w:t>
      </w:r>
      <w:r>
        <w:rPr>
          <w:rFonts w:hint="eastAsia" w:ascii="仿宋" w:hAnsi="仿宋" w:eastAsia="仿宋" w:cs="仿宋"/>
          <w:color w:val="auto"/>
          <w:szCs w:val="24"/>
          <w:highlight w:val="none"/>
          <w:lang w:val="en-US" w:eastAsia="zh-CN"/>
        </w:rPr>
        <w:t>0575-89119115</w:t>
      </w:r>
    </w:p>
    <w:p>
      <w:pPr>
        <w:pStyle w:val="4"/>
        <w:pageBreakBefore w:val="0"/>
        <w:kinsoku/>
        <w:wordWrap/>
        <w:overflowPunct/>
        <w:topLinePunct w:val="0"/>
        <w:autoSpaceDE/>
        <w:autoSpaceDN/>
        <w:bidi w:val="0"/>
        <w:snapToGrid/>
        <w:spacing w:line="360" w:lineRule="auto"/>
        <w:ind w:left="0" w:firstLine="482" w:firstLineChars="200"/>
        <w:jc w:val="both"/>
        <w:textAlignment w:val="auto"/>
        <w:rPr>
          <w:rFonts w:ascii="仿宋" w:eastAsia="仿宋" w:cs="仿宋"/>
          <w:color w:val="auto"/>
          <w:sz w:val="24"/>
          <w:highlight w:val="none"/>
        </w:rPr>
      </w:pPr>
      <w:bookmarkStart w:id="15" w:name="_Toc35393638"/>
      <w:bookmarkStart w:id="16" w:name="_Toc28359097"/>
      <w:bookmarkStart w:id="17" w:name="_Toc35393807"/>
      <w:bookmarkStart w:id="18" w:name="_Toc28359020"/>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pPr>
        <w:pageBreakBefore w:val="0"/>
        <w:kinsoku/>
        <w:wordWrap/>
        <w:overflowPunct/>
        <w:topLinePunct w:val="0"/>
        <w:autoSpaceDE/>
        <w:autoSpaceDN/>
        <w:bidi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 绍兴虬实企业管理咨询有限公司             </w:t>
      </w:r>
    </w:p>
    <w:p>
      <w:pPr>
        <w:pageBreakBefore w:val="0"/>
        <w:kinsoku/>
        <w:wordWrap/>
        <w:overflowPunct/>
        <w:topLinePunct w:val="0"/>
        <w:autoSpaceDE/>
        <w:autoSpaceDN/>
        <w:bidi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地    址： 绍兴市越城区迪荡街道龙湖大厦17楼SP1703室</w:t>
      </w:r>
    </w:p>
    <w:p>
      <w:pPr>
        <w:pageBreakBefore w:val="0"/>
        <w:kinsoku/>
        <w:wordWrap/>
        <w:overflowPunct/>
        <w:topLinePunct w:val="0"/>
        <w:autoSpaceDE/>
        <w:autoSpaceDN/>
        <w:bidi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kinsoku/>
        <w:wordWrap/>
        <w:overflowPunct/>
        <w:topLinePunct w:val="0"/>
        <w:autoSpaceDE/>
        <w:autoSpaceDN/>
        <w:bidi w:val="0"/>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蒋丹</w:t>
      </w:r>
    </w:p>
    <w:p>
      <w:pPr>
        <w:pageBreakBefore w:val="0"/>
        <w:kinsoku/>
        <w:wordWrap/>
        <w:overflowPunct/>
        <w:topLinePunct w:val="0"/>
        <w:autoSpaceDE/>
        <w:autoSpaceDN/>
        <w:bidi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eastAsia="zh-CN"/>
        </w:rPr>
        <w:t>17826810855</w:t>
      </w:r>
      <w:r>
        <w:rPr>
          <w:rFonts w:hint="eastAsia" w:ascii="仿宋" w:hAnsi="仿宋" w:eastAsia="仿宋" w:cs="仿宋"/>
          <w:color w:val="auto"/>
          <w:sz w:val="24"/>
          <w:highlight w:val="none"/>
        </w:rPr>
        <w:t xml:space="preserve"> </w:t>
      </w:r>
    </w:p>
    <w:p>
      <w:pPr>
        <w:pageBreakBefore w:val="0"/>
        <w:kinsoku/>
        <w:wordWrap/>
        <w:overflowPunct/>
        <w:topLinePunct w:val="0"/>
        <w:autoSpaceDE/>
        <w:autoSpaceDN/>
        <w:bidi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pPr>
        <w:pageBreakBefore w:val="0"/>
        <w:kinsoku/>
        <w:wordWrap/>
        <w:overflowPunct/>
        <w:topLinePunct w:val="0"/>
        <w:autoSpaceDE/>
        <w:autoSpaceDN/>
        <w:bidi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pPr>
        <w:pageBreakBefore w:val="0"/>
        <w:kinsoku/>
        <w:wordWrap/>
        <w:overflowPunct/>
        <w:topLinePunct w:val="0"/>
        <w:autoSpaceDE/>
        <w:autoSpaceDN/>
        <w:bidi w:val="0"/>
        <w:snapToGrid/>
        <w:spacing w:line="360" w:lineRule="auto"/>
        <w:ind w:firstLine="482" w:firstLineChars="200"/>
        <w:textAlignment w:val="auto"/>
        <w:rPr>
          <w:rFonts w:ascii="仿宋" w:hAnsi="仿宋" w:eastAsia="仿宋" w:cs="仿宋"/>
          <w:b/>
          <w:color w:val="auto"/>
          <w:sz w:val="24"/>
          <w:highlight w:val="none"/>
        </w:rPr>
      </w:pPr>
      <w:bookmarkStart w:id="19" w:name="_Toc28359098"/>
      <w:bookmarkStart w:id="20" w:name="_Toc35393639"/>
      <w:bookmarkStart w:id="21" w:name="_Toc35393808"/>
      <w:bookmarkStart w:id="22"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9"/>
    <w:bookmarkEnd w:id="20"/>
    <w:bookmarkEnd w:id="21"/>
    <w:bookmarkEnd w:id="22"/>
    <w:p>
      <w:pPr>
        <w:pageBreakBefore w:val="0"/>
        <w:kinsoku/>
        <w:wordWrap/>
        <w:overflowPunct/>
        <w:topLinePunct w:val="0"/>
        <w:autoSpaceDE/>
        <w:autoSpaceDN/>
        <w:bidi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pageBreakBefore w:val="0"/>
        <w:kinsoku/>
        <w:wordWrap/>
        <w:overflowPunct/>
        <w:topLinePunct w:val="0"/>
        <w:autoSpaceDE/>
        <w:autoSpaceDN/>
        <w:bidi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pPr>
        <w:pageBreakBefore w:val="0"/>
        <w:kinsoku/>
        <w:wordWrap/>
        <w:overflowPunct/>
        <w:topLinePunct w:val="0"/>
        <w:autoSpaceDE/>
        <w:autoSpaceDN/>
        <w:bidi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pageBreakBefore w:val="0"/>
        <w:kinsoku/>
        <w:wordWrap/>
        <w:overflowPunct/>
        <w:topLinePunct w:val="0"/>
        <w:autoSpaceDE/>
        <w:autoSpaceDN/>
        <w:bidi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联 系 人 ： 张婷婷</w:t>
      </w:r>
    </w:p>
    <w:p>
      <w:pPr>
        <w:pageBreakBefore w:val="0"/>
        <w:kinsoku/>
        <w:wordWrap/>
        <w:overflowPunct/>
        <w:topLinePunct w:val="0"/>
        <w:autoSpaceDE/>
        <w:autoSpaceDN/>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 0575-8520</w:t>
      </w:r>
      <w:r>
        <w:rPr>
          <w:rFonts w:ascii="仿宋" w:hAnsi="仿宋" w:eastAsia="仿宋" w:cs="仿宋"/>
          <w:color w:val="auto"/>
          <w:sz w:val="24"/>
          <w:highlight w:val="none"/>
        </w:rPr>
        <w:t>9697</w:t>
      </w:r>
      <w:r>
        <w:rPr>
          <w:rFonts w:hint="eastAsia" w:ascii="仿宋" w:hAnsi="仿宋" w:eastAsia="仿宋" w:cs="仿宋"/>
          <w:color w:val="auto"/>
          <w:sz w:val="24"/>
          <w:highlight w:val="none"/>
        </w:rPr>
        <w:t xml:space="preserve"> </w:t>
      </w:r>
    </w:p>
    <w:p>
      <w:pPr>
        <w:pageBreakBefore w:val="0"/>
        <w:kinsoku/>
        <w:wordWrap/>
        <w:overflowPunct/>
        <w:topLinePunct w:val="0"/>
        <w:autoSpaceDE/>
        <w:autoSpaceDN/>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kinsoku/>
        <w:wordWrap/>
        <w:overflowPunct/>
        <w:topLinePunct w:val="0"/>
        <w:autoSpaceDE/>
        <w:autoSpaceDN/>
        <w:bidi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pageBreakBefore w:val="0"/>
        <w:widowControl/>
        <w:kinsoku/>
        <w:wordWrap/>
        <w:overflowPunct/>
        <w:topLinePunct w:val="0"/>
        <w:autoSpaceDE/>
        <w:autoSpaceDN/>
        <w:bidi w:val="0"/>
        <w:adjustRightInd/>
        <w:snapToGrid/>
        <w:spacing w:line="312" w:lineRule="auto"/>
        <w:jc w:val="left"/>
        <w:textAlignment w:val="auto"/>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pPr>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16"/>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noWrap w:val="0"/>
            <w:vAlign w:val="center"/>
          </w:tcPr>
          <w:p>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noWrap w:val="0"/>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noWrap w:val="0"/>
            <w:vAlign w:val="center"/>
          </w:tcPr>
          <w:p>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noWrap w:val="0"/>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shd w:val="clear" w:color="auto" w:fill="auto"/>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shd w:val="clear" w:color="auto" w:fill="auto"/>
            <w:noWrap w:val="0"/>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noWrap w:val="0"/>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noWrap w:val="0"/>
            <w:vAlign w:val="center"/>
          </w:tcPr>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noWrap w:val="0"/>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noWrap w:val="0"/>
            <w:vAlign w:val="center"/>
          </w:tcPr>
          <w:p>
            <w:pPr>
              <w:spacing w:line="440" w:lineRule="exac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（1）在标项一评标时安排每个供应商进行方案讲解演示。每个供应商时间不超过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rPr>
              <w:t>方式一：标项一政采云平台在线讲解演示。政采云平台在线讲解需供应商根据政采云平台操作要求做好准备工作，提前完善软硬件配置环境。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noWrap w:val="0"/>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品</w:t>
            </w:r>
          </w:p>
        </w:tc>
        <w:tc>
          <w:tcPr>
            <w:tcW w:w="7515" w:type="dxa"/>
            <w:noWrap w:val="0"/>
            <w:vAlign w:val="center"/>
          </w:tcPr>
          <w:p>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本项目不允许采购进口产品。</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noWrap w:val="0"/>
            <w:vAlign w:val="center"/>
          </w:tcPr>
          <w:p>
            <w:pPr>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noWrap w:val="0"/>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eastAsia="zh-CN"/>
              </w:rPr>
              <w:t>标项一：液化天然气加气机检定设备</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u w:val="single"/>
                <w:lang w:eastAsia="zh-CN"/>
              </w:rPr>
              <w:t>标项二：燃气表密封性试验装置设备</w:t>
            </w:r>
            <w:r>
              <w:rPr>
                <w:rFonts w:hint="eastAsia" w:ascii="仿宋" w:hAnsi="仿宋" w:eastAsia="仿宋" w:cs="仿宋"/>
                <w:color w:val="auto"/>
                <w:sz w:val="24"/>
                <w:highlight w:val="none"/>
              </w:rPr>
              <w:t>。</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noWrap w:val="0"/>
            <w:vAlign w:val="center"/>
          </w:tcPr>
          <w:p>
            <w:pPr>
              <w:snapToGrid w:val="0"/>
              <w:spacing w:line="440" w:lineRule="exact"/>
              <w:ind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noWrap w:val="0"/>
            <w:vAlign w:val="center"/>
          </w:tcPr>
          <w:p>
            <w:pPr>
              <w:numPr>
                <w:ilvl w:val="0"/>
                <w:numId w:val="4"/>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标项一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p>
            <w:pPr>
              <w:numPr>
                <w:ilvl w:val="0"/>
                <w:numId w:val="4"/>
              </w:num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标项</w:t>
            </w:r>
            <w:r>
              <w:rPr>
                <w:rFonts w:hint="eastAsia" w:ascii="仿宋" w:hAnsi="仿宋" w:eastAsia="仿宋" w:cs="仿宋"/>
                <w:color w:val="auto"/>
                <w:kern w:val="0"/>
                <w:sz w:val="24"/>
                <w:highlight w:val="none"/>
                <w:u w:val="single"/>
                <w:lang w:eastAsia="zh-CN"/>
              </w:rPr>
              <w:t>二</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工业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noWrap w:val="0"/>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noWrap w:val="0"/>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pPr>
              <w:spacing w:line="440" w:lineRule="exact"/>
              <w:jc w:val="center"/>
              <w:rPr>
                <w:rFonts w:hint="eastAsia" w:ascii="仿宋" w:hAnsi="仿宋" w:eastAsia="仿宋" w:cs="仿宋"/>
                <w:color w:val="auto"/>
                <w:sz w:val="24"/>
                <w:highlight w:val="none"/>
              </w:rPr>
            </w:pPr>
          </w:p>
        </w:tc>
        <w:tc>
          <w:tcPr>
            <w:tcW w:w="855" w:type="dxa"/>
            <w:vMerge w:val="continue"/>
            <w:noWrap w:val="0"/>
            <w:vAlign w:val="center"/>
          </w:tcPr>
          <w:p>
            <w:pPr>
              <w:snapToGrid w:val="0"/>
              <w:spacing w:line="440" w:lineRule="exact"/>
              <w:rPr>
                <w:rFonts w:hint="eastAsia" w:ascii="仿宋" w:hAnsi="仿宋" w:eastAsia="仿宋" w:cs="仿宋"/>
                <w:b/>
                <w:color w:val="auto"/>
                <w:sz w:val="24"/>
                <w:highlight w:val="none"/>
              </w:rPr>
            </w:pPr>
          </w:p>
        </w:tc>
        <w:tc>
          <w:tcPr>
            <w:tcW w:w="7515" w:type="dxa"/>
            <w:noWrap w:val="0"/>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pPr>
              <w:spacing w:line="440" w:lineRule="exact"/>
              <w:jc w:val="center"/>
              <w:rPr>
                <w:rFonts w:hint="eastAsia" w:ascii="仿宋" w:hAnsi="仿宋" w:eastAsia="仿宋" w:cs="仿宋"/>
                <w:color w:val="auto"/>
                <w:sz w:val="24"/>
                <w:highlight w:val="none"/>
              </w:rPr>
            </w:pPr>
          </w:p>
        </w:tc>
        <w:tc>
          <w:tcPr>
            <w:tcW w:w="855" w:type="dxa"/>
            <w:vMerge w:val="continue"/>
            <w:noWrap w:val="0"/>
            <w:vAlign w:val="center"/>
          </w:tcPr>
          <w:p>
            <w:pPr>
              <w:snapToGrid w:val="0"/>
              <w:spacing w:line="440" w:lineRule="exact"/>
              <w:rPr>
                <w:rFonts w:hint="eastAsia" w:ascii="仿宋" w:hAnsi="仿宋" w:eastAsia="仿宋" w:cs="仿宋"/>
                <w:b/>
                <w:color w:val="auto"/>
                <w:sz w:val="24"/>
                <w:highlight w:val="none"/>
              </w:rPr>
            </w:pPr>
          </w:p>
        </w:tc>
        <w:tc>
          <w:tcPr>
            <w:tcW w:w="7515" w:type="dxa"/>
            <w:noWrap w:val="0"/>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noWrap w:val="0"/>
            <w:vAlign w:val="center"/>
          </w:tcPr>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noWrap w:val="0"/>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noWrap w:val="0"/>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noWrap w:val="0"/>
            <w:vAlign w:val="center"/>
          </w:tcPr>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noWrap w:val="0"/>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pPr>
              <w:spacing w:line="440" w:lineRule="exact"/>
              <w:rPr>
                <w:rFonts w:hint="eastAsia" w:ascii="仿宋" w:hAnsi="仿宋" w:eastAsia="仿宋" w:cs="仿宋"/>
                <w:color w:val="auto"/>
                <w:sz w:val="24"/>
                <w:highlight w:val="none"/>
              </w:rPr>
            </w:pPr>
          </w:p>
        </w:tc>
        <w:tc>
          <w:tcPr>
            <w:tcW w:w="8370" w:type="dxa"/>
            <w:gridSpan w:val="2"/>
            <w:noWrap w:val="0"/>
            <w:vAlign w:val="center"/>
          </w:tcPr>
          <w:p>
            <w:pPr>
              <w:spacing w:line="440" w:lineRule="exact"/>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noWrap w:val="0"/>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widowControl/>
              <w:shd w:val="clear" w:color="auto" w:fill="FFFFFF"/>
              <w:spacing w:line="440" w:lineRule="exact"/>
              <w:rPr>
                <w:rStyle w:val="24"/>
                <w:rFonts w:ascii="仿宋" w:hAnsi="仿宋" w:eastAsia="仿宋" w:cs="仿宋"/>
                <w:color w:val="auto"/>
                <w:sz w:val="24"/>
                <w:highlight w:val="none"/>
              </w:rPr>
            </w:pPr>
            <w:r>
              <w:rPr>
                <w:rStyle w:val="24"/>
                <w:rFonts w:hint="eastAsia" w:ascii="仿宋" w:hAnsi="仿宋" w:eastAsia="仿宋" w:cs="仿宋"/>
                <w:color w:val="auto"/>
                <w:sz w:val="24"/>
                <w:highlight w:val="none"/>
              </w:rPr>
              <w:t>①以中标通知书中确定的中标金额作为服务费的计算基数，具体比例参照《国家计委关于印发&lt;招标代理服务费管理暂行办法&gt;的通知》（计价格[2002]1980号）文件收费标准执行，</w:t>
            </w:r>
            <w:r>
              <w:rPr>
                <w:rFonts w:hint="eastAsia" w:ascii="仿宋_GB2312" w:hAnsi="仿宋" w:eastAsia="仿宋_GB2312"/>
                <w:color w:val="auto"/>
                <w:sz w:val="24"/>
                <w:highlight w:val="none"/>
              </w:rPr>
              <w:t>收费标准：中标金额在100万以下部分为1.5%，</w:t>
            </w:r>
            <w:r>
              <w:rPr>
                <w:rFonts w:hint="eastAsia" w:ascii="仿宋_GB2312" w:hAnsi="仿宋" w:eastAsia="仿宋_GB2312"/>
                <w:color w:val="auto"/>
                <w:sz w:val="24"/>
                <w:highlight w:val="none"/>
                <w:lang w:eastAsia="zh-CN"/>
              </w:rPr>
              <w:t>本项目</w:t>
            </w:r>
            <w:r>
              <w:rPr>
                <w:rFonts w:hint="eastAsia" w:ascii="仿宋_GB2312" w:hAnsi="仿宋" w:eastAsia="仿宋_GB2312"/>
                <w:color w:val="auto"/>
                <w:sz w:val="24"/>
                <w:highlight w:val="none"/>
              </w:rPr>
              <w:t>最低收费标准4000元。</w:t>
            </w:r>
          </w:p>
          <w:p>
            <w:pPr>
              <w:widowControl/>
              <w:shd w:val="clear" w:color="auto" w:fill="FFFFFF"/>
              <w:spacing w:line="440" w:lineRule="exact"/>
              <w:rPr>
                <w:rStyle w:val="24"/>
                <w:rFonts w:ascii="仿宋" w:hAnsi="仿宋" w:eastAsia="仿宋" w:cs="仿宋"/>
                <w:color w:val="auto"/>
                <w:sz w:val="24"/>
                <w:highlight w:val="none"/>
              </w:rPr>
            </w:pPr>
            <w:r>
              <w:rPr>
                <w:rStyle w:val="24"/>
                <w:rFonts w:hint="eastAsia" w:ascii="仿宋" w:hAnsi="仿宋" w:eastAsia="仿宋" w:cs="仿宋"/>
                <w:color w:val="auto"/>
                <w:sz w:val="24"/>
                <w:highlight w:val="none"/>
              </w:rPr>
              <w:t>②中标服务费的交纳方式：</w:t>
            </w:r>
          </w:p>
          <w:p>
            <w:pPr>
              <w:widowControl/>
              <w:shd w:val="clear" w:color="auto" w:fill="FFFFFF"/>
              <w:spacing w:line="440" w:lineRule="exact"/>
              <w:rPr>
                <w:rStyle w:val="24"/>
                <w:rFonts w:ascii="仿宋" w:hAnsi="仿宋" w:eastAsia="仿宋" w:cs="仿宋"/>
                <w:color w:val="auto"/>
                <w:sz w:val="24"/>
                <w:highlight w:val="none"/>
              </w:rPr>
            </w:pPr>
            <w:r>
              <w:rPr>
                <w:rStyle w:val="24"/>
                <w:rFonts w:hint="eastAsia" w:ascii="仿宋" w:hAnsi="仿宋" w:eastAsia="仿宋" w:cs="仿宋"/>
                <w:color w:val="auto"/>
                <w:sz w:val="24"/>
                <w:highlight w:val="none"/>
              </w:rPr>
              <w:t>用银行支票、汇票、电汇、现金等付款方式直接交纳中标服务费。</w:t>
            </w: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公司名称：绍兴虬实企业管理咨询有限公司</w:t>
            </w:r>
          </w:p>
          <w:p>
            <w:pPr>
              <w:widowControl/>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账    号：2006767942000015</w:t>
            </w:r>
          </w:p>
          <w:p>
            <w:pPr>
              <w:widowControl/>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开 户 行：绍兴银行股份有限公司禹陵支行</w:t>
            </w:r>
          </w:p>
          <w:p>
            <w:pPr>
              <w:spacing w:line="288" w:lineRule="auto"/>
              <w:rPr>
                <w:rFonts w:hint="eastAsia" w:ascii="仿宋" w:hAnsi="仿宋" w:eastAsia="仿宋" w:cs="仿宋"/>
                <w:color w:val="auto"/>
                <w:kern w:val="0"/>
                <w:sz w:val="24"/>
                <w:szCs w:val="21"/>
                <w:highlight w:val="none"/>
              </w:rPr>
            </w:pPr>
            <w:r>
              <w:rPr>
                <w:rStyle w:val="24"/>
                <w:rFonts w:hint="eastAsia" w:ascii="仿宋" w:hAnsi="仿宋" w:eastAsia="仿宋" w:cs="仿宋"/>
                <w:color w:val="auto"/>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auto"/>
          <w:sz w:val="32"/>
          <w:szCs w:val="20"/>
          <w:highlight w:val="none"/>
        </w:rPr>
      </w:pPr>
    </w:p>
    <w:bookmarkEnd w:id="9"/>
    <w:p>
      <w:pPr>
        <w:adjustRightInd/>
        <w:spacing w:line="360" w:lineRule="auto"/>
        <w:jc w:val="center"/>
        <w:outlineLvl w:val="0"/>
        <w:rPr>
          <w:rFonts w:hint="eastAsia" w:ascii="仿宋" w:hAnsi="仿宋" w:eastAsia="仿宋" w:cs="仿宋"/>
          <w:b/>
          <w:color w:val="auto"/>
          <w:sz w:val="32"/>
          <w:szCs w:val="32"/>
          <w:highlight w:val="none"/>
        </w:rPr>
      </w:pPr>
      <w:bookmarkStart w:id="23" w:name="_Hlt68073093"/>
      <w:bookmarkEnd w:id="23"/>
      <w:bookmarkStart w:id="24" w:name="_Hlt74730295"/>
      <w:bookmarkEnd w:id="24"/>
      <w:bookmarkStart w:id="25" w:name="_Hlt75236101"/>
      <w:bookmarkEnd w:id="25"/>
      <w:bookmarkStart w:id="26" w:name="_Hlt74729768"/>
      <w:bookmarkEnd w:id="26"/>
      <w:bookmarkStart w:id="27" w:name="_Hlt68057669"/>
      <w:bookmarkEnd w:id="27"/>
      <w:bookmarkStart w:id="28" w:name="_Hlt68403820"/>
      <w:bookmarkEnd w:id="28"/>
      <w:bookmarkStart w:id="29" w:name="_Hlt74707468"/>
      <w:bookmarkEnd w:id="29"/>
      <w:bookmarkStart w:id="30" w:name="_Hlt74714665"/>
      <w:bookmarkEnd w:id="30"/>
      <w:bookmarkStart w:id="31" w:name="_Hlt75236290"/>
      <w:bookmarkEnd w:id="31"/>
      <w:bookmarkStart w:id="32" w:name="_Hlt75236011"/>
      <w:bookmarkEnd w:id="32"/>
      <w:bookmarkStart w:id="33" w:name="_Hlt68072990"/>
      <w:bookmarkEnd w:id="33"/>
      <w:bookmarkStart w:id="34" w:name="_Hlt68072998"/>
      <w:bookmarkEnd w:id="34"/>
      <w:bookmarkStart w:id="35" w:name="_Toc164416483"/>
      <w:bookmarkStart w:id="36" w:name="第三部分"/>
      <w:r>
        <w:rPr>
          <w:rFonts w:hint="eastAsia" w:ascii="仿宋" w:hAnsi="仿宋" w:eastAsia="仿宋" w:cs="仿宋"/>
          <w:b/>
          <w:color w:val="auto"/>
          <w:sz w:val="32"/>
          <w:szCs w:val="32"/>
          <w:highlight w:val="none"/>
        </w:rPr>
        <w:t>一、总则</w:t>
      </w:r>
    </w:p>
    <w:p>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 系指适用本项目的要求，“☐”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pPr>
        <w:spacing w:line="440" w:lineRule="exact"/>
        <w:ind w:firstLine="480" w:firstLineChars="200"/>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b/>
          <w:bCs/>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25"/>
        <w:rPr>
          <w:rFonts w:hint="eastAsia"/>
          <w:color w:val="auto"/>
          <w:highlight w:val="none"/>
        </w:rPr>
      </w:pPr>
    </w:p>
    <w:p>
      <w:pPr>
        <w:pStyle w:val="27"/>
        <w:snapToGrid w:val="0"/>
        <w:spacing w:before="0" w:line="440" w:lineRule="exact"/>
        <w:ind w:firstLine="640"/>
        <w:rPr>
          <w:rFonts w:hint="eastAsia" w:ascii="仿宋" w:hAnsi="仿宋" w:eastAsia="仿宋" w:cs="仿宋"/>
          <w:color w:val="auto"/>
          <w:sz w:val="32"/>
          <w:szCs w:val="32"/>
          <w:highlight w:val="none"/>
        </w:rPr>
      </w:pPr>
    </w:p>
    <w:p>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10"/>
        <w:snapToGrid w:val="0"/>
        <w:spacing w:line="440" w:lineRule="exact"/>
        <w:ind w:firstLine="0" w:firstLineChars="0"/>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9"/>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12"/>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color w:val="auto"/>
          <w:highlight w:val="none"/>
          <w:lang w:val="zh-CN"/>
        </w:rPr>
      </w:pPr>
      <w:r>
        <w:rPr>
          <w:rFonts w:hint="eastAsia" w:ascii="仿宋" w:hAnsi="仿宋" w:eastAsia="仿宋" w:cs="仿宋"/>
          <w:color w:val="auto"/>
          <w:sz w:val="24"/>
          <w:highlight w:val="none"/>
        </w:rPr>
        <w:t>2.2.18投标人需要说明的其他文件和说明（格式自拟）。</w:t>
      </w:r>
    </w:p>
    <w:p>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pPr>
        <w:snapToGrid w:val="0"/>
        <w:spacing w:line="440" w:lineRule="exact"/>
        <w:ind w:firstLine="720" w:firstLineChars="300"/>
        <w:rPr>
          <w:rFonts w:hint="eastAsia"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（如果有）</w:t>
      </w:r>
    </w:p>
    <w:p>
      <w:pPr>
        <w:snapToGrid w:val="0"/>
        <w:spacing w:line="440" w:lineRule="exact"/>
        <w:rPr>
          <w:rFonts w:hint="eastAsia"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pPr>
        <w:snapToGrid w:val="0"/>
        <w:spacing w:line="440" w:lineRule="exact"/>
        <w:ind w:firstLine="720" w:firstLineChars="300"/>
        <w:rPr>
          <w:rFonts w:hint="eastAsia"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pPr>
        <w:snapToGrid w:val="0"/>
        <w:spacing w:line="440" w:lineRule="exact"/>
        <w:ind w:firstLine="720" w:firstLineChars="300"/>
        <w:rPr>
          <w:rFonts w:hint="eastAsia"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pPr>
        <w:pStyle w:val="27"/>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27"/>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pPr>
        <w:pStyle w:val="27"/>
        <w:spacing w:before="0"/>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6"/>
        <w:widowControl w:val="0"/>
        <w:spacing w:after="12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6"/>
        <w:widowControl w:val="0"/>
        <w:spacing w:after="120" w:line="440" w:lineRule="exact"/>
        <w:ind w:left="0" w:firstLine="42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2"/>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color w:val="auto"/>
          <w:sz w:val="32"/>
          <w:highlight w:val="none"/>
        </w:rPr>
      </w:pPr>
    </w:p>
    <w:bookmarkEnd w:id="37"/>
    <w:p>
      <w:pPr>
        <w:pStyle w:val="12"/>
        <w:spacing w:line="360" w:lineRule="auto"/>
        <w:ind w:firstLine="726"/>
        <w:jc w:val="center"/>
        <w:rPr>
          <w:rFonts w:hint="eastAsia" w:ascii="仿宋" w:hAnsi="仿宋" w:eastAsia="仿宋" w:cs="仿宋"/>
          <w:b/>
          <w:color w:val="auto"/>
          <w:sz w:val="32"/>
          <w:szCs w:val="32"/>
          <w:highlight w:val="none"/>
        </w:rPr>
      </w:pPr>
      <w:bookmarkStart w:id="38" w:name="_Toc81372776"/>
      <w:bookmarkStart w:id="39" w:name="_Toc84325929"/>
      <w:bookmarkStart w:id="40" w:name="_Toc81372953"/>
      <w:r>
        <w:rPr>
          <w:rFonts w:hint="eastAsia" w:ascii="仿宋" w:hAnsi="仿宋" w:eastAsia="仿宋" w:cs="仿宋"/>
          <w:b/>
          <w:color w:val="auto"/>
          <w:sz w:val="32"/>
          <w:szCs w:val="32"/>
          <w:highlight w:val="none"/>
        </w:rPr>
        <w:t>五、授予合同</w:t>
      </w:r>
    </w:p>
    <w:bookmarkEnd w:id="38"/>
    <w:bookmarkEnd w:id="39"/>
    <w:bookmarkEnd w:id="40"/>
    <w:p>
      <w:pPr>
        <w:pStyle w:val="6"/>
        <w:spacing w:after="12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336" w:lineRule="auto"/>
        <w:rPr>
          <w:rFonts w:hint="eastAsia"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hint="eastAsia"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color w:val="auto"/>
          <w:kern w:val="0"/>
          <w:highlight w:val="none"/>
        </w:rPr>
        <w:sectPr>
          <w:footerReference r:id="rId14" w:type="first"/>
          <w:footerReference r:id="rId13" w:type="default"/>
          <w:pgSz w:w="11906" w:h="16838"/>
          <w:pgMar w:top="1814" w:right="1474" w:bottom="1814" w:left="1474" w:header="851" w:footer="992" w:gutter="0"/>
          <w:cols w:space="720" w:num="1"/>
          <w:docGrid w:linePitch="312" w:charSpace="0"/>
        </w:sectPr>
      </w:pPr>
      <w:r>
        <w:rPr>
          <w:rFonts w:ascii="仿宋" w:hAnsi="仿宋" w:eastAsia="仿宋" w:cs="仿宋"/>
          <w:b/>
          <w:bCs/>
          <w:color w:val="auto"/>
          <w:sz w:val="24"/>
          <w:szCs w:val="20"/>
          <w:highlight w:val="none"/>
        </w:rPr>
        <w:t>投诉书范本及制作说明详见附件2</w:t>
      </w:r>
    </w:p>
    <w:bookmarkEnd w:id="35"/>
    <w:bookmarkEnd w:id="36"/>
    <w:p>
      <w:pPr>
        <w:keepNext w:val="0"/>
        <w:keepLines w:val="0"/>
        <w:pageBreakBefore w:val="0"/>
        <w:kinsoku/>
        <w:wordWrap/>
        <w:overflowPunct/>
        <w:topLinePunct w:val="0"/>
        <w:autoSpaceDE/>
        <w:autoSpaceDN/>
        <w:bidi w:val="0"/>
        <w:adjustRightInd w:val="0"/>
        <w:spacing w:line="312" w:lineRule="auto"/>
        <w:ind w:right="0" w:firstLine="0" w:firstLineChars="0"/>
        <w:jc w:val="center"/>
        <w:textAlignment w:val="auto"/>
        <w:outlineLvl w:val="0"/>
        <w:rPr>
          <w:rFonts w:hint="eastAsia"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   招标项目范围及要求</w:t>
      </w:r>
    </w:p>
    <w:p>
      <w:pPr>
        <w:keepNext w:val="0"/>
        <w:keepLines w:val="0"/>
        <w:pageBreakBefore w:val="0"/>
        <w:kinsoku/>
        <w:wordWrap/>
        <w:overflowPunct/>
        <w:topLinePunct w:val="0"/>
        <w:autoSpaceDE/>
        <w:autoSpaceDN/>
        <w:bidi w:val="0"/>
        <w:adjustRightInd w:val="0"/>
        <w:snapToGrid w:val="0"/>
        <w:spacing w:line="312" w:lineRule="auto"/>
        <w:ind w:right="0" w:firstLine="0" w:firstLineChars="0"/>
        <w:textAlignment w:val="auto"/>
        <w:rPr>
          <w:rFonts w:ascii="仿宋_GB2312" w:hAnsi="宋体" w:eastAsia="仿宋_GB2312"/>
          <w:b/>
          <w:color w:val="auto"/>
          <w:sz w:val="24"/>
          <w:highlight w:val="none"/>
        </w:rPr>
      </w:pPr>
      <w:r>
        <w:rPr>
          <w:rFonts w:hint="eastAsia" w:ascii="仿宋_GB2312" w:hAnsi="宋体" w:eastAsia="仿宋_GB2312"/>
          <w:b/>
          <w:color w:val="auto"/>
          <w:sz w:val="24"/>
          <w:highlight w:val="none"/>
          <w:u w:val="wave"/>
        </w:rPr>
        <w:t>相关声明</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以下1-7条款如标段内另有说明的</w:t>
      </w:r>
      <w:r>
        <w:rPr>
          <w:rFonts w:hint="eastAsia" w:ascii="仿宋_GB2312" w:hAnsi="宋体" w:eastAsia="仿宋_GB2312"/>
          <w:b/>
          <w:color w:val="auto"/>
          <w:sz w:val="24"/>
          <w:highlight w:val="none"/>
        </w:rPr>
        <w:t>，</w:t>
      </w:r>
      <w:r>
        <w:rPr>
          <w:rFonts w:hint="eastAsia" w:ascii="仿宋_GB2312" w:hAnsi="宋体" w:eastAsia="仿宋_GB2312"/>
          <w:b/>
          <w:color w:val="auto"/>
          <w:sz w:val="24"/>
          <w:highlight w:val="none"/>
          <w:u w:val="wave"/>
        </w:rPr>
        <w:t>则按标内要求执行</w:t>
      </w:r>
      <w:r>
        <w:rPr>
          <w:rFonts w:hint="eastAsia" w:ascii="仿宋_GB2312" w:hAnsi="宋体" w:eastAsia="仿宋_GB2312"/>
          <w:b/>
          <w:color w:val="auto"/>
          <w:sz w:val="24"/>
          <w:highlight w:val="none"/>
        </w:rPr>
        <w:t>。</w:t>
      </w:r>
    </w:p>
    <w:p>
      <w:pPr>
        <w:pStyle w:val="23"/>
        <w:keepNext w:val="0"/>
        <w:keepLines w:val="0"/>
        <w:pageBreakBefore w:val="0"/>
        <w:widowControl w:val="0"/>
        <w:kinsoku/>
        <w:wordWrap/>
        <w:overflowPunct/>
        <w:topLinePunct w:val="0"/>
        <w:autoSpaceDE/>
        <w:autoSpaceDN/>
        <w:bidi w:val="0"/>
        <w:adjustRightInd w:val="0"/>
        <w:spacing w:after="0" w:afterLines="0" w:line="312" w:lineRule="auto"/>
        <w:ind w:right="0" w:firstLine="0" w:firstLineChars="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1.设备（材料）要求</w:t>
      </w:r>
    </w:p>
    <w:p>
      <w:pPr>
        <w:keepNext w:val="0"/>
        <w:keepLines w:val="0"/>
        <w:pageBreakBefore w:val="0"/>
        <w:tabs>
          <w:tab w:val="left" w:pos="1365"/>
        </w:tabs>
        <w:kinsoku/>
        <w:wordWrap/>
        <w:overflowPunct/>
        <w:topLinePunct w:val="0"/>
        <w:autoSpaceDE/>
        <w:autoSpaceDN/>
        <w:bidi w:val="0"/>
        <w:adjustRightInd w:val="0"/>
        <w:spacing w:line="312" w:lineRule="auto"/>
        <w:ind w:right="0" w:firstLine="0" w:firstLineChars="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1.1投标人投标提供的设备必须是厂商原装的、全新的，型号、性能及指标符合国家及招标文件提出的有关技术、质量、安全标准。</w:t>
      </w:r>
    </w:p>
    <w:p>
      <w:pPr>
        <w:keepNext w:val="0"/>
        <w:keepLines w:val="0"/>
        <w:pageBreakBefore w:val="0"/>
        <w:tabs>
          <w:tab w:val="left" w:pos="1365"/>
        </w:tabs>
        <w:kinsoku/>
        <w:wordWrap/>
        <w:overflowPunct/>
        <w:topLinePunct w:val="0"/>
        <w:autoSpaceDE/>
        <w:autoSpaceDN/>
        <w:bidi w:val="0"/>
        <w:adjustRightInd w:val="0"/>
        <w:spacing w:line="312" w:lineRule="auto"/>
        <w:ind w:right="0" w:firstLine="0" w:firstLineChars="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1.2所有设备在开箱检验时必须完好，无破损，配置与装箱单相符。数量、质量及性能不低于本需求书中提出的要求。</w:t>
      </w:r>
    </w:p>
    <w:p>
      <w:pPr>
        <w:keepNext w:val="0"/>
        <w:keepLines w:val="0"/>
        <w:pageBreakBefore w:val="0"/>
        <w:tabs>
          <w:tab w:val="left" w:pos="1365"/>
        </w:tabs>
        <w:kinsoku/>
        <w:wordWrap/>
        <w:overflowPunct/>
        <w:topLinePunct w:val="0"/>
        <w:autoSpaceDE/>
        <w:autoSpaceDN/>
        <w:bidi w:val="0"/>
        <w:adjustRightInd w:val="0"/>
        <w:spacing w:line="312" w:lineRule="auto"/>
        <w:ind w:right="0" w:firstLine="0" w:firstLineChars="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keepNext w:val="0"/>
        <w:keepLines w:val="0"/>
        <w:pageBreakBefore w:val="0"/>
        <w:tabs>
          <w:tab w:val="left" w:pos="1365"/>
        </w:tabs>
        <w:kinsoku/>
        <w:wordWrap/>
        <w:overflowPunct/>
        <w:topLinePunct w:val="0"/>
        <w:autoSpaceDE/>
        <w:autoSpaceDN/>
        <w:bidi w:val="0"/>
        <w:adjustRightInd w:val="0"/>
        <w:spacing w:line="312" w:lineRule="auto"/>
        <w:ind w:right="0" w:firstLine="0" w:firstLineChars="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1.4对于影响设备正常工作的必要组成部分，无论在技术规范中指出与否，投标人都应提供并在投标文件中明确列出。</w:t>
      </w:r>
    </w:p>
    <w:p>
      <w:pPr>
        <w:keepNext w:val="0"/>
        <w:keepLines w:val="0"/>
        <w:pageBreakBefore w:val="0"/>
        <w:tabs>
          <w:tab w:val="left" w:pos="1365"/>
        </w:tabs>
        <w:kinsoku/>
        <w:wordWrap/>
        <w:overflowPunct/>
        <w:topLinePunct w:val="0"/>
        <w:autoSpaceDE/>
        <w:autoSpaceDN/>
        <w:bidi w:val="0"/>
        <w:adjustRightInd w:val="0"/>
        <w:spacing w:line="312" w:lineRule="auto"/>
        <w:ind w:right="0" w:firstLine="0" w:firstLineChars="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1.5所有货物提供出厂合格证等质量证明文件，国外生产的必须有合法的进货渠道证明，如海关报关单、原产地证明、商检证明等。</w:t>
      </w:r>
    </w:p>
    <w:p>
      <w:pPr>
        <w:keepNext w:val="0"/>
        <w:keepLines w:val="0"/>
        <w:pageBreakBefore w:val="0"/>
        <w:tabs>
          <w:tab w:val="left" w:pos="1365"/>
        </w:tabs>
        <w:kinsoku/>
        <w:wordWrap/>
        <w:overflowPunct/>
        <w:topLinePunct w:val="0"/>
        <w:autoSpaceDE/>
        <w:autoSpaceDN/>
        <w:bidi w:val="0"/>
        <w:adjustRightInd w:val="0"/>
        <w:spacing w:line="312" w:lineRule="auto"/>
        <w:ind w:right="0" w:firstLine="0" w:firstLineChars="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1.6所有货物到现场安装使用前，招标人将进行抽样检验或试验。</w:t>
      </w:r>
    </w:p>
    <w:p>
      <w:pPr>
        <w:pStyle w:val="23"/>
        <w:keepNext w:val="0"/>
        <w:keepLines w:val="0"/>
        <w:pageBreakBefore w:val="0"/>
        <w:widowControl w:val="0"/>
        <w:kinsoku/>
        <w:wordWrap/>
        <w:overflowPunct/>
        <w:topLinePunct w:val="0"/>
        <w:autoSpaceDE/>
        <w:autoSpaceDN/>
        <w:bidi w:val="0"/>
        <w:adjustRightInd w:val="0"/>
        <w:spacing w:after="0" w:afterLines="0" w:line="312" w:lineRule="auto"/>
        <w:ind w:right="0" w:firstLine="0" w:firstLineChars="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2.数量调整</w:t>
      </w:r>
    </w:p>
    <w:p>
      <w:pPr>
        <w:pStyle w:val="23"/>
        <w:keepNext w:val="0"/>
        <w:keepLines w:val="0"/>
        <w:pageBreakBefore w:val="0"/>
        <w:widowControl w:val="0"/>
        <w:kinsoku/>
        <w:wordWrap/>
        <w:overflowPunct/>
        <w:topLinePunct w:val="0"/>
        <w:autoSpaceDE/>
        <w:autoSpaceDN/>
        <w:bidi w:val="0"/>
        <w:adjustRightInd w:val="0"/>
        <w:spacing w:after="0" w:afterLines="0" w:line="312" w:lineRule="auto"/>
        <w:ind w:right="0" w:firstLine="0" w:firstLineChars="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招标人保留在签约时调整部分方案及定购设备数量和服务的权力，投标人应对系统方案中设备和服务明细报价，按投标单价不变的前提下进行调整，双方不得拒绝。</w:t>
      </w:r>
    </w:p>
    <w:p>
      <w:pPr>
        <w:pStyle w:val="23"/>
        <w:keepNext w:val="0"/>
        <w:keepLines w:val="0"/>
        <w:pageBreakBefore w:val="0"/>
        <w:widowControl w:val="0"/>
        <w:kinsoku/>
        <w:wordWrap/>
        <w:overflowPunct/>
        <w:topLinePunct w:val="0"/>
        <w:autoSpaceDE/>
        <w:autoSpaceDN/>
        <w:bidi w:val="0"/>
        <w:adjustRightInd w:val="0"/>
        <w:spacing w:after="0" w:afterLines="0" w:line="312" w:lineRule="auto"/>
        <w:ind w:right="0" w:firstLine="0" w:firstLineChars="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如遇本次招标没有涉及的设备或服务时，由中标人提供申请，招标人确认后实施。</w:t>
      </w:r>
    </w:p>
    <w:p>
      <w:pPr>
        <w:pStyle w:val="23"/>
        <w:keepNext w:val="0"/>
        <w:keepLines w:val="0"/>
        <w:pageBreakBefore w:val="0"/>
        <w:widowControl w:val="0"/>
        <w:kinsoku/>
        <w:wordWrap/>
        <w:overflowPunct/>
        <w:topLinePunct w:val="0"/>
        <w:autoSpaceDE/>
        <w:autoSpaceDN/>
        <w:bidi w:val="0"/>
        <w:adjustRightInd w:val="0"/>
        <w:spacing w:after="0" w:afterLines="0" w:line="312" w:lineRule="auto"/>
        <w:ind w:right="0" w:firstLine="0" w:firstLineChars="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3.安装及调试、验收</w:t>
      </w:r>
    </w:p>
    <w:p>
      <w:pPr>
        <w:pStyle w:val="23"/>
        <w:keepNext w:val="0"/>
        <w:keepLines w:val="0"/>
        <w:pageBreakBefore w:val="0"/>
        <w:widowControl w:val="0"/>
        <w:kinsoku/>
        <w:wordWrap/>
        <w:overflowPunct/>
        <w:topLinePunct w:val="0"/>
        <w:autoSpaceDE/>
        <w:autoSpaceDN/>
        <w:bidi w:val="0"/>
        <w:adjustRightInd w:val="0"/>
        <w:spacing w:after="0" w:afterLines="0" w:line="312" w:lineRule="auto"/>
        <w:ind w:right="0" w:firstLine="0" w:firstLineChars="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中标人应派经招标人认可的有经验和能力、具有相应资质的技术人员，负责系统设备安装工作，在设备安装期间应充分了解设备安装进度要求，解决安装中出现的技术问题。</w:t>
      </w:r>
    </w:p>
    <w:p>
      <w:pPr>
        <w:keepNext w:val="0"/>
        <w:keepLines w:val="0"/>
        <w:pageBreakBefore w:val="0"/>
        <w:tabs>
          <w:tab w:val="left" w:pos="1365"/>
        </w:tabs>
        <w:kinsoku/>
        <w:wordWrap/>
        <w:overflowPunct/>
        <w:topLinePunct w:val="0"/>
        <w:autoSpaceDE/>
        <w:autoSpaceDN/>
        <w:bidi w:val="0"/>
        <w:adjustRightInd w:val="0"/>
        <w:spacing w:line="312" w:lineRule="auto"/>
        <w:ind w:right="0" w:firstLine="0" w:firstLineChars="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3.1中标人负责设备的安装、调试。</w:t>
      </w:r>
    </w:p>
    <w:p>
      <w:pPr>
        <w:keepNext w:val="0"/>
        <w:keepLines w:val="0"/>
        <w:pageBreakBefore w:val="0"/>
        <w:tabs>
          <w:tab w:val="left" w:pos="1365"/>
        </w:tabs>
        <w:kinsoku/>
        <w:wordWrap/>
        <w:overflowPunct/>
        <w:topLinePunct w:val="0"/>
        <w:autoSpaceDE/>
        <w:autoSpaceDN/>
        <w:bidi w:val="0"/>
        <w:adjustRightInd w:val="0"/>
        <w:spacing w:line="312" w:lineRule="auto"/>
        <w:ind w:right="0" w:firstLine="0" w:firstLineChars="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3.2调试所需专用工具设施物料由中标人自备、自费运到现场，完工后自费搬走。</w:t>
      </w:r>
    </w:p>
    <w:p>
      <w:pPr>
        <w:keepNext w:val="0"/>
        <w:keepLines w:val="0"/>
        <w:pageBreakBefore w:val="0"/>
        <w:tabs>
          <w:tab w:val="left" w:pos="1365"/>
        </w:tabs>
        <w:kinsoku/>
        <w:wordWrap/>
        <w:overflowPunct/>
        <w:topLinePunct w:val="0"/>
        <w:autoSpaceDE/>
        <w:autoSpaceDN/>
        <w:bidi w:val="0"/>
        <w:adjustRightInd w:val="0"/>
        <w:spacing w:line="312" w:lineRule="auto"/>
        <w:ind w:right="0" w:firstLine="0" w:firstLineChars="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3.3安装完成后，进行调试、验收按国家有关规范标准（国家无验收规范标准的按双方合同规定的要求）进行。</w:t>
      </w:r>
    </w:p>
    <w:p>
      <w:pPr>
        <w:keepNext w:val="0"/>
        <w:keepLines w:val="0"/>
        <w:pageBreakBefore w:val="0"/>
        <w:tabs>
          <w:tab w:val="left" w:pos="1365"/>
        </w:tabs>
        <w:kinsoku/>
        <w:wordWrap/>
        <w:overflowPunct/>
        <w:topLinePunct w:val="0"/>
        <w:autoSpaceDE/>
        <w:autoSpaceDN/>
        <w:bidi w:val="0"/>
        <w:adjustRightInd w:val="0"/>
        <w:spacing w:line="312" w:lineRule="auto"/>
        <w:ind w:right="0" w:firstLine="0" w:firstLineChars="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keepNext w:val="0"/>
        <w:keepLines w:val="0"/>
        <w:pageBreakBefore w:val="0"/>
        <w:tabs>
          <w:tab w:val="left" w:pos="1365"/>
        </w:tabs>
        <w:kinsoku/>
        <w:wordWrap/>
        <w:overflowPunct/>
        <w:topLinePunct w:val="0"/>
        <w:autoSpaceDE/>
        <w:autoSpaceDN/>
        <w:bidi w:val="0"/>
        <w:adjustRightInd w:val="0"/>
        <w:spacing w:line="312" w:lineRule="auto"/>
        <w:ind w:right="0" w:firstLine="0" w:firstLineChars="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3.5所有的招标设备应按照国家有关技术标准在制造厂检查和试验合格，以表明其运行性能、安全性能以及设备材料和结构在电气、机械上的完整性。</w:t>
      </w:r>
    </w:p>
    <w:p>
      <w:pPr>
        <w:pStyle w:val="23"/>
        <w:keepNext w:val="0"/>
        <w:keepLines w:val="0"/>
        <w:pageBreakBefore w:val="0"/>
        <w:widowControl w:val="0"/>
        <w:kinsoku/>
        <w:wordWrap/>
        <w:overflowPunct/>
        <w:topLinePunct w:val="0"/>
        <w:autoSpaceDE/>
        <w:autoSpaceDN/>
        <w:bidi w:val="0"/>
        <w:adjustRightInd w:val="0"/>
        <w:spacing w:after="0" w:afterLines="0" w:line="312" w:lineRule="auto"/>
        <w:ind w:right="0" w:firstLine="0" w:firstLineChars="0"/>
        <w:textAlignment w:val="auto"/>
        <w:rPr>
          <w:rFonts w:ascii="仿宋_GB2312" w:hAnsi="宋体" w:eastAsia="仿宋_GB2312"/>
          <w:b/>
          <w:color w:val="auto"/>
          <w:szCs w:val="24"/>
          <w:highlight w:val="none"/>
        </w:rPr>
      </w:pPr>
      <w:r>
        <w:rPr>
          <w:rFonts w:hint="eastAsia" w:ascii="仿宋_GB2312" w:hAnsi="宋体" w:eastAsia="仿宋_GB2312"/>
          <w:b/>
          <w:color w:val="auto"/>
          <w:szCs w:val="24"/>
          <w:highlight w:val="none"/>
        </w:rPr>
        <w:t>4.技术培训</w:t>
      </w:r>
    </w:p>
    <w:p>
      <w:pPr>
        <w:keepNext w:val="0"/>
        <w:keepLines w:val="0"/>
        <w:pageBreakBefore w:val="0"/>
        <w:kinsoku/>
        <w:wordWrap/>
        <w:overflowPunct/>
        <w:topLinePunct w:val="0"/>
        <w:autoSpaceDE/>
        <w:autoSpaceDN/>
        <w:bidi w:val="0"/>
        <w:adjustRightInd w:val="0"/>
        <w:spacing w:line="312" w:lineRule="auto"/>
        <w:ind w:right="0" w:firstLine="0" w:firstLineChars="0"/>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4.1中标人须对招标人的技术人员培训。投标人须在投标文件中提供详细的培训计划，包括培训内容、培训时间、培训费用等。</w:t>
      </w:r>
    </w:p>
    <w:p>
      <w:pPr>
        <w:keepNext w:val="0"/>
        <w:keepLines w:val="0"/>
        <w:pageBreakBefore w:val="0"/>
        <w:kinsoku/>
        <w:wordWrap/>
        <w:overflowPunct/>
        <w:topLinePunct w:val="0"/>
        <w:autoSpaceDE/>
        <w:autoSpaceDN/>
        <w:bidi w:val="0"/>
        <w:adjustRightInd w:val="0"/>
        <w:spacing w:line="312" w:lineRule="auto"/>
        <w:ind w:right="0" w:firstLine="0" w:firstLineChars="0"/>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4.2中标人提供的负责培训的人员应具备同类设备五年以上的经验。</w:t>
      </w:r>
    </w:p>
    <w:p>
      <w:pPr>
        <w:keepNext w:val="0"/>
        <w:keepLines w:val="0"/>
        <w:pageBreakBefore w:val="0"/>
        <w:kinsoku/>
        <w:wordWrap/>
        <w:overflowPunct/>
        <w:topLinePunct w:val="0"/>
        <w:autoSpaceDE/>
        <w:autoSpaceDN/>
        <w:bidi w:val="0"/>
        <w:adjustRightInd w:val="0"/>
        <w:spacing w:line="312" w:lineRule="auto"/>
        <w:ind w:right="0" w:firstLine="0" w:firstLineChars="0"/>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4.3技术培训费用应包含在投标总价中。    </w:t>
      </w:r>
    </w:p>
    <w:p>
      <w:pPr>
        <w:keepNext w:val="0"/>
        <w:keepLines w:val="0"/>
        <w:pageBreakBefore w:val="0"/>
        <w:kinsoku/>
        <w:wordWrap/>
        <w:overflowPunct/>
        <w:topLinePunct w:val="0"/>
        <w:autoSpaceDE/>
        <w:autoSpaceDN/>
        <w:bidi w:val="0"/>
        <w:adjustRightInd w:val="0"/>
        <w:spacing w:line="312" w:lineRule="auto"/>
        <w:ind w:right="0" w:firstLine="0" w:firstLineChars="0"/>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4.4技术培训至少应包括下列内容：</w:t>
      </w:r>
    </w:p>
    <w:p>
      <w:pPr>
        <w:keepNext w:val="0"/>
        <w:keepLines w:val="0"/>
        <w:pageBreakBefore w:val="0"/>
        <w:kinsoku/>
        <w:wordWrap/>
        <w:overflowPunct/>
        <w:topLinePunct w:val="0"/>
        <w:autoSpaceDE/>
        <w:autoSpaceDN/>
        <w:bidi w:val="0"/>
        <w:adjustRightInd w:val="0"/>
        <w:spacing w:line="312" w:lineRule="auto"/>
        <w:ind w:right="0" w:firstLine="0" w:firstLineChars="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4.4.1原理、构成和功能的描述。</w:t>
      </w:r>
    </w:p>
    <w:p>
      <w:pPr>
        <w:keepNext w:val="0"/>
        <w:keepLines w:val="0"/>
        <w:pageBreakBefore w:val="0"/>
        <w:kinsoku/>
        <w:wordWrap/>
        <w:overflowPunct/>
        <w:topLinePunct w:val="0"/>
        <w:autoSpaceDE/>
        <w:autoSpaceDN/>
        <w:bidi w:val="0"/>
        <w:adjustRightInd w:val="0"/>
        <w:spacing w:line="312" w:lineRule="auto"/>
        <w:ind w:right="0" w:firstLine="0" w:firstLineChars="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4.4.2常见故障的处理或排除。</w:t>
      </w:r>
    </w:p>
    <w:p>
      <w:pPr>
        <w:keepNext w:val="0"/>
        <w:keepLines w:val="0"/>
        <w:pageBreakBefore w:val="0"/>
        <w:kinsoku/>
        <w:wordWrap/>
        <w:overflowPunct/>
        <w:topLinePunct w:val="0"/>
        <w:autoSpaceDE/>
        <w:autoSpaceDN/>
        <w:bidi w:val="0"/>
        <w:adjustRightInd w:val="0"/>
        <w:spacing w:line="312" w:lineRule="auto"/>
        <w:ind w:right="0" w:firstLine="0" w:firstLineChars="0"/>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4.4.3各系统部件（设备）的检查、调整和维护。</w:t>
      </w:r>
    </w:p>
    <w:p>
      <w:pPr>
        <w:keepNext w:val="0"/>
        <w:keepLines w:val="0"/>
        <w:pageBreakBefore w:val="0"/>
        <w:kinsoku/>
        <w:wordWrap/>
        <w:overflowPunct/>
        <w:topLinePunct w:val="0"/>
        <w:autoSpaceDE/>
        <w:autoSpaceDN/>
        <w:bidi w:val="0"/>
        <w:adjustRightInd w:val="0"/>
        <w:spacing w:line="312" w:lineRule="auto"/>
        <w:ind w:right="0" w:firstLine="0" w:firstLineChars="0"/>
        <w:textAlignment w:val="auto"/>
        <w:rPr>
          <w:rFonts w:ascii="仿宋_GB2312" w:hAnsi="宋体" w:eastAsia="仿宋_GB2312"/>
          <w:color w:val="auto"/>
          <w:highlight w:val="none"/>
        </w:rPr>
      </w:pPr>
      <w:r>
        <w:rPr>
          <w:rFonts w:hint="eastAsia" w:ascii="仿宋_GB2312" w:hAnsi="宋体" w:eastAsia="仿宋_GB2312"/>
          <w:color w:val="auto"/>
          <w:sz w:val="24"/>
          <w:highlight w:val="none"/>
        </w:rPr>
        <w:t>4.4.4对使用者关于设备基本操作技能的培训</w:t>
      </w:r>
      <w:r>
        <w:rPr>
          <w:rFonts w:hint="eastAsia" w:ascii="仿宋_GB2312" w:hAnsi="宋体" w:eastAsia="仿宋_GB2312"/>
          <w:color w:val="auto"/>
          <w:highlight w:val="none"/>
        </w:rPr>
        <w:t>。</w:t>
      </w:r>
    </w:p>
    <w:p>
      <w:pPr>
        <w:pStyle w:val="23"/>
        <w:keepNext w:val="0"/>
        <w:keepLines w:val="0"/>
        <w:pageBreakBefore w:val="0"/>
        <w:widowControl w:val="0"/>
        <w:kinsoku/>
        <w:wordWrap/>
        <w:overflowPunct/>
        <w:topLinePunct w:val="0"/>
        <w:autoSpaceDE/>
        <w:autoSpaceDN/>
        <w:bidi w:val="0"/>
        <w:adjustRightInd w:val="0"/>
        <w:spacing w:after="0" w:afterLines="0" w:line="312" w:lineRule="auto"/>
        <w:ind w:right="0" w:firstLine="0" w:firstLineChars="0"/>
        <w:textAlignment w:val="auto"/>
        <w:rPr>
          <w:rFonts w:hint="eastAsia" w:ascii="仿宋_GB2312" w:hAnsi="宋体" w:eastAsia="仿宋_GB2312"/>
          <w:b/>
          <w:color w:val="auto"/>
          <w:szCs w:val="24"/>
          <w:highlight w:val="none"/>
        </w:rPr>
      </w:pPr>
      <w:r>
        <w:rPr>
          <w:rFonts w:hint="eastAsia" w:ascii="仿宋_GB2312" w:hAnsi="宋体" w:eastAsia="仿宋_GB2312"/>
          <w:b/>
          <w:color w:val="auto"/>
          <w:szCs w:val="24"/>
          <w:highlight w:val="none"/>
        </w:rPr>
        <w:t>5.售后服务</w:t>
      </w:r>
    </w:p>
    <w:p>
      <w:pPr>
        <w:pStyle w:val="7"/>
        <w:keepNext w:val="0"/>
        <w:keepLines w:val="0"/>
        <w:pageBreakBefore w:val="0"/>
        <w:kinsoku/>
        <w:wordWrap/>
        <w:overflowPunct/>
        <w:topLinePunct w:val="0"/>
        <w:autoSpaceDE/>
        <w:autoSpaceDN/>
        <w:bidi w:val="0"/>
        <w:adjustRightInd w:val="0"/>
        <w:spacing w:line="312" w:lineRule="auto"/>
        <w:ind w:right="0" w:firstLine="0" w:firstLineChars="0"/>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5.1投标人须提供经调试、试运行、验收合格后</w:t>
      </w:r>
      <w:r>
        <w:rPr>
          <w:rFonts w:hint="eastAsia" w:ascii="仿宋_GB2312" w:hAnsi="宋体" w:eastAsia="仿宋_GB2312"/>
          <w:color w:val="auto"/>
          <w:sz w:val="24"/>
          <w:highlight w:val="none"/>
          <w:lang w:eastAsia="zh-CN"/>
        </w:rPr>
        <w:t>符合各标项</w:t>
      </w:r>
      <w:r>
        <w:rPr>
          <w:rFonts w:hint="eastAsia" w:ascii="仿宋_GB2312" w:hAnsi="宋体" w:eastAsia="仿宋_GB2312"/>
          <w:color w:val="auto"/>
          <w:sz w:val="24"/>
          <w:highlight w:val="none"/>
        </w:rPr>
        <w:t>的质保期(投标人可根据自身实力作出更长时间的质保承诺)。在此期间，投标人应免费处理因质量发生的故障，并进行正常保养。</w:t>
      </w:r>
    </w:p>
    <w:p>
      <w:pPr>
        <w:keepNext w:val="0"/>
        <w:keepLines w:val="0"/>
        <w:pageBreakBefore w:val="0"/>
        <w:tabs>
          <w:tab w:val="left" w:pos="3870"/>
          <w:tab w:val="left" w:pos="4085"/>
        </w:tabs>
        <w:kinsoku/>
        <w:wordWrap/>
        <w:overflowPunct/>
        <w:topLinePunct w:val="0"/>
        <w:autoSpaceDE/>
        <w:autoSpaceDN/>
        <w:bidi w:val="0"/>
        <w:adjustRightInd w:val="0"/>
        <w:snapToGrid w:val="0"/>
        <w:spacing w:line="312" w:lineRule="auto"/>
        <w:ind w:right="0" w:firstLine="0" w:firstLineChars="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5.2中标人必须有可靠的售后服务保障包括但不限于在</w:t>
      </w:r>
      <w:r>
        <w:rPr>
          <w:rFonts w:hint="eastAsia" w:ascii="仿宋_GB2312" w:hAnsi="宋体" w:eastAsia="仿宋_GB2312"/>
          <w:b/>
          <w:color w:val="auto"/>
          <w:sz w:val="24"/>
          <w:highlight w:val="none"/>
          <w:u w:val="single"/>
        </w:rPr>
        <w:t>绍兴附近</w:t>
      </w:r>
      <w:r>
        <w:rPr>
          <w:rFonts w:hint="eastAsia" w:ascii="仿宋_GB2312" w:hAnsi="宋体" w:eastAsia="仿宋_GB2312"/>
          <w:color w:val="auto"/>
          <w:sz w:val="24"/>
          <w:highlight w:val="none"/>
        </w:rPr>
        <w:t>有固定的维修服务点，能提供正常的技术、备品备件服务。中标人在接到招标人通知后，</w:t>
      </w:r>
      <w:r>
        <w:rPr>
          <w:rFonts w:hint="eastAsia" w:ascii="仿宋_GB2312" w:hAnsi="宋体" w:eastAsia="仿宋_GB2312"/>
          <w:color w:val="auto"/>
          <w:sz w:val="24"/>
          <w:highlight w:val="none"/>
          <w:lang w:val="en-US" w:eastAsia="zh-CN"/>
        </w:rPr>
        <w:t>24</w:t>
      </w:r>
      <w:r>
        <w:rPr>
          <w:rFonts w:hint="eastAsia" w:ascii="仿宋_GB2312" w:hAnsi="宋体" w:eastAsia="仿宋_GB2312"/>
          <w:color w:val="auto"/>
          <w:sz w:val="24"/>
          <w:highlight w:val="none"/>
        </w:rPr>
        <w:t>小时内派人赴现场处理设备质量问题。</w:t>
      </w:r>
      <w:r>
        <w:rPr>
          <w:rFonts w:hint="eastAsia" w:ascii="仿宋_GB2312" w:hAnsi="宋体" w:eastAsia="仿宋_GB2312"/>
          <w:color w:val="auto"/>
          <w:sz w:val="24"/>
          <w:highlight w:val="none"/>
          <w:lang w:val="en-US" w:eastAsia="zh-CN"/>
        </w:rPr>
        <w:t>72</w:t>
      </w:r>
      <w:r>
        <w:rPr>
          <w:rFonts w:hint="eastAsia" w:ascii="仿宋_GB2312" w:hAnsi="宋体" w:eastAsia="仿宋_GB2312"/>
          <w:color w:val="auto"/>
          <w:sz w:val="24"/>
          <w:highlight w:val="none"/>
        </w:rPr>
        <w:t>小时内不能修复的，则无偿提供备机或备用零件供采购人使用。</w:t>
      </w:r>
    </w:p>
    <w:p>
      <w:pPr>
        <w:keepNext w:val="0"/>
        <w:keepLines w:val="0"/>
        <w:pageBreakBefore w:val="0"/>
        <w:kinsoku/>
        <w:wordWrap/>
        <w:overflowPunct/>
        <w:topLinePunct w:val="0"/>
        <w:autoSpaceDE/>
        <w:autoSpaceDN/>
        <w:bidi w:val="0"/>
        <w:adjustRightInd w:val="0"/>
        <w:snapToGrid w:val="0"/>
        <w:spacing w:line="312" w:lineRule="auto"/>
        <w:ind w:right="0" w:firstLine="0" w:firstLineChars="0"/>
        <w:jc w:val="left"/>
        <w:textAlignment w:val="auto"/>
        <w:rPr>
          <w:rFonts w:ascii="仿宋_GB2312" w:hAnsi="宋体" w:eastAsia="仿宋_GB2312"/>
          <w:b/>
          <w:color w:val="auto"/>
          <w:kern w:val="0"/>
          <w:sz w:val="24"/>
          <w:highlight w:val="none"/>
          <w:u w:val="wave"/>
        </w:rPr>
      </w:pPr>
      <w:r>
        <w:rPr>
          <w:rFonts w:hint="eastAsia" w:ascii="仿宋_GB2312" w:hAnsi="宋体" w:eastAsia="仿宋_GB2312"/>
          <w:b/>
          <w:color w:val="auto"/>
          <w:sz w:val="24"/>
          <w:highlight w:val="none"/>
        </w:rPr>
        <w:t>6. 服务要求</w:t>
      </w:r>
    </w:p>
    <w:p>
      <w:pPr>
        <w:keepNext w:val="0"/>
        <w:keepLines w:val="0"/>
        <w:pageBreakBefore w:val="0"/>
        <w:tabs>
          <w:tab w:val="left" w:pos="3870"/>
          <w:tab w:val="left" w:pos="4085"/>
        </w:tabs>
        <w:kinsoku/>
        <w:wordWrap/>
        <w:overflowPunct/>
        <w:topLinePunct w:val="0"/>
        <w:autoSpaceDE/>
        <w:autoSpaceDN/>
        <w:bidi w:val="0"/>
        <w:adjustRightInd w:val="0"/>
        <w:snapToGrid w:val="0"/>
        <w:spacing w:line="312" w:lineRule="auto"/>
        <w:ind w:right="0" w:firstLine="0" w:firstLineChars="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6.1设备保修期内（各标项内已有要求的除外），如出现故障，中标人在接到电话</w:t>
      </w:r>
      <w:r>
        <w:rPr>
          <w:rFonts w:hint="eastAsia" w:ascii="仿宋_GB2312" w:hAnsi="宋体" w:eastAsia="仿宋_GB2312"/>
          <w:color w:val="auto"/>
          <w:sz w:val="24"/>
          <w:highlight w:val="none"/>
          <w:lang w:val="en-US" w:eastAsia="zh-CN"/>
        </w:rPr>
        <w:t>24</w:t>
      </w:r>
      <w:r>
        <w:rPr>
          <w:rFonts w:hint="eastAsia" w:ascii="仿宋_GB2312" w:hAnsi="宋体" w:eastAsia="仿宋_GB2312"/>
          <w:color w:val="auto"/>
          <w:sz w:val="24"/>
          <w:highlight w:val="none"/>
        </w:rPr>
        <w:t>小时内到达采购人指定地点，</w:t>
      </w:r>
    </w:p>
    <w:p>
      <w:pPr>
        <w:keepNext w:val="0"/>
        <w:keepLines w:val="0"/>
        <w:pageBreakBefore w:val="0"/>
        <w:tabs>
          <w:tab w:val="left" w:pos="3870"/>
          <w:tab w:val="left" w:pos="4085"/>
        </w:tabs>
        <w:kinsoku/>
        <w:wordWrap/>
        <w:overflowPunct/>
        <w:topLinePunct w:val="0"/>
        <w:autoSpaceDE/>
        <w:autoSpaceDN/>
        <w:bidi w:val="0"/>
        <w:adjustRightInd w:val="0"/>
        <w:snapToGrid w:val="0"/>
        <w:spacing w:line="312" w:lineRule="auto"/>
        <w:ind w:right="0" w:firstLine="0" w:firstLineChars="0"/>
        <w:jc w:val="left"/>
        <w:textAlignment w:val="auto"/>
        <w:rPr>
          <w:rFonts w:ascii="仿宋_GB2312" w:hAnsi="宋体" w:eastAsia="仿宋_GB2312"/>
          <w:color w:val="auto"/>
          <w:sz w:val="24"/>
          <w:highlight w:val="none"/>
        </w:rPr>
      </w:pPr>
      <w:r>
        <w:rPr>
          <w:rFonts w:hint="eastAsia" w:ascii="仿宋_GB2312" w:hAnsi="宋体" w:eastAsia="仿宋_GB2312"/>
          <w:color w:val="auto"/>
          <w:sz w:val="24"/>
          <w:highlight w:val="none"/>
        </w:rPr>
        <w:t>6.2 中标人提供的设备，必须符合招标文件及其投标文件规定的要求，如有不符，采购人可以无条件退货，造成的损失由中标人承担。</w:t>
      </w:r>
    </w:p>
    <w:p>
      <w:pPr>
        <w:keepNext w:val="0"/>
        <w:keepLines w:val="0"/>
        <w:pageBreakBefore w:val="0"/>
        <w:kinsoku/>
        <w:wordWrap/>
        <w:overflowPunct/>
        <w:topLinePunct w:val="0"/>
        <w:autoSpaceDE/>
        <w:autoSpaceDN/>
        <w:bidi w:val="0"/>
        <w:adjustRightInd w:val="0"/>
        <w:snapToGrid w:val="0"/>
        <w:spacing w:line="312" w:lineRule="auto"/>
        <w:ind w:right="0" w:firstLine="0" w:firstLineChars="0"/>
        <w:jc w:val="left"/>
        <w:textAlignment w:val="auto"/>
        <w:rPr>
          <w:rFonts w:ascii="仿宋_GB2312" w:hAnsi="宋体" w:eastAsia="仿宋_GB2312"/>
          <w:b/>
          <w:color w:val="auto"/>
          <w:sz w:val="24"/>
          <w:highlight w:val="none"/>
        </w:rPr>
      </w:pPr>
      <w:r>
        <w:rPr>
          <w:rFonts w:hint="eastAsia" w:ascii="仿宋_GB2312" w:hAnsi="宋体" w:eastAsia="仿宋_GB2312"/>
          <w:b/>
          <w:color w:val="auto"/>
          <w:sz w:val="24"/>
          <w:highlight w:val="none"/>
        </w:rPr>
        <w:t>7. 项目实施人员费用</w:t>
      </w:r>
    </w:p>
    <w:p>
      <w:pPr>
        <w:keepNext w:val="0"/>
        <w:keepLines w:val="0"/>
        <w:pageBreakBefore w:val="0"/>
        <w:kinsoku/>
        <w:wordWrap/>
        <w:overflowPunct/>
        <w:topLinePunct w:val="0"/>
        <w:autoSpaceDE/>
        <w:autoSpaceDN/>
        <w:bidi w:val="0"/>
        <w:adjustRightInd w:val="0"/>
        <w:snapToGrid w:val="0"/>
        <w:spacing w:line="312" w:lineRule="auto"/>
        <w:ind w:right="0" w:firstLine="0" w:firstLineChars="0"/>
        <w:jc w:val="left"/>
        <w:textAlignment w:val="auto"/>
        <w:rPr>
          <w:rFonts w:ascii="仿宋_GB2312" w:hAnsi="宋体" w:eastAsia="仿宋_GB2312"/>
          <w:b/>
          <w:color w:val="auto"/>
          <w:sz w:val="24"/>
          <w:highlight w:val="none"/>
        </w:rPr>
      </w:pPr>
      <w:r>
        <w:rPr>
          <w:rFonts w:hint="eastAsia" w:ascii="仿宋_GB2312" w:hAnsi="宋体" w:eastAsia="仿宋_GB2312"/>
          <w:color w:val="auto"/>
          <w:sz w:val="24"/>
          <w:highlight w:val="none"/>
        </w:rPr>
        <w:t xml:space="preserve">   中标人应自行承担选派专业人员的住宿、就餐和交通等费用。</w:t>
      </w:r>
    </w:p>
    <w:p>
      <w:pPr>
        <w:keepNext w:val="0"/>
        <w:keepLines w:val="0"/>
        <w:pageBreakBefore w:val="0"/>
        <w:numPr>
          <w:ilvl w:val="0"/>
          <w:numId w:val="5"/>
        </w:numPr>
        <w:kinsoku/>
        <w:wordWrap/>
        <w:overflowPunct/>
        <w:topLinePunct w:val="0"/>
        <w:autoSpaceDE/>
        <w:autoSpaceDN/>
        <w:bidi w:val="0"/>
        <w:adjustRightInd w:val="0"/>
        <w:spacing w:line="312" w:lineRule="auto"/>
        <w:ind w:right="0" w:firstLine="0" w:firstLineChars="0"/>
        <w:textAlignment w:val="auto"/>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招标项目设备名称及数量：</w:t>
      </w:r>
    </w:p>
    <w:p>
      <w:pPr>
        <w:keepNext w:val="0"/>
        <w:keepLines w:val="0"/>
        <w:pageBreakBefore w:val="0"/>
        <w:numPr>
          <w:ilvl w:val="0"/>
          <w:numId w:val="0"/>
        </w:numPr>
        <w:kinsoku/>
        <w:wordWrap/>
        <w:overflowPunct/>
        <w:topLinePunct w:val="0"/>
        <w:autoSpaceDE/>
        <w:autoSpaceDN/>
        <w:bidi w:val="0"/>
        <w:spacing w:line="312" w:lineRule="auto"/>
        <w:ind w:left="0" w:leftChars="0" w:right="0" w:rightChars="0" w:firstLine="0" w:firstLineChars="0"/>
        <w:textAlignment w:val="auto"/>
        <w:rPr>
          <w:rFonts w:hint="eastAsia" w:ascii="仿宋_GB2312" w:hAnsi="宋体" w:eastAsia="仿宋_GB2312" w:cs="Times New Roman"/>
          <w:b/>
          <w:color w:val="auto"/>
          <w:sz w:val="24"/>
          <w:highlight w:val="none"/>
        </w:rPr>
      </w:pPr>
      <w:r>
        <w:rPr>
          <w:rFonts w:ascii="仿宋_GB2312" w:hAnsi="新宋体" w:eastAsia="仿宋_GB2312" w:cs="Arial"/>
          <w:b/>
          <w:bCs/>
          <w:color w:val="auto"/>
          <w:sz w:val="24"/>
          <w:highlight w:val="none"/>
          <w:bdr w:val="single" w:color="auto" w:sz="4" w:space="0"/>
        </w:rPr>
        <w:t>01</w:t>
      </w:r>
      <w:r>
        <w:rPr>
          <w:rFonts w:hint="eastAsia" w:ascii="仿宋_GB2312" w:hAnsi="新宋体" w:eastAsia="仿宋_GB2312" w:cs="Arial"/>
          <w:b/>
          <w:bCs/>
          <w:color w:val="auto"/>
          <w:sz w:val="24"/>
          <w:highlight w:val="none"/>
          <w:bdr w:val="single" w:color="auto" w:sz="4" w:space="0"/>
        </w:rPr>
        <w:t>标</w:t>
      </w:r>
      <w:r>
        <w:rPr>
          <w:rFonts w:hint="eastAsia" w:ascii="仿宋_GB2312" w:hAnsi="宋体" w:eastAsia="仿宋_GB2312"/>
          <w:b/>
          <w:color w:val="auto"/>
          <w:sz w:val="24"/>
          <w:highlight w:val="none"/>
        </w:rPr>
        <w:t>液化天然气加气机检定设备</w:t>
      </w:r>
      <w:r>
        <w:rPr>
          <w:rFonts w:hint="eastAsia" w:ascii="仿宋_GB2312" w:hAnsi="宋体" w:eastAsia="仿宋_GB2312" w:cs="Times New Roman"/>
          <w:b/>
          <w:color w:val="auto"/>
          <w:sz w:val="24"/>
          <w:highlight w:val="none"/>
        </w:rPr>
        <w:t>采购项目（预算金额：</w:t>
      </w:r>
      <w:r>
        <w:rPr>
          <w:rFonts w:hint="eastAsia" w:ascii="仿宋_GB2312" w:hAnsi="宋体" w:eastAsia="仿宋_GB2312" w:cs="Times New Roman"/>
          <w:b/>
          <w:color w:val="auto"/>
          <w:sz w:val="24"/>
          <w:highlight w:val="none"/>
          <w:lang w:val="en-US" w:eastAsia="zh-CN"/>
        </w:rPr>
        <w:t>550000</w:t>
      </w:r>
      <w:r>
        <w:rPr>
          <w:rFonts w:hint="eastAsia" w:ascii="仿宋_GB2312" w:hAnsi="宋体" w:eastAsia="仿宋_GB2312" w:cs="Times New Roman"/>
          <w:b/>
          <w:color w:val="auto"/>
          <w:sz w:val="24"/>
          <w:highlight w:val="none"/>
        </w:rPr>
        <w:t>元）</w:t>
      </w:r>
    </w:p>
    <w:p>
      <w:pPr>
        <w:keepNext w:val="0"/>
        <w:keepLines w:val="0"/>
        <w:pageBreakBefore w:val="0"/>
        <w:widowControl w:val="0"/>
        <w:tabs>
          <w:tab w:val="left" w:pos="851"/>
        </w:tabs>
        <w:kinsoku/>
        <w:wordWrap/>
        <w:overflowPunct/>
        <w:topLinePunct w:val="0"/>
        <w:autoSpaceDE/>
        <w:autoSpaceDN/>
        <w:bidi w:val="0"/>
        <w:adjustRightInd w:val="0"/>
        <w:snapToGrid/>
        <w:spacing w:line="312" w:lineRule="auto"/>
        <w:ind w:left="0" w:leftChars="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.技术参数</w:t>
      </w:r>
      <w:r>
        <w:rPr>
          <w:rFonts w:hint="eastAsia" w:ascii="仿宋" w:hAnsi="仿宋" w:eastAsia="仿宋" w:cs="仿宋"/>
          <w:b/>
          <w:color w:val="auto"/>
          <w:sz w:val="24"/>
          <w:szCs w:val="24"/>
          <w:highlight w:val="none"/>
        </w:rPr>
        <w:tab/>
      </w:r>
    </w:p>
    <w:p>
      <w:pPr>
        <w:keepNext w:val="0"/>
        <w:keepLines w:val="0"/>
        <w:pageBreakBefore w:val="0"/>
        <w:numPr>
          <w:ilvl w:val="1"/>
          <w:numId w:val="6"/>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GB"/>
        </w:rPr>
        <w:t>★</w:t>
      </w:r>
      <w:r>
        <w:rPr>
          <w:rFonts w:hint="eastAsia" w:ascii="仿宋_GB2312" w:hAnsi="宋体" w:eastAsia="仿宋_GB2312"/>
          <w:color w:val="auto"/>
          <w:sz w:val="24"/>
          <w:highlight w:val="none"/>
        </w:rPr>
        <w:t>装置扩展不确定度：≤ 0.3%，（k=2）重复性：≤ 0.15%；</w:t>
      </w:r>
    </w:p>
    <w:p>
      <w:pPr>
        <w:keepNext w:val="0"/>
        <w:keepLines w:val="0"/>
        <w:pageBreakBefore w:val="0"/>
        <w:numPr>
          <w:ilvl w:val="1"/>
          <w:numId w:val="6"/>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检定介质：液化天然气（LNG）；</w:t>
      </w:r>
    </w:p>
    <w:p>
      <w:pPr>
        <w:keepNext w:val="0"/>
        <w:keepLines w:val="0"/>
        <w:pageBreakBefore w:val="0"/>
        <w:numPr>
          <w:ilvl w:val="1"/>
          <w:numId w:val="6"/>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lang w:val="en-GB"/>
        </w:rPr>
      </w:pPr>
      <w:r>
        <w:rPr>
          <w:rFonts w:hint="eastAsia" w:ascii="仿宋_GB2312" w:hAnsi="宋体" w:eastAsia="仿宋_GB2312"/>
          <w:color w:val="auto"/>
          <w:sz w:val="24"/>
          <w:highlight w:val="none"/>
          <w:lang w:val="en-GB"/>
        </w:rPr>
        <w:t>★流量范围：覆盖20kg/min</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GB"/>
        </w:rPr>
        <w:t>80kg/min；</w:t>
      </w:r>
    </w:p>
    <w:p>
      <w:pPr>
        <w:keepNext w:val="0"/>
        <w:keepLines w:val="0"/>
        <w:pageBreakBefore w:val="0"/>
        <w:numPr>
          <w:ilvl w:val="1"/>
          <w:numId w:val="6"/>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lang w:val="en-GB"/>
        </w:rPr>
      </w:pPr>
      <w:r>
        <w:rPr>
          <w:rFonts w:hint="eastAsia" w:ascii="仿宋_GB2312" w:hAnsi="宋体" w:eastAsia="仿宋_GB2312"/>
          <w:color w:val="auto"/>
          <w:sz w:val="24"/>
          <w:highlight w:val="none"/>
          <w:lang w:val="en-GB"/>
        </w:rPr>
        <w:t>额定压力：不低于1.6MPa；设计工作压力2.0MPa；</w:t>
      </w:r>
    </w:p>
    <w:p>
      <w:pPr>
        <w:keepNext w:val="0"/>
        <w:keepLines w:val="0"/>
        <w:pageBreakBefore w:val="0"/>
        <w:numPr>
          <w:ilvl w:val="1"/>
          <w:numId w:val="6"/>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使用环境大气压力：覆盖86kPa～106kPa；</w:t>
      </w:r>
    </w:p>
    <w:p>
      <w:pPr>
        <w:keepNext w:val="0"/>
        <w:keepLines w:val="0"/>
        <w:pageBreakBefore w:val="0"/>
        <w:numPr>
          <w:ilvl w:val="1"/>
          <w:numId w:val="6"/>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lang w:val="en-GB"/>
        </w:rPr>
      </w:pPr>
      <w:r>
        <w:rPr>
          <w:rFonts w:hint="eastAsia" w:ascii="仿宋_GB2312" w:hAnsi="宋体" w:eastAsia="仿宋_GB2312"/>
          <w:color w:val="auto"/>
          <w:sz w:val="24"/>
          <w:highlight w:val="none"/>
          <w:lang w:val="en-GB"/>
        </w:rPr>
        <w:t>环境温度：覆盖-25℃</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GB"/>
        </w:rPr>
        <w:t>+55℃，相对湿度：覆盖35%</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GB"/>
        </w:rPr>
        <w:t>90%；</w:t>
      </w:r>
    </w:p>
    <w:p>
      <w:pPr>
        <w:keepNext w:val="0"/>
        <w:keepLines w:val="0"/>
        <w:pageBreakBefore w:val="0"/>
        <w:numPr>
          <w:ilvl w:val="1"/>
          <w:numId w:val="6"/>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GB"/>
        </w:rPr>
        <w:t>电源电压：</w:t>
      </w:r>
      <w:r>
        <w:rPr>
          <w:rFonts w:hint="eastAsia" w:ascii="仿宋_GB2312" w:hAnsi="宋体" w:eastAsia="仿宋_GB2312"/>
          <w:color w:val="auto"/>
          <w:sz w:val="24"/>
          <w:highlight w:val="none"/>
        </w:rPr>
        <w:t>可车载供电 DC12V/DC24V；</w:t>
      </w:r>
    </w:p>
    <w:p>
      <w:pPr>
        <w:keepNext w:val="0"/>
        <w:keepLines w:val="0"/>
        <w:pageBreakBefore w:val="0"/>
        <w:numPr>
          <w:ilvl w:val="1"/>
          <w:numId w:val="6"/>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GB"/>
        </w:rPr>
        <w:t>外形尺寸：不大于</w:t>
      </w:r>
      <w:r>
        <w:rPr>
          <w:rFonts w:hint="eastAsia" w:ascii="仿宋_GB2312" w:hAnsi="宋体" w:eastAsia="仿宋_GB2312"/>
          <w:color w:val="auto"/>
          <w:sz w:val="24"/>
          <w:highlight w:val="none"/>
        </w:rPr>
        <w:t>800</w:t>
      </w:r>
      <w:r>
        <w:rPr>
          <w:rFonts w:hint="eastAsia" w:ascii="仿宋_GB2312" w:hAnsi="宋体" w:eastAsia="仿宋_GB2312"/>
          <w:color w:val="auto"/>
          <w:sz w:val="24"/>
          <w:highlight w:val="none"/>
          <w:lang w:val="en-GB"/>
        </w:rPr>
        <w:t>x</w:t>
      </w:r>
      <w:r>
        <w:rPr>
          <w:rFonts w:hint="eastAsia" w:ascii="仿宋_GB2312" w:hAnsi="宋体" w:eastAsia="仿宋_GB2312"/>
          <w:color w:val="auto"/>
          <w:sz w:val="24"/>
          <w:highlight w:val="none"/>
        </w:rPr>
        <w:t>700</w:t>
      </w:r>
      <w:r>
        <w:rPr>
          <w:rFonts w:hint="eastAsia" w:ascii="仿宋_GB2312" w:hAnsi="宋体" w:eastAsia="仿宋_GB2312"/>
          <w:color w:val="auto"/>
          <w:sz w:val="24"/>
          <w:highlight w:val="none"/>
          <w:lang w:val="en-GB"/>
        </w:rPr>
        <w:t>x</w:t>
      </w:r>
      <w:r>
        <w:rPr>
          <w:rFonts w:hint="eastAsia" w:ascii="仿宋_GB2312" w:hAnsi="宋体" w:eastAsia="仿宋_GB2312"/>
          <w:color w:val="auto"/>
          <w:sz w:val="24"/>
          <w:highlight w:val="none"/>
        </w:rPr>
        <w:t>700；</w:t>
      </w:r>
    </w:p>
    <w:p>
      <w:pPr>
        <w:keepNext w:val="0"/>
        <w:keepLines w:val="0"/>
        <w:pageBreakBefore w:val="0"/>
        <w:numPr>
          <w:ilvl w:val="1"/>
          <w:numId w:val="6"/>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GB"/>
        </w:rPr>
        <w:t>整机防爆要求：</w:t>
      </w:r>
      <w:r>
        <w:rPr>
          <w:rFonts w:hint="eastAsia" w:ascii="仿宋_GB2312" w:hAnsi="宋体" w:eastAsia="仿宋_GB2312"/>
          <w:color w:val="auto"/>
          <w:sz w:val="24"/>
          <w:highlight w:val="none"/>
        </w:rPr>
        <w:t>满足防爆要求，提供有效期内的防爆合格证；</w:t>
      </w:r>
    </w:p>
    <w:p>
      <w:pPr>
        <w:keepNext w:val="0"/>
        <w:keepLines w:val="0"/>
        <w:pageBreakBefore w:val="0"/>
        <w:numPr>
          <w:ilvl w:val="1"/>
          <w:numId w:val="6"/>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lang w:val="en-GB"/>
        </w:rPr>
      </w:pPr>
      <w:r>
        <w:rPr>
          <w:rFonts w:hint="eastAsia" w:ascii="仿宋_GB2312" w:hAnsi="宋体" w:eastAsia="仿宋_GB2312"/>
          <w:color w:val="auto"/>
          <w:sz w:val="24"/>
          <w:highlight w:val="none"/>
          <w:lang w:val="en-GB"/>
        </w:rPr>
        <w:t>重量：不大于</w:t>
      </w:r>
      <w:r>
        <w:rPr>
          <w:rFonts w:hint="eastAsia" w:ascii="仿宋_GB2312" w:hAnsi="宋体" w:eastAsia="仿宋_GB2312"/>
          <w:color w:val="auto"/>
          <w:sz w:val="24"/>
          <w:highlight w:val="none"/>
        </w:rPr>
        <w:t>10</w:t>
      </w:r>
      <w:r>
        <w:rPr>
          <w:rFonts w:hint="eastAsia" w:ascii="仿宋_GB2312" w:hAnsi="宋体" w:eastAsia="仿宋_GB2312"/>
          <w:color w:val="auto"/>
          <w:sz w:val="24"/>
          <w:highlight w:val="none"/>
          <w:lang w:val="en-GB"/>
        </w:rPr>
        <w:t>0kg。</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b/>
          <w:bCs/>
          <w:color w:val="auto"/>
          <w:sz w:val="24"/>
          <w:highlight w:val="none"/>
          <w:lang w:val="en-GB"/>
        </w:rPr>
      </w:pPr>
      <w:r>
        <w:rPr>
          <w:rFonts w:hint="eastAsia" w:ascii="仿宋_GB2312" w:hAnsi="宋体" w:eastAsia="仿宋_GB2312"/>
          <w:b/>
          <w:bCs/>
          <w:color w:val="auto"/>
          <w:sz w:val="24"/>
          <w:highlight w:val="none"/>
          <w:lang w:val="en-US" w:eastAsia="zh-CN"/>
        </w:rPr>
        <w:t>2.</w:t>
      </w:r>
      <w:r>
        <w:rPr>
          <w:rFonts w:hint="eastAsia" w:ascii="仿宋_GB2312" w:hAnsi="宋体" w:eastAsia="仿宋_GB2312"/>
          <w:b/>
          <w:bCs/>
          <w:color w:val="auto"/>
          <w:sz w:val="24"/>
          <w:highlight w:val="none"/>
        </w:rPr>
        <w:t>主要设备及指标：</w:t>
      </w:r>
    </w:p>
    <w:tbl>
      <w:tblPr>
        <w:tblStyle w:val="1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062"/>
        <w:gridCol w:w="1082"/>
        <w:gridCol w:w="983"/>
        <w:gridCol w:w="3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10"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206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名称</w:t>
            </w:r>
          </w:p>
        </w:tc>
        <w:tc>
          <w:tcPr>
            <w:tcW w:w="108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材质</w:t>
            </w:r>
          </w:p>
        </w:tc>
        <w:tc>
          <w:tcPr>
            <w:tcW w:w="983"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数量</w:t>
            </w:r>
          </w:p>
        </w:tc>
        <w:tc>
          <w:tcPr>
            <w:tcW w:w="3416"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10"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lang w:val="en-GB"/>
              </w:rPr>
            </w:pPr>
            <w:r>
              <w:rPr>
                <w:rFonts w:hint="eastAsia" w:ascii="仿宋_GB2312" w:hAnsi="宋体" w:eastAsia="仿宋_GB2312"/>
                <w:color w:val="auto"/>
                <w:sz w:val="24"/>
                <w:highlight w:val="none"/>
                <w:lang w:val="en-GB"/>
              </w:rPr>
              <w:t>★</w:t>
            </w:r>
            <w:r>
              <w:rPr>
                <w:rFonts w:hint="eastAsia" w:ascii="仿宋_GB2312" w:hAnsi="宋体" w:eastAsia="仿宋_GB2312"/>
                <w:color w:val="auto"/>
                <w:sz w:val="24"/>
                <w:highlight w:val="none"/>
                <w:lang w:val="en-US" w:eastAsia="zh-CN"/>
              </w:rPr>
              <w:t>2.1</w:t>
            </w:r>
          </w:p>
        </w:tc>
        <w:tc>
          <w:tcPr>
            <w:tcW w:w="206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质量流量计(液相)</w:t>
            </w:r>
          </w:p>
        </w:tc>
        <w:tc>
          <w:tcPr>
            <w:tcW w:w="108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w:t>
            </w:r>
          </w:p>
        </w:tc>
        <w:tc>
          <w:tcPr>
            <w:tcW w:w="983"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1台</w:t>
            </w:r>
          </w:p>
        </w:tc>
        <w:tc>
          <w:tcPr>
            <w:tcW w:w="3416"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型号：CMF100；</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准确度等级不低于：0.15级；</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流量范围不低于：（6～80）kg/min；</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介质温度: -240℃～+204℃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10"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GB"/>
              </w:rPr>
              <w:t>★</w:t>
            </w:r>
            <w:r>
              <w:rPr>
                <w:rFonts w:hint="eastAsia" w:ascii="仿宋_GB2312" w:hAnsi="宋体" w:eastAsia="仿宋_GB2312"/>
                <w:color w:val="auto"/>
                <w:sz w:val="24"/>
                <w:highlight w:val="none"/>
                <w:lang w:val="en-US" w:eastAsia="zh-CN"/>
              </w:rPr>
              <w:t>2.2</w:t>
            </w:r>
          </w:p>
        </w:tc>
        <w:tc>
          <w:tcPr>
            <w:tcW w:w="206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质量流量计(气相)</w:t>
            </w:r>
          </w:p>
        </w:tc>
        <w:tc>
          <w:tcPr>
            <w:tcW w:w="108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w:t>
            </w:r>
          </w:p>
        </w:tc>
        <w:tc>
          <w:tcPr>
            <w:tcW w:w="983"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1台</w:t>
            </w:r>
          </w:p>
        </w:tc>
        <w:tc>
          <w:tcPr>
            <w:tcW w:w="3416"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型号：CMF025；</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准确度等级不低于：0.15级；</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流量范围不低于：(1～8)kg/min；</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介质温度: -240℃～+204℃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10"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2.3</w:t>
            </w:r>
          </w:p>
        </w:tc>
        <w:tc>
          <w:tcPr>
            <w:tcW w:w="206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数字压力表</w:t>
            </w:r>
          </w:p>
        </w:tc>
        <w:tc>
          <w:tcPr>
            <w:tcW w:w="108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304不锈钢</w:t>
            </w:r>
          </w:p>
        </w:tc>
        <w:tc>
          <w:tcPr>
            <w:tcW w:w="983"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1台</w:t>
            </w:r>
          </w:p>
        </w:tc>
        <w:tc>
          <w:tcPr>
            <w:tcW w:w="3416"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（0～4）</w:t>
            </w:r>
            <w:r>
              <w:rPr>
                <w:rFonts w:hint="eastAsia" w:ascii="仿宋_GB2312" w:hAnsi="宋体" w:eastAsia="仿宋_GB2312"/>
                <w:color w:val="auto"/>
                <w:sz w:val="24"/>
                <w:highlight w:val="none"/>
                <w:lang w:val="en-US" w:eastAsia="zh-CN"/>
              </w:rPr>
              <w:t>MP</w:t>
            </w:r>
            <w:r>
              <w:rPr>
                <w:rFonts w:hint="eastAsia" w:ascii="仿宋_GB2312" w:hAnsi="宋体" w:eastAsia="仿宋_GB2312"/>
                <w:color w:val="auto"/>
                <w:sz w:val="24"/>
                <w:highlight w:val="none"/>
              </w:rPr>
              <w:t>a，准确度等级不低于0.2级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10"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GB"/>
              </w:rPr>
              <w:t>▲</w:t>
            </w:r>
            <w:r>
              <w:rPr>
                <w:rFonts w:hint="eastAsia" w:ascii="仿宋_GB2312" w:hAnsi="宋体" w:eastAsia="仿宋_GB2312"/>
                <w:color w:val="auto"/>
                <w:sz w:val="24"/>
                <w:highlight w:val="none"/>
                <w:lang w:val="en-US" w:eastAsia="zh-CN"/>
              </w:rPr>
              <w:t>2.4</w:t>
            </w:r>
          </w:p>
        </w:tc>
        <w:tc>
          <w:tcPr>
            <w:tcW w:w="206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lang w:val="en-GB"/>
              </w:rPr>
            </w:pPr>
            <w:r>
              <w:rPr>
                <w:rFonts w:hint="eastAsia" w:ascii="仿宋_GB2312" w:hAnsi="宋体" w:eastAsia="仿宋_GB2312"/>
                <w:color w:val="auto"/>
                <w:sz w:val="24"/>
                <w:highlight w:val="none"/>
                <w:lang w:val="en-GB"/>
              </w:rPr>
              <w:t>加液枪</w:t>
            </w:r>
          </w:p>
        </w:tc>
        <w:tc>
          <w:tcPr>
            <w:tcW w:w="108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w:t>
            </w:r>
          </w:p>
        </w:tc>
        <w:tc>
          <w:tcPr>
            <w:tcW w:w="983"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2把</w:t>
            </w:r>
          </w:p>
        </w:tc>
        <w:tc>
          <w:tcPr>
            <w:tcW w:w="3416"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LNG专用加注枪，满足JJG 1114-2015 《液化天然气加气机检定规程》的要求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10"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GB"/>
              </w:rPr>
              <w:t>▲</w:t>
            </w:r>
            <w:r>
              <w:rPr>
                <w:rFonts w:hint="eastAsia" w:ascii="仿宋_GB2312" w:hAnsi="宋体" w:eastAsia="仿宋_GB2312"/>
                <w:color w:val="auto"/>
                <w:sz w:val="24"/>
                <w:highlight w:val="none"/>
                <w:lang w:val="en-US" w:eastAsia="zh-CN"/>
              </w:rPr>
              <w:t>2.5</w:t>
            </w:r>
          </w:p>
        </w:tc>
        <w:tc>
          <w:tcPr>
            <w:tcW w:w="206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lang w:val="en-GB"/>
              </w:rPr>
            </w:pPr>
            <w:r>
              <w:rPr>
                <w:rFonts w:hint="eastAsia" w:ascii="仿宋_GB2312" w:hAnsi="宋体" w:eastAsia="仿宋_GB2312"/>
                <w:color w:val="auto"/>
                <w:sz w:val="24"/>
                <w:highlight w:val="none"/>
                <w:lang w:val="en-GB"/>
              </w:rPr>
              <w:t>安全阀</w:t>
            </w:r>
          </w:p>
        </w:tc>
        <w:tc>
          <w:tcPr>
            <w:tcW w:w="108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主体材质：黄铜</w:t>
            </w:r>
          </w:p>
        </w:tc>
        <w:tc>
          <w:tcPr>
            <w:tcW w:w="983"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2个</w:t>
            </w:r>
          </w:p>
        </w:tc>
        <w:tc>
          <w:tcPr>
            <w:tcW w:w="3416"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温度范围：-196℃～+204℃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10"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2.6</w:t>
            </w:r>
          </w:p>
        </w:tc>
        <w:tc>
          <w:tcPr>
            <w:tcW w:w="206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高清工业相机、镜头、工业相机三脚架</w:t>
            </w:r>
          </w:p>
        </w:tc>
        <w:tc>
          <w:tcPr>
            <w:tcW w:w="108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w:t>
            </w:r>
          </w:p>
        </w:tc>
        <w:tc>
          <w:tcPr>
            <w:tcW w:w="983"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1套</w:t>
            </w:r>
          </w:p>
        </w:tc>
        <w:tc>
          <w:tcPr>
            <w:tcW w:w="3416"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lang w:val="en-GB"/>
              </w:rPr>
            </w:pPr>
            <w:r>
              <w:rPr>
                <w:rFonts w:hint="eastAsia" w:ascii="仿宋_GB2312" w:hAnsi="宋体" w:eastAsia="仿宋_GB2312"/>
                <w:color w:val="auto"/>
                <w:sz w:val="24"/>
                <w:highlight w:val="none"/>
                <w:lang w:val="en-GB"/>
              </w:rPr>
              <w:t>对工业相机获取的图片具有图像识别功能，工业相机不低于100万像素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10"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GB"/>
              </w:rPr>
              <w:t>▲</w:t>
            </w:r>
            <w:r>
              <w:rPr>
                <w:rFonts w:hint="eastAsia" w:ascii="仿宋_GB2312" w:hAnsi="宋体" w:eastAsia="仿宋_GB2312"/>
                <w:color w:val="auto"/>
                <w:sz w:val="24"/>
                <w:highlight w:val="none"/>
                <w:lang w:val="en-US" w:eastAsia="zh-CN"/>
              </w:rPr>
              <w:t>2.7</w:t>
            </w:r>
          </w:p>
        </w:tc>
        <w:tc>
          <w:tcPr>
            <w:tcW w:w="206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lang w:val="en-GB"/>
              </w:rPr>
            </w:pPr>
            <w:r>
              <w:rPr>
                <w:rFonts w:hint="eastAsia" w:ascii="仿宋_GB2312" w:hAnsi="宋体" w:eastAsia="仿宋_GB2312"/>
                <w:color w:val="auto"/>
                <w:sz w:val="24"/>
                <w:highlight w:val="none"/>
                <w:lang w:val="en-GB"/>
              </w:rPr>
              <w:t>专用测控系统及检定软件</w:t>
            </w:r>
          </w:p>
        </w:tc>
        <w:tc>
          <w:tcPr>
            <w:tcW w:w="108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w:t>
            </w:r>
          </w:p>
        </w:tc>
        <w:tc>
          <w:tcPr>
            <w:tcW w:w="983"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1套</w:t>
            </w:r>
          </w:p>
        </w:tc>
        <w:tc>
          <w:tcPr>
            <w:tcW w:w="3416"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lang w:val="en-GB"/>
              </w:rPr>
            </w:pPr>
            <w:r>
              <w:rPr>
                <w:rFonts w:hint="eastAsia" w:ascii="仿宋_GB2312" w:hAnsi="宋体" w:eastAsia="仿宋_GB2312"/>
                <w:color w:val="auto"/>
                <w:sz w:val="24"/>
                <w:highlight w:val="none"/>
              </w:rPr>
              <w:t>满足JJG 1114-2015 《液化天然气加气机检定规程》的要求,终生</w:t>
            </w:r>
            <w:r>
              <w:rPr>
                <w:rFonts w:hint="eastAsia" w:ascii="仿宋_GB2312" w:hAnsi="宋体" w:eastAsia="仿宋_GB2312"/>
                <w:color w:val="auto"/>
                <w:sz w:val="24"/>
                <w:highlight w:val="none"/>
                <w:lang w:val="en-GB"/>
              </w:rPr>
              <w:t>对软件提供免费升级和维护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10"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2.8</w:t>
            </w:r>
          </w:p>
        </w:tc>
        <w:tc>
          <w:tcPr>
            <w:tcW w:w="206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台式微型工作站</w:t>
            </w:r>
          </w:p>
        </w:tc>
        <w:tc>
          <w:tcPr>
            <w:tcW w:w="108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w:t>
            </w:r>
          </w:p>
        </w:tc>
        <w:tc>
          <w:tcPr>
            <w:tcW w:w="983"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1台</w:t>
            </w:r>
          </w:p>
        </w:tc>
        <w:tc>
          <w:tcPr>
            <w:tcW w:w="3416"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处理器：i5-13500H，显卡4G，内存：32G，硬盘：1TB固态；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10"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2.9</w:t>
            </w:r>
          </w:p>
        </w:tc>
        <w:tc>
          <w:tcPr>
            <w:tcW w:w="206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防护设备（超低温防护围裙、超低温手套、防喷溅面罩）</w:t>
            </w:r>
          </w:p>
        </w:tc>
        <w:tc>
          <w:tcPr>
            <w:tcW w:w="108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w:t>
            </w:r>
          </w:p>
        </w:tc>
        <w:tc>
          <w:tcPr>
            <w:tcW w:w="983"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2套</w:t>
            </w:r>
          </w:p>
        </w:tc>
        <w:tc>
          <w:tcPr>
            <w:tcW w:w="3416"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品牌防护用品，有质量保证。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110"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2.10</w:t>
            </w:r>
          </w:p>
        </w:tc>
        <w:tc>
          <w:tcPr>
            <w:tcW w:w="206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便携式储能电源</w:t>
            </w:r>
          </w:p>
        </w:tc>
        <w:tc>
          <w:tcPr>
            <w:tcW w:w="1082"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w:t>
            </w:r>
          </w:p>
        </w:tc>
        <w:tc>
          <w:tcPr>
            <w:tcW w:w="983"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1台</w:t>
            </w:r>
          </w:p>
        </w:tc>
        <w:tc>
          <w:tcPr>
            <w:tcW w:w="3416" w:type="dxa"/>
            <w:vAlign w:val="center"/>
          </w:tcPr>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400W</w:t>
            </w:r>
          </w:p>
        </w:tc>
      </w:tr>
    </w:tbl>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b/>
          <w:bCs/>
          <w:color w:val="auto"/>
          <w:sz w:val="24"/>
          <w:highlight w:val="none"/>
        </w:rPr>
      </w:pPr>
      <w:r>
        <w:rPr>
          <w:rFonts w:hint="eastAsia" w:ascii="仿宋_GB2312" w:hAnsi="宋体" w:eastAsia="仿宋_GB2312"/>
          <w:b/>
          <w:bCs/>
          <w:color w:val="auto"/>
          <w:sz w:val="24"/>
          <w:highlight w:val="none"/>
          <w:lang w:val="en-US" w:eastAsia="zh-CN"/>
        </w:rPr>
        <w:t>3</w:t>
      </w:r>
      <w:r>
        <w:rPr>
          <w:rFonts w:hint="eastAsia" w:ascii="仿宋_GB2312" w:hAnsi="宋体" w:eastAsia="仿宋_GB2312"/>
          <w:b/>
          <w:bCs/>
          <w:color w:val="auto"/>
          <w:sz w:val="24"/>
          <w:highlight w:val="none"/>
        </w:rPr>
        <w:t>.验收</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3.1</w:t>
      </w:r>
      <w:r>
        <w:rPr>
          <w:rFonts w:hint="eastAsia" w:ascii="仿宋_GB2312" w:hAnsi="宋体" w:eastAsia="仿宋_GB2312"/>
          <w:color w:val="auto"/>
          <w:sz w:val="24"/>
          <w:highlight w:val="none"/>
        </w:rPr>
        <w:t>出厂检验：货物在出厂前都必须作出厂前测试。</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3.2</w:t>
      </w:r>
      <w:r>
        <w:rPr>
          <w:rFonts w:hint="eastAsia" w:ascii="仿宋_GB2312" w:hAnsi="宋体" w:eastAsia="仿宋_GB2312"/>
          <w:color w:val="auto"/>
          <w:sz w:val="24"/>
          <w:highlight w:val="none"/>
        </w:rPr>
        <w:t>验收时间：货物安装调试完毕后 20 天内进行系统验收。</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3.3</w:t>
      </w:r>
      <w:r>
        <w:rPr>
          <w:rFonts w:hint="eastAsia" w:ascii="仿宋_GB2312" w:hAnsi="宋体" w:eastAsia="仿宋_GB2312"/>
          <w:color w:val="auto"/>
          <w:sz w:val="24"/>
          <w:highlight w:val="none"/>
        </w:rPr>
        <w:t>验收标准：</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firstLine="480" w:firstLineChars="20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3.3.1</w:t>
      </w:r>
      <w:r>
        <w:rPr>
          <w:rFonts w:hint="eastAsia" w:ascii="仿宋_GB2312" w:hAnsi="宋体" w:eastAsia="仿宋_GB2312"/>
          <w:color w:val="auto"/>
          <w:sz w:val="24"/>
          <w:highlight w:val="none"/>
        </w:rPr>
        <w:t>验收标准为招标文件已作规定的设备功能、技术指标、参数及国家有关标准执行，并提供检定装置整机经市场监管总局授权的省级及以上技术机构出具的装置整机校准证书（介质为液化天然气或液氮）；检定装置的配套仪表、辅助装置均应提供经市场监管总局授权的省级及以上技术机构出具有效期内的检定/校准证书或检测报告；检定装置应提供有效期内的防爆合格证书。所有检定/校准证书或检测报告应满足设备技术指标及JJG 1114-2015 《液化天然气加气机检定规程》的要求。</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firstLine="480" w:firstLineChars="20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3.3.2</w:t>
      </w:r>
      <w:r>
        <w:rPr>
          <w:rFonts w:hint="eastAsia" w:ascii="仿宋_GB2312" w:hAnsi="宋体" w:eastAsia="仿宋_GB2312"/>
          <w:color w:val="auto"/>
          <w:sz w:val="24"/>
          <w:highlight w:val="none"/>
        </w:rPr>
        <w:t>检验和验收工作由采购人与中标人双方共同进行，验收达到合同要求后，双方签署验收报告。</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firstLine="480" w:firstLineChars="20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3.3.3</w:t>
      </w:r>
      <w:r>
        <w:rPr>
          <w:rFonts w:hint="eastAsia" w:ascii="仿宋_GB2312" w:hAnsi="宋体" w:eastAsia="仿宋_GB2312"/>
          <w:color w:val="auto"/>
          <w:sz w:val="24"/>
          <w:highlight w:val="none"/>
        </w:rPr>
        <w:t>如果中标人没有按以上要求，按采购人安排的时间进行有关工作，采购人有权在相应的付款时间段推迟付款，直至中标人完成此时间段的工作。</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firstLine="480" w:firstLineChars="20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3.3.4</w:t>
      </w:r>
      <w:r>
        <w:rPr>
          <w:rFonts w:hint="eastAsia" w:ascii="仿宋_GB2312" w:hAnsi="宋体" w:eastAsia="仿宋_GB2312"/>
          <w:color w:val="auto"/>
          <w:sz w:val="24"/>
          <w:highlight w:val="none"/>
        </w:rPr>
        <w:t>配合本设备所进行的各阶段工作，中标人应列出需采购人配合的工作内容（包括检验、发运、货物存放、保管、调试、验收等阶段）和具体要求。</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firstLine="480" w:firstLineChars="20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3.3.5</w:t>
      </w:r>
      <w:r>
        <w:rPr>
          <w:rFonts w:hint="eastAsia" w:ascii="仿宋_GB2312" w:hAnsi="宋体" w:eastAsia="仿宋_GB2312"/>
          <w:color w:val="auto"/>
          <w:sz w:val="24"/>
          <w:highlight w:val="none"/>
        </w:rPr>
        <w:t>按照国家有关施工及验收规范的约定标准、规范进行质量验收。若中标人有违反操作规程和标准规范或施工质量不符合规定的，采购人有权令其停止（或暂停）项目，由此造成的损失均由中标人负责。</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b/>
          <w:bCs/>
          <w:color w:val="auto"/>
          <w:sz w:val="24"/>
          <w:highlight w:val="none"/>
        </w:rPr>
      </w:pPr>
      <w:r>
        <w:rPr>
          <w:rFonts w:hint="eastAsia" w:ascii="仿宋_GB2312" w:hAnsi="宋体" w:eastAsia="仿宋_GB2312"/>
          <w:b/>
          <w:bCs/>
          <w:color w:val="auto"/>
          <w:sz w:val="24"/>
          <w:highlight w:val="none"/>
        </w:rPr>
        <w:t>4.技术资料</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firstLine="480" w:firstLineChars="20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提供设备的安装手册、操作手册；工作软件说明书、维修保养手册等技术文件及产品合格证、质量保证书等全套资料。</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b/>
          <w:bCs/>
          <w:color w:val="auto"/>
          <w:sz w:val="24"/>
          <w:highlight w:val="none"/>
        </w:rPr>
      </w:pPr>
      <w:r>
        <w:rPr>
          <w:rFonts w:hint="eastAsia" w:ascii="仿宋_GB2312" w:hAnsi="宋体" w:eastAsia="仿宋_GB2312"/>
          <w:b/>
          <w:bCs/>
          <w:color w:val="auto"/>
          <w:sz w:val="24"/>
          <w:highlight w:val="none"/>
          <w:lang w:val="en-US" w:eastAsia="zh-CN"/>
        </w:rPr>
        <w:t>5.</w:t>
      </w:r>
      <w:r>
        <w:rPr>
          <w:rFonts w:hint="eastAsia" w:ascii="仿宋_GB2312" w:hAnsi="宋体" w:eastAsia="仿宋_GB2312"/>
          <w:b/>
          <w:bCs/>
          <w:color w:val="auto"/>
          <w:sz w:val="24"/>
          <w:highlight w:val="none"/>
        </w:rPr>
        <w:t>培训</w:t>
      </w:r>
    </w:p>
    <w:p>
      <w:pPr>
        <w:keepNext w:val="0"/>
        <w:keepLines w:val="0"/>
        <w:pageBreakBefore w:val="0"/>
        <w:numPr>
          <w:ilvl w:val="0"/>
          <w:numId w:val="0"/>
        </w:numPr>
        <w:kinsoku/>
        <w:wordWrap/>
        <w:overflowPunct/>
        <w:topLinePunct w:val="0"/>
        <w:autoSpaceDE/>
        <w:autoSpaceDN/>
        <w:bidi w:val="0"/>
        <w:snapToGrid w:val="0"/>
        <w:spacing w:line="312" w:lineRule="auto"/>
        <w:ind w:right="0" w:rightChars="0" w:firstLine="480" w:firstLineChars="20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中标人应提供操作及维护培训，主要内容为设备的基本结构、性能、主要部件的构造及原理，日常使用操作、保养与管理，常见故障的排除，紧急情况的处理等，培训地点通过协商安排，同时还须帮助采购单位人员取得浙江省市场监督管理系统认可的计量专业项目考核合格证明，培训人数不少于3人，培训天数不少于3天，直至培训学会为止。</w:t>
      </w:r>
    </w:p>
    <w:p>
      <w:pPr>
        <w:keepNext w:val="0"/>
        <w:keepLines w:val="0"/>
        <w:pageBreakBefore w:val="0"/>
        <w:numPr>
          <w:ilvl w:val="0"/>
          <w:numId w:val="7"/>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b/>
          <w:bCs/>
          <w:color w:val="auto"/>
          <w:sz w:val="24"/>
          <w:highlight w:val="none"/>
          <w:lang w:eastAsia="zh-CN"/>
        </w:rPr>
      </w:pPr>
      <w:r>
        <w:rPr>
          <w:rFonts w:hint="eastAsia" w:ascii="仿宋_GB2312" w:hAnsi="宋体" w:eastAsia="仿宋_GB2312"/>
          <w:b/>
          <w:bCs/>
          <w:color w:val="auto"/>
          <w:sz w:val="24"/>
          <w:highlight w:val="none"/>
        </w:rPr>
        <w:t>质保期：整机（含所有硬件和软件）自验收合格之日起提供原厂3年</w:t>
      </w:r>
      <w:r>
        <w:rPr>
          <w:rFonts w:hint="eastAsia" w:ascii="仿宋_GB2312" w:hAnsi="宋体" w:eastAsia="仿宋_GB2312"/>
          <w:b/>
          <w:bCs/>
          <w:color w:val="auto"/>
          <w:sz w:val="24"/>
          <w:highlight w:val="none"/>
          <w:lang w:eastAsia="zh-CN"/>
        </w:rPr>
        <w:t>质保。</w:t>
      </w:r>
    </w:p>
    <w:p>
      <w:pPr>
        <w:keepNext w:val="0"/>
        <w:keepLines w:val="0"/>
        <w:pageBreakBefore w:val="0"/>
        <w:widowControl w:val="0"/>
        <w:kinsoku/>
        <w:wordWrap/>
        <w:overflowPunct/>
        <w:topLinePunct w:val="0"/>
        <w:autoSpaceDE/>
        <w:autoSpaceDN/>
        <w:bidi w:val="0"/>
        <w:adjustRightInd w:val="0"/>
        <w:snapToGrid/>
        <w:spacing w:line="312" w:lineRule="auto"/>
        <w:ind w:left="0" w:leftChars="0" w:right="0" w:firstLine="0" w:firstLineChars="0"/>
        <w:textAlignment w:val="auto"/>
        <w:rPr>
          <w:rFonts w:hint="eastAsia" w:ascii="仿宋" w:hAnsi="仿宋" w:eastAsia="仿宋" w:cs="仿宋"/>
          <w:b/>
          <w:color w:val="auto"/>
          <w:sz w:val="24"/>
          <w:highlight w:val="none"/>
          <w:shd w:val="clear" w:color="auto" w:fill="auto"/>
          <w:lang w:val="en-US" w:eastAsia="zh-CN"/>
        </w:rPr>
      </w:pPr>
      <w:r>
        <w:rPr>
          <w:rFonts w:hint="eastAsia" w:ascii="仿宋" w:hAnsi="仿宋" w:eastAsia="仿宋" w:cs="仿宋"/>
          <w:b/>
          <w:color w:val="auto"/>
          <w:sz w:val="24"/>
          <w:highlight w:val="none"/>
          <w:shd w:val="clear" w:color="auto" w:fill="auto"/>
          <w:lang w:val="en-US" w:eastAsia="zh-CN"/>
        </w:rPr>
        <w:t>7、交付:</w:t>
      </w:r>
    </w:p>
    <w:p>
      <w:pPr>
        <w:pStyle w:val="2"/>
        <w:keepNext w:val="0"/>
        <w:keepLines w:val="0"/>
        <w:pageBreakBefore w:val="0"/>
        <w:widowControl w:val="0"/>
        <w:numPr>
          <w:ilvl w:val="0"/>
          <w:numId w:val="0"/>
        </w:numPr>
        <w:kinsoku/>
        <w:wordWrap/>
        <w:overflowPunct/>
        <w:topLinePunct w:val="0"/>
        <w:autoSpaceDE/>
        <w:autoSpaceDN/>
        <w:bidi w:val="0"/>
        <w:adjustRightInd w:val="0"/>
        <w:snapToGrid/>
        <w:ind w:firstLine="480" w:firstLineChars="200"/>
        <w:textAlignment w:val="auto"/>
        <w:rPr>
          <w:rFonts w:hint="eastAsia"/>
          <w:color w:val="auto"/>
          <w:highlight w:val="none"/>
          <w:lang w:eastAsia="zh-CN"/>
        </w:rPr>
      </w:pPr>
      <w:r>
        <w:rPr>
          <w:rFonts w:hint="eastAsia" w:ascii="仿宋" w:hAnsi="仿宋" w:eastAsia="仿宋" w:cs="仿宋"/>
          <w:color w:val="auto"/>
          <w:sz w:val="24"/>
          <w:highlight w:val="none"/>
          <w:shd w:val="clear" w:color="auto" w:fill="auto"/>
          <w:lang w:val="en-US" w:eastAsia="zh-CN"/>
        </w:rPr>
        <w:t>合同签订后30天内将货物交到采购人到指定区域。</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jc w:val="left"/>
        <w:textAlignment w:val="auto"/>
        <w:rPr>
          <w:rFonts w:hint="eastAsia" w:ascii="仿宋_GB2312" w:hAnsi="宋体" w:eastAsia="仿宋_GB2312"/>
          <w:b/>
          <w:bCs/>
          <w:color w:val="auto"/>
          <w:sz w:val="24"/>
          <w:highlight w:val="none"/>
        </w:rPr>
      </w:pPr>
      <w:r>
        <w:rPr>
          <w:rFonts w:hint="eastAsia" w:ascii="仿宋_GB2312" w:hAnsi="宋体" w:eastAsia="仿宋_GB2312"/>
          <w:b/>
          <w:bCs/>
          <w:color w:val="auto"/>
          <w:sz w:val="24"/>
          <w:highlight w:val="none"/>
          <w:lang w:val="en-US" w:eastAsia="zh-CN"/>
        </w:rPr>
        <w:t>8、</w:t>
      </w:r>
      <w:r>
        <w:rPr>
          <w:rFonts w:hint="eastAsia" w:ascii="仿宋_GB2312" w:hAnsi="宋体" w:eastAsia="仿宋_GB2312"/>
          <w:b/>
          <w:bCs/>
          <w:color w:val="auto"/>
          <w:sz w:val="24"/>
          <w:highlight w:val="none"/>
        </w:rPr>
        <w:t>付款方式：</w:t>
      </w:r>
    </w:p>
    <w:p>
      <w:pPr>
        <w:keepNext w:val="0"/>
        <w:keepLines w:val="0"/>
        <w:pageBreakBefore w:val="0"/>
        <w:numPr>
          <w:ilvl w:val="0"/>
          <w:numId w:val="0"/>
        </w:numPr>
        <w:kinsoku/>
        <w:wordWrap/>
        <w:overflowPunct/>
        <w:topLinePunct w:val="0"/>
        <w:autoSpaceDE/>
        <w:autoSpaceDN/>
        <w:bidi w:val="0"/>
        <w:snapToGrid w:val="0"/>
        <w:spacing w:line="312" w:lineRule="auto"/>
        <w:ind w:leftChars="0" w:right="0" w:rightChars="0" w:firstLine="480" w:firstLineChars="200"/>
        <w:jc w:val="left"/>
        <w:textAlignment w:val="auto"/>
        <w:rPr>
          <w:rFonts w:hint="eastAsia"/>
          <w:highlight w:val="none"/>
        </w:rPr>
      </w:pPr>
      <w:r>
        <w:rPr>
          <w:rFonts w:hint="eastAsia" w:ascii="仿宋_GB2312" w:hAnsi="宋体" w:eastAsia="仿宋_GB2312"/>
          <w:color w:val="auto"/>
          <w:sz w:val="24"/>
          <w:highlight w:val="none"/>
        </w:rPr>
        <w:t>按《浙江省财政厅关于进一步发挥政府采购政策 功能全力推动经济稳进提质的通知》（浙财采监〔2022〕3号）等文件要求执行，具体付款方式由双方协商后在合同中明确。</w:t>
      </w:r>
    </w:p>
    <w:p>
      <w:pPr>
        <w:keepNext w:val="0"/>
        <w:keepLines w:val="0"/>
        <w:pageBreakBefore w:val="0"/>
        <w:numPr>
          <w:ilvl w:val="0"/>
          <w:numId w:val="0"/>
        </w:numPr>
        <w:kinsoku/>
        <w:wordWrap/>
        <w:overflowPunct/>
        <w:topLinePunct w:val="0"/>
        <w:autoSpaceDE/>
        <w:autoSpaceDN/>
        <w:bidi w:val="0"/>
        <w:spacing w:line="312" w:lineRule="auto"/>
        <w:ind w:left="0" w:leftChars="0" w:right="0" w:rightChars="0" w:firstLine="0" w:firstLineChars="0"/>
        <w:textAlignment w:val="auto"/>
        <w:rPr>
          <w:rFonts w:hint="eastAsia" w:ascii="仿宋_GB2312" w:hAnsi="宋体" w:eastAsia="仿宋_GB2312"/>
          <w:b/>
          <w:color w:val="auto"/>
          <w:sz w:val="24"/>
          <w:highlight w:val="none"/>
        </w:rPr>
      </w:pPr>
      <w:r>
        <w:rPr>
          <w:rFonts w:ascii="仿宋_GB2312" w:hAnsi="新宋体" w:eastAsia="仿宋_GB2312" w:cs="Arial"/>
          <w:b/>
          <w:bCs/>
          <w:color w:val="auto"/>
          <w:sz w:val="24"/>
          <w:highlight w:val="none"/>
          <w:bdr w:val="single" w:color="auto" w:sz="4" w:space="0"/>
        </w:rPr>
        <w:t>0</w:t>
      </w:r>
      <w:r>
        <w:rPr>
          <w:rFonts w:hint="eastAsia" w:ascii="仿宋_GB2312" w:hAnsi="新宋体" w:eastAsia="仿宋_GB2312" w:cs="Arial"/>
          <w:b/>
          <w:bCs/>
          <w:color w:val="auto"/>
          <w:sz w:val="24"/>
          <w:highlight w:val="none"/>
          <w:bdr w:val="single" w:color="auto" w:sz="4" w:space="0"/>
          <w:lang w:val="en-US" w:eastAsia="zh-CN"/>
        </w:rPr>
        <w:t>2</w:t>
      </w:r>
      <w:r>
        <w:rPr>
          <w:rFonts w:hint="eastAsia" w:ascii="仿宋_GB2312" w:hAnsi="新宋体" w:eastAsia="仿宋_GB2312" w:cs="Arial"/>
          <w:b/>
          <w:bCs/>
          <w:color w:val="auto"/>
          <w:sz w:val="24"/>
          <w:highlight w:val="none"/>
          <w:bdr w:val="single" w:color="auto" w:sz="4" w:space="0"/>
        </w:rPr>
        <w:t>标</w:t>
      </w:r>
      <w:bookmarkStart w:id="43" w:name="_Toc7206"/>
      <w:bookmarkStart w:id="44" w:name="_Toc32678"/>
      <w:r>
        <w:rPr>
          <w:rFonts w:hint="eastAsia" w:ascii="仿宋_GB2312" w:hAnsi="宋体" w:eastAsia="仿宋_GB2312" w:cs="Times New Roman"/>
          <w:b/>
          <w:color w:val="auto"/>
          <w:sz w:val="24"/>
          <w:highlight w:val="none"/>
        </w:rPr>
        <w:t>燃气表密封性试验</w:t>
      </w:r>
      <w:r>
        <w:rPr>
          <w:rFonts w:hint="eastAsia" w:ascii="仿宋_GB2312" w:hAnsi="宋体" w:eastAsia="仿宋_GB2312" w:cs="Times New Roman"/>
          <w:b/>
          <w:color w:val="auto"/>
          <w:sz w:val="24"/>
          <w:highlight w:val="none"/>
          <w:lang w:val="en-US" w:eastAsia="zh-CN"/>
        </w:rPr>
        <w:t>装置设备</w:t>
      </w:r>
      <w:r>
        <w:rPr>
          <w:rFonts w:hint="eastAsia" w:ascii="仿宋_GB2312" w:hAnsi="宋体" w:eastAsia="仿宋_GB2312" w:cs="Times New Roman"/>
          <w:b/>
          <w:color w:val="auto"/>
          <w:sz w:val="24"/>
          <w:highlight w:val="none"/>
        </w:rPr>
        <w:t>采购项目（预算金额：</w:t>
      </w:r>
      <w:r>
        <w:rPr>
          <w:rFonts w:hint="eastAsia" w:ascii="仿宋_GB2312" w:hAnsi="宋体" w:eastAsia="仿宋_GB2312" w:cs="Times New Roman"/>
          <w:b/>
          <w:color w:val="auto"/>
          <w:sz w:val="24"/>
          <w:highlight w:val="none"/>
          <w:lang w:val="en-US" w:eastAsia="zh-CN"/>
        </w:rPr>
        <w:t>60000</w:t>
      </w:r>
      <w:r>
        <w:rPr>
          <w:rFonts w:hint="eastAsia" w:ascii="仿宋_GB2312" w:hAnsi="宋体" w:eastAsia="仿宋_GB2312" w:cs="Times New Roman"/>
          <w:b/>
          <w:color w:val="auto"/>
          <w:sz w:val="24"/>
          <w:highlight w:val="none"/>
        </w:rPr>
        <w:t>元）</w:t>
      </w:r>
      <w:bookmarkEnd w:id="43"/>
      <w:bookmarkEnd w:id="44"/>
    </w:p>
    <w:p>
      <w:pPr>
        <w:keepNext w:val="0"/>
        <w:keepLines w:val="0"/>
        <w:pageBreakBefore w:val="0"/>
        <w:widowControl w:val="0"/>
        <w:tabs>
          <w:tab w:val="left" w:pos="851"/>
        </w:tabs>
        <w:kinsoku/>
        <w:wordWrap/>
        <w:overflowPunct/>
        <w:topLinePunct w:val="0"/>
        <w:autoSpaceDE/>
        <w:autoSpaceDN/>
        <w:bidi w:val="0"/>
        <w:adjustRightInd w:val="0"/>
        <w:snapToGrid/>
        <w:spacing w:line="312" w:lineRule="auto"/>
        <w:ind w:left="0" w:leftChars="0" w:right="0" w:firstLine="0" w:firstLineChars="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.技术参数</w:t>
      </w:r>
      <w:r>
        <w:rPr>
          <w:rFonts w:hint="eastAsia" w:ascii="仿宋" w:hAnsi="仿宋" w:eastAsia="仿宋" w:cs="仿宋"/>
          <w:b/>
          <w:color w:val="auto"/>
          <w:sz w:val="24"/>
          <w:szCs w:val="24"/>
          <w:highlight w:val="none"/>
        </w:rPr>
        <w:tab/>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检定介质：空气；</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rPr>
        <w:t>适用被检表类型：G1.6～G4.0家用膜式燃气表；</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rPr>
        <w:t>适用被检表间距：90~160mm；</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rPr>
        <w:t>适用被检表高度：200~350mm；</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一次检表数量：6块</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夹表方式：卧式气动夹表；</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差压传感器</w:t>
      </w:r>
      <w:r>
        <w:rPr>
          <w:rFonts w:hint="eastAsia" w:ascii="仿宋_GB2312" w:hAnsi="宋体" w:eastAsia="仿宋_GB2312"/>
          <w:color w:val="auto"/>
          <w:sz w:val="24"/>
          <w:highlight w:val="none"/>
          <w:lang w:eastAsia="zh-CN"/>
        </w:rPr>
        <w:t>数量</w:t>
      </w:r>
      <w:r>
        <w:rPr>
          <w:rFonts w:hint="eastAsia" w:ascii="仿宋_GB2312" w:hAnsi="宋体" w:eastAsia="仿宋_GB2312"/>
          <w:color w:val="auto"/>
          <w:sz w:val="24"/>
          <w:highlight w:val="none"/>
          <w:lang w:val="en-US" w:eastAsia="zh-CN"/>
        </w:rPr>
        <w:t>5台，</w:t>
      </w:r>
      <w:r>
        <w:rPr>
          <w:rFonts w:hint="eastAsia" w:ascii="仿宋_GB2312" w:hAnsi="宋体" w:eastAsia="仿宋_GB2312"/>
          <w:color w:val="auto"/>
          <w:sz w:val="24"/>
          <w:highlight w:val="none"/>
        </w:rPr>
        <w:t>量程：-1000Pa~+1000Pa</w:t>
      </w: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rPr>
        <w:t>；</w:t>
      </w:r>
      <w:r>
        <w:rPr>
          <w:rFonts w:hint="eastAsia" w:ascii="仿宋" w:hAnsi="仿宋" w:eastAsia="仿宋" w:cs="仿宋"/>
          <w:b w:val="0"/>
          <w:bCs/>
          <w:sz w:val="24"/>
          <w:szCs w:val="24"/>
          <w:highlight w:val="none"/>
          <w:lang w:val="en-US" w:eastAsia="zh-CN"/>
        </w:rPr>
        <w:t>需有省级法定计量检定机构出具的检定或校准证书。</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分辨率：±1Pa；</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 w:hAnsi="仿宋" w:eastAsia="仿宋" w:cs="仿宋"/>
          <w:b w:val="0"/>
          <w:bCs/>
          <w:sz w:val="24"/>
          <w:szCs w:val="24"/>
          <w:highlight w:val="none"/>
          <w:lang w:val="en-US" w:eastAsia="zh-CN"/>
        </w:rPr>
        <w:t>气压传感器</w:t>
      </w:r>
      <w:r>
        <w:rPr>
          <w:rFonts w:hint="eastAsia" w:ascii="仿宋" w:hAnsi="仿宋" w:eastAsia="仿宋" w:cs="仿宋"/>
          <w:sz w:val="24"/>
          <w:szCs w:val="24"/>
          <w:highlight w:val="none"/>
          <w:lang w:val="en-US" w:eastAsia="zh-CN"/>
        </w:rPr>
        <w:t>数量：</w:t>
      </w:r>
      <w:r>
        <w:rPr>
          <w:rFonts w:hint="eastAsia" w:ascii="仿宋" w:hAnsi="仿宋" w:eastAsia="仿宋" w:cs="仿宋"/>
          <w:b w:val="0"/>
          <w:bCs/>
          <w:sz w:val="24"/>
          <w:szCs w:val="24"/>
          <w:highlight w:val="none"/>
          <w:lang w:val="en-US" w:eastAsia="zh-CN"/>
        </w:rPr>
        <w:t>1台</w:t>
      </w:r>
      <w:r>
        <w:rPr>
          <w:rFonts w:hint="eastAsia" w:ascii="仿宋_GB2312" w:hAnsi="宋体" w:eastAsia="仿宋_GB2312"/>
          <w:color w:val="auto"/>
          <w:sz w:val="24"/>
          <w:highlight w:val="none"/>
          <w:lang w:eastAsia="zh-CN"/>
        </w:rPr>
        <w:t>，</w:t>
      </w:r>
      <w:r>
        <w:rPr>
          <w:rFonts w:hint="eastAsia" w:ascii="仿宋_GB2312" w:hAnsi="宋体" w:eastAsia="仿宋_GB2312"/>
          <w:color w:val="auto"/>
          <w:sz w:val="24"/>
          <w:highlight w:val="none"/>
        </w:rPr>
        <w:t>充气压力调节范围：0~100KPa</w:t>
      </w:r>
      <w:r>
        <w:rPr>
          <w:rFonts w:hint="eastAsia" w:ascii="仿宋" w:hAnsi="仿宋" w:eastAsia="仿宋" w:cs="仿宋"/>
          <w:b w:val="0"/>
          <w:bCs/>
          <w:sz w:val="24"/>
          <w:szCs w:val="24"/>
          <w:highlight w:val="none"/>
          <w:lang w:val="en-US" w:eastAsia="zh-CN"/>
        </w:rPr>
        <w:t>；需有省级法定计量检定机构出具的检定或校准证书。</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试验时间设置范围：0~999秒；</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合格限额设置范围：-100Pa~100Pa。</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整个检测过程由系统根据设定的程序自动控制完成，一键启动，检测结束后LED指示灯显示检测结果，绿灯合格，红灯不合格。</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采用多块被检表同时恒温，同时检测，以同批次中最好密封性的表为基准来判断其余被检表泄露情况，与传统的以单一标准罐为基准，</w:t>
      </w:r>
      <w:r>
        <w:rPr>
          <w:rFonts w:hint="eastAsia" w:ascii="仿宋_GB2312" w:hAnsi="宋体" w:eastAsia="仿宋_GB2312"/>
          <w:color w:val="auto"/>
          <w:sz w:val="24"/>
          <w:highlight w:val="none"/>
          <w:lang w:eastAsia="zh-CN"/>
        </w:rPr>
        <w:t>要求</w:t>
      </w:r>
      <w:r>
        <w:rPr>
          <w:rFonts w:hint="eastAsia" w:ascii="仿宋_GB2312" w:hAnsi="宋体" w:eastAsia="仿宋_GB2312"/>
          <w:color w:val="auto"/>
          <w:sz w:val="24"/>
          <w:highlight w:val="none"/>
        </w:rPr>
        <w:t>所有被检表与其进行差压比较的方法相比，</w:t>
      </w:r>
      <w:r>
        <w:rPr>
          <w:rFonts w:hint="eastAsia" w:ascii="仿宋_GB2312" w:hAnsi="宋体" w:eastAsia="仿宋_GB2312"/>
          <w:color w:val="auto"/>
          <w:sz w:val="24"/>
          <w:highlight w:val="none"/>
          <w:lang w:eastAsia="zh-CN"/>
        </w:rPr>
        <w:t>能</w:t>
      </w:r>
      <w:r>
        <w:rPr>
          <w:rFonts w:hint="eastAsia" w:ascii="仿宋_GB2312" w:hAnsi="宋体" w:eastAsia="仿宋_GB2312"/>
          <w:color w:val="auto"/>
          <w:sz w:val="24"/>
          <w:highlight w:val="none"/>
        </w:rPr>
        <w:t>更好地克服温度对检测结果的影响；</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采用单片微型</w:t>
      </w:r>
      <w:r>
        <w:rPr>
          <w:rFonts w:hint="eastAsia" w:ascii="仿宋_GB2312" w:hAnsi="宋体" w:eastAsia="仿宋_GB2312"/>
          <w:color w:val="auto"/>
          <w:sz w:val="24"/>
          <w:highlight w:val="none"/>
          <w:lang w:val="en-US" w:eastAsia="zh-CN"/>
        </w:rPr>
        <w:t>芯片</w:t>
      </w:r>
      <w:r>
        <w:rPr>
          <w:rFonts w:hint="eastAsia" w:ascii="仿宋_GB2312" w:hAnsi="宋体" w:eastAsia="仿宋_GB2312"/>
          <w:color w:val="auto"/>
          <w:sz w:val="24"/>
          <w:highlight w:val="none"/>
        </w:rPr>
        <w:t>，高精度A/D转换和精密微差压传感器等技术，</w:t>
      </w:r>
      <w:r>
        <w:rPr>
          <w:rFonts w:hint="eastAsia" w:ascii="仿宋_GB2312" w:hAnsi="宋体" w:eastAsia="仿宋_GB2312"/>
          <w:color w:val="auto"/>
          <w:sz w:val="24"/>
          <w:highlight w:val="none"/>
          <w:lang w:eastAsia="zh-CN"/>
        </w:rPr>
        <w:t>要求</w:t>
      </w:r>
      <w:r>
        <w:rPr>
          <w:rFonts w:hint="eastAsia" w:ascii="仿宋_GB2312" w:hAnsi="宋体" w:eastAsia="仿宋_GB2312"/>
          <w:color w:val="auto"/>
          <w:sz w:val="24"/>
          <w:highlight w:val="none"/>
        </w:rPr>
        <w:t>各表位分别实时显示压差值或泄漏量，检测结果直观、准确、可靠；</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整个装置均</w:t>
      </w:r>
      <w:r>
        <w:rPr>
          <w:rFonts w:hint="eastAsia" w:ascii="仿宋_GB2312" w:hAnsi="宋体" w:eastAsia="仿宋_GB2312"/>
          <w:color w:val="auto"/>
          <w:sz w:val="24"/>
          <w:highlight w:val="none"/>
          <w:lang w:eastAsia="zh-CN"/>
        </w:rPr>
        <w:t>需</w:t>
      </w:r>
      <w:r>
        <w:rPr>
          <w:rFonts w:hint="eastAsia" w:ascii="仿宋_GB2312" w:hAnsi="宋体" w:eastAsia="仿宋_GB2312"/>
          <w:color w:val="auto"/>
          <w:sz w:val="24"/>
          <w:highlight w:val="none"/>
        </w:rPr>
        <w:t>采用高品质气动阀及电磁阀，</w:t>
      </w:r>
      <w:r>
        <w:rPr>
          <w:rFonts w:hint="eastAsia" w:ascii="仿宋_GB2312" w:hAnsi="宋体" w:eastAsia="仿宋_GB2312"/>
          <w:color w:val="auto"/>
          <w:sz w:val="24"/>
          <w:highlight w:val="none"/>
          <w:lang w:eastAsia="zh-CN"/>
        </w:rPr>
        <w:t>以</w:t>
      </w:r>
      <w:r>
        <w:rPr>
          <w:rFonts w:hint="eastAsia" w:ascii="仿宋_GB2312" w:hAnsi="宋体" w:eastAsia="仿宋_GB2312"/>
          <w:color w:val="auto"/>
          <w:sz w:val="24"/>
          <w:highlight w:val="none"/>
        </w:rPr>
        <w:t>严谨的工艺确保装置自身极高的密封性，从而保证测量的准确度；</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检测过程中的充气压力、空运行时间、加压时间、平衡时间、检测时间、排气时间、合格范围等试验参数；</w:t>
      </w:r>
    </w:p>
    <w:p>
      <w:pPr>
        <w:keepNext w:val="0"/>
        <w:keepLines w:val="0"/>
        <w:pageBreakBefore w:val="0"/>
        <w:numPr>
          <w:ilvl w:val="1"/>
          <w:numId w:val="8"/>
        </w:numPr>
        <w:kinsoku/>
        <w:wordWrap/>
        <w:overflowPunct/>
        <w:topLinePunct w:val="0"/>
        <w:autoSpaceDE/>
        <w:autoSpaceDN/>
        <w:bidi w:val="0"/>
        <w:snapToGrid w:val="0"/>
        <w:spacing w:line="312" w:lineRule="auto"/>
        <w:ind w:left="0" w:leftChars="0" w:right="0" w:firstLine="0" w:firstLineChars="0"/>
        <w:jc w:val="left"/>
        <w:textAlignment w:val="auto"/>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装置所有气动元件均采用</w:t>
      </w:r>
      <w:r>
        <w:rPr>
          <w:rFonts w:hint="eastAsia" w:ascii="仿宋_GB2312" w:hAnsi="宋体" w:eastAsia="仿宋_GB2312"/>
          <w:color w:val="auto"/>
          <w:sz w:val="24"/>
          <w:highlight w:val="none"/>
          <w:lang w:eastAsia="zh-CN"/>
        </w:rPr>
        <w:t>优质</w:t>
      </w:r>
      <w:r>
        <w:rPr>
          <w:rFonts w:hint="eastAsia" w:ascii="仿宋_GB2312" w:hAnsi="宋体" w:eastAsia="仿宋_GB2312"/>
          <w:color w:val="auto"/>
          <w:sz w:val="24"/>
          <w:highlight w:val="none"/>
        </w:rPr>
        <w:t>品牌。</w:t>
      </w:r>
    </w:p>
    <w:p>
      <w:pPr>
        <w:keepNext w:val="0"/>
        <w:keepLines w:val="0"/>
        <w:pageBreakBefore w:val="0"/>
        <w:numPr>
          <w:ilvl w:val="0"/>
          <w:numId w:val="0"/>
        </w:numPr>
        <w:kinsoku/>
        <w:wordWrap/>
        <w:overflowPunct/>
        <w:topLinePunct w:val="0"/>
        <w:autoSpaceDE/>
        <w:autoSpaceDN/>
        <w:bidi w:val="0"/>
        <w:spacing w:line="312" w:lineRule="auto"/>
        <w:ind w:leftChars="0" w:right="0" w:rightChars="0"/>
        <w:textAlignment w:val="auto"/>
        <w:rPr>
          <w:rFonts w:hint="eastAsia" w:ascii="仿宋" w:hAnsi="仿宋" w:eastAsia="仿宋" w:cs="仿宋"/>
          <w:bCs/>
          <w:color w:val="auto"/>
          <w:sz w:val="24"/>
          <w:szCs w:val="24"/>
          <w:highlight w:val="none"/>
        </w:rPr>
      </w:pPr>
      <w:r>
        <w:rPr>
          <w:rFonts w:hint="eastAsia" w:ascii="仿宋" w:hAnsi="仿宋" w:eastAsia="仿宋" w:cs="仿宋"/>
          <w:b/>
          <w:bCs/>
          <w:iCs/>
          <w:color w:val="auto"/>
          <w:sz w:val="24"/>
          <w:szCs w:val="24"/>
          <w:highlight w:val="none"/>
          <w:lang w:val="en-US" w:eastAsia="zh-CN"/>
        </w:rPr>
        <w:t>2.</w:t>
      </w:r>
      <w:r>
        <w:rPr>
          <w:rFonts w:hint="eastAsia" w:ascii="仿宋" w:hAnsi="仿宋" w:eastAsia="仿宋" w:cs="仿宋"/>
          <w:b/>
          <w:bCs/>
          <w:iCs/>
          <w:color w:val="auto"/>
          <w:sz w:val="24"/>
          <w:szCs w:val="24"/>
          <w:highlight w:val="none"/>
        </w:rPr>
        <w:t>质保期要求</w:t>
      </w:r>
      <w:r>
        <w:rPr>
          <w:rFonts w:hint="eastAsia" w:ascii="仿宋" w:hAnsi="仿宋" w:eastAsia="仿宋" w:cs="仿宋"/>
          <w:bCs/>
          <w:color w:val="auto"/>
          <w:sz w:val="24"/>
          <w:szCs w:val="24"/>
          <w:highlight w:val="none"/>
        </w:rPr>
        <w:t>：</w:t>
      </w:r>
    </w:p>
    <w:p>
      <w:pPr>
        <w:keepNext w:val="0"/>
        <w:keepLines w:val="0"/>
        <w:pageBreakBefore w:val="0"/>
        <w:numPr>
          <w:ilvl w:val="0"/>
          <w:numId w:val="0"/>
        </w:numPr>
        <w:kinsoku/>
        <w:wordWrap/>
        <w:overflowPunct/>
        <w:topLinePunct w:val="0"/>
        <w:autoSpaceDE/>
        <w:autoSpaceDN/>
        <w:bidi w:val="0"/>
        <w:spacing w:line="312" w:lineRule="auto"/>
        <w:ind w:leftChars="0" w:right="0" w:rightChars="0" w:firstLine="480" w:firstLineChars="200"/>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整机（含所有硬件和软件）自验收合格之日起提供原厂</w:t>
      </w:r>
      <w:r>
        <w:rPr>
          <w:rFonts w:hint="eastAsia" w:ascii="仿宋" w:hAnsi="仿宋" w:eastAsia="仿宋" w:cs="仿宋"/>
          <w:bCs/>
          <w:iCs/>
          <w:color w:val="auto"/>
          <w:sz w:val="24"/>
          <w:szCs w:val="24"/>
          <w:highlight w:val="none"/>
          <w:lang w:eastAsia="zh-CN"/>
        </w:rPr>
        <w:t>免费</w:t>
      </w:r>
      <w:r>
        <w:rPr>
          <w:rFonts w:hint="eastAsia" w:ascii="仿宋" w:hAnsi="仿宋" w:eastAsia="仿宋" w:cs="仿宋"/>
          <w:bCs/>
          <w:iCs/>
          <w:color w:val="auto"/>
          <w:sz w:val="24"/>
          <w:szCs w:val="24"/>
          <w:highlight w:val="none"/>
          <w:lang w:val="en-US" w:eastAsia="zh-CN"/>
        </w:rPr>
        <w:t>1</w:t>
      </w:r>
      <w:r>
        <w:rPr>
          <w:rFonts w:hint="eastAsia" w:ascii="仿宋" w:hAnsi="仿宋" w:eastAsia="仿宋" w:cs="仿宋"/>
          <w:bCs/>
          <w:iCs/>
          <w:color w:val="auto"/>
          <w:sz w:val="24"/>
          <w:szCs w:val="24"/>
          <w:highlight w:val="none"/>
        </w:rPr>
        <w:t>年</w:t>
      </w:r>
      <w:r>
        <w:rPr>
          <w:rFonts w:hint="eastAsia" w:ascii="仿宋" w:hAnsi="仿宋" w:eastAsia="仿宋" w:cs="仿宋"/>
          <w:bCs/>
          <w:iCs/>
          <w:color w:val="auto"/>
          <w:sz w:val="24"/>
          <w:szCs w:val="24"/>
          <w:highlight w:val="none"/>
          <w:lang w:eastAsia="zh-CN"/>
        </w:rPr>
        <w:t>质保</w:t>
      </w:r>
      <w:r>
        <w:rPr>
          <w:rFonts w:hint="eastAsia" w:ascii="仿宋" w:hAnsi="仿宋" w:eastAsia="仿宋" w:cs="仿宋"/>
          <w:bCs/>
          <w:iCs/>
          <w:color w:val="auto"/>
          <w:sz w:val="24"/>
          <w:szCs w:val="24"/>
          <w:highlight w:val="none"/>
        </w:rPr>
        <w:t>。</w:t>
      </w:r>
      <w:r>
        <w:rPr>
          <w:rFonts w:hint="eastAsia" w:ascii="仿宋" w:hAnsi="仿宋" w:eastAsia="仿宋" w:cs="仿宋"/>
          <w:b/>
          <w:bCs w:val="0"/>
          <w:iCs/>
          <w:color w:val="auto"/>
          <w:sz w:val="24"/>
          <w:szCs w:val="24"/>
          <w:highlight w:val="none"/>
        </w:rPr>
        <w:t>投标文件中需出具厂家书面承诺。</w:t>
      </w:r>
      <w:r>
        <w:rPr>
          <w:rFonts w:hint="eastAsia" w:ascii="仿宋" w:hAnsi="仿宋" w:eastAsia="仿宋" w:cs="仿宋"/>
          <w:bCs/>
          <w:iCs/>
          <w:color w:val="auto"/>
          <w:sz w:val="24"/>
          <w:szCs w:val="24"/>
          <w:highlight w:val="none"/>
          <w:lang w:eastAsia="zh-CN"/>
        </w:rPr>
        <w:t>同时</w:t>
      </w:r>
      <w:r>
        <w:rPr>
          <w:rFonts w:hint="eastAsia" w:ascii="仿宋" w:hAnsi="仿宋" w:eastAsia="仿宋" w:cs="仿宋"/>
          <w:bCs/>
          <w:iCs/>
          <w:color w:val="auto"/>
          <w:sz w:val="24"/>
          <w:szCs w:val="24"/>
          <w:highlight w:val="none"/>
        </w:rPr>
        <w:t>需在投标文件中提供</w:t>
      </w:r>
      <w:r>
        <w:rPr>
          <w:rFonts w:hint="eastAsia" w:ascii="仿宋" w:hAnsi="仿宋" w:eastAsia="仿宋" w:cs="仿宋"/>
          <w:bCs/>
          <w:iCs/>
          <w:color w:val="auto"/>
          <w:sz w:val="24"/>
          <w:szCs w:val="24"/>
          <w:highlight w:val="none"/>
          <w:lang w:eastAsia="zh-CN"/>
        </w:rPr>
        <w:t>质保期内外</w:t>
      </w:r>
      <w:r>
        <w:rPr>
          <w:rFonts w:hint="eastAsia" w:ascii="仿宋" w:hAnsi="仿宋" w:eastAsia="仿宋" w:cs="仿宋"/>
          <w:bCs/>
          <w:iCs/>
          <w:color w:val="auto"/>
          <w:sz w:val="24"/>
          <w:szCs w:val="24"/>
          <w:highlight w:val="none"/>
        </w:rPr>
        <w:t>各种保修方案及价格，设备配件价格，维修服务费，消耗品或易耗品的使用周期、价格等。</w:t>
      </w:r>
    </w:p>
    <w:p>
      <w:pPr>
        <w:keepNext w:val="0"/>
        <w:keepLines w:val="0"/>
        <w:pageBreakBefore w:val="0"/>
        <w:numPr>
          <w:ilvl w:val="0"/>
          <w:numId w:val="0"/>
        </w:numPr>
        <w:kinsoku/>
        <w:wordWrap/>
        <w:overflowPunct/>
        <w:topLinePunct w:val="0"/>
        <w:autoSpaceDE/>
        <w:autoSpaceDN/>
        <w:bidi w:val="0"/>
        <w:spacing w:line="312" w:lineRule="auto"/>
        <w:ind w:leftChars="0" w:right="0" w:rightChars="0" w:firstLine="480" w:firstLineChars="200"/>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lang w:eastAsia="zh-CN"/>
        </w:rPr>
        <w:t>质保</w:t>
      </w:r>
      <w:r>
        <w:rPr>
          <w:rFonts w:hint="eastAsia" w:ascii="仿宋" w:hAnsi="仿宋" w:eastAsia="仿宋" w:cs="仿宋"/>
          <w:bCs/>
          <w:iCs/>
          <w:color w:val="auto"/>
          <w:sz w:val="24"/>
          <w:szCs w:val="24"/>
          <w:highlight w:val="none"/>
        </w:rPr>
        <w:t>期满前1个月内</w:t>
      </w:r>
      <w:r>
        <w:rPr>
          <w:rFonts w:hint="eastAsia" w:ascii="仿宋" w:hAnsi="仿宋" w:eastAsia="仿宋" w:cs="仿宋"/>
          <w:bCs/>
          <w:iCs/>
          <w:color w:val="auto"/>
          <w:sz w:val="24"/>
          <w:szCs w:val="24"/>
          <w:highlight w:val="none"/>
          <w:lang w:val="en-US" w:eastAsia="zh-CN"/>
        </w:rPr>
        <w:t>供应商</w:t>
      </w:r>
      <w:r>
        <w:rPr>
          <w:rFonts w:hint="eastAsia" w:ascii="仿宋" w:hAnsi="仿宋" w:eastAsia="仿宋" w:cs="仿宋"/>
          <w:bCs/>
          <w:iCs/>
          <w:color w:val="auto"/>
          <w:sz w:val="24"/>
          <w:szCs w:val="24"/>
          <w:highlight w:val="none"/>
        </w:rPr>
        <w:t>应负责一次免费全面检查，并写出正式报告，如发现潜在问题，应负责排除。终身提供维修维护服务，包括对零配件的供应</w:t>
      </w:r>
      <w:r>
        <w:rPr>
          <w:rFonts w:hint="eastAsia" w:ascii="仿宋" w:hAnsi="仿宋" w:eastAsia="仿宋" w:cs="仿宋"/>
          <w:bCs/>
          <w:iCs/>
          <w:color w:val="auto"/>
          <w:sz w:val="24"/>
          <w:szCs w:val="24"/>
          <w:highlight w:val="none"/>
          <w:lang w:eastAsia="zh-CN"/>
        </w:rPr>
        <w:t>及</w:t>
      </w:r>
      <w:r>
        <w:rPr>
          <w:rFonts w:hint="eastAsia" w:ascii="仿宋" w:hAnsi="仿宋" w:eastAsia="仿宋" w:cs="仿宋"/>
          <w:bCs/>
          <w:iCs/>
          <w:color w:val="auto"/>
          <w:sz w:val="24"/>
          <w:szCs w:val="24"/>
          <w:highlight w:val="none"/>
        </w:rPr>
        <w:t>对产品配套软件</w:t>
      </w:r>
      <w:r>
        <w:rPr>
          <w:rFonts w:hint="eastAsia" w:ascii="仿宋" w:hAnsi="仿宋" w:eastAsia="仿宋" w:cs="仿宋"/>
          <w:bCs/>
          <w:iCs/>
          <w:color w:val="auto"/>
          <w:sz w:val="24"/>
          <w:szCs w:val="24"/>
          <w:highlight w:val="none"/>
          <w:lang w:eastAsia="zh-CN"/>
        </w:rPr>
        <w:t>的</w:t>
      </w:r>
      <w:r>
        <w:rPr>
          <w:rFonts w:hint="eastAsia" w:ascii="仿宋" w:hAnsi="仿宋" w:eastAsia="仿宋" w:cs="仿宋"/>
          <w:bCs/>
          <w:iCs/>
          <w:color w:val="auto"/>
          <w:sz w:val="24"/>
          <w:szCs w:val="24"/>
          <w:highlight w:val="none"/>
        </w:rPr>
        <w:t>故障排除、版本维护、故障修复、补丁和主要版本升级</w:t>
      </w:r>
      <w:r>
        <w:rPr>
          <w:rFonts w:hint="eastAsia" w:ascii="仿宋" w:hAnsi="仿宋" w:eastAsia="仿宋" w:cs="仿宋"/>
          <w:bCs/>
          <w:iCs/>
          <w:color w:val="auto"/>
          <w:sz w:val="24"/>
          <w:szCs w:val="24"/>
          <w:highlight w:val="none"/>
          <w:lang w:eastAsia="zh-CN"/>
        </w:rPr>
        <w:t>的</w:t>
      </w:r>
      <w:r>
        <w:rPr>
          <w:rFonts w:hint="eastAsia" w:ascii="仿宋" w:hAnsi="仿宋" w:eastAsia="仿宋" w:cs="仿宋"/>
          <w:bCs/>
          <w:iCs/>
          <w:color w:val="auto"/>
          <w:sz w:val="24"/>
          <w:szCs w:val="24"/>
          <w:highlight w:val="none"/>
        </w:rPr>
        <w:t>技术支持等。</w:t>
      </w:r>
    </w:p>
    <w:p>
      <w:pPr>
        <w:keepNext w:val="0"/>
        <w:keepLines w:val="0"/>
        <w:pageBreakBefore w:val="0"/>
        <w:widowControl w:val="0"/>
        <w:kinsoku/>
        <w:wordWrap/>
        <w:overflowPunct/>
        <w:topLinePunct w:val="0"/>
        <w:autoSpaceDE/>
        <w:autoSpaceDN/>
        <w:bidi w:val="0"/>
        <w:adjustRightInd w:val="0"/>
        <w:snapToGrid/>
        <w:spacing w:line="312" w:lineRule="auto"/>
        <w:ind w:left="0" w:leftChars="0" w:right="0" w:firstLine="481" w:firstLineChars="0"/>
        <w:textAlignment w:val="auto"/>
        <w:rPr>
          <w:rFonts w:hint="eastAsia" w:ascii="仿宋" w:hAnsi="仿宋" w:eastAsia="仿宋" w:cs="仿宋"/>
          <w:bCs/>
          <w:iCs/>
          <w:color w:val="auto"/>
          <w:sz w:val="24"/>
          <w:szCs w:val="24"/>
          <w:highlight w:val="none"/>
        </w:rPr>
      </w:pPr>
      <w:r>
        <w:rPr>
          <w:rFonts w:hint="eastAsia" w:ascii="仿宋" w:hAnsi="仿宋" w:eastAsia="仿宋" w:cs="仿宋"/>
          <w:b/>
          <w:iCs/>
          <w:color w:val="auto"/>
          <w:sz w:val="24"/>
          <w:szCs w:val="24"/>
          <w:highlight w:val="none"/>
        </w:rPr>
        <w:t>所有售后工作由制造商或授权代理商的专业工程师负责，工程师提供专业资质。</w:t>
      </w:r>
      <w:r>
        <w:rPr>
          <w:rFonts w:hint="eastAsia" w:ascii="仿宋" w:hAnsi="仿宋" w:eastAsia="仿宋" w:cs="仿宋"/>
          <w:bCs/>
          <w:iCs/>
          <w:color w:val="auto"/>
          <w:sz w:val="24"/>
          <w:szCs w:val="24"/>
          <w:highlight w:val="none"/>
        </w:rPr>
        <w:t>无论质保期内外，服务响应时间小于1小时，现场响应时间不超过24小时，72小时内提供解决方案。如有特殊情况不能到场，需征求用户同意。</w:t>
      </w:r>
    </w:p>
    <w:p>
      <w:pPr>
        <w:keepNext w:val="0"/>
        <w:keepLines w:val="0"/>
        <w:pageBreakBefore w:val="0"/>
        <w:widowControl w:val="0"/>
        <w:kinsoku/>
        <w:wordWrap/>
        <w:overflowPunct/>
        <w:topLinePunct w:val="0"/>
        <w:autoSpaceDE/>
        <w:autoSpaceDN/>
        <w:bidi w:val="0"/>
        <w:adjustRightInd w:val="0"/>
        <w:snapToGrid/>
        <w:spacing w:line="312" w:lineRule="auto"/>
        <w:ind w:right="0"/>
        <w:textAlignment w:val="auto"/>
        <w:rPr>
          <w:rFonts w:hint="eastAsia" w:ascii="仿宋" w:hAnsi="仿宋" w:eastAsia="仿宋" w:cs="仿宋"/>
          <w:b/>
          <w:bCs/>
          <w:iCs/>
          <w:color w:val="auto"/>
          <w:sz w:val="24"/>
          <w:szCs w:val="24"/>
          <w:highlight w:val="none"/>
        </w:rPr>
      </w:pPr>
      <w:r>
        <w:rPr>
          <w:rFonts w:hint="eastAsia" w:ascii="仿宋" w:hAnsi="仿宋" w:eastAsia="仿宋" w:cs="仿宋"/>
          <w:b/>
          <w:bCs/>
          <w:iCs/>
          <w:color w:val="auto"/>
          <w:sz w:val="24"/>
          <w:szCs w:val="24"/>
          <w:highlight w:val="none"/>
          <w:lang w:val="en-US" w:eastAsia="zh-CN"/>
        </w:rPr>
        <w:t>3.</w:t>
      </w:r>
      <w:r>
        <w:rPr>
          <w:rFonts w:hint="eastAsia" w:ascii="仿宋" w:hAnsi="仿宋" w:eastAsia="仿宋" w:cs="仿宋"/>
          <w:b/>
          <w:bCs/>
          <w:iCs/>
          <w:color w:val="auto"/>
          <w:sz w:val="24"/>
          <w:szCs w:val="24"/>
          <w:highlight w:val="none"/>
        </w:rPr>
        <w:t>培训要求：</w:t>
      </w:r>
    </w:p>
    <w:p>
      <w:pPr>
        <w:keepNext w:val="0"/>
        <w:keepLines w:val="0"/>
        <w:pageBreakBefore w:val="0"/>
        <w:widowControl w:val="0"/>
        <w:kinsoku/>
        <w:wordWrap/>
        <w:overflowPunct/>
        <w:topLinePunct w:val="0"/>
        <w:autoSpaceDE/>
        <w:autoSpaceDN/>
        <w:bidi w:val="0"/>
        <w:adjustRightInd w:val="0"/>
        <w:snapToGrid/>
        <w:spacing w:line="312" w:lineRule="auto"/>
        <w:ind w:left="0" w:leftChars="0" w:right="0" w:firstLine="480" w:firstLineChars="200"/>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lang w:eastAsia="zh-CN"/>
        </w:rPr>
        <w:t>供应商</w:t>
      </w:r>
      <w:r>
        <w:rPr>
          <w:rFonts w:hint="eastAsia" w:ascii="仿宋" w:hAnsi="仿宋" w:eastAsia="仿宋" w:cs="仿宋"/>
          <w:bCs/>
          <w:iCs/>
          <w:color w:val="auto"/>
          <w:sz w:val="24"/>
          <w:szCs w:val="24"/>
          <w:highlight w:val="none"/>
        </w:rPr>
        <w:t>需安排2名以上操作人员在现场提供1周的应用培训，1名以上维修人员在现场提供1周的维修培训。</w:t>
      </w:r>
    </w:p>
    <w:p>
      <w:pPr>
        <w:keepNext w:val="0"/>
        <w:keepLines w:val="0"/>
        <w:pageBreakBefore w:val="0"/>
        <w:widowControl w:val="0"/>
        <w:kinsoku/>
        <w:wordWrap/>
        <w:overflowPunct/>
        <w:topLinePunct w:val="0"/>
        <w:autoSpaceDE/>
        <w:autoSpaceDN/>
        <w:bidi w:val="0"/>
        <w:adjustRightInd w:val="0"/>
        <w:snapToGrid/>
        <w:spacing w:line="312" w:lineRule="auto"/>
        <w:ind w:left="0" w:leftChars="0" w:right="0" w:firstLine="480" w:firstLineChars="200"/>
        <w:textAlignment w:val="auto"/>
        <w:rPr>
          <w:rFonts w:hint="eastAsia" w:ascii="仿宋" w:hAnsi="仿宋" w:eastAsia="仿宋" w:cs="仿宋"/>
          <w:bCs/>
          <w:iCs/>
          <w:color w:val="auto"/>
          <w:sz w:val="24"/>
          <w:szCs w:val="24"/>
          <w:highlight w:val="none"/>
        </w:rPr>
      </w:pPr>
      <w:r>
        <w:rPr>
          <w:rFonts w:hint="eastAsia" w:ascii="仿宋" w:hAnsi="仿宋" w:eastAsia="仿宋" w:cs="仿宋"/>
          <w:bCs/>
          <w:iCs/>
          <w:color w:val="auto"/>
          <w:sz w:val="24"/>
          <w:szCs w:val="24"/>
          <w:highlight w:val="none"/>
        </w:rPr>
        <w:t>供应商应对上述内容的实现方式、地点、人数、时间在投标文件中进行详细说明，并提供培训计划。</w:t>
      </w:r>
    </w:p>
    <w:p>
      <w:pPr>
        <w:keepNext w:val="0"/>
        <w:keepLines w:val="0"/>
        <w:pageBreakBefore w:val="0"/>
        <w:widowControl w:val="0"/>
        <w:kinsoku/>
        <w:wordWrap/>
        <w:overflowPunct/>
        <w:topLinePunct w:val="0"/>
        <w:autoSpaceDE/>
        <w:autoSpaceDN/>
        <w:bidi w:val="0"/>
        <w:adjustRightInd w:val="0"/>
        <w:snapToGrid/>
        <w:spacing w:line="312" w:lineRule="auto"/>
        <w:ind w:left="0" w:leftChars="0" w:right="0" w:firstLine="0" w:firstLineChars="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4.交付:</w:t>
      </w:r>
    </w:p>
    <w:p>
      <w:pPr>
        <w:keepNext w:val="0"/>
        <w:keepLines w:val="0"/>
        <w:pageBreakBefore w:val="0"/>
        <w:kinsoku/>
        <w:wordWrap/>
        <w:overflowPunct/>
        <w:topLinePunct w:val="0"/>
        <w:autoSpaceDE/>
        <w:autoSpaceDN/>
        <w:bidi w:val="0"/>
        <w:adjustRightInd/>
        <w:spacing w:line="312" w:lineRule="auto"/>
        <w:ind w:left="0" w:leftChars="0" w:righ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货物验收：一个月内将货物交到采购人到指定区域，采购人按国家相关材料进场规定与发货通知内容要求、对货物的数量、包装、合格证、样品（若适用）等内容进行验收，该项验收仅作付款依据，最终验收以专项验收合格为准。</w:t>
      </w:r>
    </w:p>
    <w:p>
      <w:pPr>
        <w:keepNext w:val="0"/>
        <w:keepLines w:val="0"/>
        <w:pageBreakBefore w:val="0"/>
        <w:kinsoku/>
        <w:wordWrap/>
        <w:overflowPunct/>
        <w:topLinePunct w:val="0"/>
        <w:autoSpaceDE/>
        <w:autoSpaceDN/>
        <w:bidi w:val="0"/>
        <w:adjustRightInd/>
        <w:spacing w:line="312" w:lineRule="auto"/>
        <w:ind w:left="0" w:leftChars="0" w:righ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货物专项验收：货物安装完毕，采购人在收到供应商提交的书面报告后，组织相关部门，按本合同、招标文件、投标文件及相关标准规范进行专项验收，直至合格，双方共同签署验收报告。</w:t>
      </w:r>
    </w:p>
    <w:p>
      <w:pPr>
        <w:keepNext w:val="0"/>
        <w:keepLines w:val="0"/>
        <w:pageBreakBefore w:val="0"/>
        <w:widowControl/>
        <w:suppressLineNumbers w:val="0"/>
        <w:kinsoku/>
        <w:wordWrap/>
        <w:overflowPunct/>
        <w:topLinePunct w:val="0"/>
        <w:autoSpaceDE/>
        <w:autoSpaceDN/>
        <w:bidi w:val="0"/>
        <w:adjustRightInd/>
        <w:spacing w:line="312" w:lineRule="auto"/>
        <w:ind w:left="0" w:leftChars="0" w:right="0" w:firstLine="0" w:firstLineChars="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5.违约责任</w:t>
      </w:r>
    </w:p>
    <w:p>
      <w:pPr>
        <w:keepNext w:val="0"/>
        <w:keepLines w:val="0"/>
        <w:pageBreakBefore w:val="0"/>
        <w:kinsoku/>
        <w:wordWrap/>
        <w:overflowPunct/>
        <w:topLinePunct w:val="0"/>
        <w:autoSpaceDE/>
        <w:autoSpaceDN/>
        <w:bidi w:val="0"/>
        <w:adjustRightInd/>
        <w:spacing w:line="312" w:lineRule="auto"/>
        <w:ind w:left="0" w:leftChars="0" w:righ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除法定不可抗力外，供应商未在交货期内按照合同约定的交货方式、交货地点交付货物的，供应商应按逾期交付货物总额每日万分之五向采购人支付逾期违约金，采购人有权从待付合同款中扣除。设备整机中的零部件逾期交货的且影响整机的正常工作，按设备整机逾期交货计算逾期违约金。逾期违约金的上限为迟交货物合同总价的百分之五十，如违约金达到上限供应商仍不能交货的，采购人有权单方面解除合同。</w:t>
      </w:r>
    </w:p>
    <w:p>
      <w:pPr>
        <w:keepNext w:val="0"/>
        <w:keepLines w:val="0"/>
        <w:pageBreakBefore w:val="0"/>
        <w:kinsoku/>
        <w:wordWrap/>
        <w:overflowPunct/>
        <w:topLinePunct w:val="0"/>
        <w:autoSpaceDE/>
        <w:autoSpaceDN/>
        <w:bidi w:val="0"/>
        <w:adjustRightInd/>
        <w:spacing w:line="312" w:lineRule="auto"/>
        <w:ind w:left="0" w:leftChars="0" w:righ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若设备通过初步验收或完成安装，但未按照约定完成调试和培训的，每延迟一天，供应商应按照合同总价的万分之一向采购人支付逾期违约金；逾期超过30天的，采购人有权单方面解除合同。</w:t>
      </w:r>
    </w:p>
    <w:p>
      <w:pPr>
        <w:keepNext w:val="0"/>
        <w:keepLines w:val="0"/>
        <w:pageBreakBefore w:val="0"/>
        <w:kinsoku/>
        <w:wordWrap/>
        <w:overflowPunct/>
        <w:topLinePunct w:val="0"/>
        <w:autoSpaceDE/>
        <w:autoSpaceDN/>
        <w:bidi w:val="0"/>
        <w:adjustRightInd/>
        <w:spacing w:line="312" w:lineRule="auto"/>
        <w:ind w:left="0" w:leftChars="0" w:righ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若验收不合格，供应商应在5天（日历天）内及时予以处理，若第二次验收仍不合格，每迟延一天，供应商应当按照合同总价的万分之五向采购人支付逾期违约金，且采购人有权终止合同，供应商须向采购人退还全部货款，采购人保留向供应商索赔的权利。</w:t>
      </w:r>
    </w:p>
    <w:p>
      <w:pPr>
        <w:keepNext w:val="0"/>
        <w:keepLines w:val="0"/>
        <w:pageBreakBefore w:val="0"/>
        <w:kinsoku/>
        <w:wordWrap/>
        <w:overflowPunct/>
        <w:topLinePunct w:val="0"/>
        <w:autoSpaceDE/>
        <w:autoSpaceDN/>
        <w:bidi w:val="0"/>
        <w:adjustRightInd/>
        <w:spacing w:line="312" w:lineRule="auto"/>
        <w:ind w:left="0" w:leftChars="0" w:righ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供应商若提供假冒伪劣产品、未经采购人同意更换货物配置、未经采购人同意更换部件品牌，均将视为严重违约，供应商须按合同总价的100%赔偿采购人所有损失，采购人有权终止部分甚至全部合同。</w:t>
      </w:r>
    </w:p>
    <w:p>
      <w:pPr>
        <w:keepNext w:val="0"/>
        <w:keepLines w:val="0"/>
        <w:pageBreakBefore w:val="0"/>
        <w:kinsoku/>
        <w:wordWrap/>
        <w:overflowPunct/>
        <w:topLinePunct w:val="0"/>
        <w:autoSpaceDE/>
        <w:autoSpaceDN/>
        <w:bidi w:val="0"/>
        <w:adjustRightInd/>
        <w:spacing w:line="312" w:lineRule="auto"/>
        <w:ind w:left="0" w:leftChars="0" w:righ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供应商未能履行合同规定的其他义务，且在发生后30天内（日历天）未能纠正的，采购人有权终止部分甚至全部合同。</w:t>
      </w:r>
    </w:p>
    <w:p>
      <w:pPr>
        <w:keepNext w:val="0"/>
        <w:keepLines w:val="0"/>
        <w:pageBreakBefore w:val="0"/>
        <w:kinsoku/>
        <w:wordWrap/>
        <w:overflowPunct/>
        <w:topLinePunct w:val="0"/>
        <w:autoSpaceDE/>
        <w:autoSpaceDN/>
        <w:bidi w:val="0"/>
        <w:adjustRightInd/>
        <w:spacing w:line="312" w:lineRule="auto"/>
        <w:ind w:left="0" w:leftChars="0" w:righ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在终止部分合同的情况下，供应商仍负有对已交货部分货物的产品质量责任。</w:t>
      </w:r>
    </w:p>
    <w:p>
      <w:pPr>
        <w:keepNext w:val="0"/>
        <w:keepLines w:val="0"/>
        <w:pageBreakBefore w:val="0"/>
        <w:kinsoku/>
        <w:wordWrap/>
        <w:overflowPunct/>
        <w:topLinePunct w:val="0"/>
        <w:autoSpaceDE/>
        <w:autoSpaceDN/>
        <w:bidi w:val="0"/>
        <w:adjustRightInd/>
        <w:spacing w:line="312" w:lineRule="auto"/>
        <w:ind w:left="0" w:leftChars="0" w:righ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在货物试用期、使用期内，因货物质量或安装问题给采购人或第三方造成损失的，则全部由供应商负责，并承担所有赔偿费用。</w:t>
      </w:r>
    </w:p>
    <w:p>
      <w:pPr>
        <w:keepNext w:val="0"/>
        <w:keepLines w:val="0"/>
        <w:pageBreakBefore w:val="0"/>
        <w:kinsoku/>
        <w:wordWrap/>
        <w:overflowPunct/>
        <w:topLinePunct w:val="0"/>
        <w:autoSpaceDE/>
        <w:autoSpaceDN/>
        <w:bidi w:val="0"/>
        <w:adjustRightInd/>
        <w:spacing w:line="312" w:lineRule="auto"/>
        <w:ind w:right="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6.付款方式：</w:t>
      </w:r>
    </w:p>
    <w:p>
      <w:pPr>
        <w:keepNext w:val="0"/>
        <w:keepLines w:val="0"/>
        <w:pageBreakBefore w:val="0"/>
        <w:kinsoku/>
        <w:wordWrap/>
        <w:overflowPunct/>
        <w:topLinePunct w:val="0"/>
        <w:autoSpaceDE/>
        <w:autoSpaceDN/>
        <w:bidi w:val="0"/>
        <w:adjustRightInd/>
        <w:spacing w:line="312" w:lineRule="auto"/>
        <w:ind w:left="0" w:leftChars="0" w:right="0" w:firstLine="480" w:firstLineChars="200"/>
        <w:textAlignment w:val="auto"/>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按《浙江省财政厅关于进一步发挥政府采购政策 功能全力推动经济稳进提质的通知》（浙财采监〔2022〕3号）</w:t>
      </w:r>
      <w:r>
        <w:rPr>
          <w:rFonts w:hint="eastAsia" w:ascii="仿宋" w:hAnsi="仿宋" w:eastAsia="仿宋" w:cs="仿宋"/>
          <w:color w:val="auto"/>
          <w:sz w:val="24"/>
          <w:highlight w:val="none"/>
          <w:lang w:eastAsia="zh-CN"/>
        </w:rPr>
        <w:t>等</w:t>
      </w:r>
      <w:r>
        <w:rPr>
          <w:rFonts w:hint="eastAsia" w:ascii="仿宋" w:hAnsi="仿宋" w:eastAsia="仿宋" w:cs="仿宋"/>
          <w:color w:val="auto"/>
          <w:sz w:val="24"/>
          <w:highlight w:val="none"/>
        </w:rPr>
        <w:t>文件要求执行，具体付款方式由双方协商后在合同中明确。</w:t>
      </w:r>
    </w:p>
    <w:p>
      <w:pPr>
        <w:spacing w:line="360" w:lineRule="auto"/>
        <w:jc w:val="both"/>
        <w:outlineLvl w:val="0"/>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pPr>
        <w:pStyle w:val="28"/>
        <w:ind w:left="0" w:leftChars="0" w:firstLine="0" w:firstLineChars="0"/>
        <w:rPr>
          <w:rFonts w:hint="eastAsia" w:ascii="仿宋" w:hAnsi="仿宋" w:eastAsia="仿宋" w:cs="仿宋"/>
          <w:color w:val="auto"/>
          <w:szCs w:val="24"/>
          <w:highlight w:val="none"/>
        </w:rPr>
      </w:pPr>
    </w:p>
    <w:p>
      <w:pPr>
        <w:pStyle w:val="28"/>
        <w:jc w:val="center"/>
        <w:rPr>
          <w:rFonts w:hint="eastAsia" w:ascii="仿宋" w:hAnsi="仿宋" w:eastAsia="仿宋" w:cs="仿宋"/>
          <w:color w:val="auto"/>
          <w:szCs w:val="24"/>
          <w:highlight w:val="none"/>
        </w:rPr>
      </w:pPr>
    </w:p>
    <w:p>
      <w:pPr>
        <w:pStyle w:val="28"/>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pStyle w:val="28"/>
        <w:rPr>
          <w:rFonts w:hint="eastAsia" w:ascii="仿宋" w:hAnsi="仿宋" w:eastAsia="仿宋" w:cs="仿宋"/>
          <w:color w:val="auto"/>
          <w:szCs w:val="24"/>
          <w:highlight w:val="none"/>
        </w:rPr>
      </w:pPr>
    </w:p>
    <w:p>
      <w:pPr>
        <w:pStyle w:val="28"/>
        <w:rPr>
          <w:rFonts w:hint="eastAsia" w:ascii="仿宋" w:hAnsi="仿宋" w:eastAsia="仿宋" w:cs="仿宋"/>
          <w:color w:val="auto"/>
          <w:szCs w:val="24"/>
          <w:highlight w:val="none"/>
        </w:rPr>
      </w:pP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560" w:lineRule="exact"/>
        <w:ind w:firstLine="482" w:firstLineChars="200"/>
        <w:outlineLvl w:val="0"/>
        <w:rPr>
          <w:rFonts w:hint="eastAsia" w:ascii="仿宋" w:hAnsi="仿宋" w:eastAsia="仿宋" w:cs="仿宋"/>
          <w:b/>
          <w:color w:val="auto"/>
          <w:sz w:val="24"/>
          <w:highlight w:val="none"/>
        </w:rPr>
      </w:pPr>
      <w:bookmarkStart w:id="45" w:name="_Toc2232"/>
      <w:bookmarkStart w:id="46" w:name="_Toc3029"/>
      <w:bookmarkStart w:id="47" w:name="_Toc24059"/>
      <w:r>
        <w:rPr>
          <w:rFonts w:hint="eastAsia" w:ascii="仿宋" w:hAnsi="仿宋" w:eastAsia="仿宋" w:cs="仿宋"/>
          <w:b/>
          <w:color w:val="auto"/>
          <w:sz w:val="24"/>
          <w:highlight w:val="none"/>
        </w:rPr>
        <w:t>1.1 合同组成部分</w:t>
      </w:r>
      <w:bookmarkEnd w:id="45"/>
      <w:bookmarkEnd w:id="46"/>
      <w:bookmarkEnd w:id="4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560" w:lineRule="exact"/>
        <w:ind w:firstLine="482" w:firstLineChars="200"/>
        <w:outlineLvl w:val="0"/>
        <w:rPr>
          <w:rFonts w:hint="eastAsia" w:ascii="仿宋" w:hAnsi="仿宋" w:eastAsia="仿宋" w:cs="仿宋"/>
          <w:b/>
          <w:color w:val="auto"/>
          <w:sz w:val="24"/>
          <w:highlight w:val="none"/>
        </w:rPr>
      </w:pPr>
      <w:bookmarkStart w:id="48" w:name="_Toc24300"/>
      <w:bookmarkStart w:id="49" w:name="_Toc27126"/>
      <w:bookmarkStart w:id="50" w:name="_Toc21295"/>
      <w:r>
        <w:rPr>
          <w:rFonts w:hint="eastAsia" w:ascii="仿宋" w:hAnsi="仿宋" w:eastAsia="仿宋" w:cs="仿宋"/>
          <w:b/>
          <w:color w:val="auto"/>
          <w:sz w:val="24"/>
          <w:highlight w:val="none"/>
        </w:rPr>
        <w:t>1.2 货物</w:t>
      </w:r>
      <w:bookmarkEnd w:id="48"/>
      <w:bookmarkEnd w:id="49"/>
      <w:bookmarkEnd w:id="50"/>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pPr>
        <w:spacing w:line="560" w:lineRule="exact"/>
        <w:ind w:firstLine="482" w:firstLineChars="200"/>
        <w:outlineLvl w:val="0"/>
        <w:rPr>
          <w:rFonts w:hint="eastAsia" w:ascii="仿宋" w:hAnsi="仿宋" w:eastAsia="仿宋" w:cs="仿宋"/>
          <w:b/>
          <w:color w:val="auto"/>
          <w:sz w:val="24"/>
          <w:highlight w:val="none"/>
        </w:rPr>
      </w:pPr>
      <w:bookmarkStart w:id="51" w:name="_Toc21551"/>
      <w:bookmarkStart w:id="52" w:name="_Toc21631"/>
      <w:bookmarkStart w:id="53" w:name="_Toc23292"/>
      <w:r>
        <w:rPr>
          <w:rFonts w:hint="eastAsia" w:ascii="仿宋" w:hAnsi="仿宋" w:eastAsia="仿宋" w:cs="仿宋"/>
          <w:b/>
          <w:color w:val="auto"/>
          <w:sz w:val="24"/>
          <w:highlight w:val="none"/>
        </w:rPr>
        <w:t>1.3 价款</w:t>
      </w:r>
      <w:bookmarkEnd w:id="51"/>
      <w:bookmarkEnd w:id="52"/>
      <w:bookmarkEnd w:id="5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6"/>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21"/>
              <w:spacing w:line="560" w:lineRule="exact"/>
              <w:ind w:firstLine="200"/>
              <w:jc w:val="center"/>
              <w:rPr>
                <w:rFonts w:hint="eastAsia" w:ascii="仿宋" w:hAnsi="仿宋" w:eastAsia="仿宋" w:cs="仿宋"/>
                <w:color w:val="auto"/>
                <w:sz w:val="24"/>
                <w:szCs w:val="24"/>
                <w:highlight w:val="none"/>
              </w:rPr>
            </w:pPr>
          </w:p>
        </w:tc>
      </w:tr>
    </w:tbl>
    <w:p>
      <w:pPr>
        <w:pStyle w:val="29"/>
        <w:spacing w:before="0" w:beforeAutospacing="0" w:after="0" w:afterAutospacing="0" w:line="360" w:lineRule="auto"/>
        <w:ind w:firstLine="480"/>
        <w:rPr>
          <w:rFonts w:hint="eastAsia" w:ascii="仿宋" w:hAnsi="仿宋" w:eastAsia="仿宋" w:cs="仿宋"/>
          <w:b/>
          <w:color w:val="auto"/>
          <w:highlight w:val="none"/>
        </w:rPr>
      </w:pPr>
      <w:bookmarkStart w:id="54" w:name="_Toc10340"/>
      <w:bookmarkStart w:id="55" w:name="_Toc1814"/>
      <w:bookmarkStart w:id="56" w:name="_Toc22618"/>
      <w:r>
        <w:rPr>
          <w:rFonts w:hint="eastAsia" w:ascii="仿宋" w:hAnsi="仿宋" w:eastAsia="仿宋" w:cs="仿宋"/>
          <w:b/>
          <w:color w:val="auto"/>
          <w:highlight w:val="none"/>
        </w:rPr>
        <w:t>1.4履约保证金</w:t>
      </w:r>
    </w:p>
    <w:p>
      <w:pPr>
        <w:pStyle w:val="2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tabs>
          <w:tab w:val="clear" w:pos="432"/>
        </w:tabs>
        <w:spacing w:line="560" w:lineRule="exact"/>
        <w:ind w:left="0" w:firstLine="480" w:firstLineChars="200"/>
        <w:rPr>
          <w:rFonts w:hint="eastAsia"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4"/>
      <w:bookmarkEnd w:id="55"/>
      <w:bookmarkEnd w:id="56"/>
      <w:r>
        <w:rPr>
          <w:rFonts w:hint="eastAsia" w:ascii="仿宋" w:hAnsi="仿宋" w:eastAsia="仿宋" w:cs="仿宋"/>
          <w:b/>
          <w:color w:val="auto"/>
          <w:sz w:val="24"/>
          <w:highlight w:val="none"/>
        </w:rPr>
        <w:t>预付款</w:t>
      </w:r>
    </w:p>
    <w:p>
      <w:pPr>
        <w:pStyle w:val="2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2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29"/>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29"/>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2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57" w:name="_Toc32071"/>
      <w:bookmarkStart w:id="58" w:name="_Toc19304"/>
      <w:bookmarkStart w:id="59" w:name="_Toc2846"/>
      <w:r>
        <w:rPr>
          <w:rFonts w:hint="eastAsia" w:ascii="仿宋" w:hAnsi="仿宋" w:eastAsia="仿宋" w:cs="仿宋"/>
          <w:b/>
          <w:color w:val="auto"/>
          <w:sz w:val="24"/>
          <w:highlight w:val="none"/>
        </w:rPr>
        <w:t>1.7货物交付期限、地点和方式</w:t>
      </w:r>
      <w:bookmarkEnd w:id="57"/>
      <w:bookmarkEnd w:id="58"/>
      <w:bookmarkEnd w:id="59"/>
    </w:p>
    <w:p>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60" w:name="_Toc27250"/>
      <w:bookmarkStart w:id="61" w:name="_Toc19554"/>
      <w:bookmarkStart w:id="62" w:name="_Toc21423"/>
      <w:r>
        <w:rPr>
          <w:rFonts w:hint="eastAsia" w:ascii="仿宋" w:hAnsi="仿宋" w:eastAsia="仿宋" w:cs="仿宋"/>
          <w:b/>
          <w:color w:val="auto"/>
          <w:sz w:val="24"/>
          <w:highlight w:val="none"/>
        </w:rPr>
        <w:t>1.8违约责任</w:t>
      </w:r>
      <w:bookmarkEnd w:id="60"/>
      <w:bookmarkEnd w:id="61"/>
      <w:bookmarkEnd w:id="6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pPr>
        <w:spacing w:line="560" w:lineRule="exact"/>
        <w:ind w:firstLine="482" w:firstLineChars="200"/>
        <w:outlineLvl w:val="0"/>
        <w:rPr>
          <w:rFonts w:hint="eastAsia" w:ascii="仿宋" w:hAnsi="仿宋" w:eastAsia="仿宋" w:cs="仿宋"/>
          <w:b/>
          <w:color w:val="auto"/>
          <w:sz w:val="24"/>
          <w:highlight w:val="none"/>
        </w:rPr>
      </w:pPr>
      <w:bookmarkStart w:id="63" w:name="_Toc16021"/>
      <w:bookmarkStart w:id="64" w:name="_Toc15583"/>
      <w:bookmarkStart w:id="65" w:name="_Toc28375"/>
      <w:r>
        <w:rPr>
          <w:rFonts w:hint="eastAsia" w:ascii="仿宋" w:hAnsi="仿宋" w:eastAsia="仿宋" w:cs="仿宋"/>
          <w:b/>
          <w:color w:val="auto"/>
          <w:sz w:val="24"/>
          <w:highlight w:val="none"/>
        </w:rPr>
        <w:t>1.9合同争议的解决</w:t>
      </w:r>
      <w:bookmarkEnd w:id="63"/>
      <w:bookmarkEnd w:id="64"/>
      <w:bookmarkEnd w:id="65"/>
    </w:p>
    <w:p>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560" w:lineRule="exact"/>
        <w:ind w:firstLine="482" w:firstLineChars="200"/>
        <w:outlineLvl w:val="0"/>
        <w:rPr>
          <w:rFonts w:hint="eastAsia" w:ascii="仿宋" w:hAnsi="仿宋" w:eastAsia="仿宋" w:cs="仿宋"/>
          <w:b/>
          <w:color w:val="auto"/>
          <w:sz w:val="24"/>
          <w:highlight w:val="none"/>
        </w:rPr>
      </w:pPr>
      <w:bookmarkStart w:id="66" w:name="_Toc15322"/>
      <w:bookmarkStart w:id="67" w:name="_Toc11173"/>
      <w:bookmarkStart w:id="68" w:name="_Toc7245"/>
      <w:r>
        <w:rPr>
          <w:rFonts w:hint="eastAsia" w:ascii="仿宋" w:hAnsi="仿宋" w:eastAsia="仿宋" w:cs="仿宋"/>
          <w:b/>
          <w:color w:val="auto"/>
          <w:sz w:val="24"/>
          <w:highlight w:val="none"/>
        </w:rPr>
        <w:t>2.0 合同生效</w:t>
      </w:r>
      <w:bookmarkEnd w:id="66"/>
      <w:bookmarkEnd w:id="67"/>
      <w:bookmarkEnd w:id="68"/>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highlight w:val="none"/>
          <w:lang w:val="zh-CN"/>
        </w:rPr>
      </w:pP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pStyle w:val="4"/>
        <w:rPr>
          <w:rFonts w:hint="eastAsia" w:asci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eastAsia="仿宋" w:cs="仿宋"/>
          <w:color w:val="auto"/>
          <w:sz w:val="24"/>
          <w:highlight w:val="none"/>
        </w:rPr>
      </w:pPr>
    </w:p>
    <w:p>
      <w:pPr>
        <w:rPr>
          <w:rFonts w:hint="eastAsia" w:ascii="仿宋" w:hAnsi="仿宋" w:eastAsia="仿宋" w:cs="仿宋"/>
          <w:color w:val="auto"/>
          <w:sz w:val="24"/>
          <w:highlight w:val="none"/>
        </w:rPr>
      </w:pPr>
    </w:p>
    <w:p>
      <w:pPr>
        <w:pStyle w:val="4"/>
        <w:rPr>
          <w:rFonts w:hint="eastAsia" w:ascii="仿宋" w:eastAsia="仿宋" w:cs="仿宋"/>
          <w:color w:val="auto"/>
          <w:sz w:val="24"/>
          <w:highlight w:val="none"/>
        </w:rPr>
      </w:pPr>
    </w:p>
    <w:p>
      <w:pPr>
        <w:rPr>
          <w:rFonts w:hint="eastAsia" w:ascii="仿宋" w:hAnsi="仿宋" w:eastAsia="仿宋" w:cs="仿宋"/>
          <w:color w:val="auto"/>
          <w:sz w:val="24"/>
          <w:highlight w:val="none"/>
        </w:rPr>
      </w:pPr>
    </w:p>
    <w:p>
      <w:pPr>
        <w:pStyle w:val="28"/>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69" w:name="_Ref467378499"/>
      <w:bookmarkStart w:id="70" w:name="_Toc28763"/>
      <w:bookmarkStart w:id="71" w:name="_Ref467379094"/>
      <w:bookmarkStart w:id="72" w:name="_Toc259093669"/>
      <w:bookmarkStart w:id="73" w:name="_Ref467379195"/>
      <w:bookmarkStart w:id="74" w:name="_Ref467379214"/>
      <w:bookmarkStart w:id="75" w:name="_Ref467378463"/>
      <w:bookmarkStart w:id="76" w:name="_Toc16917"/>
      <w:bookmarkStart w:id="77" w:name="_Ref467379225"/>
      <w:bookmarkStart w:id="78" w:name="_Ref467379109"/>
      <w:bookmarkStart w:id="79" w:name="_Ref467379205"/>
      <w:bookmarkStart w:id="80" w:name="_Toc487900349"/>
      <w:bookmarkStart w:id="81" w:name="_Ref467378404"/>
      <w:bookmarkStart w:id="82" w:name="_Toc279701240"/>
      <w:bookmarkStart w:id="83" w:name="_Ref467379101"/>
      <w:bookmarkStart w:id="84" w:name="_Toc19614"/>
      <w:r>
        <w:rPr>
          <w:rFonts w:hint="eastAsia" w:ascii="仿宋" w:hAnsi="仿宋" w:eastAsia="仿宋" w:cs="仿宋"/>
          <w:b/>
          <w:color w:val="auto"/>
          <w:sz w:val="24"/>
          <w:highlight w:val="none"/>
        </w:rPr>
        <w:t>2.1 定义</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85" w:name="_Ref467378840"/>
      <w:r>
        <w:rPr>
          <w:rFonts w:hint="eastAsia" w:ascii="仿宋" w:hAnsi="仿宋" w:eastAsia="仿宋" w:cs="仿宋"/>
          <w:color w:val="auto"/>
          <w:sz w:val="24"/>
          <w:highlight w:val="none"/>
        </w:rPr>
        <w:t>2.1.4 “甲方”系指与中标或成交供应商签署合同的采购人</w:t>
      </w:r>
      <w:bookmarkEnd w:id="85"/>
      <w:r>
        <w:rPr>
          <w:rFonts w:hint="eastAsia" w:ascii="仿宋" w:hAnsi="仿宋" w:eastAsia="仿宋" w:cs="仿宋"/>
          <w:color w:val="auto"/>
          <w:sz w:val="24"/>
          <w:highlight w:val="none"/>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bookmarkStart w:id="86" w:name="_Ref467379400"/>
      <w:r>
        <w:rPr>
          <w:rFonts w:hint="eastAsia" w:ascii="仿宋" w:hAnsi="仿宋" w:eastAsia="仿宋" w:cs="仿宋"/>
          <w:color w:val="auto"/>
          <w:sz w:val="24"/>
          <w:highlight w:val="none"/>
        </w:rPr>
        <w:t>2.1.5 “乙方”系指根据合同约定交付货物的中标或成交供应商</w:t>
      </w:r>
      <w:bookmarkEnd w:id="86"/>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87" w:name="_Ref467379436"/>
      <w:r>
        <w:rPr>
          <w:rFonts w:hint="eastAsia" w:ascii="仿宋" w:hAnsi="仿宋" w:eastAsia="仿宋" w:cs="仿宋"/>
          <w:color w:val="auto"/>
          <w:sz w:val="24"/>
          <w:highlight w:val="none"/>
        </w:rPr>
        <w:t>2.1.6 “现场”系指合同约定货物将要运至或者安装的地点。</w:t>
      </w:r>
      <w:bookmarkEnd w:id="87"/>
    </w:p>
    <w:p>
      <w:pPr>
        <w:spacing w:line="560" w:lineRule="exact"/>
        <w:ind w:firstLine="482" w:firstLineChars="200"/>
        <w:outlineLvl w:val="0"/>
        <w:rPr>
          <w:rFonts w:hint="eastAsia" w:ascii="仿宋" w:hAnsi="仿宋" w:eastAsia="仿宋" w:cs="仿宋"/>
          <w:b/>
          <w:color w:val="auto"/>
          <w:sz w:val="24"/>
          <w:highlight w:val="none"/>
        </w:rPr>
      </w:pPr>
      <w:bookmarkStart w:id="88" w:name="_Toc27635"/>
      <w:bookmarkStart w:id="89" w:name="_Toc13336"/>
      <w:bookmarkStart w:id="90" w:name="_Toc487900350"/>
      <w:bookmarkStart w:id="91" w:name="_Toc32504"/>
      <w:bookmarkStart w:id="92" w:name="_Toc279701241"/>
      <w:bookmarkStart w:id="93" w:name="_Toc259093670"/>
      <w:r>
        <w:rPr>
          <w:rFonts w:hint="eastAsia" w:ascii="仿宋" w:hAnsi="仿宋" w:eastAsia="仿宋" w:cs="仿宋"/>
          <w:b/>
          <w:color w:val="auto"/>
          <w:sz w:val="24"/>
          <w:highlight w:val="none"/>
        </w:rPr>
        <w:t>2.2 技术规范</w:t>
      </w:r>
      <w:bookmarkEnd w:id="88"/>
      <w:bookmarkEnd w:id="89"/>
      <w:bookmarkEnd w:id="90"/>
      <w:bookmarkEnd w:id="91"/>
      <w:bookmarkEnd w:id="92"/>
      <w:bookmarkEnd w:id="9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4" w:name="_Toc31634"/>
      <w:bookmarkStart w:id="95" w:name="_Toc27853"/>
      <w:bookmarkStart w:id="96" w:name="_Toc9829"/>
      <w:bookmarkStart w:id="97" w:name="_Toc259093671"/>
      <w:bookmarkStart w:id="98" w:name="_Toc487900351"/>
      <w:bookmarkStart w:id="99" w:name="_Toc279701242"/>
      <w:r>
        <w:rPr>
          <w:rFonts w:hint="eastAsia" w:ascii="仿宋" w:hAnsi="仿宋" w:eastAsia="仿宋" w:cs="仿宋"/>
          <w:b/>
          <w:color w:val="auto"/>
          <w:sz w:val="24"/>
          <w:highlight w:val="none"/>
        </w:rPr>
        <w:t>2.3 知识产权</w:t>
      </w:r>
      <w:bookmarkEnd w:id="94"/>
      <w:bookmarkEnd w:id="95"/>
      <w:bookmarkEnd w:id="96"/>
      <w:bookmarkEnd w:id="97"/>
      <w:bookmarkEnd w:id="98"/>
      <w:bookmarkEnd w:id="9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0" w:name="_Toc29149"/>
      <w:bookmarkStart w:id="101" w:name="_Toc11932"/>
      <w:bookmarkStart w:id="102" w:name="_Toc4194"/>
      <w:r>
        <w:rPr>
          <w:rFonts w:hint="eastAsia" w:ascii="仿宋" w:hAnsi="仿宋" w:eastAsia="仿宋" w:cs="仿宋"/>
          <w:b/>
          <w:color w:val="auto"/>
          <w:sz w:val="24"/>
          <w:highlight w:val="none"/>
        </w:rPr>
        <w:t>2.4 包装和装运</w:t>
      </w:r>
      <w:bookmarkEnd w:id="100"/>
      <w:bookmarkEnd w:id="101"/>
      <w:bookmarkEnd w:id="10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3" w:name="_Toc259093674"/>
      <w:bookmarkStart w:id="104" w:name="_Ref467378541"/>
      <w:bookmarkStart w:id="105" w:name="_Ref467379527"/>
      <w:bookmarkStart w:id="106" w:name="_Ref467379536"/>
      <w:bookmarkStart w:id="107" w:name="_Ref467379542"/>
      <w:bookmarkStart w:id="108" w:name="_Ref467378591"/>
      <w:bookmarkStart w:id="109" w:name="_Toc279701245"/>
      <w:bookmarkStart w:id="110" w:name="_Toc487900354"/>
      <w:bookmarkStart w:id="111" w:name="_Toc26182"/>
      <w:bookmarkStart w:id="112" w:name="_Toc30272"/>
      <w:bookmarkStart w:id="113" w:name="_Toc19074"/>
      <w:r>
        <w:rPr>
          <w:rFonts w:hint="eastAsia" w:ascii="仿宋" w:hAnsi="仿宋" w:eastAsia="仿宋" w:cs="仿宋"/>
          <w:b/>
          <w:color w:val="auto"/>
          <w:sz w:val="24"/>
          <w:highlight w:val="none"/>
        </w:rPr>
        <w:t>2.</w:t>
      </w:r>
      <w:bookmarkEnd w:id="103"/>
      <w:bookmarkEnd w:id="104"/>
      <w:bookmarkEnd w:id="105"/>
      <w:bookmarkEnd w:id="106"/>
      <w:bookmarkEnd w:id="107"/>
      <w:bookmarkEnd w:id="108"/>
      <w:bookmarkEnd w:id="109"/>
      <w:bookmarkEnd w:id="110"/>
      <w:r>
        <w:rPr>
          <w:rFonts w:hint="eastAsia" w:ascii="仿宋" w:hAnsi="仿宋" w:eastAsia="仿宋" w:cs="仿宋"/>
          <w:b/>
          <w:color w:val="auto"/>
          <w:sz w:val="24"/>
          <w:highlight w:val="none"/>
        </w:rPr>
        <w:t>5 履约检查和问题反馈</w:t>
      </w:r>
      <w:bookmarkEnd w:id="111"/>
      <w:bookmarkEnd w:id="112"/>
      <w:bookmarkEnd w:id="113"/>
    </w:p>
    <w:p>
      <w:pPr>
        <w:spacing w:line="560" w:lineRule="exact"/>
        <w:ind w:firstLine="480" w:firstLineChars="200"/>
        <w:rPr>
          <w:rFonts w:hint="eastAsia" w:ascii="仿宋" w:hAnsi="仿宋" w:eastAsia="仿宋" w:cs="仿宋"/>
          <w:color w:val="auto"/>
          <w:sz w:val="24"/>
          <w:highlight w:val="none"/>
        </w:rPr>
      </w:pPr>
      <w:bookmarkStart w:id="114" w:name="_Ref467379657"/>
      <w:r>
        <w:rPr>
          <w:rFonts w:hint="eastAsia" w:ascii="仿宋" w:hAnsi="仿宋" w:eastAsia="仿宋" w:cs="仿宋"/>
          <w:color w:val="auto"/>
          <w:sz w:val="24"/>
          <w:highlight w:val="none"/>
        </w:rPr>
        <w:t>2.5.1</w:t>
      </w:r>
      <w:bookmarkEnd w:id="114"/>
      <w:bookmarkStart w:id="115" w:name="_Toc186431854"/>
      <w:bookmarkStart w:id="116" w:name="_Toc259093676"/>
      <w:bookmarkStart w:id="117" w:name="_Toc279701247"/>
      <w:bookmarkStart w:id="118" w:name="_Ref467379807"/>
      <w:bookmarkStart w:id="119" w:name="_Ref467379793"/>
      <w:bookmarkStart w:id="120" w:name="_Toc48790035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5"/>
      <w:bookmarkStart w:id="121" w:name="_Toc186431855"/>
      <w:r>
        <w:rPr>
          <w:rFonts w:hint="eastAsia" w:ascii="仿宋" w:hAnsi="仿宋" w:eastAsia="仿宋" w:cs="仿宋"/>
          <w:color w:val="auto"/>
          <w:sz w:val="24"/>
          <w:highlight w:val="none"/>
        </w:rPr>
        <w:t>。</w:t>
      </w:r>
    </w:p>
    <w:bookmarkEnd w:id="116"/>
    <w:bookmarkEnd w:id="117"/>
    <w:bookmarkEnd w:id="118"/>
    <w:bookmarkEnd w:id="119"/>
    <w:bookmarkEnd w:id="120"/>
    <w:bookmarkEnd w:id="121"/>
    <w:p>
      <w:pPr>
        <w:spacing w:line="560" w:lineRule="exact"/>
        <w:ind w:firstLine="482" w:firstLineChars="200"/>
        <w:outlineLvl w:val="0"/>
        <w:rPr>
          <w:rFonts w:hint="eastAsia" w:ascii="仿宋" w:hAnsi="仿宋" w:eastAsia="仿宋" w:cs="仿宋"/>
          <w:b/>
          <w:color w:val="auto"/>
          <w:sz w:val="24"/>
          <w:highlight w:val="none"/>
        </w:rPr>
      </w:pPr>
      <w:bookmarkStart w:id="122" w:name="_Ref467379863"/>
      <w:bookmarkStart w:id="123" w:name="_Toc279701248"/>
      <w:bookmarkStart w:id="124" w:name="_Ref467379852"/>
      <w:bookmarkStart w:id="125" w:name="_Ref467379923"/>
      <w:bookmarkStart w:id="126" w:name="_Toc487900358"/>
      <w:bookmarkStart w:id="127" w:name="_Toc259093677"/>
      <w:bookmarkStart w:id="128" w:name="_Toc16110"/>
      <w:bookmarkStart w:id="129" w:name="_Toc3225"/>
      <w:bookmarkStart w:id="130" w:name="_Toc774"/>
      <w:r>
        <w:rPr>
          <w:rFonts w:hint="eastAsia" w:ascii="仿宋" w:hAnsi="仿宋" w:eastAsia="仿宋" w:cs="仿宋"/>
          <w:b/>
          <w:color w:val="auto"/>
          <w:sz w:val="24"/>
          <w:highlight w:val="none"/>
        </w:rPr>
        <w:t>2.6 技术资料</w:t>
      </w:r>
      <w:bookmarkEnd w:id="122"/>
      <w:bookmarkEnd w:id="123"/>
      <w:bookmarkEnd w:id="124"/>
      <w:bookmarkEnd w:id="125"/>
      <w:bookmarkEnd w:id="126"/>
      <w:bookmarkEnd w:id="127"/>
      <w:r>
        <w:rPr>
          <w:rFonts w:hint="eastAsia" w:ascii="仿宋" w:hAnsi="仿宋" w:eastAsia="仿宋" w:cs="仿宋"/>
          <w:b/>
          <w:color w:val="auto"/>
          <w:sz w:val="24"/>
          <w:highlight w:val="none"/>
        </w:rPr>
        <w:t>和保密义务</w:t>
      </w:r>
      <w:bookmarkEnd w:id="128"/>
      <w:bookmarkEnd w:id="129"/>
      <w:bookmarkEnd w:id="13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31" w:name="_Toc7860"/>
      <w:r>
        <w:rPr>
          <w:rFonts w:hint="eastAsia" w:ascii="仿宋" w:hAnsi="仿宋" w:eastAsia="仿宋" w:cs="仿宋"/>
          <w:b/>
          <w:color w:val="auto"/>
          <w:sz w:val="24"/>
          <w:highlight w:val="none"/>
        </w:rPr>
        <w:t>2.7 质量保证</w:t>
      </w:r>
      <w:bookmarkEnd w:id="13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32" w:name="_Toc17244"/>
      <w:bookmarkStart w:id="133" w:name="_Toc259093681"/>
      <w:bookmarkStart w:id="134" w:name="_Toc487900362"/>
      <w:bookmarkStart w:id="135" w:name="_Toc279701252"/>
      <w:r>
        <w:rPr>
          <w:rFonts w:hint="eastAsia" w:ascii="仿宋" w:hAnsi="仿宋" w:eastAsia="仿宋" w:cs="仿宋"/>
          <w:b/>
          <w:color w:val="auto"/>
          <w:sz w:val="24"/>
          <w:highlight w:val="none"/>
        </w:rPr>
        <w:t>2.8 货物的风险负担</w:t>
      </w:r>
      <w:bookmarkEnd w:id="132"/>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6" w:name="_Toc14055"/>
      <w:r>
        <w:rPr>
          <w:rFonts w:hint="eastAsia" w:ascii="仿宋" w:hAnsi="仿宋" w:eastAsia="仿宋" w:cs="仿宋"/>
          <w:b/>
          <w:color w:val="auto"/>
          <w:sz w:val="24"/>
          <w:highlight w:val="none"/>
        </w:rPr>
        <w:t>2.9 延迟交货</w:t>
      </w:r>
      <w:bookmarkEnd w:id="133"/>
      <w:bookmarkEnd w:id="134"/>
      <w:bookmarkEnd w:id="135"/>
      <w:bookmarkEnd w:id="13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37" w:name="_Toc7502"/>
      <w:bookmarkStart w:id="138" w:name="_Toc279701254"/>
      <w:bookmarkStart w:id="139" w:name="_Toc259093683"/>
      <w:bookmarkStart w:id="140" w:name="_Ref467378121"/>
      <w:bookmarkStart w:id="141" w:name="_Toc487900364"/>
      <w:r>
        <w:rPr>
          <w:rFonts w:hint="eastAsia" w:ascii="仿宋" w:hAnsi="仿宋" w:eastAsia="仿宋" w:cs="仿宋"/>
          <w:b/>
          <w:color w:val="auto"/>
          <w:sz w:val="24"/>
          <w:highlight w:val="none"/>
        </w:rPr>
        <w:t>2.10 合同变更</w:t>
      </w:r>
      <w:bookmarkEnd w:id="13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42" w:name="_Toc259093688"/>
      <w:bookmarkStart w:id="143" w:name="_Toc279701259"/>
      <w:bookmarkStart w:id="144" w:name="_Toc487900369"/>
    </w:p>
    <w:p>
      <w:pPr>
        <w:spacing w:line="560" w:lineRule="exact"/>
        <w:ind w:firstLine="482" w:firstLineChars="200"/>
        <w:outlineLvl w:val="0"/>
        <w:rPr>
          <w:rFonts w:hint="eastAsia" w:ascii="仿宋" w:hAnsi="仿宋" w:eastAsia="仿宋" w:cs="仿宋"/>
          <w:b/>
          <w:color w:val="auto"/>
          <w:sz w:val="24"/>
          <w:highlight w:val="none"/>
        </w:rPr>
      </w:pPr>
      <w:bookmarkStart w:id="145" w:name="_Toc15237"/>
      <w:bookmarkStart w:id="146" w:name="_Toc10366"/>
      <w:bookmarkStart w:id="147" w:name="_Toc22955"/>
      <w:r>
        <w:rPr>
          <w:rFonts w:hint="eastAsia" w:ascii="仿宋" w:hAnsi="仿宋" w:eastAsia="仿宋" w:cs="仿宋"/>
          <w:b/>
          <w:color w:val="auto"/>
          <w:sz w:val="24"/>
          <w:highlight w:val="none"/>
        </w:rPr>
        <w:t>2.11 合同转让</w:t>
      </w:r>
      <w:bookmarkEnd w:id="142"/>
      <w:bookmarkEnd w:id="143"/>
      <w:bookmarkEnd w:id="144"/>
      <w:r>
        <w:rPr>
          <w:rFonts w:hint="eastAsia" w:ascii="仿宋" w:hAnsi="仿宋" w:eastAsia="仿宋" w:cs="仿宋"/>
          <w:b/>
          <w:color w:val="auto"/>
          <w:sz w:val="24"/>
          <w:highlight w:val="none"/>
        </w:rPr>
        <w:t>和分包</w:t>
      </w:r>
      <w:bookmarkEnd w:id="145"/>
      <w:bookmarkEnd w:id="146"/>
      <w:bookmarkEnd w:id="14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48" w:name="_Toc13566"/>
      <w:bookmarkStart w:id="149" w:name="_Toc16508"/>
      <w:bookmarkStart w:id="150" w:name="_Toc14066"/>
      <w:r>
        <w:rPr>
          <w:rFonts w:hint="eastAsia" w:ascii="仿宋" w:hAnsi="仿宋" w:eastAsia="仿宋" w:cs="仿宋"/>
          <w:b/>
          <w:color w:val="auto"/>
          <w:sz w:val="24"/>
          <w:highlight w:val="none"/>
        </w:rPr>
        <w:t>2.12 不可抗力</w:t>
      </w:r>
      <w:bookmarkEnd w:id="148"/>
      <w:bookmarkEnd w:id="149"/>
      <w:bookmarkEnd w:id="15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51" w:name="_Toc279701255"/>
      <w:bookmarkStart w:id="152" w:name="_Toc487900365"/>
      <w:bookmarkStart w:id="153" w:name="_Toc689"/>
      <w:bookmarkStart w:id="154" w:name="_Toc259093684"/>
      <w:bookmarkStart w:id="155" w:name="_Toc6969"/>
      <w:bookmarkStart w:id="156" w:name="_Toc30676"/>
      <w:r>
        <w:rPr>
          <w:rFonts w:hint="eastAsia" w:ascii="仿宋" w:hAnsi="仿宋" w:eastAsia="仿宋" w:cs="仿宋"/>
          <w:b/>
          <w:color w:val="auto"/>
          <w:sz w:val="24"/>
          <w:highlight w:val="none"/>
        </w:rPr>
        <w:t>2.13 税费</w:t>
      </w:r>
      <w:bookmarkEnd w:id="151"/>
      <w:bookmarkEnd w:id="152"/>
      <w:bookmarkEnd w:id="153"/>
      <w:bookmarkEnd w:id="154"/>
      <w:bookmarkEnd w:id="155"/>
      <w:bookmarkEnd w:id="1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57" w:name="_Toc259093687"/>
      <w:bookmarkStart w:id="158" w:name="_Toc8298"/>
      <w:bookmarkStart w:id="159" w:name="_Toc487900368"/>
      <w:bookmarkStart w:id="160" w:name="_Toc7102"/>
      <w:bookmarkStart w:id="161" w:name="_Toc279701258"/>
      <w:bookmarkStart w:id="162" w:name="_Toc16959"/>
      <w:r>
        <w:rPr>
          <w:rFonts w:hint="eastAsia" w:ascii="仿宋" w:hAnsi="仿宋" w:eastAsia="仿宋" w:cs="仿宋"/>
          <w:b/>
          <w:color w:val="auto"/>
          <w:sz w:val="24"/>
          <w:highlight w:val="none"/>
        </w:rPr>
        <w:t>2.14乙方破产</w:t>
      </w:r>
      <w:bookmarkEnd w:id="157"/>
      <w:bookmarkEnd w:id="158"/>
      <w:bookmarkEnd w:id="159"/>
      <w:bookmarkEnd w:id="160"/>
      <w:bookmarkEnd w:id="161"/>
      <w:bookmarkEnd w:id="16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63" w:name="_Toc6134"/>
      <w:bookmarkStart w:id="164" w:name="_Toc15387"/>
      <w:bookmarkStart w:id="165" w:name="_Toc29333"/>
      <w:r>
        <w:rPr>
          <w:rFonts w:hint="eastAsia" w:ascii="仿宋" w:hAnsi="仿宋" w:eastAsia="仿宋" w:cs="仿宋"/>
          <w:b/>
          <w:color w:val="auto"/>
          <w:sz w:val="24"/>
          <w:highlight w:val="none"/>
        </w:rPr>
        <w:t>2.15 合同中止、终止</w:t>
      </w:r>
      <w:bookmarkEnd w:id="163"/>
      <w:bookmarkEnd w:id="164"/>
      <w:bookmarkEnd w:id="16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66" w:name="_Toc1125"/>
      <w:bookmarkStart w:id="167" w:name="_Toc6596"/>
      <w:bookmarkStart w:id="168" w:name="_Toc14563"/>
      <w:r>
        <w:rPr>
          <w:rFonts w:hint="eastAsia" w:ascii="仿宋" w:hAnsi="仿宋" w:eastAsia="仿宋" w:cs="仿宋"/>
          <w:b/>
          <w:color w:val="auto"/>
          <w:sz w:val="24"/>
          <w:highlight w:val="none"/>
        </w:rPr>
        <w:t>2.16检验和验收</w:t>
      </w:r>
      <w:bookmarkEnd w:id="166"/>
      <w:bookmarkEnd w:id="167"/>
      <w:bookmarkEnd w:id="168"/>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8"/>
    <w:bookmarkEnd w:id="139"/>
    <w:bookmarkEnd w:id="140"/>
    <w:bookmarkEnd w:id="141"/>
    <w:p>
      <w:pPr>
        <w:spacing w:line="560" w:lineRule="exact"/>
        <w:ind w:firstLine="482" w:firstLineChars="200"/>
        <w:outlineLvl w:val="0"/>
        <w:rPr>
          <w:rFonts w:hint="eastAsia" w:ascii="仿宋" w:hAnsi="仿宋" w:eastAsia="仿宋" w:cs="仿宋"/>
          <w:b/>
          <w:color w:val="auto"/>
          <w:sz w:val="24"/>
          <w:highlight w:val="none"/>
        </w:rPr>
      </w:pPr>
      <w:bookmarkStart w:id="169" w:name="_Toc279701261"/>
      <w:bookmarkStart w:id="170" w:name="_Toc487900371"/>
      <w:bookmarkStart w:id="171" w:name="_Toc259093690"/>
      <w:bookmarkStart w:id="172" w:name="_Toc11284"/>
      <w:bookmarkStart w:id="173" w:name="_Toc19604"/>
      <w:bookmarkStart w:id="174" w:name="_Toc25182"/>
      <w:r>
        <w:rPr>
          <w:rFonts w:hint="eastAsia" w:ascii="仿宋" w:hAnsi="仿宋" w:eastAsia="仿宋" w:cs="仿宋"/>
          <w:b/>
          <w:color w:val="auto"/>
          <w:sz w:val="24"/>
          <w:highlight w:val="none"/>
        </w:rPr>
        <w:t>2.17 通知</w:t>
      </w:r>
      <w:bookmarkEnd w:id="169"/>
      <w:bookmarkEnd w:id="170"/>
      <w:bookmarkEnd w:id="171"/>
      <w:r>
        <w:rPr>
          <w:rFonts w:hint="eastAsia" w:ascii="仿宋" w:hAnsi="仿宋" w:eastAsia="仿宋" w:cs="仿宋"/>
          <w:b/>
          <w:color w:val="auto"/>
          <w:sz w:val="24"/>
          <w:highlight w:val="none"/>
        </w:rPr>
        <w:t>和送达</w:t>
      </w:r>
      <w:bookmarkEnd w:id="172"/>
      <w:bookmarkEnd w:id="173"/>
      <w:bookmarkEnd w:id="174"/>
    </w:p>
    <w:p>
      <w:pPr>
        <w:spacing w:line="560" w:lineRule="exact"/>
        <w:ind w:firstLine="480" w:firstLineChars="200"/>
        <w:rPr>
          <w:rFonts w:hint="eastAsia" w:ascii="仿宋" w:hAnsi="仿宋" w:eastAsia="仿宋" w:cs="仿宋"/>
          <w:color w:val="auto"/>
          <w:sz w:val="24"/>
          <w:highlight w:val="none"/>
        </w:rPr>
      </w:pPr>
      <w:bookmarkStart w:id="175" w:name="_Toc6698"/>
      <w:bookmarkStart w:id="176" w:name="_Toc3135"/>
      <w:bookmarkStart w:id="177" w:name="_Toc259093691"/>
      <w:bookmarkStart w:id="178" w:name="_Toc279701262"/>
      <w:bookmarkStart w:id="179" w:name="_Toc48790037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5"/>
      <w:bookmarkEnd w:id="176"/>
    </w:p>
    <w:p>
      <w:pPr>
        <w:spacing w:line="560" w:lineRule="exact"/>
        <w:ind w:firstLine="480" w:firstLineChars="200"/>
        <w:rPr>
          <w:rFonts w:hint="eastAsia" w:ascii="仿宋" w:hAnsi="仿宋" w:eastAsia="仿宋" w:cs="仿宋"/>
          <w:color w:val="auto"/>
          <w:sz w:val="24"/>
          <w:highlight w:val="none"/>
        </w:rPr>
      </w:pPr>
      <w:bookmarkStart w:id="180" w:name="_Toc23128"/>
      <w:bookmarkStart w:id="181"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80"/>
      <w:bookmarkEnd w:id="181"/>
    </w:p>
    <w:p>
      <w:pPr>
        <w:spacing w:line="560" w:lineRule="exact"/>
        <w:ind w:firstLine="482" w:firstLineChars="200"/>
        <w:outlineLvl w:val="0"/>
        <w:rPr>
          <w:rFonts w:hint="eastAsia" w:ascii="仿宋" w:hAnsi="仿宋" w:eastAsia="仿宋" w:cs="仿宋"/>
          <w:b/>
          <w:color w:val="auto"/>
          <w:sz w:val="24"/>
          <w:highlight w:val="none"/>
        </w:rPr>
      </w:pPr>
      <w:bookmarkStart w:id="182" w:name="_Toc18540"/>
      <w:bookmarkStart w:id="183" w:name="_Toc4355"/>
      <w:bookmarkStart w:id="184" w:name="_Toc30599"/>
      <w:r>
        <w:rPr>
          <w:rFonts w:hint="eastAsia" w:ascii="仿宋" w:hAnsi="仿宋" w:eastAsia="仿宋" w:cs="仿宋"/>
          <w:b/>
          <w:color w:val="auto"/>
          <w:sz w:val="24"/>
          <w:highlight w:val="none"/>
        </w:rPr>
        <w:t>2.18 计量单位</w:t>
      </w:r>
      <w:bookmarkEnd w:id="177"/>
      <w:bookmarkEnd w:id="178"/>
      <w:bookmarkEnd w:id="179"/>
      <w:bookmarkEnd w:id="182"/>
      <w:bookmarkEnd w:id="183"/>
      <w:bookmarkEnd w:id="18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85" w:name="_Toc18567"/>
      <w:bookmarkStart w:id="186" w:name="_Toc12773"/>
      <w:bookmarkStart w:id="187" w:name="_Toc259093692"/>
      <w:bookmarkStart w:id="188" w:name="_Toc487900373"/>
      <w:bookmarkStart w:id="189" w:name="_Toc10330"/>
      <w:bookmarkStart w:id="190" w:name="_Toc279701263"/>
      <w:r>
        <w:rPr>
          <w:rFonts w:hint="eastAsia" w:ascii="仿宋" w:hAnsi="仿宋" w:eastAsia="仿宋" w:cs="仿宋"/>
          <w:b/>
          <w:color w:val="auto"/>
          <w:sz w:val="24"/>
          <w:highlight w:val="none"/>
        </w:rPr>
        <w:t>2.19 合同使用的文字和适用的法律</w:t>
      </w:r>
      <w:bookmarkEnd w:id="185"/>
      <w:bookmarkEnd w:id="186"/>
      <w:bookmarkEnd w:id="187"/>
      <w:bookmarkEnd w:id="188"/>
      <w:bookmarkEnd w:id="189"/>
      <w:bookmarkEnd w:id="19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91" w:name="_Toc14001"/>
      <w:bookmarkStart w:id="192" w:name="_Toc6885"/>
      <w:bookmarkStart w:id="193" w:name="_Toc19890"/>
      <w:r>
        <w:rPr>
          <w:rFonts w:hint="eastAsia" w:ascii="仿宋" w:hAnsi="仿宋" w:eastAsia="仿宋" w:cs="仿宋"/>
          <w:b/>
          <w:color w:val="auto"/>
          <w:sz w:val="24"/>
          <w:highlight w:val="none"/>
        </w:rPr>
        <w:t>2.20 合同份数</w:t>
      </w:r>
      <w:bookmarkEnd w:id="191"/>
      <w:bookmarkEnd w:id="192"/>
      <w:bookmarkEnd w:id="19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sz w:val="24"/>
          <w:highlight w:val="none"/>
        </w:rPr>
        <w:t>第三部分  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6"/>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noWrap w:val="0"/>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noWrap w:val="0"/>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top"/>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noWrap w:val="0"/>
            <w:vAlign w:val="top"/>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noWrap w:val="0"/>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noWrap w:val="0"/>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noWrap w:val="0"/>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noWrap w:val="0"/>
            <w:vAlign w:val="center"/>
          </w:tcPr>
          <w:p>
            <w:pPr>
              <w:spacing w:line="360" w:lineRule="auto"/>
              <w:rPr>
                <w:rFonts w:hint="eastAsia" w:ascii="仿宋" w:hAnsi="仿宋" w:eastAsia="仿宋" w:cs="仿宋"/>
                <w:color w:val="auto"/>
                <w:sz w:val="24"/>
                <w:highlight w:val="none"/>
              </w:rPr>
            </w:pPr>
          </w:p>
        </w:tc>
      </w:tr>
    </w:tbl>
    <w:p>
      <w:pPr>
        <w:rPr>
          <w:rFonts w:hint="eastAsia" w:ascii="仿宋" w:hAnsi="仿宋" w:eastAsia="仿宋" w:cs="仿宋"/>
          <w:color w:val="auto"/>
          <w:highlight w:val="none"/>
        </w:rPr>
      </w:pPr>
    </w:p>
    <w:p>
      <w:pPr>
        <w:spacing w:line="360" w:lineRule="auto"/>
        <w:jc w:val="center"/>
        <w:rPr>
          <w:rFonts w:hint="eastAsia" w:ascii="仿宋" w:hAnsi="仿宋" w:eastAsia="仿宋" w:cs="仿宋"/>
          <w:b/>
          <w:color w:val="auto"/>
          <w:sz w:val="36"/>
          <w:szCs w:val="36"/>
          <w:highlight w:val="none"/>
        </w:rPr>
      </w:pPr>
    </w:p>
    <w:p>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1、评标方法：</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312" w:lineRule="auto"/>
        <w:jc w:val="left"/>
        <w:textAlignment w:val="auto"/>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70</w:t>
      </w:r>
      <w:r>
        <w:rPr>
          <w:rFonts w:hint="eastAsia" w:ascii="仿宋_GB2312" w:hAnsi="宋体" w:eastAsia="仿宋_GB2312"/>
          <w:color w:val="auto"/>
          <w:sz w:val="24"/>
          <w:highlight w:val="none"/>
        </w:rPr>
        <w:t>分，价格分</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0分。评分依下述所列为评标打分依据，分值如下（计算分值时，按其算术平均值保留小数2位）。</w:t>
      </w:r>
    </w:p>
    <w:p>
      <w:pPr>
        <w:spacing w:line="440" w:lineRule="exact"/>
        <w:rPr>
          <w:rFonts w:hint="eastAsia"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7</w:t>
      </w:r>
      <w:r>
        <w:rPr>
          <w:rFonts w:hint="eastAsia" w:ascii="仿宋_GB2312" w:hAnsi="宋体" w:eastAsia="仿宋_GB2312"/>
          <w:b/>
          <w:bCs/>
          <w:iCs/>
          <w:color w:val="auto"/>
          <w:sz w:val="24"/>
          <w:highlight w:val="none"/>
        </w:rPr>
        <w:t>0分）</w:t>
      </w:r>
    </w:p>
    <w:p>
      <w:pPr>
        <w:pStyle w:val="20"/>
        <w:keepNext/>
        <w:keepLines/>
        <w:pageBreakBefore w:val="0"/>
        <w:widowControl w:val="0"/>
        <w:kinsoku/>
        <w:wordWrap/>
        <w:overflowPunct/>
        <w:topLinePunct w:val="0"/>
        <w:autoSpaceDE/>
        <w:autoSpaceDN/>
        <w:bidi w:val="0"/>
        <w:adjustRightInd w:val="0"/>
        <w:snapToGrid/>
        <w:spacing w:before="0" w:after="0" w:line="413" w:lineRule="auto"/>
        <w:textAlignment w:val="auto"/>
        <w:rPr>
          <w:rFonts w:hint="eastAsia" w:ascii="仿宋_GB2312" w:hAnsi="新宋体" w:eastAsia="仿宋_GB2312" w:cs="Arial"/>
          <w:b/>
          <w:bCs/>
          <w:color w:val="auto"/>
          <w:sz w:val="24"/>
          <w:highlight w:val="none"/>
          <w:bdr w:val="single" w:color="auto" w:sz="4" w:space="0"/>
          <w:lang w:val="en-US" w:eastAsia="zh-CN"/>
        </w:rPr>
      </w:pPr>
      <w:r>
        <w:rPr>
          <w:rFonts w:ascii="仿宋_GB2312" w:hAnsi="新宋体" w:eastAsia="仿宋_GB2312" w:cs="Arial"/>
          <w:b/>
          <w:bCs/>
          <w:color w:val="auto"/>
          <w:sz w:val="24"/>
          <w:highlight w:val="none"/>
          <w:bdr w:val="single" w:color="auto" w:sz="4" w:space="0"/>
        </w:rPr>
        <w:t>0</w:t>
      </w:r>
      <w:r>
        <w:rPr>
          <w:rFonts w:hint="eastAsia" w:ascii="仿宋_GB2312" w:hAnsi="新宋体" w:eastAsia="仿宋_GB2312" w:cs="Arial"/>
          <w:b/>
          <w:bCs/>
          <w:color w:val="auto"/>
          <w:sz w:val="24"/>
          <w:highlight w:val="none"/>
          <w:bdr w:val="single" w:color="auto" w:sz="4" w:space="0"/>
          <w:lang w:val="en-US" w:eastAsia="zh-CN"/>
        </w:rPr>
        <w:t>1标</w:t>
      </w:r>
    </w:p>
    <w:tbl>
      <w:tblPr>
        <w:tblStyle w:val="16"/>
        <w:tblW w:w="9089" w:type="dxa"/>
        <w:jc w:val="center"/>
        <w:tblLayout w:type="fixed"/>
        <w:tblCellMar>
          <w:top w:w="15" w:type="dxa"/>
          <w:left w:w="108" w:type="dxa"/>
          <w:bottom w:w="15" w:type="dxa"/>
          <w:right w:w="108" w:type="dxa"/>
        </w:tblCellMar>
      </w:tblPr>
      <w:tblGrid>
        <w:gridCol w:w="714"/>
        <w:gridCol w:w="1993"/>
        <w:gridCol w:w="4767"/>
        <w:gridCol w:w="1615"/>
      </w:tblGrid>
      <w:tr>
        <w:tblPrEx>
          <w:tblCellMar>
            <w:top w:w="15" w:type="dxa"/>
            <w:left w:w="108" w:type="dxa"/>
            <w:bottom w:w="15" w:type="dxa"/>
            <w:right w:w="108" w:type="dxa"/>
          </w:tblCellMar>
        </w:tblPrEx>
        <w:trPr>
          <w:trHeight w:val="517" w:hRule="atLeast"/>
          <w:jc w:val="center"/>
        </w:trPr>
        <w:tc>
          <w:tcPr>
            <w:tcW w:w="714" w:type="dxa"/>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1993" w:type="dxa"/>
            <w:tcBorders>
              <w:top w:val="single" w:color="000000" w:sz="4" w:space="0"/>
              <w:left w:val="single" w:color="000000" w:sz="4" w:space="0"/>
              <w:right w:val="single" w:color="auto"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项目</w:t>
            </w:r>
          </w:p>
        </w:tc>
        <w:tc>
          <w:tcPr>
            <w:tcW w:w="4767" w:type="dxa"/>
            <w:tcBorders>
              <w:top w:val="single" w:color="000000" w:sz="4" w:space="0"/>
              <w:left w:val="single" w:color="auto"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评分标准</w:t>
            </w:r>
          </w:p>
        </w:tc>
        <w:tc>
          <w:tcPr>
            <w:tcW w:w="1615" w:type="dxa"/>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分值范围</w:t>
            </w:r>
          </w:p>
        </w:tc>
      </w:tr>
      <w:tr>
        <w:tblPrEx>
          <w:tblCellMar>
            <w:top w:w="15" w:type="dxa"/>
            <w:left w:w="108" w:type="dxa"/>
            <w:bottom w:w="15" w:type="dxa"/>
            <w:right w:w="108" w:type="dxa"/>
          </w:tblCellMar>
        </w:tblPrEx>
        <w:trPr>
          <w:trHeight w:val="2048" w:hRule="atLeast"/>
          <w:jc w:val="center"/>
        </w:trPr>
        <w:tc>
          <w:tcPr>
            <w:tcW w:w="714" w:type="dxa"/>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1993" w:type="dxa"/>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投标设备的性能及技术指标要求</w:t>
            </w:r>
          </w:p>
        </w:tc>
        <w:tc>
          <w:tcPr>
            <w:tcW w:w="4767" w:type="dxa"/>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主要设备技术参数无负偏离的得</w:t>
            </w:r>
            <w:r>
              <w:rPr>
                <w:rFonts w:hint="eastAsia" w:ascii="仿宋_GB2312" w:hAnsi="宋体" w:eastAsia="仿宋_GB2312"/>
                <w:color w:val="auto"/>
                <w:sz w:val="24"/>
                <w:highlight w:val="none"/>
                <w:lang w:val="en-US" w:eastAsia="zh-CN"/>
              </w:rPr>
              <w:t>24</w:t>
            </w:r>
            <w:r>
              <w:rPr>
                <w:rFonts w:hint="eastAsia" w:ascii="仿宋_GB2312" w:hAnsi="宋体" w:eastAsia="仿宋_GB2312"/>
                <w:color w:val="auto"/>
                <w:sz w:val="24"/>
                <w:highlight w:val="none"/>
              </w:rPr>
              <w:t>分。其中含“★”为实质性指标要求条款，如出现负偏离作废标处理；“▲” 系指主要性能指标要求条款，每负偏离一项扣 4分；其他性能指标每负偏离一项扣</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分</w:t>
            </w:r>
            <w:r>
              <w:rPr>
                <w:rFonts w:hint="eastAsia" w:ascii="仿宋_GB2312" w:hAnsi="宋体" w:eastAsia="仿宋_GB2312"/>
                <w:color w:val="auto"/>
                <w:sz w:val="24"/>
                <w:highlight w:val="none"/>
                <w:lang w:eastAsia="zh-CN"/>
              </w:rPr>
              <w:t>。</w:t>
            </w:r>
          </w:p>
        </w:tc>
        <w:tc>
          <w:tcPr>
            <w:tcW w:w="1615" w:type="dxa"/>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24</w:t>
            </w:r>
            <w:r>
              <w:rPr>
                <w:rFonts w:hint="eastAsia" w:ascii="仿宋_GB2312" w:hAnsi="宋体" w:eastAsia="仿宋_GB2312"/>
                <w:color w:val="auto"/>
                <w:sz w:val="24"/>
                <w:highlight w:val="none"/>
              </w:rPr>
              <w:t>分</w:t>
            </w:r>
          </w:p>
        </w:tc>
      </w:tr>
      <w:tr>
        <w:tblPrEx>
          <w:tblCellMar>
            <w:top w:w="15" w:type="dxa"/>
            <w:left w:w="108" w:type="dxa"/>
            <w:bottom w:w="15" w:type="dxa"/>
            <w:right w:w="108" w:type="dxa"/>
          </w:tblCellMar>
        </w:tblPrEx>
        <w:trPr>
          <w:trHeight w:val="2112" w:hRule="atLeast"/>
          <w:jc w:val="center"/>
        </w:trPr>
        <w:tc>
          <w:tcPr>
            <w:tcW w:w="714" w:type="dxa"/>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1993" w:type="dxa"/>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销售业绩</w:t>
            </w:r>
          </w:p>
        </w:tc>
        <w:tc>
          <w:tcPr>
            <w:tcW w:w="4767" w:type="dxa"/>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投标人提供自2020年1月1日以来所</w:t>
            </w:r>
            <w:r>
              <w:rPr>
                <w:rFonts w:hint="eastAsia" w:ascii="仿宋_GB2312" w:hAnsi="宋体" w:eastAsia="仿宋_GB2312"/>
                <w:color w:val="auto"/>
                <w:sz w:val="24"/>
                <w:highlight w:val="none"/>
                <w:lang w:eastAsia="zh-CN"/>
              </w:rPr>
              <w:t>有</w:t>
            </w:r>
            <w:r>
              <w:rPr>
                <w:rFonts w:hint="eastAsia" w:ascii="仿宋_GB2312" w:hAnsi="宋体" w:eastAsia="仿宋_GB2312"/>
                <w:color w:val="auto"/>
                <w:sz w:val="24"/>
                <w:highlight w:val="none"/>
              </w:rPr>
              <w:t>同类产品成功销售案例，每个案例得1分，最高得3分（提供合同复印件）。</w:t>
            </w:r>
          </w:p>
        </w:tc>
        <w:tc>
          <w:tcPr>
            <w:tcW w:w="1615" w:type="dxa"/>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分</w:t>
            </w:r>
          </w:p>
        </w:tc>
      </w:tr>
      <w:tr>
        <w:tblPrEx>
          <w:tblCellMar>
            <w:top w:w="15" w:type="dxa"/>
            <w:left w:w="108" w:type="dxa"/>
            <w:bottom w:w="15" w:type="dxa"/>
            <w:right w:w="108" w:type="dxa"/>
          </w:tblCellMar>
        </w:tblPrEx>
        <w:trPr>
          <w:trHeight w:val="493" w:hRule="atLeast"/>
          <w:jc w:val="center"/>
        </w:trPr>
        <w:tc>
          <w:tcPr>
            <w:tcW w:w="714" w:type="dxa"/>
            <w:vMerge w:val="restart"/>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1993" w:type="dxa"/>
            <w:vMerge w:val="restart"/>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质量目标措施、安装进度</w:t>
            </w: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工期安排、合理、质量保证承诺、措施得力、到位，切实可行（</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1</w:t>
            </w:r>
            <w:r>
              <w:rPr>
                <w:rFonts w:hint="eastAsia" w:ascii="仿宋_GB2312" w:hAnsi="宋体" w:eastAsia="仿宋_GB2312"/>
                <w:color w:val="auto"/>
                <w:sz w:val="24"/>
                <w:highlight w:val="none"/>
              </w:rPr>
              <w:t>,0分）</w:t>
            </w:r>
          </w:p>
        </w:tc>
        <w:tc>
          <w:tcPr>
            <w:tcW w:w="1615" w:type="dxa"/>
            <w:vMerge w:val="restart"/>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分</w:t>
            </w:r>
          </w:p>
        </w:tc>
      </w:tr>
      <w:tr>
        <w:tblPrEx>
          <w:tblCellMar>
            <w:top w:w="15" w:type="dxa"/>
            <w:left w:w="108" w:type="dxa"/>
            <w:bottom w:w="15" w:type="dxa"/>
            <w:right w:w="108" w:type="dxa"/>
          </w:tblCellMar>
        </w:tblPrEx>
        <w:trPr>
          <w:trHeight w:val="493" w:hRule="atLeast"/>
          <w:jc w:val="center"/>
        </w:trPr>
        <w:tc>
          <w:tcPr>
            <w:tcW w:w="714" w:type="dxa"/>
            <w:vMerge w:val="continue"/>
            <w:tcBorders>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p>
        </w:tc>
        <w:tc>
          <w:tcPr>
            <w:tcW w:w="1993" w:type="dxa"/>
            <w:vMerge w:val="continue"/>
            <w:tcBorders>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安装、调试和验收的方案和措施（</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1</w:t>
            </w:r>
            <w:r>
              <w:rPr>
                <w:rFonts w:hint="eastAsia" w:ascii="仿宋_GB2312" w:hAnsi="宋体" w:eastAsia="仿宋_GB2312"/>
                <w:color w:val="auto"/>
                <w:sz w:val="24"/>
                <w:highlight w:val="none"/>
              </w:rPr>
              <w:t>,0分）</w:t>
            </w:r>
          </w:p>
        </w:tc>
        <w:tc>
          <w:tcPr>
            <w:tcW w:w="1615" w:type="dxa"/>
            <w:vMerge w:val="continue"/>
            <w:tcBorders>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p>
        </w:tc>
      </w:tr>
      <w:tr>
        <w:tblPrEx>
          <w:tblCellMar>
            <w:top w:w="15" w:type="dxa"/>
            <w:left w:w="108" w:type="dxa"/>
            <w:bottom w:w="15" w:type="dxa"/>
            <w:right w:w="108" w:type="dxa"/>
          </w:tblCellMar>
        </w:tblPrEx>
        <w:trPr>
          <w:trHeight w:val="683"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设备稳定性、先进性</w:t>
            </w: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投标人所投设备先进性、可靠性、可操作性、实用性能、美誉度等（</w:t>
            </w:r>
            <w:r>
              <w:rPr>
                <w:rFonts w:hint="eastAsia" w:ascii="仿宋_GB2312" w:hAnsi="宋体" w:eastAsia="仿宋_GB2312"/>
                <w:color w:val="auto"/>
                <w:sz w:val="24"/>
                <w:highlight w:val="none"/>
                <w:lang w:val="en-US" w:eastAsia="zh-CN"/>
              </w:rPr>
              <w:t>4</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1</w:t>
            </w:r>
            <w:r>
              <w:rPr>
                <w:rFonts w:hint="eastAsia" w:ascii="仿宋_GB2312" w:hAnsi="宋体" w:eastAsia="仿宋_GB2312"/>
                <w:color w:val="auto"/>
                <w:sz w:val="24"/>
                <w:highlight w:val="none"/>
              </w:rPr>
              <w:t>,0分）</w:t>
            </w:r>
          </w:p>
          <w:p>
            <w:pPr>
              <w:spacing w:line="420" w:lineRule="exact"/>
              <w:jc w:val="left"/>
              <w:rPr>
                <w:rFonts w:hint="eastAsia" w:ascii="仿宋_GB2312" w:hAnsi="宋体" w:eastAsia="仿宋_GB2312"/>
                <w:color w:val="auto"/>
                <w:sz w:val="24"/>
                <w:highlight w:val="none"/>
              </w:rPr>
            </w:pPr>
          </w:p>
        </w:tc>
        <w:tc>
          <w:tcPr>
            <w:tcW w:w="1615"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4</w:t>
            </w:r>
            <w:r>
              <w:rPr>
                <w:rFonts w:hint="eastAsia" w:ascii="仿宋_GB2312" w:hAnsi="宋体" w:eastAsia="仿宋_GB2312"/>
                <w:color w:val="auto"/>
                <w:sz w:val="24"/>
                <w:highlight w:val="none"/>
              </w:rPr>
              <w:t>分</w:t>
            </w:r>
          </w:p>
        </w:tc>
      </w:tr>
      <w:tr>
        <w:tblPrEx>
          <w:tblCellMar>
            <w:top w:w="15" w:type="dxa"/>
            <w:left w:w="108" w:type="dxa"/>
            <w:bottom w:w="15" w:type="dxa"/>
            <w:right w:w="108" w:type="dxa"/>
          </w:tblCellMar>
        </w:tblPrEx>
        <w:trPr>
          <w:trHeight w:val="455"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质保期</w:t>
            </w: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满足招标文件质保年限要求的</w:t>
            </w:r>
            <w:r>
              <w:rPr>
                <w:rFonts w:hint="eastAsia" w:ascii="仿宋_GB2312" w:hAnsi="宋体" w:eastAsia="仿宋_GB2312"/>
                <w:color w:val="auto"/>
                <w:sz w:val="24"/>
                <w:highlight w:val="none"/>
                <w:lang w:eastAsia="zh-CN"/>
              </w:rPr>
              <w:t>，得</w:t>
            </w:r>
            <w:r>
              <w:rPr>
                <w:rFonts w:hint="eastAsia" w:ascii="仿宋_GB2312" w:hAnsi="宋体" w:eastAsia="仿宋_GB2312"/>
                <w:color w:val="auto"/>
                <w:sz w:val="24"/>
                <w:highlight w:val="none"/>
                <w:lang w:val="en-US" w:eastAsia="zh-CN"/>
              </w:rPr>
              <w:t>4分</w:t>
            </w:r>
            <w:r>
              <w:rPr>
                <w:rFonts w:hint="eastAsia" w:ascii="仿宋_GB2312" w:hAnsi="宋体" w:eastAsia="仿宋_GB2312"/>
                <w:color w:val="auto"/>
                <w:sz w:val="24"/>
                <w:highlight w:val="none"/>
              </w:rPr>
              <w:t>，每延长质保期1年</w:t>
            </w:r>
            <w:r>
              <w:rPr>
                <w:rFonts w:hint="eastAsia" w:ascii="仿宋_GB2312" w:hAnsi="宋体" w:eastAsia="仿宋_GB2312"/>
                <w:color w:val="auto"/>
                <w:sz w:val="24"/>
                <w:highlight w:val="none"/>
                <w:lang w:eastAsia="zh-CN"/>
              </w:rPr>
              <w:t>增加</w:t>
            </w:r>
            <w:r>
              <w:rPr>
                <w:rFonts w:hint="eastAsia" w:ascii="仿宋_GB2312" w:hAnsi="宋体" w:eastAsia="仿宋_GB2312"/>
                <w:color w:val="auto"/>
                <w:sz w:val="24"/>
                <w:highlight w:val="none"/>
              </w:rPr>
              <w:t>2分，最高</w:t>
            </w:r>
            <w:r>
              <w:rPr>
                <w:rFonts w:hint="eastAsia" w:ascii="仿宋_GB2312" w:hAnsi="宋体" w:eastAsia="仿宋_GB2312"/>
                <w:color w:val="auto"/>
                <w:sz w:val="24"/>
                <w:highlight w:val="none"/>
                <w:lang w:eastAsia="zh-CN"/>
              </w:rPr>
              <w:t>加</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分。</w:t>
            </w:r>
          </w:p>
        </w:tc>
        <w:tc>
          <w:tcPr>
            <w:tcW w:w="1615"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10</w:t>
            </w:r>
            <w:r>
              <w:rPr>
                <w:rFonts w:hint="eastAsia" w:ascii="仿宋_GB2312" w:hAnsi="宋体" w:eastAsia="仿宋_GB2312"/>
                <w:color w:val="auto"/>
                <w:sz w:val="24"/>
                <w:highlight w:val="none"/>
              </w:rPr>
              <w:t>分</w:t>
            </w:r>
          </w:p>
        </w:tc>
      </w:tr>
      <w:tr>
        <w:tblPrEx>
          <w:tblCellMar>
            <w:top w:w="15" w:type="dxa"/>
            <w:left w:w="108" w:type="dxa"/>
            <w:bottom w:w="15" w:type="dxa"/>
            <w:right w:w="108" w:type="dxa"/>
          </w:tblCellMar>
        </w:tblPrEx>
        <w:trPr>
          <w:trHeight w:val="150" w:hRule="atLeast"/>
          <w:jc w:val="center"/>
        </w:trPr>
        <w:tc>
          <w:tcPr>
            <w:tcW w:w="714" w:type="dxa"/>
            <w:vMerge w:val="restart"/>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1993" w:type="dxa"/>
            <w:vMerge w:val="restart"/>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技术支持及售后服务等</w:t>
            </w: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售后服务承诺：</w:t>
            </w:r>
          </w:p>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承诺2小时内响应，并在4小时内赶到现场的，得5分，承诺2小时内响应，并在10小时内赶到现场的得3分，承诺2小时内响应，并在20小时内赶到现场的得1分。</w:t>
            </w:r>
          </w:p>
        </w:tc>
        <w:tc>
          <w:tcPr>
            <w:tcW w:w="1615" w:type="dxa"/>
            <w:vMerge w:val="restart"/>
            <w:tcBorders>
              <w:top w:val="single" w:color="000000" w:sz="4" w:space="0"/>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12</w:t>
            </w:r>
            <w:r>
              <w:rPr>
                <w:rFonts w:hint="eastAsia" w:ascii="仿宋_GB2312" w:hAnsi="宋体" w:eastAsia="仿宋_GB2312"/>
                <w:color w:val="auto"/>
                <w:sz w:val="24"/>
                <w:highlight w:val="none"/>
              </w:rPr>
              <w:t>分</w:t>
            </w:r>
          </w:p>
        </w:tc>
      </w:tr>
      <w:tr>
        <w:tblPrEx>
          <w:tblCellMar>
            <w:top w:w="15" w:type="dxa"/>
            <w:left w:w="108" w:type="dxa"/>
            <w:bottom w:w="15" w:type="dxa"/>
            <w:right w:w="108" w:type="dxa"/>
          </w:tblCellMar>
        </w:tblPrEx>
        <w:trPr>
          <w:trHeight w:val="530" w:hRule="atLeast"/>
          <w:jc w:val="center"/>
        </w:trPr>
        <w:tc>
          <w:tcPr>
            <w:tcW w:w="714" w:type="dxa"/>
            <w:vMerge w:val="continue"/>
            <w:tcBorders>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p>
        </w:tc>
        <w:tc>
          <w:tcPr>
            <w:tcW w:w="1993" w:type="dxa"/>
            <w:vMerge w:val="continue"/>
            <w:tcBorders>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提供固定售后服务机构及售后服务人员的安排（</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分）：（</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1</w:t>
            </w:r>
            <w:r>
              <w:rPr>
                <w:rFonts w:hint="eastAsia" w:ascii="仿宋_GB2312" w:hAnsi="宋体" w:eastAsia="仿宋_GB2312"/>
                <w:color w:val="auto"/>
                <w:sz w:val="24"/>
                <w:highlight w:val="none"/>
              </w:rPr>
              <w:t>分）（需提供场所证明及服务人员身份证明）</w:t>
            </w:r>
          </w:p>
        </w:tc>
        <w:tc>
          <w:tcPr>
            <w:tcW w:w="1615" w:type="dxa"/>
            <w:vMerge w:val="continue"/>
            <w:tcBorders>
              <w:left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p>
        </w:tc>
      </w:tr>
      <w:tr>
        <w:tblPrEx>
          <w:tblCellMar>
            <w:top w:w="15" w:type="dxa"/>
            <w:left w:w="108" w:type="dxa"/>
            <w:bottom w:w="15" w:type="dxa"/>
            <w:right w:w="108" w:type="dxa"/>
          </w:tblCellMar>
        </w:tblPrEx>
        <w:trPr>
          <w:trHeight w:val="885" w:hRule="atLeast"/>
          <w:jc w:val="center"/>
        </w:trPr>
        <w:tc>
          <w:tcPr>
            <w:tcW w:w="714" w:type="dxa"/>
            <w:vMerge w:val="continue"/>
            <w:tcBorders>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p>
        </w:tc>
        <w:tc>
          <w:tcPr>
            <w:tcW w:w="1993" w:type="dxa"/>
            <w:vMerge w:val="continue"/>
            <w:tcBorders>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每年设备检定到期后，投标人能提供相关送检业务的得</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分。</w:t>
            </w:r>
          </w:p>
        </w:tc>
        <w:tc>
          <w:tcPr>
            <w:tcW w:w="1615" w:type="dxa"/>
            <w:vMerge w:val="continue"/>
            <w:tcBorders>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p>
        </w:tc>
      </w:tr>
      <w:tr>
        <w:tblPrEx>
          <w:tblCellMar>
            <w:top w:w="15" w:type="dxa"/>
            <w:left w:w="108" w:type="dxa"/>
            <w:bottom w:w="15" w:type="dxa"/>
            <w:right w:w="108" w:type="dxa"/>
          </w:tblCellMar>
        </w:tblPrEx>
        <w:trPr>
          <w:trHeight w:val="896" w:hRule="atLeast"/>
          <w:jc w:val="center"/>
        </w:trPr>
        <w:tc>
          <w:tcPr>
            <w:tcW w:w="714" w:type="dxa"/>
            <w:vMerge w:val="continue"/>
            <w:tcBorders>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p>
        </w:tc>
        <w:tc>
          <w:tcPr>
            <w:tcW w:w="1993" w:type="dxa"/>
            <w:vMerge w:val="continue"/>
            <w:tcBorders>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技术培训（2分）：（</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1</w:t>
            </w:r>
            <w:r>
              <w:rPr>
                <w:rFonts w:hint="eastAsia" w:ascii="仿宋_GB2312" w:hAnsi="宋体" w:eastAsia="仿宋_GB2312"/>
                <w:color w:val="auto"/>
                <w:sz w:val="24"/>
                <w:highlight w:val="none"/>
              </w:rPr>
              <w:t>,0</w:t>
            </w:r>
            <w:r>
              <w:rPr>
                <w:rFonts w:hint="eastAsia" w:ascii="仿宋_GB2312" w:hAnsi="宋体" w:eastAsia="仿宋_GB2312"/>
                <w:color w:val="auto"/>
                <w:sz w:val="24"/>
                <w:highlight w:val="none"/>
                <w:lang w:val="en-US" w:eastAsia="zh-CN"/>
              </w:rPr>
              <w:t>.5</w:t>
            </w:r>
            <w:r>
              <w:rPr>
                <w:rFonts w:hint="eastAsia" w:ascii="仿宋_GB2312" w:hAnsi="宋体" w:eastAsia="仿宋_GB2312"/>
                <w:color w:val="auto"/>
                <w:sz w:val="24"/>
                <w:highlight w:val="none"/>
              </w:rPr>
              <w:t>分）</w:t>
            </w:r>
          </w:p>
        </w:tc>
        <w:tc>
          <w:tcPr>
            <w:tcW w:w="1615" w:type="dxa"/>
            <w:vMerge w:val="continue"/>
            <w:tcBorders>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p>
        </w:tc>
      </w:tr>
      <w:tr>
        <w:tblPrEx>
          <w:tblCellMar>
            <w:top w:w="15" w:type="dxa"/>
            <w:left w:w="108" w:type="dxa"/>
            <w:bottom w:w="15" w:type="dxa"/>
            <w:right w:w="108" w:type="dxa"/>
          </w:tblCellMar>
        </w:tblPrEx>
        <w:trPr>
          <w:trHeight w:val="683"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配件及耗材优惠</w:t>
            </w: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随机提供的耗材、备品配件、易损件是否齐全，保修期内外选购价格是否合理等，综合评定打分（</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，2,1,0分）</w:t>
            </w:r>
          </w:p>
        </w:tc>
        <w:tc>
          <w:tcPr>
            <w:tcW w:w="1615"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分</w:t>
            </w:r>
          </w:p>
        </w:tc>
      </w:tr>
      <w:tr>
        <w:tblPrEx>
          <w:tblCellMar>
            <w:top w:w="15" w:type="dxa"/>
            <w:left w:w="108" w:type="dxa"/>
            <w:bottom w:w="15" w:type="dxa"/>
            <w:right w:w="108" w:type="dxa"/>
          </w:tblCellMar>
        </w:tblPrEx>
        <w:trPr>
          <w:trHeight w:val="683"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8</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其他</w:t>
            </w: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w:t>
            </w:r>
            <w:bookmarkStart w:id="200" w:name="_GoBack"/>
            <w:bookmarkEnd w:id="200"/>
            <w:r>
              <w:rPr>
                <w:rFonts w:hint="eastAsia" w:ascii="仿宋_GB2312" w:hAnsi="宋体" w:eastAsia="仿宋_GB2312"/>
                <w:color w:val="auto"/>
                <w:sz w:val="24"/>
                <w:highlight w:val="none"/>
                <w:lang w:val="en-US" w:eastAsia="zh-CN"/>
              </w:rPr>
              <w:t>加注枪为真空加液枪，能提供真空加液枪专利证书，得1分；</w:t>
            </w:r>
          </w:p>
          <w:p>
            <w:pPr>
              <w:spacing w:line="420" w:lineRule="exact"/>
              <w:jc w:val="left"/>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lang w:eastAsia="zh-CN"/>
              </w:rPr>
              <w:t>提供LNG加气机检定装置低温环境下计量性能测试设备证明材料，</w:t>
            </w:r>
            <w:r>
              <w:rPr>
                <w:rFonts w:hint="eastAsia" w:ascii="仿宋_GB2312" w:hAnsi="宋体" w:eastAsia="仿宋_GB2312"/>
                <w:color w:val="auto"/>
                <w:sz w:val="24"/>
                <w:highlight w:val="none"/>
                <w:lang w:val="en-US" w:eastAsia="zh-CN"/>
              </w:rPr>
              <w:t>得2分。</w:t>
            </w:r>
          </w:p>
          <w:p>
            <w:pPr>
              <w:spacing w:line="420" w:lineRule="exact"/>
              <w:jc w:val="left"/>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lang w:eastAsia="zh-CN"/>
              </w:rPr>
              <w:t>协助搭建云数据中心，检定数据可上传至云端，实现以下功能，并能在开标时进行线上演示；得</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lang w:eastAsia="zh-CN"/>
              </w:rPr>
              <w:t>分</w:t>
            </w:r>
            <w:r>
              <w:rPr>
                <w:rFonts w:hint="eastAsia" w:ascii="仿宋_GB2312" w:hAnsi="宋体" w:eastAsia="仿宋_GB2312"/>
                <w:color w:val="auto"/>
                <w:sz w:val="24"/>
                <w:highlight w:val="none"/>
                <w:lang w:eastAsia="zh-CN"/>
              </w:rPr>
              <w:br w:type="textWrapping"/>
            </w:r>
            <w:r>
              <w:rPr>
                <w:rFonts w:hint="eastAsia" w:ascii="仿宋_GB2312" w:hAnsi="宋体" w:eastAsia="仿宋_GB2312"/>
                <w:color w:val="auto"/>
                <w:sz w:val="24"/>
                <w:highlight w:val="none"/>
                <w:lang w:eastAsia="zh-CN"/>
              </w:rPr>
              <w:t>①检定站点信息管理：一次录入，多设备共享；</w:t>
            </w:r>
            <w:r>
              <w:rPr>
                <w:rFonts w:hint="eastAsia" w:ascii="仿宋_GB2312" w:hAnsi="宋体" w:eastAsia="仿宋_GB2312"/>
                <w:color w:val="auto"/>
                <w:sz w:val="24"/>
                <w:highlight w:val="none"/>
                <w:lang w:eastAsia="zh-CN"/>
              </w:rPr>
              <w:br w:type="textWrapping"/>
            </w:r>
            <w:r>
              <w:rPr>
                <w:rFonts w:hint="eastAsia" w:ascii="仿宋_GB2312" w:hAnsi="宋体" w:eastAsia="仿宋_GB2312"/>
                <w:color w:val="auto"/>
                <w:sz w:val="24"/>
                <w:highlight w:val="none"/>
                <w:lang w:eastAsia="zh-CN"/>
              </w:rPr>
              <w:t>②记录查询：检定记录查询，证书查询、证书打印、证书补打；</w:t>
            </w:r>
            <w:r>
              <w:rPr>
                <w:rFonts w:hint="eastAsia" w:ascii="仿宋_GB2312" w:hAnsi="宋体" w:eastAsia="仿宋_GB2312"/>
                <w:color w:val="auto"/>
                <w:sz w:val="24"/>
                <w:highlight w:val="none"/>
                <w:lang w:eastAsia="zh-CN"/>
              </w:rPr>
              <w:br w:type="textWrapping"/>
            </w:r>
            <w:r>
              <w:rPr>
                <w:rFonts w:hint="eastAsia" w:ascii="仿宋_GB2312" w:hAnsi="宋体" w:eastAsia="仿宋_GB2312"/>
                <w:color w:val="auto"/>
                <w:sz w:val="24"/>
                <w:highlight w:val="none"/>
                <w:lang w:eastAsia="zh-CN"/>
              </w:rPr>
              <w:t>③异常查询：检定过程异常报警查询；</w:t>
            </w:r>
            <w:r>
              <w:rPr>
                <w:rFonts w:hint="eastAsia" w:ascii="仿宋_GB2312" w:hAnsi="宋体" w:eastAsia="仿宋_GB2312"/>
                <w:color w:val="auto"/>
                <w:sz w:val="24"/>
                <w:highlight w:val="none"/>
                <w:lang w:eastAsia="zh-CN"/>
              </w:rPr>
              <w:br w:type="textWrapping"/>
            </w:r>
            <w:r>
              <w:rPr>
                <w:rFonts w:hint="eastAsia" w:ascii="仿宋_GB2312" w:hAnsi="宋体" w:eastAsia="仿宋_GB2312"/>
                <w:color w:val="auto"/>
                <w:sz w:val="24"/>
                <w:highlight w:val="none"/>
                <w:lang w:eastAsia="zh-CN"/>
              </w:rPr>
              <w:t>④数据分析：检定数据分析，生成检定计划等特色功能。</w:t>
            </w:r>
          </w:p>
          <w:p>
            <w:pPr>
              <w:spacing w:line="420" w:lineRule="exact"/>
              <w:jc w:val="left"/>
              <w:rPr>
                <w:rFonts w:hint="eastAsia" w:ascii="仿宋_GB2312" w:hAnsi="宋体" w:eastAsia="仿宋_GB2312"/>
                <w:color w:val="auto"/>
                <w:sz w:val="24"/>
                <w:highlight w:val="none"/>
              </w:rPr>
            </w:pPr>
            <w:r>
              <w:rPr>
                <w:rFonts w:hint="eastAsia" w:ascii="仿宋_GB2312" w:hAnsi="宋体" w:eastAsia="仿宋_GB2312"/>
                <w:color w:val="auto"/>
                <w:sz w:val="24"/>
                <w:highlight w:val="none"/>
                <w:lang w:val="en-US" w:eastAsia="zh-CN"/>
              </w:rPr>
              <w:t>4、装置具有扫码功能，实现与浙江省民生计量监管服务系统对接，将GM2D码中信息导入软件。</w:t>
            </w:r>
            <w:r>
              <w:rPr>
                <w:rFonts w:hint="eastAsia" w:ascii="仿宋_GB2312" w:hAnsi="宋体" w:eastAsia="仿宋_GB2312"/>
                <w:color w:val="auto"/>
                <w:sz w:val="24"/>
                <w:highlight w:val="none"/>
                <w:lang w:eastAsia="zh-CN"/>
              </w:rPr>
              <w:t>得</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lang w:eastAsia="zh-CN"/>
              </w:rPr>
              <w:t>分；</w:t>
            </w:r>
          </w:p>
        </w:tc>
        <w:tc>
          <w:tcPr>
            <w:tcW w:w="1615"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hint="eastAsia"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8分</w:t>
            </w:r>
          </w:p>
        </w:tc>
      </w:tr>
    </w:tbl>
    <w:p>
      <w:pPr>
        <w:rPr>
          <w:rFonts w:hint="eastAsia"/>
          <w:highlight w:val="none"/>
        </w:rPr>
      </w:pPr>
    </w:p>
    <w:p>
      <w:pPr>
        <w:pStyle w:val="20"/>
        <w:keepNext/>
        <w:keepLines/>
        <w:pageBreakBefore w:val="0"/>
        <w:widowControl w:val="0"/>
        <w:kinsoku/>
        <w:wordWrap/>
        <w:overflowPunct/>
        <w:topLinePunct w:val="0"/>
        <w:autoSpaceDE/>
        <w:autoSpaceDN/>
        <w:bidi w:val="0"/>
        <w:adjustRightInd w:val="0"/>
        <w:snapToGrid/>
        <w:spacing w:before="0" w:after="0" w:line="413" w:lineRule="auto"/>
        <w:textAlignment w:val="auto"/>
        <w:rPr>
          <w:rFonts w:hint="eastAsia" w:ascii="仿宋_GB2312" w:hAnsi="新宋体" w:eastAsia="仿宋_GB2312" w:cs="Arial"/>
          <w:b/>
          <w:bCs/>
          <w:color w:val="auto"/>
          <w:sz w:val="24"/>
          <w:highlight w:val="none"/>
          <w:bdr w:val="single" w:color="auto" w:sz="4" w:space="0"/>
          <w:lang w:val="en-US" w:eastAsia="zh-CN"/>
        </w:rPr>
      </w:pPr>
      <w:r>
        <w:rPr>
          <w:rFonts w:ascii="仿宋_GB2312" w:hAnsi="新宋体" w:eastAsia="仿宋_GB2312" w:cs="Arial"/>
          <w:b/>
          <w:bCs/>
          <w:color w:val="auto"/>
          <w:sz w:val="24"/>
          <w:highlight w:val="none"/>
          <w:bdr w:val="single" w:color="auto" w:sz="4" w:space="0"/>
        </w:rPr>
        <w:t>0</w:t>
      </w:r>
      <w:r>
        <w:rPr>
          <w:rFonts w:hint="eastAsia" w:ascii="仿宋_GB2312" w:hAnsi="新宋体" w:eastAsia="仿宋_GB2312" w:cs="Arial"/>
          <w:b/>
          <w:bCs/>
          <w:color w:val="auto"/>
          <w:sz w:val="24"/>
          <w:highlight w:val="none"/>
          <w:bdr w:val="single" w:color="auto" w:sz="4" w:space="0"/>
          <w:lang w:val="en-US" w:eastAsia="zh-CN"/>
        </w:rPr>
        <w:t>2标</w:t>
      </w:r>
    </w:p>
    <w:tbl>
      <w:tblPr>
        <w:tblStyle w:val="16"/>
        <w:tblW w:w="9089" w:type="dxa"/>
        <w:jc w:val="center"/>
        <w:tblLayout w:type="fixed"/>
        <w:tblCellMar>
          <w:top w:w="15" w:type="dxa"/>
          <w:left w:w="108" w:type="dxa"/>
          <w:bottom w:w="15" w:type="dxa"/>
          <w:right w:w="108" w:type="dxa"/>
        </w:tblCellMar>
      </w:tblPr>
      <w:tblGrid>
        <w:gridCol w:w="714"/>
        <w:gridCol w:w="1993"/>
        <w:gridCol w:w="4767"/>
        <w:gridCol w:w="1615"/>
      </w:tblGrid>
      <w:tr>
        <w:tblPrEx>
          <w:tblCellMar>
            <w:top w:w="15" w:type="dxa"/>
            <w:left w:w="108" w:type="dxa"/>
            <w:bottom w:w="15" w:type="dxa"/>
            <w:right w:w="108" w:type="dxa"/>
          </w:tblCellMar>
        </w:tblPrEx>
        <w:trPr>
          <w:trHeight w:val="517" w:hRule="atLeast"/>
          <w:jc w:val="center"/>
        </w:trPr>
        <w:tc>
          <w:tcPr>
            <w:tcW w:w="714" w:type="dxa"/>
            <w:tcBorders>
              <w:top w:val="single" w:color="000000" w:sz="4" w:space="0"/>
              <w:left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1993" w:type="dxa"/>
            <w:tcBorders>
              <w:top w:val="single" w:color="000000" w:sz="4" w:space="0"/>
              <w:left w:val="single" w:color="000000" w:sz="4" w:space="0"/>
              <w:right w:val="single" w:color="auto"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项目</w:t>
            </w:r>
          </w:p>
        </w:tc>
        <w:tc>
          <w:tcPr>
            <w:tcW w:w="4767" w:type="dxa"/>
            <w:tcBorders>
              <w:top w:val="single" w:color="000000" w:sz="4" w:space="0"/>
              <w:left w:val="single" w:color="auto"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评分标准</w:t>
            </w:r>
          </w:p>
        </w:tc>
        <w:tc>
          <w:tcPr>
            <w:tcW w:w="1615" w:type="dxa"/>
            <w:tcBorders>
              <w:top w:val="single" w:color="000000" w:sz="4" w:space="0"/>
              <w:left w:val="single" w:color="000000" w:sz="4" w:space="0"/>
              <w:right w:val="single" w:color="000000" w:sz="4" w:space="0"/>
            </w:tcBorders>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分值范围</w:t>
            </w:r>
          </w:p>
        </w:tc>
      </w:tr>
      <w:tr>
        <w:tblPrEx>
          <w:tblCellMar>
            <w:top w:w="15" w:type="dxa"/>
            <w:left w:w="108" w:type="dxa"/>
            <w:bottom w:w="15" w:type="dxa"/>
            <w:right w:w="108" w:type="dxa"/>
          </w:tblCellMar>
        </w:tblPrEx>
        <w:trPr>
          <w:trHeight w:val="2048" w:hRule="atLeast"/>
          <w:jc w:val="center"/>
        </w:trPr>
        <w:tc>
          <w:tcPr>
            <w:tcW w:w="714" w:type="dxa"/>
            <w:tcBorders>
              <w:top w:val="single" w:color="000000" w:sz="4" w:space="0"/>
              <w:left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1993" w:type="dxa"/>
            <w:tcBorders>
              <w:top w:val="single" w:color="000000" w:sz="4" w:space="0"/>
              <w:left w:val="single" w:color="000000" w:sz="4" w:space="0"/>
              <w:right w:val="single" w:color="000000" w:sz="4" w:space="0"/>
            </w:tcBorders>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投标设备的性能及技术指标要求</w:t>
            </w:r>
          </w:p>
        </w:tc>
        <w:tc>
          <w:tcPr>
            <w:tcW w:w="4767" w:type="dxa"/>
            <w:tcBorders>
              <w:top w:val="single" w:color="000000" w:sz="4" w:space="0"/>
              <w:left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主要设备技术参数无负偏离的得</w:t>
            </w:r>
            <w:r>
              <w:rPr>
                <w:rFonts w:hint="eastAsia" w:ascii="仿宋_GB2312" w:hAnsi="宋体" w:eastAsia="仿宋_GB2312"/>
                <w:color w:val="auto"/>
                <w:sz w:val="24"/>
                <w:highlight w:val="none"/>
                <w:lang w:val="en-US" w:eastAsia="zh-CN"/>
              </w:rPr>
              <w:t>36</w:t>
            </w:r>
            <w:r>
              <w:rPr>
                <w:rFonts w:hint="eastAsia" w:ascii="仿宋_GB2312" w:hAnsi="宋体" w:eastAsia="仿宋_GB2312"/>
                <w:color w:val="auto"/>
                <w:sz w:val="24"/>
                <w:highlight w:val="none"/>
              </w:rPr>
              <w:t xml:space="preserve">分。其中含“★”为实质性指标要求条款，如出现负偏离作废标处理；“▲” 系指主要性能指标要求条款，每负偏离一项扣 </w:t>
            </w:r>
            <w:r>
              <w:rPr>
                <w:rFonts w:hint="eastAsia" w:ascii="仿宋_GB2312" w:hAnsi="宋体" w:eastAsia="仿宋_GB2312"/>
                <w:color w:val="auto"/>
                <w:sz w:val="24"/>
                <w:highlight w:val="none"/>
                <w:lang w:val="en-US" w:eastAsia="zh-CN"/>
              </w:rPr>
              <w:t>4</w:t>
            </w:r>
            <w:r>
              <w:rPr>
                <w:rFonts w:hint="eastAsia" w:ascii="仿宋_GB2312" w:hAnsi="宋体" w:eastAsia="仿宋_GB2312"/>
                <w:color w:val="auto"/>
                <w:sz w:val="24"/>
                <w:highlight w:val="none"/>
              </w:rPr>
              <w:t>分；其他性能指标每负偏离一项扣2分，扣完为止。</w:t>
            </w:r>
          </w:p>
        </w:tc>
        <w:tc>
          <w:tcPr>
            <w:tcW w:w="1615" w:type="dxa"/>
            <w:tcBorders>
              <w:top w:val="single" w:color="000000" w:sz="4" w:space="0"/>
              <w:left w:val="single" w:color="000000" w:sz="4" w:space="0"/>
              <w:right w:val="single" w:color="000000" w:sz="4" w:space="0"/>
            </w:tcBorders>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lang w:val="en-US" w:eastAsia="zh-CN"/>
              </w:rPr>
              <w:t>36</w:t>
            </w:r>
            <w:r>
              <w:rPr>
                <w:rFonts w:hint="eastAsia" w:ascii="仿宋_GB2312" w:hAnsi="宋体" w:eastAsia="仿宋_GB2312"/>
                <w:bCs/>
                <w:iCs/>
                <w:color w:val="auto"/>
                <w:sz w:val="24"/>
                <w:highlight w:val="none"/>
              </w:rPr>
              <w:t>分</w:t>
            </w:r>
          </w:p>
        </w:tc>
      </w:tr>
      <w:tr>
        <w:tblPrEx>
          <w:tblCellMar>
            <w:top w:w="15" w:type="dxa"/>
            <w:left w:w="108" w:type="dxa"/>
            <w:bottom w:w="15" w:type="dxa"/>
            <w:right w:w="108" w:type="dxa"/>
          </w:tblCellMar>
        </w:tblPrEx>
        <w:trPr>
          <w:trHeight w:val="1304" w:hRule="atLeast"/>
          <w:jc w:val="center"/>
        </w:trPr>
        <w:tc>
          <w:tcPr>
            <w:tcW w:w="714" w:type="dxa"/>
            <w:tcBorders>
              <w:top w:val="single" w:color="000000" w:sz="4" w:space="0"/>
              <w:left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1993" w:type="dxa"/>
            <w:tcBorders>
              <w:top w:val="single" w:color="000000" w:sz="4" w:space="0"/>
              <w:left w:val="single" w:color="000000" w:sz="4" w:space="0"/>
              <w:right w:val="single" w:color="000000" w:sz="4" w:space="0"/>
            </w:tcBorders>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销售业绩</w:t>
            </w:r>
          </w:p>
        </w:tc>
        <w:tc>
          <w:tcPr>
            <w:tcW w:w="4767" w:type="dxa"/>
            <w:tcBorders>
              <w:top w:val="single" w:color="000000" w:sz="4" w:space="0"/>
              <w:left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投标人提供自2020年1月1日以来所的同类产品成功销售案例，每个案例得1分，最高得3分（提供合同复印件）。</w:t>
            </w:r>
          </w:p>
        </w:tc>
        <w:tc>
          <w:tcPr>
            <w:tcW w:w="1615" w:type="dxa"/>
            <w:tcBorders>
              <w:top w:val="single" w:color="000000" w:sz="4" w:space="0"/>
              <w:left w:val="single" w:color="000000" w:sz="4" w:space="0"/>
              <w:right w:val="single" w:color="000000" w:sz="4" w:space="0"/>
            </w:tcBorders>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3分</w:t>
            </w:r>
          </w:p>
        </w:tc>
      </w:tr>
      <w:tr>
        <w:tblPrEx>
          <w:tblCellMar>
            <w:top w:w="15" w:type="dxa"/>
            <w:left w:w="108" w:type="dxa"/>
            <w:bottom w:w="15" w:type="dxa"/>
            <w:right w:w="108" w:type="dxa"/>
          </w:tblCellMar>
        </w:tblPrEx>
        <w:trPr>
          <w:trHeight w:val="2114"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质量目标措施、安装进度、安全措施</w:t>
            </w: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对质量目标措施的可行性、供货安装进度的安排合理性、现场安全措施的可行性等方面综合评定打分（6，4,2,0分）。</w:t>
            </w:r>
          </w:p>
        </w:tc>
        <w:tc>
          <w:tcPr>
            <w:tcW w:w="161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lang w:val="en-US" w:eastAsia="zh-CN"/>
              </w:rPr>
              <w:t>6</w:t>
            </w:r>
            <w:r>
              <w:rPr>
                <w:rFonts w:hint="eastAsia" w:ascii="仿宋_GB2312" w:hAnsi="宋体" w:eastAsia="仿宋_GB2312"/>
                <w:bCs/>
                <w:iCs/>
                <w:color w:val="auto"/>
                <w:sz w:val="24"/>
                <w:highlight w:val="none"/>
              </w:rPr>
              <w:t>分</w:t>
            </w:r>
          </w:p>
        </w:tc>
      </w:tr>
      <w:tr>
        <w:tblPrEx>
          <w:tblCellMar>
            <w:top w:w="15" w:type="dxa"/>
            <w:left w:w="108" w:type="dxa"/>
            <w:bottom w:w="15" w:type="dxa"/>
            <w:right w:w="108" w:type="dxa"/>
          </w:tblCellMar>
        </w:tblPrEx>
        <w:trPr>
          <w:trHeight w:val="683"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设备稳定性、先进性</w:t>
            </w: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根据投标设备的技术先进性、易用性、稳定性进行评价</w:t>
            </w:r>
            <w:r>
              <w:rPr>
                <w:rFonts w:hint="eastAsia" w:ascii="仿宋_GB2312" w:hAnsi="宋体" w:eastAsia="仿宋_GB2312"/>
                <w:color w:val="auto"/>
                <w:sz w:val="24"/>
                <w:highlight w:val="none"/>
                <w:lang w:eastAsia="zh-CN"/>
              </w:rPr>
              <w:t>等</w:t>
            </w:r>
            <w:r>
              <w:rPr>
                <w:rFonts w:hint="eastAsia" w:ascii="仿宋_GB2312" w:hAnsi="宋体" w:eastAsia="仿宋_GB2312"/>
                <w:color w:val="auto"/>
                <w:sz w:val="24"/>
                <w:highlight w:val="none"/>
              </w:rPr>
              <w:t>综合评定</w:t>
            </w:r>
            <w:r>
              <w:rPr>
                <w:rFonts w:hint="eastAsia" w:ascii="仿宋_GB2312" w:hAnsi="宋体" w:eastAsia="仿宋_GB2312"/>
                <w:color w:val="auto"/>
                <w:sz w:val="24"/>
                <w:highlight w:val="none"/>
                <w:lang w:eastAsia="zh-CN"/>
              </w:rPr>
              <w:t>打分</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4</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,0分）。</w:t>
            </w:r>
          </w:p>
        </w:tc>
        <w:tc>
          <w:tcPr>
            <w:tcW w:w="161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lang w:val="en-US" w:eastAsia="zh-CN"/>
              </w:rPr>
              <w:t>6</w:t>
            </w:r>
            <w:r>
              <w:rPr>
                <w:rFonts w:hint="eastAsia" w:ascii="仿宋_GB2312" w:hAnsi="宋体" w:eastAsia="仿宋_GB2312"/>
                <w:bCs/>
                <w:iCs/>
                <w:color w:val="auto"/>
                <w:sz w:val="24"/>
                <w:highlight w:val="none"/>
              </w:rPr>
              <w:t>分</w:t>
            </w:r>
          </w:p>
        </w:tc>
      </w:tr>
      <w:tr>
        <w:tblPrEx>
          <w:tblCellMar>
            <w:top w:w="15" w:type="dxa"/>
            <w:left w:w="108" w:type="dxa"/>
            <w:bottom w:w="15" w:type="dxa"/>
            <w:right w:w="108" w:type="dxa"/>
          </w:tblCellMar>
        </w:tblPrEx>
        <w:trPr>
          <w:trHeight w:val="455"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质保期</w:t>
            </w: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在满足招标文件免费质保年限要求的基础上，每延长免费质保期1年得2分，最高得4分。不满足招标文件基本要求的做无效投标处理。</w:t>
            </w:r>
          </w:p>
        </w:tc>
        <w:tc>
          <w:tcPr>
            <w:tcW w:w="161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4分</w:t>
            </w:r>
          </w:p>
        </w:tc>
      </w:tr>
      <w:tr>
        <w:tblPrEx>
          <w:tblCellMar>
            <w:top w:w="15" w:type="dxa"/>
            <w:left w:w="108" w:type="dxa"/>
            <w:bottom w:w="15" w:type="dxa"/>
            <w:right w:w="108" w:type="dxa"/>
          </w:tblCellMar>
        </w:tblPrEx>
        <w:trPr>
          <w:trHeight w:val="911"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技术支持及售后服务等</w:t>
            </w: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提供的本地化服务方案，根据售后服务方式、故障响应修复时间等方面综合评定</w:t>
            </w:r>
            <w:r>
              <w:rPr>
                <w:rFonts w:hint="eastAsia" w:ascii="仿宋_GB2312" w:hAnsi="宋体" w:eastAsia="仿宋_GB2312"/>
                <w:color w:val="auto"/>
                <w:sz w:val="24"/>
                <w:highlight w:val="none"/>
                <w:lang w:eastAsia="zh-CN"/>
              </w:rPr>
              <w:t>打分</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4</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,0分）。</w:t>
            </w:r>
          </w:p>
        </w:tc>
        <w:tc>
          <w:tcPr>
            <w:tcW w:w="161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lang w:val="en-US" w:eastAsia="zh-CN"/>
              </w:rPr>
              <w:t>6</w:t>
            </w:r>
            <w:r>
              <w:rPr>
                <w:rFonts w:hint="eastAsia" w:ascii="仿宋_GB2312" w:hAnsi="宋体" w:eastAsia="仿宋_GB2312"/>
                <w:bCs/>
                <w:iCs/>
                <w:color w:val="auto"/>
                <w:sz w:val="24"/>
                <w:highlight w:val="none"/>
              </w:rPr>
              <w:t>分</w:t>
            </w:r>
          </w:p>
        </w:tc>
      </w:tr>
      <w:tr>
        <w:tblPrEx>
          <w:tblCellMar>
            <w:top w:w="15" w:type="dxa"/>
            <w:left w:w="108" w:type="dxa"/>
            <w:bottom w:w="15" w:type="dxa"/>
            <w:right w:w="108" w:type="dxa"/>
          </w:tblCellMar>
        </w:tblPrEx>
        <w:trPr>
          <w:trHeight w:val="683"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配件及耗材优惠</w:t>
            </w: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随机提供的耗材、备品配件、易损件是否齐全，保修期内外选购价格是否合理</w:t>
            </w:r>
            <w:r>
              <w:rPr>
                <w:rFonts w:hint="eastAsia" w:ascii="仿宋_GB2312" w:hAnsi="宋体" w:eastAsia="仿宋_GB2312"/>
                <w:color w:val="auto"/>
                <w:sz w:val="24"/>
                <w:highlight w:val="none"/>
                <w:lang w:eastAsia="zh-CN"/>
              </w:rPr>
              <w:t>等</w:t>
            </w:r>
            <w:r>
              <w:rPr>
                <w:rFonts w:hint="eastAsia" w:ascii="仿宋_GB2312" w:hAnsi="宋体" w:eastAsia="仿宋_GB2312"/>
                <w:color w:val="auto"/>
                <w:sz w:val="24"/>
                <w:highlight w:val="none"/>
              </w:rPr>
              <w:t>，综合评定</w:t>
            </w:r>
            <w:r>
              <w:rPr>
                <w:rFonts w:hint="eastAsia" w:ascii="仿宋_GB2312" w:hAnsi="宋体" w:eastAsia="仿宋_GB2312"/>
                <w:color w:val="auto"/>
                <w:sz w:val="24"/>
                <w:highlight w:val="none"/>
                <w:lang w:eastAsia="zh-CN"/>
              </w:rPr>
              <w:t>打分</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5</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3</w:t>
            </w:r>
            <w:r>
              <w:rPr>
                <w:rFonts w:hint="eastAsia" w:ascii="仿宋_GB2312" w:hAnsi="宋体" w:eastAsia="仿宋_GB2312"/>
                <w:color w:val="auto"/>
                <w:sz w:val="24"/>
                <w:highlight w:val="none"/>
              </w:rPr>
              <w:t>,1,0分）。</w:t>
            </w:r>
          </w:p>
        </w:tc>
        <w:tc>
          <w:tcPr>
            <w:tcW w:w="161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5分</w:t>
            </w:r>
          </w:p>
        </w:tc>
      </w:tr>
      <w:tr>
        <w:tblPrEx>
          <w:tblCellMar>
            <w:top w:w="15" w:type="dxa"/>
            <w:left w:w="108" w:type="dxa"/>
            <w:bottom w:w="15" w:type="dxa"/>
            <w:right w:w="108" w:type="dxa"/>
          </w:tblCellMar>
        </w:tblPrEx>
        <w:trPr>
          <w:trHeight w:val="683" w:hRule="atLeast"/>
          <w:jc w:val="center"/>
        </w:trPr>
        <w:tc>
          <w:tcPr>
            <w:tcW w:w="714"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1993"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培训</w:t>
            </w:r>
          </w:p>
        </w:tc>
        <w:tc>
          <w:tcPr>
            <w:tcW w:w="4767" w:type="dxa"/>
            <w:tcBorders>
              <w:top w:val="single" w:color="000000" w:sz="4" w:space="0"/>
              <w:left w:val="single" w:color="000000" w:sz="4" w:space="0"/>
              <w:bottom w:val="single" w:color="000000" w:sz="4" w:space="0"/>
              <w:right w:val="single" w:color="000000" w:sz="4" w:space="0"/>
            </w:tcBorders>
            <w:vAlign w:val="center"/>
          </w:tcPr>
          <w:p>
            <w:pPr>
              <w:spacing w:line="420" w:lineRule="exact"/>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根据提供相应产品的培训，培训方案、时间、内容、地点、人员数等，综合评定</w:t>
            </w:r>
            <w:r>
              <w:rPr>
                <w:rFonts w:hint="eastAsia" w:ascii="仿宋_GB2312" w:hAnsi="宋体" w:eastAsia="仿宋_GB2312"/>
                <w:color w:val="auto"/>
                <w:sz w:val="24"/>
                <w:highlight w:val="none"/>
                <w:lang w:eastAsia="zh-CN"/>
              </w:rPr>
              <w:t>打分</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4</w:t>
            </w:r>
            <w:r>
              <w:rPr>
                <w:rFonts w:hint="eastAsia" w:ascii="仿宋_GB2312" w:hAnsi="宋体" w:eastAsia="仿宋_GB2312"/>
                <w:color w:val="auto"/>
                <w:sz w:val="24"/>
                <w:highlight w:val="none"/>
              </w:rPr>
              <w:t>，</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,1,0分）。</w:t>
            </w:r>
          </w:p>
        </w:tc>
        <w:tc>
          <w:tcPr>
            <w:tcW w:w="1615" w:type="dxa"/>
            <w:tcBorders>
              <w:top w:val="single" w:color="000000" w:sz="4" w:space="0"/>
              <w:left w:val="single" w:color="000000" w:sz="4" w:space="0"/>
              <w:bottom w:val="single" w:color="000000" w:sz="4" w:space="0"/>
              <w:right w:val="single" w:color="000000" w:sz="4" w:space="0"/>
            </w:tcBorders>
            <w:vAlign w:val="center"/>
          </w:tcPr>
          <w:p>
            <w:pPr>
              <w:spacing w:line="440" w:lineRule="exact"/>
              <w:jc w:val="center"/>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4分</w:t>
            </w:r>
          </w:p>
        </w:tc>
      </w:tr>
    </w:tbl>
    <w:p>
      <w:pPr>
        <w:pStyle w:val="20"/>
        <w:keepNext/>
        <w:keepLines/>
        <w:pageBreakBefore w:val="0"/>
        <w:widowControl w:val="0"/>
        <w:kinsoku/>
        <w:wordWrap/>
        <w:overflowPunct/>
        <w:topLinePunct w:val="0"/>
        <w:autoSpaceDE/>
        <w:autoSpaceDN/>
        <w:bidi w:val="0"/>
        <w:adjustRightInd w:val="0"/>
        <w:snapToGrid/>
        <w:spacing w:before="0" w:after="0" w:line="413" w:lineRule="auto"/>
        <w:textAlignment w:val="auto"/>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w:t>
      </w:r>
      <w:r>
        <w:rPr>
          <w:rFonts w:ascii="仿宋_GB2312" w:hAnsi="新宋体" w:eastAsia="仿宋_GB2312" w:cs="Arial"/>
          <w:b/>
          <w:bCs/>
          <w:color w:val="auto"/>
          <w:sz w:val="24"/>
          <w:highlight w:val="none"/>
          <w:bdr w:val="single" w:color="auto" w:sz="4" w:space="0"/>
        </w:rPr>
        <w:t>0</w:t>
      </w:r>
      <w:r>
        <w:rPr>
          <w:rFonts w:hint="eastAsia" w:ascii="仿宋_GB2312" w:hAnsi="新宋体" w:eastAsia="仿宋_GB2312" w:cs="Arial"/>
          <w:b/>
          <w:bCs/>
          <w:color w:val="auto"/>
          <w:sz w:val="24"/>
          <w:highlight w:val="none"/>
          <w:bdr w:val="single" w:color="auto" w:sz="4" w:space="0"/>
          <w:lang w:val="en-US" w:eastAsia="zh-CN"/>
        </w:rPr>
        <w:t>1标、02标</w:t>
      </w:r>
      <w:r>
        <w:rPr>
          <w:rFonts w:hint="eastAsia" w:ascii="仿宋_GB2312" w:hAnsi="宋体" w:eastAsia="仿宋_GB2312"/>
          <w:b/>
          <w:bCs/>
          <w:iCs/>
          <w:color w:val="auto"/>
          <w:sz w:val="24"/>
          <w:highlight w:val="none"/>
        </w:rPr>
        <w:t>价格分（</w:t>
      </w:r>
      <w:r>
        <w:rPr>
          <w:rFonts w:hint="eastAsia" w:ascii="仿宋_GB2312" w:hAnsi="宋体" w:eastAsia="仿宋_GB2312"/>
          <w:b/>
          <w:bCs/>
          <w:iCs/>
          <w:color w:val="auto"/>
          <w:sz w:val="24"/>
          <w:highlight w:val="none"/>
          <w:lang w:val="en-US" w:eastAsia="zh-CN"/>
        </w:rPr>
        <w:t>3</w:t>
      </w:r>
      <w:r>
        <w:rPr>
          <w:rFonts w:hint="eastAsia" w:ascii="仿宋_GB2312" w:hAnsi="宋体" w:eastAsia="仿宋_GB2312"/>
          <w:b/>
          <w:bCs/>
          <w:iCs/>
          <w:color w:val="auto"/>
          <w:sz w:val="24"/>
          <w:highlight w:val="none"/>
        </w:rPr>
        <w:t>0分）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auto"/>
          <w:sz w:val="24"/>
          <w:highlight w:val="none"/>
          <w:lang w:val="en-US" w:eastAsia="zh-CN"/>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30</w:t>
      </w:r>
    </w:p>
    <w:p>
      <w:pPr>
        <w:snapToGrid w:val="0"/>
        <w:rPr>
          <w:rFonts w:hint="eastAsia" w:ascii="仿宋" w:hAnsi="仿宋" w:eastAsia="仿宋" w:cs="仿宋"/>
          <w:b/>
          <w:color w:val="auto"/>
          <w:sz w:val="24"/>
          <w:highlight w:val="none"/>
          <w:u w:val="single"/>
        </w:rPr>
      </w:pPr>
    </w:p>
    <w:p>
      <w:pPr>
        <w:spacing w:line="360" w:lineRule="auto"/>
        <w:ind w:left="720" w:firstLine="723" w:firstLineChars="200"/>
        <w:outlineLvl w:val="0"/>
        <w:rPr>
          <w:rFonts w:hint="eastAsia" w:ascii="仿宋" w:hAnsi="仿宋" w:eastAsia="仿宋" w:cs="仿宋"/>
          <w:b/>
          <w:color w:val="auto"/>
          <w:sz w:val="36"/>
          <w:szCs w:val="20"/>
          <w:highlight w:val="none"/>
        </w:rPr>
      </w:pPr>
    </w:p>
    <w:p>
      <w:pPr>
        <w:spacing w:line="360" w:lineRule="auto"/>
        <w:outlineLvl w:val="0"/>
        <w:rPr>
          <w:rFonts w:hint="eastAsia" w:ascii="仿宋" w:hAnsi="仿宋" w:eastAsia="仿宋" w:cs="仿宋"/>
          <w:b/>
          <w:color w:val="auto"/>
          <w:sz w:val="36"/>
          <w:szCs w:val="20"/>
          <w:highlight w:val="none"/>
        </w:rPr>
      </w:pPr>
    </w:p>
    <w:bookmarkEnd w:id="41"/>
    <w:bookmarkEnd w:id="42"/>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napToGrid w:val="0"/>
        <w:spacing w:line="360" w:lineRule="auto"/>
        <w:rPr>
          <w:rFonts w:hint="eastAsia" w:ascii="仿宋" w:hAnsi="仿宋" w:eastAsia="仿宋" w:cs="仿宋"/>
          <w:color w:val="auto"/>
          <w:sz w:val="24"/>
          <w:highlight w:val="none"/>
        </w:rPr>
      </w:pP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rPr>
          <w:rFonts w:hint="eastAsia"/>
          <w:color w:val="auto"/>
          <w:highlight w:val="none"/>
        </w:rPr>
      </w:pPr>
    </w:p>
    <w:p>
      <w:pPr>
        <w:widowControl/>
        <w:spacing w:line="360" w:lineRule="auto"/>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p>
    <w:p>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pStyle w:val="25"/>
        <w:rPr>
          <w:rFonts w:hint="eastAsia"/>
          <w:color w:val="auto"/>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rPr>
          <w:rFonts w:hint="eastAsia" w:ascii="仿宋" w:hAnsi="仿宋" w:eastAsia="仿宋" w:cs="仿宋"/>
          <w:color w:val="auto"/>
          <w:sz w:val="24"/>
          <w:highlight w:val="none"/>
        </w:rPr>
      </w:pPr>
    </w:p>
    <w:p>
      <w:pPr>
        <w:spacing w:line="336" w:lineRule="auto"/>
        <w:jc w:val="center"/>
        <w:rPr>
          <w:rFonts w:hint="eastAsia" w:ascii="仿宋" w:hAnsi="仿宋" w:eastAsia="仿宋" w:cs="仿宋"/>
          <w:b/>
          <w:color w:val="auto"/>
          <w:kern w:val="0"/>
          <w:sz w:val="36"/>
          <w:szCs w:val="36"/>
          <w:highlight w:val="none"/>
        </w:rPr>
      </w:pP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30"/>
        <w:numPr>
          <w:ilvl w:val="0"/>
          <w:numId w:val="9"/>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pPr>
        <w:pStyle w:val="30"/>
        <w:numPr>
          <w:ilvl w:val="0"/>
          <w:numId w:val="9"/>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法定代表人授权书 ………………………………………………………… （页码）</w:t>
      </w:r>
    </w:p>
    <w:p>
      <w:pPr>
        <w:pStyle w:val="30"/>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30"/>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30"/>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30"/>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30"/>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ind w:firstLine="3534" w:firstLineChars="1100"/>
        <w:outlineLvl w:val="0"/>
        <w:rPr>
          <w:rFonts w:hint="eastAsia" w:ascii="仿宋" w:hAnsi="仿宋" w:eastAsia="仿宋" w:cs="仿宋"/>
          <w:b/>
          <w:color w:val="auto"/>
          <w:kern w:val="0"/>
          <w:sz w:val="32"/>
          <w:szCs w:val="32"/>
          <w:highlight w:val="none"/>
        </w:rPr>
      </w:pPr>
    </w:p>
    <w:p>
      <w:pPr>
        <w:snapToGrid w:val="0"/>
        <w:spacing w:line="360" w:lineRule="auto"/>
        <w:ind w:firstLine="3534" w:firstLineChars="11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23"/>
        <w:spacing w:after="120" w:line="336" w:lineRule="auto"/>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rPr>
        <w:t xml:space="preserve">              </w:t>
      </w:r>
    </w:p>
    <w:p>
      <w:pPr>
        <w:pStyle w:val="23"/>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23"/>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5"/>
        <w:spacing w:after="120" w:line="336" w:lineRule="auto"/>
        <w:ind w:left="0" w:firstLine="42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23"/>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23"/>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23"/>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23"/>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23"/>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23"/>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23"/>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23"/>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23"/>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hint="eastAsia" w:ascii="仿宋" w:hAnsi="仿宋" w:eastAsia="仿宋" w:cs="仿宋"/>
          <w:color w:val="auto"/>
          <w:sz w:val="24"/>
          <w:highlight w:val="none"/>
        </w:rPr>
      </w:pPr>
    </w:p>
    <w:p>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snapToGrid w:val="0"/>
        <w:spacing w:line="360" w:lineRule="auto"/>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pStyle w:val="3"/>
        <w:rPr>
          <w:rFonts w:hint="eastAsia" w:ascii="仿宋" w:hAnsi="仿宋" w:eastAsia="仿宋" w:cs="仿宋"/>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3"/>
        <w:rPr>
          <w:rFonts w:hint="eastAsia" w:ascii="仿宋" w:hAnsi="仿宋" w:eastAsia="仿宋" w:cs="仿宋"/>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3"/>
        <w:rPr>
          <w:rFonts w:hint="eastAsia" w:ascii="仿宋" w:hAnsi="仿宋" w:eastAsia="仿宋" w:cs="仿宋"/>
          <w:color w:val="auto"/>
          <w:kern w:val="0"/>
          <w:sz w:val="32"/>
          <w:szCs w:val="32"/>
          <w:highlight w:val="none"/>
        </w:rPr>
      </w:pPr>
    </w:p>
    <w:p>
      <w:pPr>
        <w:rPr>
          <w:rFonts w:hint="eastAsia" w:ascii="仿宋" w:hAnsi="仿宋" w:eastAsia="仿宋" w:cs="仿宋"/>
          <w:b/>
          <w:color w:val="auto"/>
          <w:kern w:val="0"/>
          <w:sz w:val="32"/>
          <w:szCs w:val="32"/>
          <w:highlight w:val="none"/>
        </w:rPr>
      </w:pPr>
    </w:p>
    <w:p>
      <w:pPr>
        <w:pStyle w:val="3"/>
        <w:rPr>
          <w:rFonts w:hint="eastAsia" w:ascii="仿宋" w:hAnsi="仿宋" w:eastAsia="仿宋" w:cs="仿宋"/>
          <w:color w:val="auto"/>
          <w:kern w:val="0"/>
          <w:sz w:val="32"/>
          <w:szCs w:val="32"/>
          <w:highlight w:val="none"/>
        </w:rPr>
      </w:pPr>
    </w:p>
    <w:p>
      <w:pPr>
        <w:pStyle w:val="3"/>
        <w:ind w:left="0" w:firstLine="0"/>
        <w:rPr>
          <w:rFonts w:hint="eastAsia"/>
          <w:color w:val="auto"/>
          <w:highlight w:val="none"/>
        </w:rPr>
      </w:pPr>
    </w:p>
    <w:p>
      <w:pPr>
        <w:widowControl/>
        <w:adjustRightInd/>
        <w:jc w:val="center"/>
        <w:rPr>
          <w:rFonts w:hint="eastAsia" w:ascii="仿宋" w:hAnsi="仿宋" w:eastAsia="仿宋" w:cs="仿宋"/>
          <w:b/>
          <w:color w:val="auto"/>
          <w:sz w:val="30"/>
          <w:szCs w:val="30"/>
          <w:highlight w:val="none"/>
        </w:rPr>
      </w:pPr>
    </w:p>
    <w:p>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snapToGrid w:val="0"/>
        <w:spacing w:line="360" w:lineRule="auto"/>
        <w:rPr>
          <w:rFonts w:hint="eastAsia" w:ascii="仿宋" w:hAnsi="仿宋" w:eastAsia="仿宋" w:cs="仿宋"/>
          <w:color w:val="auto"/>
          <w:kern w:val="0"/>
          <w:sz w:val="24"/>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rPr>
          <w:rFonts w:hint="eastAsia" w:ascii="仿宋" w:hAnsi="仿宋" w:eastAsia="仿宋" w:cs="仿宋"/>
          <w:b/>
          <w:color w:val="auto"/>
          <w:sz w:val="30"/>
          <w:szCs w:val="30"/>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rPr>
          <w:rFonts w:hint="eastAsia"/>
          <w:color w:val="auto"/>
          <w:highlight w:val="none"/>
        </w:rPr>
      </w:pP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noWrap w:val="0"/>
            <w:vAlign w:val="top"/>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noWrap w:val="0"/>
            <w:vAlign w:val="top"/>
          </w:tcPr>
          <w:p>
            <w:pPr>
              <w:jc w:val="center"/>
              <w:rPr>
                <w:rFonts w:hint="eastAsia" w:ascii="仿宋" w:hAnsi="仿宋" w:eastAsia="仿宋" w:cs="仿宋"/>
                <w:b/>
                <w:color w:val="auto"/>
                <w:kern w:val="0"/>
                <w:sz w:val="32"/>
                <w:szCs w:val="32"/>
                <w:highlight w:val="none"/>
              </w:rPr>
            </w:pPr>
          </w:p>
        </w:tc>
        <w:tc>
          <w:tcPr>
            <w:tcW w:w="3546" w:type="dxa"/>
            <w:noWrap w:val="0"/>
            <w:vAlign w:val="top"/>
          </w:tcPr>
          <w:p>
            <w:pPr>
              <w:jc w:val="center"/>
              <w:rPr>
                <w:rFonts w:hint="eastAsia" w:ascii="仿宋" w:hAnsi="仿宋" w:eastAsia="仿宋" w:cs="仿宋"/>
                <w:b/>
                <w:color w:val="auto"/>
                <w:kern w:val="0"/>
                <w:sz w:val="32"/>
                <w:szCs w:val="32"/>
                <w:highlight w:val="none"/>
              </w:rPr>
            </w:pPr>
          </w:p>
        </w:tc>
        <w:tc>
          <w:tcPr>
            <w:tcW w:w="1276" w:type="dxa"/>
            <w:noWrap w:val="0"/>
            <w:vAlign w:val="top"/>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ind w:firstLine="1911" w:firstLineChars="595"/>
        <w:rPr>
          <w:rFonts w:hint="eastAsia" w:ascii="仿宋" w:hAnsi="仿宋" w:eastAsia="仿宋" w:cs="仿宋"/>
          <w:b/>
          <w:bCs/>
          <w:color w:val="auto"/>
          <w:sz w:val="32"/>
          <w:szCs w:val="32"/>
          <w:highlight w:val="none"/>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_GB2312" w:hAnsi="仿宋_GB2312" w:eastAsia="仿宋_GB2312" w:cs="仿宋_GB2312"/>
          <w:b/>
          <w:color w:val="auto"/>
          <w:sz w:val="32"/>
          <w:szCs w:val="32"/>
          <w:highlight w:val="none"/>
        </w:rPr>
      </w:pPr>
    </w:p>
    <w:p>
      <w:pPr>
        <w:spacing w:line="360" w:lineRule="auto"/>
        <w:jc w:val="center"/>
        <w:rPr>
          <w:rFonts w:hint="eastAsia"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16"/>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hAnsi="仿宋_GB2312" w:cs="仿宋_GB2312"/>
          <w:color w:val="auto"/>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1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noWrap w:val="0"/>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080" w:type="dxa"/>
            <w:noWrap w:val="0"/>
            <w:vAlign w:val="center"/>
          </w:tcPr>
          <w:p>
            <w:pPr>
              <w:spacing w:line="360" w:lineRule="auto"/>
              <w:jc w:val="center"/>
              <w:rPr>
                <w:rFonts w:ascii="仿宋_GB2312" w:hAnsi="仿宋_GB2312" w:eastAsia="仿宋_GB2312" w:cs="仿宋_GB2312"/>
                <w:color w:val="auto"/>
                <w:sz w:val="24"/>
                <w:highlight w:val="none"/>
              </w:rPr>
            </w:pPr>
          </w:p>
        </w:tc>
        <w:tc>
          <w:tcPr>
            <w:tcW w:w="1332" w:type="dxa"/>
            <w:noWrap w:val="0"/>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25"/>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1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noWrap w:val="0"/>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2"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c>
          <w:tcPr>
            <w:tcW w:w="553" w:type="dxa"/>
            <w:noWrap w:val="0"/>
            <w:vAlign w:val="top"/>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25"/>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1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noWrap w:val="0"/>
            <w:vAlign w:val="top"/>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1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_GB2312" w:hAnsi="仿宋_GB2312" w:eastAsia="仿宋_GB2312" w:cs="仿宋_GB2312"/>
          <w:b/>
          <w:color w:val="auto"/>
          <w:sz w:val="30"/>
          <w:szCs w:val="30"/>
          <w:highlight w:val="none"/>
        </w:rPr>
      </w:pPr>
    </w:p>
    <w:p>
      <w:pPr>
        <w:spacing w:line="360" w:lineRule="auto"/>
        <w:rPr>
          <w:rFonts w:hint="eastAsia" w:ascii="仿宋_GB2312" w:hAnsi="仿宋_GB2312" w:eastAsia="仿宋_GB2312" w:cs="仿宋_GB2312"/>
          <w:b/>
          <w:color w:val="auto"/>
          <w:sz w:val="30"/>
          <w:szCs w:val="30"/>
          <w:highlight w:val="none"/>
        </w:rPr>
      </w:pPr>
    </w:p>
    <w:p>
      <w:pPr>
        <w:spacing w:line="360" w:lineRule="auto"/>
        <w:rPr>
          <w:rFonts w:hint="eastAsia"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25"/>
        <w:rPr>
          <w:rFonts w:hint="eastAsia"/>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16"/>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25"/>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16"/>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25"/>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rPr>
          <w:rFonts w:hint="eastAsia"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hint="eastAsia"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1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25"/>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6"/>
        <w:rPr>
          <w:rFonts w:hint="eastAsia"/>
          <w:color w:val="auto"/>
          <w:highlight w:val="none"/>
        </w:rPr>
        <w:sectPr>
          <w:footerReference r:id="rId17" w:type="first"/>
          <w:headerReference r:id="rId15"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rPr>
          <w:rFonts w:hint="eastAsia" w:ascii="仿宋" w:hAnsi="仿宋" w:eastAsia="仿宋" w:cs="仿宋"/>
          <w:b/>
          <w:color w:val="auto"/>
          <w:kern w:val="0"/>
          <w:sz w:val="32"/>
          <w:szCs w:val="32"/>
          <w:highlight w:val="none"/>
        </w:rPr>
      </w:pPr>
    </w:p>
    <w:p>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16"/>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noWrap w:val="0"/>
            <w:vAlign w:val="top"/>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noWrap w:val="0"/>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pPr>
              <w:spacing w:line="360" w:lineRule="auto"/>
              <w:jc w:val="center"/>
              <w:rPr>
                <w:rFonts w:hint="eastAsia" w:ascii="仿宋" w:hAnsi="仿宋" w:eastAsia="仿宋" w:cs="仿宋"/>
                <w:color w:val="auto"/>
                <w:sz w:val="24"/>
                <w:highlight w:val="none"/>
              </w:rPr>
            </w:pPr>
          </w:p>
        </w:tc>
        <w:tc>
          <w:tcPr>
            <w:tcW w:w="1417"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84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3118"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993" w:type="dxa"/>
            <w:noWrap w:val="0"/>
            <w:vAlign w:val="center"/>
          </w:tcPr>
          <w:p>
            <w:pPr>
              <w:snapToGrid w:val="0"/>
              <w:spacing w:line="360" w:lineRule="auto"/>
              <w:jc w:val="center"/>
              <w:rPr>
                <w:rFonts w:hint="eastAsia" w:ascii="仿宋" w:hAnsi="仿宋" w:eastAsia="仿宋" w:cs="仿宋"/>
                <w:color w:val="auto"/>
                <w:sz w:val="24"/>
                <w:highlight w:val="none"/>
              </w:rPr>
            </w:pPr>
          </w:p>
        </w:tc>
        <w:tc>
          <w:tcPr>
            <w:tcW w:w="1559" w:type="dxa"/>
            <w:noWrap w:val="0"/>
            <w:vAlign w:val="center"/>
          </w:tcPr>
          <w:p>
            <w:pPr>
              <w:spacing w:line="360" w:lineRule="auto"/>
              <w:jc w:val="center"/>
              <w:rPr>
                <w:rFonts w:hint="eastAsia" w:ascii="仿宋" w:hAnsi="仿宋" w:eastAsia="仿宋" w:cs="仿宋"/>
                <w:color w:val="auto"/>
                <w:sz w:val="24"/>
                <w:highlight w:val="none"/>
              </w:rPr>
            </w:pPr>
          </w:p>
        </w:tc>
        <w:tc>
          <w:tcPr>
            <w:tcW w:w="1984" w:type="dxa"/>
            <w:noWrap w:val="0"/>
            <w:vAlign w:val="center"/>
          </w:tcPr>
          <w:p>
            <w:pPr>
              <w:spacing w:line="360" w:lineRule="auto"/>
              <w:jc w:val="center"/>
              <w:rPr>
                <w:rFonts w:hint="eastAsia" w:ascii="仿宋" w:hAnsi="仿宋" w:eastAsia="仿宋" w:cs="仿宋"/>
                <w:color w:val="auto"/>
                <w:sz w:val="24"/>
                <w:highlight w:val="none"/>
              </w:rPr>
            </w:pPr>
          </w:p>
        </w:tc>
        <w:tc>
          <w:tcPr>
            <w:tcW w:w="3119" w:type="dxa"/>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noWrap w:val="0"/>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noWrap w:val="0"/>
            <w:vAlign w:val="center"/>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p>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3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3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4" w:name="_Hlk101259491"/>
      <w:r>
        <w:rPr>
          <w:rFonts w:hint="eastAsia" w:ascii="仿宋" w:hAnsi="仿宋" w:eastAsia="仿宋" w:cs="仿宋"/>
          <w:color w:val="auto"/>
          <w:sz w:val="32"/>
          <w:szCs w:val="32"/>
          <w:highlight w:val="none"/>
        </w:rPr>
        <w:t>（如果有）</w:t>
      </w:r>
      <w:bookmarkEnd w:id="194"/>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5"/>
        <w:rPr>
          <w:rFonts w:hint="eastAsia" w:ascii="仿宋" w:hAnsi="仿宋" w:eastAsia="仿宋" w:cs="仿宋"/>
          <w:b/>
          <w:color w:val="auto"/>
          <w:highlight w:val="none"/>
        </w:rPr>
      </w:pPr>
    </w:p>
    <w:p>
      <w:pPr>
        <w:pStyle w:val="26"/>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25"/>
        <w:rPr>
          <w:rFonts w:hint="eastAsia" w:ascii="仿宋" w:hAnsi="仿宋" w:eastAsia="仿宋" w:cs="仿宋"/>
          <w:b/>
          <w:color w:val="auto"/>
          <w:highlight w:val="none"/>
        </w:rPr>
      </w:pPr>
    </w:p>
    <w:p>
      <w:pPr>
        <w:pStyle w:val="26"/>
        <w:rPr>
          <w:rFonts w:hint="eastAsia"/>
          <w:color w:val="auto"/>
          <w:highlight w:val="none"/>
        </w:rPr>
      </w:pPr>
    </w:p>
    <w:p>
      <w:pPr>
        <w:pStyle w:val="26"/>
        <w:rPr>
          <w:rFonts w:hint="eastAsia"/>
          <w:color w:val="auto"/>
          <w:highlight w:val="none"/>
        </w:rPr>
      </w:pPr>
    </w:p>
    <w:p>
      <w:pPr>
        <w:widowControl/>
        <w:spacing w:line="360" w:lineRule="auto"/>
        <w:ind w:firstLine="161" w:firstLineChars="50"/>
        <w:jc w:val="center"/>
        <w:rPr>
          <w:rFonts w:hint="eastAsia"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pPr>
        <w:pStyle w:val="25"/>
        <w:widowControl/>
        <w:spacing w:line="360" w:lineRule="auto"/>
        <w:ind w:firstLine="120" w:firstLineChars="50"/>
        <w:rPr>
          <w:rFonts w:hint="eastAsia" w:ascii="仿宋" w:hAnsi="仿宋" w:eastAsia="仿宋" w:cs="仿宋"/>
          <w:b/>
          <w:color w:val="auto"/>
          <w:highlight w:val="none"/>
        </w:rPr>
      </w:pPr>
    </w:p>
    <w:p>
      <w:pPr>
        <w:pStyle w:val="26"/>
        <w:spacing w:line="360" w:lineRule="auto"/>
        <w:ind w:left="0" w:firstLine="120" w:firstLineChars="50"/>
        <w:jc w:val="left"/>
        <w:rPr>
          <w:rFonts w:hint="eastAsia" w:ascii="仿宋" w:hAnsi="仿宋" w:eastAsia="仿宋" w:cs="仿宋"/>
          <w:b/>
          <w:color w:val="auto"/>
          <w:sz w:val="24"/>
          <w:highlight w:val="none"/>
        </w:rPr>
      </w:pPr>
    </w:p>
    <w:p>
      <w:pPr>
        <w:pStyle w:val="3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5" w:name="_Toc465665161"/>
      <w:r>
        <w:rPr>
          <w:rFonts w:hint="eastAsia" w:ascii="仿宋" w:hAnsi="仿宋" w:eastAsia="仿宋" w:cs="仿宋"/>
          <w:color w:val="auto"/>
          <w:highlight w:val="none"/>
        </w:rPr>
        <w:t>附件</w:t>
      </w:r>
      <w:bookmarkEnd w:id="195"/>
    </w:p>
    <w:p>
      <w:pPr>
        <w:spacing w:line="360" w:lineRule="auto"/>
        <w:rPr>
          <w:rFonts w:hint="eastAsia" w:ascii="仿宋" w:hAnsi="仿宋" w:eastAsia="仿宋" w:cs="仿宋"/>
          <w:b/>
          <w:color w:val="auto"/>
          <w:sz w:val="24"/>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25"/>
        <w:rPr>
          <w:rFonts w:hint="eastAsia"/>
          <w:color w:val="auto"/>
          <w:highlight w:val="none"/>
        </w:rPr>
      </w:pP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矩形 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MIlhQPoBAAAn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矩形 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dOwWNgAAAAKAQAADwAAAAAAAAABACAAAAAiAAAAZHJzL2Rvd25yZXYu&#10;eG1sUEsBAhQAFAAAAAgAh07iQKszd2r7AQAAJwQAAA4AAAAAAAAAAQAgAAAAJwEAAGRycy9lMm9E&#10;b2MueG1sUEsFBgAAAAAGAAYAWQEAAJQ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360" w:lineRule="auto"/>
        <w:ind w:firstLine="576"/>
        <w:rPr>
          <w:rFonts w:hint="eastAsia" w:ascii="仿宋" w:hAnsi="仿宋" w:eastAsia="仿宋" w:cs="仿宋"/>
          <w:color w:val="auto"/>
          <w:kern w:val="0"/>
          <w:sz w:val="24"/>
          <w:highlight w:val="none"/>
          <w:lang w:val="zh-CN"/>
        </w:rPr>
      </w:pPr>
      <w:bookmarkStart w:id="196"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6"/>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ind w:left="664" w:leftChars="316" w:firstLine="229" w:firstLineChars="95"/>
        <w:rPr>
          <w:rFonts w:hint="eastAsia"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7"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7"/>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5"/>
        <w:rPr>
          <w:rFonts w:hint="eastAsia" w:ascii="仿宋" w:hAnsi="仿宋" w:eastAsia="仿宋" w:cs="仿宋"/>
          <w:b/>
          <w:color w:val="auto"/>
          <w:spacing w:val="6"/>
          <w:sz w:val="32"/>
          <w:szCs w:val="32"/>
          <w:highlight w:val="none"/>
        </w:rPr>
      </w:pPr>
    </w:p>
    <w:p>
      <w:pPr>
        <w:pStyle w:val="26"/>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5"/>
        <w:rPr>
          <w:rFonts w:hint="eastAsia" w:ascii="仿宋" w:hAnsi="仿宋" w:eastAsia="仿宋" w:cs="仿宋"/>
          <w:b/>
          <w:color w:val="auto"/>
          <w:spacing w:val="6"/>
          <w:sz w:val="32"/>
          <w:szCs w:val="32"/>
          <w:highlight w:val="none"/>
        </w:rPr>
      </w:pPr>
    </w:p>
    <w:p>
      <w:pPr>
        <w:pStyle w:val="26"/>
        <w:rPr>
          <w:rFonts w:hint="eastAsia"/>
          <w:color w:val="auto"/>
          <w:highlight w:val="none"/>
        </w:rPr>
      </w:pPr>
    </w:p>
    <w:p>
      <w:pPr>
        <w:spacing w:line="360" w:lineRule="auto"/>
        <w:rPr>
          <w:rFonts w:hint="eastAsia" w:ascii="仿宋" w:hAnsi="仿宋" w:eastAsia="仿宋" w:cs="仿宋"/>
          <w:b/>
          <w:color w:val="auto"/>
          <w:spacing w:val="6"/>
          <w:sz w:val="32"/>
          <w:szCs w:val="32"/>
          <w:highlight w:val="none"/>
        </w:rPr>
      </w:pPr>
      <w:bookmarkStart w:id="198" w:name="OLE_LINK14"/>
      <w:bookmarkStart w:id="199" w:name="OLE_LINK13"/>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8"/>
    <w:bookmarkEnd w:id="199"/>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rPr>
          <w:rFonts w:ascii="仿宋" w:hAnsi="仿宋" w:eastAsia="仿宋" w:cs="仿宋"/>
          <w:b/>
          <w:color w:val="auto"/>
          <w:spacing w:val="6"/>
          <w:sz w:val="32"/>
          <w:szCs w:val="32"/>
          <w:highlight w:val="none"/>
        </w:rPr>
      </w:pPr>
    </w:p>
    <w:p>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cs="宋体"/>
          <w:b/>
          <w:color w:val="auto"/>
          <w:sz w:val="32"/>
          <w:szCs w:val="32"/>
          <w:highlight w:val="none"/>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9"/>
        <w:rPr>
          <w:rFonts w:hint="eastAsia"/>
          <w:color w:val="auto"/>
          <w:highlight w:val="none"/>
          <w:lang w:val="en-US"/>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16"/>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hint="eastAsia" w:ascii="仿宋" w:hAnsi="仿宋" w:eastAsia="仿宋" w:cs="仿宋"/>
                <w:color w:val="auto"/>
                <w:kern w:val="0"/>
                <w:sz w:val="24"/>
                <w:highlight w:val="none"/>
              </w:rPr>
            </w:pP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16"/>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noWrap w:val="0"/>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hint="eastAsia" w:ascii="仿宋" w:hAnsi="仿宋" w:eastAsia="仿宋" w:cs="仿宋"/>
                <w:color w:val="auto"/>
                <w:kern w:val="0"/>
                <w:sz w:val="24"/>
                <w:highlight w:val="none"/>
              </w:rPr>
            </w:pPr>
          </w:p>
        </w:tc>
        <w:tc>
          <w:tcPr>
            <w:tcW w:w="1025" w:type="dxa"/>
            <w:vMerge w:val="continue"/>
            <w:noWrap w:val="0"/>
            <w:vAlign w:val="center"/>
          </w:tcPr>
          <w:p>
            <w:pPr>
              <w:widowControl/>
              <w:jc w:val="left"/>
              <w:rPr>
                <w:rFonts w:hint="eastAsia" w:ascii="仿宋" w:hAnsi="仿宋" w:eastAsia="仿宋" w:cs="仿宋"/>
                <w:color w:val="auto"/>
                <w:kern w:val="0"/>
                <w:sz w:val="24"/>
                <w:highlight w:val="none"/>
              </w:rPr>
            </w:pPr>
          </w:p>
        </w:tc>
        <w:tc>
          <w:tcPr>
            <w:tcW w:w="2836" w:type="dxa"/>
            <w:vMerge w:val="continue"/>
            <w:noWrap w:val="0"/>
            <w:vAlign w:val="center"/>
          </w:tcPr>
          <w:p>
            <w:pPr>
              <w:widowControl/>
              <w:jc w:val="left"/>
              <w:rPr>
                <w:rFonts w:hint="eastAsia" w:ascii="仿宋" w:hAnsi="仿宋" w:eastAsia="仿宋" w:cs="仿宋"/>
                <w:color w:val="auto"/>
                <w:kern w:val="0"/>
                <w:sz w:val="24"/>
                <w:highlight w:val="none"/>
              </w:rPr>
            </w:pPr>
          </w:p>
        </w:tc>
        <w:tc>
          <w:tcPr>
            <w:tcW w:w="60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noWrap w:val="0"/>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p>
      <w:pPr>
        <w:rPr>
          <w:highlight w:val="none"/>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QxGI6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R0sK7e&#10;V90DzKFlYasfLI9polTerg4B0ibFo0CdKuhUPGASU8/6rYmj/uc5RT39Uyw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AEMRiOgIAAHEEAAAOAAAAAAAAAAEAIAAAAB8BAABkcnMvZTJvRG9j&#10;LnhtbFBLBQYAAAAABgAGAFkBAADL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vl6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O1tX7&#10;qnuAObQsbPWD5TFNlMrb1SFA2qR4FKhTBZ2KB0xi6lm/NXHU/zynqKd/iu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nvl685AgAAcQQAAA4AAAAAAAAAAQAgAAAAHwEAAGRycy9lMm9Eb2Mu&#10;eG1sUEsFBgAAAAAGAAYAWQEAAMo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hd3eo6AgAAcQ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oXd3qOgIAAHEEAAAOAAAAAAAAAAEAIAAAAB8BAABkcnMvZTJvRG9j&#10;LnhtbFBLBQYAAAAABgAGAFkBAADL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25dc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BJJopdPz04/vp&#10;58Pp1zeCOwjUWj9D3L1FZOjemQ5jM9x7XEbeXeVU/AUjAj+wjhd5RRcIj4+mk+k0h4vDNxyAnz0+&#10;t86H98IoEo2COvQvycoOGx/60CEkZtNm3UiZeig1aQt69fpt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f25dc5AgAAcQQAAA4AAAAAAAAAAQAgAAAAHwEAAGRycy9lMm9Eb2Mu&#10;eG1sUEsFBgAAAAAGAAYAWQEAAMo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Er5I5AgAAcQ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6hgr0jScYSKlvvRohW7b&#10;nXluTXkETWf6SfGWrxuUsmE+3DGH0UD5eDzhFkslDVKas0VJbdzXf53HeHQMXkpajFpBNV4WJfKD&#10;RicBGAbDDcZ2MPRe3RjMLpqDWpKJCy7IwaycUV/wopYxB1xMc2QqaBjMm9CPO14kF8tlCtpb1+zq&#10;/gLm0LKw0feWxzRRKm+X+wBpk+JRoF4VdCpuMImpZ+dXE0f9z32Kevx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GZEr5I5AgAAcQQAAA4AAAAAAAAAAQAgAAAAHwEAAGRycy9lMm9Eb2Mu&#10;eG1sUEsFBgAAAAAGAAYAWQEAAMo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85</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18"/>
      </w:rPr>
    </w:pPr>
    <w:r>
      <w:fldChar w:fldCharType="begin"/>
    </w:r>
    <w:r>
      <w:rPr>
        <w:rStyle w:val="18"/>
      </w:rPr>
      <w:instrText xml:space="preserve">PAGE  </w:instrText>
    </w:r>
    <w:r>
      <w:fldChar w:fldCharType="end"/>
    </w:r>
  </w:p>
  <w:p>
    <w:pPr>
      <w:pStyle w:val="13"/>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ScF0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Z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WScF05AgAAcQQAAA4AAAAAAAAAAQAgAAAAHwEAAGRycy9lMm9Eb2Mu&#10;eG1sUEsFBgAAAAAGAAYAWQEAAMo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18"/>
      </w:rPr>
    </w:pPr>
    <w:r>
      <w:fldChar w:fldCharType="begin"/>
    </w:r>
    <w:r>
      <w:rPr>
        <w:rStyle w:val="18"/>
      </w:rPr>
      <w:instrText xml:space="preserve">PAGE  </w:instrText>
    </w:r>
    <w:r>
      <w:fldChar w:fldCharType="end"/>
    </w:r>
  </w:p>
  <w:p>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ijic5AgAAcQ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Gijic5AgAAcQQAAA4AAAAAAAAAAQAgAAAAHwEAAGRycy9lMm9Eb2Mu&#10;eG1sUEsFBgAAAAAGAAYAWQEAAMo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6CiY6AgAAc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p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HugomOgIAAHEEAAAOAAAAAAAAAAEAIAAAAB8BAABkcnMvZTJvRG9j&#10;LnhtbFBLBQYAAAAABgAGAFkBAADL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18"/>
      </w:rPr>
    </w:pPr>
    <w:r>
      <w:fldChar w:fldCharType="begin"/>
    </w:r>
    <w:r>
      <w:rPr>
        <w:rStyle w:val="18"/>
      </w:rPr>
      <w:instrText xml:space="preserve">PAGE  </w:instrText>
    </w:r>
    <w:r>
      <w:fldChar w:fldCharType="end"/>
    </w:r>
  </w:p>
  <w:p>
    <w:pPr>
      <w:pStyle w:val="1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IQGM6AgAAc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R0sK7e&#10;V90DzKFlYasfLY9polTerg4B0ibFo0CdKuhUPGASU8/6rYmj/uc5RT39U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mCEBjOgIAAHEEAAAOAAAAAAAAAAEAIAAAAB8BAABkcnMvZTJvRG9j&#10;LnhtbFBLBQYAAAAABgAGAFkBAADL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en6w5AgAAc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O1tX7&#10;qnuAObQsbPTW8pgmSuXt8hAgbVI8CtSpgk7FAyYx9eyyNXHU/zynqKd/is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Xen6w5AgAAcQQAAA4AAAAAAAAAAQAgAAAAHwEAAGRycy9lMm9Eb2Mu&#10;eG1sUEsFBgAAAAAGAAYAWQEAAMo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s1ek6AgAAcQ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kbNXpOgIAAHEEAAAOAAAAAAAAAAEAIAAAAB8BAABkcnMvZTJvRG9j&#10;LnhtbFBLBQYAAAAABgAGAFkBAADLBQ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103</w:t>
                    </w:r>
                    <w:r>
                      <w:fldChar w:fldCharType="end"/>
                    </w:r>
                    <w: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rPr>
        <w:rFonts w:hint="eastAsia" w:eastAsia="仿宋"/>
        <w:lang w:eastAsia="zh-CN"/>
      </w:rPr>
      <w:t>绍兴虬实企业管理咨询有限公司</w:t>
    </w:r>
    <w:r>
      <w:rPr>
        <w:rFonts w:hint="eastAsia" w:ascii="仿宋" w:hAnsi="仿宋" w:eastAsia="仿宋" w:cs="仿宋"/>
      </w:rPr>
      <w:t xml:space="preserve">                                             </w:t>
    </w:r>
    <w:r>
      <w:rPr>
        <w:rFonts w:hint="eastAsia" w:ascii="仿宋" w:hAnsi="仿宋" w:eastAsia="仿宋" w:cs="仿宋"/>
        <w:lang w:eastAsia="zh-CN"/>
      </w:rPr>
      <w:t>招标编号：SXQS-202402-GK016</w:t>
    </w:r>
  </w:p>
  <w:p>
    <w:pPr>
      <w:pStyle w:val="14"/>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rPr>
        <w:rFonts w:hint="eastAsia" w:ascii="仿宋" w:hAnsi="仿宋" w:eastAsia="仿宋" w:cs="仿宋"/>
        <w:lang w:eastAsia="zh-CN"/>
      </w:rPr>
      <w:t>绍兴虬实企业管理咨询有限公司</w:t>
    </w:r>
    <w:r>
      <w:rPr>
        <w:rFonts w:hint="eastAsia" w:ascii="仿宋" w:hAnsi="仿宋" w:eastAsia="仿宋" w:cs="仿宋"/>
      </w:rPr>
      <w:t xml:space="preserve">                                             </w:t>
    </w:r>
    <w:r>
      <w:rPr>
        <w:rFonts w:hint="eastAsia" w:ascii="仿宋" w:hAnsi="仿宋" w:eastAsia="仿宋" w:cs="仿宋"/>
        <w:lang w:eastAsia="zh-CN"/>
      </w:rPr>
      <w:t>招标编号：SXQS-202402-GK016</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rPr>
        <w:rFonts w:hint="eastAsia" w:eastAsia="仿宋"/>
        <w:lang w:eastAsia="zh-CN"/>
      </w:rPr>
      <w:t>绍兴虬实企业管理咨询有限公司</w:t>
    </w:r>
    <w:r>
      <w:rPr>
        <w:rFonts w:hint="eastAsia" w:ascii="仿宋" w:hAnsi="仿宋" w:eastAsia="仿宋" w:cs="仿宋"/>
      </w:rPr>
      <w:t xml:space="preserve">                                             </w:t>
    </w:r>
    <w:r>
      <w:rPr>
        <w:rFonts w:hint="eastAsia" w:ascii="仿宋" w:hAnsi="仿宋" w:eastAsia="仿宋" w:cs="仿宋"/>
        <w:lang w:eastAsia="zh-CN"/>
      </w:rPr>
      <w:t>招标编号：SXQS-202402-GK016</w:t>
    </w:r>
    <w:r>
      <w:rPr>
        <w:rFonts w:hint="eastAsia" w:ascii="仿宋" w:hAnsi="仿宋" w:eastAsia="仿宋" w:cs="仿宋"/>
      </w:rPr>
      <w:t xml:space="preserve">      </w:t>
    </w:r>
  </w:p>
  <w:p>
    <w:pPr>
      <w:pStyle w:val="14"/>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t></w:t>
    </w:r>
    <w:r>
      <w:rPr>
        <w:rFonts w:hint="eastAsia" w:eastAsia="仿宋"/>
        <w:lang w:eastAsia="zh-CN"/>
      </w:rPr>
      <w:t>绍兴虬实企业管理咨询有限公司</w:t>
    </w:r>
    <w:r>
      <w:rPr>
        <w:rFonts w:hint="eastAsia" w:ascii="仿宋" w:hAnsi="仿宋" w:eastAsia="仿宋" w:cs="仿宋"/>
      </w:rPr>
      <w:t xml:space="preserve">                                          </w:t>
    </w:r>
    <w:r>
      <w:rPr>
        <w:rFonts w:hint="eastAsia" w:ascii="仿宋" w:hAnsi="仿宋" w:eastAsia="仿宋" w:cs="仿宋"/>
        <w:lang w:eastAsia="zh-CN"/>
      </w:rPr>
      <w:t>招标编号：SXQS-202402-GK016</w:t>
    </w:r>
    <w:r>
      <w:rPr>
        <w:rFonts w:ascii="仿宋" w:hAnsi="仿宋" w:eastAsia="仿宋" w:cs="仿宋"/>
      </w:rPr>
      <w:t xml:space="preserve"> </w:t>
    </w:r>
    <w:r>
      <w:rPr>
        <w:rFonts w:hint="eastAsia" w:ascii="仿宋" w:hAnsi="仿宋" w:eastAsia="仿宋" w:cs="仿宋"/>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rPr>
        <w:rFonts w:hint="eastAsia"/>
      </w:rPr>
      <w:t xml:space="preserve"> </w:t>
    </w:r>
    <w:r>
      <w:rPr>
        <w:rFonts w:hint="eastAsia" w:eastAsia="仿宋"/>
        <w:lang w:eastAsia="zh-CN"/>
      </w:rPr>
      <w:t>绍兴虬实企业管理咨询有限公司</w:t>
    </w:r>
    <w:r>
      <w:rPr>
        <w:rFonts w:hint="eastAsia" w:ascii="仿宋" w:hAnsi="仿宋" w:eastAsia="仿宋" w:cs="仿宋"/>
      </w:rPr>
      <w:t xml:space="preserve">                                                                </w:t>
    </w:r>
    <w:r>
      <w:rPr>
        <w:rFonts w:hint="eastAsia" w:ascii="仿宋" w:hAnsi="仿宋" w:eastAsia="仿宋" w:cs="仿宋"/>
        <w:lang w:eastAsia="zh-CN"/>
      </w:rPr>
      <w:t>招标编号：SXQS-202402-GK016</w:t>
    </w:r>
    <w:r>
      <w:rPr>
        <w:rFonts w:ascii="仿宋" w:hAnsi="仿宋" w:eastAsia="仿宋" w:cs="仿宋"/>
      </w:rPr>
      <w:t xml:space="preserve"> </w:t>
    </w:r>
    <w:r>
      <w:rPr>
        <w:rFonts w:hint="eastAsia" w:ascii="仿宋" w:hAnsi="仿宋" w:eastAsia="仿宋" w:cs="仿宋"/>
      </w:rPr>
      <w:t xml:space="preserve">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ascii="仿宋_GB2312" w:eastAsia="仿宋_GB2312"/>
        <w:i/>
        <w:u w:val="single"/>
      </w:rPr>
    </w:pPr>
    <w:r>
      <w:t></w:t>
    </w:r>
    <w:r>
      <w:rPr>
        <w:rFonts w:hint="eastAsia" w:eastAsia="仿宋"/>
        <w:lang w:eastAsia="zh-CN"/>
      </w:rPr>
      <w:t>绍兴虬实企业管理咨询有限公司</w:t>
    </w:r>
    <w:r>
      <w:rPr>
        <w:rFonts w:hint="eastAsia" w:ascii="仿宋" w:hAnsi="仿宋" w:eastAsia="仿宋" w:cs="仿宋"/>
      </w:rPr>
      <w:t xml:space="preserve">                                               </w:t>
    </w:r>
    <w:r>
      <w:rPr>
        <w:rFonts w:hint="eastAsia" w:ascii="仿宋" w:hAnsi="仿宋" w:eastAsia="仿宋" w:cs="仿宋"/>
        <w:lang w:eastAsia="zh-CN"/>
      </w:rPr>
      <w:t>招标编号：SXQS-202402-GK016</w:t>
    </w:r>
    <w:r>
      <w:rPr>
        <w:rFonts w:ascii="仿宋" w:hAnsi="仿宋" w:eastAsia="仿宋" w:cs="仿宋"/>
      </w:rPr>
      <w:t xml:space="preserve"> </w:t>
    </w:r>
    <w:r>
      <w:rPr>
        <w:rFonts w:hint="eastAsia" w:ascii="仿宋" w:hAnsi="仿宋" w:eastAsia="仿宋" w:cs="仿宋"/>
      </w:rPr>
      <w:t xml:space="preserve">                                                                                 </w:t>
    </w:r>
  </w:p>
  <w:p>
    <w:pPr>
      <w:pStyle w:val="14"/>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rPr>
        <w:rFonts w:hint="eastAsia" w:ascii="仿宋_GB2312" w:eastAsia="仿宋_GB2312"/>
        <w:i/>
        <w:u w:val="single"/>
      </w:rPr>
    </w:pPr>
    <w:r>
      <w:rPr>
        <w:rFonts w:hint="eastAsia" w:eastAsia="仿宋"/>
        <w:lang w:eastAsia="zh-CN"/>
      </w:rPr>
      <w:t>绍兴虬实企业管理咨询有限公司</w:t>
    </w:r>
    <w:r>
      <w:rPr>
        <w:rFonts w:hint="eastAsia" w:ascii="仿宋" w:hAnsi="仿宋" w:eastAsia="仿宋" w:cs="仿宋"/>
      </w:rPr>
      <w:t xml:space="preserve">                                            </w:t>
    </w:r>
    <w:r>
      <w:rPr>
        <w:rFonts w:hint="eastAsia" w:ascii="仿宋" w:hAnsi="仿宋" w:eastAsia="仿宋" w:cs="仿宋"/>
        <w:lang w:eastAsia="zh-CN"/>
      </w:rPr>
      <w:t>招标编号：SXQS-202402-GK016</w:t>
    </w:r>
    <w:r>
      <w:rPr>
        <w:rFonts w:ascii="仿宋" w:hAnsi="仿宋" w:eastAsia="仿宋" w:cs="仿宋"/>
      </w:rPr>
      <w:t xml:space="preserve"> </w:t>
    </w:r>
    <w:r>
      <w:rPr>
        <w:rFonts w:hint="eastAsia" w:ascii="仿宋" w:hAnsi="仿宋" w:eastAsia="仿宋" w:cs="仿宋"/>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r>
      <w:rPr>
        <w:rFonts w:hint="eastAsia" w:eastAsia="仿宋"/>
        <w:lang w:eastAsia="zh-CN"/>
      </w:rPr>
      <w:t>绍兴虬实企业管理咨询有限公司</w:t>
    </w:r>
    <w:r>
      <w:rPr>
        <w:rFonts w:hint="eastAsia" w:ascii="仿宋" w:hAnsi="仿宋" w:eastAsia="仿宋" w:cs="仿宋"/>
      </w:rPr>
      <w:t xml:space="preserve">                                                </w:t>
    </w:r>
    <w:r>
      <w:rPr>
        <w:rFonts w:hint="eastAsia" w:ascii="仿宋" w:hAnsi="仿宋" w:eastAsia="仿宋" w:cs="仿宋"/>
        <w:lang w:eastAsia="zh-CN"/>
      </w:rPr>
      <w:t>招标编号：SXQS-202402-GK016</w:t>
    </w:r>
    <w:r>
      <w:rPr>
        <w:rFonts w:ascii="仿宋" w:hAnsi="仿宋" w:eastAsia="仿宋" w:cs="仿宋"/>
      </w:rPr>
      <w:t xml:space="preserve"> </w:t>
    </w:r>
    <w:r>
      <w:rPr>
        <w:rFonts w:hint="eastAsia" w:ascii="仿宋" w:hAnsi="仿宋" w:eastAsia="仿宋" w:cs="仿宋"/>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7371B8"/>
    <w:multiLevelType w:val="multilevel"/>
    <w:tmpl w:val="DA7371B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06D4E0D"/>
    <w:multiLevelType w:val="singleLevel"/>
    <w:tmpl w:val="106D4E0D"/>
    <w:lvl w:ilvl="0" w:tentative="0">
      <w:start w:val="1"/>
      <w:numFmt w:val="decimal"/>
      <w:pStyle w:val="5"/>
      <w:lvlText w:val="%1."/>
      <w:lvlJc w:val="left"/>
      <w:pPr>
        <w:tabs>
          <w:tab w:val="left" w:pos="780"/>
        </w:tabs>
        <w:ind w:left="780" w:hanging="360"/>
      </w:pPr>
    </w:lvl>
  </w:abstractNum>
  <w:abstractNum w:abstractNumId="4">
    <w:nsid w:val="24EA2069"/>
    <w:multiLevelType w:val="singleLevel"/>
    <w:tmpl w:val="24EA2069"/>
    <w:lvl w:ilvl="0" w:tentative="0">
      <w:start w:val="1"/>
      <w:numFmt w:val="decimal"/>
      <w:suff w:val="nothing"/>
      <w:lvlText w:val="（%1）"/>
      <w:lvlJc w:val="left"/>
    </w:lvl>
  </w:abstractNum>
  <w:abstractNum w:abstractNumId="5">
    <w:nsid w:val="2FB1655F"/>
    <w:multiLevelType w:val="singleLevel"/>
    <w:tmpl w:val="2FB1655F"/>
    <w:lvl w:ilvl="0" w:tentative="0">
      <w:start w:val="6"/>
      <w:numFmt w:val="decimal"/>
      <w:suff w:val="nothing"/>
      <w:lvlText w:val="%1、"/>
      <w:lvlJc w:val="left"/>
    </w:lvl>
  </w:abstractNum>
  <w:abstractNum w:abstractNumId="6">
    <w:nsid w:val="3C9A53F6"/>
    <w:multiLevelType w:val="singleLevel"/>
    <w:tmpl w:val="3C9A53F6"/>
    <w:lvl w:ilvl="0" w:tentative="0">
      <w:start w:val="1"/>
      <w:numFmt w:val="decimal"/>
      <w:pStyle w:val="11"/>
      <w:lvlText w:val="%1."/>
      <w:lvlJc w:val="left"/>
      <w:pPr>
        <w:tabs>
          <w:tab w:val="left" w:pos="1200"/>
        </w:tabs>
        <w:ind w:left="1200" w:hanging="360"/>
      </w:pPr>
    </w:lvl>
  </w:abstractNum>
  <w:abstractNum w:abstractNumId="7">
    <w:nsid w:val="4D768425"/>
    <w:multiLevelType w:val="singleLevel"/>
    <w:tmpl w:val="4D768425"/>
    <w:lvl w:ilvl="0" w:tentative="0">
      <w:start w:val="8"/>
      <w:numFmt w:val="decimal"/>
      <w:lvlText w:val="%1."/>
      <w:lvlJc w:val="left"/>
      <w:pPr>
        <w:tabs>
          <w:tab w:val="left" w:pos="312"/>
        </w:tabs>
      </w:pPr>
    </w:lvl>
  </w:abstractNum>
  <w:abstractNum w:abstractNumId="8">
    <w:nsid w:val="57F0E3B8"/>
    <w:multiLevelType w:val="multilevel"/>
    <w:tmpl w:val="57F0E3B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701134F0"/>
    <w:multiLevelType w:val="singleLevel"/>
    <w:tmpl w:val="701134F0"/>
    <w:lvl w:ilvl="0" w:tentative="0">
      <w:start w:val="1"/>
      <w:numFmt w:val="decimal"/>
      <w:pStyle w:val="6"/>
      <w:lvlText w:val="%1."/>
      <w:lvlJc w:val="left"/>
      <w:pPr>
        <w:tabs>
          <w:tab w:val="left" w:pos="360"/>
        </w:tabs>
        <w:ind w:left="360" w:hanging="360"/>
      </w:pPr>
    </w:lvl>
  </w:abstractNum>
  <w:num w:numId="1">
    <w:abstractNumId w:val="3"/>
  </w:num>
  <w:num w:numId="2">
    <w:abstractNumId w:val="9"/>
  </w:num>
  <w:num w:numId="3">
    <w:abstractNumId w:val="6"/>
  </w:num>
  <w:num w:numId="4">
    <w:abstractNumId w:val="4"/>
  </w:num>
  <w:num w:numId="5">
    <w:abstractNumId w:val="7"/>
  </w:num>
  <w:num w:numId="6">
    <w:abstractNumId w:val="8"/>
  </w:num>
  <w:num w:numId="7">
    <w:abstractNumId w:val="5"/>
  </w:num>
  <w:num w:numId="8">
    <w:abstractNumId w:val="0"/>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RmZmJmYmM3ZmI4YzdhZjM2MjExOGEwYWVlNDI0MWMifQ=="/>
  </w:docVars>
  <w:rsids>
    <w:rsidRoot w:val="68D93349"/>
    <w:rsid w:val="007E57A9"/>
    <w:rsid w:val="03AD7205"/>
    <w:rsid w:val="078B414B"/>
    <w:rsid w:val="149116DD"/>
    <w:rsid w:val="18FB56A9"/>
    <w:rsid w:val="1F321DDB"/>
    <w:rsid w:val="248A4B1E"/>
    <w:rsid w:val="2D962164"/>
    <w:rsid w:val="304F1D0E"/>
    <w:rsid w:val="33221F3E"/>
    <w:rsid w:val="3ADD0722"/>
    <w:rsid w:val="439508F1"/>
    <w:rsid w:val="46A01BE3"/>
    <w:rsid w:val="4BB90FAF"/>
    <w:rsid w:val="5B355BAF"/>
    <w:rsid w:val="652A54C7"/>
    <w:rsid w:val="67560F9E"/>
    <w:rsid w:val="68D93349"/>
    <w:rsid w:val="6F9E74B6"/>
    <w:rsid w:val="745919DD"/>
    <w:rsid w:val="753B5A47"/>
    <w:rsid w:val="782B15BC"/>
    <w:rsid w:val="79EE21E0"/>
    <w:rsid w:val="7D3E0858"/>
    <w:rsid w:val="7E4E2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7">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customStyle="1" w:styleId="2">
    <w:name w:val="首行缩进"/>
    <w:basedOn w:val="1"/>
    <w:autoRedefine/>
    <w:qFormat/>
    <w:uiPriority w:val="99"/>
    <w:pPr>
      <w:spacing w:line="360" w:lineRule="auto"/>
      <w:ind w:firstLine="480" w:firstLineChars="200"/>
    </w:pPr>
    <w:rPr>
      <w:sz w:val="24"/>
      <w:szCs w:val="22"/>
      <w:lang w:val="zh-CN"/>
    </w:rPr>
  </w:style>
  <w:style w:type="paragraph" w:styleId="5">
    <w:name w:val="List Number 2"/>
    <w:basedOn w:val="1"/>
    <w:autoRedefine/>
    <w:qFormat/>
    <w:uiPriority w:val="0"/>
    <w:pPr>
      <w:numPr>
        <w:ilvl w:val="0"/>
        <w:numId w:val="1"/>
      </w:numPr>
    </w:pPr>
  </w:style>
  <w:style w:type="paragraph" w:styleId="6">
    <w:name w:val="List Number"/>
    <w:basedOn w:val="1"/>
    <w:autoRedefine/>
    <w:qFormat/>
    <w:uiPriority w:val="0"/>
    <w:pPr>
      <w:numPr>
        <w:ilvl w:val="0"/>
        <w:numId w:val="2"/>
      </w:numPr>
    </w:pPr>
  </w:style>
  <w:style w:type="paragraph" w:styleId="7">
    <w:name w:val="Normal Indent"/>
    <w:basedOn w:val="1"/>
    <w:next w:val="1"/>
    <w:autoRedefine/>
    <w:qFormat/>
    <w:uiPriority w:val="0"/>
    <w:pPr>
      <w:widowControl/>
      <w:snapToGrid w:val="0"/>
      <w:spacing w:line="480" w:lineRule="exact"/>
      <w:ind w:firstLine="567"/>
    </w:pPr>
    <w:rPr>
      <w:rFonts w:ascii="宋体"/>
      <w:snapToGrid w:val="0"/>
      <w:color w:val="000000"/>
      <w:kern w:val="28"/>
      <w:sz w:val="28"/>
      <w:szCs w:val="20"/>
    </w:rPr>
  </w:style>
  <w:style w:type="paragraph" w:styleId="8">
    <w:name w:val="annotation text"/>
    <w:basedOn w:val="1"/>
    <w:qFormat/>
    <w:uiPriority w:val="0"/>
    <w:pPr>
      <w:jc w:val="left"/>
    </w:pPr>
  </w:style>
  <w:style w:type="paragraph" w:styleId="9">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10">
    <w:name w:val="Body Text Indent"/>
    <w:basedOn w:val="1"/>
    <w:next w:val="1"/>
    <w:autoRedefine/>
    <w:qFormat/>
    <w:uiPriority w:val="0"/>
    <w:pPr>
      <w:spacing w:line="480" w:lineRule="exact"/>
      <w:ind w:firstLine="480" w:firstLineChars="200"/>
    </w:pPr>
    <w:rPr>
      <w:rFonts w:ascii="宋体" w:hAnsi="宋体"/>
      <w:sz w:val="24"/>
    </w:rPr>
  </w:style>
  <w:style w:type="paragraph" w:styleId="11">
    <w:name w:val="List Number 3"/>
    <w:basedOn w:val="1"/>
    <w:autoRedefine/>
    <w:qFormat/>
    <w:uiPriority w:val="0"/>
    <w:pPr>
      <w:numPr>
        <w:ilvl w:val="0"/>
        <w:numId w:val="3"/>
      </w:numPr>
    </w:pPr>
  </w:style>
  <w:style w:type="paragraph" w:styleId="12">
    <w:name w:val="Plain Text"/>
    <w:basedOn w:val="1"/>
    <w:autoRedefine/>
    <w:qFormat/>
    <w:uiPriority w:val="0"/>
    <w:rPr>
      <w:rFonts w:ascii="宋体" w:hAnsi="Courier New" w:cs="Arial"/>
      <w:snapToGrid w:val="0"/>
      <w:szCs w:val="21"/>
    </w:rPr>
  </w:style>
  <w:style w:type="paragraph" w:styleId="13">
    <w:name w:val="footer"/>
    <w:basedOn w:val="1"/>
    <w:autoRedefine/>
    <w:qFormat/>
    <w:uiPriority w:val="99"/>
    <w:pPr>
      <w:tabs>
        <w:tab w:val="center" w:pos="4153"/>
        <w:tab w:val="right" w:pos="8306"/>
      </w:tabs>
      <w:snapToGrid w:val="0"/>
      <w:jc w:val="left"/>
    </w:pPr>
    <w:rPr>
      <w:sz w:val="18"/>
      <w:szCs w:val="18"/>
    </w:rPr>
  </w:style>
  <w:style w:type="paragraph" w:styleId="14">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5">
    <w:name w:val="Title"/>
    <w:basedOn w:val="1"/>
    <w:autoRedefine/>
    <w:qFormat/>
    <w:uiPriority w:val="10"/>
    <w:pPr>
      <w:widowControl/>
      <w:overflowPunct w:val="0"/>
      <w:autoSpaceDE w:val="0"/>
      <w:autoSpaceDN w:val="0"/>
      <w:jc w:val="center"/>
      <w:textAlignment w:val="baseline"/>
    </w:pPr>
    <w:rPr>
      <w:b/>
      <w:kern w:val="0"/>
      <w:sz w:val="24"/>
      <w:szCs w:val="20"/>
      <w:lang w:val="en-GB"/>
    </w:rPr>
  </w:style>
  <w:style w:type="character" w:styleId="18">
    <w:name w:val="page number"/>
    <w:autoRedefine/>
    <w:qFormat/>
    <w:uiPriority w:val="0"/>
    <w:rPr>
      <w:rFonts w:ascii="Arial" w:hAnsi="Arial" w:eastAsia="黑体" w:cs="Arial"/>
      <w:snapToGrid w:val="0"/>
      <w:kern w:val="0"/>
      <w:szCs w:val="21"/>
    </w:rPr>
  </w:style>
  <w:style w:type="character" w:styleId="19">
    <w:name w:val="Hyperlink"/>
    <w:autoRedefine/>
    <w:qFormat/>
    <w:uiPriority w:val="99"/>
    <w:rPr>
      <w:rFonts w:ascii="Arial" w:hAnsi="Arial" w:eastAsia="黑体" w:cs="Arial"/>
      <w:snapToGrid w:val="0"/>
      <w:color w:val="000000"/>
      <w:kern w:val="0"/>
      <w:sz w:val="18"/>
      <w:szCs w:val="18"/>
      <w:u w:val="none"/>
    </w:rPr>
  </w:style>
  <w:style w:type="paragraph" w:customStyle="1" w:styleId="20">
    <w:name w:val="标题 31"/>
    <w:basedOn w:val="1"/>
    <w:next w:val="1"/>
    <w:autoRedefine/>
    <w:qFormat/>
    <w:uiPriority w:val="9"/>
    <w:pPr>
      <w:keepNext/>
      <w:keepLines/>
      <w:spacing w:before="260" w:after="260" w:line="412" w:lineRule="auto"/>
      <w:outlineLvl w:val="2"/>
    </w:pPr>
    <w:rPr>
      <w:b/>
      <w:bCs/>
      <w:sz w:val="32"/>
      <w:szCs w:val="32"/>
    </w:rPr>
  </w:style>
  <w:style w:type="paragraph" w:customStyle="1" w:styleId="21">
    <w:name w:val="纯文本1"/>
    <w:basedOn w:val="1"/>
    <w:autoRedefine/>
    <w:qFormat/>
    <w:uiPriority w:val="0"/>
    <w:pPr>
      <w:adjustRightInd/>
    </w:pPr>
    <w:rPr>
      <w:rFonts w:ascii="宋体" w:hAnsi="Courier New"/>
      <w:kern w:val="0"/>
      <w:sz w:val="20"/>
      <w:szCs w:val="20"/>
    </w:rPr>
  </w:style>
  <w:style w:type="paragraph" w:customStyle="1" w:styleId="22">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23">
    <w:name w:val="正文段"/>
    <w:basedOn w:val="1"/>
    <w:autoRedefine/>
    <w:qFormat/>
    <w:uiPriority w:val="0"/>
    <w:pPr>
      <w:widowControl/>
      <w:snapToGrid w:val="0"/>
      <w:spacing w:after="156" w:afterLines="50"/>
      <w:ind w:firstLine="200" w:firstLineChars="200"/>
    </w:pPr>
    <w:rPr>
      <w:kern w:val="0"/>
      <w:sz w:val="24"/>
      <w:szCs w:val="20"/>
    </w:rPr>
  </w:style>
  <w:style w:type="character" w:customStyle="1" w:styleId="24">
    <w:name w:val="NormalCharacter"/>
    <w:autoRedefine/>
    <w:semiHidden/>
    <w:qFormat/>
    <w:uiPriority w:val="0"/>
  </w:style>
  <w:style w:type="paragraph" w:customStyle="1" w:styleId="25">
    <w:name w:val="Default"/>
    <w:next w:val="2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6">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27">
    <w:name w:val="正文2"/>
    <w:basedOn w:val="1"/>
    <w:autoRedefine/>
    <w:qFormat/>
    <w:uiPriority w:val="0"/>
    <w:pPr>
      <w:spacing w:before="156" w:line="360" w:lineRule="auto"/>
      <w:ind w:firstLine="510" w:firstLineChars="200"/>
    </w:pPr>
    <w:rPr>
      <w:sz w:val="24"/>
      <w:szCs w:val="20"/>
    </w:rPr>
  </w:style>
  <w:style w:type="paragraph" w:customStyle="1" w:styleId="28">
    <w:name w:val="正文缩进1"/>
    <w:basedOn w:val="1"/>
    <w:next w:val="10"/>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9">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paragraph" w:customStyle="1" w:styleId="30">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3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27</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2024-02-19T01:59:00Z</dcterms:created>
  <dc:creator>豆浆</dc:creator>
  <cp:lastModifiedBy>豆浆</cp:lastModifiedBy>
  <dcterms:modified xsi:type="dcterms:W3CDTF">2024-03-05T09:01:06Z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26EA43E4AA154E5488048BE94DEE917F_13</vt:lpwstr>
  </property>
</Properties>
</file>