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bCs/>
          <w:color w:val="auto"/>
          <w:sz w:val="48"/>
          <w:szCs w:val="48"/>
        </w:rPr>
      </w:pPr>
      <w:bookmarkStart w:id="533" w:name="_GoBack"/>
      <w:bookmarkEnd w:id="533"/>
    </w:p>
    <w:p>
      <w:pPr>
        <w:pStyle w:val="7"/>
        <w:rPr>
          <w:rFonts w:hint="eastAsia" w:ascii="宋体" w:hAnsi="宋体" w:eastAsia="宋体" w:cs="宋体"/>
          <w:bCs/>
          <w:color w:val="auto"/>
          <w:sz w:val="48"/>
          <w:szCs w:val="48"/>
          <w:lang w:eastAsia="zh-CN"/>
        </w:rPr>
      </w:pPr>
      <w:r>
        <w:rPr>
          <w:rFonts w:hint="eastAsia" w:eastAsia="宋体" w:cs="宋体"/>
          <w:bCs/>
          <w:color w:val="auto"/>
          <w:sz w:val="48"/>
          <w:szCs w:val="48"/>
          <w:lang w:eastAsia="zh-CN"/>
        </w:rPr>
        <w:t>丰惠镇城镇环境卫生保洁服务采购</w:t>
      </w:r>
    </w:p>
    <w:p>
      <w:pPr>
        <w:rPr>
          <w:rFonts w:hint="eastAsia" w:ascii="宋体" w:hAnsi="宋体" w:eastAsia="宋体" w:cs="宋体"/>
          <w:color w:val="auto"/>
        </w:rPr>
      </w:pPr>
    </w:p>
    <w:p>
      <w:pPr>
        <w:spacing w:line="360" w:lineRule="auto"/>
        <w:rPr>
          <w:rFonts w:hint="eastAsia" w:ascii="宋体" w:hAnsi="宋体" w:eastAsia="宋体" w:cs="宋体"/>
          <w:b/>
          <w:color w:val="auto"/>
          <w:sz w:val="72"/>
          <w:szCs w:val="72"/>
        </w:rPr>
      </w:pPr>
    </w:p>
    <w:p>
      <w:pPr>
        <w:spacing w:line="360" w:lineRule="auto"/>
        <w:jc w:val="center"/>
        <w:rPr>
          <w:rFonts w:hint="eastAsia" w:ascii="宋体" w:hAnsi="宋体" w:eastAsia="宋体" w:cs="宋体"/>
          <w:b/>
          <w:color w:val="auto"/>
          <w:sz w:val="72"/>
          <w:szCs w:val="72"/>
        </w:rPr>
      </w:pPr>
    </w:p>
    <w:p>
      <w:pPr>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招标文件</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napToGrid w:val="0"/>
        <w:spacing w:line="360" w:lineRule="auto"/>
        <w:jc w:val="center"/>
        <w:rPr>
          <w:rFonts w:hint="eastAsia" w:ascii="宋体" w:hAnsi="宋体" w:eastAsia="宋体" w:cs="宋体"/>
          <w:color w:val="auto"/>
          <w:sz w:val="30"/>
          <w:szCs w:val="30"/>
          <w:u w:val="single"/>
          <w:lang w:eastAsia="zh-CN"/>
        </w:rPr>
      </w:pPr>
      <w:r>
        <w:rPr>
          <w:rFonts w:hint="eastAsia" w:ascii="宋体" w:hAnsi="宋体" w:eastAsia="宋体" w:cs="宋体"/>
          <w:color w:val="auto"/>
          <w:sz w:val="30"/>
          <w:szCs w:val="30"/>
        </w:rPr>
        <w:t>招标编号：</w:t>
      </w:r>
      <w:r>
        <w:rPr>
          <w:rFonts w:hint="eastAsia" w:ascii="宋体" w:hAnsi="宋体" w:eastAsia="宋体" w:cs="宋体"/>
          <w:color w:val="auto"/>
          <w:sz w:val="30"/>
          <w:szCs w:val="30"/>
          <w:lang w:eastAsia="zh-CN"/>
        </w:rPr>
        <w:t>FS202200</w:t>
      </w:r>
      <w:r>
        <w:rPr>
          <w:rFonts w:hint="eastAsia" w:ascii="宋体" w:hAnsi="宋体" w:eastAsia="宋体" w:cs="宋体"/>
          <w:color w:val="auto"/>
          <w:sz w:val="30"/>
          <w:szCs w:val="30"/>
          <w:lang w:val="en-US" w:eastAsia="zh-CN"/>
        </w:rPr>
        <w:t>8</w:t>
      </w:r>
    </w:p>
    <w:p>
      <w:pPr>
        <w:snapToGrid w:val="0"/>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采购人式：公开招标</w:t>
      </w:r>
    </w:p>
    <w:p>
      <w:pPr>
        <w:spacing w:line="360" w:lineRule="auto"/>
        <w:rPr>
          <w:rFonts w:hint="eastAsia" w:ascii="宋体" w:hAnsi="宋体" w:eastAsia="宋体" w:cs="宋体"/>
          <w:color w:val="auto"/>
          <w:sz w:val="28"/>
          <w:szCs w:val="20"/>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rPr>
          <w:rFonts w:hint="eastAsia" w:ascii="宋体" w:hAnsi="宋体" w:eastAsia="宋体" w:cs="宋体"/>
          <w:color w:val="auto"/>
          <w:sz w:val="24"/>
          <w:lang w:eastAsia="zh-CN"/>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napToGrid w:val="0"/>
        <w:spacing w:line="360" w:lineRule="auto"/>
        <w:ind w:firstLine="900" w:firstLineChars="300"/>
        <w:rPr>
          <w:rFonts w:hint="eastAsia" w:ascii="宋体" w:hAnsi="宋体" w:eastAsia="宋体" w:cs="宋体"/>
          <w:color w:val="auto"/>
          <w:lang w:eastAsia="zh-CN"/>
        </w:rPr>
      </w:pPr>
      <w:r>
        <w:rPr>
          <w:rFonts w:hint="eastAsia" w:ascii="宋体" w:hAnsi="宋体" w:eastAsia="宋体" w:cs="宋体"/>
          <w:color w:val="auto"/>
          <w:sz w:val="30"/>
        </w:rPr>
        <w:t>采   购   人：</w:t>
      </w:r>
      <w:r>
        <w:rPr>
          <w:rFonts w:hint="eastAsia" w:ascii="宋体" w:hAnsi="宋体" w:eastAsia="宋体" w:cs="宋体"/>
          <w:color w:val="auto"/>
          <w:sz w:val="30"/>
          <w:lang w:eastAsia="zh-CN"/>
        </w:rPr>
        <w:t>上虞区丰惠镇人民政府</w:t>
      </w:r>
    </w:p>
    <w:p>
      <w:pPr>
        <w:snapToGrid w:val="0"/>
        <w:spacing w:line="360" w:lineRule="auto"/>
        <w:ind w:firstLine="900" w:firstLineChars="300"/>
        <w:rPr>
          <w:rFonts w:hint="eastAsia" w:ascii="宋体" w:hAnsi="宋体" w:eastAsia="宋体" w:cs="宋体"/>
          <w:color w:val="auto"/>
          <w:sz w:val="30"/>
        </w:rPr>
      </w:pPr>
      <w:r>
        <w:rPr>
          <w:rFonts w:hint="eastAsia" w:ascii="宋体" w:hAnsi="宋体" w:eastAsia="宋体" w:cs="宋体"/>
          <w:color w:val="auto"/>
          <w:sz w:val="30"/>
        </w:rPr>
        <w:t>采购代理机构：浙江宇康工程管理咨询有限公司</w:t>
      </w:r>
    </w:p>
    <w:p>
      <w:pPr>
        <w:spacing w:line="360" w:lineRule="auto"/>
        <w:rPr>
          <w:rFonts w:hint="eastAsia" w:ascii="宋体" w:hAnsi="宋体" w:eastAsia="宋体" w:cs="宋体"/>
          <w:color w:val="auto"/>
          <w:sz w:val="24"/>
        </w:rPr>
      </w:pPr>
      <w:bookmarkStart w:id="0" w:name="_Hlt67893495"/>
      <w:bookmarkEnd w:id="0"/>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pStyle w:val="2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bookmarkStart w:id="1" w:name="_Hlt91233176"/>
      <w:bookmarkEnd w:id="1"/>
      <w:bookmarkStart w:id="2" w:name="_Toc91899869"/>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_Toc5131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第一部分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招标公告</w:t>
      </w:r>
      <w:r>
        <w:rPr>
          <w:color w:val="auto"/>
          <w:sz w:val="24"/>
          <w:szCs w:val="24"/>
        </w:rPr>
        <w:tab/>
      </w:r>
      <w:r>
        <w:rPr>
          <w:color w:val="auto"/>
          <w:sz w:val="24"/>
          <w:szCs w:val="24"/>
        </w:rPr>
        <w:fldChar w:fldCharType="begin"/>
      </w:r>
      <w:r>
        <w:rPr>
          <w:color w:val="auto"/>
          <w:sz w:val="24"/>
          <w:szCs w:val="24"/>
        </w:rPr>
        <w:instrText xml:space="preserve"> PAGEREF _Toc5131 \h </w:instrText>
      </w:r>
      <w:r>
        <w:rPr>
          <w:color w:val="auto"/>
          <w:sz w:val="24"/>
          <w:szCs w:val="24"/>
        </w:rPr>
        <w:fldChar w:fldCharType="separate"/>
      </w:r>
      <w:r>
        <w:rPr>
          <w:color w:val="auto"/>
          <w:sz w:val="24"/>
          <w:szCs w:val="24"/>
        </w:rPr>
        <w:t>3</w:t>
      </w:r>
      <w:r>
        <w:rPr>
          <w:color w:val="auto"/>
          <w:sz w:val="24"/>
          <w:szCs w:val="24"/>
        </w:rPr>
        <w:fldChar w:fldCharType="end"/>
      </w:r>
      <w:r>
        <w:rPr>
          <w:rFonts w:hint="eastAsia" w:ascii="宋体" w:hAnsi="宋体" w:eastAsia="宋体" w:cs="宋体"/>
          <w:color w:val="auto"/>
          <w:sz w:val="24"/>
          <w:szCs w:val="24"/>
        </w:rP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_Toc7203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第二部分   投标须知</w:t>
      </w:r>
      <w:r>
        <w:rPr>
          <w:color w:val="auto"/>
          <w:sz w:val="24"/>
          <w:szCs w:val="24"/>
        </w:rPr>
        <w:tab/>
      </w:r>
      <w:r>
        <w:rPr>
          <w:color w:val="auto"/>
          <w:sz w:val="24"/>
          <w:szCs w:val="24"/>
        </w:rPr>
        <w:fldChar w:fldCharType="begin"/>
      </w:r>
      <w:r>
        <w:rPr>
          <w:color w:val="auto"/>
          <w:sz w:val="24"/>
          <w:szCs w:val="24"/>
        </w:rPr>
        <w:instrText xml:space="preserve"> PAGEREF _Toc7203 \h </w:instrText>
      </w:r>
      <w:r>
        <w:rPr>
          <w:color w:val="auto"/>
          <w:sz w:val="24"/>
          <w:szCs w:val="24"/>
        </w:rPr>
        <w:fldChar w:fldCharType="separate"/>
      </w:r>
      <w:r>
        <w:rPr>
          <w:color w:val="auto"/>
          <w:sz w:val="24"/>
          <w:szCs w:val="24"/>
        </w:rPr>
        <w:t>7</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_Toc11679 </w:instrText>
      </w:r>
      <w:r>
        <w:rPr>
          <w:rFonts w:hint="eastAsia" w:ascii="宋体" w:hAnsi="宋体" w:eastAsia="宋体" w:cs="宋体"/>
          <w:color w:val="auto"/>
          <w:sz w:val="24"/>
          <w:szCs w:val="24"/>
        </w:rPr>
        <w:fldChar w:fldCharType="separate"/>
      </w:r>
      <w:r>
        <w:rPr>
          <w:rFonts w:hint="eastAsia" w:ascii="宋体" w:hAnsi="宋体" w:eastAsia="宋体" w:cs="宋体"/>
          <w:snapToGrid w:val="0"/>
          <w:color w:val="auto"/>
          <w:kern w:val="0"/>
          <w:sz w:val="24"/>
          <w:szCs w:val="24"/>
        </w:rPr>
        <w:t>前附表</w:t>
      </w:r>
      <w:r>
        <w:rPr>
          <w:color w:val="auto"/>
          <w:sz w:val="24"/>
          <w:szCs w:val="24"/>
        </w:rPr>
        <w:tab/>
      </w:r>
      <w:r>
        <w:rPr>
          <w:color w:val="auto"/>
          <w:sz w:val="24"/>
          <w:szCs w:val="24"/>
        </w:rPr>
        <w:fldChar w:fldCharType="begin"/>
      </w:r>
      <w:r>
        <w:rPr>
          <w:color w:val="auto"/>
          <w:sz w:val="24"/>
          <w:szCs w:val="24"/>
        </w:rPr>
        <w:instrText xml:space="preserve"> PAGEREF _Toc11679 \h </w:instrText>
      </w:r>
      <w:r>
        <w:rPr>
          <w:color w:val="auto"/>
          <w:sz w:val="24"/>
          <w:szCs w:val="24"/>
        </w:rPr>
        <w:fldChar w:fldCharType="separate"/>
      </w:r>
      <w:r>
        <w:rPr>
          <w:color w:val="auto"/>
          <w:sz w:val="24"/>
          <w:szCs w:val="24"/>
        </w:rPr>
        <w:t>7</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一、总则</w:t>
      </w:r>
      <w:r>
        <w:rPr>
          <w:color w:val="auto"/>
          <w:sz w:val="24"/>
          <w:szCs w:val="24"/>
        </w:rPr>
        <w:tab/>
      </w:r>
      <w:r>
        <w:rPr>
          <w:color w:val="auto"/>
          <w:sz w:val="24"/>
          <w:szCs w:val="24"/>
        </w:rPr>
        <w:fldChar w:fldCharType="begin"/>
      </w:r>
      <w:r>
        <w:rPr>
          <w:color w:val="auto"/>
          <w:sz w:val="24"/>
          <w:szCs w:val="24"/>
        </w:rPr>
        <w:instrText xml:space="preserve"> PAGEREF _Toc14212 \h </w:instrText>
      </w:r>
      <w:r>
        <w:rPr>
          <w:color w:val="auto"/>
          <w:sz w:val="24"/>
          <w:szCs w:val="24"/>
        </w:rPr>
        <w:fldChar w:fldCharType="separate"/>
      </w:r>
      <w:r>
        <w:rPr>
          <w:color w:val="auto"/>
          <w:sz w:val="24"/>
          <w:szCs w:val="24"/>
        </w:rPr>
        <w:t>11</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_Toc27451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二、招标文件</w:t>
      </w:r>
      <w:r>
        <w:rPr>
          <w:color w:val="auto"/>
          <w:sz w:val="24"/>
          <w:szCs w:val="24"/>
        </w:rPr>
        <w:tab/>
      </w:r>
      <w:r>
        <w:rPr>
          <w:color w:val="auto"/>
          <w:sz w:val="24"/>
          <w:szCs w:val="24"/>
        </w:rPr>
        <w:fldChar w:fldCharType="begin"/>
      </w:r>
      <w:r>
        <w:rPr>
          <w:color w:val="auto"/>
          <w:sz w:val="24"/>
          <w:szCs w:val="24"/>
        </w:rPr>
        <w:instrText xml:space="preserve"> PAGEREF _Toc27451 \h </w:instrText>
      </w:r>
      <w:r>
        <w:rPr>
          <w:color w:val="auto"/>
          <w:sz w:val="24"/>
          <w:szCs w:val="24"/>
        </w:rPr>
        <w:fldChar w:fldCharType="separate"/>
      </w:r>
      <w:r>
        <w:rPr>
          <w:color w:val="auto"/>
          <w:sz w:val="24"/>
          <w:szCs w:val="24"/>
        </w:rPr>
        <w:t>11</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_Toc30354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三、投标文件的编制</w:t>
      </w:r>
      <w:r>
        <w:rPr>
          <w:color w:val="auto"/>
          <w:sz w:val="24"/>
          <w:szCs w:val="24"/>
        </w:rPr>
        <w:tab/>
      </w:r>
      <w:r>
        <w:rPr>
          <w:color w:val="auto"/>
          <w:sz w:val="24"/>
          <w:szCs w:val="24"/>
        </w:rPr>
        <w:fldChar w:fldCharType="begin"/>
      </w:r>
      <w:r>
        <w:rPr>
          <w:color w:val="auto"/>
          <w:sz w:val="24"/>
          <w:szCs w:val="24"/>
        </w:rPr>
        <w:instrText xml:space="preserve"> PAGEREF _Toc30354 \h </w:instrText>
      </w:r>
      <w:r>
        <w:rPr>
          <w:color w:val="auto"/>
          <w:sz w:val="24"/>
          <w:szCs w:val="24"/>
        </w:rPr>
        <w:fldChar w:fldCharType="separate"/>
      </w:r>
      <w:r>
        <w:rPr>
          <w:color w:val="auto"/>
          <w:sz w:val="24"/>
          <w:szCs w:val="24"/>
        </w:rPr>
        <w:t>13</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_Toc20746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四、投标文件的递交</w:t>
      </w:r>
      <w:r>
        <w:rPr>
          <w:color w:val="auto"/>
          <w:sz w:val="24"/>
          <w:szCs w:val="24"/>
        </w:rPr>
        <w:tab/>
      </w:r>
      <w:r>
        <w:rPr>
          <w:color w:val="auto"/>
          <w:sz w:val="24"/>
          <w:szCs w:val="24"/>
        </w:rPr>
        <w:fldChar w:fldCharType="begin"/>
      </w:r>
      <w:r>
        <w:rPr>
          <w:color w:val="auto"/>
          <w:sz w:val="24"/>
          <w:szCs w:val="24"/>
        </w:rPr>
        <w:instrText xml:space="preserve"> PAGEREF _Toc20746 \h </w:instrText>
      </w:r>
      <w:r>
        <w:rPr>
          <w:color w:val="auto"/>
          <w:sz w:val="24"/>
          <w:szCs w:val="24"/>
        </w:rPr>
        <w:fldChar w:fldCharType="separate"/>
      </w:r>
      <w:r>
        <w:rPr>
          <w:color w:val="auto"/>
          <w:sz w:val="24"/>
          <w:szCs w:val="24"/>
        </w:rPr>
        <w:t>16</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_Toc15448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五、开标</w:t>
      </w:r>
      <w:r>
        <w:rPr>
          <w:color w:val="auto"/>
          <w:sz w:val="24"/>
          <w:szCs w:val="24"/>
        </w:rPr>
        <w:tab/>
      </w:r>
      <w:r>
        <w:rPr>
          <w:color w:val="auto"/>
          <w:sz w:val="24"/>
          <w:szCs w:val="24"/>
        </w:rPr>
        <w:fldChar w:fldCharType="begin"/>
      </w:r>
      <w:r>
        <w:rPr>
          <w:color w:val="auto"/>
          <w:sz w:val="24"/>
          <w:szCs w:val="24"/>
        </w:rPr>
        <w:instrText xml:space="preserve"> PAGEREF _Toc15448 \h </w:instrText>
      </w:r>
      <w:r>
        <w:rPr>
          <w:color w:val="auto"/>
          <w:sz w:val="24"/>
          <w:szCs w:val="24"/>
        </w:rPr>
        <w:fldChar w:fldCharType="separate"/>
      </w:r>
      <w:r>
        <w:rPr>
          <w:color w:val="auto"/>
          <w:sz w:val="24"/>
          <w:szCs w:val="24"/>
        </w:rPr>
        <w:t>16</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_Toc31166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六、资格审查</w:t>
      </w:r>
      <w:r>
        <w:rPr>
          <w:color w:val="auto"/>
          <w:sz w:val="24"/>
          <w:szCs w:val="24"/>
        </w:rPr>
        <w:tab/>
      </w:r>
      <w:r>
        <w:rPr>
          <w:color w:val="auto"/>
          <w:sz w:val="24"/>
          <w:szCs w:val="24"/>
        </w:rPr>
        <w:fldChar w:fldCharType="begin"/>
      </w:r>
      <w:r>
        <w:rPr>
          <w:color w:val="auto"/>
          <w:sz w:val="24"/>
          <w:szCs w:val="24"/>
        </w:rPr>
        <w:instrText xml:space="preserve"> PAGEREF _Toc31166 \h </w:instrText>
      </w:r>
      <w:r>
        <w:rPr>
          <w:color w:val="auto"/>
          <w:sz w:val="24"/>
          <w:szCs w:val="24"/>
        </w:rPr>
        <w:fldChar w:fldCharType="separate"/>
      </w:r>
      <w:r>
        <w:rPr>
          <w:color w:val="auto"/>
          <w:sz w:val="24"/>
          <w:szCs w:val="24"/>
        </w:rPr>
        <w:t>17</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_Toc13643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七、评标</w:t>
      </w:r>
      <w:r>
        <w:rPr>
          <w:color w:val="auto"/>
          <w:sz w:val="24"/>
          <w:szCs w:val="24"/>
        </w:rPr>
        <w:tab/>
      </w:r>
      <w:r>
        <w:rPr>
          <w:color w:val="auto"/>
          <w:sz w:val="24"/>
          <w:szCs w:val="24"/>
        </w:rPr>
        <w:fldChar w:fldCharType="begin"/>
      </w:r>
      <w:r>
        <w:rPr>
          <w:color w:val="auto"/>
          <w:sz w:val="24"/>
          <w:szCs w:val="24"/>
        </w:rPr>
        <w:instrText xml:space="preserve"> PAGEREF _Toc13643 \h </w:instrText>
      </w:r>
      <w:r>
        <w:rPr>
          <w:color w:val="auto"/>
          <w:sz w:val="24"/>
          <w:szCs w:val="24"/>
        </w:rPr>
        <w:fldChar w:fldCharType="separate"/>
      </w:r>
      <w:r>
        <w:rPr>
          <w:color w:val="auto"/>
          <w:sz w:val="24"/>
          <w:szCs w:val="24"/>
        </w:rPr>
        <w:t>18</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_Toc4697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八、定 标</w:t>
      </w:r>
      <w:r>
        <w:rPr>
          <w:color w:val="auto"/>
          <w:sz w:val="24"/>
          <w:szCs w:val="24"/>
        </w:rPr>
        <w:tab/>
      </w:r>
      <w:r>
        <w:rPr>
          <w:color w:val="auto"/>
          <w:sz w:val="24"/>
          <w:szCs w:val="24"/>
        </w:rPr>
        <w:fldChar w:fldCharType="begin"/>
      </w:r>
      <w:r>
        <w:rPr>
          <w:color w:val="auto"/>
          <w:sz w:val="24"/>
          <w:szCs w:val="24"/>
        </w:rPr>
        <w:instrText xml:space="preserve"> PAGEREF _Toc4697 \h </w:instrText>
      </w:r>
      <w:r>
        <w:rPr>
          <w:color w:val="auto"/>
          <w:sz w:val="24"/>
          <w:szCs w:val="24"/>
        </w:rPr>
        <w:fldChar w:fldCharType="separate"/>
      </w:r>
      <w:r>
        <w:rPr>
          <w:color w:val="auto"/>
          <w:sz w:val="24"/>
          <w:szCs w:val="24"/>
        </w:rPr>
        <w:t>22</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_Toc19262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九、合同签订及其他</w:t>
      </w:r>
      <w:r>
        <w:rPr>
          <w:color w:val="auto"/>
          <w:sz w:val="24"/>
          <w:szCs w:val="24"/>
        </w:rPr>
        <w:tab/>
      </w:r>
      <w:r>
        <w:rPr>
          <w:color w:val="auto"/>
          <w:sz w:val="24"/>
          <w:szCs w:val="24"/>
        </w:rPr>
        <w:fldChar w:fldCharType="begin"/>
      </w:r>
      <w:r>
        <w:rPr>
          <w:color w:val="auto"/>
          <w:sz w:val="24"/>
          <w:szCs w:val="24"/>
        </w:rPr>
        <w:instrText xml:space="preserve"> PAGEREF _Toc19262 \h </w:instrText>
      </w:r>
      <w:r>
        <w:rPr>
          <w:color w:val="auto"/>
          <w:sz w:val="24"/>
          <w:szCs w:val="24"/>
        </w:rPr>
        <w:fldChar w:fldCharType="separate"/>
      </w:r>
      <w:r>
        <w:rPr>
          <w:color w:val="auto"/>
          <w:sz w:val="24"/>
          <w:szCs w:val="24"/>
        </w:rPr>
        <w:t>23</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十、质疑与投诉</w:t>
      </w:r>
      <w:r>
        <w:rPr>
          <w:color w:val="auto"/>
          <w:sz w:val="24"/>
          <w:szCs w:val="24"/>
        </w:rPr>
        <w:tab/>
      </w:r>
      <w:r>
        <w:rPr>
          <w:color w:val="auto"/>
          <w:sz w:val="24"/>
          <w:szCs w:val="24"/>
        </w:rPr>
        <w:fldChar w:fldCharType="begin"/>
      </w:r>
      <w:r>
        <w:rPr>
          <w:color w:val="auto"/>
          <w:sz w:val="24"/>
          <w:szCs w:val="24"/>
        </w:rPr>
        <w:instrText xml:space="preserve"> PAGEREF _Toc29397 \h </w:instrText>
      </w:r>
      <w:r>
        <w:rPr>
          <w:color w:val="auto"/>
          <w:sz w:val="24"/>
          <w:szCs w:val="24"/>
        </w:rPr>
        <w:fldChar w:fldCharType="separate"/>
      </w:r>
      <w:r>
        <w:rPr>
          <w:color w:val="auto"/>
          <w:sz w:val="24"/>
          <w:szCs w:val="24"/>
        </w:rPr>
        <w:t>24</w:t>
      </w:r>
      <w:r>
        <w:rPr>
          <w:color w:val="auto"/>
          <w:sz w:val="24"/>
          <w:szCs w:val="24"/>
        </w:rPr>
        <w:fldChar w:fldCharType="end"/>
      </w:r>
      <w:r>
        <w:rPr>
          <w:rFonts w:hint="eastAsia" w:ascii="宋体" w:hAnsi="宋体" w:eastAsia="宋体" w:cs="宋体"/>
          <w:color w:val="auto"/>
          <w:sz w:val="24"/>
          <w:szCs w:val="24"/>
        </w:rP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_Toc32237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第三部分   评标办法及评分标准</w:t>
      </w:r>
      <w:r>
        <w:rPr>
          <w:color w:val="auto"/>
          <w:sz w:val="24"/>
          <w:szCs w:val="24"/>
        </w:rPr>
        <w:tab/>
      </w:r>
      <w:r>
        <w:rPr>
          <w:color w:val="auto"/>
          <w:sz w:val="24"/>
          <w:szCs w:val="24"/>
        </w:rPr>
        <w:fldChar w:fldCharType="begin"/>
      </w:r>
      <w:r>
        <w:rPr>
          <w:color w:val="auto"/>
          <w:sz w:val="24"/>
          <w:szCs w:val="24"/>
        </w:rPr>
        <w:instrText xml:space="preserve"> PAGEREF _Toc32237 \h </w:instrText>
      </w:r>
      <w:r>
        <w:rPr>
          <w:color w:val="auto"/>
          <w:sz w:val="24"/>
          <w:szCs w:val="24"/>
        </w:rPr>
        <w:fldChar w:fldCharType="separate"/>
      </w:r>
      <w:r>
        <w:rPr>
          <w:color w:val="auto"/>
          <w:sz w:val="24"/>
          <w:szCs w:val="24"/>
        </w:rPr>
        <w:t>26</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_Toc11519 </w:instrText>
      </w:r>
      <w:r>
        <w:rPr>
          <w:rFonts w:hint="eastAsia" w:ascii="宋体" w:hAnsi="宋体" w:eastAsia="宋体" w:cs="宋体"/>
          <w:color w:val="auto"/>
          <w:sz w:val="24"/>
          <w:szCs w:val="24"/>
        </w:rPr>
        <w:fldChar w:fldCharType="separate"/>
      </w:r>
      <w:r>
        <w:rPr>
          <w:rFonts w:hint="eastAsia" w:hAnsi="宋体" w:cs="宋体"/>
          <w:bCs/>
          <w:color w:val="auto"/>
          <w:sz w:val="24"/>
          <w:szCs w:val="24"/>
        </w:rPr>
        <w:t>第一章　评标办法</w:t>
      </w:r>
      <w:r>
        <w:rPr>
          <w:color w:val="auto"/>
          <w:sz w:val="24"/>
          <w:szCs w:val="24"/>
        </w:rPr>
        <w:tab/>
      </w:r>
      <w:r>
        <w:rPr>
          <w:color w:val="auto"/>
          <w:sz w:val="24"/>
          <w:szCs w:val="24"/>
        </w:rPr>
        <w:fldChar w:fldCharType="begin"/>
      </w:r>
      <w:r>
        <w:rPr>
          <w:color w:val="auto"/>
          <w:sz w:val="24"/>
          <w:szCs w:val="24"/>
        </w:rPr>
        <w:instrText xml:space="preserve"> PAGEREF _Toc11519 \h </w:instrText>
      </w:r>
      <w:r>
        <w:rPr>
          <w:color w:val="auto"/>
          <w:sz w:val="24"/>
          <w:szCs w:val="24"/>
        </w:rPr>
        <w:fldChar w:fldCharType="separate"/>
      </w:r>
      <w:r>
        <w:rPr>
          <w:color w:val="auto"/>
          <w:sz w:val="24"/>
          <w:szCs w:val="24"/>
        </w:rPr>
        <w:t>26</w:t>
      </w:r>
      <w:r>
        <w:rPr>
          <w:color w:val="auto"/>
          <w:sz w:val="24"/>
          <w:szCs w:val="24"/>
        </w:rPr>
        <w:fldChar w:fldCharType="end"/>
      </w:r>
      <w:r>
        <w:rPr>
          <w:rFonts w:hint="eastAsia" w:ascii="宋体" w:hAnsi="宋体" w:eastAsia="宋体" w:cs="宋体"/>
          <w:color w:val="auto"/>
          <w:sz w:val="24"/>
          <w:szCs w:val="24"/>
        </w:rPr>
        <w:fldChar w:fldCharType="end"/>
      </w:r>
    </w:p>
    <w:p>
      <w:pPr>
        <w:pStyle w:val="3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_Toc27883 </w:instrText>
      </w:r>
      <w:r>
        <w:rPr>
          <w:rFonts w:hint="eastAsia" w:ascii="宋体" w:hAnsi="宋体" w:eastAsia="宋体" w:cs="宋体"/>
          <w:color w:val="auto"/>
          <w:sz w:val="24"/>
          <w:szCs w:val="24"/>
        </w:rPr>
        <w:fldChar w:fldCharType="separate"/>
      </w:r>
      <w:r>
        <w:rPr>
          <w:rFonts w:hint="eastAsia" w:hAnsi="宋体" w:cs="宋体"/>
          <w:color w:val="auto"/>
          <w:sz w:val="24"/>
          <w:szCs w:val="24"/>
        </w:rPr>
        <w:t>第二章　评分标准</w:t>
      </w:r>
      <w:r>
        <w:rPr>
          <w:color w:val="auto"/>
          <w:sz w:val="24"/>
          <w:szCs w:val="24"/>
        </w:rPr>
        <w:tab/>
      </w:r>
      <w:r>
        <w:rPr>
          <w:color w:val="auto"/>
          <w:sz w:val="24"/>
          <w:szCs w:val="24"/>
        </w:rPr>
        <w:fldChar w:fldCharType="begin"/>
      </w:r>
      <w:r>
        <w:rPr>
          <w:color w:val="auto"/>
          <w:sz w:val="24"/>
          <w:szCs w:val="24"/>
        </w:rPr>
        <w:instrText xml:space="preserve"> PAGEREF _Toc27883 \h </w:instrText>
      </w:r>
      <w:r>
        <w:rPr>
          <w:color w:val="auto"/>
          <w:sz w:val="24"/>
          <w:szCs w:val="24"/>
        </w:rPr>
        <w:fldChar w:fldCharType="separate"/>
      </w:r>
      <w:r>
        <w:rPr>
          <w:color w:val="auto"/>
          <w:sz w:val="24"/>
          <w:szCs w:val="24"/>
        </w:rPr>
        <w:t>26</w:t>
      </w:r>
      <w:r>
        <w:rPr>
          <w:color w:val="auto"/>
          <w:sz w:val="24"/>
          <w:szCs w:val="24"/>
        </w:rPr>
        <w:fldChar w:fldCharType="end"/>
      </w:r>
      <w:r>
        <w:rPr>
          <w:rFonts w:hint="eastAsia" w:ascii="宋体" w:hAnsi="宋体" w:eastAsia="宋体" w:cs="宋体"/>
          <w:color w:val="auto"/>
          <w:sz w:val="24"/>
          <w:szCs w:val="24"/>
        </w:rP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_Toc19248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第四部分   采购需求</w:t>
      </w:r>
      <w:r>
        <w:rPr>
          <w:color w:val="auto"/>
          <w:sz w:val="24"/>
          <w:szCs w:val="24"/>
        </w:rPr>
        <w:tab/>
      </w:r>
      <w:r>
        <w:rPr>
          <w:color w:val="auto"/>
          <w:sz w:val="24"/>
          <w:szCs w:val="24"/>
        </w:rPr>
        <w:fldChar w:fldCharType="begin"/>
      </w:r>
      <w:r>
        <w:rPr>
          <w:color w:val="auto"/>
          <w:sz w:val="24"/>
          <w:szCs w:val="24"/>
        </w:rPr>
        <w:instrText xml:space="preserve"> PAGEREF _Toc19248 \h </w:instrText>
      </w:r>
      <w:r>
        <w:rPr>
          <w:color w:val="auto"/>
          <w:sz w:val="24"/>
          <w:szCs w:val="24"/>
        </w:rPr>
        <w:fldChar w:fldCharType="separate"/>
      </w:r>
      <w:r>
        <w:rPr>
          <w:color w:val="auto"/>
          <w:sz w:val="24"/>
          <w:szCs w:val="24"/>
        </w:rPr>
        <w:t>31</w:t>
      </w:r>
      <w:r>
        <w:rPr>
          <w:color w:val="auto"/>
          <w:sz w:val="24"/>
          <w:szCs w:val="24"/>
        </w:rPr>
        <w:fldChar w:fldCharType="end"/>
      </w:r>
      <w:r>
        <w:rPr>
          <w:rFonts w:hint="eastAsia" w:ascii="宋体" w:hAnsi="宋体" w:eastAsia="宋体" w:cs="宋体"/>
          <w:color w:val="auto"/>
          <w:sz w:val="24"/>
          <w:szCs w:val="24"/>
        </w:rP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第五部分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采购合同</w:t>
      </w:r>
      <w:r>
        <w:rPr>
          <w:color w:val="auto"/>
          <w:sz w:val="24"/>
          <w:szCs w:val="24"/>
        </w:rPr>
        <w:tab/>
      </w:r>
      <w:r>
        <w:rPr>
          <w:color w:val="auto"/>
          <w:sz w:val="24"/>
          <w:szCs w:val="24"/>
        </w:rPr>
        <w:fldChar w:fldCharType="begin"/>
      </w:r>
      <w:r>
        <w:rPr>
          <w:color w:val="auto"/>
          <w:sz w:val="24"/>
          <w:szCs w:val="24"/>
        </w:rPr>
        <w:instrText xml:space="preserve"> PAGEREF _Toc11681 \h </w:instrText>
      </w:r>
      <w:r>
        <w:rPr>
          <w:color w:val="auto"/>
          <w:sz w:val="24"/>
          <w:szCs w:val="24"/>
        </w:rPr>
        <w:fldChar w:fldCharType="separate"/>
      </w:r>
      <w:r>
        <w:rPr>
          <w:color w:val="auto"/>
          <w:sz w:val="24"/>
          <w:szCs w:val="24"/>
        </w:rPr>
        <w:t>41</w:t>
      </w:r>
      <w:r>
        <w:rPr>
          <w:color w:val="auto"/>
          <w:sz w:val="24"/>
          <w:szCs w:val="24"/>
        </w:rPr>
        <w:fldChar w:fldCharType="end"/>
      </w:r>
      <w:r>
        <w:rPr>
          <w:rFonts w:hint="eastAsia" w:ascii="宋体" w:hAnsi="宋体" w:eastAsia="宋体" w:cs="宋体"/>
          <w:color w:val="auto"/>
          <w:sz w:val="24"/>
          <w:szCs w:val="24"/>
        </w:rP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_Toc32132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第六部分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应提交的有关格式范例</w:t>
      </w:r>
      <w:r>
        <w:rPr>
          <w:color w:val="auto"/>
          <w:sz w:val="24"/>
          <w:szCs w:val="24"/>
        </w:rPr>
        <w:tab/>
      </w:r>
      <w:r>
        <w:rPr>
          <w:color w:val="auto"/>
          <w:sz w:val="24"/>
          <w:szCs w:val="24"/>
        </w:rPr>
        <w:fldChar w:fldCharType="begin"/>
      </w:r>
      <w:r>
        <w:rPr>
          <w:color w:val="auto"/>
          <w:sz w:val="24"/>
          <w:szCs w:val="24"/>
        </w:rPr>
        <w:instrText xml:space="preserve"> PAGEREF _Toc32132 \h </w:instrText>
      </w:r>
      <w:r>
        <w:rPr>
          <w:color w:val="auto"/>
          <w:sz w:val="24"/>
          <w:szCs w:val="24"/>
        </w:rPr>
        <w:fldChar w:fldCharType="separate"/>
      </w:r>
      <w:r>
        <w:rPr>
          <w:color w:val="auto"/>
          <w:sz w:val="24"/>
          <w:szCs w:val="24"/>
        </w:rPr>
        <w:t>55</w:t>
      </w:r>
      <w:r>
        <w:rPr>
          <w:color w:val="auto"/>
          <w:sz w:val="24"/>
          <w:szCs w:val="24"/>
        </w:rPr>
        <w:fldChar w:fldCharType="end"/>
      </w:r>
      <w:r>
        <w:rPr>
          <w:rFonts w:hint="eastAsia" w:ascii="宋体" w:hAnsi="宋体" w:eastAsia="宋体" w:cs="宋体"/>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 w:val="24"/>
          <w:szCs w:val="24"/>
        </w:rPr>
        <w:fldChar w:fldCharType="end"/>
      </w:r>
    </w:p>
    <w:p>
      <w:pPr>
        <w:spacing w:line="360" w:lineRule="auto"/>
        <w:ind w:firstLine="549" w:firstLineChars="229"/>
        <w:rPr>
          <w:rFonts w:hint="eastAsia" w:ascii="宋体" w:hAnsi="宋体" w:eastAsia="宋体" w:cs="宋体"/>
          <w:color w:val="auto"/>
          <w:sz w:val="24"/>
        </w:rPr>
      </w:pPr>
    </w:p>
    <w:bookmarkEnd w:id="2"/>
    <w:p>
      <w:pPr>
        <w:spacing w:line="360" w:lineRule="auto"/>
        <w:jc w:val="center"/>
        <w:outlineLvl w:val="0"/>
        <w:rPr>
          <w:rFonts w:hint="eastAsia" w:ascii="宋体" w:hAnsi="宋体" w:eastAsia="宋体" w:cs="宋体"/>
          <w:b/>
          <w:color w:val="auto"/>
          <w:sz w:val="36"/>
          <w:szCs w:val="20"/>
        </w:rPr>
      </w:pPr>
      <w:bookmarkStart w:id="3" w:name="_Hlt74728647"/>
      <w:bookmarkEnd w:id="3"/>
      <w:bookmarkStart w:id="4" w:name="_Hlt74707423"/>
      <w:bookmarkEnd w:id="4"/>
      <w:bookmarkStart w:id="5" w:name="_Hlt74649545"/>
      <w:bookmarkEnd w:id="5"/>
      <w:bookmarkStart w:id="6" w:name="_Hlt74729822"/>
      <w:bookmarkEnd w:id="6"/>
      <w:bookmarkStart w:id="7" w:name="_Toc773"/>
      <w:bookmarkStart w:id="8" w:name="_Toc21986"/>
      <w:bookmarkStart w:id="9" w:name="_Toc5131"/>
      <w:bookmarkStart w:id="10" w:name="第二部分"/>
      <w:bookmarkStart w:id="11" w:name="_Toc91899870"/>
      <w:bookmarkStart w:id="12" w:name="_Toc91899871"/>
      <w:r>
        <w:rPr>
          <w:rFonts w:hint="eastAsia" w:ascii="宋体" w:hAnsi="宋体" w:eastAsia="宋体" w:cs="宋体"/>
          <w:b/>
          <w:color w:val="auto"/>
          <w:sz w:val="36"/>
          <w:szCs w:val="20"/>
        </w:rPr>
        <w:br w:type="page"/>
      </w:r>
      <w:r>
        <w:rPr>
          <w:rFonts w:hint="eastAsia" w:ascii="宋体" w:hAnsi="宋体" w:eastAsia="宋体" w:cs="宋体"/>
          <w:b/>
          <w:color w:val="auto"/>
          <w:sz w:val="36"/>
          <w:szCs w:val="20"/>
        </w:rPr>
        <w:t>第一部分 招标公告</w:t>
      </w:r>
      <w:bookmarkEnd w:id="7"/>
      <w:bookmarkEnd w:id="8"/>
      <w:bookmarkEnd w:id="9"/>
    </w:p>
    <w:p>
      <w:pPr>
        <w:adjustRightIn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浙江宇康工程管理咨询有限公司关于上虞区丰惠镇人民政府</w:t>
      </w:r>
      <w:r>
        <w:rPr>
          <w:rFonts w:hint="eastAsia" w:ascii="宋体" w:hAnsi="宋体" w:eastAsia="宋体" w:cs="宋体"/>
          <w:color w:val="auto"/>
          <w:sz w:val="28"/>
          <w:szCs w:val="28"/>
          <w:lang w:eastAsia="zh-CN"/>
        </w:rPr>
        <w:t>丰惠镇城镇环境卫生保洁服务采购</w:t>
      </w:r>
      <w:r>
        <w:rPr>
          <w:rFonts w:hint="eastAsia" w:ascii="宋体" w:hAnsi="宋体" w:eastAsia="宋体" w:cs="宋体"/>
          <w:color w:val="auto"/>
          <w:sz w:val="28"/>
          <w:szCs w:val="28"/>
        </w:rPr>
        <w:t>公开招标的公告</w:t>
      </w:r>
    </w:p>
    <w:p>
      <w:pPr>
        <w:adjustRightIn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公告日期：202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 xml:space="preserve">日 </w:t>
      </w:r>
    </w:p>
    <w:p>
      <w:p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根据《中华人民共和国政府采购法》等有关规定，浙江宇康工程管理咨询有限公司受</w:t>
      </w:r>
      <w:r>
        <w:rPr>
          <w:rFonts w:hint="eastAsia" w:ascii="宋体" w:hAnsi="宋体" w:eastAsia="宋体" w:cs="宋体"/>
          <w:color w:val="auto"/>
          <w:sz w:val="24"/>
          <w:lang w:eastAsia="zh-CN"/>
        </w:rPr>
        <w:t>上虞区丰惠镇人民政府</w:t>
      </w:r>
      <w:r>
        <w:rPr>
          <w:rFonts w:hint="eastAsia" w:ascii="宋体" w:hAnsi="宋体" w:eastAsia="宋体" w:cs="宋体"/>
          <w:color w:val="auto"/>
          <w:sz w:val="24"/>
        </w:rPr>
        <w:t>委托，现就</w:t>
      </w:r>
      <w:r>
        <w:rPr>
          <w:rFonts w:hint="eastAsia" w:ascii="宋体" w:hAnsi="宋体" w:eastAsia="宋体" w:cs="宋体"/>
          <w:color w:val="auto"/>
          <w:sz w:val="24"/>
          <w:lang w:eastAsia="zh-CN"/>
        </w:rPr>
        <w:t>丰惠镇城镇环境卫生保洁服务采购</w:t>
      </w:r>
      <w:r>
        <w:rPr>
          <w:rFonts w:hint="eastAsia" w:ascii="宋体" w:hAnsi="宋体" w:eastAsia="宋体" w:cs="宋体"/>
          <w:color w:val="auto"/>
          <w:sz w:val="24"/>
        </w:rPr>
        <w:t>进行公开招标，欢迎国内合格的供应商前来投标。</w:t>
      </w:r>
    </w:p>
    <w:p>
      <w:pPr>
        <w:adjustRightIn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一． 招标项目编号：</w:t>
      </w:r>
      <w:r>
        <w:rPr>
          <w:rFonts w:hint="eastAsia" w:ascii="宋体" w:hAnsi="宋体" w:eastAsia="宋体" w:cs="宋体"/>
          <w:color w:val="auto"/>
          <w:sz w:val="24"/>
          <w:lang w:eastAsia="zh-CN"/>
        </w:rPr>
        <w:t>FS202200</w:t>
      </w:r>
      <w:r>
        <w:rPr>
          <w:rFonts w:hint="eastAsia" w:ascii="宋体" w:hAnsi="宋体" w:eastAsia="宋体" w:cs="宋体"/>
          <w:color w:val="auto"/>
          <w:sz w:val="24"/>
          <w:lang w:val="en-US" w:eastAsia="zh-CN"/>
        </w:rPr>
        <w:t>8</w:t>
      </w:r>
      <w:r>
        <w:rPr>
          <w:rFonts w:hint="eastAsia" w:ascii="宋体" w:hAnsi="宋体" w:eastAsia="宋体" w:cs="宋体"/>
          <w:color w:val="auto"/>
          <w:sz w:val="24"/>
        </w:rPr>
        <w:t xml:space="preserve">  </w:t>
      </w:r>
    </w:p>
    <w:p>
      <w:pPr>
        <w:adjustRightInd w:val="0"/>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bCs/>
          <w:color w:val="auto"/>
          <w:sz w:val="24"/>
        </w:rPr>
        <w:t>二． 采购组织类型：</w:t>
      </w:r>
      <w:r>
        <w:rPr>
          <w:rFonts w:hint="eastAsia" w:ascii="宋体" w:hAnsi="宋体" w:cs="宋体"/>
          <w:color w:val="auto"/>
          <w:sz w:val="24"/>
        </w:rPr>
        <w:t>分散采购-分散委托中介</w:t>
      </w:r>
    </w:p>
    <w:p>
      <w:pPr>
        <w:adjustRightInd w:val="0"/>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rPr>
        <w:t>三． 招标项目概况</w:t>
      </w:r>
      <w:r>
        <w:rPr>
          <w:rFonts w:hint="eastAsia" w:ascii="宋体" w:hAnsi="宋体" w:eastAsia="宋体" w:cs="宋体"/>
          <w:b/>
          <w:bCs/>
          <w:color w:val="auto"/>
          <w:sz w:val="24"/>
          <w:lang w:eastAsia="zh-CN"/>
        </w:rPr>
        <w:t>：</w:t>
      </w:r>
    </w:p>
    <w:tbl>
      <w:tblPr>
        <w:tblStyle w:val="36"/>
        <w:tblW w:w="8938"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691"/>
        <w:gridCol w:w="2573"/>
        <w:gridCol w:w="648"/>
        <w:gridCol w:w="716"/>
        <w:gridCol w:w="1261"/>
        <w:gridCol w:w="1932"/>
        <w:gridCol w:w="1117"/>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691" w:type="dxa"/>
            <w:noWrap w:val="0"/>
            <w:vAlign w:val="center"/>
          </w:tcPr>
          <w:p>
            <w:pPr>
              <w:adjustRightIn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标段</w:t>
            </w:r>
          </w:p>
        </w:tc>
        <w:tc>
          <w:tcPr>
            <w:tcW w:w="2573" w:type="dxa"/>
            <w:noWrap w:val="0"/>
            <w:vAlign w:val="center"/>
          </w:tcPr>
          <w:p>
            <w:pPr>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648" w:type="dxa"/>
            <w:noWrap w:val="0"/>
            <w:vAlign w:val="center"/>
          </w:tcPr>
          <w:p>
            <w:pPr>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16" w:type="dxa"/>
            <w:noWrap w:val="0"/>
            <w:vAlign w:val="center"/>
          </w:tcPr>
          <w:p>
            <w:pPr>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1261" w:type="dxa"/>
            <w:noWrap w:val="0"/>
            <w:vAlign w:val="center"/>
          </w:tcPr>
          <w:p>
            <w:pPr>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预算金额(万元)</w:t>
            </w:r>
          </w:p>
        </w:tc>
        <w:tc>
          <w:tcPr>
            <w:tcW w:w="1932" w:type="dxa"/>
            <w:noWrap w:val="0"/>
            <w:vAlign w:val="center"/>
          </w:tcPr>
          <w:p>
            <w:pPr>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基本概况介绍</w:t>
            </w:r>
          </w:p>
        </w:tc>
        <w:tc>
          <w:tcPr>
            <w:tcW w:w="1117" w:type="dxa"/>
            <w:noWrap w:val="0"/>
            <w:vAlign w:val="center"/>
          </w:tcPr>
          <w:p>
            <w:pPr>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最高限价(万元)</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691" w:type="dxa"/>
            <w:noWrap w:val="0"/>
            <w:vAlign w:val="center"/>
          </w:tcPr>
          <w:p>
            <w:pPr>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573" w:type="dxa"/>
            <w:noWrap w:val="0"/>
            <w:vAlign w:val="center"/>
          </w:tcPr>
          <w:p>
            <w:pPr>
              <w:adjustRightIn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丰惠镇城镇环境卫生保洁服务采购</w:t>
            </w:r>
          </w:p>
        </w:tc>
        <w:tc>
          <w:tcPr>
            <w:tcW w:w="648" w:type="dxa"/>
            <w:noWrap w:val="0"/>
            <w:vAlign w:val="center"/>
          </w:tcPr>
          <w:p>
            <w:pPr>
              <w:adjustRightIn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716" w:type="dxa"/>
            <w:noWrap w:val="0"/>
            <w:vAlign w:val="center"/>
          </w:tcPr>
          <w:p>
            <w:pPr>
              <w:adjustRightIn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w:t>
            </w:r>
          </w:p>
        </w:tc>
        <w:tc>
          <w:tcPr>
            <w:tcW w:w="1261" w:type="dxa"/>
            <w:noWrap w:val="0"/>
            <w:vAlign w:val="center"/>
          </w:tcPr>
          <w:p>
            <w:pPr>
              <w:adjustRightIn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1144.499553</w:t>
            </w:r>
          </w:p>
        </w:tc>
        <w:tc>
          <w:tcPr>
            <w:tcW w:w="1932" w:type="dxa"/>
            <w:noWrap w:val="0"/>
            <w:vAlign w:val="center"/>
          </w:tcPr>
          <w:p>
            <w:pPr>
              <w:adjustRightInd w:val="0"/>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丰惠镇集镇范围内公共区域的卫生保洁，包括环卫保洁（含路面保洁、非封闭式小区公共区域、绿化带等）、道路清扫、河道保洁、垃圾收集清运、公厕保洁、牛皮癣清理、环卫设施维护、垃圾中转站管理和维护等</w:t>
            </w:r>
          </w:p>
        </w:tc>
        <w:tc>
          <w:tcPr>
            <w:tcW w:w="1117" w:type="dxa"/>
            <w:noWrap w:val="0"/>
            <w:vAlign w:val="center"/>
          </w:tcPr>
          <w:p>
            <w:pPr>
              <w:adjustRightIn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1144.499553</w:t>
            </w:r>
          </w:p>
        </w:tc>
      </w:tr>
    </w:tbl>
    <w:p>
      <w:pPr>
        <w:adjustRightIn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四． 投标供应商资格要求</w:t>
      </w:r>
    </w:p>
    <w:p>
      <w:pPr>
        <w:numPr>
          <w:ilvl w:val="0"/>
          <w:numId w:val="4"/>
        </w:numPr>
        <w:wordWrap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符合政府采购法第二十二条，且未被“信用中国”（www.creditchina.gov.cn）、中国政府采购网（www.ccgp.gov.cn）列入失信被执行人、重大税收违法案件当事人名单、政府采购严重违法失信行为记录名单。</w:t>
      </w:r>
    </w:p>
    <w:p>
      <w:pPr>
        <w:numPr>
          <w:ilvl w:val="0"/>
          <w:numId w:val="4"/>
        </w:numPr>
        <w:wordWrap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本次招标</w:t>
      </w:r>
      <w:r>
        <w:rPr>
          <w:rFonts w:hint="eastAsia" w:ascii="宋体" w:hAnsi="宋体" w:eastAsia="宋体" w:cs="宋体"/>
          <w:color w:val="auto"/>
          <w:sz w:val="24"/>
          <w:u w:val="single"/>
        </w:rPr>
        <w:t xml:space="preserve"> 不接受 </w:t>
      </w:r>
      <w:r>
        <w:rPr>
          <w:rFonts w:hint="eastAsia" w:ascii="宋体" w:hAnsi="宋体" w:eastAsia="宋体" w:cs="宋体"/>
          <w:color w:val="auto"/>
          <w:sz w:val="24"/>
        </w:rPr>
        <w:t>联合体投标。</w:t>
      </w:r>
    </w:p>
    <w:p>
      <w:pPr>
        <w:numPr>
          <w:ilvl w:val="0"/>
          <w:numId w:val="4"/>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本次招标采用资格后审的审查方式，由采购人负责审查。</w:t>
      </w:r>
    </w:p>
    <w:p>
      <w:pPr>
        <w:adjustRightIn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五．投标获取采购文件</w:t>
      </w:r>
    </w:p>
    <w:p>
      <w:pPr>
        <w:numPr>
          <w:ilvl w:val="0"/>
          <w:numId w:val="3"/>
        </w:numPr>
        <w:adjustRightInd w:val="0"/>
        <w:spacing w:line="360" w:lineRule="auto"/>
        <w:ind w:firstLine="480" w:firstLineChars="200"/>
        <w:rPr>
          <w:rFonts w:hint="eastAsia" w:ascii="宋体" w:hAnsi="宋体" w:eastAsia="宋体" w:cs="宋体"/>
          <w:color w:val="auto"/>
          <w:sz w:val="24"/>
        </w:rPr>
      </w:pPr>
      <w:bookmarkStart w:id="13" w:name="报名开始时间1"/>
      <w:r>
        <w:rPr>
          <w:rFonts w:hint="eastAsia" w:ascii="宋体" w:hAnsi="宋体" w:eastAsia="宋体" w:cs="宋体"/>
          <w:color w:val="auto"/>
          <w:sz w:val="24"/>
        </w:rPr>
        <w:t>获取采购文件时间</w:t>
      </w:r>
      <w:r>
        <w:rPr>
          <w:rFonts w:hint="eastAsia" w:ascii="宋体" w:hAnsi="宋体" w:eastAsia="宋体" w:cs="宋体"/>
          <w:color w:val="auto"/>
          <w:sz w:val="24"/>
          <w:lang w:eastAsia="zh-CN"/>
        </w:rPr>
        <w:t>：</w:t>
      </w:r>
      <w:r>
        <w:rPr>
          <w:rFonts w:hint="eastAsia" w:ascii="宋体" w:hAnsi="宋体" w:eastAsia="宋体" w:cs="宋体"/>
          <w:color w:val="auto"/>
          <w:sz w:val="24"/>
        </w:rPr>
        <w:t>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eastAsia="宋体" w:cs="宋体"/>
          <w:color w:val="auto"/>
          <w:sz w:val="24"/>
          <w:lang w:val="en-US" w:eastAsia="zh-CN"/>
        </w:rPr>
        <w:t>5</w:t>
      </w:r>
      <w:r>
        <w:rPr>
          <w:rFonts w:hint="eastAsia" w:ascii="宋体" w:hAnsi="宋体" w:eastAsia="宋体" w:cs="宋体"/>
          <w:color w:val="auto"/>
          <w:sz w:val="24"/>
        </w:rPr>
        <w:t>月</w:t>
      </w:r>
      <w:bookmarkEnd w:id="13"/>
      <w:r>
        <w:rPr>
          <w:rFonts w:hint="eastAsia" w:ascii="宋体" w:hAnsi="宋体" w:eastAsia="宋体" w:cs="宋体"/>
          <w:color w:val="auto"/>
          <w:sz w:val="24"/>
          <w:lang w:val="en-US" w:eastAsia="zh-CN"/>
        </w:rPr>
        <w:t>10</w:t>
      </w:r>
      <w:r>
        <w:rPr>
          <w:rFonts w:hint="eastAsia" w:ascii="宋体" w:hAnsi="宋体" w:eastAsia="宋体" w:cs="宋体"/>
          <w:color w:val="auto"/>
          <w:sz w:val="24"/>
        </w:rPr>
        <w:t>日上午9</w:t>
      </w:r>
      <w:r>
        <w:rPr>
          <w:rFonts w:hint="eastAsia" w:ascii="宋体" w:hAnsi="宋体" w:eastAsia="宋体" w:cs="宋体"/>
          <w:color w:val="auto"/>
          <w:sz w:val="24"/>
          <w:lang w:eastAsia="zh-CN"/>
        </w:rPr>
        <w:t>：</w:t>
      </w:r>
      <w:r>
        <w:rPr>
          <w:rFonts w:hint="eastAsia" w:ascii="宋体" w:hAnsi="宋体" w:eastAsia="宋体" w:cs="宋体"/>
          <w:color w:val="auto"/>
          <w:sz w:val="24"/>
        </w:rPr>
        <w:t>30之前获取。</w:t>
      </w:r>
    </w:p>
    <w:p>
      <w:pPr>
        <w:numPr>
          <w:ilvl w:val="0"/>
          <w:numId w:val="3"/>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获取采购文件方式：供应商登陆政采云平台http</w:t>
      </w:r>
      <w:r>
        <w:rPr>
          <w:rFonts w:hint="eastAsia" w:ascii="宋体" w:hAnsi="宋体" w:eastAsia="宋体" w:cs="宋体"/>
          <w:color w:val="auto"/>
          <w:sz w:val="24"/>
          <w:lang w:eastAsia="zh-CN"/>
        </w:rPr>
        <w:t>：</w:t>
      </w:r>
      <w:r>
        <w:rPr>
          <w:rFonts w:hint="eastAsia" w:ascii="宋体" w:hAnsi="宋体" w:eastAsia="宋体" w:cs="宋体"/>
          <w:color w:val="auto"/>
          <w:sz w:val="24"/>
        </w:rPr>
        <w:t>//www.zcygov.cn/，在线申请获取采购文件（进入“项目采购”应用，在获取采购文件菜单中选择项目，申请获取采购文件）。</w:t>
      </w:r>
    </w:p>
    <w:p>
      <w:pPr>
        <w:numPr>
          <w:ilvl w:val="0"/>
          <w:numId w:val="3"/>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提示：</w:t>
      </w:r>
    </w:p>
    <w:p>
      <w:pPr>
        <w:numPr>
          <w:ilvl w:val="0"/>
          <w:numId w:val="5"/>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将拒绝接受未获取采购文件供应商的投标文件。</w:t>
      </w:r>
    </w:p>
    <w:p>
      <w:pPr>
        <w:numPr>
          <w:ilvl w:val="0"/>
          <w:numId w:val="5"/>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招标文件及更正补充公告请自行登录浙江政府采购网或绍兴市上虞区公共资源交易中心网站，在采购公告页面中下载。</w:t>
      </w:r>
    </w:p>
    <w:p>
      <w:pPr>
        <w:adjustRightIn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六、投标与开标注意事项</w:t>
      </w:r>
    </w:p>
    <w:p>
      <w:pPr>
        <w:numPr>
          <w:ilvl w:val="0"/>
          <w:numId w:val="6"/>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本项目实行</w:t>
      </w:r>
      <w:r>
        <w:rPr>
          <w:rFonts w:hint="eastAsia" w:ascii="宋体" w:hAnsi="宋体" w:eastAsia="宋体" w:cs="宋体"/>
          <w:b/>
          <w:bCs/>
          <w:color w:val="auto"/>
          <w:sz w:val="24"/>
        </w:rPr>
        <w:t>网上投标</w:t>
      </w:r>
      <w:r>
        <w:rPr>
          <w:rFonts w:hint="eastAsia" w:ascii="宋体" w:hAnsi="宋体" w:eastAsia="宋体" w:cs="宋体"/>
          <w:color w:val="auto"/>
          <w:sz w:val="24"/>
        </w:rPr>
        <w:t>，采用电子投标文件，若供应商参与投标，自行承担投标一切费用。</w:t>
      </w:r>
    </w:p>
    <w:p>
      <w:pPr>
        <w:numPr>
          <w:ilvl w:val="0"/>
          <w:numId w:val="6"/>
        </w:numPr>
        <w:wordWrap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hint="eastAsia" w:ascii="宋体" w:hAnsi="宋体" w:eastAsia="宋体" w:cs="宋体"/>
          <w:color w:val="auto"/>
          <w:sz w:val="24"/>
          <w:szCs w:val="21"/>
        </w:rPr>
      </w:pPr>
      <w:r>
        <w:rPr>
          <w:rFonts w:hint="eastAsia" w:ascii="宋体" w:hAnsi="宋体" w:eastAsia="宋体" w:cs="宋体"/>
          <w:color w:val="auto"/>
          <w:sz w:val="24"/>
          <w:szCs w:val="21"/>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hint="eastAsia" w:ascii="宋体" w:hAnsi="宋体" w:eastAsia="宋体" w:cs="宋体"/>
          <w:color w:val="auto"/>
          <w:sz w:val="24"/>
          <w:szCs w:val="21"/>
        </w:rPr>
      </w:pPr>
      <w:r>
        <w:rPr>
          <w:rFonts w:hint="eastAsia" w:ascii="宋体" w:hAnsi="宋体" w:eastAsia="宋体" w:cs="宋体"/>
          <w:color w:val="auto"/>
          <w:sz w:val="24"/>
          <w:szCs w:val="21"/>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20" w:leftChars="200"/>
        <w:rPr>
          <w:rFonts w:hint="eastAsia" w:ascii="宋体" w:hAnsi="宋体" w:eastAsia="宋体" w:cs="宋体"/>
          <w:color w:val="auto"/>
          <w:sz w:val="24"/>
          <w:szCs w:val="21"/>
        </w:rPr>
      </w:pPr>
      <w:r>
        <w:rPr>
          <w:rFonts w:hint="eastAsia" w:ascii="宋体" w:hAnsi="宋体" w:eastAsia="宋体" w:cs="宋体"/>
          <w:color w:val="auto"/>
          <w:sz w:val="24"/>
          <w:szCs w:val="21"/>
        </w:rPr>
        <w:t>《CA管理学习专题》：</w:t>
      </w:r>
    </w:p>
    <w:p>
      <w:pPr>
        <w:adjustRightInd w:val="0"/>
        <w:spacing w:line="360" w:lineRule="auto"/>
        <w:ind w:left="420" w:leftChars="200"/>
        <w:rPr>
          <w:rFonts w:hint="eastAsia" w:ascii="宋体" w:hAnsi="宋体" w:eastAsia="宋体" w:cs="宋体"/>
          <w:color w:val="auto"/>
          <w:sz w:val="24"/>
          <w:szCs w:val="21"/>
        </w:rPr>
      </w:pPr>
      <w:r>
        <w:rPr>
          <w:rFonts w:hint="eastAsia" w:ascii="宋体" w:hAnsi="宋体" w:eastAsia="宋体" w:cs="宋体"/>
          <w:color w:val="auto"/>
          <w:sz w:val="24"/>
          <w:szCs w:val="21"/>
        </w:rPr>
        <w:t>https</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//edu.zcygov.cn/luban/ca?utm=web-government-front.380aac0a.0.0.fc2b6aa0b6e211ebbdb0dd007730dd44</w:t>
      </w:r>
    </w:p>
    <w:p>
      <w:pPr>
        <w:adjustRightInd w:val="0"/>
        <w:spacing w:line="360" w:lineRule="auto"/>
        <w:ind w:left="420" w:leftChars="200"/>
        <w:rPr>
          <w:rFonts w:hint="eastAsia" w:ascii="宋体" w:hAnsi="宋体" w:eastAsia="宋体" w:cs="宋体"/>
          <w:color w:val="auto"/>
          <w:sz w:val="24"/>
          <w:szCs w:val="21"/>
          <w:lang w:eastAsia="zh-CN"/>
        </w:rPr>
      </w:pPr>
      <w:r>
        <w:rPr>
          <w:rFonts w:hint="eastAsia" w:ascii="宋体" w:hAnsi="宋体" w:eastAsia="宋体" w:cs="宋体"/>
          <w:color w:val="auto"/>
          <w:sz w:val="24"/>
          <w:szCs w:val="21"/>
        </w:rPr>
        <w:t>《CA驱动和申领流程》</w:t>
      </w:r>
      <w:r>
        <w:rPr>
          <w:rFonts w:hint="eastAsia" w:ascii="宋体" w:hAnsi="宋体" w:eastAsia="宋体" w:cs="宋体"/>
          <w:color w:val="auto"/>
          <w:sz w:val="24"/>
          <w:szCs w:val="21"/>
          <w:lang w:eastAsia="zh-CN"/>
        </w:rPr>
        <w:t>：</w:t>
      </w:r>
    </w:p>
    <w:p>
      <w:pPr>
        <w:adjustRightInd w:val="0"/>
        <w:spacing w:line="360" w:lineRule="auto"/>
        <w:ind w:left="420" w:leftChars="200"/>
        <w:rPr>
          <w:rFonts w:hint="eastAsia" w:ascii="宋体" w:hAnsi="宋体" w:eastAsia="宋体" w:cs="宋体"/>
          <w:color w:val="auto"/>
          <w:sz w:val="24"/>
        </w:rPr>
      </w:pPr>
      <w:r>
        <w:rPr>
          <w:rFonts w:hint="eastAsia" w:ascii="宋体" w:hAnsi="宋体" w:eastAsia="宋体" w:cs="宋体"/>
          <w:color w:val="auto"/>
          <w:sz w:val="24"/>
          <w:szCs w:val="21"/>
        </w:rPr>
        <w:fldChar w:fldCharType="begin"/>
      </w:r>
      <w:r>
        <w:rPr>
          <w:rFonts w:hint="eastAsia" w:ascii="宋体" w:hAnsi="宋体" w:eastAsia="宋体" w:cs="宋体"/>
          <w:color w:val="auto"/>
          <w:sz w:val="24"/>
          <w:szCs w:val="21"/>
        </w:rPr>
        <w:instrText xml:space="preserve"> HYPERLINK "http://zfcg.czt.zj.gov.cn/bidClientTemplate/2019-05-27/12945.html" </w:instrText>
      </w:r>
      <w:r>
        <w:rPr>
          <w:rFonts w:hint="eastAsia" w:ascii="宋体" w:hAnsi="宋体" w:eastAsia="宋体" w:cs="宋体"/>
          <w:color w:val="auto"/>
          <w:sz w:val="24"/>
          <w:szCs w:val="21"/>
        </w:rPr>
        <w:fldChar w:fldCharType="separate"/>
      </w:r>
      <w:r>
        <w:rPr>
          <w:rFonts w:hint="eastAsia" w:ascii="宋体" w:hAnsi="宋体" w:eastAsia="宋体" w:cs="宋体"/>
          <w:color w:val="auto"/>
          <w:sz w:val="24"/>
          <w:szCs w:val="21"/>
        </w:rPr>
        <w:t>http</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//zfcg.czt.zj.gov.cn/bidClientTemplate/2019-05-27/12945.html</w:t>
      </w:r>
      <w:r>
        <w:rPr>
          <w:rFonts w:hint="eastAsia" w:ascii="宋体" w:hAnsi="宋体" w:eastAsia="宋体" w:cs="宋体"/>
          <w:color w:val="auto"/>
          <w:sz w:val="24"/>
          <w:szCs w:val="21"/>
        </w:rPr>
        <w:fldChar w:fldCharType="end"/>
      </w:r>
    </w:p>
    <w:p>
      <w:pPr>
        <w:numPr>
          <w:ilvl w:val="0"/>
          <w:numId w:val="6"/>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投标文件制作：</w:t>
      </w:r>
    </w:p>
    <w:p>
      <w:pPr>
        <w:numPr>
          <w:ilvl w:val="0"/>
          <w:numId w:val="7"/>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应按照本项目招标文件和政采云平台的要求编制、加密并递交投标文件。供应商在使用系统进行投标的过程中遇到涉及平台使用的任何问题，可致电政采云平台技术支持热线咨询，联系方式：400-881-7190。</w:t>
      </w:r>
    </w:p>
    <w:p>
      <w:pPr>
        <w:numPr>
          <w:ilvl w:val="0"/>
          <w:numId w:val="7"/>
        </w:numPr>
        <w:wordWrap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投标人通过“政采云”平台电子投标工具制作投标文件。</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《电子投标工具》：</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"http://zfcg.czt.zj.gov.cn/bidClientTemplate/2019-09-24/12975.html" </w:instrText>
      </w:r>
      <w:r>
        <w:rPr>
          <w:rFonts w:hint="eastAsia" w:ascii="宋体" w:hAnsi="宋体" w:eastAsia="宋体" w:cs="宋体"/>
          <w:color w:val="auto"/>
          <w:sz w:val="24"/>
        </w:rPr>
        <w:fldChar w:fldCharType="separate"/>
      </w:r>
      <w:r>
        <w:rPr>
          <w:rFonts w:hint="eastAsia" w:ascii="宋体" w:hAnsi="宋体" w:eastAsia="宋体" w:cs="宋体"/>
          <w:color w:val="auto"/>
          <w:sz w:val="24"/>
        </w:rPr>
        <w:t>http</w:t>
      </w:r>
      <w:r>
        <w:rPr>
          <w:rFonts w:hint="eastAsia" w:ascii="宋体" w:hAnsi="宋体" w:eastAsia="宋体" w:cs="宋体"/>
          <w:color w:val="auto"/>
          <w:sz w:val="24"/>
          <w:lang w:eastAsia="zh-CN"/>
        </w:rPr>
        <w:t>：</w:t>
      </w:r>
      <w:r>
        <w:rPr>
          <w:rFonts w:hint="eastAsia" w:ascii="宋体" w:hAnsi="宋体" w:eastAsia="宋体" w:cs="宋体"/>
          <w:color w:val="auto"/>
          <w:sz w:val="24"/>
        </w:rPr>
        <w:t>//zfcg.czt.zj.gov.cn/bidClientTemplate/2019-09-24/12975.html</w:t>
      </w:r>
      <w:r>
        <w:rPr>
          <w:rFonts w:hint="eastAsia" w:ascii="宋体" w:hAnsi="宋体" w:eastAsia="宋体" w:cs="宋体"/>
          <w:color w:val="auto"/>
          <w:sz w:val="24"/>
        </w:rPr>
        <w:fldChar w:fldCharType="end"/>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《供应商-政府采购项目电子交易操作指南》：(需登录账号后查看)</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"https://service.zcygov.cn/#/knowledges/tree?tag=AG1DtGwBFdiHxlNdhY0r" </w:instrText>
      </w:r>
      <w:r>
        <w:rPr>
          <w:rFonts w:hint="eastAsia" w:ascii="宋体" w:hAnsi="宋体" w:eastAsia="宋体" w:cs="宋体"/>
          <w:color w:val="auto"/>
          <w:sz w:val="24"/>
        </w:rPr>
        <w:fldChar w:fldCharType="separate"/>
      </w:r>
      <w:r>
        <w:rPr>
          <w:rFonts w:hint="eastAsia" w:ascii="宋体" w:hAnsi="宋体" w:eastAsia="宋体" w:cs="宋体"/>
          <w:color w:val="auto"/>
          <w:sz w:val="24"/>
        </w:rPr>
        <w:t>https</w:t>
      </w:r>
      <w:r>
        <w:rPr>
          <w:rFonts w:hint="eastAsia" w:ascii="宋体" w:hAnsi="宋体" w:eastAsia="宋体" w:cs="宋体"/>
          <w:color w:val="auto"/>
          <w:sz w:val="24"/>
          <w:lang w:eastAsia="zh-CN"/>
        </w:rPr>
        <w:t>：</w:t>
      </w:r>
      <w:r>
        <w:rPr>
          <w:rFonts w:hint="eastAsia" w:ascii="宋体" w:hAnsi="宋体" w:eastAsia="宋体" w:cs="宋体"/>
          <w:color w:val="auto"/>
          <w:sz w:val="24"/>
        </w:rPr>
        <w:t>//service.zcygov.cn/#/knowledges/tree?tag=AG1DtGwBFdiHxlNdhY0r</w:t>
      </w:r>
      <w:r>
        <w:rPr>
          <w:rFonts w:hint="eastAsia" w:ascii="宋体" w:hAnsi="宋体" w:eastAsia="宋体" w:cs="宋体"/>
          <w:color w:val="auto"/>
          <w:sz w:val="24"/>
        </w:rPr>
        <w:fldChar w:fldCharType="end"/>
      </w:r>
    </w:p>
    <w:p>
      <w:p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4.供应商在法定质疑期内应一次性提出针对同一采购程序环节的质疑。否则质疑将不予受理。</w:t>
      </w:r>
    </w:p>
    <w:p>
      <w:p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5.投标人可指派授权代表递交备份文件，授权代表递交备份文件需携带法定代表人授权书原件，于投标截止时间前到达开标地点递交。</w:t>
      </w:r>
    </w:p>
    <w:p>
      <w:p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6.特别提醒</w:t>
      </w:r>
    </w:p>
    <w:p>
      <w:pPr>
        <w:numPr>
          <w:ilvl w:val="0"/>
          <w:numId w:val="8"/>
        </w:numPr>
        <w:wordWrap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单位负责人为同一人或者存在直接控股、管理关系的不同供应商，不得参加同一合同项下的政府采购活动。</w:t>
      </w:r>
    </w:p>
    <w:p>
      <w:pPr>
        <w:numPr>
          <w:ilvl w:val="0"/>
          <w:numId w:val="8"/>
        </w:numPr>
        <w:wordWrap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除单一来源采购项目外，为采购项目提供整体设计、规范编制或者项目管理、监理、检测等服务的供应商，不得再参加该采购项目的其他采购活动。</w:t>
      </w:r>
    </w:p>
    <w:p>
      <w:pPr>
        <w:numPr>
          <w:ilvl w:val="0"/>
          <w:numId w:val="8"/>
        </w:numPr>
        <w:wordWrap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为防止出现招标文件格式问题的出现，打开方式建议采用WPS office。</w:t>
      </w:r>
    </w:p>
    <w:p>
      <w:pPr>
        <w:numPr>
          <w:ilvl w:val="0"/>
          <w:numId w:val="8"/>
        </w:numPr>
        <w:wordWrap w:val="0"/>
        <w:adjustRightIn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进入上虞区公共资源交易场所，需进行测温、查验健康码，并佩戴口罩。请各投标人，根据省、市、区相关防疫要求，做好个人防疫工作。</w:t>
      </w:r>
    </w:p>
    <w:p>
      <w:pPr>
        <w:adjustRightInd w:val="0"/>
        <w:spacing w:line="360" w:lineRule="auto"/>
        <w:ind w:firstLine="482" w:firstLineChars="200"/>
        <w:jc w:val="left"/>
        <w:rPr>
          <w:rFonts w:hint="eastAsia" w:ascii="宋体" w:hAnsi="宋体" w:eastAsia="宋体" w:cs="宋体"/>
          <w:color w:val="FF0000"/>
          <w:sz w:val="24"/>
        </w:rPr>
      </w:pPr>
      <w:r>
        <w:rPr>
          <w:rFonts w:hint="eastAsia" w:ascii="宋体" w:hAnsi="宋体" w:eastAsia="宋体" w:cs="宋体"/>
          <w:b/>
          <w:color w:val="auto"/>
          <w:sz w:val="24"/>
        </w:rPr>
        <w:t>七、投标截止时间及要求：</w:t>
      </w:r>
      <w:r>
        <w:rPr>
          <w:rFonts w:hint="eastAsia" w:ascii="宋体" w:hAnsi="宋体" w:eastAsia="宋体" w:cs="宋体"/>
          <w:color w:val="auto"/>
          <w:sz w:val="24"/>
          <w:u w:val="single"/>
        </w:rPr>
        <w:t xml:space="preserve"> 202</w:t>
      </w:r>
      <w:r>
        <w:rPr>
          <w:rFonts w:hint="eastAsia" w:ascii="宋体" w:hAnsi="宋体" w:eastAsia="宋体" w:cs="宋体"/>
          <w:color w:val="auto"/>
          <w:sz w:val="24"/>
          <w:u w:val="single"/>
          <w:lang w:val="en-US" w:eastAsia="zh-CN"/>
        </w:rPr>
        <w:t>2</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10 </w:t>
      </w:r>
      <w:r>
        <w:rPr>
          <w:rFonts w:hint="eastAsia" w:ascii="宋体" w:hAnsi="宋体" w:eastAsia="宋体" w:cs="宋体"/>
          <w:color w:val="auto"/>
          <w:sz w:val="24"/>
        </w:rPr>
        <w:t>日 上午</w:t>
      </w:r>
      <w:r>
        <w:rPr>
          <w:rFonts w:hint="eastAsia" w:ascii="宋体" w:hAnsi="宋体" w:eastAsia="宋体" w:cs="宋体"/>
          <w:color w:val="auto"/>
          <w:sz w:val="24"/>
          <w:u w:val="single"/>
        </w:rPr>
        <w:t xml:space="preserve"> 9 </w:t>
      </w:r>
      <w:r>
        <w:rPr>
          <w:rFonts w:hint="eastAsia" w:ascii="宋体" w:hAnsi="宋体" w:eastAsia="宋体" w:cs="宋体"/>
          <w:color w:val="auto"/>
          <w:sz w:val="24"/>
        </w:rPr>
        <w:t>时</w:t>
      </w:r>
      <w:r>
        <w:rPr>
          <w:rFonts w:hint="eastAsia" w:ascii="宋体" w:hAnsi="宋体" w:eastAsia="宋体" w:cs="宋体"/>
          <w:color w:val="auto"/>
          <w:sz w:val="24"/>
          <w:u w:val="single"/>
        </w:rPr>
        <w:t xml:space="preserve"> 30 </w:t>
      </w:r>
      <w:r>
        <w:rPr>
          <w:rFonts w:hint="eastAsia" w:ascii="宋体" w:hAnsi="宋体" w:eastAsia="宋体" w:cs="宋体"/>
          <w:color w:val="auto"/>
          <w:sz w:val="24"/>
        </w:rPr>
        <w:t>分整</w:t>
      </w:r>
      <w:r>
        <w:rPr>
          <w:rFonts w:hint="eastAsia" w:ascii="宋体" w:hAnsi="宋体" w:eastAsia="宋体" w:cs="宋体"/>
          <w:bCs/>
          <w:color w:val="auto"/>
          <w:kern w:val="0"/>
          <w:sz w:val="24"/>
        </w:rPr>
        <w:t>之前将电子投标文件上传到“政采云”平台。</w:t>
      </w:r>
    </w:p>
    <w:p>
      <w:pPr>
        <w:adjustRightInd w:val="0"/>
        <w:spacing w:line="360" w:lineRule="auto"/>
        <w:ind w:firstLine="482" w:firstLineChars="200"/>
        <w:jc w:val="left"/>
        <w:rPr>
          <w:rFonts w:hint="eastAsia" w:ascii="宋体" w:hAnsi="宋体" w:eastAsia="宋体" w:cs="宋体"/>
          <w:color w:val="auto"/>
          <w:sz w:val="24"/>
        </w:rPr>
      </w:pPr>
      <w:r>
        <w:rPr>
          <w:rFonts w:hint="eastAsia" w:ascii="宋体" w:hAnsi="宋体" w:eastAsia="宋体" w:cs="宋体"/>
          <w:b/>
          <w:color w:val="auto"/>
          <w:sz w:val="24"/>
        </w:rPr>
        <w:t>八、开标时间及地点：</w:t>
      </w:r>
      <w:r>
        <w:rPr>
          <w:rFonts w:hint="eastAsia" w:ascii="宋体" w:hAnsi="宋体" w:eastAsia="宋体" w:cs="宋体"/>
          <w:color w:val="auto"/>
          <w:sz w:val="24"/>
          <w:u w:val="single"/>
        </w:rPr>
        <w:t xml:space="preserve"> 202</w:t>
      </w:r>
      <w:r>
        <w:rPr>
          <w:rFonts w:hint="eastAsia" w:ascii="宋体" w:hAnsi="宋体" w:eastAsia="宋体" w:cs="宋体"/>
          <w:color w:val="auto"/>
          <w:sz w:val="24"/>
          <w:u w:val="single"/>
          <w:lang w:val="en-US" w:eastAsia="zh-CN"/>
        </w:rPr>
        <w:t>2</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10</w:t>
      </w:r>
      <w:r>
        <w:rPr>
          <w:rFonts w:hint="eastAsia" w:ascii="宋体" w:hAnsi="宋体" w:eastAsia="宋体" w:cs="宋体"/>
          <w:color w:val="auto"/>
          <w:sz w:val="24"/>
          <w:u w:val="single"/>
        </w:rPr>
        <w:t xml:space="preserve"> </w:t>
      </w:r>
      <w:r>
        <w:rPr>
          <w:rFonts w:hint="eastAsia" w:ascii="宋体" w:hAnsi="宋体" w:eastAsia="宋体" w:cs="宋体"/>
          <w:color w:val="auto"/>
          <w:sz w:val="24"/>
        </w:rPr>
        <w:t>日 上午</w:t>
      </w:r>
      <w:r>
        <w:rPr>
          <w:rFonts w:hint="eastAsia" w:ascii="宋体" w:hAnsi="宋体" w:eastAsia="宋体" w:cs="宋体"/>
          <w:color w:val="auto"/>
          <w:sz w:val="24"/>
          <w:u w:val="single"/>
        </w:rPr>
        <w:t xml:space="preserve"> 9 </w:t>
      </w:r>
      <w:r>
        <w:rPr>
          <w:rFonts w:hint="eastAsia" w:ascii="宋体" w:hAnsi="宋体" w:eastAsia="宋体" w:cs="宋体"/>
          <w:color w:val="auto"/>
          <w:sz w:val="24"/>
        </w:rPr>
        <w:t>时</w:t>
      </w:r>
      <w:r>
        <w:rPr>
          <w:rFonts w:hint="eastAsia" w:ascii="宋体" w:hAnsi="宋体" w:eastAsia="宋体" w:cs="宋体"/>
          <w:color w:val="auto"/>
          <w:sz w:val="24"/>
          <w:u w:val="single"/>
        </w:rPr>
        <w:t xml:space="preserve"> 30 </w:t>
      </w:r>
      <w:r>
        <w:rPr>
          <w:rFonts w:hint="eastAsia" w:ascii="宋体" w:hAnsi="宋体" w:eastAsia="宋体" w:cs="宋体"/>
          <w:color w:val="auto"/>
          <w:sz w:val="24"/>
        </w:rPr>
        <w:t>分</w:t>
      </w:r>
      <w:bookmarkStart w:id="14" w:name="B30_开标地点"/>
      <w:r>
        <w:rPr>
          <w:rFonts w:hint="eastAsia" w:ascii="宋体" w:hAnsi="宋体" w:eastAsia="宋体" w:cs="宋体"/>
          <w:color w:val="auto"/>
          <w:sz w:val="24"/>
        </w:rPr>
        <w:t>整在绍兴市上虞区公共资源交易中心三楼</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375 </w:t>
      </w:r>
      <w:r>
        <w:rPr>
          <w:rFonts w:hint="eastAsia" w:ascii="宋体" w:hAnsi="宋体" w:eastAsia="宋体" w:cs="宋体"/>
          <w:color w:val="auto"/>
          <w:sz w:val="24"/>
        </w:rPr>
        <w:t>开标室开标。</w:t>
      </w:r>
      <w:bookmarkEnd w:id="14"/>
    </w:p>
    <w:p>
      <w:pPr>
        <w:pStyle w:val="19"/>
        <w:spacing w:line="360" w:lineRule="auto"/>
        <w:ind w:firstLine="480" w:firstLineChars="200"/>
        <w:rPr>
          <w:rFonts w:hint="eastAsia" w:ascii="宋体" w:hAnsi="宋体" w:eastAsia="宋体" w:cs="宋体"/>
          <w:bCs/>
          <w:strike/>
          <w:color w:val="auto"/>
          <w:kern w:val="0"/>
          <w:sz w:val="24"/>
          <w:szCs w:val="24"/>
        </w:rPr>
      </w:pPr>
      <w:r>
        <w:rPr>
          <w:rFonts w:hint="eastAsia" w:ascii="宋体" w:hAnsi="宋体" w:eastAsia="宋体" w:cs="宋体"/>
          <w:color w:val="auto"/>
          <w:sz w:val="24"/>
          <w:szCs w:val="24"/>
        </w:rPr>
        <w:t>开标时间后30分钟内（当日 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 xml:space="preserve">0前）供应商可以登录“政采云”平台，用“项目采购-开标评标”功能进行解密投标文件。若供应商在规定时间内（当日10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00前）解密失败，则由采购代理机构工作人员上传投标人提供的备份文件。备份文件（后缀名为.bfbs）须存储在U盘中，与上传的电子投标文件一致，用信封进行密封并盖章，由授权代表在投标截止时间前递交至开标地点。若电子投标文件正常解锁，则U盘退还给供应商；若解锁失败，则由采购代理机构将U盘中的备份文件上传，该U盘将由采购代理机构保存。</w:t>
      </w:r>
    </w:p>
    <w:p>
      <w:p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本次开标（不）提供现场视频。</w:t>
      </w:r>
    </w:p>
    <w:p>
      <w:pPr>
        <w:adjustRightIn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九． 投标保证金：</w:t>
      </w:r>
      <w:r>
        <w:rPr>
          <w:rFonts w:hint="eastAsia" w:ascii="宋体" w:hAnsi="宋体" w:eastAsia="宋体" w:cs="宋体"/>
          <w:color w:val="auto"/>
          <w:sz w:val="24"/>
        </w:rPr>
        <w:t>无</w:t>
      </w:r>
    </w:p>
    <w:p>
      <w:pPr>
        <w:adjustRightIn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十．公告期限：</w:t>
      </w:r>
      <w:r>
        <w:rPr>
          <w:rFonts w:hint="eastAsia" w:ascii="宋体" w:hAnsi="宋体" w:eastAsia="宋体" w:cs="宋体"/>
          <w:color w:val="auto"/>
          <w:sz w:val="24"/>
        </w:rPr>
        <w:t>5个工作日</w:t>
      </w:r>
    </w:p>
    <w:p>
      <w:pPr>
        <w:adjustRightIn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十一．联系方式</w:t>
      </w:r>
    </w:p>
    <w:p>
      <w:pPr>
        <w:adjustRightInd w:val="0"/>
        <w:spacing w:line="360" w:lineRule="auto"/>
        <w:ind w:firstLine="480" w:firstLineChars="200"/>
        <w:outlineLvl w:val="1"/>
        <w:rPr>
          <w:rFonts w:hint="eastAsia" w:ascii="宋体" w:hAnsi="宋体" w:eastAsia="宋体" w:cs="宋体"/>
          <w:color w:val="auto"/>
          <w:sz w:val="24"/>
        </w:rPr>
      </w:pPr>
      <w:bookmarkStart w:id="15" w:name="_Toc13205"/>
      <w:bookmarkStart w:id="16" w:name="_Toc5786"/>
      <w:bookmarkStart w:id="17" w:name="_Toc22173"/>
      <w:bookmarkStart w:id="18" w:name="_Toc29067"/>
      <w:bookmarkStart w:id="19" w:name="_Toc1032"/>
      <w:r>
        <w:rPr>
          <w:rFonts w:hint="eastAsia" w:ascii="宋体" w:hAnsi="宋体" w:eastAsia="宋体" w:cs="宋体"/>
          <w:color w:val="auto"/>
          <w:sz w:val="24"/>
        </w:rPr>
        <w:t>1、采购代理机构名称：浙江宇康工程管理咨询有限公司</w:t>
      </w:r>
      <w:bookmarkEnd w:id="15"/>
      <w:bookmarkEnd w:id="16"/>
    </w:p>
    <w:p>
      <w:pPr>
        <w:adjustRightInd w:val="0"/>
        <w:spacing w:line="360" w:lineRule="auto"/>
        <w:ind w:firstLine="480" w:firstLineChars="200"/>
        <w:rPr>
          <w:rFonts w:hint="eastAsia" w:ascii="宋体" w:hAnsi="宋体" w:cs="宋体"/>
          <w:color w:val="auto"/>
          <w:sz w:val="24"/>
          <w:highlight w:val="none"/>
        </w:rPr>
      </w:pPr>
      <w:bookmarkStart w:id="20" w:name="_Toc31978"/>
      <w:bookmarkStart w:id="21" w:name="_Toc14681"/>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曹</w:t>
      </w:r>
      <w:r>
        <w:rPr>
          <w:rFonts w:hint="eastAsia" w:ascii="宋体" w:hAnsi="宋体" w:cs="宋体"/>
          <w:color w:val="auto"/>
          <w:sz w:val="24"/>
          <w:highlight w:val="none"/>
        </w:rPr>
        <w:t>先生</w:t>
      </w:r>
    </w:p>
    <w:p>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13858539713</w:t>
      </w:r>
    </w:p>
    <w:p>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地址：绍兴市上虞区江东北路588号百官广场30楼</w:t>
      </w:r>
    </w:p>
    <w:p>
      <w:pPr>
        <w:adjustRightInd w:val="0"/>
        <w:spacing w:line="360" w:lineRule="auto"/>
        <w:ind w:firstLine="480" w:firstLineChars="200"/>
        <w:outlineLvl w:val="1"/>
        <w:rPr>
          <w:rFonts w:hint="eastAsia" w:ascii="宋体" w:hAnsi="宋体" w:eastAsia="宋体" w:cs="宋体"/>
          <w:color w:val="auto"/>
          <w:sz w:val="24"/>
          <w:lang w:eastAsia="zh-CN"/>
        </w:rPr>
      </w:pPr>
      <w:r>
        <w:rPr>
          <w:rFonts w:hint="eastAsia" w:ascii="宋体" w:hAnsi="宋体" w:eastAsia="宋体" w:cs="宋体"/>
          <w:color w:val="auto"/>
          <w:sz w:val="24"/>
        </w:rPr>
        <w:t>2、采购人名称：</w:t>
      </w:r>
      <w:bookmarkEnd w:id="17"/>
      <w:bookmarkEnd w:id="18"/>
      <w:bookmarkEnd w:id="19"/>
      <w:bookmarkEnd w:id="20"/>
      <w:bookmarkEnd w:id="21"/>
      <w:r>
        <w:rPr>
          <w:rFonts w:hint="eastAsia" w:ascii="宋体" w:hAnsi="宋体" w:eastAsia="宋体" w:cs="宋体"/>
          <w:color w:val="auto"/>
          <w:sz w:val="24"/>
          <w:lang w:eastAsia="zh-CN"/>
        </w:rPr>
        <w:t>上虞区丰惠镇人民政府</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u w:val="none"/>
        </w:rPr>
      </w:pPr>
      <w:bookmarkStart w:id="22" w:name="_Toc17866"/>
      <w:bookmarkStart w:id="23" w:name="_Toc1240"/>
      <w:bookmarkStart w:id="24" w:name="_Toc11923"/>
      <w:bookmarkStart w:id="25" w:name="_Toc20572"/>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卢女士</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0575-</w:t>
      </w:r>
      <w:r>
        <w:rPr>
          <w:rFonts w:hint="eastAsia" w:ascii="宋体" w:hAnsi="宋体" w:eastAsia="宋体" w:cs="宋体"/>
          <w:color w:val="auto"/>
          <w:sz w:val="24"/>
          <w:szCs w:val="24"/>
        </w:rPr>
        <w:t>82081029</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 xml:space="preserve">        </w:t>
      </w:r>
    </w:p>
    <w:p>
      <w:pPr>
        <w:adjustRightInd w:val="0"/>
        <w:spacing w:line="360" w:lineRule="auto"/>
        <w:ind w:firstLine="480" w:firstLineChars="200"/>
        <w:outlineLvl w:val="1"/>
        <w:rPr>
          <w:rFonts w:hint="eastAsia" w:ascii="宋体" w:hAnsi="宋体" w:eastAsia="宋体" w:cs="宋体"/>
          <w:color w:val="auto"/>
          <w:sz w:val="24"/>
        </w:rPr>
      </w:pPr>
      <w:bookmarkStart w:id="26" w:name="_Toc13036"/>
      <w:r>
        <w:rPr>
          <w:rFonts w:hint="eastAsia" w:ascii="宋体" w:hAnsi="宋体" w:eastAsia="宋体" w:cs="宋体"/>
          <w:color w:val="auto"/>
          <w:sz w:val="24"/>
        </w:rPr>
        <w:t>3、同级政府采购监督管理部门名称：上虞区财政局政府采购监管科</w:t>
      </w:r>
      <w:bookmarkEnd w:id="22"/>
      <w:bookmarkEnd w:id="23"/>
      <w:bookmarkEnd w:id="24"/>
      <w:bookmarkEnd w:id="25"/>
      <w:bookmarkEnd w:id="26"/>
    </w:p>
    <w:p>
      <w:pPr>
        <w:adjustRightInd w:val="0"/>
        <w:spacing w:line="360" w:lineRule="auto"/>
        <w:ind w:firstLine="480" w:firstLineChars="200"/>
        <w:outlineLvl w:val="1"/>
        <w:rPr>
          <w:rFonts w:hint="eastAsia" w:ascii="宋体" w:hAnsi="宋体" w:eastAsia="宋体" w:cs="宋体"/>
          <w:color w:val="auto"/>
          <w:sz w:val="24"/>
        </w:rPr>
      </w:pPr>
      <w:bookmarkStart w:id="27" w:name="_Toc9979"/>
      <w:bookmarkStart w:id="28" w:name="_Toc14389"/>
      <w:r>
        <w:rPr>
          <w:rFonts w:hint="eastAsia" w:ascii="宋体" w:hAnsi="宋体" w:eastAsia="宋体" w:cs="宋体"/>
          <w:color w:val="auto"/>
          <w:sz w:val="24"/>
        </w:rPr>
        <w:t>联系人：许女士</w:t>
      </w:r>
      <w:bookmarkEnd w:id="27"/>
      <w:bookmarkEnd w:id="28"/>
    </w:p>
    <w:p>
      <w:p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监督投诉电话：0575-82130212</w:t>
      </w:r>
    </w:p>
    <w:p>
      <w:p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传真：0575-82130212</w:t>
      </w:r>
    </w:p>
    <w:p>
      <w:p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地址：绍兴市上虞区体育场路18号</w:t>
      </w:r>
    </w:p>
    <w:p>
      <w:pPr>
        <w:spacing w:line="360" w:lineRule="auto"/>
        <w:jc w:val="center"/>
        <w:outlineLvl w:val="0"/>
        <w:rPr>
          <w:rFonts w:hint="eastAsia" w:ascii="宋体" w:hAnsi="宋体" w:eastAsia="宋体" w:cs="宋体"/>
          <w:b/>
          <w:color w:val="auto"/>
          <w:sz w:val="36"/>
          <w:szCs w:val="20"/>
        </w:rPr>
      </w:pPr>
      <w:bookmarkStart w:id="29" w:name="_Toc26472"/>
      <w:bookmarkStart w:id="30" w:name="_Toc23343"/>
      <w:r>
        <w:rPr>
          <w:rFonts w:hint="eastAsia" w:ascii="宋体" w:hAnsi="宋体" w:eastAsia="宋体" w:cs="宋体"/>
          <w:b/>
          <w:color w:val="auto"/>
          <w:sz w:val="36"/>
          <w:szCs w:val="20"/>
        </w:rPr>
        <w:br w:type="page"/>
      </w:r>
      <w:bookmarkStart w:id="31" w:name="_Toc7203"/>
      <w:r>
        <w:rPr>
          <w:rFonts w:hint="eastAsia" w:ascii="宋体" w:hAnsi="宋体" w:eastAsia="宋体" w:cs="宋体"/>
          <w:b/>
          <w:color w:val="auto"/>
          <w:sz w:val="36"/>
          <w:szCs w:val="20"/>
        </w:rPr>
        <w:t>第二部分</w:t>
      </w:r>
      <w:bookmarkEnd w:id="10"/>
      <w:r>
        <w:rPr>
          <w:rFonts w:hint="eastAsia" w:ascii="宋体" w:hAnsi="宋体" w:eastAsia="宋体" w:cs="宋体"/>
          <w:b/>
          <w:color w:val="auto"/>
          <w:sz w:val="36"/>
          <w:szCs w:val="20"/>
        </w:rPr>
        <w:t xml:space="preserve">   投标须知</w:t>
      </w:r>
      <w:bookmarkEnd w:id="11"/>
      <w:bookmarkEnd w:id="29"/>
      <w:bookmarkEnd w:id="30"/>
      <w:bookmarkEnd w:id="31"/>
    </w:p>
    <w:p>
      <w:pPr>
        <w:widowControl/>
        <w:adjustRightInd w:val="0"/>
        <w:snapToGrid w:val="0"/>
        <w:spacing w:line="360" w:lineRule="auto"/>
        <w:jc w:val="center"/>
        <w:outlineLvl w:val="1"/>
        <w:rPr>
          <w:rFonts w:hint="eastAsia" w:ascii="宋体" w:hAnsi="宋体" w:eastAsia="宋体" w:cs="宋体"/>
          <w:b/>
          <w:snapToGrid w:val="0"/>
          <w:color w:val="auto"/>
          <w:kern w:val="0"/>
          <w:sz w:val="32"/>
          <w:szCs w:val="32"/>
        </w:rPr>
      </w:pPr>
      <w:bookmarkStart w:id="32" w:name="_Toc11679"/>
      <w:bookmarkStart w:id="33" w:name="_Toc28076"/>
      <w:r>
        <w:rPr>
          <w:rFonts w:hint="eastAsia" w:ascii="宋体" w:hAnsi="宋体" w:eastAsia="宋体" w:cs="宋体"/>
          <w:b/>
          <w:snapToGrid w:val="0"/>
          <w:color w:val="auto"/>
          <w:kern w:val="0"/>
          <w:sz w:val="30"/>
          <w:szCs w:val="30"/>
        </w:rPr>
        <w:t>前附表</w:t>
      </w:r>
      <w:bookmarkEnd w:id="32"/>
      <w:bookmarkEnd w:id="33"/>
    </w:p>
    <w:tbl>
      <w:tblPr>
        <w:tblStyle w:val="36"/>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67" w:hRule="atLeast"/>
          <w:tblHeader/>
          <w:jc w:val="center"/>
        </w:trPr>
        <w:tc>
          <w:tcPr>
            <w:tcW w:w="648" w:type="dxa"/>
            <w:noWrap w:val="0"/>
            <w:vAlign w:val="center"/>
          </w:tcPr>
          <w:p>
            <w:pPr>
              <w:snapToGrid w:val="0"/>
              <w:spacing w:line="36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序号</w:t>
            </w:r>
          </w:p>
        </w:tc>
        <w:tc>
          <w:tcPr>
            <w:tcW w:w="1800" w:type="dxa"/>
            <w:noWrap w:val="0"/>
            <w:vAlign w:val="center"/>
          </w:tcPr>
          <w:p>
            <w:pPr>
              <w:snapToGrid w:val="0"/>
              <w:spacing w:line="36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项目</w:t>
            </w:r>
          </w:p>
        </w:tc>
        <w:tc>
          <w:tcPr>
            <w:tcW w:w="6682" w:type="dxa"/>
            <w:noWrap w:val="0"/>
            <w:vAlign w:val="center"/>
          </w:tcPr>
          <w:p>
            <w:pPr>
              <w:snapToGrid w:val="0"/>
              <w:spacing w:line="36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项目名称</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eastAsia="zh-CN"/>
              </w:rPr>
              <w:t>丰惠镇城镇环境卫生保洁服务采购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项目实施时间</w:t>
            </w:r>
          </w:p>
        </w:tc>
        <w:tc>
          <w:tcPr>
            <w:tcW w:w="6682" w:type="dxa"/>
            <w:noWrap w:val="0"/>
            <w:vAlign w:val="center"/>
          </w:tcPr>
          <w:p>
            <w:pPr>
              <w:snapToGrid w:val="0"/>
              <w:spacing w:line="360" w:lineRule="exact"/>
              <w:ind w:firstLine="422" w:firstLineChars="200"/>
              <w:rPr>
                <w:rFonts w:hint="eastAsia" w:ascii="宋体" w:hAnsi="宋体" w:eastAsia="宋体" w:cs="宋体"/>
                <w:snapToGrid w:val="0"/>
                <w:color w:val="auto"/>
                <w:kern w:val="0"/>
                <w:szCs w:val="21"/>
              </w:rPr>
            </w:pPr>
            <w:r>
              <w:rPr>
                <w:rFonts w:hint="eastAsia" w:ascii="宋体" w:hAnsi="宋体" w:eastAsia="宋体" w:cs="宋体"/>
                <w:b/>
                <w:bCs/>
                <w:snapToGrid w:val="0"/>
                <w:color w:val="auto"/>
                <w:kern w:val="0"/>
                <w:szCs w:val="21"/>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w:t>
            </w:r>
          </w:p>
        </w:tc>
        <w:tc>
          <w:tcPr>
            <w:tcW w:w="1800" w:type="dxa"/>
            <w:noWrap w:val="0"/>
            <w:vAlign w:val="center"/>
          </w:tcPr>
          <w:p>
            <w:pPr>
              <w:snapToGrid w:val="0"/>
              <w:spacing w:line="36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最高限价</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val="en-US" w:eastAsia="zh-CN"/>
              </w:rPr>
              <w:t>本项目</w:t>
            </w:r>
            <w:r>
              <w:rPr>
                <w:rFonts w:hint="eastAsia" w:ascii="宋体" w:hAnsi="宋体" w:eastAsia="宋体" w:cs="宋体"/>
                <w:snapToGrid w:val="0"/>
                <w:color w:val="auto"/>
                <w:kern w:val="0"/>
                <w:szCs w:val="21"/>
              </w:rPr>
              <w:t>最高限价</w:t>
            </w:r>
            <w:r>
              <w:rPr>
                <w:rFonts w:hint="eastAsia" w:ascii="宋体" w:hAnsi="宋体" w:eastAsia="宋体" w:cs="宋体"/>
                <w:snapToGrid w:val="0"/>
                <w:color w:val="auto"/>
                <w:kern w:val="0"/>
                <w:szCs w:val="21"/>
                <w:lang w:val="en-US" w:eastAsia="zh-CN"/>
              </w:rPr>
              <w:t>为</w:t>
            </w:r>
            <w:r>
              <w:rPr>
                <w:rFonts w:hint="eastAsia" w:ascii="宋体" w:hAnsi="宋体" w:eastAsia="宋体" w:cs="宋体"/>
                <w:snapToGrid w:val="0"/>
                <w:color w:val="auto"/>
                <w:kern w:val="0"/>
                <w:szCs w:val="21"/>
              </w:rPr>
              <w:t>人民币</w:t>
            </w:r>
            <w:r>
              <w:rPr>
                <w:rFonts w:hint="eastAsia" w:ascii="宋体" w:hAnsi="宋体" w:eastAsia="宋体" w:cs="宋体"/>
                <w:snapToGrid w:val="0"/>
                <w:color w:val="auto"/>
                <w:kern w:val="0"/>
                <w:szCs w:val="21"/>
                <w:u w:val="single"/>
                <w:lang w:val="en-US" w:eastAsia="zh-CN"/>
              </w:rPr>
              <w:t>11444995.53</w:t>
            </w:r>
            <w:r>
              <w:rPr>
                <w:rFonts w:hint="eastAsia" w:ascii="宋体" w:hAnsi="宋体" w:eastAsia="宋体" w:cs="宋体"/>
                <w:snapToGrid w:val="0"/>
                <w:color w:val="auto"/>
                <w:kern w:val="0"/>
                <w:szCs w:val="21"/>
              </w:rPr>
              <w:t>元</w:t>
            </w:r>
            <w:r>
              <w:rPr>
                <w:rFonts w:hint="eastAsia" w:ascii="宋体" w:hAnsi="宋体" w:eastAsia="宋体" w:cs="宋体"/>
                <w:snapToGrid w:val="0"/>
                <w:color w:val="auto"/>
                <w:kern w:val="0"/>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资格审查方式</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踏勘现场</w:t>
            </w:r>
          </w:p>
        </w:tc>
        <w:tc>
          <w:tcPr>
            <w:tcW w:w="6682" w:type="dxa"/>
            <w:noWrap w:val="0"/>
            <w:vAlign w:val="center"/>
          </w:tcPr>
          <w:p>
            <w:pPr>
              <w:snapToGrid w:val="0"/>
              <w:spacing w:line="360" w:lineRule="exact"/>
              <w:ind w:firstLine="422" w:firstLineChars="200"/>
              <w:rPr>
                <w:rFonts w:hint="eastAsia" w:ascii="宋体" w:hAnsi="宋体" w:eastAsia="宋体" w:cs="宋体"/>
                <w:snapToGrid w:val="0"/>
                <w:color w:val="auto"/>
                <w:kern w:val="0"/>
                <w:szCs w:val="21"/>
              </w:rPr>
            </w:pPr>
            <w:r>
              <w:rPr>
                <w:rFonts w:hint="eastAsia" w:ascii="宋体" w:hAnsi="宋体" w:eastAsia="宋体" w:cs="宋体"/>
                <w:b/>
                <w:snapToGrid w:val="0"/>
                <w:color w:val="auto"/>
                <w:kern w:val="0"/>
                <w:szCs w:val="21"/>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询问</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供应商对政府采购活动事项有疑问的，可以向采购机构提出询问，采购人或者招标代理机构应当在3个工作日内对供应商依法提出的询问作出答复，但答复的内容不得涉及商业秘密。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招标文件的澄清与修改</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投标文件组成</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9</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评标办法</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投标文件递交地址及截止时间</w:t>
            </w:r>
          </w:p>
        </w:tc>
        <w:tc>
          <w:tcPr>
            <w:tcW w:w="6682" w:type="dxa"/>
            <w:noWrap w:val="0"/>
            <w:vAlign w:val="center"/>
          </w:tcPr>
          <w:p>
            <w:pPr>
              <w:snapToGrid w:val="0"/>
              <w:spacing w:line="360" w:lineRule="exact"/>
              <w:ind w:firstLine="420" w:firstLineChars="200"/>
              <w:rPr>
                <w:rFonts w:hint="eastAsia" w:ascii="宋体" w:hAnsi="宋体" w:eastAsia="宋体" w:cs="宋体"/>
                <w:color w:val="auto"/>
                <w:kern w:val="0"/>
                <w:szCs w:val="21"/>
              </w:rPr>
            </w:pPr>
            <w:r>
              <w:rPr>
                <w:rFonts w:hint="eastAsia" w:ascii="宋体" w:hAnsi="宋体" w:eastAsia="宋体" w:cs="宋体"/>
                <w:snapToGrid w:val="0"/>
                <w:color w:val="auto"/>
                <w:kern w:val="0"/>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开标时间、地点</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开标时间：</w:t>
            </w:r>
            <w:r>
              <w:rPr>
                <w:rFonts w:hint="eastAsia" w:ascii="宋体" w:hAnsi="宋体" w:eastAsia="宋体" w:cs="宋体"/>
                <w:color w:val="auto"/>
                <w:kern w:val="0"/>
                <w:szCs w:val="21"/>
              </w:rPr>
              <w:t>详见招标公告</w:t>
            </w:r>
          </w:p>
          <w:p>
            <w:pPr>
              <w:snapToGrid w:val="0"/>
              <w:spacing w:line="360" w:lineRule="exact"/>
              <w:ind w:firstLine="420" w:firstLineChars="200"/>
              <w:rPr>
                <w:rFonts w:hint="eastAsia" w:ascii="宋体" w:hAnsi="宋体" w:eastAsia="宋体" w:cs="宋体"/>
                <w:color w:val="auto"/>
                <w:kern w:val="0"/>
                <w:szCs w:val="21"/>
              </w:rPr>
            </w:pPr>
            <w:r>
              <w:rPr>
                <w:rFonts w:hint="eastAsia" w:ascii="宋体" w:hAnsi="宋体" w:eastAsia="宋体" w:cs="宋体"/>
                <w:snapToGrid w:val="0"/>
                <w:color w:val="auto"/>
                <w:kern w:val="0"/>
                <w:szCs w:val="21"/>
              </w:rPr>
              <w:t>开标地点：</w:t>
            </w:r>
            <w:r>
              <w:rPr>
                <w:rFonts w:hint="eastAsia" w:ascii="宋体" w:hAnsi="宋体" w:eastAsia="宋体" w:cs="宋体"/>
                <w:color w:val="auto"/>
                <w:kern w:val="0"/>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投标有效期</w:t>
            </w:r>
          </w:p>
        </w:tc>
        <w:tc>
          <w:tcPr>
            <w:tcW w:w="6682" w:type="dxa"/>
            <w:noWrap w:val="0"/>
            <w:vAlign w:val="center"/>
          </w:tcPr>
          <w:p>
            <w:pPr>
              <w:snapToGrid w:val="0"/>
              <w:spacing w:line="36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履约保证金</w:t>
            </w:r>
          </w:p>
        </w:tc>
        <w:tc>
          <w:tcPr>
            <w:tcW w:w="6682" w:type="dxa"/>
            <w:noWrap w:val="0"/>
            <w:vAlign w:val="center"/>
          </w:tcPr>
          <w:p>
            <w:pPr>
              <w:pStyle w:val="19"/>
              <w:snapToGrid w:val="0"/>
              <w:spacing w:line="360" w:lineRule="exact"/>
              <w:ind w:firstLine="420" w:firstLineChars="200"/>
              <w:rPr>
                <w:rFonts w:hint="default" w:ascii="宋体" w:hAnsi="宋体" w:eastAsia="宋体" w:cs="宋体"/>
                <w:color w:val="auto"/>
                <w:kern w:val="0"/>
                <w:lang w:val="en-US" w:eastAsia="zh-CN"/>
              </w:rPr>
            </w:pPr>
            <w:r>
              <w:rPr>
                <w:rFonts w:hint="default" w:ascii="宋体" w:hAnsi="宋体" w:eastAsia="宋体" w:cs="宋体"/>
                <w:color w:val="auto"/>
                <w:kern w:val="0"/>
                <w:lang w:val="en-US" w:eastAsia="zh-CN"/>
              </w:rPr>
              <w:t>中标人在收到中标通知书后，需向采购人提供合同总价　2.5%的履约保证金，在中标人与采购人签订合同前递交。（投标人应当以支票、汇票、本票或者金融机构、保险公司、担保机构出具的保函等非现金形式提交）</w:t>
            </w:r>
          </w:p>
          <w:p>
            <w:pPr>
              <w:pStyle w:val="19"/>
              <w:snapToGrid w:val="0"/>
              <w:spacing w:line="360" w:lineRule="exact"/>
              <w:ind w:firstLine="420" w:firstLineChars="200"/>
              <w:rPr>
                <w:rFonts w:hint="default" w:ascii="宋体" w:hAnsi="宋体" w:eastAsia="宋体" w:cs="宋体"/>
                <w:color w:val="auto"/>
                <w:kern w:val="0"/>
                <w:lang w:val="en-US" w:eastAsia="zh-CN"/>
              </w:rPr>
            </w:pPr>
            <w:r>
              <w:rPr>
                <w:rFonts w:hint="default" w:ascii="宋体" w:hAnsi="宋体" w:eastAsia="宋体" w:cs="宋体"/>
                <w:color w:val="auto"/>
                <w:kern w:val="0"/>
                <w:lang w:val="en-US" w:eastAsia="zh-CN"/>
              </w:rPr>
              <w:t>中标人合同期满并通过招标单位总体考核后7个工作日内退还履约保证金。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采购及中标公告发布媒体</w:t>
            </w:r>
          </w:p>
        </w:tc>
        <w:tc>
          <w:tcPr>
            <w:tcW w:w="6682" w:type="dxa"/>
            <w:noWrap w:val="0"/>
            <w:vAlign w:val="center"/>
          </w:tcPr>
          <w:p>
            <w:pPr>
              <w:pStyle w:val="19"/>
              <w:snapToGrid w:val="0"/>
              <w:spacing w:line="360" w:lineRule="exact"/>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浙江省政府采购网、 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质疑</w:t>
            </w:r>
          </w:p>
        </w:tc>
        <w:tc>
          <w:tcPr>
            <w:tcW w:w="6682" w:type="dxa"/>
            <w:noWrap w:val="0"/>
            <w:vAlign w:val="center"/>
          </w:tcPr>
          <w:p>
            <w:pPr>
              <w:spacing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根据《中华人民共和国政府采购法》第五十二条、《中华人民共和国政府采购法实施条例》第五十三条、《浙江省政府采购供应商质疑处理办法》的规定：</w:t>
            </w:r>
          </w:p>
          <w:p>
            <w:pPr>
              <w:spacing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供应商认为采购文件使自己的权益受到损害的，可以在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否则质疑将不予受理。</w:t>
            </w:r>
          </w:p>
          <w:p>
            <w:pPr>
              <w:spacing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投标人如认为采购过程使自身的合法权益受到损害的，应于各采购程序环节结束之日起七个工作日内以书面形式向采购机构提出质疑；</w:t>
            </w:r>
          </w:p>
          <w:p>
            <w:pPr>
              <w:snapToGrid w:val="0"/>
              <w:spacing w:line="360" w:lineRule="exact"/>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color w:val="auto"/>
                <w:szCs w:val="21"/>
              </w:rPr>
              <w:t>投标人如认为中标结果使自身的合法权益受到损害的，应于中标或者成交结果公告期限届满之日起七个工作日内以书面形式向采购机构提出质疑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16</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投诉</w:t>
            </w:r>
          </w:p>
        </w:tc>
        <w:tc>
          <w:tcPr>
            <w:tcW w:w="6682" w:type="dxa"/>
            <w:noWrap w:val="0"/>
            <w:vAlign w:val="center"/>
          </w:tcPr>
          <w:p>
            <w:pPr>
              <w:snapToGrid w:val="0"/>
              <w:spacing w:line="360" w:lineRule="exact"/>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17</w:t>
            </w:r>
          </w:p>
        </w:tc>
        <w:tc>
          <w:tcPr>
            <w:tcW w:w="1800"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特别说明</w:t>
            </w:r>
          </w:p>
        </w:tc>
        <w:tc>
          <w:tcPr>
            <w:tcW w:w="6682" w:type="dxa"/>
            <w:noWrap w:val="0"/>
            <w:vAlign w:val="center"/>
          </w:tcPr>
          <w:p>
            <w:pPr>
              <w:pStyle w:val="19"/>
              <w:snapToGrid w:val="0"/>
              <w:spacing w:line="360" w:lineRule="exact"/>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19"/>
              <w:snapToGrid w:val="0"/>
              <w:spacing w:line="360" w:lineRule="exact"/>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9"/>
              <w:snapToGrid w:val="0"/>
              <w:spacing w:line="360" w:lineRule="exact"/>
              <w:ind w:firstLine="420" w:firstLineChars="200"/>
              <w:jc w:val="left"/>
              <w:rPr>
                <w:rFonts w:hint="eastAsia" w:ascii="宋体" w:hAnsi="宋体" w:eastAsia="宋体" w:cs="宋体"/>
                <w:b/>
                <w:color w:val="auto"/>
                <w:kern w:val="0"/>
              </w:rPr>
            </w:pPr>
            <w:r>
              <w:rPr>
                <w:rFonts w:hint="eastAsia" w:ascii="宋体" w:hAnsi="宋体" w:eastAsia="宋体" w:cs="宋体"/>
                <w:color w:val="auto"/>
                <w:kern w:val="0"/>
              </w:rPr>
              <w:t>招标文件中凡标注“</w:t>
            </w:r>
            <w:r>
              <w:rPr>
                <w:rFonts w:hint="eastAsia" w:ascii="宋体" w:hAnsi="宋体" w:eastAsia="宋体" w:cs="宋体"/>
                <w:color w:val="auto"/>
              </w:rPr>
              <w:t>★</w:t>
            </w:r>
            <w:r>
              <w:rPr>
                <w:rFonts w:hint="eastAsia" w:ascii="宋体" w:hAnsi="宋体" w:eastAsia="宋体" w:cs="宋体"/>
                <w:color w:val="auto"/>
                <w:kern w:val="0"/>
              </w:rPr>
              <w:t>”的条款均为实质性要求，不响应的投标文件将作无效标处理。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18</w:t>
            </w:r>
          </w:p>
        </w:tc>
        <w:tc>
          <w:tcPr>
            <w:tcW w:w="1800" w:type="dxa"/>
            <w:noWrap w:val="0"/>
            <w:vAlign w:val="center"/>
          </w:tcPr>
          <w:p>
            <w:pPr>
              <w:snapToGrid w:val="0"/>
              <w:jc w:val="center"/>
              <w:rPr>
                <w:rFonts w:hint="eastAsia" w:ascii="宋体" w:hAnsi="宋体" w:eastAsia="宋体" w:cs="宋体"/>
                <w:color w:val="auto"/>
                <w:szCs w:val="21"/>
              </w:rPr>
            </w:pPr>
            <w:r>
              <w:rPr>
                <w:rFonts w:hint="eastAsia" w:ascii="宋体" w:hAnsi="宋体" w:eastAsia="宋体" w:cs="宋体"/>
                <w:color w:val="auto"/>
                <w:szCs w:val="21"/>
              </w:rPr>
              <w:t>支</w:t>
            </w:r>
          </w:p>
          <w:p>
            <w:pPr>
              <w:snapToGrid w:val="0"/>
              <w:jc w:val="center"/>
              <w:rPr>
                <w:rFonts w:hint="eastAsia" w:ascii="宋体" w:hAnsi="宋体" w:eastAsia="宋体" w:cs="宋体"/>
                <w:color w:val="auto"/>
                <w:szCs w:val="21"/>
              </w:rPr>
            </w:pPr>
            <w:r>
              <w:rPr>
                <w:rFonts w:hint="eastAsia" w:ascii="宋体" w:hAnsi="宋体" w:eastAsia="宋体" w:cs="宋体"/>
                <w:color w:val="auto"/>
                <w:szCs w:val="21"/>
              </w:rPr>
              <w:t>持</w:t>
            </w:r>
          </w:p>
          <w:p>
            <w:pPr>
              <w:snapToGrid w:val="0"/>
              <w:jc w:val="center"/>
              <w:rPr>
                <w:rFonts w:hint="eastAsia" w:ascii="宋体" w:hAnsi="宋体" w:eastAsia="宋体" w:cs="宋体"/>
                <w:color w:val="auto"/>
                <w:szCs w:val="21"/>
              </w:rPr>
            </w:pPr>
            <w:r>
              <w:rPr>
                <w:rFonts w:hint="eastAsia" w:ascii="宋体" w:hAnsi="宋体" w:eastAsia="宋体" w:cs="宋体"/>
                <w:color w:val="auto"/>
                <w:szCs w:val="21"/>
              </w:rPr>
              <w:t>中</w:t>
            </w:r>
          </w:p>
          <w:p>
            <w:pPr>
              <w:snapToGrid w:val="0"/>
              <w:jc w:val="center"/>
              <w:rPr>
                <w:rFonts w:hint="eastAsia" w:ascii="宋体" w:hAnsi="宋体" w:eastAsia="宋体" w:cs="宋体"/>
                <w:color w:val="auto"/>
                <w:szCs w:val="21"/>
              </w:rPr>
            </w:pPr>
            <w:r>
              <w:rPr>
                <w:rFonts w:hint="eastAsia" w:ascii="宋体" w:hAnsi="宋体" w:eastAsia="宋体" w:cs="宋体"/>
                <w:color w:val="auto"/>
                <w:szCs w:val="21"/>
              </w:rPr>
              <w:t>小</w:t>
            </w:r>
          </w:p>
          <w:p>
            <w:pPr>
              <w:snapToGrid w:val="0"/>
              <w:jc w:val="center"/>
              <w:rPr>
                <w:rFonts w:hint="eastAsia" w:ascii="宋体" w:hAnsi="宋体" w:eastAsia="宋体" w:cs="宋体"/>
                <w:color w:val="auto"/>
                <w:szCs w:val="21"/>
              </w:rPr>
            </w:pPr>
            <w:r>
              <w:rPr>
                <w:rFonts w:hint="eastAsia" w:ascii="宋体" w:hAnsi="宋体" w:eastAsia="宋体" w:cs="宋体"/>
                <w:color w:val="auto"/>
                <w:szCs w:val="21"/>
              </w:rPr>
              <w:t>企</w:t>
            </w:r>
          </w:p>
          <w:p>
            <w:pPr>
              <w:snapToGrid w:val="0"/>
              <w:jc w:val="center"/>
              <w:rPr>
                <w:rFonts w:hint="eastAsia" w:ascii="宋体" w:hAnsi="宋体" w:eastAsia="宋体" w:cs="宋体"/>
                <w:color w:val="auto"/>
                <w:szCs w:val="21"/>
              </w:rPr>
            </w:pPr>
            <w:r>
              <w:rPr>
                <w:rFonts w:hint="eastAsia" w:ascii="宋体" w:hAnsi="宋体" w:eastAsia="宋体" w:cs="宋体"/>
                <w:color w:val="auto"/>
                <w:szCs w:val="21"/>
              </w:rPr>
              <w:t>业</w:t>
            </w:r>
          </w:p>
          <w:p>
            <w:pPr>
              <w:snapToGrid w:val="0"/>
              <w:jc w:val="center"/>
              <w:rPr>
                <w:rFonts w:hint="eastAsia" w:ascii="宋体" w:hAnsi="宋体" w:eastAsia="宋体" w:cs="宋体"/>
                <w:color w:val="auto"/>
                <w:szCs w:val="21"/>
              </w:rPr>
            </w:pPr>
          </w:p>
        </w:tc>
        <w:tc>
          <w:tcPr>
            <w:tcW w:w="6682" w:type="dxa"/>
            <w:noWrap w:val="0"/>
            <w:vAlign w:val="center"/>
          </w:tcPr>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符合中小企业划分标准的个体工商户，在政府采购活动中视同中小企业。</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在服务采购项目中，服务由小微企业承接，即提供服务的人员为小微企业依照《中华人民共和国劳动合同法》订立劳动合同的从业人员。</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联合体各方均为小型、微型企业的，联合体视同为小型、微型企业。</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符合上述条件的中小微型企业应按照招标文件附件的格式要求提供《中小企业声明函》。符合《关于促进残疾人就业政府采购政策的通知》（财库〔2017〕141号）规定的条件并提供《残疾人福利性单位声明函》（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根据浙江省财政厅发布的《浙江省财政厅关于进一步发挥政府采购政策 功能全力推动经济稳进提质的通知》（浙财采监〔2022〕3号）规定，对于非专门面向此类企业的项目，对小型和微型企业产品的投标价格给予10%的扣除，用扣除后的价格参与评审。</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eastAsia="宋体" w:cs="宋体"/>
                <w:color w:val="auto"/>
                <w:szCs w:val="21"/>
                <w:lang w:val="en-US" w:eastAsia="zh-CN"/>
              </w:rPr>
              <w:t>3</w:t>
            </w:r>
            <w:r>
              <w:rPr>
                <w:rFonts w:hint="eastAsia" w:ascii="宋体" w:hAnsi="宋体" w:eastAsia="宋体" w:cs="宋体"/>
                <w:color w:val="auto"/>
                <w:szCs w:val="21"/>
              </w:rPr>
              <w:t>%的扣除，用扣除后的价格参加评审。组成联合体或者接受分包的小微企业与联合体内其他企业、分包企业之间存在直接控股、管理关系的，不享受价格扣除优惠政策。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default"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19</w:t>
            </w:r>
          </w:p>
        </w:tc>
        <w:tc>
          <w:tcPr>
            <w:tcW w:w="1800" w:type="dxa"/>
            <w:noWrap w:val="0"/>
            <w:vAlign w:val="center"/>
          </w:tcPr>
          <w:p>
            <w:pPr>
              <w:snapToGrid w:val="0"/>
              <w:jc w:val="center"/>
              <w:rPr>
                <w:rFonts w:hint="eastAsia" w:ascii="宋体" w:hAnsi="宋体" w:eastAsia="宋体" w:cs="宋体"/>
                <w:color w:val="auto"/>
                <w:szCs w:val="21"/>
              </w:rPr>
            </w:pPr>
            <w:r>
              <w:rPr>
                <w:rFonts w:hint="eastAsia" w:ascii="宋体" w:hAnsi="宋体" w:eastAsia="宋体" w:cs="宋体"/>
                <w:color w:val="auto"/>
                <w:szCs w:val="21"/>
              </w:rPr>
              <w:t>是否提供演示</w:t>
            </w:r>
          </w:p>
        </w:tc>
        <w:tc>
          <w:tcPr>
            <w:tcW w:w="6682" w:type="dxa"/>
            <w:noWrap w:val="0"/>
            <w:vAlign w:val="center"/>
          </w:tcPr>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本项目不需要提供演示。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Cs w:val="21"/>
              </w:rPr>
              <w:t>20</w:t>
            </w:r>
          </w:p>
        </w:tc>
        <w:tc>
          <w:tcPr>
            <w:tcW w:w="1800" w:type="dxa"/>
            <w:noWrap w:val="0"/>
            <w:vAlign w:val="center"/>
          </w:tcPr>
          <w:p>
            <w:pPr>
              <w:snapToGrid w:val="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是否提供样品</w:t>
            </w:r>
          </w:p>
        </w:tc>
        <w:tc>
          <w:tcPr>
            <w:tcW w:w="6682" w:type="dxa"/>
            <w:noWrap w:val="0"/>
            <w:vAlign w:val="center"/>
          </w:tcPr>
          <w:p>
            <w:pPr>
              <w:numPr>
                <w:ilvl w:val="0"/>
                <w:numId w:val="0"/>
              </w:numPr>
              <w:ind w:leftChars="200"/>
              <w:rPr>
                <w:rFonts w:hint="eastAsia" w:ascii="宋体" w:hAnsi="宋体" w:eastAsia="宋体" w:cs="宋体"/>
                <w:color w:val="auto"/>
                <w:szCs w:val="21"/>
                <w:lang w:val="en-US" w:eastAsia="zh-CN"/>
              </w:rPr>
            </w:pPr>
            <w:r>
              <w:rPr>
                <w:rFonts w:hint="eastAsia" w:ascii="宋体" w:hAnsi="宋体" w:eastAsia="宋体" w:cs="宋体"/>
                <w:color w:val="auto"/>
                <w:szCs w:val="21"/>
              </w:rPr>
              <w:t>本项目</w:t>
            </w:r>
            <w:r>
              <w:rPr>
                <w:rFonts w:hint="eastAsia" w:ascii="宋体" w:hAnsi="宋体" w:eastAsia="宋体" w:cs="宋体"/>
                <w:color w:val="auto"/>
                <w:szCs w:val="21"/>
                <w:lang w:val="en-US" w:eastAsia="zh-CN"/>
              </w:rPr>
              <w:t>不需要提供样品。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Cs w:val="21"/>
                <w:lang w:val="en-US" w:eastAsia="zh-CN"/>
              </w:rPr>
              <w:t>21</w:t>
            </w:r>
          </w:p>
        </w:tc>
        <w:tc>
          <w:tcPr>
            <w:tcW w:w="1800" w:type="dxa"/>
            <w:noWrap w:val="0"/>
            <w:vAlign w:val="center"/>
          </w:tcPr>
          <w:p>
            <w:pPr>
              <w:snapToGrid w:val="0"/>
              <w:jc w:val="center"/>
              <w:rPr>
                <w:rFonts w:hint="eastAsia" w:ascii="宋体" w:hAnsi="宋体" w:eastAsia="宋体" w:cs="宋体"/>
                <w:color w:val="auto"/>
                <w:szCs w:val="21"/>
              </w:rPr>
            </w:pPr>
            <w:r>
              <w:rPr>
                <w:rFonts w:hint="eastAsia" w:ascii="宋体" w:hAnsi="宋体" w:eastAsia="宋体" w:cs="宋体"/>
                <w:color w:val="auto"/>
                <w:szCs w:val="21"/>
              </w:rPr>
              <w:t>投标人信用信息查询渠道及截止时点、信用信息查询记录和证据留存的具体方式、信用信息的使用规则</w:t>
            </w:r>
          </w:p>
        </w:tc>
        <w:tc>
          <w:tcPr>
            <w:tcW w:w="6682" w:type="dxa"/>
            <w:noWrap w:val="0"/>
            <w:vAlign w:val="center"/>
          </w:tcPr>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1、查询渠道：信用中国（网址：http</w:t>
            </w:r>
            <w:r>
              <w:rPr>
                <w:rFonts w:hint="eastAsia" w:ascii="宋体" w:hAnsi="宋体" w:eastAsia="宋体" w:cs="宋体"/>
                <w:color w:val="auto"/>
                <w:szCs w:val="21"/>
                <w:lang w:eastAsia="zh-CN"/>
              </w:rPr>
              <w:t>：</w:t>
            </w:r>
            <w:r>
              <w:rPr>
                <w:rFonts w:hint="eastAsia" w:ascii="宋体" w:hAnsi="宋体" w:eastAsia="宋体" w:cs="宋体"/>
                <w:color w:val="auto"/>
                <w:szCs w:val="21"/>
              </w:rPr>
              <w:t>//www.creditchina.gov.cn）、中国政府采购网(网址：http</w:t>
            </w:r>
            <w:r>
              <w:rPr>
                <w:rFonts w:hint="eastAsia" w:ascii="宋体" w:hAnsi="宋体" w:eastAsia="宋体" w:cs="宋体"/>
                <w:color w:val="auto"/>
                <w:szCs w:val="21"/>
                <w:lang w:eastAsia="zh-CN"/>
              </w:rPr>
              <w:t>：</w:t>
            </w:r>
            <w:r>
              <w:rPr>
                <w:rFonts w:hint="eastAsia" w:ascii="宋体" w:hAnsi="宋体" w:eastAsia="宋体" w:cs="宋体"/>
                <w:color w:val="auto"/>
                <w:szCs w:val="21"/>
              </w:rPr>
              <w:t>//www.ccgp.gov.cn）。</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2、截止时点：开标后评标前。</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3、信用信息查询记录和证据留存的具体方式：由采购组织机构在规定查询时间内打印信用信息查询记录并归入项目档案。</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Cs w:val="21"/>
              </w:rPr>
              <w:t>21</w:t>
            </w:r>
          </w:p>
        </w:tc>
        <w:tc>
          <w:tcPr>
            <w:tcW w:w="1800" w:type="dxa"/>
            <w:tcBorders>
              <w:bottom w:val="single" w:color="auto" w:sz="4" w:space="0"/>
            </w:tcBorders>
            <w:noWrap w:val="0"/>
            <w:vAlign w:val="center"/>
          </w:tcPr>
          <w:p>
            <w:pPr>
              <w:snapToGrid w:val="0"/>
              <w:jc w:val="center"/>
              <w:rPr>
                <w:rFonts w:hint="eastAsia" w:ascii="宋体" w:hAnsi="宋体" w:eastAsia="宋体" w:cs="宋体"/>
                <w:color w:val="auto"/>
                <w:szCs w:val="21"/>
              </w:rPr>
            </w:pPr>
            <w:r>
              <w:rPr>
                <w:rFonts w:hint="eastAsia" w:ascii="宋体" w:hAnsi="宋体" w:eastAsia="宋体" w:cs="宋体"/>
                <w:color w:val="auto"/>
                <w:szCs w:val="21"/>
              </w:rPr>
              <w:t>金融支持</w:t>
            </w:r>
          </w:p>
        </w:tc>
        <w:tc>
          <w:tcPr>
            <w:tcW w:w="6682" w:type="dxa"/>
            <w:tcBorders>
              <w:bottom w:val="single" w:color="auto" w:sz="4" w:space="0"/>
            </w:tcBorders>
            <w:noWrap w:val="0"/>
            <w:vAlign w:val="center"/>
          </w:tcPr>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648" w:type="dxa"/>
            <w:noWrap w:val="0"/>
            <w:vAlign w:val="center"/>
          </w:tcPr>
          <w:p>
            <w:pPr>
              <w:snapToGrid w:val="0"/>
              <w:spacing w:line="360" w:lineRule="exact"/>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Cs w:val="21"/>
              </w:rPr>
              <w:t>22</w:t>
            </w:r>
          </w:p>
        </w:tc>
        <w:tc>
          <w:tcPr>
            <w:tcW w:w="1800" w:type="dxa"/>
            <w:tcBorders>
              <w:top w:val="single" w:color="auto" w:sz="4" w:space="0"/>
              <w:bottom w:val="single" w:color="auto" w:sz="4" w:space="0"/>
            </w:tcBorders>
            <w:noWrap w:val="0"/>
            <w:vAlign w:val="center"/>
          </w:tcPr>
          <w:p>
            <w:pPr>
              <w:snapToGrid w:val="0"/>
              <w:jc w:val="center"/>
              <w:rPr>
                <w:rFonts w:hint="eastAsia" w:ascii="宋体" w:hAnsi="宋体" w:eastAsia="宋体" w:cs="宋体"/>
                <w:i/>
                <w:iCs/>
                <w:color w:val="auto"/>
                <w:szCs w:val="21"/>
                <w:u w:val="single"/>
              </w:rPr>
            </w:pPr>
            <w:r>
              <w:rPr>
                <w:rFonts w:hint="eastAsia" w:ascii="宋体" w:hAnsi="宋体" w:eastAsia="宋体" w:cs="宋体"/>
                <w:color w:val="auto"/>
                <w:szCs w:val="21"/>
              </w:rPr>
              <w:t>其他</w:t>
            </w:r>
          </w:p>
        </w:tc>
        <w:tc>
          <w:tcPr>
            <w:tcW w:w="6682" w:type="dxa"/>
            <w:tcBorders>
              <w:top w:val="single" w:color="auto" w:sz="4" w:space="0"/>
              <w:bottom w:val="single" w:color="auto" w:sz="4" w:space="0"/>
            </w:tcBorders>
            <w:noWrap w:val="0"/>
            <w:vAlign w:val="center"/>
          </w:tcPr>
          <w:p>
            <w:pPr>
              <w:ind w:firstLine="422" w:firstLineChars="200"/>
              <w:rPr>
                <w:rFonts w:hint="eastAsia" w:ascii="宋体" w:hAnsi="宋体" w:eastAsia="宋体" w:cs="宋体"/>
                <w:i/>
                <w:iCs/>
                <w:color w:val="auto"/>
                <w:szCs w:val="21"/>
                <w:u w:val="single"/>
              </w:rPr>
            </w:pPr>
            <w:r>
              <w:rPr>
                <w:rFonts w:hint="eastAsia" w:ascii="宋体" w:hAnsi="宋体" w:eastAsia="宋体" w:cs="宋体"/>
                <w:b/>
                <w:color w:val="auto"/>
                <w:szCs w:val="21"/>
              </w:rPr>
              <w:t>本招标文件要求提供的身份证复印件皆需提供正反面，否则按不提供处理。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648" w:type="dxa"/>
            <w:tcBorders>
              <w:bottom w:val="single" w:color="auto" w:sz="4" w:space="0"/>
            </w:tcBorders>
            <w:noWrap w:val="0"/>
            <w:vAlign w:val="center"/>
          </w:tcPr>
          <w:p>
            <w:pPr>
              <w:snapToGrid w:val="0"/>
              <w:spacing w:line="360" w:lineRule="exact"/>
              <w:jc w:val="center"/>
              <w:rPr>
                <w:rFonts w:hint="default"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23</w:t>
            </w:r>
          </w:p>
        </w:tc>
        <w:tc>
          <w:tcPr>
            <w:tcW w:w="1800" w:type="dxa"/>
            <w:tcBorders>
              <w:top w:val="single" w:color="auto" w:sz="4" w:space="0"/>
              <w:bottom w:val="single" w:color="auto" w:sz="4" w:space="0"/>
            </w:tcBorders>
            <w:noWrap w:val="0"/>
            <w:vAlign w:val="center"/>
          </w:tcPr>
          <w:p>
            <w:pPr>
              <w:snapToGrid w:val="0"/>
              <w:jc w:val="center"/>
              <w:rPr>
                <w:rFonts w:hint="eastAsia" w:ascii="宋体" w:hAnsi="宋体" w:cs="宋体"/>
                <w:color w:val="auto"/>
                <w:kern w:val="2"/>
                <w:sz w:val="21"/>
                <w:szCs w:val="24"/>
                <w:highlight w:val="none"/>
                <w:lang w:val="en-US" w:eastAsia="zh-CN" w:bidi="ar-SA"/>
              </w:rPr>
            </w:pPr>
            <w:r>
              <w:rPr>
                <w:rFonts w:hint="eastAsia" w:ascii="宋体" w:hAnsi="宋体" w:cs="宋体"/>
                <w:color w:val="auto"/>
                <w:highlight w:val="none"/>
              </w:rPr>
              <w:t>招标代理服务费</w:t>
            </w:r>
          </w:p>
        </w:tc>
        <w:tc>
          <w:tcPr>
            <w:tcW w:w="6682" w:type="dxa"/>
            <w:tcBorders>
              <w:top w:val="single" w:color="auto" w:sz="4" w:space="0"/>
              <w:bottom w:val="single" w:color="auto" w:sz="4" w:space="0"/>
            </w:tcBorders>
            <w:noWrap w:val="0"/>
            <w:vAlign w:val="center"/>
          </w:tcPr>
          <w:p>
            <w:pPr>
              <w:autoSpaceDN w:val="0"/>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招标代理服务费由成交供应商支付，按下列服务招标计算方式计取。</w:t>
            </w:r>
          </w:p>
          <w:tbl>
            <w:tblPr>
              <w:tblStyle w:val="36"/>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pStyle w:val="33"/>
                    <w:jc w:val="center"/>
                    <w:rPr>
                      <w:color w:val="auto"/>
                      <w:sz w:val="21"/>
                      <w:szCs w:val="21"/>
                      <w:highlight w:val="none"/>
                    </w:rPr>
                  </w:pPr>
                  <w:r>
                    <w:rPr>
                      <w:rFonts w:hint="eastAsia"/>
                      <w:color w:val="auto"/>
                      <w:sz w:val="21"/>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1.5％</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1.5％</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100—500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1.1％</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0.8％</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500—1000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0.8％</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0.45％</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1000—5000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0.5％</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0.25％</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5000—10000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0.25％</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0.1％</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10000——100000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0.05％</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0.05％</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1000000以上</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0.01％</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0.01％</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0.01％</w:t>
                  </w:r>
                </w:p>
              </w:tc>
            </w:tr>
          </w:tbl>
          <w:p>
            <w:pPr>
              <w:spacing w:line="340" w:lineRule="exact"/>
              <w:ind w:firstLine="420" w:firstLineChars="200"/>
              <w:rPr>
                <w:rFonts w:hint="eastAsia" w:ascii="宋体" w:hAnsi="宋体" w:cs="宋体"/>
                <w:snapToGrid w:val="0"/>
                <w:color w:val="auto"/>
                <w:kern w:val="0"/>
                <w:sz w:val="21"/>
                <w:szCs w:val="24"/>
                <w:highlight w:val="none"/>
                <w:lang w:val="en-US" w:eastAsia="zh-CN" w:bidi="ar-SA"/>
              </w:rPr>
            </w:pPr>
            <w:r>
              <w:rPr>
                <w:rFonts w:hint="eastAsia" w:ascii="宋体" w:hAnsi="宋体" w:cs="宋体"/>
                <w:snapToGrid w:val="0"/>
                <w:color w:val="auto"/>
                <w:kern w:val="0"/>
                <w:highlight w:val="none"/>
              </w:rPr>
              <w:t>结算方式及时间为：在领取中标通知书前由成交供应商一次性向采购代理机构付清。</w:t>
            </w:r>
          </w:p>
        </w:tc>
      </w:tr>
    </w:tbl>
    <w:p>
      <w:pPr>
        <w:pStyle w:val="78"/>
        <w:spacing w:before="0"/>
        <w:ind w:firstLine="420"/>
        <w:rPr>
          <w:rFonts w:hint="eastAsia" w:ascii="宋体" w:hAnsi="宋体" w:eastAsia="宋体" w:cs="宋体"/>
          <w:color w:val="auto"/>
          <w:sz w:val="21"/>
          <w:szCs w:val="21"/>
        </w:rPr>
      </w:pPr>
      <w:r>
        <w:rPr>
          <w:rFonts w:hint="eastAsia" w:ascii="宋体" w:hAnsi="宋体" w:eastAsia="宋体" w:cs="宋体"/>
          <w:color w:val="auto"/>
          <w:sz w:val="21"/>
          <w:szCs w:val="21"/>
        </w:rPr>
        <w:t>注：以上内容如有变化将另行通知。如通知其中某一内容发生变化，其余未提及的将不作变动。</w:t>
      </w:r>
    </w:p>
    <w:p>
      <w:pPr>
        <w:snapToGrid w:val="0"/>
        <w:spacing w:line="360" w:lineRule="auto"/>
        <w:jc w:val="center"/>
        <w:outlineLvl w:val="1"/>
        <w:rPr>
          <w:rFonts w:hint="eastAsia" w:ascii="宋体" w:hAnsi="宋体" w:eastAsia="宋体" w:cs="宋体"/>
          <w:b/>
          <w:color w:val="auto"/>
          <w:sz w:val="32"/>
        </w:rPr>
      </w:pPr>
      <w:r>
        <w:rPr>
          <w:rFonts w:hint="eastAsia" w:ascii="宋体" w:hAnsi="宋体" w:eastAsia="宋体" w:cs="宋体"/>
          <w:b/>
          <w:color w:val="auto"/>
          <w:sz w:val="32"/>
          <w:szCs w:val="20"/>
        </w:rPr>
        <w:br w:type="page"/>
      </w:r>
      <w:bookmarkStart w:id="34" w:name="_Toc29453"/>
      <w:bookmarkStart w:id="35" w:name="_Toc14039"/>
      <w:bookmarkStart w:id="36" w:name="_Toc14212"/>
      <w:r>
        <w:rPr>
          <w:rFonts w:hint="eastAsia" w:ascii="宋体" w:hAnsi="宋体" w:eastAsia="宋体" w:cs="宋体"/>
          <w:b/>
          <w:color w:val="auto"/>
          <w:sz w:val="32"/>
        </w:rPr>
        <w:t>一、总则</w:t>
      </w:r>
      <w:bookmarkEnd w:id="12"/>
      <w:bookmarkEnd w:id="34"/>
      <w:bookmarkEnd w:id="35"/>
      <w:bookmarkEnd w:id="36"/>
    </w:p>
    <w:p>
      <w:pPr>
        <w:pStyle w:val="19"/>
        <w:numPr>
          <w:ilvl w:val="0"/>
          <w:numId w:val="9"/>
        </w:numPr>
        <w:spacing w:line="360" w:lineRule="auto"/>
        <w:ind w:firstLine="482" w:firstLineChars="200"/>
        <w:rPr>
          <w:rFonts w:hint="eastAsia" w:ascii="宋体" w:hAnsi="宋体" w:eastAsia="宋体" w:cs="宋体"/>
          <w:b/>
          <w:color w:val="auto"/>
          <w:sz w:val="24"/>
          <w:szCs w:val="24"/>
        </w:rPr>
      </w:pPr>
      <w:bookmarkStart w:id="37" w:name="_Hlt74730295"/>
      <w:bookmarkEnd w:id="37"/>
      <w:bookmarkStart w:id="38" w:name="_Hlt74714665"/>
      <w:bookmarkEnd w:id="38"/>
      <w:bookmarkStart w:id="39" w:name="_Toc91899872"/>
      <w:bookmarkStart w:id="40" w:name="_Hlt74730112"/>
      <w:bookmarkStart w:id="41" w:name="_Hlt74730208"/>
      <w:r>
        <w:rPr>
          <w:rFonts w:hint="eastAsia" w:ascii="宋体" w:hAnsi="宋体" w:eastAsia="宋体" w:cs="宋体"/>
          <w:b/>
          <w:color w:val="auto"/>
          <w:sz w:val="24"/>
          <w:szCs w:val="24"/>
        </w:rPr>
        <w:t>项目说明</w:t>
      </w:r>
      <w:bookmarkEnd w:id="39"/>
    </w:p>
    <w:p>
      <w:pPr>
        <w:pStyle w:val="78"/>
        <w:numPr>
          <w:ilvl w:val="0"/>
          <w:numId w:val="10"/>
        </w:numPr>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项目说明见前附表所述。投标人一旦参与本次招标活动，即被视为接受了本招标文件的所有内容，如有任何异议，均已在法定时间内提出。</w:t>
      </w:r>
    </w:p>
    <w:p>
      <w:pPr>
        <w:pStyle w:val="78"/>
        <w:numPr>
          <w:ilvl w:val="0"/>
          <w:numId w:val="10"/>
        </w:numPr>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eastAsia="宋体" w:cs="宋体"/>
          <w:color w:val="auto"/>
          <w:szCs w:val="24"/>
          <w:lang w:val="zh-CN"/>
        </w:rPr>
        <w:t>供应商</w:t>
      </w:r>
      <w:r>
        <w:rPr>
          <w:rFonts w:hint="eastAsia" w:ascii="宋体" w:hAnsi="宋体" w:eastAsia="宋体" w:cs="宋体"/>
          <w:color w:val="auto"/>
          <w:szCs w:val="24"/>
        </w:rPr>
        <w:t>应承担相应后果，</w:t>
      </w:r>
      <w:r>
        <w:rPr>
          <w:rFonts w:hint="eastAsia" w:ascii="宋体" w:hAnsi="宋体" w:eastAsia="宋体" w:cs="宋体"/>
          <w:color w:val="auto"/>
          <w:szCs w:val="24"/>
          <w:lang w:val="zh-CN"/>
        </w:rPr>
        <w:t>并负责赔偿。</w:t>
      </w:r>
      <w:r>
        <w:rPr>
          <w:rFonts w:hint="eastAsia" w:ascii="宋体" w:hAnsi="宋体" w:eastAsia="宋体" w:cs="宋体"/>
          <w:color w:val="auto"/>
          <w:szCs w:val="24"/>
        </w:rPr>
        <w:t>供应商为执行本项目合同而提供的技术资料等归采购人所有。</w:t>
      </w:r>
    </w:p>
    <w:p>
      <w:pPr>
        <w:snapToGrid w:val="0"/>
        <w:spacing w:line="440" w:lineRule="exact"/>
        <w:ind w:firstLine="480" w:firstLineChars="200"/>
        <w:jc w:val="left"/>
        <w:rPr>
          <w:rFonts w:hint="eastAsia" w:ascii="宋体" w:hAnsi="宋体" w:eastAsia="宋体" w:cs="宋体"/>
          <w:color w:val="auto"/>
          <w:sz w:val="24"/>
        </w:rPr>
      </w:pPr>
      <w:bookmarkStart w:id="42" w:name="_Toc91899873"/>
      <w:r>
        <w:rPr>
          <w:rFonts w:hint="eastAsia" w:ascii="宋体" w:hAnsi="宋体" w:eastAsia="宋体" w:cs="宋体"/>
          <w:color w:val="auto"/>
          <w:sz w:val="24"/>
        </w:rPr>
        <w:t>1.3本招标文件所称公章是指单位法定名称章或者冠以单位法定名称的电子公章。</w:t>
      </w:r>
    </w:p>
    <w:p>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1.4公开招标数额标准以上的采购项目，投标截止后投标人不足3家或者通过资格审查或符合性审查的投标人不足3家的，除采购任务取消情形外，按照以下方式处理：</w:t>
      </w:r>
    </w:p>
    <w:p>
      <w:pPr>
        <w:pStyle w:val="78"/>
        <w:numPr>
          <w:ilvl w:val="0"/>
          <w:numId w:val="11"/>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招标文件存在不合理条款或者招标程序不符合规定的，采购人、采购代理机构改正后依法重新招标；</w:t>
      </w:r>
    </w:p>
    <w:p>
      <w:pPr>
        <w:pStyle w:val="78"/>
        <w:numPr>
          <w:ilvl w:val="0"/>
          <w:numId w:val="11"/>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招标文件没有不合理条款、招标程序符合规定，需要采用其他采购人式采购的，采购人应当依法报财政部门批准。</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采购</w:t>
      </w:r>
      <w:r>
        <w:rPr>
          <w:rFonts w:hint="eastAsia" w:hAnsi="宋体" w:eastAsia="宋体" w:cs="宋体"/>
          <w:b/>
          <w:color w:val="auto"/>
          <w:sz w:val="24"/>
          <w:szCs w:val="24"/>
          <w:lang w:val="en-US" w:eastAsia="zh-CN"/>
        </w:rPr>
        <w:t>方</w:t>
      </w:r>
      <w:r>
        <w:rPr>
          <w:rFonts w:hint="eastAsia" w:ascii="宋体" w:hAnsi="宋体" w:eastAsia="宋体" w:cs="宋体"/>
          <w:b/>
          <w:color w:val="auto"/>
          <w:sz w:val="24"/>
          <w:szCs w:val="24"/>
        </w:rPr>
        <w:t>式</w:t>
      </w:r>
      <w:bookmarkEnd w:id="42"/>
    </w:p>
    <w:p>
      <w:pPr>
        <w:tabs>
          <w:tab w:val="left" w:pos="378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公开招标。</w:t>
      </w:r>
      <w:bookmarkEnd w:id="40"/>
      <w:bookmarkEnd w:id="41"/>
      <w:bookmarkStart w:id="43" w:name="_Hlt74388212"/>
      <w:bookmarkEnd w:id="43"/>
      <w:bookmarkStart w:id="44" w:name="_Hlt68516771"/>
      <w:bookmarkEnd w:id="44"/>
    </w:p>
    <w:p>
      <w:pPr>
        <w:pStyle w:val="19"/>
        <w:numPr>
          <w:ilvl w:val="0"/>
          <w:numId w:val="9"/>
        </w:numPr>
        <w:spacing w:line="360" w:lineRule="auto"/>
        <w:ind w:firstLine="482" w:firstLineChars="200"/>
        <w:rPr>
          <w:rFonts w:hint="eastAsia" w:ascii="宋体" w:hAnsi="宋体" w:eastAsia="宋体" w:cs="宋体"/>
          <w:b/>
          <w:color w:val="auto"/>
          <w:sz w:val="24"/>
          <w:szCs w:val="24"/>
        </w:rPr>
      </w:pPr>
      <w:bookmarkStart w:id="45" w:name="_Toc91899877"/>
      <w:bookmarkStart w:id="46" w:name="_Hlt74730303"/>
      <w:r>
        <w:rPr>
          <w:rFonts w:hint="eastAsia" w:ascii="宋体" w:hAnsi="宋体" w:eastAsia="宋体" w:cs="宋体"/>
          <w:b/>
          <w:color w:val="auto"/>
          <w:sz w:val="24"/>
          <w:szCs w:val="24"/>
        </w:rPr>
        <w:t>投标费用</w:t>
      </w:r>
      <w:bookmarkEnd w:id="45"/>
    </w:p>
    <w:bookmarkEnd w:id="46"/>
    <w:p>
      <w:pPr>
        <w:autoSpaceDE w:val="0"/>
        <w:autoSpaceDN w:val="0"/>
        <w:spacing w:line="360" w:lineRule="auto"/>
        <w:ind w:firstLine="523" w:firstLineChars="218"/>
        <w:rPr>
          <w:rFonts w:hint="eastAsia" w:ascii="宋体" w:hAnsi="宋体" w:eastAsia="宋体" w:cs="宋体"/>
          <w:color w:val="auto"/>
          <w:sz w:val="24"/>
          <w:lang w:val="zh-CN"/>
        </w:rPr>
      </w:pPr>
      <w:r>
        <w:rPr>
          <w:rFonts w:hint="eastAsia" w:ascii="宋体" w:hAnsi="宋体" w:eastAsia="宋体" w:cs="宋体"/>
          <w:color w:val="auto"/>
          <w:sz w:val="24"/>
        </w:rPr>
        <w:t>投标人需自行承担涉及投标的一切费用（招标文件有其他相反规定除外）。</w:t>
      </w:r>
    </w:p>
    <w:p>
      <w:pPr>
        <w:spacing w:line="360" w:lineRule="auto"/>
        <w:jc w:val="center"/>
        <w:rPr>
          <w:rFonts w:hint="eastAsia" w:ascii="宋体" w:hAnsi="宋体" w:eastAsia="宋体" w:cs="宋体"/>
          <w:b/>
          <w:color w:val="auto"/>
          <w:sz w:val="24"/>
        </w:rPr>
      </w:pPr>
      <w:bookmarkStart w:id="47" w:name="_Hlt74729768"/>
      <w:bookmarkEnd w:id="47"/>
      <w:bookmarkStart w:id="48" w:name="_Hlt68072990"/>
      <w:bookmarkEnd w:id="48"/>
      <w:bookmarkStart w:id="49" w:name="_Hlt74707468"/>
      <w:bookmarkEnd w:id="49"/>
      <w:bookmarkStart w:id="50" w:name="_Hlt68057669"/>
      <w:bookmarkEnd w:id="50"/>
      <w:bookmarkStart w:id="51" w:name="_Hlt75236290"/>
      <w:bookmarkEnd w:id="51"/>
      <w:bookmarkStart w:id="52" w:name="_Toc91899879"/>
    </w:p>
    <w:p>
      <w:pPr>
        <w:snapToGrid w:val="0"/>
        <w:spacing w:line="360" w:lineRule="auto"/>
        <w:jc w:val="center"/>
        <w:outlineLvl w:val="1"/>
        <w:rPr>
          <w:rFonts w:hint="eastAsia" w:ascii="宋体" w:hAnsi="宋体" w:eastAsia="宋体" w:cs="宋体"/>
          <w:b/>
          <w:color w:val="auto"/>
          <w:sz w:val="32"/>
        </w:rPr>
      </w:pPr>
      <w:bookmarkStart w:id="53" w:name="_Toc28179"/>
      <w:bookmarkStart w:id="54" w:name="_Toc27451"/>
      <w:bookmarkStart w:id="55" w:name="_Toc22131"/>
      <w:r>
        <w:rPr>
          <w:rFonts w:hint="eastAsia" w:ascii="宋体" w:hAnsi="宋体" w:eastAsia="宋体" w:cs="宋体"/>
          <w:b/>
          <w:color w:val="auto"/>
          <w:sz w:val="32"/>
        </w:rPr>
        <w:t>二、招标文件</w:t>
      </w:r>
      <w:bookmarkEnd w:id="52"/>
      <w:bookmarkEnd w:id="53"/>
      <w:bookmarkEnd w:id="54"/>
      <w:bookmarkEnd w:id="55"/>
    </w:p>
    <w:p>
      <w:pPr>
        <w:pStyle w:val="19"/>
        <w:numPr>
          <w:ilvl w:val="0"/>
          <w:numId w:val="9"/>
        </w:numPr>
        <w:spacing w:line="360" w:lineRule="auto"/>
        <w:ind w:firstLine="482" w:firstLineChars="200"/>
        <w:rPr>
          <w:rFonts w:hint="eastAsia" w:ascii="宋体" w:hAnsi="宋体" w:eastAsia="宋体" w:cs="宋体"/>
          <w:b/>
          <w:color w:val="auto"/>
          <w:sz w:val="24"/>
          <w:szCs w:val="24"/>
        </w:rPr>
      </w:pPr>
      <w:bookmarkStart w:id="56" w:name="_Toc91899880"/>
      <w:bookmarkStart w:id="57" w:name="_Hlt74730307"/>
      <w:r>
        <w:rPr>
          <w:rFonts w:hint="eastAsia" w:ascii="宋体" w:hAnsi="宋体" w:eastAsia="宋体" w:cs="宋体"/>
          <w:b/>
          <w:color w:val="auto"/>
          <w:sz w:val="24"/>
          <w:szCs w:val="24"/>
        </w:rPr>
        <w:t>招标文件的构成</w:t>
      </w:r>
      <w:bookmarkEnd w:id="56"/>
    </w:p>
    <w:bookmarkEnd w:id="57"/>
    <w:p>
      <w:pPr>
        <w:pStyle w:val="78"/>
        <w:numPr>
          <w:ilvl w:val="0"/>
          <w:numId w:val="12"/>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招标文件包括下列文件及附件</w:t>
      </w:r>
    </w:p>
    <w:p>
      <w:pPr>
        <w:pStyle w:val="78"/>
        <w:numPr>
          <w:ilvl w:val="0"/>
          <w:numId w:val="13"/>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第一部分 招标公告</w:t>
      </w:r>
    </w:p>
    <w:p>
      <w:pPr>
        <w:pStyle w:val="78"/>
        <w:numPr>
          <w:ilvl w:val="0"/>
          <w:numId w:val="13"/>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第二部分 投标须知</w:t>
      </w:r>
    </w:p>
    <w:p>
      <w:pPr>
        <w:pStyle w:val="78"/>
        <w:numPr>
          <w:ilvl w:val="0"/>
          <w:numId w:val="13"/>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第三部分 评标办法及评分标准</w:t>
      </w:r>
    </w:p>
    <w:p>
      <w:pPr>
        <w:pStyle w:val="78"/>
        <w:numPr>
          <w:ilvl w:val="0"/>
          <w:numId w:val="13"/>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第四部分 采购需求</w:t>
      </w:r>
    </w:p>
    <w:p>
      <w:pPr>
        <w:pStyle w:val="78"/>
        <w:numPr>
          <w:ilvl w:val="0"/>
          <w:numId w:val="13"/>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第五部分 采购合同的一般和特殊条款</w:t>
      </w:r>
    </w:p>
    <w:p>
      <w:pPr>
        <w:pStyle w:val="78"/>
        <w:numPr>
          <w:ilvl w:val="0"/>
          <w:numId w:val="13"/>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第六部分 应提交的有关格式范例</w:t>
      </w:r>
    </w:p>
    <w:p>
      <w:pPr>
        <w:pStyle w:val="78"/>
        <w:numPr>
          <w:ilvl w:val="0"/>
          <w:numId w:val="12"/>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投标人应认真审阅招标文件中所有的内容，包括编制和提交采购响应文件须知、评标办法及评分标准、项目技术规范和服务要求、采购合同的一般和特殊条款、应提交的有关格式范例等。</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招标文件的解释</w:t>
      </w:r>
    </w:p>
    <w:p>
      <w:pPr>
        <w:pStyle w:val="78"/>
        <w:numPr>
          <w:ilvl w:val="0"/>
          <w:numId w:val="14"/>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78"/>
        <w:numPr>
          <w:ilvl w:val="0"/>
          <w:numId w:val="14"/>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78"/>
        <w:numPr>
          <w:ilvl w:val="0"/>
          <w:numId w:val="14"/>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不论采购代理机构向投标人发送的资料文件，还是投标人提出的问题，均采用书面形式。</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招标文件的修改、澄清</w:t>
      </w:r>
    </w:p>
    <w:p>
      <w:pPr>
        <w:pStyle w:val="78"/>
        <w:numPr>
          <w:ilvl w:val="0"/>
          <w:numId w:val="15"/>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78"/>
        <w:numPr>
          <w:ilvl w:val="0"/>
          <w:numId w:val="15"/>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投标报价</w:t>
      </w:r>
    </w:p>
    <w:p>
      <w:pPr>
        <w:pStyle w:val="78"/>
        <w:numPr>
          <w:ilvl w:val="0"/>
          <w:numId w:val="16"/>
        </w:numPr>
        <w:spacing w:before="0"/>
        <w:ind w:firstLine="480"/>
        <w:rPr>
          <w:rFonts w:hint="eastAsia" w:ascii="宋体" w:hAnsi="宋体" w:cs="宋体"/>
          <w:color w:val="auto"/>
          <w:szCs w:val="24"/>
        </w:rPr>
      </w:pPr>
      <w:r>
        <w:rPr>
          <w:rFonts w:hint="eastAsia" w:ascii="宋体" w:hAnsi="宋体" w:eastAsia="宋体" w:cs="宋体"/>
          <w:color w:val="auto"/>
          <w:szCs w:val="24"/>
        </w:rPr>
        <w:t>投标报价应包含项目所需全部货物、服务，不得缺漏</w:t>
      </w:r>
      <w:r>
        <w:rPr>
          <w:rFonts w:hint="eastAsia" w:ascii="宋体" w:hAnsi="宋体" w:eastAsia="宋体" w:cs="宋体"/>
          <w:color w:val="auto"/>
          <w:szCs w:val="24"/>
          <w:lang w:eastAsia="zh-CN"/>
        </w:rPr>
        <w:t>，</w:t>
      </w:r>
      <w:r>
        <w:rPr>
          <w:rFonts w:hint="eastAsia" w:ascii="宋体" w:hAnsi="宋体" w:eastAsia="宋体" w:cs="宋体"/>
          <w:color w:val="auto"/>
          <w:szCs w:val="24"/>
        </w:rPr>
        <w:t>是履行合同的最终价格</w:t>
      </w:r>
      <w:r>
        <w:rPr>
          <w:rFonts w:hint="eastAsia" w:ascii="宋体" w:hAnsi="宋体" w:eastAsia="宋体" w:cs="宋体"/>
          <w:b w:val="0"/>
          <w:bCs w:val="0"/>
          <w:color w:val="auto"/>
          <w:szCs w:val="24"/>
        </w:rPr>
        <w:t>（</w:t>
      </w:r>
      <w:r>
        <w:rPr>
          <w:rFonts w:hint="eastAsia" w:ascii="宋体" w:hAnsi="宋体" w:eastAsia="宋体" w:cs="宋体"/>
          <w:b w:val="0"/>
          <w:bCs w:val="0"/>
          <w:color w:val="auto"/>
          <w:sz w:val="24"/>
          <w:szCs w:val="24"/>
        </w:rPr>
        <w:t>包括人工成本费（管理人员、保洁清运、中转站管理人员、分拣人员等的工资福利、员工五险费（养老保险、医疗保险、失业保险、工伤保险、生育保险）、服装费等）、保洁设备费、管理费、税费、设备维修费（液压油、配件等）、垃圾清运、车辆购置运输费用等一切项目所需费用。</w:t>
      </w:r>
      <w:r>
        <w:rPr>
          <w:rFonts w:hint="eastAsia" w:ascii="宋体" w:hAnsi="宋体" w:eastAsia="宋体" w:cs="宋体"/>
          <w:b w:val="0"/>
          <w:bCs w:val="0"/>
          <w:color w:val="auto"/>
          <w:szCs w:val="24"/>
        </w:rPr>
        <w:t>）</w:t>
      </w:r>
      <w:r>
        <w:rPr>
          <w:rFonts w:hint="eastAsia" w:ascii="宋体" w:hAnsi="宋体" w:eastAsia="宋体" w:cs="宋体"/>
          <w:color w:val="auto"/>
          <w:szCs w:val="24"/>
          <w:lang w:eastAsia="zh-CN"/>
        </w:rPr>
        <w:t>，</w:t>
      </w:r>
      <w:r>
        <w:rPr>
          <w:rFonts w:hint="eastAsia" w:hAnsi="宋体" w:cs="宋体"/>
          <w:color w:val="auto"/>
          <w:szCs w:val="24"/>
        </w:rPr>
        <w:t>如有漏报，视同已包含在其投标报价中。</w:t>
      </w:r>
    </w:p>
    <w:p>
      <w:pPr>
        <w:pStyle w:val="78"/>
        <w:numPr>
          <w:ilvl w:val="0"/>
          <w:numId w:val="16"/>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其它费用处理</w:t>
      </w:r>
    </w:p>
    <w:p>
      <w:pPr>
        <w:pStyle w:val="78"/>
        <w:tabs>
          <w:tab w:val="left" w:pos="0"/>
        </w:tabs>
        <w:spacing w:before="0"/>
        <w:ind w:left="420" w:leftChars="200" w:firstLine="0" w:firstLineChars="0"/>
        <w:rPr>
          <w:rFonts w:hint="eastAsia" w:ascii="宋体" w:hAnsi="宋体" w:eastAsia="宋体" w:cs="宋体"/>
          <w:color w:val="auto"/>
          <w:szCs w:val="24"/>
        </w:rPr>
      </w:pPr>
      <w:r>
        <w:rPr>
          <w:rFonts w:hint="eastAsia" w:ascii="宋体" w:hAnsi="宋体" w:eastAsia="宋体" w:cs="宋体"/>
          <w:color w:val="auto"/>
          <w:szCs w:val="24"/>
        </w:rPr>
        <w:t>招标文件未列明，而投标人认为必需的费用也需列入报价。</w:t>
      </w:r>
    </w:p>
    <w:p>
      <w:pPr>
        <w:pStyle w:val="78"/>
        <w:numPr>
          <w:ilvl w:val="0"/>
          <w:numId w:val="16"/>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投标货币</w:t>
      </w:r>
    </w:p>
    <w:p>
      <w:pPr>
        <w:pStyle w:val="78"/>
        <w:snapToGrid w:val="0"/>
        <w:spacing w:before="0" w:line="500" w:lineRule="exact"/>
        <w:ind w:firstLine="480"/>
        <w:rPr>
          <w:rFonts w:hint="eastAsia" w:ascii="宋体" w:hAnsi="宋体" w:eastAsia="宋体" w:cs="宋体"/>
          <w:color w:val="auto"/>
          <w:szCs w:val="24"/>
        </w:rPr>
      </w:pPr>
      <w:r>
        <w:rPr>
          <w:rFonts w:hint="eastAsia" w:ascii="宋体" w:hAnsi="宋体" w:eastAsia="宋体" w:cs="宋体"/>
          <w:color w:val="auto"/>
          <w:szCs w:val="24"/>
        </w:rPr>
        <w:t>投标文件中价格全部采用人民币报价。报价应是唯一的, 采购代理机构将不接受有选择的报价。</w:t>
      </w:r>
    </w:p>
    <w:p>
      <w:pPr>
        <w:pStyle w:val="5"/>
        <w:snapToGrid w:val="0"/>
        <w:ind w:firstLine="480" w:firstLineChars="200"/>
        <w:rPr>
          <w:rFonts w:hint="eastAsia" w:ascii="宋体" w:hAnsi="宋体" w:eastAsia="宋体" w:cs="宋体"/>
          <w:color w:val="auto"/>
          <w:szCs w:val="24"/>
        </w:rPr>
      </w:pPr>
    </w:p>
    <w:p>
      <w:pPr>
        <w:snapToGrid w:val="0"/>
        <w:spacing w:line="360" w:lineRule="auto"/>
        <w:jc w:val="center"/>
        <w:outlineLvl w:val="1"/>
        <w:rPr>
          <w:rFonts w:hint="eastAsia" w:ascii="宋体" w:hAnsi="宋体" w:eastAsia="宋体" w:cs="宋体"/>
          <w:b/>
          <w:color w:val="auto"/>
          <w:sz w:val="32"/>
        </w:rPr>
      </w:pPr>
      <w:bookmarkStart w:id="58" w:name="_Hlt75236011"/>
      <w:bookmarkEnd w:id="58"/>
      <w:bookmarkStart w:id="59" w:name="_Toc30354"/>
      <w:bookmarkStart w:id="60" w:name="_Toc91899884"/>
      <w:bookmarkStart w:id="61" w:name="_Toc28071"/>
      <w:bookmarkStart w:id="62" w:name="_Toc18261"/>
      <w:r>
        <w:rPr>
          <w:rFonts w:hint="eastAsia" w:ascii="宋体" w:hAnsi="宋体" w:eastAsia="宋体" w:cs="宋体"/>
          <w:b/>
          <w:color w:val="auto"/>
          <w:sz w:val="32"/>
        </w:rPr>
        <w:t>三、投标文件的编制</w:t>
      </w:r>
      <w:bookmarkEnd w:id="59"/>
      <w:bookmarkEnd w:id="60"/>
      <w:bookmarkEnd w:id="61"/>
      <w:bookmarkEnd w:id="62"/>
    </w:p>
    <w:p>
      <w:pPr>
        <w:pStyle w:val="19"/>
        <w:numPr>
          <w:ilvl w:val="0"/>
          <w:numId w:val="9"/>
        </w:numPr>
        <w:spacing w:line="360" w:lineRule="auto"/>
        <w:ind w:firstLine="482" w:firstLineChars="200"/>
        <w:rPr>
          <w:rFonts w:hint="eastAsia" w:ascii="宋体" w:hAnsi="宋体" w:eastAsia="宋体" w:cs="宋体"/>
          <w:b/>
          <w:color w:val="auto"/>
          <w:sz w:val="24"/>
          <w:szCs w:val="24"/>
        </w:rPr>
      </w:pPr>
      <w:bookmarkStart w:id="63" w:name="_Toc86216991"/>
      <w:bookmarkStart w:id="64" w:name="_Toc91899892"/>
      <w:r>
        <w:rPr>
          <w:rFonts w:hint="eastAsia" w:ascii="宋体" w:hAnsi="宋体" w:eastAsia="宋体" w:cs="宋体"/>
          <w:b/>
          <w:color w:val="auto"/>
          <w:sz w:val="24"/>
          <w:szCs w:val="24"/>
        </w:rPr>
        <w:t>投标文件的语言</w:t>
      </w:r>
    </w:p>
    <w:p>
      <w:pPr>
        <w:pStyle w:val="78"/>
        <w:tabs>
          <w:tab w:val="left" w:pos="0"/>
        </w:tabs>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rPr>
        <w:t>投标文件及投标人与采购有关的来往通知、函件和文件均应使用中文。</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投标文件的组成</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投标文件应当包括以下主要内容：资格文件、商务技术文件、报价文件。</w:t>
      </w:r>
    </w:p>
    <w:p>
      <w:pPr>
        <w:pStyle w:val="78"/>
        <w:numPr>
          <w:ilvl w:val="0"/>
          <w:numId w:val="17"/>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资格文件包括以下内容：</w:t>
      </w:r>
    </w:p>
    <w:p>
      <w:pPr>
        <w:pStyle w:val="78"/>
        <w:numPr>
          <w:ilvl w:val="0"/>
          <w:numId w:val="18"/>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78"/>
        <w:numPr>
          <w:ilvl w:val="0"/>
          <w:numId w:val="18"/>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声明书（格式见附件）；</w:t>
      </w:r>
    </w:p>
    <w:p>
      <w:pPr>
        <w:pStyle w:val="78"/>
        <w:numPr>
          <w:ilvl w:val="0"/>
          <w:numId w:val="18"/>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78"/>
        <w:spacing w:before="0"/>
        <w:ind w:firstLine="480"/>
        <w:rPr>
          <w:rFonts w:hint="eastAsia" w:ascii="宋体" w:hAnsi="宋体" w:eastAsia="宋体" w:cs="宋体"/>
          <w:color w:val="auto"/>
          <w:szCs w:val="24"/>
        </w:rPr>
      </w:pPr>
      <w:r>
        <w:rPr>
          <w:rFonts w:hint="eastAsia" w:ascii="宋体" w:hAnsi="宋体" w:eastAsia="宋体" w:cs="宋体"/>
          <w:color w:val="auto"/>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78"/>
        <w:numPr>
          <w:ilvl w:val="0"/>
          <w:numId w:val="18"/>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前一年度资产负债表等财务报表资料文件(新成立的公司，必须提供情况说明)</w:t>
      </w:r>
    </w:p>
    <w:p>
      <w:pPr>
        <w:pStyle w:val="78"/>
        <w:numPr>
          <w:ilvl w:val="0"/>
          <w:numId w:val="18"/>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具有履行合同所必需的产品和专业技术能力的承诺函；</w:t>
      </w:r>
    </w:p>
    <w:p>
      <w:pPr>
        <w:pStyle w:val="78"/>
        <w:numPr>
          <w:ilvl w:val="0"/>
          <w:numId w:val="18"/>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提供有效的依法缴纳税收证明（完税凭证或税务部门出具的证明）和提供有效的依法缴纳社会保障资金证明（缴纳凭证或人社部门出具的证明）；</w:t>
      </w:r>
    </w:p>
    <w:p>
      <w:pPr>
        <w:pStyle w:val="78"/>
        <w:numPr>
          <w:ilvl w:val="0"/>
          <w:numId w:val="18"/>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参加政府采购活动前三年内，在经营活动中没有重大违法记录的声明。</w:t>
      </w:r>
    </w:p>
    <w:p>
      <w:pPr>
        <w:pStyle w:val="78"/>
        <w:numPr>
          <w:ilvl w:val="0"/>
          <w:numId w:val="17"/>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商务技术文件，本次招标需要投标人提供以下项所列的技术文件：</w:t>
      </w:r>
    </w:p>
    <w:p>
      <w:pPr>
        <w:pStyle w:val="78"/>
        <w:numPr>
          <w:ilvl w:val="0"/>
          <w:numId w:val="19"/>
        </w:numPr>
        <w:spacing w:before="0"/>
        <w:ind w:firstLine="480"/>
        <w:rPr>
          <w:rFonts w:hint="eastAsia" w:ascii="宋体" w:hAnsi="宋体" w:cs="宋体"/>
          <w:color w:val="auto"/>
          <w:szCs w:val="24"/>
        </w:rPr>
      </w:pPr>
      <w:bookmarkStart w:id="65" w:name="_Hlk59815072"/>
      <w:r>
        <w:rPr>
          <w:rFonts w:hint="eastAsia" w:ascii="宋体" w:hAnsi="宋体" w:cs="宋体"/>
          <w:color w:val="auto"/>
          <w:szCs w:val="24"/>
        </w:rPr>
        <w:t>评分对应表（格式见附件，主要用于评委对应评分内容）</w:t>
      </w:r>
    </w:p>
    <w:p>
      <w:pPr>
        <w:pStyle w:val="78"/>
        <w:numPr>
          <w:ilvl w:val="0"/>
          <w:numId w:val="19"/>
        </w:numPr>
        <w:spacing w:before="0"/>
        <w:ind w:firstLine="480"/>
        <w:rPr>
          <w:rFonts w:hint="eastAsia" w:ascii="宋体" w:hAnsi="宋体" w:cs="宋体"/>
          <w:color w:val="auto"/>
          <w:szCs w:val="24"/>
        </w:rPr>
      </w:pPr>
      <w:r>
        <w:rPr>
          <w:rFonts w:hint="eastAsia" w:ascii="宋体" w:hAnsi="宋体" w:cs="宋体"/>
          <w:color w:val="auto"/>
          <w:szCs w:val="24"/>
        </w:rPr>
        <w:t>投标人商务技术文件中资信分自评表（格式见附件）；</w:t>
      </w:r>
    </w:p>
    <w:p>
      <w:pPr>
        <w:pStyle w:val="78"/>
        <w:numPr>
          <w:ilvl w:val="0"/>
          <w:numId w:val="19"/>
        </w:numPr>
        <w:spacing w:before="0"/>
        <w:ind w:firstLine="480"/>
        <w:rPr>
          <w:rFonts w:hint="eastAsia" w:ascii="宋体" w:hAnsi="宋体" w:cs="宋体"/>
          <w:color w:val="auto"/>
          <w:szCs w:val="24"/>
        </w:rPr>
      </w:pPr>
      <w:r>
        <w:rPr>
          <w:rFonts w:hint="eastAsia" w:ascii="宋体" w:hAnsi="宋体" w:cs="宋体"/>
          <w:color w:val="auto"/>
          <w:szCs w:val="24"/>
        </w:rPr>
        <w:t>投标项目明细清单（格式见附件）；</w:t>
      </w:r>
    </w:p>
    <w:p>
      <w:pPr>
        <w:pStyle w:val="78"/>
        <w:numPr>
          <w:ilvl w:val="0"/>
          <w:numId w:val="19"/>
        </w:numPr>
        <w:spacing w:before="0"/>
        <w:ind w:firstLine="480"/>
        <w:rPr>
          <w:rFonts w:hint="eastAsia" w:ascii="宋体" w:hAnsi="宋体" w:cs="宋体"/>
          <w:color w:val="auto"/>
          <w:szCs w:val="24"/>
        </w:rPr>
      </w:pPr>
      <w:r>
        <w:rPr>
          <w:rFonts w:hint="eastAsia" w:ascii="宋体" w:hAnsi="宋体" w:cs="宋体"/>
          <w:color w:val="auto"/>
          <w:szCs w:val="24"/>
          <w:lang w:val="en-US" w:eastAsia="zh-CN"/>
        </w:rPr>
        <w:t>设备达到项目要求</w:t>
      </w:r>
      <w:r>
        <w:rPr>
          <w:rFonts w:hint="eastAsia" w:ascii="宋体" w:hAnsi="宋体" w:cs="宋体"/>
          <w:color w:val="auto"/>
          <w:szCs w:val="24"/>
        </w:rPr>
        <w:t>规范</w:t>
      </w:r>
      <w:r>
        <w:rPr>
          <w:rFonts w:hint="eastAsia" w:ascii="宋体" w:hAnsi="宋体" w:cs="宋体"/>
          <w:color w:val="auto"/>
          <w:szCs w:val="24"/>
          <w:lang w:eastAsia="zh-CN"/>
        </w:rPr>
        <w:t>（</w:t>
      </w:r>
      <w:r>
        <w:rPr>
          <w:rFonts w:hint="eastAsia" w:ascii="宋体" w:hAnsi="宋体" w:cs="宋体"/>
          <w:color w:val="auto"/>
          <w:szCs w:val="24"/>
        </w:rPr>
        <w:t>或标准</w:t>
      </w:r>
      <w:r>
        <w:rPr>
          <w:rFonts w:hint="eastAsia" w:ascii="宋体" w:hAnsi="宋体" w:cs="宋体"/>
          <w:color w:val="auto"/>
          <w:szCs w:val="24"/>
          <w:lang w:eastAsia="zh-CN"/>
        </w:rPr>
        <w:t>）</w:t>
      </w:r>
      <w:r>
        <w:rPr>
          <w:rFonts w:hint="eastAsia" w:ascii="宋体" w:hAnsi="宋体" w:cs="宋体"/>
          <w:color w:val="auto"/>
          <w:szCs w:val="24"/>
          <w:lang w:val="en-US" w:eastAsia="zh-CN"/>
        </w:rPr>
        <w:t>承诺函；</w:t>
      </w:r>
    </w:p>
    <w:p>
      <w:pPr>
        <w:pStyle w:val="78"/>
        <w:numPr>
          <w:ilvl w:val="0"/>
          <w:numId w:val="19"/>
        </w:numPr>
        <w:spacing w:before="0"/>
        <w:ind w:firstLine="480"/>
        <w:rPr>
          <w:rFonts w:hint="eastAsia" w:ascii="宋体" w:hAnsi="宋体" w:cs="宋体"/>
          <w:color w:val="auto"/>
          <w:szCs w:val="24"/>
        </w:rPr>
      </w:pPr>
      <w:r>
        <w:rPr>
          <w:rFonts w:hint="eastAsia" w:ascii="宋体" w:hAnsi="宋体" w:cs="宋体"/>
          <w:color w:val="auto"/>
          <w:szCs w:val="24"/>
        </w:rPr>
        <w:t>技术响应及建议表（格式见附件）；</w:t>
      </w:r>
    </w:p>
    <w:bookmarkEnd w:id="65"/>
    <w:p>
      <w:pPr>
        <w:pStyle w:val="78"/>
        <w:numPr>
          <w:ilvl w:val="0"/>
          <w:numId w:val="19"/>
        </w:numPr>
        <w:spacing w:before="0"/>
        <w:ind w:firstLine="480"/>
        <w:rPr>
          <w:rFonts w:hint="eastAsia" w:ascii="宋体" w:hAnsi="宋体" w:cs="宋体"/>
          <w:color w:val="auto"/>
          <w:szCs w:val="24"/>
        </w:rPr>
      </w:pPr>
      <w:r>
        <w:rPr>
          <w:rFonts w:hint="eastAsia" w:ascii="宋体" w:hAnsi="宋体"/>
          <w:color w:val="auto"/>
          <w:szCs w:val="21"/>
        </w:rPr>
        <w:t>卫生保洁服务方案</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olor w:val="auto"/>
          <w:szCs w:val="21"/>
        </w:rPr>
        <w:t>项目组织与管理</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olor w:val="auto"/>
          <w:szCs w:val="21"/>
        </w:rPr>
        <w:t>作业人员配备</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olor w:val="auto"/>
          <w:szCs w:val="21"/>
        </w:rPr>
        <w:t>作业人员管理方案</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olor w:val="auto"/>
          <w:szCs w:val="21"/>
        </w:rPr>
        <w:t>主要作业设备情况</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s="宋体"/>
          <w:color w:val="auto"/>
          <w:szCs w:val="21"/>
        </w:rPr>
        <w:t>管理人员经验情况</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olor w:val="auto"/>
          <w:szCs w:val="21"/>
        </w:rPr>
        <w:t>服务质量保障措施</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olor w:val="auto"/>
          <w:szCs w:val="21"/>
        </w:rPr>
        <w:t>特殊时期的应急保障措施</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olor w:val="auto"/>
          <w:szCs w:val="21"/>
        </w:rPr>
        <w:t>合理化建议或承诺</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s="宋体"/>
          <w:color w:val="auto"/>
          <w:szCs w:val="21"/>
        </w:rPr>
        <w:t>本地化服务能力</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s="宋体"/>
          <w:color w:val="auto"/>
        </w:rPr>
        <w:t>业绩</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s="宋体"/>
          <w:color w:val="auto"/>
          <w:lang w:val="en-US" w:eastAsia="zh-CN"/>
        </w:rPr>
        <w:t>企业认证</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s="宋体"/>
          <w:color w:val="auto"/>
          <w:lang w:val="en-US" w:eastAsia="zh-CN"/>
        </w:rPr>
        <w:t>企业信用</w:t>
      </w:r>
      <w:r>
        <w:rPr>
          <w:rFonts w:hint="eastAsia" w:ascii="宋体" w:hAnsi="宋体" w:cs="宋体"/>
          <w:color w:val="auto"/>
          <w:szCs w:val="24"/>
        </w:rPr>
        <w:t>；</w:t>
      </w:r>
    </w:p>
    <w:p>
      <w:pPr>
        <w:pStyle w:val="78"/>
        <w:numPr>
          <w:ilvl w:val="0"/>
          <w:numId w:val="19"/>
        </w:numPr>
        <w:spacing w:before="0"/>
        <w:ind w:firstLine="480"/>
        <w:rPr>
          <w:rFonts w:hint="eastAsia" w:ascii="宋体" w:hAnsi="宋体" w:cs="宋体"/>
          <w:color w:val="auto"/>
          <w:szCs w:val="24"/>
        </w:rPr>
      </w:pPr>
      <w:r>
        <w:rPr>
          <w:rFonts w:hint="eastAsia" w:ascii="宋体" w:hAnsi="宋体" w:cs="宋体"/>
          <w:color w:val="auto"/>
          <w:szCs w:val="24"/>
          <w:lang w:val="en-US" w:eastAsia="zh-CN"/>
        </w:rPr>
        <w:t>企业荣誉</w:t>
      </w:r>
    </w:p>
    <w:p>
      <w:pPr>
        <w:pStyle w:val="78"/>
        <w:numPr>
          <w:ilvl w:val="0"/>
          <w:numId w:val="19"/>
        </w:numPr>
        <w:spacing w:before="0"/>
        <w:ind w:firstLine="480"/>
        <w:rPr>
          <w:rFonts w:hint="eastAsia" w:ascii="宋体" w:hAnsi="宋体" w:cs="宋体"/>
          <w:szCs w:val="24"/>
        </w:rPr>
      </w:pPr>
      <w:r>
        <w:rPr>
          <w:rFonts w:hint="eastAsia" w:ascii="宋体" w:hAnsi="宋体" w:cs="宋体"/>
          <w:szCs w:val="24"/>
        </w:rPr>
        <w:t xml:space="preserve">投标方认为需要的其他文件资料。 </w:t>
      </w:r>
    </w:p>
    <w:p>
      <w:pPr>
        <w:pStyle w:val="78"/>
        <w:tabs>
          <w:tab w:val="left" w:pos="0"/>
        </w:tabs>
        <w:spacing w:before="0"/>
        <w:ind w:firstLine="480"/>
        <w:rPr>
          <w:rFonts w:hint="eastAsia" w:ascii="宋体" w:hAnsi="宋体" w:cs="宋体"/>
          <w:szCs w:val="24"/>
        </w:rPr>
      </w:pPr>
      <w:r>
        <w:rPr>
          <w:rFonts w:hint="eastAsia" w:ascii="宋体" w:hAnsi="宋体" w:cs="宋体"/>
          <w:szCs w:val="24"/>
        </w:rPr>
        <w:t>注：以上内容应与评标办法中内容具有一致性。</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人在投标文件中应对项目技术规范和服务要求中所提出各项要求进行答复、说明和解释。如果投标人在技术偏离表中注明无偏离，评标结束后、签订采购合同前又认为其实际服务（含配套设施设备）与投标技术需求不一致的，视为投标人在投标有效期内对其投标文件进行了实质性修改，其投标将被追认为无效投标。</w:t>
      </w:r>
      <w:r>
        <w:rPr>
          <w:rFonts w:hint="eastAsia" w:ascii="宋体" w:hAnsi="宋体" w:eastAsia="宋体" w:cs="宋体"/>
          <w:b/>
          <w:bCs/>
          <w:color w:val="auto"/>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78"/>
        <w:numPr>
          <w:ilvl w:val="0"/>
          <w:numId w:val="17"/>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报价文件包括以下内容：</w:t>
      </w:r>
    </w:p>
    <w:p>
      <w:pPr>
        <w:pStyle w:val="78"/>
        <w:numPr>
          <w:ilvl w:val="0"/>
          <w:numId w:val="20"/>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投标函（格式见附件）；</w:t>
      </w:r>
    </w:p>
    <w:p>
      <w:pPr>
        <w:pStyle w:val="78"/>
        <w:numPr>
          <w:ilvl w:val="0"/>
          <w:numId w:val="20"/>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开标一览表（格式见附件）；</w:t>
      </w:r>
    </w:p>
    <w:p>
      <w:pPr>
        <w:pStyle w:val="78"/>
        <w:numPr>
          <w:ilvl w:val="0"/>
          <w:numId w:val="20"/>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投标报价明细表（格式见附件）；</w:t>
      </w:r>
    </w:p>
    <w:p>
      <w:pPr>
        <w:pStyle w:val="78"/>
        <w:numPr>
          <w:ilvl w:val="0"/>
          <w:numId w:val="20"/>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中小企业声明函(如有)（格式见附件）；</w:t>
      </w:r>
    </w:p>
    <w:p>
      <w:pPr>
        <w:pStyle w:val="78"/>
        <w:numPr>
          <w:ilvl w:val="0"/>
          <w:numId w:val="20"/>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残疾人福利性单位声明函(如有)（格式见附件）；</w:t>
      </w:r>
    </w:p>
    <w:p>
      <w:pPr>
        <w:pStyle w:val="78"/>
        <w:numPr>
          <w:ilvl w:val="0"/>
          <w:numId w:val="20"/>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监狱企业证明文件(如有)（格式见附件）。</w:t>
      </w:r>
    </w:p>
    <w:p>
      <w:pPr>
        <w:pStyle w:val="19"/>
        <w:numPr>
          <w:ilvl w:val="0"/>
          <w:numId w:val="9"/>
        </w:numPr>
        <w:spacing w:line="360" w:lineRule="auto"/>
        <w:ind w:firstLine="482" w:firstLineChars="200"/>
        <w:rPr>
          <w:rFonts w:hint="eastAsia" w:ascii="宋体" w:hAnsi="宋体" w:eastAsia="宋体" w:cs="宋体"/>
          <w:b/>
          <w:color w:val="auto"/>
          <w:sz w:val="24"/>
          <w:szCs w:val="24"/>
        </w:rPr>
      </w:pPr>
      <w:bookmarkStart w:id="66" w:name="_Toc91899887"/>
      <w:r>
        <w:rPr>
          <w:rFonts w:hint="eastAsia" w:ascii="宋体" w:hAnsi="宋体" w:eastAsia="宋体" w:cs="宋体"/>
          <w:b/>
          <w:color w:val="auto"/>
          <w:sz w:val="24"/>
          <w:szCs w:val="24"/>
        </w:rPr>
        <w:t>投标有效期</w:t>
      </w:r>
    </w:p>
    <w:p>
      <w:pPr>
        <w:pStyle w:val="78"/>
        <w:numPr>
          <w:ilvl w:val="0"/>
          <w:numId w:val="21"/>
        </w:numPr>
        <w:spacing w:before="0"/>
        <w:ind w:firstLine="480"/>
        <w:rPr>
          <w:rFonts w:hint="eastAsia" w:ascii="宋体" w:hAnsi="宋体" w:eastAsia="宋体" w:cs="宋体"/>
          <w:color w:val="auto"/>
          <w:szCs w:val="24"/>
        </w:rPr>
      </w:pPr>
      <w:r>
        <w:rPr>
          <w:rFonts w:hint="eastAsia" w:ascii="宋体" w:hAnsi="宋体" w:eastAsia="宋体" w:cs="宋体"/>
          <w:color w:val="auto"/>
        </w:rPr>
        <w:t>投标文件未在投标截止时间前完成传输的或者未按时解密的，视为放弃投标；投标文件解密失败后未提供备份文件或者备份文件也出现异常情况无法进行评审的，亦视为放弃投标。</w:t>
      </w:r>
    </w:p>
    <w:p>
      <w:pPr>
        <w:pStyle w:val="78"/>
        <w:numPr>
          <w:ilvl w:val="0"/>
          <w:numId w:val="21"/>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投标文件上传后，自投标截止日期起，在前附表所列的投标有效期内有效。</w:t>
      </w:r>
    </w:p>
    <w:p>
      <w:pPr>
        <w:pStyle w:val="78"/>
        <w:numPr>
          <w:ilvl w:val="0"/>
          <w:numId w:val="21"/>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在原定投标有效期满之前，如果出现特殊情况，采购代理机构可以以书面形式通知投标人延长投标有效期。</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投标人如有下列情况之一者列入不良行为记录：</w:t>
      </w:r>
    </w:p>
    <w:p>
      <w:pPr>
        <w:pStyle w:val="78"/>
        <w:numPr>
          <w:ilvl w:val="0"/>
          <w:numId w:val="22"/>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投标人在投标有效期内撤回投标的；</w:t>
      </w:r>
    </w:p>
    <w:p>
      <w:pPr>
        <w:pStyle w:val="78"/>
        <w:numPr>
          <w:ilvl w:val="0"/>
          <w:numId w:val="22"/>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中标人或中标候选人放弃中标或中标候选人资格的；</w:t>
      </w:r>
    </w:p>
    <w:p>
      <w:pPr>
        <w:pStyle w:val="78"/>
        <w:numPr>
          <w:ilvl w:val="0"/>
          <w:numId w:val="22"/>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擅自修改或拒绝接受已经确认的条款；</w:t>
      </w:r>
    </w:p>
    <w:p>
      <w:pPr>
        <w:pStyle w:val="78"/>
        <w:numPr>
          <w:ilvl w:val="0"/>
          <w:numId w:val="22"/>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中标人未按规定与采购人签订合同；</w:t>
      </w:r>
    </w:p>
    <w:p>
      <w:pPr>
        <w:pStyle w:val="78"/>
        <w:numPr>
          <w:ilvl w:val="0"/>
          <w:numId w:val="22"/>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未按规定提供履约保证金；</w:t>
      </w:r>
    </w:p>
    <w:p>
      <w:pPr>
        <w:pStyle w:val="78"/>
        <w:numPr>
          <w:ilvl w:val="0"/>
          <w:numId w:val="22"/>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投标人采取提供虚假资料等不正当手段的；</w:t>
      </w:r>
    </w:p>
    <w:p>
      <w:pPr>
        <w:pStyle w:val="78"/>
        <w:numPr>
          <w:ilvl w:val="0"/>
          <w:numId w:val="22"/>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投标人在投标过程中串通投标的。</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投标文件的编制和签署</w:t>
      </w:r>
    </w:p>
    <w:bookmarkEnd w:id="66"/>
    <w:p>
      <w:pPr>
        <w:pStyle w:val="78"/>
        <w:numPr>
          <w:ilvl w:val="0"/>
          <w:numId w:val="23"/>
        </w:numPr>
        <w:spacing w:before="0"/>
        <w:ind w:firstLine="480"/>
        <w:rPr>
          <w:rFonts w:hint="eastAsia" w:ascii="宋体" w:hAnsi="宋体" w:eastAsia="宋体" w:cs="宋体"/>
          <w:color w:val="auto"/>
          <w:szCs w:val="24"/>
        </w:rPr>
      </w:pPr>
      <w:r>
        <w:rPr>
          <w:rFonts w:hint="eastAsia" w:ascii="宋体" w:hAnsi="宋体" w:eastAsia="宋体" w:cs="宋体"/>
          <w:color w:val="auto"/>
        </w:rPr>
        <w:t>按招标文件9.1条、9.2条、9.3条要求提供的各种文件，投标文件分为资格文件、商务技术文件和报价文件三部分。</w:t>
      </w:r>
    </w:p>
    <w:p>
      <w:pPr>
        <w:pStyle w:val="78"/>
        <w:numPr>
          <w:ilvl w:val="0"/>
          <w:numId w:val="23"/>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投标文件须按附件格式要求进行电子签章，投标人应写全称。（电子投标文件中所须加盖公章部分均应采用电子签章）</w:t>
      </w:r>
    </w:p>
    <w:p>
      <w:pPr>
        <w:pStyle w:val="78"/>
        <w:numPr>
          <w:ilvl w:val="0"/>
          <w:numId w:val="23"/>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全套投标文件应无涂改和行间插字，除非这些删改是根据采购代理机构要求进行，或者是投标人造成的必须修改的错误。所修改处应由法定代表人或其授权代表签字盖章予以确认。</w:t>
      </w:r>
    </w:p>
    <w:p>
      <w:pPr>
        <w:pStyle w:val="78"/>
        <w:numPr>
          <w:ilvl w:val="0"/>
          <w:numId w:val="23"/>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由于字迹模糊或表达不清引起的后果由投标人负责。</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投标文件的形式</w:t>
      </w:r>
    </w:p>
    <w:p>
      <w:pPr>
        <w:autoSpaceDE w:val="0"/>
        <w:autoSpaceDN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szCs w:val="21"/>
        </w:rPr>
        <w:t>投标文件为电子投标文件，电子投标文件按“政采云供应商项目采购-电子招投标操作指南”及本招标文件要求制作、加密传输。</w:t>
      </w:r>
      <w:r>
        <w:rPr>
          <w:rFonts w:hint="eastAsia" w:ascii="宋体" w:hAnsi="宋体" w:eastAsia="宋体" w:cs="宋体"/>
          <w:color w:val="auto"/>
          <w:sz w:val="24"/>
        </w:rPr>
        <w:t xml:space="preserve"> </w:t>
      </w:r>
    </w:p>
    <w:p>
      <w:pPr>
        <w:spacing w:line="360" w:lineRule="auto"/>
        <w:jc w:val="center"/>
        <w:rPr>
          <w:rFonts w:hint="eastAsia" w:ascii="宋体" w:hAnsi="宋体" w:eastAsia="宋体" w:cs="宋体"/>
          <w:b/>
          <w:color w:val="auto"/>
          <w:sz w:val="24"/>
        </w:rPr>
      </w:pPr>
    </w:p>
    <w:p>
      <w:pPr>
        <w:snapToGrid w:val="0"/>
        <w:spacing w:line="360" w:lineRule="auto"/>
        <w:jc w:val="center"/>
        <w:outlineLvl w:val="1"/>
        <w:rPr>
          <w:rFonts w:hint="eastAsia" w:ascii="宋体" w:hAnsi="宋体" w:eastAsia="宋体" w:cs="宋体"/>
          <w:b/>
          <w:color w:val="auto"/>
          <w:sz w:val="32"/>
        </w:rPr>
      </w:pPr>
      <w:bookmarkStart w:id="67" w:name="_Toc9380"/>
      <w:bookmarkStart w:id="68" w:name="_Toc26116"/>
      <w:bookmarkStart w:id="69" w:name="_Toc20746"/>
      <w:r>
        <w:rPr>
          <w:rFonts w:hint="eastAsia" w:ascii="宋体" w:hAnsi="宋体" w:eastAsia="宋体" w:cs="宋体"/>
          <w:b/>
          <w:color w:val="auto"/>
          <w:sz w:val="32"/>
        </w:rPr>
        <w:t>四、投标文件的递交</w:t>
      </w:r>
      <w:bookmarkEnd w:id="63"/>
      <w:bookmarkEnd w:id="67"/>
      <w:bookmarkEnd w:id="68"/>
      <w:bookmarkEnd w:id="69"/>
    </w:p>
    <w:bookmarkEnd w:id="64"/>
    <w:p>
      <w:pPr>
        <w:pStyle w:val="19"/>
        <w:numPr>
          <w:ilvl w:val="0"/>
          <w:numId w:val="9"/>
        </w:numPr>
        <w:spacing w:line="360" w:lineRule="auto"/>
        <w:ind w:firstLine="482" w:firstLineChars="200"/>
        <w:rPr>
          <w:rFonts w:hint="eastAsia" w:ascii="宋体" w:hAnsi="宋体" w:eastAsia="宋体" w:cs="宋体"/>
          <w:b/>
          <w:color w:val="auto"/>
          <w:sz w:val="24"/>
          <w:szCs w:val="24"/>
        </w:rPr>
      </w:pPr>
      <w:bookmarkStart w:id="70" w:name="第三部分"/>
      <w:bookmarkStart w:id="71" w:name="_Toc164416483"/>
      <w:r>
        <w:rPr>
          <w:rFonts w:hint="eastAsia" w:ascii="宋体" w:hAnsi="宋体" w:eastAsia="宋体" w:cs="宋体"/>
          <w:b/>
          <w:color w:val="auto"/>
          <w:sz w:val="24"/>
          <w:szCs w:val="24"/>
        </w:rPr>
        <w:t>投标截止期</w:t>
      </w:r>
    </w:p>
    <w:p>
      <w:pPr>
        <w:pStyle w:val="78"/>
        <w:numPr>
          <w:ilvl w:val="0"/>
          <w:numId w:val="24"/>
        </w:numPr>
        <w:spacing w:before="0"/>
        <w:ind w:firstLine="480"/>
        <w:rPr>
          <w:rFonts w:hint="eastAsia" w:ascii="宋体" w:hAnsi="宋体" w:eastAsia="宋体" w:cs="宋体"/>
          <w:color w:val="auto"/>
          <w:szCs w:val="24"/>
        </w:rPr>
      </w:pPr>
      <w:r>
        <w:rPr>
          <w:rFonts w:hint="eastAsia" w:ascii="宋体" w:hAnsi="宋体" w:eastAsia="宋体" w:cs="宋体"/>
          <w:color w:val="auto"/>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pPr>
        <w:pStyle w:val="78"/>
        <w:numPr>
          <w:ilvl w:val="0"/>
          <w:numId w:val="24"/>
        </w:numPr>
        <w:spacing w:before="0"/>
        <w:ind w:firstLine="480"/>
        <w:rPr>
          <w:rFonts w:hint="eastAsia" w:ascii="宋体" w:hAnsi="宋体" w:eastAsia="宋体" w:cs="宋体"/>
          <w:color w:val="auto"/>
        </w:rPr>
      </w:pPr>
      <w:r>
        <w:rPr>
          <w:rFonts w:hint="eastAsia" w:ascii="宋体" w:hAnsi="宋体" w:eastAsia="宋体" w:cs="宋体"/>
          <w:color w:val="auto"/>
        </w:rPr>
        <w:t>采购人因故推迟投标截止时间，将以公告形式通知。在这种情况下，采购人和投标人的权利和义务将受到新的截止时间的约束。</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投标文件的修改、撤销</w:t>
      </w:r>
    </w:p>
    <w:p>
      <w:pPr>
        <w:pStyle w:val="19"/>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360" w:lineRule="auto"/>
        <w:jc w:val="center"/>
        <w:rPr>
          <w:rFonts w:hint="eastAsia" w:ascii="宋体" w:hAnsi="宋体" w:eastAsia="宋体" w:cs="宋体"/>
          <w:b/>
          <w:color w:val="auto"/>
          <w:sz w:val="24"/>
        </w:rPr>
      </w:pPr>
      <w:bookmarkStart w:id="72" w:name="_Toc91899897"/>
    </w:p>
    <w:p>
      <w:pPr>
        <w:snapToGrid w:val="0"/>
        <w:spacing w:line="360" w:lineRule="auto"/>
        <w:jc w:val="center"/>
        <w:outlineLvl w:val="1"/>
        <w:rPr>
          <w:rFonts w:hint="eastAsia" w:ascii="宋体" w:hAnsi="宋体" w:eastAsia="宋体" w:cs="宋体"/>
          <w:b/>
          <w:color w:val="auto"/>
          <w:sz w:val="32"/>
        </w:rPr>
      </w:pPr>
      <w:bookmarkStart w:id="73" w:name="_Toc11730"/>
      <w:bookmarkStart w:id="74" w:name="_Toc15448"/>
      <w:bookmarkStart w:id="75" w:name="_Toc11846"/>
      <w:r>
        <w:rPr>
          <w:rFonts w:hint="eastAsia" w:ascii="宋体" w:hAnsi="宋体" w:eastAsia="宋体" w:cs="宋体"/>
          <w:b/>
          <w:color w:val="auto"/>
          <w:sz w:val="32"/>
        </w:rPr>
        <w:t>五、开标</w:t>
      </w:r>
      <w:bookmarkEnd w:id="72"/>
      <w:bookmarkEnd w:id="73"/>
      <w:bookmarkEnd w:id="74"/>
      <w:bookmarkEnd w:id="75"/>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开标</w:t>
      </w:r>
    </w:p>
    <w:p>
      <w:pPr>
        <w:pStyle w:val="19"/>
        <w:numPr>
          <w:ilvl w:val="0"/>
          <w:numId w:val="2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在投标截止时间前按规定提交投标文件的投标人在三家（含）以上的，由采购人或采购代理机构组织进行开标。</w:t>
      </w:r>
    </w:p>
    <w:p>
      <w:pPr>
        <w:pStyle w:val="19"/>
        <w:numPr>
          <w:ilvl w:val="0"/>
          <w:numId w:val="25"/>
        </w:num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rPr>
        <w:t>投标人登录政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ascii="宋体" w:hAnsi="宋体" w:eastAsia="宋体" w:cs="宋体"/>
          <w:color w:val="auto"/>
          <w:sz w:val="24"/>
          <w:szCs w:val="24"/>
        </w:rPr>
        <w:t>备份文件（后缀名为.bfbs）须存储在U盘中，与上传的电子投标文件一致，用信封进行密封并盖章，由授权代表在投标截止时间前递交至开标地点。</w:t>
      </w:r>
    </w:p>
    <w:p>
      <w:pPr>
        <w:pStyle w:val="19"/>
        <w:numPr>
          <w:ilvl w:val="0"/>
          <w:numId w:val="2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采购人按招标文件规定的时间、地点公开开标。开标仪式由采购人或采购代理机构主持及有关人员参加。</w:t>
      </w:r>
    </w:p>
    <w:p>
      <w:pPr>
        <w:pStyle w:val="78"/>
        <w:numPr>
          <w:ilvl w:val="0"/>
          <w:numId w:val="25"/>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本项目为电子投标项目，投标人一般不需要参加现场投标和开标，若投标人需要指派授权代表递交备份文件，则授权代表应随身携带法定代表人授权书原件于投标截止时间前到达开标地点递交备份文件。</w:t>
      </w:r>
      <w:r>
        <w:rPr>
          <w:rFonts w:hint="eastAsia" w:ascii="宋体" w:hAnsi="宋体" w:eastAsia="宋体" w:cs="宋体"/>
          <w:color w:val="auto"/>
        </w:rPr>
        <w:t xml:space="preserve"> 若电子投标文件正常解锁，则U盘退还给供应商；若解锁失败，则由采购代理机构将U盘中的备份文件上传，该U盘将由采购代理机构保存。</w:t>
      </w:r>
    </w:p>
    <w:p>
      <w:pPr>
        <w:pStyle w:val="78"/>
        <w:numPr>
          <w:ilvl w:val="0"/>
          <w:numId w:val="25"/>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jc w:val="center"/>
        <w:rPr>
          <w:rFonts w:hint="eastAsia" w:ascii="宋体" w:hAnsi="宋体" w:eastAsia="宋体" w:cs="宋体"/>
          <w:b/>
          <w:color w:val="auto"/>
          <w:sz w:val="24"/>
        </w:rPr>
      </w:pPr>
    </w:p>
    <w:p>
      <w:pPr>
        <w:snapToGrid w:val="0"/>
        <w:spacing w:line="360" w:lineRule="auto"/>
        <w:jc w:val="center"/>
        <w:outlineLvl w:val="1"/>
        <w:rPr>
          <w:rFonts w:hint="eastAsia" w:ascii="宋体" w:hAnsi="宋体" w:eastAsia="宋体" w:cs="宋体"/>
          <w:b/>
          <w:color w:val="auto"/>
          <w:sz w:val="32"/>
        </w:rPr>
      </w:pPr>
      <w:bookmarkStart w:id="76" w:name="_Toc31166"/>
      <w:bookmarkStart w:id="77" w:name="_Toc23555"/>
      <w:bookmarkStart w:id="78" w:name="_Toc15743"/>
      <w:r>
        <w:rPr>
          <w:rFonts w:hint="eastAsia" w:ascii="宋体" w:hAnsi="宋体" w:eastAsia="宋体" w:cs="宋体"/>
          <w:b/>
          <w:color w:val="auto"/>
          <w:sz w:val="32"/>
        </w:rPr>
        <w:t>六、资格审查</w:t>
      </w:r>
      <w:bookmarkEnd w:id="76"/>
      <w:bookmarkEnd w:id="77"/>
      <w:bookmarkEnd w:id="78"/>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资格审查</w:t>
      </w:r>
    </w:p>
    <w:p>
      <w:pPr>
        <w:pStyle w:val="78"/>
        <w:numPr>
          <w:ilvl w:val="0"/>
          <w:numId w:val="26"/>
        </w:numPr>
        <w:spacing w:before="0"/>
        <w:ind w:firstLine="480"/>
        <w:rPr>
          <w:rFonts w:hint="eastAsia" w:ascii="宋体" w:hAnsi="宋体" w:eastAsia="宋体" w:cs="宋体"/>
          <w:color w:val="auto"/>
          <w:szCs w:val="24"/>
        </w:rPr>
      </w:pPr>
      <w:bookmarkStart w:id="79" w:name="_Hlt75236101"/>
      <w:bookmarkEnd w:id="79"/>
      <w:bookmarkStart w:id="80" w:name="_Toc91899902"/>
      <w:r>
        <w:rPr>
          <w:rFonts w:hint="eastAsia" w:ascii="宋体" w:hAnsi="宋体" w:eastAsia="宋体" w:cs="宋体"/>
          <w:color w:val="auto"/>
          <w:szCs w:val="24"/>
        </w:rPr>
        <w:t>开标后，采购人或采购代理机构将依法对投标人的资格进行审查；</w:t>
      </w:r>
    </w:p>
    <w:p>
      <w:pPr>
        <w:pStyle w:val="78"/>
        <w:numPr>
          <w:ilvl w:val="0"/>
          <w:numId w:val="26"/>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采购人或采购代理机构依据法律法规和招标文件的规定，对投标人的基本资格条件、特定资格条件进行审查。</w:t>
      </w:r>
    </w:p>
    <w:p>
      <w:pPr>
        <w:pStyle w:val="78"/>
        <w:numPr>
          <w:ilvl w:val="0"/>
          <w:numId w:val="26"/>
        </w:numPr>
        <w:wordWrap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采购人或采购代理机构将通过“信用中国”网站(www.creditchina.gov.cn)、中国政府采购网(</w:t>
      </w: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"http://www.ccgp.gov.cn" </w:instrText>
      </w:r>
      <w:r>
        <w:rPr>
          <w:rFonts w:hint="eastAsia" w:ascii="宋体" w:hAnsi="宋体" w:eastAsia="宋体" w:cs="宋体"/>
          <w:color w:val="auto"/>
          <w:szCs w:val="24"/>
        </w:rPr>
        <w:fldChar w:fldCharType="separate"/>
      </w:r>
      <w:r>
        <w:rPr>
          <w:rFonts w:hint="eastAsia" w:ascii="宋体" w:hAnsi="宋体" w:eastAsia="宋体" w:cs="宋体"/>
          <w:color w:val="auto"/>
          <w:szCs w:val="24"/>
        </w:rPr>
        <w:t>www.ccgp.gov.cn</w:t>
      </w:r>
      <w:r>
        <w:rPr>
          <w:rFonts w:hint="eastAsia" w:ascii="宋体" w:hAnsi="宋体" w:eastAsia="宋体" w:cs="宋体"/>
          <w:color w:val="auto"/>
          <w:szCs w:val="24"/>
        </w:rPr>
        <w:fldChar w:fldCharType="end"/>
      </w:r>
      <w:r>
        <w:rPr>
          <w:rFonts w:hint="eastAsia" w:ascii="宋体" w:hAnsi="宋体" w:eastAsia="宋体" w:cs="宋体"/>
          <w:color w:val="auto"/>
          <w:szCs w:val="24"/>
        </w:rPr>
        <w:t>)渠道查询投标人开标后评标前的信用记录，经查询投标人列入失信被执行人名单、重大税收违法案件当事人名单、政府采购严重违法失信行为记录名单的，其投标无效；</w:t>
      </w:r>
    </w:p>
    <w:p>
      <w:pPr>
        <w:pStyle w:val="78"/>
        <w:numPr>
          <w:ilvl w:val="0"/>
          <w:numId w:val="26"/>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pacing w:line="360" w:lineRule="auto"/>
        <w:jc w:val="center"/>
        <w:rPr>
          <w:rFonts w:hint="eastAsia" w:ascii="宋体" w:hAnsi="宋体" w:eastAsia="宋体" w:cs="宋体"/>
          <w:b/>
          <w:color w:val="auto"/>
          <w:sz w:val="24"/>
        </w:rPr>
      </w:pPr>
    </w:p>
    <w:p>
      <w:pPr>
        <w:snapToGrid w:val="0"/>
        <w:spacing w:line="360" w:lineRule="auto"/>
        <w:jc w:val="center"/>
        <w:outlineLvl w:val="1"/>
        <w:rPr>
          <w:rFonts w:hint="eastAsia" w:ascii="宋体" w:hAnsi="宋体" w:eastAsia="宋体" w:cs="宋体"/>
          <w:b/>
          <w:color w:val="auto"/>
          <w:sz w:val="32"/>
        </w:rPr>
      </w:pPr>
      <w:bookmarkStart w:id="81" w:name="_Toc13643"/>
      <w:bookmarkStart w:id="82" w:name="_Toc14257"/>
      <w:bookmarkStart w:id="83" w:name="_Toc6409"/>
      <w:r>
        <w:rPr>
          <w:rFonts w:hint="eastAsia" w:ascii="宋体" w:hAnsi="宋体" w:eastAsia="宋体" w:cs="宋体"/>
          <w:b/>
          <w:color w:val="auto"/>
          <w:sz w:val="32"/>
        </w:rPr>
        <w:t>七、评标</w:t>
      </w:r>
      <w:bookmarkEnd w:id="80"/>
      <w:bookmarkEnd w:id="81"/>
      <w:bookmarkEnd w:id="82"/>
      <w:bookmarkEnd w:id="83"/>
    </w:p>
    <w:p>
      <w:pPr>
        <w:pStyle w:val="19"/>
        <w:numPr>
          <w:ilvl w:val="0"/>
          <w:numId w:val="9"/>
        </w:numPr>
        <w:spacing w:line="360" w:lineRule="auto"/>
        <w:ind w:firstLine="482" w:firstLineChars="200"/>
        <w:rPr>
          <w:rFonts w:hint="eastAsia" w:ascii="宋体" w:hAnsi="宋体" w:eastAsia="宋体" w:cs="宋体"/>
          <w:b/>
          <w:color w:val="auto"/>
          <w:sz w:val="24"/>
          <w:szCs w:val="24"/>
        </w:rPr>
      </w:pPr>
      <w:bookmarkStart w:id="84" w:name="_Toc91899903"/>
      <w:r>
        <w:rPr>
          <w:rFonts w:hint="eastAsia" w:ascii="宋体" w:hAnsi="宋体" w:eastAsia="宋体" w:cs="宋体"/>
          <w:b/>
          <w:color w:val="auto"/>
          <w:sz w:val="24"/>
          <w:szCs w:val="24"/>
        </w:rPr>
        <w:t>评标原则</w:t>
      </w:r>
    </w:p>
    <w:p>
      <w:pPr>
        <w:pStyle w:val="78"/>
        <w:numPr>
          <w:ilvl w:val="0"/>
          <w:numId w:val="27"/>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竞争优选；</w:t>
      </w:r>
    </w:p>
    <w:p>
      <w:pPr>
        <w:pStyle w:val="78"/>
        <w:numPr>
          <w:ilvl w:val="0"/>
          <w:numId w:val="27"/>
        </w:numPr>
        <w:spacing w:before="0"/>
        <w:ind w:firstLine="480"/>
        <w:rPr>
          <w:rFonts w:hint="eastAsia" w:ascii="宋体" w:hAnsi="宋体" w:eastAsia="宋体" w:cs="宋体"/>
          <w:color w:val="auto"/>
          <w:szCs w:val="24"/>
        </w:rPr>
      </w:pPr>
      <w:r>
        <w:rPr>
          <w:rFonts w:hint="eastAsia" w:ascii="宋体" w:hAnsi="宋体" w:eastAsia="宋体" w:cs="宋体"/>
          <w:color w:val="auto"/>
          <w:szCs w:val="24"/>
          <w:lang w:val="zh-CN"/>
        </w:rPr>
        <w:t>坚持公开</w:t>
      </w:r>
      <w:r>
        <w:rPr>
          <w:rFonts w:hint="eastAsia" w:ascii="宋体" w:hAnsi="宋体" w:eastAsia="宋体" w:cs="宋体"/>
          <w:color w:val="auto"/>
          <w:szCs w:val="24"/>
        </w:rPr>
        <w:t>、公平、公正、科学合理</w:t>
      </w:r>
      <w:r>
        <w:rPr>
          <w:rFonts w:hint="eastAsia" w:ascii="宋体" w:hAnsi="宋体" w:eastAsia="宋体" w:cs="宋体"/>
          <w:color w:val="auto"/>
          <w:szCs w:val="24"/>
          <w:lang w:val="zh-CN"/>
        </w:rPr>
        <w:t>的原则；</w:t>
      </w:r>
    </w:p>
    <w:p>
      <w:pPr>
        <w:pStyle w:val="78"/>
        <w:numPr>
          <w:ilvl w:val="0"/>
          <w:numId w:val="27"/>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rPr>
        <w:t>价格合理，方案、产品先进可行；</w:t>
      </w:r>
    </w:p>
    <w:p>
      <w:pPr>
        <w:pStyle w:val="78"/>
        <w:numPr>
          <w:ilvl w:val="0"/>
          <w:numId w:val="27"/>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反对不正当竞争。</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评标组织</w:t>
      </w:r>
    </w:p>
    <w:p>
      <w:pPr>
        <w:pStyle w:val="78"/>
        <w:numPr>
          <w:ilvl w:val="0"/>
          <w:numId w:val="28"/>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评标委员会由采购人代表和评审专家组成，成员人数应当为</w:t>
      </w:r>
      <w:r>
        <w:rPr>
          <w:rFonts w:hint="eastAsia" w:ascii="宋体" w:hAnsi="宋体" w:eastAsia="宋体" w:cs="宋体"/>
          <w:color w:val="FF0000"/>
          <w:szCs w:val="24"/>
        </w:rPr>
        <w:t>7</w:t>
      </w:r>
      <w:r>
        <w:rPr>
          <w:rFonts w:hint="eastAsia" w:ascii="宋体" w:hAnsi="宋体" w:eastAsia="宋体" w:cs="宋体"/>
          <w:color w:val="FF0000"/>
          <w:szCs w:val="24"/>
          <w:lang w:val="zh-CN"/>
        </w:rPr>
        <w:t>人以</w:t>
      </w:r>
      <w:r>
        <w:rPr>
          <w:rFonts w:hint="eastAsia" w:ascii="宋体" w:hAnsi="宋体" w:eastAsia="宋体" w:cs="宋体"/>
          <w:color w:val="auto"/>
          <w:szCs w:val="24"/>
          <w:lang w:val="zh-CN"/>
        </w:rPr>
        <w:t>上单数，其中评审专家不得少于成员总数的三分之二；</w:t>
      </w:r>
    </w:p>
    <w:p>
      <w:pPr>
        <w:pStyle w:val="78"/>
        <w:numPr>
          <w:ilvl w:val="0"/>
          <w:numId w:val="28"/>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评标工作由评标委员会负责，并推选产生的组长主持。</w:t>
      </w:r>
    </w:p>
    <w:p>
      <w:pPr>
        <w:pStyle w:val="78"/>
        <w:numPr>
          <w:ilvl w:val="0"/>
          <w:numId w:val="28"/>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本次评标为在线评标。</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评标办法</w:t>
      </w:r>
    </w:p>
    <w:p>
      <w:pPr>
        <w:spacing w:line="360" w:lineRule="auto"/>
        <w:ind w:firstLine="467" w:firstLineChars="194"/>
        <w:rPr>
          <w:rFonts w:hint="eastAsia" w:ascii="宋体" w:hAnsi="宋体" w:eastAsia="宋体" w:cs="宋体"/>
          <w:b/>
          <w:color w:val="auto"/>
          <w:kern w:val="0"/>
          <w:sz w:val="24"/>
          <w:szCs w:val="20"/>
        </w:rPr>
      </w:pPr>
      <w:r>
        <w:rPr>
          <w:rFonts w:hint="eastAsia" w:ascii="宋体" w:hAnsi="宋体" w:eastAsia="宋体" w:cs="宋体"/>
          <w:b/>
          <w:color w:val="auto"/>
          <w:kern w:val="0"/>
          <w:sz w:val="24"/>
          <w:szCs w:val="20"/>
        </w:rPr>
        <w:t>本项目评标办法是综合评分法，具体评标内容及评分标准等详见招标文件第三部分。</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投标文件符合性审查</w:t>
      </w:r>
    </w:p>
    <w:p>
      <w:pPr>
        <w:pStyle w:val="78"/>
        <w:numPr>
          <w:ilvl w:val="0"/>
          <w:numId w:val="29"/>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投标文件符合性审查：评标委员会依据招标文件的规定，从投标文件的有效性、完整性和对招标文件的响应程度进行审查，以确定是否对招标文件的要求作出实质性响应。</w:t>
      </w:r>
    </w:p>
    <w:p>
      <w:pPr>
        <w:pStyle w:val="78"/>
        <w:numPr>
          <w:ilvl w:val="0"/>
          <w:numId w:val="29"/>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78"/>
        <w:numPr>
          <w:ilvl w:val="0"/>
          <w:numId w:val="29"/>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 xml:space="preserve">如果投标文件没有实质上响应招标文件的要求，评标委员会将判定无效投标，投标人不得通过修改或撤销不合要求的偏离或保留而使其投标成为实质性响应的投标。 </w:t>
      </w:r>
    </w:p>
    <w:p>
      <w:pPr>
        <w:pStyle w:val="78"/>
        <w:numPr>
          <w:ilvl w:val="0"/>
          <w:numId w:val="29"/>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修正原则</w:t>
      </w:r>
    </w:p>
    <w:p>
      <w:pPr>
        <w:pStyle w:val="78"/>
        <w:spacing w:before="0"/>
        <w:ind w:left="420" w:leftChars="200" w:firstLine="0" w:firstLineChars="0"/>
        <w:rPr>
          <w:rFonts w:hint="eastAsia" w:ascii="宋体" w:hAnsi="宋体" w:eastAsia="宋体" w:cs="宋体"/>
          <w:color w:val="auto"/>
          <w:szCs w:val="24"/>
          <w:lang w:val="zh-CN"/>
        </w:rPr>
      </w:pPr>
      <w:r>
        <w:rPr>
          <w:rFonts w:hint="eastAsia" w:ascii="宋体" w:hAnsi="宋体" w:eastAsia="宋体" w:cs="宋体"/>
          <w:color w:val="auto"/>
          <w:szCs w:val="24"/>
          <w:lang w:val="zh-CN"/>
        </w:rPr>
        <w:t>投标文件报价出现前后不一致的，按照下列规定修正：</w:t>
      </w:r>
    </w:p>
    <w:p>
      <w:pPr>
        <w:pStyle w:val="78"/>
        <w:numPr>
          <w:ilvl w:val="0"/>
          <w:numId w:val="30"/>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投标文件中投标（开标）一览表内容与投标文件中相应内容不一致的，以投标（开标）一览表为准；</w:t>
      </w:r>
    </w:p>
    <w:p>
      <w:pPr>
        <w:pStyle w:val="78"/>
        <w:numPr>
          <w:ilvl w:val="0"/>
          <w:numId w:val="30"/>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大写金额和小写金额不一致的，以大写金额为准；</w:t>
      </w:r>
    </w:p>
    <w:p>
      <w:pPr>
        <w:pStyle w:val="78"/>
        <w:numPr>
          <w:ilvl w:val="0"/>
          <w:numId w:val="30"/>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单价金额小数点或者百分比有明显错位的，以投标（开标）一览表的总价为准，并修改单价；</w:t>
      </w:r>
    </w:p>
    <w:p>
      <w:pPr>
        <w:pStyle w:val="78"/>
        <w:numPr>
          <w:ilvl w:val="0"/>
          <w:numId w:val="30"/>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总价金额与按单价汇总金额不一致的，以单价金额计算结果为准。</w:t>
      </w:r>
    </w:p>
    <w:p>
      <w:pPr>
        <w:pStyle w:val="78"/>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投标文件的澄清</w:t>
      </w:r>
    </w:p>
    <w:p>
      <w:pPr>
        <w:pStyle w:val="78"/>
        <w:numPr>
          <w:ilvl w:val="0"/>
          <w:numId w:val="31"/>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pPr>
        <w:pStyle w:val="78"/>
        <w:numPr>
          <w:ilvl w:val="0"/>
          <w:numId w:val="31"/>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供应商通过政采云平台交换的数据电文必须进行电子签章。</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无效投标</w:t>
      </w:r>
    </w:p>
    <w:p>
      <w:pPr>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经过审查，凡不符合有关规定，不响应招标文件的实质性条款，存在以下重大偏离之一的，经评标委员会认定，将因未通过资格性或符合性审查而被作为无效投标处理：</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未按照招标文件规定要求签署、盖章的；</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 xml:space="preserve">《法定代表人授权书》填写不全、错误、未加盖投标人公章（公章和签字或盖章缺一不可）； </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个体工商户的身份证明与营业执照不一致的；</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投标文件中的投标函未加盖投标人的企业公章或填写不全的；</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报价一经涂改，未在涂改处加盖投标单位公章或者未经法定代表人或其授权代表签字或盖章的；</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因未按规定的格式填写，内容不全或主要实质性内容字迹模糊辨认不清,经评标委员会认定为无法评审的；</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出现同一标的物或本次招标产品(服务)内的主要产品(重要组成部分)出现技术、商务描述不一致或前后描述不一致，经评标委员会认定后为无法评审的；</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投标详细配置清单响应表不真实填写或弄虚作假的；改变招标文件提供的清单中的计量单位、工程数量；</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对招标产品技术规格未详细应答，致使其技术文件无法评审的；</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投标文件有采购人不能接受的条件；</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投标报价超过预算金额或最高限价的；</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投标文件“商务技术文件资料”部分中出现《开标一览表》或《投标报价明细表》相关内容的；</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评标委员会认定有重大偏差或实质性不响应招标文件要求的，即“★”的关键性指标及技术参数要求负偏离或缺漏；</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投标人拒绝按招标文件规定的修正原则对投标文件进行修改的；</w:t>
      </w:r>
    </w:p>
    <w:p>
      <w:pPr>
        <w:numPr>
          <w:ilvl w:val="0"/>
          <w:numId w:val="32"/>
        </w:numPr>
        <w:spacing w:line="360" w:lineRule="auto"/>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有下列情形之一的，视为投标人串通投标，其投标无效：</w:t>
      </w:r>
    </w:p>
    <w:p>
      <w:pPr>
        <w:numPr>
          <w:ilvl w:val="0"/>
          <w:numId w:val="33"/>
        </w:numPr>
        <w:spacing w:line="360" w:lineRule="auto"/>
        <w:ind w:left="0" w:leftChars="0"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不同投标人的投标文件由同一单位或者个人编制；</w:t>
      </w:r>
    </w:p>
    <w:p>
      <w:pPr>
        <w:numPr>
          <w:ilvl w:val="0"/>
          <w:numId w:val="33"/>
        </w:numPr>
        <w:spacing w:line="360" w:lineRule="auto"/>
        <w:ind w:left="0" w:leftChars="0"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不同投标人委托同一单位或者个人办理投标事宜；</w:t>
      </w:r>
    </w:p>
    <w:p>
      <w:pPr>
        <w:numPr>
          <w:ilvl w:val="0"/>
          <w:numId w:val="33"/>
        </w:numPr>
        <w:spacing w:line="360" w:lineRule="auto"/>
        <w:ind w:left="0" w:leftChars="0"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不同投标人的投标文件载明的项目管理成员或者联系人员为同一人；</w:t>
      </w:r>
    </w:p>
    <w:p>
      <w:pPr>
        <w:numPr>
          <w:ilvl w:val="0"/>
          <w:numId w:val="33"/>
        </w:numPr>
        <w:spacing w:line="360" w:lineRule="auto"/>
        <w:ind w:left="0" w:leftChars="0"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不同投标人的投标文件异常一致或者投标报价呈规律性差异；</w:t>
      </w:r>
    </w:p>
    <w:p>
      <w:pPr>
        <w:numPr>
          <w:ilvl w:val="0"/>
          <w:numId w:val="33"/>
        </w:numPr>
        <w:spacing w:line="360" w:lineRule="auto"/>
        <w:ind w:left="0" w:leftChars="0"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numPr>
          <w:ilvl w:val="0"/>
          <w:numId w:val="32"/>
        </w:numPr>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员工工资标准低于</w:t>
      </w:r>
      <w:r>
        <w:rPr>
          <w:rFonts w:hint="eastAsia" w:ascii="宋体" w:hAnsi="宋体" w:eastAsia="宋体" w:cs="宋体"/>
          <w:b/>
          <w:bCs/>
          <w:color w:val="auto"/>
          <w:sz w:val="24"/>
          <w:szCs w:val="21"/>
          <w:highlight w:val="none"/>
          <w:lang w:val="en-US" w:eastAsia="zh-CN"/>
        </w:rPr>
        <w:t>绍兴市上虞区</w:t>
      </w:r>
      <w:r>
        <w:rPr>
          <w:rFonts w:hint="eastAsia" w:ascii="宋体" w:hAnsi="宋体" w:eastAsia="宋体" w:cs="宋体"/>
          <w:b/>
          <w:bCs/>
          <w:color w:val="auto"/>
          <w:sz w:val="24"/>
          <w:szCs w:val="21"/>
          <w:highlight w:val="none"/>
        </w:rPr>
        <w:t>最低工资标准的；</w:t>
      </w:r>
    </w:p>
    <w:p>
      <w:pPr>
        <w:numPr>
          <w:ilvl w:val="0"/>
          <w:numId w:val="32"/>
        </w:numPr>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其他违反法律、法规的情形。</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废标</w:t>
      </w:r>
    </w:p>
    <w:p>
      <w:pPr>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根据《中华人民共和国政府采购法》第三十六条之规定，在采购中，出现下列情形之一的，应予废标：</w:t>
      </w:r>
    </w:p>
    <w:p>
      <w:pPr>
        <w:pStyle w:val="78"/>
        <w:numPr>
          <w:ilvl w:val="0"/>
          <w:numId w:val="34"/>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符合专业条件的供应商或者对招标文件作实质响应的供应商不足3家的；</w:t>
      </w:r>
    </w:p>
    <w:p>
      <w:pPr>
        <w:pStyle w:val="78"/>
        <w:numPr>
          <w:ilvl w:val="0"/>
          <w:numId w:val="34"/>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出现影响采购公正的违法、违规行为的；</w:t>
      </w:r>
    </w:p>
    <w:p>
      <w:pPr>
        <w:pStyle w:val="78"/>
        <w:numPr>
          <w:ilvl w:val="0"/>
          <w:numId w:val="34"/>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投标人的报价均超过了采购预算，采购人不能支付的；</w:t>
      </w:r>
    </w:p>
    <w:p>
      <w:pPr>
        <w:pStyle w:val="78"/>
        <w:numPr>
          <w:ilvl w:val="0"/>
          <w:numId w:val="34"/>
        </w:numPr>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lang w:val="zh-CN"/>
        </w:rPr>
        <w:t>因重大变故，采购任务取消的。</w:t>
      </w:r>
    </w:p>
    <w:p>
      <w:pPr>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废标后，采购代理机构应当将废标理由通知所有投标人。</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bCs/>
          <w:color w:val="auto"/>
          <w:sz w:val="24"/>
          <w:szCs w:val="24"/>
          <w:lang w:val="zh-CN"/>
        </w:rPr>
        <w:t>中止电子交易活动和</w:t>
      </w:r>
      <w:r>
        <w:rPr>
          <w:rFonts w:hint="eastAsia" w:ascii="宋体" w:hAnsi="宋体" w:eastAsia="宋体" w:cs="宋体"/>
          <w:b/>
          <w:color w:val="auto"/>
          <w:sz w:val="24"/>
          <w:szCs w:val="24"/>
        </w:rPr>
        <w:t>重新组织采购</w:t>
      </w:r>
    </w:p>
    <w:p>
      <w:pPr>
        <w:pStyle w:val="78"/>
        <w:tabs>
          <w:tab w:val="left" w:pos="0"/>
        </w:tabs>
        <w:spacing w:before="0"/>
        <w:ind w:firstLine="480"/>
        <w:rPr>
          <w:rFonts w:hint="eastAsia" w:ascii="宋体" w:hAnsi="宋体" w:eastAsia="宋体" w:cs="宋体"/>
          <w:color w:val="auto"/>
          <w:szCs w:val="24"/>
          <w:lang w:val="zh-CN"/>
        </w:rPr>
      </w:pPr>
      <w:r>
        <w:rPr>
          <w:rFonts w:hint="eastAsia" w:ascii="宋体" w:hAnsi="宋体" w:eastAsia="宋体" w:cs="宋体"/>
          <w:color w:val="auto"/>
          <w:szCs w:val="24"/>
        </w:rPr>
        <w:t>26.1</w:t>
      </w:r>
      <w:r>
        <w:rPr>
          <w:rFonts w:hint="eastAsia" w:ascii="宋体" w:hAnsi="宋体" w:eastAsia="宋体" w:cs="宋体"/>
          <w:color w:val="auto"/>
          <w:szCs w:val="24"/>
          <w:lang w:val="zh-CN"/>
        </w:rPr>
        <w:t>采购过程中出现以下情形，导致电子交易平台无法正常运行，或者无法保证电子交易的公平、公正和安全时，采购组织机构可中止电子交易活动：</w:t>
      </w:r>
    </w:p>
    <w:p>
      <w:pPr>
        <w:numPr>
          <w:ilvl w:val="0"/>
          <w:numId w:val="35"/>
        </w:numPr>
        <w:tabs>
          <w:tab w:val="left" w:pos="0"/>
        </w:tabs>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 xml:space="preserve">电子交易平台发生故障而无法登录访问的； </w:t>
      </w:r>
    </w:p>
    <w:p>
      <w:pPr>
        <w:numPr>
          <w:ilvl w:val="0"/>
          <w:numId w:val="35"/>
        </w:numPr>
        <w:tabs>
          <w:tab w:val="left" w:pos="0"/>
        </w:tabs>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电子交易平台应用或数据库出现错误，不能进行正常操作的；</w:t>
      </w:r>
    </w:p>
    <w:p>
      <w:pPr>
        <w:numPr>
          <w:ilvl w:val="0"/>
          <w:numId w:val="35"/>
        </w:numPr>
        <w:tabs>
          <w:tab w:val="left" w:pos="0"/>
        </w:tabs>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电子交易平台发现严重安全漏洞，有潜在泄密危险的；</w:t>
      </w:r>
    </w:p>
    <w:p>
      <w:pPr>
        <w:numPr>
          <w:ilvl w:val="0"/>
          <w:numId w:val="35"/>
        </w:numPr>
        <w:tabs>
          <w:tab w:val="left" w:pos="0"/>
        </w:tabs>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 xml:space="preserve">病毒发作导致不能进行正常操作的； </w:t>
      </w:r>
    </w:p>
    <w:p>
      <w:pPr>
        <w:numPr>
          <w:ilvl w:val="0"/>
          <w:numId w:val="35"/>
        </w:numPr>
        <w:tabs>
          <w:tab w:val="left" w:pos="0"/>
        </w:tabs>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其他无法保证电子交易的公平、公正和安全的情况。</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9"/>
        <w:numPr>
          <w:ilvl w:val="0"/>
          <w:numId w:val="9"/>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保密及其它注意事项</w:t>
      </w:r>
    </w:p>
    <w:p>
      <w:pPr>
        <w:pStyle w:val="78"/>
        <w:numPr>
          <w:ilvl w:val="0"/>
          <w:numId w:val="36"/>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评标是招标工作的重要环节，评标工作由评标委员会独立进行。评标委员会将遵照评标原则，公正、平等地对待所有投标人；</w:t>
      </w:r>
    </w:p>
    <w:p>
      <w:pPr>
        <w:pStyle w:val="78"/>
        <w:numPr>
          <w:ilvl w:val="0"/>
          <w:numId w:val="36"/>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在开标、投标期间，投标人不得向评委询问评标情况，不得进行旨在影响评标结果的活动。采购人不得在中标人确定前，与投标人就投标价格、投标人案等实质性内容进行谈判；</w:t>
      </w:r>
    </w:p>
    <w:p>
      <w:pPr>
        <w:pStyle w:val="78"/>
        <w:numPr>
          <w:ilvl w:val="0"/>
          <w:numId w:val="36"/>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为保证定标的公正性，在评标过程中，评委不得与投标人私下交换意见。在招标工作结束后，凡与评标情况有接触的任何人，不得也不应将评标情况扩散出评委人员之外；</w:t>
      </w:r>
    </w:p>
    <w:p>
      <w:pPr>
        <w:pStyle w:val="78"/>
        <w:numPr>
          <w:ilvl w:val="0"/>
          <w:numId w:val="36"/>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投标人相互之间，或与采购人相互不得串通投标，不得排挤其他投标人的公平竞争，损害采购人或者其他投标人的合法权益；</w:t>
      </w:r>
    </w:p>
    <w:p>
      <w:pPr>
        <w:pStyle w:val="78"/>
        <w:numPr>
          <w:ilvl w:val="0"/>
          <w:numId w:val="36"/>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评标委员会不向投标人解释未中标的原因；</w:t>
      </w:r>
    </w:p>
    <w:p>
      <w:pPr>
        <w:pStyle w:val="78"/>
        <w:numPr>
          <w:ilvl w:val="0"/>
          <w:numId w:val="36"/>
        </w:numPr>
        <w:spacing w:before="0"/>
        <w:ind w:firstLine="480"/>
        <w:rPr>
          <w:rFonts w:hint="eastAsia" w:ascii="宋体" w:hAnsi="宋体" w:eastAsia="宋体" w:cs="宋体"/>
          <w:color w:val="auto"/>
          <w:szCs w:val="24"/>
        </w:rPr>
      </w:pPr>
      <w:r>
        <w:rPr>
          <w:rFonts w:hint="eastAsia" w:ascii="宋体" w:hAnsi="宋体" w:eastAsia="宋体" w:cs="宋体"/>
          <w:color w:val="auto"/>
          <w:szCs w:val="24"/>
        </w:rPr>
        <w:t>特别说明：政采云公司如对电子化开标及评审程序有调整的，按调整后的程序操作。</w:t>
      </w:r>
    </w:p>
    <w:p>
      <w:pPr>
        <w:spacing w:line="360" w:lineRule="auto"/>
        <w:jc w:val="center"/>
        <w:rPr>
          <w:rFonts w:hint="eastAsia" w:ascii="宋体" w:hAnsi="宋体" w:eastAsia="宋体" w:cs="宋体"/>
          <w:b/>
          <w:color w:val="auto"/>
          <w:sz w:val="24"/>
        </w:rPr>
      </w:pPr>
    </w:p>
    <w:p>
      <w:pPr>
        <w:snapToGrid w:val="0"/>
        <w:spacing w:line="360" w:lineRule="auto"/>
        <w:jc w:val="center"/>
        <w:outlineLvl w:val="1"/>
        <w:rPr>
          <w:rFonts w:hint="eastAsia" w:ascii="宋体" w:hAnsi="宋体" w:eastAsia="宋体" w:cs="宋体"/>
          <w:b/>
          <w:color w:val="auto"/>
          <w:sz w:val="32"/>
        </w:rPr>
      </w:pPr>
      <w:bookmarkStart w:id="85" w:name="_Toc26516"/>
      <w:bookmarkStart w:id="86" w:name="_Toc4697"/>
      <w:bookmarkStart w:id="87" w:name="_Toc26429"/>
      <w:r>
        <w:rPr>
          <w:rFonts w:hint="eastAsia" w:ascii="宋体" w:hAnsi="宋体" w:eastAsia="宋体" w:cs="宋体"/>
          <w:b/>
          <w:color w:val="auto"/>
          <w:sz w:val="32"/>
        </w:rPr>
        <w:t>八、定 标</w:t>
      </w:r>
      <w:bookmarkEnd w:id="85"/>
      <w:bookmarkEnd w:id="86"/>
      <w:bookmarkEnd w:id="87"/>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28.1项目由评标委员会根据第三章《评标办法与评分标准》规定提出中标候选人排序。</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28.2采购代理机构应当在评标结束后2个工作日内将评标报告送采购人。</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28.5中标人应携带介绍信自行前往采购代理机构领取中标通知书。</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28.6中标通知书发出后，采购人不得违法改变中标结果，中标人无正当理由不得放弃中标。</w:t>
      </w:r>
    </w:p>
    <w:p>
      <w:pPr>
        <w:pStyle w:val="78"/>
        <w:tabs>
          <w:tab w:val="left" w:pos="0"/>
        </w:tabs>
        <w:spacing w:before="0"/>
        <w:ind w:firstLine="480"/>
        <w:rPr>
          <w:rFonts w:hint="eastAsia" w:ascii="宋体" w:hAnsi="宋体" w:eastAsia="宋体" w:cs="宋体"/>
          <w:color w:val="auto"/>
          <w:szCs w:val="24"/>
        </w:rPr>
      </w:pPr>
    </w:p>
    <w:p>
      <w:pPr>
        <w:snapToGrid w:val="0"/>
        <w:spacing w:line="360" w:lineRule="auto"/>
        <w:jc w:val="center"/>
        <w:outlineLvl w:val="1"/>
        <w:rPr>
          <w:rFonts w:hint="eastAsia" w:ascii="宋体" w:hAnsi="宋体" w:eastAsia="宋体" w:cs="宋体"/>
          <w:b/>
          <w:color w:val="auto"/>
          <w:sz w:val="32"/>
        </w:rPr>
      </w:pPr>
      <w:bookmarkStart w:id="88" w:name="_Toc9433"/>
      <w:bookmarkStart w:id="89" w:name="_Toc19262"/>
      <w:bookmarkStart w:id="90" w:name="_Toc28186"/>
      <w:r>
        <w:rPr>
          <w:rFonts w:hint="eastAsia" w:ascii="宋体" w:hAnsi="宋体" w:eastAsia="宋体" w:cs="宋体"/>
          <w:b/>
          <w:color w:val="auto"/>
          <w:sz w:val="32"/>
        </w:rPr>
        <w:t>九、合同签订及其他</w:t>
      </w:r>
      <w:bookmarkEnd w:id="88"/>
      <w:bookmarkEnd w:id="89"/>
      <w:bookmarkEnd w:id="90"/>
    </w:p>
    <w:p>
      <w:pPr>
        <w:pStyle w:val="78"/>
        <w:tabs>
          <w:tab w:val="left" w:pos="0"/>
        </w:tabs>
        <w:spacing w:before="0"/>
        <w:ind w:firstLine="480"/>
        <w:rPr>
          <w:rFonts w:hint="default" w:ascii="宋体" w:hAnsi="宋体" w:eastAsia="宋体" w:cs="宋体"/>
          <w:b/>
          <w:bCs/>
          <w:color w:val="auto"/>
          <w:szCs w:val="24"/>
          <w:lang w:val="en-US" w:eastAsia="zh-CN"/>
        </w:rPr>
      </w:pPr>
      <w:r>
        <w:rPr>
          <w:rFonts w:hint="eastAsia" w:ascii="宋体" w:hAnsi="宋体" w:eastAsia="宋体" w:cs="宋体"/>
          <w:b/>
          <w:bCs/>
          <w:color w:val="auto"/>
          <w:szCs w:val="24"/>
        </w:rPr>
        <w:t>29.1 中标或者成交供应商应当自中标</w:t>
      </w:r>
      <w:r>
        <w:rPr>
          <w:rFonts w:hint="eastAsia" w:ascii="宋体" w:hAnsi="宋体" w:eastAsia="宋体" w:cs="宋体"/>
          <w:b/>
          <w:bCs/>
          <w:color w:val="auto"/>
          <w:szCs w:val="24"/>
          <w:lang w:val="en-US" w:eastAsia="zh-CN"/>
        </w:rPr>
        <w:t>公示结束</w:t>
      </w:r>
      <w:r>
        <w:rPr>
          <w:rFonts w:hint="eastAsia" w:ascii="宋体" w:hAnsi="宋体" w:eastAsia="宋体" w:cs="宋体"/>
          <w:b/>
          <w:bCs/>
          <w:color w:val="auto"/>
          <w:szCs w:val="24"/>
        </w:rPr>
        <w:t>之日起3日内，按照招标文件和中标人投标文件的规定，与</w:t>
      </w:r>
      <w:r>
        <w:rPr>
          <w:rFonts w:hint="eastAsia" w:ascii="宋体" w:hAnsi="宋体" w:eastAsia="宋体" w:cs="宋体"/>
          <w:b/>
          <w:bCs/>
          <w:color w:val="auto"/>
          <w:szCs w:val="24"/>
          <w:lang w:val="en-US" w:eastAsia="zh-CN"/>
        </w:rPr>
        <w:t>采购人</w:t>
      </w:r>
      <w:r>
        <w:rPr>
          <w:rFonts w:hint="eastAsia" w:ascii="宋体" w:hAnsi="宋体" w:eastAsia="宋体" w:cs="宋体"/>
          <w:b/>
          <w:bCs/>
          <w:color w:val="auto"/>
          <w:szCs w:val="24"/>
        </w:rPr>
        <w:t>签订书面合同</w:t>
      </w:r>
      <w:r>
        <w:rPr>
          <w:rFonts w:hint="eastAsia" w:ascii="宋体" w:hAnsi="宋体" w:eastAsia="宋体" w:cs="宋体"/>
          <w:b/>
          <w:bCs/>
          <w:color w:val="auto"/>
          <w:szCs w:val="24"/>
          <w:lang w:eastAsia="zh-CN"/>
        </w:rPr>
        <w:t>，</w:t>
      </w:r>
      <w:r>
        <w:rPr>
          <w:rFonts w:hint="eastAsia" w:ascii="宋体" w:hAnsi="宋体" w:eastAsia="宋体" w:cs="宋体"/>
          <w:b/>
          <w:bCs/>
          <w:color w:val="auto"/>
          <w:szCs w:val="24"/>
        </w:rPr>
        <w:t>所签订的合同不得对招标文件确定的事项和中标人投标文件作实质性修改</w:t>
      </w:r>
      <w:r>
        <w:rPr>
          <w:rFonts w:hint="eastAsia" w:ascii="宋体" w:hAnsi="宋体" w:eastAsia="宋体" w:cs="宋体"/>
          <w:b/>
          <w:bCs/>
          <w:color w:val="auto"/>
          <w:szCs w:val="24"/>
          <w:lang w:eastAsia="zh-CN"/>
        </w:rPr>
        <w:t>，逾期视为主动放弃或拒绝</w:t>
      </w:r>
      <w:r>
        <w:rPr>
          <w:rFonts w:hint="eastAsia" w:ascii="宋体" w:hAnsi="宋体" w:eastAsia="宋体" w:cs="宋体"/>
          <w:b/>
          <w:bCs/>
          <w:color w:val="auto"/>
          <w:szCs w:val="24"/>
          <w:lang w:eastAsia="zh-CN"/>
        </w:rPr>
        <w:t>签订合同。</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29.2 中标或者成交供应商拒绝与采购人签订合同的，采购人可以按照评审报告推荐的中标或者成交候选人名单排序，确定下一候选人为中标或者成交供应商，也可以重新开展政府采购活动。</w:t>
      </w:r>
    </w:p>
    <w:p>
      <w:pPr>
        <w:pStyle w:val="19"/>
        <w:spacing w:line="360" w:lineRule="auto"/>
        <w:ind w:left="420" w:leftChars="200"/>
        <w:rPr>
          <w:rFonts w:hint="eastAsia" w:ascii="宋体" w:hAnsi="宋体" w:eastAsia="宋体" w:cs="宋体"/>
          <w:b/>
          <w:color w:val="auto"/>
          <w:sz w:val="24"/>
          <w:szCs w:val="24"/>
        </w:rPr>
      </w:pPr>
      <w:r>
        <w:rPr>
          <w:rFonts w:hint="eastAsia" w:ascii="宋体" w:hAnsi="宋体" w:eastAsia="宋体" w:cs="宋体"/>
          <w:b/>
          <w:color w:val="auto"/>
          <w:sz w:val="24"/>
          <w:szCs w:val="24"/>
        </w:rPr>
        <w:t>30.履约保证金</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采购合同条款要求中标供应商提交履约保证金的，供应商应当以支票、汇票、本票或者金融机构、保险公司、担保机构出具的保函等非现金形式提交。</w:t>
      </w:r>
    </w:p>
    <w:p>
      <w:pPr>
        <w:pStyle w:val="19"/>
        <w:spacing w:line="360" w:lineRule="auto"/>
        <w:ind w:left="420" w:leftChars="200"/>
        <w:rPr>
          <w:rFonts w:hint="eastAsia" w:ascii="宋体" w:hAnsi="宋体" w:eastAsia="宋体" w:cs="宋体"/>
          <w:b/>
          <w:color w:val="auto"/>
          <w:sz w:val="24"/>
          <w:szCs w:val="24"/>
        </w:rPr>
      </w:pPr>
      <w:r>
        <w:rPr>
          <w:rFonts w:hint="eastAsia" w:ascii="宋体" w:hAnsi="宋体" w:eastAsia="宋体" w:cs="宋体"/>
          <w:b/>
          <w:color w:val="auto"/>
          <w:sz w:val="24"/>
          <w:szCs w:val="24"/>
        </w:rPr>
        <w:t>31.验收</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31.2采购人应当及时对采购项目进行验收，采购人可以邀请参加本项目的其他投标人或者第三方机构参与验收，参与验收的投标人或者第三方机构的意见作为验收书的参考资料一并存档。</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31.3采购人负责加强对中标人的履约管理，并按照采购合同约定，及时向中标人支付采购资金。对于中标人违反采购合同约定的行为，采购人应当及时处理，依法追究其违约责任。</w:t>
      </w:r>
    </w:p>
    <w:p>
      <w:pPr>
        <w:pStyle w:val="19"/>
        <w:spacing w:line="360" w:lineRule="auto"/>
        <w:ind w:left="420" w:leftChars="200"/>
        <w:rPr>
          <w:rFonts w:hint="eastAsia" w:ascii="宋体" w:hAnsi="宋体" w:eastAsia="宋体" w:cs="宋体"/>
          <w:b/>
          <w:color w:val="auto"/>
          <w:sz w:val="24"/>
          <w:szCs w:val="24"/>
        </w:rPr>
      </w:pPr>
      <w:r>
        <w:rPr>
          <w:rFonts w:hint="eastAsia" w:ascii="宋体" w:hAnsi="宋体" w:eastAsia="宋体" w:cs="宋体"/>
          <w:b/>
          <w:color w:val="auto"/>
          <w:sz w:val="24"/>
          <w:szCs w:val="24"/>
        </w:rPr>
        <w:t>32.货款结算方式</w:t>
      </w:r>
    </w:p>
    <w:p>
      <w:pPr>
        <w:tabs>
          <w:tab w:val="left" w:pos="0"/>
        </w:tabs>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付款方式：采购人与中标人依照招标文件规定的付款方式进行项目款项的支付。</w:t>
      </w:r>
    </w:p>
    <w:p>
      <w:pPr>
        <w:pStyle w:val="19"/>
        <w:spacing w:line="360" w:lineRule="auto"/>
        <w:ind w:left="420" w:leftChars="200"/>
        <w:rPr>
          <w:rFonts w:hint="eastAsia" w:ascii="宋体" w:hAnsi="宋体" w:eastAsia="宋体" w:cs="宋体"/>
          <w:b/>
          <w:color w:val="auto"/>
          <w:sz w:val="24"/>
          <w:szCs w:val="24"/>
        </w:rPr>
      </w:pPr>
      <w:r>
        <w:rPr>
          <w:rFonts w:hint="eastAsia" w:ascii="宋体" w:hAnsi="宋体" w:eastAsia="宋体" w:cs="宋体"/>
          <w:b/>
          <w:color w:val="auto"/>
          <w:sz w:val="24"/>
          <w:szCs w:val="24"/>
        </w:rPr>
        <w:t>33.售后服务考核</w:t>
      </w:r>
    </w:p>
    <w:p>
      <w:pPr>
        <w:tabs>
          <w:tab w:val="left" w:pos="0"/>
        </w:tabs>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采购代理机构将配合政府采购监管部门不定期对合同的履约情况进行检查，发现弄虚作假，偷工减料，以次充好，达不到国家、行业有关标准和技术文件规定的，一经查实，由政府采购监督管理部门给予相应处罚。</w:t>
      </w:r>
    </w:p>
    <w:p>
      <w:pPr>
        <w:spacing w:line="360" w:lineRule="auto"/>
        <w:jc w:val="center"/>
        <w:rPr>
          <w:rFonts w:hint="eastAsia" w:ascii="宋体" w:hAnsi="宋体" w:eastAsia="宋体" w:cs="宋体"/>
          <w:b/>
          <w:color w:val="auto"/>
          <w:sz w:val="24"/>
        </w:rPr>
      </w:pPr>
    </w:p>
    <w:p>
      <w:pPr>
        <w:snapToGrid w:val="0"/>
        <w:spacing w:line="360" w:lineRule="auto"/>
        <w:jc w:val="center"/>
        <w:outlineLvl w:val="1"/>
        <w:rPr>
          <w:rFonts w:hint="eastAsia" w:ascii="宋体" w:hAnsi="宋体" w:eastAsia="宋体" w:cs="宋体"/>
          <w:b/>
          <w:color w:val="auto"/>
          <w:sz w:val="32"/>
        </w:rPr>
      </w:pPr>
      <w:bookmarkStart w:id="91" w:name="_Toc15145"/>
      <w:bookmarkStart w:id="92" w:name="_Toc29397"/>
      <w:bookmarkStart w:id="93" w:name="_Toc21327"/>
      <w:r>
        <w:rPr>
          <w:rFonts w:hint="eastAsia" w:ascii="宋体" w:hAnsi="宋体" w:eastAsia="宋体" w:cs="宋体"/>
          <w:b/>
          <w:color w:val="auto"/>
          <w:sz w:val="32"/>
        </w:rPr>
        <w:t>十、质疑与投诉</w:t>
      </w:r>
      <w:bookmarkEnd w:id="91"/>
      <w:bookmarkEnd w:id="92"/>
      <w:bookmarkEnd w:id="93"/>
    </w:p>
    <w:p>
      <w:pPr>
        <w:tabs>
          <w:tab w:val="left" w:pos="0"/>
        </w:tabs>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根据《政府采购质疑和投诉办法》(中华人民共和国财政部令第94号)的规定，政府采购供应商可以依法提起质疑和投诉。</w:t>
      </w:r>
    </w:p>
    <w:p>
      <w:pPr>
        <w:pStyle w:val="19"/>
        <w:spacing w:line="360" w:lineRule="auto"/>
        <w:ind w:left="420" w:left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34.</w:t>
      </w:r>
      <w:r>
        <w:rPr>
          <w:rFonts w:hint="eastAsia" w:ascii="宋体" w:hAnsi="宋体" w:eastAsia="宋体" w:cs="宋体"/>
          <w:b/>
          <w:color w:val="auto"/>
          <w:sz w:val="24"/>
          <w:szCs w:val="24"/>
          <w:lang w:val="zh-CN"/>
        </w:rPr>
        <w:t>供应商询问</w:t>
      </w:r>
    </w:p>
    <w:p>
      <w:pPr>
        <w:pStyle w:val="19"/>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供应商对政府采购活动事项有疑问的，可以向采购代理机构提出询问，采购代理机构将对供应商依法提出的询问作出答复，但答复的内容不得涉及商业秘密。</w:t>
      </w:r>
    </w:p>
    <w:p>
      <w:pPr>
        <w:pStyle w:val="19"/>
        <w:spacing w:line="360" w:lineRule="auto"/>
        <w:ind w:left="420" w:left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35.</w:t>
      </w:r>
      <w:r>
        <w:rPr>
          <w:rFonts w:hint="eastAsia" w:ascii="宋体" w:hAnsi="宋体" w:eastAsia="宋体" w:cs="宋体"/>
          <w:b/>
          <w:color w:val="auto"/>
          <w:sz w:val="24"/>
          <w:szCs w:val="24"/>
          <w:lang w:val="zh-CN"/>
        </w:rPr>
        <w:t>供应商质疑</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35.1供应商认为采购文件、采购过程和成交结果使自己的权益受到损害的，可以在知道或者应知其权益受到损害之日起七个工作日内，以书面形式向采购代理机构提出质疑，否则，采购代理机构不予受理：</w:t>
      </w:r>
    </w:p>
    <w:p>
      <w:pPr>
        <w:pStyle w:val="19"/>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
          <w:color w:val="auto"/>
          <w:sz w:val="24"/>
        </w:rPr>
        <w:t>供应商在法定质疑期内应一次性提出针对同一采购程序环节的质疑，否则质疑将不予受理。</w:t>
      </w:r>
    </w:p>
    <w:p>
      <w:pPr>
        <w:pStyle w:val="78"/>
        <w:tabs>
          <w:tab w:val="left" w:pos="0"/>
        </w:tabs>
        <w:spacing w:before="0"/>
        <w:ind w:left="420" w:leftChars="200" w:firstLine="0" w:firstLineChars="0"/>
        <w:rPr>
          <w:rFonts w:hint="eastAsia" w:ascii="宋体" w:hAnsi="宋体" w:eastAsia="宋体" w:cs="宋体"/>
          <w:color w:val="auto"/>
          <w:szCs w:val="24"/>
        </w:rPr>
      </w:pPr>
      <w:r>
        <w:rPr>
          <w:rFonts w:hint="eastAsia" w:ascii="宋体" w:hAnsi="宋体" w:eastAsia="宋体" w:cs="宋体"/>
          <w:color w:val="auto"/>
          <w:szCs w:val="24"/>
        </w:rPr>
        <w:t>35.2供应商提交的质疑书需一式三份，由法定代表人签字（或盖章）并加盖单位公章。质疑书至少应包括下列主要内容：</w:t>
      </w:r>
    </w:p>
    <w:p>
      <w:pPr>
        <w:pStyle w:val="19"/>
        <w:numPr>
          <w:ilvl w:val="0"/>
          <w:numId w:val="37"/>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质疑人的名称、地址、邮政编码、联系人、联系电话，以及被质疑人名称及联系方式；</w:t>
      </w:r>
    </w:p>
    <w:p>
      <w:pPr>
        <w:pStyle w:val="19"/>
        <w:numPr>
          <w:ilvl w:val="0"/>
          <w:numId w:val="37"/>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被质疑采购项目名称、编号及采购内容；</w:t>
      </w:r>
    </w:p>
    <w:p>
      <w:pPr>
        <w:pStyle w:val="19"/>
        <w:numPr>
          <w:ilvl w:val="0"/>
          <w:numId w:val="37"/>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具体的质疑事项及事实依据；</w:t>
      </w:r>
    </w:p>
    <w:p>
      <w:pPr>
        <w:pStyle w:val="19"/>
        <w:numPr>
          <w:ilvl w:val="0"/>
          <w:numId w:val="37"/>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认为自己合法权益受到损害或可能受到损害的相关证据材料；</w:t>
      </w:r>
    </w:p>
    <w:p>
      <w:pPr>
        <w:pStyle w:val="19"/>
        <w:numPr>
          <w:ilvl w:val="0"/>
          <w:numId w:val="37"/>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提出质疑的日期。</w:t>
      </w:r>
    </w:p>
    <w:p>
      <w:pPr>
        <w:pStyle w:val="19"/>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未按上述内容填写的质疑书将不予受理。</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35.3采购代理机构应当在收到供应商的书面质疑后七个工作日内作出答复，并以书面形式通知质疑供应商和其他与质疑处理结果有利害关系的政府采购当事人，但答复的内容不得涉及商业秘密。</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35.4询问或者质疑事项可能影响采购结果的，采购人应当暂停签订合同，已经签订合同的，应当中止履行合同。</w:t>
      </w:r>
    </w:p>
    <w:p>
      <w:pPr>
        <w:pStyle w:val="19"/>
        <w:spacing w:line="360" w:lineRule="auto"/>
        <w:ind w:left="420" w:left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36</w:t>
      </w:r>
      <w:r>
        <w:rPr>
          <w:rFonts w:hint="eastAsia" w:ascii="宋体" w:hAnsi="宋体" w:eastAsia="宋体" w:cs="宋体"/>
          <w:b/>
          <w:color w:val="auto"/>
          <w:sz w:val="24"/>
          <w:szCs w:val="24"/>
          <w:lang w:val="zh-CN"/>
        </w:rPr>
        <w:t>供应商投诉</w:t>
      </w:r>
    </w:p>
    <w:p>
      <w:pPr>
        <w:pStyle w:val="78"/>
        <w:tabs>
          <w:tab w:val="left" w:pos="0"/>
        </w:tabs>
        <w:spacing w:before="0"/>
        <w:ind w:firstLine="480"/>
        <w:rPr>
          <w:rFonts w:hint="eastAsia" w:ascii="宋体" w:hAnsi="宋体" w:eastAsia="宋体" w:cs="宋体"/>
          <w:color w:val="auto"/>
          <w:szCs w:val="24"/>
        </w:rPr>
      </w:pPr>
      <w:r>
        <w:rPr>
          <w:rFonts w:hint="eastAsia" w:ascii="宋体" w:hAnsi="宋体" w:eastAsia="宋体" w:cs="宋体"/>
          <w:color w:val="auto"/>
          <w:szCs w:val="24"/>
        </w:rPr>
        <w:t>36.1供应商质疑、投诉应当有明确的请求和必要的证明材料，供应商投诉的事项不得超出已质疑事项的范围，不符合上述要求的投诉将不予受理。</w:t>
      </w:r>
    </w:p>
    <w:p>
      <w:pPr>
        <w:pStyle w:val="78"/>
        <w:tabs>
          <w:tab w:val="left" w:pos="0"/>
        </w:tabs>
        <w:spacing w:before="0"/>
        <w:ind w:firstLine="480"/>
        <w:rPr>
          <w:rFonts w:hint="eastAsia" w:ascii="宋体" w:hAnsi="宋体" w:eastAsia="宋体" w:cs="宋体"/>
          <w:b/>
          <w:color w:val="auto"/>
        </w:rPr>
      </w:pPr>
      <w:r>
        <w:rPr>
          <w:rFonts w:hint="eastAsia" w:ascii="宋体" w:hAnsi="宋体" w:eastAsia="宋体" w:cs="宋体"/>
          <w:color w:val="auto"/>
          <w:szCs w:val="24"/>
        </w:rPr>
        <w:t>36.2质疑供应商对采购代理机构的答复不满意或者采购代理机构未在规定的时间内作出答复的，可以在答复期满后十五个工作日内向同级政府采购监督管理部门提出投诉。</w:t>
      </w:r>
    </w:p>
    <w:bookmarkEnd w:id="84"/>
    <w:p>
      <w:pPr>
        <w:pStyle w:val="147"/>
        <w:rPr>
          <w:rFonts w:hint="eastAsia" w:ascii="宋体" w:hAnsi="宋体" w:eastAsia="宋体" w:cs="宋体"/>
          <w:color w:val="auto"/>
        </w:rPr>
      </w:pPr>
    </w:p>
    <w:p>
      <w:pPr>
        <w:pStyle w:val="147"/>
        <w:rPr>
          <w:rFonts w:hint="eastAsia" w:ascii="宋体" w:hAnsi="宋体" w:eastAsia="宋体" w:cs="宋体"/>
          <w:color w:val="auto"/>
        </w:rPr>
      </w:pPr>
    </w:p>
    <w:p>
      <w:pPr>
        <w:spacing w:after="156" w:afterLines="50"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bookmarkStart w:id="94" w:name="_Toc2180"/>
      <w:bookmarkStart w:id="95" w:name="_Toc32237"/>
      <w:bookmarkStart w:id="96" w:name="_Toc12860"/>
      <w:r>
        <w:rPr>
          <w:rFonts w:hint="eastAsia" w:ascii="宋体" w:hAnsi="宋体" w:eastAsia="宋体" w:cs="宋体"/>
          <w:b/>
          <w:color w:val="auto"/>
          <w:sz w:val="36"/>
          <w:szCs w:val="36"/>
        </w:rPr>
        <w:t xml:space="preserve">第三部分   </w:t>
      </w:r>
      <w:bookmarkEnd w:id="70"/>
      <w:bookmarkEnd w:id="71"/>
      <w:bookmarkStart w:id="97" w:name="_Toc184312079"/>
      <w:bookmarkEnd w:id="97"/>
      <w:bookmarkStart w:id="98" w:name="_Toc184312128"/>
      <w:bookmarkEnd w:id="98"/>
      <w:bookmarkStart w:id="99" w:name="_Toc184308089"/>
      <w:bookmarkEnd w:id="99"/>
      <w:bookmarkStart w:id="100" w:name="_Toc184313258"/>
      <w:bookmarkEnd w:id="100"/>
      <w:bookmarkStart w:id="101" w:name="_Toc184312069"/>
      <w:bookmarkEnd w:id="101"/>
      <w:bookmarkStart w:id="102" w:name="_Toc184312109"/>
      <w:bookmarkEnd w:id="102"/>
      <w:bookmarkStart w:id="103" w:name="_Toc184308053"/>
      <w:bookmarkEnd w:id="103"/>
      <w:bookmarkStart w:id="104" w:name="_Toc184310330"/>
      <w:bookmarkEnd w:id="104"/>
      <w:bookmarkStart w:id="105" w:name="_Toc184308082"/>
      <w:bookmarkEnd w:id="105"/>
      <w:bookmarkStart w:id="106" w:name="_Toc184314411"/>
      <w:bookmarkEnd w:id="106"/>
      <w:bookmarkStart w:id="107" w:name="_Toc184312112"/>
      <w:bookmarkEnd w:id="107"/>
      <w:bookmarkStart w:id="108" w:name="_Toc184312106"/>
      <w:bookmarkEnd w:id="108"/>
      <w:bookmarkStart w:id="109" w:name="_Toc184314459"/>
      <w:bookmarkEnd w:id="109"/>
      <w:bookmarkStart w:id="110" w:name="_Toc184308056"/>
      <w:bookmarkEnd w:id="110"/>
      <w:bookmarkStart w:id="111" w:name="_Toc184313296"/>
      <w:bookmarkEnd w:id="111"/>
      <w:bookmarkStart w:id="112" w:name="_Toc184312125"/>
      <w:bookmarkEnd w:id="112"/>
      <w:bookmarkStart w:id="113" w:name="_Toc184312134"/>
      <w:bookmarkEnd w:id="113"/>
      <w:bookmarkStart w:id="114" w:name="_Toc184314438"/>
      <w:bookmarkEnd w:id="114"/>
      <w:bookmarkStart w:id="115" w:name="_Toc184314410"/>
      <w:bookmarkEnd w:id="115"/>
      <w:bookmarkStart w:id="116" w:name="_Toc184314435"/>
      <w:bookmarkEnd w:id="116"/>
      <w:bookmarkStart w:id="117" w:name="_Toc184308067"/>
      <w:bookmarkEnd w:id="117"/>
      <w:bookmarkStart w:id="118" w:name="_Toc184308108"/>
      <w:bookmarkEnd w:id="118"/>
      <w:bookmarkStart w:id="119" w:name="_Toc184312077"/>
      <w:bookmarkEnd w:id="119"/>
      <w:bookmarkStart w:id="120" w:name="_Toc184310294"/>
      <w:bookmarkEnd w:id="120"/>
      <w:bookmarkStart w:id="121" w:name="_Toc184314421"/>
      <w:bookmarkEnd w:id="121"/>
      <w:bookmarkStart w:id="122" w:name="_Toc184312129"/>
      <w:bookmarkEnd w:id="122"/>
      <w:bookmarkStart w:id="123" w:name="_Toc184312137"/>
      <w:bookmarkEnd w:id="123"/>
      <w:bookmarkStart w:id="124" w:name="_Toc184313274"/>
      <w:bookmarkEnd w:id="124"/>
      <w:bookmarkStart w:id="125" w:name="_Toc184312138"/>
      <w:bookmarkEnd w:id="125"/>
      <w:bookmarkStart w:id="126" w:name="_Toc184313291"/>
      <w:bookmarkEnd w:id="126"/>
      <w:bookmarkStart w:id="127" w:name="_Toc184310280"/>
      <w:bookmarkEnd w:id="127"/>
      <w:bookmarkStart w:id="128" w:name="_Toc184312087"/>
      <w:bookmarkEnd w:id="128"/>
      <w:bookmarkStart w:id="129" w:name="_Toc184312084"/>
      <w:bookmarkEnd w:id="129"/>
      <w:bookmarkStart w:id="130" w:name="_Toc184310317"/>
      <w:bookmarkEnd w:id="130"/>
      <w:bookmarkStart w:id="131" w:name="_Toc184313294"/>
      <w:bookmarkEnd w:id="131"/>
      <w:bookmarkStart w:id="132" w:name="_Toc184310318"/>
      <w:bookmarkEnd w:id="132"/>
      <w:bookmarkStart w:id="133" w:name="_Toc184310338"/>
      <w:bookmarkEnd w:id="133"/>
      <w:bookmarkStart w:id="134" w:name="_Toc184313264"/>
      <w:bookmarkEnd w:id="134"/>
      <w:bookmarkStart w:id="135" w:name="_Toc184314434"/>
      <w:bookmarkEnd w:id="135"/>
      <w:bookmarkStart w:id="136" w:name="_Toc184310305"/>
      <w:bookmarkEnd w:id="136"/>
      <w:bookmarkStart w:id="137" w:name="_Toc184308085"/>
      <w:bookmarkEnd w:id="137"/>
      <w:bookmarkStart w:id="138" w:name="_Toc184310300"/>
      <w:bookmarkEnd w:id="138"/>
      <w:bookmarkStart w:id="139" w:name="_Toc184313304"/>
      <w:bookmarkEnd w:id="139"/>
      <w:bookmarkStart w:id="140" w:name="_Toc184313284"/>
      <w:bookmarkEnd w:id="140"/>
      <w:bookmarkStart w:id="141" w:name="_Toc184308051"/>
      <w:bookmarkEnd w:id="141"/>
      <w:bookmarkStart w:id="142" w:name="_Toc184308104"/>
      <w:bookmarkEnd w:id="142"/>
      <w:bookmarkStart w:id="143" w:name="_Toc184313246"/>
      <w:bookmarkEnd w:id="143"/>
      <w:bookmarkStart w:id="144" w:name="_Toc184310283"/>
      <w:bookmarkEnd w:id="144"/>
      <w:bookmarkStart w:id="145" w:name="_Toc184312136"/>
      <w:bookmarkEnd w:id="145"/>
      <w:bookmarkStart w:id="146" w:name="_Toc184314474"/>
      <w:bookmarkEnd w:id="146"/>
      <w:bookmarkStart w:id="147" w:name="_Toc184314460"/>
      <w:bookmarkEnd w:id="147"/>
      <w:bookmarkStart w:id="148" w:name="_Toc184310342"/>
      <w:bookmarkEnd w:id="148"/>
      <w:bookmarkStart w:id="149" w:name="_Toc184314440"/>
      <w:bookmarkEnd w:id="149"/>
      <w:bookmarkStart w:id="150" w:name="_Toc184314423"/>
      <w:bookmarkEnd w:id="150"/>
      <w:bookmarkStart w:id="151" w:name="_Toc184310323"/>
      <w:bookmarkEnd w:id="151"/>
      <w:bookmarkStart w:id="152" w:name="_Toc184308057"/>
      <w:bookmarkEnd w:id="152"/>
      <w:bookmarkStart w:id="153" w:name="_Toc184308098"/>
      <w:bookmarkEnd w:id="153"/>
      <w:bookmarkStart w:id="154" w:name="_Toc184313263"/>
      <w:bookmarkEnd w:id="154"/>
      <w:bookmarkStart w:id="155" w:name="_Toc184313245"/>
      <w:bookmarkEnd w:id="155"/>
      <w:bookmarkStart w:id="156" w:name="_Toc184308075"/>
      <w:bookmarkEnd w:id="156"/>
      <w:bookmarkStart w:id="157" w:name="_Toc184313281"/>
      <w:bookmarkEnd w:id="157"/>
      <w:bookmarkStart w:id="158" w:name="_Toc184310303"/>
      <w:bookmarkEnd w:id="158"/>
      <w:bookmarkStart w:id="159" w:name="_Toc184313252"/>
      <w:bookmarkEnd w:id="159"/>
      <w:bookmarkStart w:id="160" w:name="_Toc184310326"/>
      <w:bookmarkEnd w:id="160"/>
      <w:bookmarkStart w:id="161" w:name="_Toc184313271"/>
      <w:bookmarkEnd w:id="161"/>
      <w:bookmarkStart w:id="162" w:name="_Toc184314424"/>
      <w:bookmarkEnd w:id="162"/>
      <w:bookmarkStart w:id="163" w:name="_Toc184313285"/>
      <w:bookmarkEnd w:id="163"/>
      <w:bookmarkStart w:id="164" w:name="_Toc184312110"/>
      <w:bookmarkEnd w:id="164"/>
      <w:bookmarkStart w:id="165" w:name="_Toc184314414"/>
      <w:bookmarkEnd w:id="165"/>
      <w:bookmarkStart w:id="166" w:name="_Toc184314416"/>
      <w:bookmarkEnd w:id="166"/>
      <w:bookmarkStart w:id="167" w:name="_Toc184314470"/>
      <w:bookmarkEnd w:id="167"/>
      <w:bookmarkStart w:id="168" w:name="_Toc184308052"/>
      <w:bookmarkEnd w:id="168"/>
      <w:bookmarkStart w:id="169" w:name="_Toc184310281"/>
      <w:bookmarkEnd w:id="169"/>
      <w:bookmarkStart w:id="170" w:name="_Toc184308036"/>
      <w:bookmarkEnd w:id="170"/>
      <w:bookmarkStart w:id="171" w:name="_Toc184308068"/>
      <w:bookmarkEnd w:id="171"/>
      <w:bookmarkStart w:id="172" w:name="_Toc184310319"/>
      <w:bookmarkEnd w:id="172"/>
      <w:bookmarkStart w:id="173" w:name="_Toc184314441"/>
      <w:bookmarkEnd w:id="173"/>
      <w:bookmarkStart w:id="174" w:name="_Toc184308043"/>
      <w:bookmarkEnd w:id="174"/>
      <w:bookmarkStart w:id="175" w:name="_Toc184308087"/>
      <w:bookmarkEnd w:id="175"/>
      <w:bookmarkStart w:id="176" w:name="_Toc184308090"/>
      <w:bookmarkEnd w:id="176"/>
      <w:bookmarkStart w:id="177" w:name="_Toc184313257"/>
      <w:bookmarkEnd w:id="177"/>
      <w:bookmarkStart w:id="178" w:name="_Toc184310276"/>
      <w:bookmarkEnd w:id="178"/>
      <w:bookmarkStart w:id="179" w:name="_Toc184308072"/>
      <w:bookmarkEnd w:id="179"/>
      <w:bookmarkStart w:id="180" w:name="_Toc184308039"/>
      <w:bookmarkEnd w:id="180"/>
      <w:bookmarkStart w:id="181" w:name="_Toc184310324"/>
      <w:bookmarkEnd w:id="181"/>
      <w:bookmarkStart w:id="182" w:name="_Toc184314413"/>
      <w:bookmarkEnd w:id="182"/>
      <w:bookmarkStart w:id="183" w:name="_Toc184314445"/>
      <w:bookmarkEnd w:id="183"/>
      <w:bookmarkStart w:id="184" w:name="_Toc184314432"/>
      <w:bookmarkEnd w:id="184"/>
      <w:bookmarkStart w:id="185" w:name="_Toc184313272"/>
      <w:bookmarkEnd w:id="185"/>
      <w:bookmarkStart w:id="186" w:name="_Toc184313306"/>
      <w:bookmarkEnd w:id="186"/>
      <w:bookmarkStart w:id="187" w:name="_Toc184310311"/>
      <w:bookmarkEnd w:id="187"/>
      <w:bookmarkStart w:id="188" w:name="_Toc184313267"/>
      <w:bookmarkEnd w:id="188"/>
      <w:bookmarkStart w:id="189" w:name="_Toc184312076"/>
      <w:bookmarkEnd w:id="189"/>
      <w:bookmarkStart w:id="190" w:name="_Toc184314439"/>
      <w:bookmarkEnd w:id="190"/>
      <w:bookmarkStart w:id="191" w:name="_Toc184310307"/>
      <w:bookmarkEnd w:id="191"/>
      <w:bookmarkStart w:id="192" w:name="_Toc184313238"/>
      <w:bookmarkEnd w:id="192"/>
      <w:bookmarkStart w:id="193" w:name="_Toc184308070"/>
      <w:bookmarkEnd w:id="193"/>
      <w:bookmarkStart w:id="194" w:name="_Toc184312122"/>
      <w:bookmarkEnd w:id="194"/>
      <w:bookmarkStart w:id="195" w:name="_Toc184308055"/>
      <w:bookmarkEnd w:id="195"/>
      <w:bookmarkStart w:id="196" w:name="_Toc184314430"/>
      <w:bookmarkEnd w:id="196"/>
      <w:bookmarkStart w:id="197" w:name="_Toc184310344"/>
      <w:bookmarkEnd w:id="197"/>
      <w:bookmarkStart w:id="198" w:name="_Toc184308058"/>
      <w:bookmarkEnd w:id="198"/>
      <w:bookmarkStart w:id="199" w:name="_Toc184312074"/>
      <w:bookmarkEnd w:id="199"/>
      <w:bookmarkStart w:id="200" w:name="_Toc184314473"/>
      <w:bookmarkEnd w:id="200"/>
      <w:bookmarkStart w:id="201" w:name="_Toc184310328"/>
      <w:bookmarkEnd w:id="201"/>
      <w:bookmarkStart w:id="202" w:name="_Toc184308037"/>
      <w:bookmarkEnd w:id="202"/>
      <w:bookmarkStart w:id="203" w:name="_Toc184314466"/>
      <w:bookmarkEnd w:id="203"/>
      <w:bookmarkStart w:id="204" w:name="_Toc184314415"/>
      <w:bookmarkEnd w:id="204"/>
      <w:bookmarkStart w:id="205" w:name="_Toc184313269"/>
      <w:bookmarkEnd w:id="205"/>
      <w:bookmarkStart w:id="206" w:name="_Toc184313286"/>
      <w:bookmarkEnd w:id="206"/>
      <w:bookmarkStart w:id="207" w:name="_Toc184310329"/>
      <w:bookmarkEnd w:id="207"/>
      <w:bookmarkStart w:id="208" w:name="_Toc184310334"/>
      <w:bookmarkEnd w:id="208"/>
      <w:bookmarkStart w:id="209" w:name="_Toc184310272"/>
      <w:bookmarkEnd w:id="209"/>
      <w:bookmarkStart w:id="210" w:name="_Toc184314437"/>
      <w:bookmarkEnd w:id="210"/>
      <w:bookmarkStart w:id="211" w:name="_Toc184312090"/>
      <w:bookmarkEnd w:id="211"/>
      <w:bookmarkStart w:id="212" w:name="_Toc184313305"/>
      <w:bookmarkEnd w:id="212"/>
      <w:bookmarkStart w:id="213" w:name="_Toc184313279"/>
      <w:bookmarkEnd w:id="213"/>
      <w:bookmarkStart w:id="214" w:name="_Toc184313288"/>
      <w:bookmarkEnd w:id="214"/>
      <w:bookmarkStart w:id="215" w:name="_Toc184314458"/>
      <w:bookmarkEnd w:id="215"/>
      <w:bookmarkStart w:id="216" w:name="_Toc184314450"/>
      <w:bookmarkEnd w:id="216"/>
      <w:bookmarkStart w:id="217" w:name="_Toc184308040"/>
      <w:bookmarkEnd w:id="217"/>
      <w:bookmarkStart w:id="218" w:name="_Toc184314418"/>
      <w:bookmarkEnd w:id="218"/>
      <w:bookmarkStart w:id="219" w:name="_Toc184310285"/>
      <w:bookmarkEnd w:id="219"/>
      <w:bookmarkStart w:id="220" w:name="_Toc184313293"/>
      <w:bookmarkEnd w:id="220"/>
      <w:bookmarkStart w:id="221" w:name="_Toc184312130"/>
      <w:bookmarkEnd w:id="221"/>
      <w:bookmarkStart w:id="222" w:name="_Toc184313250"/>
      <w:bookmarkEnd w:id="222"/>
      <w:bookmarkStart w:id="223" w:name="_Toc184312105"/>
      <w:bookmarkEnd w:id="223"/>
      <w:bookmarkStart w:id="224" w:name="_Toc184313247"/>
      <w:bookmarkEnd w:id="224"/>
      <w:bookmarkStart w:id="225" w:name="_Toc184308095"/>
      <w:bookmarkEnd w:id="225"/>
      <w:bookmarkStart w:id="226" w:name="_Toc184314429"/>
      <w:bookmarkEnd w:id="226"/>
      <w:bookmarkStart w:id="227" w:name="_Toc184312085"/>
      <w:bookmarkEnd w:id="227"/>
      <w:bookmarkStart w:id="228" w:name="_Toc184312071"/>
      <w:bookmarkEnd w:id="228"/>
      <w:bookmarkStart w:id="229" w:name="_Toc184308100"/>
      <w:bookmarkEnd w:id="229"/>
      <w:bookmarkStart w:id="230" w:name="_Toc184314455"/>
      <w:bookmarkEnd w:id="230"/>
      <w:bookmarkStart w:id="231" w:name="_Toc184312068"/>
      <w:bookmarkEnd w:id="231"/>
      <w:bookmarkStart w:id="232" w:name="_Toc184310309"/>
      <w:bookmarkEnd w:id="232"/>
      <w:bookmarkStart w:id="233" w:name="_Toc184314431"/>
      <w:bookmarkEnd w:id="233"/>
      <w:bookmarkStart w:id="234" w:name="_Toc184312132"/>
      <w:bookmarkEnd w:id="234"/>
      <w:bookmarkStart w:id="235" w:name="_Toc184312073"/>
      <w:bookmarkEnd w:id="235"/>
      <w:bookmarkStart w:id="236" w:name="_Toc184313275"/>
      <w:bookmarkEnd w:id="236"/>
      <w:bookmarkStart w:id="237" w:name="_Toc184313300"/>
      <w:bookmarkEnd w:id="237"/>
      <w:bookmarkStart w:id="238" w:name="_Toc184308060"/>
      <w:bookmarkEnd w:id="238"/>
      <w:bookmarkStart w:id="239" w:name="_Toc184310289"/>
      <w:bookmarkEnd w:id="239"/>
      <w:bookmarkStart w:id="240" w:name="_Toc184313289"/>
      <w:bookmarkEnd w:id="240"/>
      <w:bookmarkStart w:id="241" w:name="_Toc184310332"/>
      <w:bookmarkEnd w:id="241"/>
      <w:bookmarkStart w:id="242" w:name="_Toc184308097"/>
      <w:bookmarkEnd w:id="242"/>
      <w:bookmarkStart w:id="243" w:name="_Toc184313298"/>
      <w:bookmarkEnd w:id="243"/>
      <w:bookmarkStart w:id="244" w:name="_Toc184314451"/>
      <w:bookmarkEnd w:id="244"/>
      <w:bookmarkStart w:id="245" w:name="_Toc184312123"/>
      <w:bookmarkEnd w:id="245"/>
      <w:bookmarkStart w:id="246" w:name="_Toc184314443"/>
      <w:bookmarkEnd w:id="246"/>
      <w:bookmarkStart w:id="247" w:name="_Toc184313260"/>
      <w:bookmarkEnd w:id="247"/>
      <w:bookmarkStart w:id="248" w:name="_Toc184313254"/>
      <w:bookmarkEnd w:id="248"/>
      <w:bookmarkStart w:id="249" w:name="_Toc184314462"/>
      <w:bookmarkEnd w:id="249"/>
      <w:bookmarkStart w:id="250" w:name="_Toc184313265"/>
      <w:bookmarkEnd w:id="250"/>
      <w:bookmarkStart w:id="251" w:name="_Toc184314461"/>
      <w:bookmarkEnd w:id="251"/>
      <w:bookmarkStart w:id="252" w:name="_Toc184308080"/>
      <w:bookmarkEnd w:id="252"/>
      <w:bookmarkStart w:id="253" w:name="_Toc184308062"/>
      <w:bookmarkEnd w:id="253"/>
      <w:bookmarkStart w:id="254" w:name="_Toc184314419"/>
      <w:bookmarkEnd w:id="254"/>
      <w:bookmarkStart w:id="255" w:name="_Toc184312091"/>
      <w:bookmarkEnd w:id="255"/>
      <w:bookmarkStart w:id="256" w:name="_Toc184310274"/>
      <w:bookmarkEnd w:id="256"/>
      <w:bookmarkStart w:id="257" w:name="_Toc184313268"/>
      <w:bookmarkEnd w:id="257"/>
      <w:bookmarkStart w:id="258" w:name="_Toc184313277"/>
      <w:bookmarkEnd w:id="258"/>
      <w:bookmarkStart w:id="259" w:name="_Toc184308092"/>
      <w:bookmarkEnd w:id="259"/>
      <w:bookmarkStart w:id="260" w:name="_Toc184313242"/>
      <w:bookmarkEnd w:id="260"/>
      <w:bookmarkStart w:id="261" w:name="_Toc184312131"/>
      <w:bookmarkEnd w:id="261"/>
      <w:bookmarkStart w:id="262" w:name="_Toc184310310"/>
      <w:bookmarkEnd w:id="262"/>
      <w:bookmarkStart w:id="263" w:name="_Toc184314444"/>
      <w:bookmarkEnd w:id="263"/>
      <w:bookmarkStart w:id="264" w:name="_Toc184313244"/>
      <w:bookmarkEnd w:id="264"/>
      <w:bookmarkStart w:id="265" w:name="_Toc184312078"/>
      <w:bookmarkEnd w:id="265"/>
      <w:bookmarkStart w:id="266" w:name="_Toc184310291"/>
      <w:bookmarkEnd w:id="266"/>
      <w:bookmarkStart w:id="267" w:name="_Toc184310298"/>
      <w:bookmarkEnd w:id="267"/>
      <w:bookmarkStart w:id="268" w:name="_Toc184308101"/>
      <w:bookmarkEnd w:id="268"/>
      <w:bookmarkStart w:id="269" w:name="_Toc184312088"/>
      <w:bookmarkEnd w:id="269"/>
      <w:bookmarkStart w:id="270" w:name="_Toc184308042"/>
      <w:bookmarkEnd w:id="270"/>
      <w:bookmarkStart w:id="271" w:name="_Toc184310278"/>
      <w:bookmarkEnd w:id="271"/>
      <w:bookmarkStart w:id="272" w:name="_Toc184312067"/>
      <w:bookmarkEnd w:id="272"/>
      <w:bookmarkStart w:id="273" w:name="_Toc184314464"/>
      <w:bookmarkEnd w:id="273"/>
      <w:bookmarkStart w:id="274" w:name="_Toc184313261"/>
      <w:bookmarkEnd w:id="274"/>
      <w:bookmarkStart w:id="275" w:name="_Toc184312135"/>
      <w:bookmarkEnd w:id="275"/>
      <w:bookmarkStart w:id="276" w:name="_Toc184310308"/>
      <w:bookmarkEnd w:id="276"/>
      <w:bookmarkStart w:id="277" w:name="_Toc184312118"/>
      <w:bookmarkEnd w:id="277"/>
      <w:bookmarkStart w:id="278" w:name="_Toc184308091"/>
      <w:bookmarkEnd w:id="278"/>
      <w:bookmarkStart w:id="279" w:name="_Toc184312107"/>
      <w:bookmarkEnd w:id="279"/>
      <w:bookmarkStart w:id="280" w:name="_Toc184310341"/>
      <w:bookmarkEnd w:id="280"/>
      <w:bookmarkStart w:id="281" w:name="_Toc184312111"/>
      <w:bookmarkEnd w:id="281"/>
      <w:bookmarkStart w:id="282" w:name="_Toc184313262"/>
      <w:bookmarkEnd w:id="282"/>
      <w:bookmarkStart w:id="283" w:name="_Toc184312093"/>
      <w:bookmarkEnd w:id="283"/>
      <w:bookmarkStart w:id="284" w:name="_Toc184310279"/>
      <w:bookmarkEnd w:id="284"/>
      <w:bookmarkStart w:id="285" w:name="_Toc184314477"/>
      <w:bookmarkEnd w:id="285"/>
      <w:bookmarkStart w:id="286" w:name="_Toc184308077"/>
      <w:bookmarkEnd w:id="286"/>
      <w:bookmarkStart w:id="287" w:name="_Toc184313243"/>
      <w:bookmarkEnd w:id="287"/>
      <w:bookmarkStart w:id="288" w:name="_Toc184310316"/>
      <w:bookmarkEnd w:id="288"/>
      <w:bookmarkStart w:id="289" w:name="_Toc184314447"/>
      <w:bookmarkEnd w:id="289"/>
      <w:bookmarkStart w:id="290" w:name="_Toc184310331"/>
      <w:bookmarkEnd w:id="290"/>
      <w:bookmarkStart w:id="291" w:name="_Toc184314465"/>
      <w:bookmarkEnd w:id="291"/>
      <w:bookmarkStart w:id="292" w:name="_Toc184310312"/>
      <w:bookmarkEnd w:id="292"/>
      <w:bookmarkStart w:id="293" w:name="_Toc184314479"/>
      <w:bookmarkEnd w:id="293"/>
      <w:bookmarkStart w:id="294" w:name="_Toc184312102"/>
      <w:bookmarkEnd w:id="294"/>
      <w:bookmarkStart w:id="295" w:name="_Toc184310321"/>
      <w:bookmarkEnd w:id="295"/>
      <w:bookmarkStart w:id="296" w:name="_Toc184314426"/>
      <w:bookmarkEnd w:id="296"/>
      <w:bookmarkStart w:id="297" w:name="_Toc184313270"/>
      <w:bookmarkEnd w:id="297"/>
      <w:bookmarkStart w:id="298" w:name="_Toc184308064"/>
      <w:bookmarkEnd w:id="298"/>
      <w:bookmarkStart w:id="299" w:name="_Toc184312096"/>
      <w:bookmarkEnd w:id="299"/>
      <w:bookmarkStart w:id="300" w:name="_Toc184313292"/>
      <w:bookmarkEnd w:id="300"/>
      <w:bookmarkStart w:id="301" w:name="_Toc184314454"/>
      <w:bookmarkEnd w:id="301"/>
      <w:bookmarkStart w:id="302" w:name="_Toc184312120"/>
      <w:bookmarkEnd w:id="302"/>
      <w:bookmarkStart w:id="303" w:name="_Toc184313282"/>
      <w:bookmarkEnd w:id="303"/>
      <w:bookmarkStart w:id="304" w:name="_Toc184312103"/>
      <w:bookmarkEnd w:id="304"/>
      <w:bookmarkStart w:id="305" w:name="_Toc184310314"/>
      <w:bookmarkEnd w:id="305"/>
      <w:bookmarkStart w:id="306" w:name="_Toc184310284"/>
      <w:bookmarkEnd w:id="306"/>
      <w:bookmarkStart w:id="307" w:name="_Toc184314417"/>
      <w:bookmarkEnd w:id="307"/>
      <w:bookmarkStart w:id="308" w:name="_Toc184308106"/>
      <w:bookmarkEnd w:id="308"/>
      <w:bookmarkStart w:id="309" w:name="_Toc184314436"/>
      <w:bookmarkEnd w:id="309"/>
      <w:bookmarkStart w:id="310" w:name="_Toc184314422"/>
      <w:bookmarkEnd w:id="310"/>
      <w:bookmarkStart w:id="311" w:name="_Toc184308054"/>
      <w:bookmarkEnd w:id="311"/>
      <w:bookmarkStart w:id="312" w:name="_Toc184310282"/>
      <w:bookmarkEnd w:id="312"/>
      <w:bookmarkStart w:id="313" w:name="_Toc184310302"/>
      <w:bookmarkEnd w:id="313"/>
      <w:bookmarkStart w:id="314" w:name="_Toc184310313"/>
      <w:bookmarkEnd w:id="314"/>
      <w:bookmarkStart w:id="315" w:name="_Toc184314476"/>
      <w:bookmarkEnd w:id="315"/>
      <w:bookmarkStart w:id="316" w:name="_Toc184313283"/>
      <w:bookmarkEnd w:id="316"/>
      <w:bookmarkStart w:id="317" w:name="_Toc184314453"/>
      <w:bookmarkEnd w:id="317"/>
      <w:bookmarkStart w:id="318" w:name="_Toc184308050"/>
      <w:bookmarkEnd w:id="318"/>
      <w:bookmarkStart w:id="319" w:name="_Toc184314478"/>
      <w:bookmarkEnd w:id="319"/>
      <w:bookmarkStart w:id="320" w:name="_Toc184313256"/>
      <w:bookmarkEnd w:id="320"/>
      <w:bookmarkStart w:id="321" w:name="_Toc184308045"/>
      <w:bookmarkEnd w:id="321"/>
      <w:bookmarkStart w:id="322" w:name="_Toc184313240"/>
      <w:bookmarkEnd w:id="322"/>
      <w:bookmarkStart w:id="323" w:name="_Toc184312139"/>
      <w:bookmarkEnd w:id="323"/>
      <w:bookmarkStart w:id="324" w:name="_Toc184312114"/>
      <w:bookmarkEnd w:id="324"/>
      <w:bookmarkStart w:id="325" w:name="_Toc184312081"/>
      <w:bookmarkEnd w:id="325"/>
      <w:bookmarkStart w:id="326" w:name="_Toc184312094"/>
      <w:bookmarkEnd w:id="326"/>
      <w:bookmarkStart w:id="327" w:name="_Toc184313239"/>
      <w:bookmarkEnd w:id="327"/>
      <w:bookmarkStart w:id="328" w:name="_Toc184314420"/>
      <w:bookmarkEnd w:id="328"/>
      <w:bookmarkStart w:id="329" w:name="_Toc184314456"/>
      <w:bookmarkEnd w:id="329"/>
      <w:bookmarkStart w:id="330" w:name="_Toc184313273"/>
      <w:bookmarkEnd w:id="330"/>
      <w:bookmarkStart w:id="331" w:name="_Toc184313303"/>
      <w:bookmarkEnd w:id="331"/>
      <w:bookmarkStart w:id="332" w:name="_Toc184308073"/>
      <w:bookmarkEnd w:id="332"/>
      <w:bookmarkStart w:id="333" w:name="_Toc184312115"/>
      <w:bookmarkEnd w:id="333"/>
      <w:bookmarkStart w:id="334" w:name="_Toc184308074"/>
      <w:bookmarkEnd w:id="334"/>
      <w:bookmarkStart w:id="335" w:name="_Toc184313302"/>
      <w:bookmarkEnd w:id="335"/>
      <w:bookmarkStart w:id="336" w:name="_Toc184308081"/>
      <w:bookmarkEnd w:id="336"/>
      <w:bookmarkStart w:id="337" w:name="_Toc184308088"/>
      <w:bookmarkEnd w:id="337"/>
      <w:bookmarkStart w:id="338" w:name="_Toc184310297"/>
      <w:bookmarkEnd w:id="338"/>
      <w:bookmarkStart w:id="339" w:name="_Toc184308063"/>
      <w:bookmarkEnd w:id="339"/>
      <w:bookmarkStart w:id="340" w:name="_Toc184312097"/>
      <w:bookmarkEnd w:id="340"/>
      <w:bookmarkStart w:id="341" w:name="_Toc184308069"/>
      <w:bookmarkEnd w:id="341"/>
      <w:bookmarkStart w:id="342" w:name="_Toc184308103"/>
      <w:bookmarkEnd w:id="342"/>
      <w:bookmarkStart w:id="343" w:name="_Toc184312095"/>
      <w:bookmarkEnd w:id="343"/>
      <w:bookmarkStart w:id="344" w:name="_Toc184314442"/>
      <w:bookmarkEnd w:id="344"/>
      <w:bookmarkStart w:id="345" w:name="_Toc184308046"/>
      <w:bookmarkEnd w:id="345"/>
      <w:bookmarkStart w:id="346" w:name="_Toc184308093"/>
      <w:bookmarkEnd w:id="346"/>
      <w:bookmarkStart w:id="347" w:name="_Toc184313278"/>
      <w:bookmarkEnd w:id="347"/>
      <w:bookmarkStart w:id="348" w:name="_Toc184310296"/>
      <w:bookmarkEnd w:id="348"/>
      <w:bookmarkStart w:id="349" w:name="_Toc184314449"/>
      <w:bookmarkEnd w:id="349"/>
      <w:bookmarkStart w:id="350" w:name="_Toc184308071"/>
      <w:bookmarkEnd w:id="350"/>
      <w:bookmarkStart w:id="351" w:name="_Toc184308078"/>
      <w:bookmarkEnd w:id="351"/>
      <w:bookmarkStart w:id="352" w:name="_Toc184310322"/>
      <w:bookmarkEnd w:id="352"/>
      <w:bookmarkStart w:id="353" w:name="_Toc184308038"/>
      <w:bookmarkEnd w:id="353"/>
      <w:bookmarkStart w:id="354" w:name="_Toc184310295"/>
      <w:bookmarkEnd w:id="354"/>
      <w:bookmarkStart w:id="355" w:name="_Toc184308094"/>
      <w:bookmarkEnd w:id="355"/>
      <w:bookmarkStart w:id="356" w:name="_Toc184308059"/>
      <w:bookmarkEnd w:id="356"/>
      <w:bookmarkStart w:id="357" w:name="_Toc184312100"/>
      <w:bookmarkEnd w:id="357"/>
      <w:bookmarkStart w:id="358" w:name="_Toc184314427"/>
      <w:bookmarkEnd w:id="358"/>
      <w:bookmarkStart w:id="359" w:name="_Toc184312126"/>
      <w:bookmarkEnd w:id="359"/>
      <w:bookmarkStart w:id="360" w:name="_Toc184312113"/>
      <w:bookmarkEnd w:id="360"/>
      <w:bookmarkStart w:id="361" w:name="_Toc184310286"/>
      <w:bookmarkEnd w:id="361"/>
      <w:bookmarkStart w:id="362" w:name="_Toc184310304"/>
      <w:bookmarkEnd w:id="362"/>
      <w:bookmarkStart w:id="363" w:name="_Toc184308061"/>
      <w:bookmarkEnd w:id="363"/>
      <w:bookmarkStart w:id="364" w:name="_Toc184314425"/>
      <w:bookmarkEnd w:id="364"/>
      <w:bookmarkStart w:id="365" w:name="_Toc184314463"/>
      <w:bookmarkEnd w:id="365"/>
      <w:bookmarkStart w:id="366" w:name="_Toc184314452"/>
      <w:bookmarkEnd w:id="366"/>
      <w:bookmarkStart w:id="367" w:name="_Toc184313280"/>
      <w:bookmarkEnd w:id="367"/>
      <w:bookmarkStart w:id="368" w:name="_Toc184312092"/>
      <w:bookmarkEnd w:id="368"/>
      <w:bookmarkStart w:id="369" w:name="_Toc184308099"/>
      <w:bookmarkEnd w:id="369"/>
      <w:bookmarkStart w:id="370" w:name="_Toc184314446"/>
      <w:bookmarkEnd w:id="370"/>
      <w:bookmarkStart w:id="371" w:name="_Toc184308041"/>
      <w:bookmarkEnd w:id="371"/>
      <w:bookmarkStart w:id="372" w:name="_Toc184308083"/>
      <w:bookmarkEnd w:id="372"/>
      <w:bookmarkStart w:id="373" w:name="_Toc184313301"/>
      <w:bookmarkEnd w:id="373"/>
      <w:bookmarkStart w:id="374" w:name="_Toc184308105"/>
      <w:bookmarkEnd w:id="374"/>
      <w:bookmarkStart w:id="375" w:name="_Toc184312070"/>
      <w:bookmarkEnd w:id="375"/>
      <w:bookmarkStart w:id="376" w:name="_Toc184310288"/>
      <w:bookmarkEnd w:id="376"/>
      <w:bookmarkStart w:id="377" w:name="_Toc184312083"/>
      <w:bookmarkEnd w:id="377"/>
      <w:bookmarkStart w:id="378" w:name="_Toc184313276"/>
      <w:bookmarkEnd w:id="378"/>
      <w:bookmarkStart w:id="379" w:name="_Toc184313253"/>
      <w:bookmarkEnd w:id="379"/>
      <w:bookmarkStart w:id="380" w:name="_Toc184313309"/>
      <w:bookmarkEnd w:id="380"/>
      <w:bookmarkStart w:id="381" w:name="_Toc184310327"/>
      <w:bookmarkEnd w:id="381"/>
      <w:bookmarkStart w:id="382" w:name="_Toc184310337"/>
      <w:bookmarkEnd w:id="382"/>
      <w:bookmarkStart w:id="383" w:name="_Toc184310293"/>
      <w:bookmarkEnd w:id="383"/>
      <w:bookmarkStart w:id="384" w:name="_Toc184310287"/>
      <w:bookmarkEnd w:id="384"/>
      <w:bookmarkStart w:id="385" w:name="_Toc184313310"/>
      <w:bookmarkEnd w:id="385"/>
      <w:bookmarkStart w:id="386" w:name="_Toc184310325"/>
      <w:bookmarkEnd w:id="386"/>
      <w:bookmarkStart w:id="387" w:name="_Toc184312072"/>
      <w:bookmarkEnd w:id="387"/>
      <w:bookmarkStart w:id="388" w:name="_Toc184308044"/>
      <w:bookmarkEnd w:id="388"/>
      <w:bookmarkStart w:id="389" w:name="_Toc184314412"/>
      <w:bookmarkEnd w:id="389"/>
      <w:bookmarkStart w:id="390" w:name="_Toc184313295"/>
      <w:bookmarkEnd w:id="390"/>
      <w:bookmarkStart w:id="391" w:name="_Toc184310290"/>
      <w:bookmarkEnd w:id="391"/>
      <w:bookmarkStart w:id="392" w:name="_Toc184312104"/>
      <w:bookmarkEnd w:id="392"/>
      <w:bookmarkStart w:id="393" w:name="_Toc184308079"/>
      <w:bookmarkEnd w:id="393"/>
      <w:bookmarkStart w:id="394" w:name="_Toc184308102"/>
      <w:bookmarkEnd w:id="394"/>
      <w:bookmarkStart w:id="395" w:name="_Toc184314467"/>
      <w:bookmarkEnd w:id="395"/>
      <w:bookmarkStart w:id="396" w:name="_Toc184310343"/>
      <w:bookmarkEnd w:id="396"/>
      <w:bookmarkStart w:id="397" w:name="_Toc184314475"/>
      <w:bookmarkEnd w:id="397"/>
      <w:bookmarkStart w:id="398" w:name="_Toc184313241"/>
      <w:bookmarkEnd w:id="398"/>
      <w:bookmarkStart w:id="399" w:name="_Toc184312099"/>
      <w:bookmarkEnd w:id="399"/>
      <w:bookmarkStart w:id="400" w:name="_Toc184312101"/>
      <w:bookmarkEnd w:id="400"/>
      <w:bookmarkStart w:id="401" w:name="_Toc184308084"/>
      <w:bookmarkEnd w:id="401"/>
      <w:bookmarkStart w:id="402" w:name="_Toc184313307"/>
      <w:bookmarkEnd w:id="402"/>
      <w:bookmarkStart w:id="403" w:name="_Toc184314457"/>
      <w:bookmarkEnd w:id="403"/>
      <w:bookmarkStart w:id="404" w:name="_Toc184314471"/>
      <w:bookmarkEnd w:id="404"/>
      <w:bookmarkStart w:id="405" w:name="_Toc184312082"/>
      <w:bookmarkEnd w:id="405"/>
      <w:bookmarkStart w:id="406" w:name="_Toc184310315"/>
      <w:bookmarkEnd w:id="406"/>
      <w:bookmarkStart w:id="407" w:name="_Toc184312086"/>
      <w:bookmarkEnd w:id="407"/>
      <w:bookmarkStart w:id="408" w:name="_Toc184312119"/>
      <w:bookmarkEnd w:id="408"/>
      <w:bookmarkStart w:id="409" w:name="_Toc184314481"/>
      <w:bookmarkEnd w:id="409"/>
      <w:bookmarkStart w:id="410" w:name="_Toc184314469"/>
      <w:bookmarkEnd w:id="410"/>
      <w:bookmarkStart w:id="411" w:name="_Toc184313248"/>
      <w:bookmarkEnd w:id="411"/>
      <w:bookmarkStart w:id="412" w:name="_Toc184314433"/>
      <w:bookmarkEnd w:id="412"/>
      <w:bookmarkStart w:id="413" w:name="_Toc184308047"/>
      <w:bookmarkEnd w:id="413"/>
      <w:bookmarkStart w:id="414" w:name="_Toc184312121"/>
      <w:bookmarkEnd w:id="414"/>
      <w:bookmarkStart w:id="415" w:name="_Toc184310277"/>
      <w:bookmarkEnd w:id="415"/>
      <w:bookmarkStart w:id="416" w:name="_Toc184313297"/>
      <w:bookmarkEnd w:id="416"/>
      <w:bookmarkStart w:id="417" w:name="_Toc184313299"/>
      <w:bookmarkEnd w:id="417"/>
      <w:bookmarkStart w:id="418" w:name="_Toc184314472"/>
      <w:bookmarkEnd w:id="418"/>
      <w:bookmarkStart w:id="419" w:name="_Toc184314482"/>
      <w:bookmarkEnd w:id="419"/>
      <w:bookmarkStart w:id="420" w:name="_Toc184313251"/>
      <w:bookmarkEnd w:id="420"/>
      <w:bookmarkStart w:id="421" w:name="_Toc184308107"/>
      <w:bookmarkEnd w:id="421"/>
      <w:bookmarkStart w:id="422" w:name="_Toc184313290"/>
      <w:bookmarkEnd w:id="422"/>
      <w:bookmarkStart w:id="423" w:name="_Toc184310306"/>
      <w:bookmarkEnd w:id="423"/>
      <w:bookmarkStart w:id="424" w:name="_Toc184310292"/>
      <w:bookmarkEnd w:id="424"/>
      <w:bookmarkStart w:id="425" w:name="_Toc184310320"/>
      <w:bookmarkEnd w:id="425"/>
      <w:bookmarkStart w:id="426" w:name="_Toc184314428"/>
      <w:bookmarkEnd w:id="426"/>
      <w:bookmarkStart w:id="427" w:name="_Toc184310301"/>
      <w:bookmarkEnd w:id="427"/>
      <w:bookmarkStart w:id="428" w:name="_Toc184313249"/>
      <w:bookmarkEnd w:id="428"/>
      <w:bookmarkStart w:id="429" w:name="_Toc184312133"/>
      <w:bookmarkEnd w:id="429"/>
      <w:bookmarkStart w:id="430" w:name="_Toc184310339"/>
      <w:bookmarkEnd w:id="430"/>
      <w:bookmarkStart w:id="431" w:name="_Toc184313259"/>
      <w:bookmarkEnd w:id="431"/>
      <w:bookmarkStart w:id="432" w:name="_Toc184310275"/>
      <w:bookmarkEnd w:id="432"/>
      <w:bookmarkStart w:id="433" w:name="_Toc184313255"/>
      <w:bookmarkEnd w:id="433"/>
      <w:bookmarkStart w:id="434" w:name="_Toc184312124"/>
      <w:bookmarkEnd w:id="434"/>
      <w:bookmarkStart w:id="435" w:name="_Toc184308065"/>
      <w:bookmarkEnd w:id="435"/>
      <w:bookmarkStart w:id="436" w:name="_Toc184312117"/>
      <w:bookmarkEnd w:id="436"/>
      <w:bookmarkStart w:id="437" w:name="_Toc184313266"/>
      <w:bookmarkEnd w:id="437"/>
      <w:bookmarkStart w:id="438" w:name="_Toc184308048"/>
      <w:bookmarkEnd w:id="438"/>
      <w:bookmarkStart w:id="439" w:name="_Toc184314480"/>
      <w:bookmarkEnd w:id="439"/>
      <w:bookmarkStart w:id="440" w:name="_Toc184314448"/>
      <w:bookmarkEnd w:id="440"/>
      <w:bookmarkStart w:id="441" w:name="_Toc184312108"/>
      <w:bookmarkEnd w:id="441"/>
      <w:bookmarkStart w:id="442" w:name="_Toc184314468"/>
      <w:bookmarkEnd w:id="442"/>
      <w:bookmarkStart w:id="443" w:name="_Toc184312080"/>
      <w:bookmarkEnd w:id="443"/>
      <w:bookmarkStart w:id="444" w:name="_Toc184312127"/>
      <w:bookmarkEnd w:id="444"/>
      <w:bookmarkStart w:id="445" w:name="_Toc184310273"/>
      <w:bookmarkEnd w:id="445"/>
      <w:bookmarkStart w:id="446" w:name="_Toc184313287"/>
      <w:bookmarkEnd w:id="446"/>
      <w:bookmarkStart w:id="447" w:name="_Toc184312116"/>
      <w:bookmarkEnd w:id="447"/>
      <w:bookmarkStart w:id="448" w:name="_Toc184312075"/>
      <w:bookmarkEnd w:id="448"/>
      <w:bookmarkStart w:id="449" w:name="_Toc184310335"/>
      <w:bookmarkEnd w:id="449"/>
      <w:bookmarkStart w:id="450" w:name="_Toc184308066"/>
      <w:bookmarkEnd w:id="450"/>
      <w:bookmarkStart w:id="451" w:name="_Toc184313308"/>
      <w:bookmarkEnd w:id="451"/>
      <w:bookmarkStart w:id="452" w:name="_Toc184308096"/>
      <w:bookmarkEnd w:id="452"/>
      <w:bookmarkStart w:id="453" w:name="_Toc184312089"/>
      <w:bookmarkEnd w:id="453"/>
      <w:bookmarkStart w:id="454" w:name="_Toc184310299"/>
      <w:bookmarkEnd w:id="454"/>
      <w:bookmarkStart w:id="455" w:name="_Toc184310333"/>
      <w:bookmarkEnd w:id="455"/>
      <w:bookmarkStart w:id="456" w:name="_Toc184308049"/>
      <w:bookmarkEnd w:id="456"/>
      <w:bookmarkStart w:id="457" w:name="_Toc184312098"/>
      <w:bookmarkEnd w:id="457"/>
      <w:bookmarkStart w:id="458" w:name="_Toc184308086"/>
      <w:bookmarkEnd w:id="458"/>
      <w:bookmarkStart w:id="459" w:name="_Toc184310340"/>
      <w:bookmarkEnd w:id="459"/>
      <w:bookmarkStart w:id="460" w:name="_Toc184308076"/>
      <w:bookmarkEnd w:id="460"/>
      <w:bookmarkStart w:id="461" w:name="_Toc184310336"/>
      <w:bookmarkEnd w:id="461"/>
      <w:bookmarkStart w:id="462" w:name="第四部分"/>
      <w:r>
        <w:rPr>
          <w:rFonts w:hint="eastAsia" w:ascii="宋体" w:hAnsi="宋体" w:eastAsia="宋体" w:cs="宋体"/>
          <w:b/>
          <w:color w:val="auto"/>
          <w:sz w:val="36"/>
          <w:szCs w:val="36"/>
        </w:rPr>
        <w:t>评标办法及评分标准</w:t>
      </w:r>
      <w:bookmarkEnd w:id="94"/>
      <w:bookmarkEnd w:id="95"/>
      <w:bookmarkEnd w:id="96"/>
    </w:p>
    <w:p>
      <w:pPr>
        <w:pStyle w:val="8"/>
        <w:spacing w:line="360" w:lineRule="auto"/>
        <w:jc w:val="center"/>
        <w:rPr>
          <w:rFonts w:hint="eastAsia" w:hAnsi="宋体" w:cs="宋体"/>
          <w:bCs/>
          <w:color w:val="auto"/>
        </w:rPr>
      </w:pPr>
      <w:bookmarkStart w:id="463" w:name="_Toc11519"/>
      <w:bookmarkStart w:id="464" w:name="_Toc1764"/>
      <w:r>
        <w:rPr>
          <w:rFonts w:hint="eastAsia" w:hAnsi="宋体" w:cs="宋体"/>
          <w:bCs/>
          <w:color w:val="auto"/>
        </w:rPr>
        <w:t>第一章　评标办法</w:t>
      </w:r>
      <w:bookmarkEnd w:id="463"/>
      <w:bookmarkEnd w:id="464"/>
    </w:p>
    <w:p>
      <w:pPr>
        <w:spacing w:line="360" w:lineRule="auto"/>
        <w:ind w:firstLine="482" w:firstLineChars="200"/>
        <w:rPr>
          <w:rFonts w:hint="eastAsia" w:ascii="宋体" w:hAnsi="宋体" w:cs="宋体"/>
          <w:b/>
          <w:bCs/>
          <w:color w:val="auto"/>
          <w:sz w:val="24"/>
          <w:szCs w:val="21"/>
        </w:rPr>
      </w:pPr>
      <w:r>
        <w:rPr>
          <w:rFonts w:hint="eastAsia" w:ascii="宋体" w:hAnsi="宋体" w:cs="宋体"/>
          <w:b/>
          <w:bCs/>
          <w:color w:val="auto"/>
          <w:sz w:val="24"/>
          <w:szCs w:val="21"/>
        </w:rPr>
        <w:t>一、本次招标将按下列第</w:t>
      </w:r>
      <w:r>
        <w:rPr>
          <w:rFonts w:hint="eastAsia" w:ascii="宋体" w:hAnsi="宋体" w:cs="宋体"/>
          <w:b/>
          <w:bCs/>
          <w:color w:val="auto"/>
          <w:sz w:val="24"/>
          <w:szCs w:val="21"/>
          <w:u w:val="single"/>
        </w:rPr>
        <w:t>　1　</w:t>
      </w:r>
      <w:r>
        <w:rPr>
          <w:rFonts w:hint="eastAsia" w:ascii="宋体" w:hAnsi="宋体" w:cs="宋体"/>
          <w:b/>
          <w:bCs/>
          <w:color w:val="auto"/>
          <w:sz w:val="24"/>
          <w:szCs w:val="21"/>
        </w:rPr>
        <w:t>种评标办法进行评标：</w:t>
      </w:r>
    </w:p>
    <w:p>
      <w:pPr>
        <w:spacing w:line="360" w:lineRule="auto"/>
        <w:ind w:firstLine="480" w:firstLineChars="200"/>
        <w:rPr>
          <w:rFonts w:hint="eastAsia" w:ascii="宋体" w:hAnsi="宋体" w:cs="宋体"/>
          <w:color w:val="auto"/>
          <w:sz w:val="24"/>
          <w:szCs w:val="21"/>
        </w:rPr>
      </w:pPr>
      <w:r>
        <w:rPr>
          <w:rFonts w:hint="eastAsia" w:ascii="宋体" w:hAnsi="宋体" w:cs="宋体"/>
          <w:b w:val="0"/>
          <w:bCs w:val="0"/>
          <w:color w:val="auto"/>
          <w:sz w:val="24"/>
          <w:szCs w:val="21"/>
        </w:rPr>
        <w:t>1、综合评分法。即在最大限度地满足招标文件实质性要求的前提下，按照《评分标准》规定的评分因素对各投标人的投标文件进行综合评审，以技术分、资信分、商务分总得分最高的投标人作为中标候选人</w:t>
      </w:r>
      <w:r>
        <w:rPr>
          <w:rFonts w:hint="eastAsia" w:ascii="宋体" w:hAnsi="宋体" w:cs="宋体"/>
          <w:b w:val="0"/>
          <w:bCs w:val="0"/>
          <w:color w:val="auto"/>
          <w:sz w:val="24"/>
          <w:szCs w:val="21"/>
          <w:lang w:eastAsia="zh-CN"/>
        </w:rPr>
        <w:t>。</w:t>
      </w:r>
      <w:r>
        <w:rPr>
          <w:rFonts w:hint="eastAsia" w:ascii="宋体" w:hAnsi="宋体" w:cs="宋体"/>
          <w:b w:val="0"/>
          <w:bCs w:val="0"/>
          <w:color w:val="auto"/>
          <w:sz w:val="24"/>
          <w:szCs w:val="21"/>
        </w:rPr>
        <w:t>如最高总得分相同的，以</w:t>
      </w:r>
      <w:r>
        <w:rPr>
          <w:rFonts w:hint="eastAsia" w:ascii="宋体" w:hAnsi="宋体" w:cs="宋体"/>
          <w:color w:val="auto"/>
          <w:sz w:val="24"/>
          <w:szCs w:val="21"/>
        </w:rPr>
        <w:t>报价低者作为中标候选人。如最高总得分且报价相同的，以技术指标优者作为中标候选人；无法确定技术指标优劣的，则抽签确定中标候选人。</w:t>
      </w:r>
    </w:p>
    <w:p>
      <w:pPr>
        <w:spacing w:line="360" w:lineRule="auto"/>
        <w:ind w:firstLine="480" w:firstLineChars="200"/>
        <w:rPr>
          <w:rFonts w:hint="eastAsia" w:ascii="宋体" w:hAnsi="宋体" w:cs="宋体"/>
          <w:b w:val="0"/>
          <w:bCs w:val="0"/>
          <w:color w:val="auto"/>
          <w:sz w:val="24"/>
          <w:szCs w:val="21"/>
        </w:rPr>
      </w:pPr>
      <w:r>
        <w:rPr>
          <w:rFonts w:hint="eastAsia" w:ascii="宋体" w:hAnsi="宋体" w:cs="宋体"/>
          <w:b w:val="0"/>
          <w:bCs w:val="0"/>
          <w:color w:val="auto"/>
          <w:sz w:val="24"/>
          <w:szCs w:val="21"/>
          <w:lang w:val="en-US" w:eastAsia="zh-CN"/>
        </w:rPr>
        <w:t>注：</w:t>
      </w:r>
      <w:r>
        <w:rPr>
          <w:rFonts w:hint="eastAsia" w:ascii="宋体" w:hAnsi="宋体" w:cs="宋体"/>
          <w:b w:val="0"/>
          <w:bCs w:val="0"/>
          <w:color w:val="auto"/>
          <w:sz w:val="24"/>
          <w:szCs w:val="21"/>
        </w:rPr>
        <w:t>本次评标采用百分制计分，计算时四舍五入保留到小数点后两位。</w:t>
      </w:r>
    </w:p>
    <w:p>
      <w:pPr>
        <w:numPr>
          <w:ilvl w:val="0"/>
          <w:numId w:val="38"/>
        </w:numPr>
        <w:spacing w:line="360" w:lineRule="auto"/>
        <w:ind w:firstLine="480" w:firstLineChars="200"/>
        <w:rPr>
          <w:rFonts w:hint="eastAsia" w:ascii="宋体" w:hAnsi="宋体" w:cs="宋体"/>
          <w:color w:val="auto"/>
          <w:sz w:val="24"/>
          <w:szCs w:val="21"/>
        </w:rPr>
      </w:pPr>
      <w:r>
        <w:rPr>
          <w:rFonts w:hint="eastAsia" w:ascii="宋体" w:hAnsi="宋体" w:cs="宋体"/>
          <w:color w:val="auto"/>
          <w:sz w:val="24"/>
          <w:szCs w:val="21"/>
        </w:rPr>
        <w:t>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pStyle w:val="8"/>
        <w:numPr>
          <w:ilvl w:val="0"/>
          <w:numId w:val="0"/>
        </w:numPr>
        <w:rPr>
          <w:rFonts w:hint="eastAsia"/>
        </w:rPr>
      </w:pPr>
    </w:p>
    <w:p>
      <w:pPr>
        <w:pStyle w:val="8"/>
        <w:spacing w:line="360" w:lineRule="auto"/>
        <w:jc w:val="center"/>
        <w:rPr>
          <w:rFonts w:hint="eastAsia" w:hAnsi="宋体" w:cs="宋体"/>
          <w:color w:val="auto"/>
        </w:rPr>
      </w:pPr>
      <w:bookmarkStart w:id="465" w:name="_Toc27883"/>
      <w:r>
        <w:rPr>
          <w:rFonts w:hint="eastAsia" w:hAnsi="宋体" w:cs="宋体"/>
          <w:color w:val="auto"/>
        </w:rPr>
        <w:t>第二章　评分标准</w:t>
      </w:r>
      <w:bookmarkEnd w:id="465"/>
    </w:p>
    <w:p>
      <w:pPr>
        <w:spacing w:line="360" w:lineRule="auto"/>
        <w:ind w:firstLine="482" w:firstLineChars="200"/>
        <w:rPr>
          <w:rFonts w:hint="eastAsia" w:ascii="宋体" w:hAnsi="宋体"/>
          <w:b/>
          <w:bCs/>
          <w:color w:val="auto"/>
          <w:sz w:val="24"/>
          <w:szCs w:val="21"/>
        </w:rPr>
      </w:pPr>
      <w:r>
        <w:rPr>
          <w:rFonts w:hint="eastAsia" w:ascii="宋体" w:hAnsi="宋体"/>
          <w:b/>
          <w:bCs/>
          <w:color w:val="auto"/>
          <w:sz w:val="24"/>
          <w:szCs w:val="21"/>
        </w:rPr>
        <w:t>一、报价文件评分标准（</w:t>
      </w:r>
      <w:r>
        <w:rPr>
          <w:rFonts w:hint="eastAsia" w:ascii="宋体" w:hAnsi="宋体"/>
          <w:b/>
          <w:bCs/>
          <w:color w:val="auto"/>
          <w:sz w:val="24"/>
          <w:szCs w:val="21"/>
          <w:lang w:val="en-US" w:eastAsia="zh-CN"/>
        </w:rPr>
        <w:t>20</w:t>
      </w:r>
      <w:r>
        <w:rPr>
          <w:rFonts w:hint="eastAsia" w:ascii="宋体" w:hAnsi="宋体"/>
          <w:b/>
          <w:bCs/>
          <w:color w:val="auto"/>
          <w:sz w:val="24"/>
          <w:szCs w:val="21"/>
        </w:rPr>
        <w:t>分）</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报价文件主要是对投标人的有效报价进行评议，其评分标准及分值设置规则如下：</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1、本次招标最高限价规定如下：</w:t>
      </w:r>
    </w:p>
    <w:p>
      <w:pPr>
        <w:spacing w:line="360" w:lineRule="auto"/>
        <w:ind w:firstLine="480" w:firstLineChars="200"/>
        <w:rPr>
          <w:rFonts w:hint="eastAsia" w:ascii="宋体" w:hAnsi="宋体" w:eastAsia="宋体"/>
          <w:b/>
          <w:color w:val="auto"/>
          <w:sz w:val="24"/>
          <w:szCs w:val="21"/>
          <w:lang w:eastAsia="zh-CN"/>
        </w:rPr>
      </w:pPr>
      <w:r>
        <w:rPr>
          <w:rFonts w:hint="eastAsia" w:ascii="宋体" w:hAnsi="宋体"/>
          <w:color w:val="auto"/>
          <w:sz w:val="24"/>
          <w:szCs w:val="21"/>
          <w:lang w:val="en-US" w:eastAsia="zh-CN"/>
        </w:rPr>
        <w:t>本项目</w:t>
      </w:r>
      <w:r>
        <w:rPr>
          <w:rFonts w:hint="eastAsia" w:ascii="宋体" w:hAnsi="宋体"/>
          <w:color w:val="auto"/>
          <w:sz w:val="24"/>
          <w:szCs w:val="21"/>
        </w:rPr>
        <w:t>投标报价的最高限价</w:t>
      </w:r>
      <w:r>
        <w:rPr>
          <w:rFonts w:hint="eastAsia" w:ascii="宋体" w:hAnsi="宋体"/>
          <w:b/>
          <w:color w:val="auto"/>
          <w:sz w:val="24"/>
          <w:szCs w:val="21"/>
        </w:rPr>
        <w:t>为人民币</w:t>
      </w:r>
      <w:r>
        <w:rPr>
          <w:rFonts w:hint="eastAsia" w:ascii="宋体" w:hAnsi="宋体"/>
          <w:b/>
          <w:color w:val="auto"/>
          <w:sz w:val="24"/>
          <w:szCs w:val="21"/>
          <w:u w:val="single"/>
          <w:lang w:val="en-US" w:eastAsia="zh-CN"/>
        </w:rPr>
        <w:t>壹仟壹佰肆拾肆万肆仟玖佰玖拾伍元伍角叁分</w:t>
      </w:r>
      <w:r>
        <w:rPr>
          <w:rFonts w:hint="eastAsia" w:ascii="宋体" w:hAnsi="宋体"/>
          <w:b/>
          <w:color w:val="auto"/>
          <w:sz w:val="24"/>
          <w:szCs w:val="21"/>
        </w:rPr>
        <w:fldChar w:fldCharType="begin"/>
      </w:r>
      <w:r>
        <w:rPr>
          <w:rFonts w:hint="eastAsia" w:ascii="宋体" w:hAnsi="宋体"/>
          <w:b/>
          <w:color w:val="auto"/>
          <w:sz w:val="24"/>
          <w:szCs w:val="21"/>
        </w:rPr>
        <w:instrText xml:space="preserve"> = 1750000 \* CHINESENUM4 \* MERGEFORMAT </w:instrText>
      </w:r>
      <w:r>
        <w:rPr>
          <w:rFonts w:hint="eastAsia" w:ascii="宋体" w:hAnsi="宋体"/>
          <w:b/>
          <w:color w:val="auto"/>
          <w:sz w:val="24"/>
          <w:szCs w:val="21"/>
        </w:rPr>
        <w:fldChar w:fldCharType="separate"/>
      </w:r>
      <w:r>
        <w:rPr>
          <w:rFonts w:hint="eastAsia" w:ascii="宋体" w:hAnsi="宋体"/>
          <w:b/>
          <w:color w:val="auto"/>
          <w:sz w:val="24"/>
          <w:szCs w:val="21"/>
        </w:rPr>
        <w:t>整</w:t>
      </w:r>
      <w:r>
        <w:rPr>
          <w:rFonts w:hint="eastAsia" w:ascii="宋体" w:hAnsi="宋体"/>
          <w:b/>
          <w:color w:val="auto"/>
          <w:sz w:val="24"/>
          <w:szCs w:val="21"/>
        </w:rPr>
        <w:fldChar w:fldCharType="end"/>
      </w:r>
      <w:r>
        <w:rPr>
          <w:rFonts w:hint="eastAsia" w:ascii="宋体" w:hAnsi="宋体"/>
          <w:b/>
          <w:color w:val="auto"/>
          <w:sz w:val="24"/>
          <w:szCs w:val="21"/>
        </w:rPr>
        <w:t>（小写</w:t>
      </w:r>
      <w:r>
        <w:rPr>
          <w:rFonts w:hint="eastAsia" w:ascii="宋体" w:hAnsi="宋体"/>
          <w:b/>
          <w:color w:val="auto"/>
          <w:sz w:val="24"/>
          <w:szCs w:val="21"/>
          <w:u w:val="single"/>
          <w:lang w:val="en-US" w:eastAsia="zh-CN"/>
        </w:rPr>
        <w:t xml:space="preserve"> 11444995.53</w:t>
      </w:r>
      <w:r>
        <w:rPr>
          <w:rFonts w:hint="eastAsia" w:ascii="宋体" w:hAnsi="宋体"/>
          <w:b/>
          <w:color w:val="auto"/>
          <w:sz w:val="24"/>
          <w:szCs w:val="21"/>
          <w:u w:val="single"/>
        </w:rPr>
        <w:t xml:space="preserve"> </w:t>
      </w:r>
      <w:r>
        <w:rPr>
          <w:rFonts w:hint="eastAsia" w:ascii="宋体" w:hAnsi="宋体"/>
          <w:b/>
          <w:color w:val="auto"/>
          <w:sz w:val="24"/>
          <w:szCs w:val="21"/>
        </w:rPr>
        <w:t>元）最高限价由采购人根据市场价格的调查设定，并且不高于本项目财政预算。</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2、投标人的报价在最高限价内的，为有效报价。</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3、本次评标设有最佳报价。最佳报价确定方式：根据所有入围投标人有效报价中的最低报价作为最佳报价。</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4、最佳报价者的报价分为满分，其他投标人的有效报价与最佳报价相比，按下列方法计算其报价分：</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投标价格分=(最佳报价/投标报价)*价格权值*100。</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5、当投标（开标）一览表与投标报价明细表报价不一致时，以投标（开标）一览表为准，报价明细表报价予以修正并由授权代表签字确认，拒绝修正或确认的，则做无效标处理。</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color w:val="auto"/>
          <w:sz w:val="24"/>
          <w:szCs w:val="21"/>
        </w:rPr>
        <w:t>无效投标</w:t>
      </w:r>
      <w:r>
        <w:rPr>
          <w:rFonts w:hint="eastAsia" w:ascii="宋体" w:hAnsi="宋体"/>
          <w:color w:val="auto"/>
          <w:sz w:val="24"/>
          <w:szCs w:val="21"/>
        </w:rPr>
        <w:t>处理。</w:t>
      </w:r>
    </w:p>
    <w:p>
      <w:pPr>
        <w:autoSpaceDE w:val="0"/>
        <w:autoSpaceDN w:val="0"/>
        <w:spacing w:line="360" w:lineRule="auto"/>
        <w:ind w:firstLine="482"/>
        <w:rPr>
          <w:rFonts w:hint="eastAsia" w:ascii="宋体" w:hAnsi="宋体" w:cs="仿宋_GB2312"/>
          <w:color w:val="auto"/>
          <w:sz w:val="24"/>
        </w:rPr>
      </w:pPr>
      <w:r>
        <w:rPr>
          <w:rFonts w:hint="eastAsia" w:ascii="宋体" w:hAnsi="宋体"/>
          <w:color w:val="auto"/>
          <w:sz w:val="24"/>
          <w:szCs w:val="21"/>
        </w:rPr>
        <w:t>7、</w:t>
      </w:r>
      <w:r>
        <w:rPr>
          <w:rFonts w:hint="eastAsia" w:ascii="宋体" w:hAnsi="宋体" w:cs="仿宋_GB2312"/>
          <w:b/>
          <w:color w:val="auto"/>
          <w:sz w:val="24"/>
        </w:rPr>
        <w:t>投标价格的合理性</w:t>
      </w:r>
      <w:r>
        <w:rPr>
          <w:rFonts w:hint="eastAsia" w:ascii="宋体" w:hAnsi="宋体" w:cs="仿宋_GB2312"/>
          <w:color w:val="auto"/>
          <w:sz w:val="24"/>
        </w:rPr>
        <w:t>：</w:t>
      </w:r>
      <w:r>
        <w:rPr>
          <w:rFonts w:ascii="Arial" w:hAnsi="Arial" w:cs="Arial"/>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cs="宋体"/>
          <w:color w:val="auto"/>
          <w:sz w:val="24"/>
          <w:szCs w:val="24"/>
        </w:rPr>
      </w:pPr>
      <w:r>
        <w:rPr>
          <w:rFonts w:hint="eastAsia" w:ascii="宋体" w:hAnsi="宋体"/>
          <w:color w:val="auto"/>
          <w:sz w:val="24"/>
          <w:szCs w:val="21"/>
        </w:rPr>
        <w:t>8、</w:t>
      </w:r>
      <w:r>
        <w:rPr>
          <w:rFonts w:hint="eastAsia" w:ascii="宋体" w:hAnsi="宋体" w:cs="宋体"/>
          <w:color w:val="auto"/>
          <w:sz w:val="24"/>
          <w:szCs w:val="24"/>
        </w:rPr>
        <w:t>价格扣除：小微企业是指在中华人民共和国境内依法设立，依据国务院批准的中小企业划分标准确定的小型企业和微型企业，但与大企业的负责人为同一人，或者与大企业存在直接控股、管理关系的除外。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符合中小企业划分标准的个体工商户，在政府采购活动中视同中小企业。</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在货物采购项目中，货物由小微企业制造，即货物由小微企业生产且使用该小微企业商号或者注册商标。供应商提供的货物既有中小企业制造货物，也有大型企业制造货物的，不享受中小企业扶持政策。</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在服务采购项目中，服务由小微企业承接，即提供服务的人员为小微企业依照《中华人民共和国劳动合同法》订立劳动合同的从业人员。</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联合体各方均为小型、微型企业的，联合体视同为小型、微型企业。</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符合上述条件的中小微型企业应按照招标文件附件的格式要求提供《中小企业声明函》。符合《关于促进残疾人就业政府采购政策的通知》（财库〔2017〕141号）规定的条件并提供《残疾人福利性单位声明函》（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根据浙江省财政厅发布的《浙江省财政厅关于进一步发挥政府采购政策 功能全力推动经济稳进提质的通知》（浙财采监〔2022〕3号）规定，对于非专门面向此类企业的项目，对小型和微型企业产品的投标价格给予10%的扣除，用扣除后的价格参与评审。</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3%的扣除，用扣除后的价格参加评审。组成联合体或者接受分包的小微企业与联合体内其他企业、分包企业之间存在直接控股、管理关系的，不享受价格扣除优惠政策。</w:t>
      </w:r>
    </w:p>
    <w:p>
      <w:pPr>
        <w:numPr>
          <w:ilvl w:val="0"/>
          <w:numId w:val="39"/>
        </w:numPr>
        <w:spacing w:line="360" w:lineRule="auto"/>
        <w:ind w:firstLine="482" w:firstLineChars="200"/>
        <w:rPr>
          <w:rFonts w:hint="eastAsia" w:ascii="宋体" w:hAnsi="宋体" w:cs="宋体"/>
          <w:b/>
          <w:bCs/>
          <w:color w:val="auto"/>
          <w:sz w:val="24"/>
          <w:szCs w:val="21"/>
        </w:rPr>
      </w:pPr>
      <w:r>
        <w:rPr>
          <w:rFonts w:hint="eastAsia" w:ascii="宋体" w:hAnsi="宋体" w:cs="宋体"/>
          <w:b/>
          <w:bCs/>
          <w:color w:val="auto"/>
          <w:sz w:val="24"/>
          <w:szCs w:val="21"/>
        </w:rPr>
        <w:t>商务技术文件评标内容及标准（</w:t>
      </w:r>
      <w:r>
        <w:rPr>
          <w:rFonts w:hint="eastAsia" w:ascii="宋体" w:hAnsi="宋体" w:cs="宋体"/>
          <w:b/>
          <w:bCs/>
          <w:color w:val="auto"/>
          <w:sz w:val="24"/>
          <w:szCs w:val="21"/>
          <w:lang w:val="en-US" w:eastAsia="zh-CN"/>
        </w:rPr>
        <w:t>80</w:t>
      </w:r>
      <w:r>
        <w:rPr>
          <w:rFonts w:hint="eastAsia" w:ascii="宋体" w:hAnsi="宋体" w:cs="宋体"/>
          <w:b/>
          <w:bCs/>
          <w:color w:val="auto"/>
          <w:sz w:val="24"/>
          <w:szCs w:val="21"/>
        </w:rPr>
        <w:t>分）</w:t>
      </w:r>
    </w:p>
    <w:p>
      <w:pPr>
        <w:spacing w:line="360" w:lineRule="auto"/>
        <w:ind w:firstLine="482" w:firstLineChars="200"/>
        <w:rPr>
          <w:rFonts w:hint="eastAsia" w:ascii="宋体" w:hAnsi="宋体" w:cs="宋体"/>
          <w:b/>
          <w:bCs/>
          <w:sz w:val="24"/>
          <w:szCs w:val="21"/>
        </w:rPr>
      </w:pPr>
      <w:r>
        <w:rPr>
          <w:rFonts w:hint="eastAsia" w:ascii="宋体" w:hAnsi="宋体" w:cs="宋体"/>
          <w:b/>
          <w:bCs/>
          <w:sz w:val="24"/>
          <w:szCs w:val="21"/>
        </w:rPr>
        <w:t>1、评分细则</w:t>
      </w:r>
    </w:p>
    <w:tbl>
      <w:tblPr>
        <w:tblStyle w:val="36"/>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454"/>
        <w:gridCol w:w="552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0" w:type="pct"/>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73</w:t>
            </w:r>
            <w:r>
              <w:rPr>
                <w:rFonts w:hint="eastAsia" w:ascii="宋体" w:hAnsi="宋体" w:eastAsia="宋体" w:cs="宋体"/>
                <w:sz w:val="24"/>
                <w:szCs w:val="24"/>
              </w:rPr>
              <w:t>）</w:t>
            </w:r>
          </w:p>
        </w:tc>
        <w:tc>
          <w:tcPr>
            <w:tcW w:w="812" w:type="pct"/>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卫生保洁服务方案</w:t>
            </w:r>
          </w:p>
        </w:tc>
        <w:tc>
          <w:tcPr>
            <w:tcW w:w="3087" w:type="pct"/>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sz w:val="24"/>
                <w:szCs w:val="24"/>
              </w:rPr>
            </w:pPr>
            <w:r>
              <w:rPr>
                <w:rFonts w:hint="eastAsia" w:ascii="宋体" w:hAnsi="宋体" w:eastAsia="宋体" w:cs="宋体"/>
                <w:color w:val="auto"/>
                <w:sz w:val="24"/>
                <w:szCs w:val="24"/>
              </w:rPr>
              <w:t>总体保洁方案，人员岗位安排：评委根据投标人的此项方案进行评比，酌情打分。</w:t>
            </w:r>
          </w:p>
        </w:tc>
        <w:tc>
          <w:tcPr>
            <w:tcW w:w="399" w:type="pc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p>
        </w:tc>
        <w:tc>
          <w:tcPr>
            <w:tcW w:w="3087" w:type="pct"/>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sz w:val="24"/>
                <w:szCs w:val="24"/>
              </w:rPr>
            </w:pPr>
            <w:r>
              <w:rPr>
                <w:rFonts w:hint="eastAsia" w:ascii="宋体" w:hAnsi="宋体" w:eastAsia="宋体" w:cs="宋体"/>
                <w:color w:val="auto"/>
                <w:sz w:val="24"/>
                <w:szCs w:val="24"/>
              </w:rPr>
              <w:t>重难点区域的保洁方案：评委根据投标人的此项方案进行评比，酌情打分。</w:t>
            </w:r>
          </w:p>
        </w:tc>
        <w:tc>
          <w:tcPr>
            <w:tcW w:w="399" w:type="pc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p>
        </w:tc>
        <w:tc>
          <w:tcPr>
            <w:tcW w:w="3087" w:type="pct"/>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auto"/>
                <w:sz w:val="24"/>
                <w:szCs w:val="24"/>
              </w:rPr>
              <w:t>清运方案和垃圾中转（分拣）分类、保洁方案：评委根据投标人提供的此项方案进行评比，酌情打分。</w:t>
            </w:r>
          </w:p>
        </w:tc>
        <w:tc>
          <w:tcPr>
            <w:tcW w:w="399" w:type="pc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p>
        </w:tc>
        <w:tc>
          <w:tcPr>
            <w:tcW w:w="3087" w:type="pct"/>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auto"/>
                <w:sz w:val="24"/>
                <w:szCs w:val="24"/>
              </w:rPr>
              <w:t>公共厕所保洁方案：评委根据投标人提供的此项方案进行评比，酌情打分。</w:t>
            </w:r>
          </w:p>
        </w:tc>
        <w:tc>
          <w:tcPr>
            <w:tcW w:w="399" w:type="pc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p>
        </w:tc>
        <w:tc>
          <w:tcPr>
            <w:tcW w:w="3087" w:type="pct"/>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auto"/>
                <w:sz w:val="24"/>
                <w:szCs w:val="24"/>
                <w:lang w:eastAsia="zh-CN"/>
              </w:rPr>
              <w:t>河道保洁方案：</w:t>
            </w:r>
            <w:r>
              <w:rPr>
                <w:rFonts w:hint="eastAsia" w:ascii="宋体" w:hAnsi="宋体" w:eastAsia="宋体" w:cs="宋体"/>
                <w:color w:val="auto"/>
                <w:sz w:val="24"/>
                <w:szCs w:val="24"/>
              </w:rPr>
              <w:t>评委根据投标人提供的此项方案进行评比，酌情打分。</w:t>
            </w:r>
          </w:p>
        </w:tc>
        <w:tc>
          <w:tcPr>
            <w:tcW w:w="399" w:type="pc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tcBorders>
              <w:top w:val="single" w:color="auto" w:sz="4" w:space="0"/>
              <w:left w:val="single" w:color="auto" w:sz="4" w:space="0"/>
              <w:right w:val="single" w:color="auto" w:sz="4" w:space="0"/>
            </w:tcBorders>
            <w:noWrap/>
            <w:vAlign w:val="center"/>
          </w:tcPr>
          <w:p>
            <w:pPr>
              <w:tabs>
                <w:tab w:val="left" w:pos="84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项目组织与管理</w:t>
            </w:r>
          </w:p>
        </w:tc>
        <w:tc>
          <w:tcPr>
            <w:tcW w:w="308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rPr>
              <w:t>投标人提供针对本项目拟建立的组织机构及管理人员配备方案，评委根据此方案酌情打分。</w:t>
            </w:r>
          </w:p>
        </w:tc>
        <w:tc>
          <w:tcPr>
            <w:tcW w:w="399" w:type="pc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vMerge w:val="restart"/>
            <w:tcBorders>
              <w:left w:val="single" w:color="auto" w:sz="4" w:space="0"/>
              <w:right w:val="single" w:color="auto" w:sz="4" w:space="0"/>
            </w:tcBorders>
            <w:noWrap/>
            <w:vAlign w:val="center"/>
          </w:tcPr>
          <w:p>
            <w:pPr>
              <w:tabs>
                <w:tab w:val="left" w:pos="84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作业人员配备</w:t>
            </w:r>
          </w:p>
        </w:tc>
        <w:tc>
          <w:tcPr>
            <w:tcW w:w="308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rPr>
              <w:t>投标人提供拟投入本项目的作业人员的数量及工作岗位的清单，评委根据其清单的完整性、合理性酌情打分。</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vMerge w:val="continue"/>
            <w:tcBorders>
              <w:left w:val="single" w:color="auto" w:sz="4" w:space="0"/>
              <w:right w:val="single" w:color="auto" w:sz="4" w:space="0"/>
            </w:tcBorders>
            <w:noWrap/>
            <w:vAlign w:val="center"/>
          </w:tcPr>
          <w:p>
            <w:pPr>
              <w:tabs>
                <w:tab w:val="left" w:pos="840"/>
              </w:tabs>
              <w:adjustRightInd w:val="0"/>
              <w:snapToGrid w:val="0"/>
              <w:spacing w:line="360" w:lineRule="auto"/>
              <w:jc w:val="center"/>
              <w:rPr>
                <w:rFonts w:hint="eastAsia" w:ascii="宋体" w:hAnsi="宋体" w:eastAsia="宋体" w:cs="宋体"/>
                <w:bCs/>
                <w:sz w:val="24"/>
                <w:szCs w:val="24"/>
              </w:rPr>
            </w:pPr>
          </w:p>
        </w:tc>
        <w:tc>
          <w:tcPr>
            <w:tcW w:w="3087" w:type="pct"/>
            <w:tcBorders>
              <w:top w:val="single" w:color="auto" w:sz="4" w:space="0"/>
              <w:left w:val="single" w:color="auto" w:sz="4" w:space="0"/>
              <w:bottom w:val="single" w:color="auto" w:sz="4" w:space="0"/>
              <w:right w:val="single" w:color="auto" w:sz="4" w:space="0"/>
            </w:tcBorders>
            <w:noWrap/>
            <w:vAlign w:val="center"/>
          </w:tcPr>
          <w:p>
            <w:pPr>
              <w:pStyle w:val="9"/>
              <w:ind w:firstLine="0"/>
              <w:rPr>
                <w:rFonts w:hint="eastAsia" w:ascii="宋体" w:hAnsi="宋体" w:eastAsia="宋体" w:cs="宋体"/>
                <w:sz w:val="24"/>
                <w:szCs w:val="24"/>
              </w:rPr>
            </w:pPr>
            <w:r>
              <w:rPr>
                <w:rFonts w:hint="eastAsia" w:ascii="宋体" w:hAnsi="宋体" w:eastAsia="宋体" w:cs="宋体"/>
                <w:color w:val="auto"/>
                <w:sz w:val="24"/>
                <w:szCs w:val="24"/>
                <w:lang w:val="en-US" w:eastAsia="zh-CN"/>
              </w:rPr>
              <w:t>根据</w:t>
            </w:r>
            <w:r>
              <w:rPr>
                <w:rFonts w:hint="eastAsia" w:ascii="宋体" w:hAnsi="宋体" w:eastAsia="宋体" w:cs="宋体"/>
                <w:color w:val="auto"/>
                <w:sz w:val="24"/>
                <w:szCs w:val="24"/>
              </w:rPr>
              <w:t>投标人提供拟投入本项目</w:t>
            </w:r>
            <w:r>
              <w:rPr>
                <w:rFonts w:hint="eastAsia" w:ascii="宋体" w:hAnsi="宋体" w:eastAsia="宋体" w:cs="宋体"/>
                <w:color w:val="auto"/>
                <w:sz w:val="24"/>
                <w:szCs w:val="24"/>
                <w:lang w:val="en-US" w:eastAsia="zh-CN"/>
              </w:rPr>
              <w:t>中转站</w:t>
            </w:r>
            <w:r>
              <w:rPr>
                <w:rFonts w:hint="eastAsia" w:ascii="宋体" w:hAnsi="宋体" w:eastAsia="宋体" w:cs="宋体"/>
                <w:color w:val="auto"/>
                <w:sz w:val="24"/>
                <w:szCs w:val="24"/>
              </w:rPr>
              <w:t>作业人员的</w:t>
            </w:r>
            <w:r>
              <w:rPr>
                <w:rFonts w:hint="eastAsia" w:ascii="宋体" w:hAnsi="宋体" w:eastAsia="宋体" w:cs="宋体"/>
                <w:color w:val="auto"/>
                <w:sz w:val="24"/>
                <w:szCs w:val="24"/>
                <w:lang w:val="en-US" w:eastAsia="zh-CN"/>
              </w:rPr>
              <w:t>资质、岗位证书、经验等情况</w:t>
            </w:r>
            <w:r>
              <w:rPr>
                <w:rFonts w:hint="eastAsia" w:ascii="宋体" w:hAnsi="宋体" w:eastAsia="宋体" w:cs="宋体"/>
                <w:color w:val="auto"/>
                <w:sz w:val="24"/>
                <w:szCs w:val="24"/>
              </w:rPr>
              <w:t>酌情打分。</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tcBorders>
              <w:left w:val="single" w:color="auto" w:sz="4" w:space="0"/>
              <w:right w:val="single" w:color="auto" w:sz="4" w:space="0"/>
            </w:tcBorders>
            <w:noWrap/>
            <w:vAlign w:val="center"/>
          </w:tcPr>
          <w:p>
            <w:pPr>
              <w:tabs>
                <w:tab w:val="left" w:pos="84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rPr>
              <w:t>作业人员管理方案</w:t>
            </w:r>
          </w:p>
        </w:tc>
        <w:tc>
          <w:tcPr>
            <w:tcW w:w="308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rPr>
              <w:t>投标人提供针对本项目作业人员的管理方案，如作业人员考核方案、合同执行期间的人员数量保障方案、人员安全保障措施、人员管理规范等进行评比，酌情打分。</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vMerge w:val="restart"/>
            <w:tcBorders>
              <w:left w:val="single" w:color="auto" w:sz="4" w:space="0"/>
              <w:right w:val="single" w:color="auto" w:sz="4" w:space="0"/>
            </w:tcBorders>
            <w:noWrap/>
            <w:vAlign w:val="center"/>
          </w:tcPr>
          <w:p>
            <w:pPr>
              <w:tabs>
                <w:tab w:val="left" w:pos="840"/>
              </w:tabs>
              <w:adjustRightInd w:val="0"/>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主要作业设备情况</w:t>
            </w:r>
          </w:p>
        </w:tc>
        <w:tc>
          <w:tcPr>
            <w:tcW w:w="3087" w:type="pct"/>
            <w:tcBorders>
              <w:top w:val="single" w:color="auto" w:sz="4" w:space="0"/>
              <w:left w:val="single" w:color="auto" w:sz="4" w:space="0"/>
              <w:bottom w:val="single" w:color="auto" w:sz="4" w:space="0"/>
              <w:right w:val="single" w:color="auto" w:sz="4" w:space="0"/>
            </w:tcBorders>
            <w:noWrap/>
            <w:vAlign w:val="center"/>
          </w:tcPr>
          <w:p>
            <w:pPr>
              <w:tabs>
                <w:tab w:val="left" w:pos="1080"/>
              </w:tabs>
              <w:spacing w:line="312" w:lineRule="auto"/>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rPr>
              <w:t>评委对投标人满足本项目作业需求的垃圾清扫车的</w:t>
            </w:r>
            <w:r>
              <w:rPr>
                <w:rFonts w:hint="eastAsia" w:ascii="宋体" w:hAnsi="宋体" w:eastAsia="宋体" w:cs="宋体"/>
                <w:color w:val="auto"/>
                <w:sz w:val="24"/>
                <w:szCs w:val="24"/>
                <w:lang w:val="en-US" w:eastAsia="zh-CN"/>
              </w:rPr>
              <w:t>配备</w:t>
            </w:r>
            <w:r>
              <w:rPr>
                <w:rFonts w:hint="eastAsia" w:ascii="宋体" w:hAnsi="宋体" w:eastAsia="宋体" w:cs="宋体"/>
                <w:color w:val="auto"/>
                <w:sz w:val="24"/>
                <w:szCs w:val="24"/>
              </w:rPr>
              <w:t>情况进行打分</w:t>
            </w:r>
            <w:r>
              <w:rPr>
                <w:rFonts w:hint="eastAsia" w:ascii="宋体" w:hAnsi="宋体" w:eastAsia="宋体" w:cs="宋体"/>
                <w:color w:val="auto"/>
                <w:sz w:val="24"/>
                <w:szCs w:val="24"/>
                <w:lang w:eastAsia="zh-CN"/>
              </w:rPr>
              <w:t>。如为自有的，最高得5分；</w:t>
            </w:r>
            <w:r>
              <w:rPr>
                <w:rFonts w:hint="eastAsia" w:ascii="宋体" w:hAnsi="宋体" w:eastAsia="宋体" w:cs="宋体"/>
                <w:color w:val="auto"/>
                <w:sz w:val="24"/>
                <w:szCs w:val="24"/>
                <w:lang w:val="en-US" w:eastAsia="zh-CN"/>
              </w:rPr>
              <w:t>如为租赁得分减半，最高2.5分（供应商应提供相应的车辆照片、行驶证及购置发票扫描件加盖公章，如为租赁的除车辆照片、行驶证及购置发票外另须提供租赁协议扫描件加盖单位公章）</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vMerge w:val="continue"/>
            <w:tcBorders>
              <w:left w:val="single" w:color="auto" w:sz="4" w:space="0"/>
              <w:right w:val="single" w:color="auto" w:sz="4" w:space="0"/>
            </w:tcBorders>
            <w:noWrap/>
            <w:vAlign w:val="center"/>
          </w:tcPr>
          <w:p>
            <w:pPr>
              <w:tabs>
                <w:tab w:val="left" w:pos="840"/>
              </w:tabs>
              <w:adjustRightInd w:val="0"/>
              <w:snapToGrid w:val="0"/>
              <w:spacing w:line="360" w:lineRule="auto"/>
              <w:jc w:val="center"/>
              <w:rPr>
                <w:rFonts w:hint="eastAsia" w:ascii="宋体" w:hAnsi="宋体" w:eastAsia="宋体" w:cs="宋体"/>
                <w:color w:val="auto"/>
                <w:sz w:val="24"/>
                <w:szCs w:val="24"/>
              </w:rPr>
            </w:pPr>
          </w:p>
        </w:tc>
        <w:tc>
          <w:tcPr>
            <w:tcW w:w="3087" w:type="pct"/>
            <w:tcBorders>
              <w:top w:val="single" w:color="auto" w:sz="4" w:space="0"/>
              <w:left w:val="single" w:color="auto" w:sz="4" w:space="0"/>
              <w:bottom w:val="single" w:color="auto" w:sz="4" w:space="0"/>
              <w:right w:val="single" w:color="auto" w:sz="4" w:space="0"/>
            </w:tcBorders>
            <w:noWrap/>
            <w:vAlign w:val="center"/>
          </w:tcPr>
          <w:p>
            <w:pPr>
              <w:tabs>
                <w:tab w:val="left" w:pos="1080"/>
              </w:tabs>
              <w:spacing w:line="312" w:lineRule="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评委对投标人满足本项目作业需求的</w:t>
            </w:r>
            <w:r>
              <w:rPr>
                <w:rFonts w:hint="eastAsia" w:ascii="宋体" w:hAnsi="宋体" w:eastAsia="宋体" w:cs="宋体"/>
                <w:color w:val="auto"/>
                <w:sz w:val="24"/>
                <w:szCs w:val="24"/>
                <w:lang w:eastAsia="zh-CN"/>
              </w:rPr>
              <w:t>其他机械设备</w:t>
            </w:r>
            <w:r>
              <w:rPr>
                <w:rFonts w:hint="eastAsia" w:ascii="宋体" w:hAnsi="宋体" w:eastAsia="宋体" w:cs="宋体"/>
                <w:color w:val="auto"/>
                <w:sz w:val="24"/>
                <w:szCs w:val="24"/>
                <w:lang w:val="en-US" w:eastAsia="zh-CN"/>
              </w:rPr>
              <w:t>配备（如洒水车、清运车、铲车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情况进行打分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eastAsia="zh-CN"/>
              </w:rPr>
              <w:t>如为自有的，最高得5分；</w:t>
            </w:r>
            <w:r>
              <w:rPr>
                <w:rFonts w:hint="eastAsia" w:ascii="宋体" w:hAnsi="宋体" w:eastAsia="宋体" w:cs="宋体"/>
                <w:color w:val="auto"/>
                <w:sz w:val="24"/>
                <w:szCs w:val="24"/>
                <w:lang w:val="en-US" w:eastAsia="zh-CN"/>
              </w:rPr>
              <w:t>如为租赁得分减半，最高2.5分（供应商应提供相应的车辆照片、行驶证及购置发票扫描件加盖公章，如为租赁的除车辆照片、行驶证及购置发票外另须提供租赁协议扫描件加盖单位公章）</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tcBorders>
              <w:left w:val="single" w:color="auto" w:sz="4" w:space="0"/>
              <w:right w:val="single" w:color="auto" w:sz="4" w:space="0"/>
            </w:tcBorders>
            <w:noWrap/>
            <w:vAlign w:val="center"/>
          </w:tcPr>
          <w:p>
            <w:pPr>
              <w:tabs>
                <w:tab w:val="left" w:pos="840"/>
              </w:tabs>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auto"/>
                <w:sz w:val="24"/>
                <w:szCs w:val="24"/>
              </w:rPr>
              <w:t>管理人员经验情况</w:t>
            </w:r>
          </w:p>
        </w:tc>
        <w:tc>
          <w:tcPr>
            <w:tcW w:w="3087" w:type="pct"/>
            <w:tcBorders>
              <w:top w:val="single" w:color="auto" w:sz="4" w:space="0"/>
              <w:left w:val="single" w:color="auto" w:sz="4" w:space="0"/>
              <w:bottom w:val="single" w:color="auto" w:sz="4" w:space="0"/>
              <w:right w:val="single" w:color="auto" w:sz="4" w:space="0"/>
            </w:tcBorders>
            <w:noWrap/>
            <w:vAlign w:val="center"/>
          </w:tcPr>
          <w:p>
            <w:pPr>
              <w:pStyle w:val="8"/>
              <w:rPr>
                <w:rFonts w:hint="eastAsia" w:ascii="宋体" w:hAnsi="宋体" w:eastAsia="宋体" w:cs="宋体"/>
                <w:bCs/>
                <w:color w:val="auto"/>
                <w:sz w:val="24"/>
                <w:szCs w:val="24"/>
                <w:lang w:val="en-US" w:eastAsia="zh-CN"/>
              </w:rPr>
            </w:pPr>
            <w:r>
              <w:rPr>
                <w:rFonts w:hint="eastAsia" w:ascii="宋体" w:hAnsi="宋体" w:eastAsia="宋体" w:cs="宋体"/>
                <w:b w:val="0"/>
                <w:color w:val="auto"/>
                <w:kern w:val="2"/>
                <w:sz w:val="24"/>
                <w:szCs w:val="24"/>
                <w:lang w:val="en-US" w:eastAsia="zh-CN" w:bidi="ar-SA"/>
              </w:rPr>
              <w:t>评委根据投标人拟派管理人员的资质、与项目有关的证书、水平、经验、业主好评等情况进行打分。</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tcBorders>
              <w:left w:val="single" w:color="auto" w:sz="4" w:space="0"/>
              <w:right w:val="single" w:color="auto" w:sz="4" w:space="0"/>
            </w:tcBorders>
            <w:noWrap/>
            <w:vAlign w:val="center"/>
          </w:tcPr>
          <w:p>
            <w:pPr>
              <w:spacing w:before="100" w:after="100" w:line="276" w:lineRule="auto"/>
              <w:rPr>
                <w:rFonts w:hint="eastAsia" w:ascii="宋体" w:hAnsi="宋体" w:eastAsia="宋体" w:cs="宋体"/>
                <w:color w:val="000000"/>
                <w:sz w:val="24"/>
                <w:szCs w:val="24"/>
              </w:rPr>
            </w:pPr>
            <w:r>
              <w:rPr>
                <w:rFonts w:hint="eastAsia" w:ascii="宋体" w:hAnsi="宋体" w:eastAsia="宋体" w:cs="宋体"/>
                <w:color w:val="auto"/>
                <w:sz w:val="24"/>
                <w:szCs w:val="24"/>
              </w:rPr>
              <w:t>服务质量保障措施</w:t>
            </w:r>
          </w:p>
        </w:tc>
        <w:tc>
          <w:tcPr>
            <w:tcW w:w="3087" w:type="pct"/>
            <w:tcBorders>
              <w:top w:val="single" w:color="auto" w:sz="4" w:space="0"/>
              <w:left w:val="single" w:color="auto" w:sz="4" w:space="0"/>
              <w:bottom w:val="single" w:color="auto" w:sz="4" w:space="0"/>
              <w:right w:val="single" w:color="auto" w:sz="4" w:space="0"/>
            </w:tcBorders>
            <w:noWrap/>
            <w:vAlign w:val="center"/>
          </w:tcPr>
          <w:p>
            <w:pPr>
              <w:pStyle w:val="9"/>
              <w:spacing w:line="276" w:lineRule="auto"/>
              <w:ind w:firstLine="0"/>
              <w:rPr>
                <w:rFonts w:hint="eastAsia" w:ascii="宋体" w:hAnsi="宋体" w:eastAsia="宋体" w:cs="宋体"/>
                <w:b/>
                <w:bCs/>
                <w:color w:val="auto"/>
                <w:sz w:val="24"/>
                <w:szCs w:val="24"/>
              </w:rPr>
            </w:pPr>
            <w:r>
              <w:rPr>
                <w:rFonts w:hint="eastAsia" w:ascii="宋体" w:hAnsi="宋体" w:eastAsia="宋体" w:cs="宋体"/>
                <w:color w:val="auto"/>
                <w:sz w:val="24"/>
                <w:szCs w:val="24"/>
              </w:rPr>
              <w:t>服务质量保障措施：如企业内部质量巡查、监督、考核制度等。评委根据投标人提供的此项内容进行评比，酌情打分。</w:t>
            </w:r>
          </w:p>
        </w:tc>
        <w:tc>
          <w:tcPr>
            <w:tcW w:w="399" w:type="pct"/>
            <w:tcBorders>
              <w:top w:val="single" w:color="auto" w:sz="4" w:space="0"/>
              <w:left w:val="single" w:color="auto" w:sz="4" w:space="0"/>
              <w:bottom w:val="single" w:color="auto" w:sz="4" w:space="0"/>
              <w:right w:val="single" w:color="auto" w:sz="4" w:space="0"/>
            </w:tcBorders>
            <w:noWrap/>
            <w:vAlign w:val="center"/>
          </w:tcPr>
          <w:p>
            <w:pPr>
              <w:tabs>
                <w:tab w:val="left" w:pos="840"/>
              </w:tabs>
              <w:adjustRightInd w:val="0"/>
              <w:snapToGrid w:val="0"/>
              <w:spacing w:line="276"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tcBorders>
              <w:left w:val="single" w:color="auto" w:sz="4" w:space="0"/>
              <w:right w:val="single" w:color="auto" w:sz="4" w:space="0"/>
            </w:tcBorders>
            <w:noWrap/>
            <w:vAlign w:val="center"/>
          </w:tcPr>
          <w:p>
            <w:pPr>
              <w:tabs>
                <w:tab w:val="right" w:pos="5207"/>
              </w:tabs>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特殊时期的应急保障措施</w:t>
            </w:r>
          </w:p>
        </w:tc>
        <w:tc>
          <w:tcPr>
            <w:tcW w:w="3087" w:type="pct"/>
            <w:tcBorders>
              <w:top w:val="single" w:color="auto" w:sz="4" w:space="0"/>
              <w:left w:val="single" w:color="auto" w:sz="4" w:space="0"/>
              <w:bottom w:val="single" w:color="auto" w:sz="4" w:space="0"/>
              <w:right w:val="single" w:color="auto" w:sz="4" w:space="0"/>
            </w:tcBorders>
            <w:noWrap/>
            <w:vAlign w:val="center"/>
          </w:tcPr>
          <w:p>
            <w:pPr>
              <w:tabs>
                <w:tab w:val="right" w:pos="5207"/>
              </w:tabs>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评委根据投标人提供的针对大型活动、节庆假日、防台防汛期间、创优评优和突击检查等特殊时期的应急保障措施进行评比，酌情打分。</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276" w:lineRule="auto"/>
              <w:ind w:left="-130" w:leftChars="-62" w:right="-124" w:rightChars="-59"/>
              <w:jc w:val="center"/>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tcBorders>
              <w:left w:val="single" w:color="auto" w:sz="4" w:space="0"/>
              <w:right w:val="single" w:color="auto" w:sz="4" w:space="0"/>
            </w:tcBorders>
            <w:noWrap/>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合理化建议或承诺</w:t>
            </w:r>
          </w:p>
        </w:tc>
        <w:tc>
          <w:tcPr>
            <w:tcW w:w="3087" w:type="pct"/>
            <w:tcBorders>
              <w:top w:val="single" w:color="auto" w:sz="4" w:space="0"/>
              <w:left w:val="single" w:color="auto" w:sz="4" w:space="0"/>
              <w:bottom w:val="single" w:color="auto" w:sz="4" w:space="0"/>
              <w:right w:val="single" w:color="auto" w:sz="4" w:space="0"/>
            </w:tcBorders>
            <w:noWrap/>
            <w:vAlign w:val="center"/>
          </w:tcPr>
          <w:p>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评委根据投标人提出的针对本项目的合理化建议或承诺进行评比，酌情打分。</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276" w:lineRule="auto"/>
              <w:ind w:left="-130" w:leftChars="-62" w:right="-124" w:rightChars="-59"/>
              <w:jc w:val="center"/>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tcBorders>
              <w:left w:val="single" w:color="auto" w:sz="4" w:space="0"/>
              <w:right w:val="single" w:color="auto" w:sz="4" w:space="0"/>
            </w:tcBorders>
            <w:noWrap/>
            <w:vAlign w:val="center"/>
          </w:tcPr>
          <w:p>
            <w:pPr>
              <w:tabs>
                <w:tab w:val="left" w:pos="1080"/>
              </w:tabs>
              <w:spacing w:line="312"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本地化服务能力</w:t>
            </w:r>
          </w:p>
        </w:tc>
        <w:tc>
          <w:tcPr>
            <w:tcW w:w="3087" w:type="pct"/>
            <w:tcBorders>
              <w:top w:val="single" w:color="auto" w:sz="4" w:space="0"/>
              <w:left w:val="single" w:color="auto" w:sz="4" w:space="0"/>
              <w:bottom w:val="single" w:color="auto" w:sz="4" w:space="0"/>
              <w:right w:val="single" w:color="auto" w:sz="4" w:space="0"/>
            </w:tcBorders>
            <w:noWrap/>
            <w:vAlign w:val="center"/>
          </w:tcPr>
          <w:p>
            <w:pPr>
              <w:tabs>
                <w:tab w:val="left" w:pos="1080"/>
              </w:tabs>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投标人是否具有较强的本地化服务能力，在本地是否拥有常驻服务机构（非本地化投标人在上虞是否有分公司）。</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276" w:lineRule="auto"/>
              <w:ind w:left="-130" w:leftChars="-62" w:right="-124" w:rightChars="-59"/>
              <w:jc w:val="center"/>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0" w:type="pct"/>
            <w:vMerge w:val="restart"/>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p>
        </w:tc>
        <w:tc>
          <w:tcPr>
            <w:tcW w:w="812" w:type="pct"/>
            <w:tcBorders>
              <w:top w:val="single" w:color="auto" w:sz="4" w:space="0"/>
              <w:left w:val="single" w:color="auto" w:sz="4" w:space="0"/>
              <w:right w:val="single" w:color="auto" w:sz="4" w:space="0"/>
            </w:tcBorders>
            <w:noWrap/>
            <w:vAlign w:val="center"/>
          </w:tcPr>
          <w:p>
            <w:pPr>
              <w:widowControl/>
              <w:spacing w:line="312" w:lineRule="auto"/>
              <w:jc w:val="center"/>
              <w:rPr>
                <w:rFonts w:hint="eastAsia" w:ascii="宋体" w:hAnsi="宋体" w:eastAsia="宋体" w:cs="宋体"/>
                <w:sz w:val="24"/>
                <w:szCs w:val="24"/>
              </w:rPr>
            </w:pPr>
            <w:r>
              <w:rPr>
                <w:rFonts w:hint="eastAsia" w:ascii="宋体" w:hAnsi="宋体" w:eastAsia="宋体" w:cs="宋体"/>
                <w:sz w:val="24"/>
                <w:szCs w:val="24"/>
              </w:rPr>
              <w:t>业绩</w:t>
            </w:r>
          </w:p>
        </w:tc>
        <w:tc>
          <w:tcPr>
            <w:tcW w:w="3087" w:type="pct"/>
            <w:tcBorders>
              <w:top w:val="single" w:color="auto" w:sz="4" w:space="0"/>
              <w:left w:val="single" w:color="auto" w:sz="4" w:space="0"/>
              <w:right w:val="single" w:color="auto" w:sz="4" w:space="0"/>
            </w:tcBorders>
            <w:noWrap/>
            <w:vAlign w:val="center"/>
          </w:tcPr>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投标人自2017年1月1日（以合同签订时间为准）以来完成过类似保洁管理业绩的每个得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分。须提供合同复印件</w:t>
            </w:r>
            <w:r>
              <w:rPr>
                <w:rFonts w:hint="eastAsia" w:ascii="宋体" w:hAnsi="宋体" w:eastAsia="宋体" w:cs="宋体"/>
                <w:color w:val="auto"/>
                <w:sz w:val="24"/>
                <w:szCs w:val="24"/>
                <w:lang w:val="en-US" w:eastAsia="zh-CN"/>
              </w:rPr>
              <w:t>并加盖</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rPr>
              <w:t>。</w:t>
            </w:r>
          </w:p>
        </w:tc>
        <w:tc>
          <w:tcPr>
            <w:tcW w:w="399"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tcBorders>
              <w:top w:val="single" w:color="auto" w:sz="4" w:space="0"/>
              <w:left w:val="single" w:color="auto" w:sz="4" w:space="0"/>
              <w:right w:val="single" w:color="auto" w:sz="4" w:space="0"/>
            </w:tcBorders>
            <w:noWrap/>
            <w:vAlign w:val="center"/>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rPr>
              <w:t>企业认证</w:t>
            </w:r>
          </w:p>
        </w:tc>
        <w:tc>
          <w:tcPr>
            <w:tcW w:w="3087" w:type="pct"/>
            <w:tcBorders>
              <w:top w:val="single" w:color="auto" w:sz="4" w:space="0"/>
              <w:left w:val="single" w:color="auto" w:sz="4" w:space="0"/>
              <w:right w:val="single" w:color="auto" w:sz="4" w:space="0"/>
            </w:tcBorders>
            <w:noWrap/>
            <w:vAlign w:val="center"/>
          </w:tcPr>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投标人通过质量管理体系认证、环境管理体系认证、职业健康安全管理体系认证，每项得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分，须提供证书复印件并加盖公章。</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00"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2" w:type="pct"/>
            <w:tcBorders>
              <w:left w:val="single" w:color="auto" w:sz="4" w:space="0"/>
              <w:right w:val="single" w:color="auto" w:sz="4" w:space="0"/>
            </w:tcBorders>
            <w:noWrap/>
            <w:vAlign w:val="center"/>
          </w:tcPr>
          <w:p>
            <w:pPr>
              <w:tabs>
                <w:tab w:val="left" w:pos="772"/>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证书</w:t>
            </w:r>
          </w:p>
        </w:tc>
        <w:tc>
          <w:tcPr>
            <w:tcW w:w="3087"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年1月1日至今，投标企业具有行政主管部门颁发的</w:t>
            </w:r>
            <w:r>
              <w:rPr>
                <w:rFonts w:hint="eastAsia" w:ascii="宋体" w:hAnsi="宋体" w:eastAsia="宋体" w:cs="宋体"/>
                <w:color w:val="auto"/>
                <w:sz w:val="24"/>
                <w:szCs w:val="24"/>
                <w:highlight w:val="none"/>
                <w:lang w:eastAsia="zh-CN"/>
              </w:rPr>
              <w:t>市</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以上荣誉证书的</w:t>
            </w:r>
            <w:r>
              <w:rPr>
                <w:rFonts w:hint="eastAsia" w:ascii="宋体" w:hAnsi="宋体" w:eastAsia="宋体" w:cs="宋体"/>
                <w:color w:val="auto"/>
                <w:sz w:val="24"/>
                <w:szCs w:val="24"/>
                <w:highlight w:val="none"/>
                <w:lang w:eastAsia="zh-CN"/>
              </w:rPr>
              <w:t>，每个得</w:t>
            </w:r>
            <w:r>
              <w:rPr>
                <w:rFonts w:hint="eastAsia" w:ascii="宋体" w:hAnsi="宋体" w:eastAsia="宋体" w:cs="宋体"/>
                <w:color w:val="auto"/>
                <w:sz w:val="24"/>
                <w:szCs w:val="24"/>
                <w:highlight w:val="none"/>
                <w:lang w:val="en-US" w:eastAsia="zh-CN"/>
              </w:rPr>
              <w:t>1分，最高得2分</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eastAsia="zh-CN"/>
              </w:rPr>
              <w:t>政府部门</w:t>
            </w:r>
            <w:r>
              <w:rPr>
                <w:rFonts w:hint="eastAsia" w:ascii="宋体" w:hAnsi="宋体" w:eastAsia="宋体" w:cs="宋体"/>
                <w:color w:val="auto"/>
                <w:sz w:val="24"/>
                <w:szCs w:val="24"/>
                <w:highlight w:val="none"/>
              </w:rPr>
              <w:t>荣誉证书</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rPr>
              <w:t>件并加盖单位公章。)</w:t>
            </w:r>
          </w:p>
        </w:tc>
        <w:tc>
          <w:tcPr>
            <w:tcW w:w="399" w:type="pct"/>
            <w:tcBorders>
              <w:top w:val="single" w:color="auto" w:sz="4" w:space="0"/>
              <w:left w:val="single" w:color="auto" w:sz="4" w:space="0"/>
              <w:bottom w:val="single" w:color="auto" w:sz="4" w:space="0"/>
              <w:right w:val="single" w:color="auto" w:sz="4" w:space="0"/>
            </w:tcBorders>
            <w:noWrap/>
            <w:vAlign w:val="center"/>
          </w:tcPr>
          <w:p>
            <w:pPr>
              <w:spacing w:line="312"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r>
    </w:tbl>
    <w:p>
      <w:pPr>
        <w:spacing w:line="360" w:lineRule="auto"/>
        <w:ind w:firstLine="480" w:firstLineChars="200"/>
        <w:rPr>
          <w:rFonts w:hint="eastAsia" w:ascii="宋体" w:hAnsi="宋体" w:cs="宋体"/>
          <w:sz w:val="24"/>
          <w:szCs w:val="21"/>
        </w:rPr>
      </w:pPr>
      <w:r>
        <w:rPr>
          <w:rFonts w:hint="eastAsia" w:ascii="宋体" w:hAnsi="宋体" w:cs="宋体"/>
          <w:sz w:val="24"/>
          <w:szCs w:val="21"/>
        </w:rPr>
        <w:t>注：</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1、评标委员会各成员应当独立对每个投标人的投标文件进行评价，并汇总每个投标人的得分。资信分为客观分，也需独立进行评价并核对分值，最终分值需一致。</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2、所有文件、合同、证书、资质等需要真实有效。中标人在中标后签订合同时需提供以上证明文件原件，若发现资料作假的取消中标资格。</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3、评分细则与商务要求表仅做参考，采购人需根据实际情况填写。</w:t>
      </w:r>
    </w:p>
    <w:p>
      <w:pPr>
        <w:spacing w:after="156" w:afterLines="50" w:line="360" w:lineRule="auto"/>
        <w:jc w:val="center"/>
        <w:outlineLvl w:val="0"/>
        <w:rPr>
          <w:rFonts w:hint="eastAsia" w:ascii="宋体" w:hAnsi="宋体" w:eastAsia="宋体" w:cs="宋体"/>
          <w:b/>
          <w:color w:val="auto"/>
          <w:sz w:val="36"/>
          <w:szCs w:val="36"/>
        </w:rPr>
      </w:pPr>
      <w:r>
        <w:rPr>
          <w:rFonts w:hint="eastAsia" w:ascii="宋体" w:hAnsi="宋体" w:eastAsia="宋体" w:cs="宋体"/>
          <w:color w:val="auto"/>
          <w:sz w:val="24"/>
        </w:rPr>
        <w:br w:type="page"/>
      </w:r>
      <w:bookmarkStart w:id="466" w:name="_Toc19248"/>
      <w:bookmarkStart w:id="467" w:name="_Toc13811"/>
      <w:bookmarkStart w:id="468" w:name="_Toc19648"/>
      <w:r>
        <w:rPr>
          <w:rFonts w:hint="eastAsia" w:ascii="宋体" w:hAnsi="宋体" w:eastAsia="宋体" w:cs="宋体"/>
          <w:b/>
          <w:color w:val="auto"/>
          <w:sz w:val="36"/>
          <w:szCs w:val="36"/>
        </w:rPr>
        <w:t>第四部分   采购需求</w:t>
      </w:r>
      <w:bookmarkEnd w:id="466"/>
      <w:bookmarkEnd w:id="467"/>
      <w:bookmarkEnd w:id="468"/>
    </w:p>
    <w:bookmarkEnd w:id="462"/>
    <w:p>
      <w:pPr>
        <w:numPr>
          <w:ilvl w:val="0"/>
          <w:numId w:val="0"/>
        </w:numPr>
        <w:spacing w:line="360" w:lineRule="auto"/>
        <w:ind w:leftChars="200"/>
        <w:rPr>
          <w:rFonts w:hint="eastAsia" w:ascii="宋体" w:hAnsi="宋体" w:cs="宋体"/>
          <w:b/>
          <w:bCs w:val="0"/>
          <w:color w:val="auto"/>
          <w:sz w:val="24"/>
        </w:rPr>
      </w:pPr>
      <w:bookmarkStart w:id="469" w:name="_Toc7882"/>
      <w:bookmarkStart w:id="470" w:name="_Toc27401"/>
      <w:r>
        <w:rPr>
          <w:rFonts w:hint="eastAsia" w:ascii="宋体" w:hAnsi="宋体" w:cs="宋体"/>
          <w:b/>
          <w:bCs w:val="0"/>
          <w:color w:val="auto"/>
          <w:sz w:val="24"/>
          <w:lang w:val="en-US" w:eastAsia="zh-CN"/>
        </w:rPr>
        <w:t>一、</w:t>
      </w:r>
      <w:r>
        <w:rPr>
          <w:rFonts w:hint="eastAsia" w:ascii="宋体" w:hAnsi="宋体" w:cs="宋体"/>
          <w:b/>
          <w:bCs w:val="0"/>
          <w:color w:val="auto"/>
          <w:sz w:val="24"/>
        </w:rPr>
        <w:t>保洁</w:t>
      </w:r>
      <w:r>
        <w:rPr>
          <w:rFonts w:hint="eastAsia" w:ascii="宋体" w:hAnsi="宋体" w:cs="宋体"/>
          <w:b/>
          <w:bCs w:val="0"/>
          <w:color w:val="auto"/>
          <w:sz w:val="24"/>
          <w:lang w:val="en-US" w:eastAsia="zh-CN"/>
        </w:rPr>
        <w:t>内容</w:t>
      </w:r>
    </w:p>
    <w:p>
      <w:pPr>
        <w:tabs>
          <w:tab w:val="left" w:pos="772"/>
        </w:tabs>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丰惠镇集镇范围内</w:t>
      </w:r>
      <w:r>
        <w:rPr>
          <w:rFonts w:hint="eastAsia" w:ascii="宋体" w:hAnsi="宋体" w:cs="宋体"/>
          <w:bCs/>
          <w:color w:val="auto"/>
          <w:sz w:val="24"/>
        </w:rPr>
        <w:t>公共区域的卫生保洁，包括环卫保洁（含路面保洁、非封闭式小区公共区域、绿化带等）、道路清扫、河道保洁</w:t>
      </w:r>
      <w:r>
        <w:rPr>
          <w:rFonts w:hint="eastAsia" w:ascii="宋体" w:hAnsi="宋体" w:cs="宋体"/>
          <w:bCs/>
          <w:color w:val="auto"/>
          <w:sz w:val="24"/>
          <w:lang w:eastAsia="zh-CN"/>
        </w:rPr>
        <w:t>、</w:t>
      </w:r>
      <w:r>
        <w:rPr>
          <w:rFonts w:hint="eastAsia" w:ascii="宋体" w:hAnsi="宋体" w:cs="宋体"/>
          <w:bCs/>
          <w:color w:val="auto"/>
          <w:sz w:val="24"/>
        </w:rPr>
        <w:t>垃圾收集清运、公厕保洁、牛皮癣清理、环卫设施维护、垃圾中转站管理和维护等，保洁设备均由</w:t>
      </w:r>
      <w:r>
        <w:rPr>
          <w:rFonts w:hint="eastAsia" w:ascii="宋体" w:hAnsi="宋体" w:cs="宋体"/>
          <w:bCs/>
          <w:color w:val="auto"/>
          <w:sz w:val="24"/>
          <w:lang w:val="en-US" w:eastAsia="zh-CN"/>
        </w:rPr>
        <w:t>供应商</w:t>
      </w:r>
      <w:r>
        <w:rPr>
          <w:rFonts w:hint="eastAsia" w:ascii="宋体" w:hAnsi="宋体" w:cs="宋体"/>
          <w:bCs/>
          <w:color w:val="auto"/>
          <w:sz w:val="24"/>
        </w:rPr>
        <w:t>自行负责。</w:t>
      </w:r>
    </w:p>
    <w:p>
      <w:pPr>
        <w:numPr>
          <w:ilvl w:val="0"/>
          <w:numId w:val="0"/>
        </w:numPr>
        <w:spacing w:line="360" w:lineRule="auto"/>
        <w:ind w:leftChars="200"/>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二、保洁范围</w:t>
      </w:r>
    </w:p>
    <w:p>
      <w:pPr>
        <w:numPr>
          <w:ilvl w:val="0"/>
          <w:numId w:val="0"/>
        </w:numPr>
        <w:tabs>
          <w:tab w:val="left" w:pos="772"/>
        </w:tabs>
        <w:spacing w:line="360" w:lineRule="auto"/>
        <w:ind w:firstLine="480" w:firstLineChars="200"/>
        <w:rPr>
          <w:rFonts w:hint="default" w:ascii="宋体" w:hAnsi="宋体" w:cs="宋体"/>
          <w:bCs/>
          <w:color w:val="auto"/>
          <w:sz w:val="24"/>
          <w:lang w:val="en-US" w:eastAsia="zh-CN"/>
        </w:rPr>
      </w:pPr>
      <w:r>
        <w:rPr>
          <w:rFonts w:hint="eastAsia" w:ascii="宋体" w:hAnsi="宋体" w:cs="宋体"/>
          <w:bCs/>
          <w:color w:val="auto"/>
          <w:sz w:val="24"/>
          <w:lang w:val="en-US" w:eastAsia="zh-CN"/>
        </w:rPr>
        <w:t>保洁范围包括城区保洁，城北及城西工业园区保洁，以及百丰公路、丰三公路、环城南路、凤鸣公路主要道路保洁及垃圾分类工作。锦瑞苑及南源村垃圾分类试点工作。镇区河道保洁。</w:t>
      </w:r>
    </w:p>
    <w:p>
      <w:pPr>
        <w:numPr>
          <w:ilvl w:val="0"/>
          <w:numId w:val="0"/>
        </w:num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城区：东至环城河，南至街河，西至溪弄，北至运河范围内的所有道路路面、人行道、商户门前、绿地、停车场、弄堂等公共区域。包括惠灵小区、镇中集资楼、北门夜市及公园，人和家园等开放式小区、镇农贸市场（由市场物业负责管理的除外）及周边，老医院内清扫保洁。</w:t>
      </w:r>
    </w:p>
    <w:p>
      <w:p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城北工业园区所有道路路面，绿化带、人行道等公共区域清扫保洁。包括信义广场公园，法庭边公园，大普新村，人民桥、元贞桥桥下周边道路、绿地等。</w:t>
      </w:r>
    </w:p>
    <w:p>
      <w:p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主要道路路面，两侧人行道、绿化带、绿地、停车位等公共区域清扫保洁。</w:t>
      </w:r>
    </w:p>
    <w:p>
      <w:p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百丰公路：环洲工具——上沙岭。</w:t>
      </w:r>
    </w:p>
    <w:p>
      <w:p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丰三公路：惠客隆超市——新汽车站路口（包括丰惠医院门口道路、新创业路、镇幼儿园、丰城新苑周边道路，书香名城前面道路）。</w:t>
      </w:r>
    </w:p>
    <w:p>
      <w:pPr>
        <w:tabs>
          <w:tab w:val="left" w:pos="772"/>
        </w:tabs>
        <w:spacing w:line="360" w:lineRule="auto"/>
        <w:ind w:firstLine="240" w:firstLineChars="100"/>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 环城南路：凤鸣路口——丰章公路。   </w:t>
      </w:r>
    </w:p>
    <w:p>
      <w:p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凤鸣公路：百丰路口——凤鸣景区停车场。    </w:t>
      </w:r>
    </w:p>
    <w:p>
      <w:pPr>
        <w:numPr>
          <w:ilvl w:val="0"/>
          <w:numId w:val="0"/>
        </w:num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城西工业园区所有道路路面，绿化带、人行道等公共区域。</w:t>
      </w:r>
    </w:p>
    <w:p>
      <w:pPr>
        <w:numPr>
          <w:ilvl w:val="0"/>
          <w:numId w:val="0"/>
        </w:numPr>
        <w:tabs>
          <w:tab w:val="left" w:pos="772"/>
        </w:tabs>
        <w:spacing w:line="360" w:lineRule="auto"/>
        <w:ind w:firstLine="480" w:firstLineChars="200"/>
        <w:rPr>
          <w:rFonts w:hint="default" w:ascii="宋体" w:hAnsi="宋体" w:cs="宋体"/>
          <w:bCs/>
          <w:color w:val="auto"/>
          <w:sz w:val="24"/>
          <w:szCs w:val="22"/>
          <w:lang w:val="en-US" w:eastAsia="zh-CN"/>
        </w:rPr>
      </w:pPr>
      <w:r>
        <w:rPr>
          <w:rFonts w:hint="eastAsia" w:ascii="宋体" w:hAnsi="宋体" w:cs="宋体"/>
          <w:bCs/>
          <w:color w:val="auto"/>
          <w:sz w:val="24"/>
          <w:szCs w:val="22"/>
          <w:lang w:val="en-US" w:eastAsia="zh-CN"/>
        </w:rPr>
        <w:t>河道</w:t>
      </w:r>
      <w:r>
        <w:rPr>
          <w:rFonts w:hint="default" w:ascii="宋体" w:hAnsi="宋体" w:cs="宋体"/>
          <w:bCs/>
          <w:color w:val="auto"/>
          <w:sz w:val="24"/>
          <w:szCs w:val="22"/>
          <w:lang w:val="en-US" w:eastAsia="zh-CN"/>
        </w:rPr>
        <w:t>保洁区域划分及保洁范围：全镇镇级河道，以传统管辖范围为界；村级河道，以村域为界，界河按实际情况协商划分。河道长效保洁范围纵向为全长，横向为水面、河底、两侧临水岸坡及</w:t>
      </w:r>
      <w:r>
        <w:rPr>
          <w:rFonts w:hint="eastAsia" w:ascii="宋体" w:hAnsi="宋体" w:cs="宋体"/>
          <w:bCs/>
          <w:color w:val="auto"/>
          <w:sz w:val="24"/>
          <w:szCs w:val="22"/>
          <w:lang w:val="en-US" w:eastAsia="zh-CN"/>
        </w:rPr>
        <w:t>绿化带</w:t>
      </w:r>
      <w:r>
        <w:rPr>
          <w:rFonts w:hint="default" w:ascii="宋体" w:hAnsi="宋体" w:cs="宋体"/>
          <w:bCs/>
          <w:color w:val="auto"/>
          <w:sz w:val="24"/>
          <w:szCs w:val="22"/>
          <w:lang w:val="en-US" w:eastAsia="zh-CN"/>
        </w:rPr>
        <w:t>。</w:t>
      </w:r>
    </w:p>
    <w:p>
      <w:pPr>
        <w:numPr>
          <w:ilvl w:val="0"/>
          <w:numId w:val="0"/>
        </w:numPr>
        <w:tabs>
          <w:tab w:val="left" w:pos="772"/>
        </w:tabs>
        <w:spacing w:line="360" w:lineRule="auto"/>
        <w:ind w:firstLine="480" w:firstLineChars="200"/>
        <w:rPr>
          <w:rFonts w:hint="default" w:ascii="宋体" w:hAnsi="宋体" w:cs="宋体"/>
          <w:bCs/>
          <w:color w:val="auto"/>
          <w:sz w:val="24"/>
          <w:szCs w:val="22"/>
          <w:lang w:val="en-US" w:eastAsia="zh-CN"/>
        </w:rPr>
      </w:pPr>
      <w:r>
        <w:rPr>
          <w:rFonts w:hint="default" w:ascii="宋体" w:hAnsi="宋体" w:cs="宋体"/>
          <w:bCs/>
          <w:color w:val="auto"/>
          <w:sz w:val="24"/>
          <w:szCs w:val="22"/>
          <w:lang w:val="en-US" w:eastAsia="zh-CN"/>
        </w:rPr>
        <w:t>街河：永庆村三朋桥头（丰三河）——街河杭甬运河入河口，长2618.7m；丰三河：大普闸——丰三河杭甬运河入河口，长4083m；十里河：杭甬运河——虞光新通明闸，长3086.4m；十八里河：虞光新通明闸——余姚下坝大闸，长5437.8m；街河小八字桥支流：小八字桥——西南门村观桥河卫生桥头，长500m。</w:t>
      </w:r>
    </w:p>
    <w:p>
      <w:pPr>
        <w:numPr>
          <w:ilvl w:val="0"/>
          <w:numId w:val="0"/>
        </w:numPr>
        <w:spacing w:line="360" w:lineRule="auto"/>
        <w:ind w:leftChars="200" w:firstLine="2262" w:firstLineChars="939"/>
        <w:rPr>
          <w:rFonts w:hint="default"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丰惠镇城区垃圾点分布情况</w:t>
      </w:r>
    </w:p>
    <w:tbl>
      <w:tblPr>
        <w:tblStyle w:val="36"/>
        <w:tblW w:w="8596" w:type="dxa"/>
        <w:tblInd w:w="0" w:type="dxa"/>
        <w:tblLayout w:type="autofit"/>
        <w:tblCellMar>
          <w:top w:w="0" w:type="dxa"/>
          <w:left w:w="0" w:type="dxa"/>
          <w:bottom w:w="0" w:type="dxa"/>
          <w:right w:w="0" w:type="dxa"/>
        </w:tblCellMar>
      </w:tblPr>
      <w:tblGrid>
        <w:gridCol w:w="662"/>
        <w:gridCol w:w="2464"/>
        <w:gridCol w:w="1104"/>
        <w:gridCol w:w="679"/>
        <w:gridCol w:w="2940"/>
        <w:gridCol w:w="747"/>
      </w:tblGrid>
      <w:tr>
        <w:trPr>
          <w:trHeight w:val="440"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地点</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处数</w:t>
            </w:r>
          </w:p>
        </w:tc>
        <w:tc>
          <w:tcPr>
            <w:tcW w:w="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地点</w:t>
            </w:r>
          </w:p>
        </w:tc>
        <w:tc>
          <w:tcPr>
            <w:tcW w:w="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处数</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北撤旧址（侧面）</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溪弄口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八字桥</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原虞丝联门口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环庙路</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人民路中</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原丝厂后门</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商贸综合体车站</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九狮桥</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北门弄</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大通超市门口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老车站</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北门村委门口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陆家弄</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丰三路</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荷花池（新建路）</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镇中心幼儿园</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北门路中</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商贸综合体南面</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华惠苑</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人民医院丰惠分院</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陆家弄口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丰惠市场对面</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河草点（原供销社原副食品店）</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惠客隆超市</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老医院门口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心连心花店（人民路）</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老医院后门</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烟草营业部旁</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丰城酒店</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锦泽苑北门口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市场西首</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丰城新苑</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镇中门口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294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丰惠大酒店后</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46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镇中内</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元贞桥东首停车场夜宵摊</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吉祥门口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和满福大食堂门口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鸿运家园门口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农商银行门口（人民路）</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246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惠灵小区</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邮政银行门口（人民路）</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电站弄</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永庆市场门口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小芳幼儿园门口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丰惠供销社庄稼医院门口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人和家园门口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信义广场</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人和家园北首</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锦泽苑前门对面（广播有线）</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锦泽苑小区内</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59</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永庆村新小区</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自来水公司门口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邮政局旁</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人民桥桥下</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61</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新建路停车场</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县前中</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西大街木桥头</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西门粮站</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81</w:t>
            </w:r>
          </w:p>
        </w:tc>
      </w:tr>
    </w:tbl>
    <w:p>
      <w:pPr>
        <w:numPr>
          <w:ilvl w:val="0"/>
          <w:numId w:val="0"/>
        </w:numPr>
        <w:spacing w:line="360" w:lineRule="auto"/>
        <w:ind w:firstLine="2409" w:firstLineChars="1000"/>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丰惠镇工业园区垃圾点分布情况</w:t>
      </w:r>
    </w:p>
    <w:tbl>
      <w:tblPr>
        <w:tblStyle w:val="36"/>
        <w:tblW w:w="8420" w:type="dxa"/>
        <w:tblInd w:w="0" w:type="dxa"/>
        <w:tblLayout w:type="autofit"/>
        <w:tblCellMar>
          <w:top w:w="0" w:type="dxa"/>
          <w:left w:w="0" w:type="dxa"/>
          <w:bottom w:w="0" w:type="dxa"/>
          <w:right w:w="0" w:type="dxa"/>
        </w:tblCellMar>
      </w:tblPr>
      <w:tblGrid>
        <w:gridCol w:w="631"/>
        <w:gridCol w:w="1797"/>
        <w:gridCol w:w="1052"/>
        <w:gridCol w:w="647"/>
        <w:gridCol w:w="1991"/>
        <w:gridCol w:w="712"/>
        <w:gridCol w:w="1590"/>
      </w:tblGrid>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地点</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处数</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处数</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强生体育河对面</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怡盛家俱</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凯尔奇电器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r>
              <w:rPr>
                <w:rFonts w:hint="eastAsia" w:ascii="宋体" w:hAnsi="宋体" w:cs="宋体"/>
                <w:i w:val="0"/>
                <w:color w:val="auto"/>
                <w:kern w:val="0"/>
                <w:sz w:val="20"/>
                <w:szCs w:val="20"/>
                <w:u w:val="none"/>
                <w:lang w:val="en-US" w:eastAsia="zh-CN" w:bidi="ar"/>
              </w:rPr>
              <w:t>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强辉环保</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兴达铜业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59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锦杰塑业</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丰惠法庭</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60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珀奥塑业</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丰惠市场监管所</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6</w:t>
            </w:r>
            <w:r>
              <w:rPr>
                <w:rFonts w:hint="eastAsia" w:ascii="宋体" w:hAnsi="宋体" w:cs="宋体"/>
                <w:i w:val="0"/>
                <w:color w:val="auto"/>
                <w:kern w:val="0"/>
                <w:sz w:val="20"/>
                <w:szCs w:val="20"/>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奥克斯电机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万隆电脑</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6</w:t>
            </w:r>
            <w:r>
              <w:rPr>
                <w:rFonts w:hint="eastAsia" w:ascii="宋体" w:hAnsi="宋体" w:cs="宋体"/>
                <w:i w:val="0"/>
                <w:color w:val="auto"/>
                <w:kern w:val="0"/>
                <w:sz w:val="20"/>
                <w:szCs w:val="20"/>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东光加油站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大普新村</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新区菜馆</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94"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人民桥脚（北）</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日羲科技（原后山村委旁）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锦瑞苑售楼部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格林尔数码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溢尔宾馆</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益飞汽修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园区叉车修理店</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洪惠超市</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上虞煜兴摄影器材</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科诺摄影</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赛德户外</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鼎安门窗</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惠虎铜业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乐盈多针织</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金元铜业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乔森塑胶</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双益环保</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车辆检测中心</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地税分局</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73</w:t>
            </w:r>
          </w:p>
        </w:tc>
        <w:tc>
          <w:tcPr>
            <w:tcW w:w="1991"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铠源金属</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环洲工具</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鼎丰服饰</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三立铜业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阿原停车场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大竹企业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种子站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797"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东林针织</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阿达汽修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东光溪头</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78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韩泰轮胎</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东林加工点</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培良修车店</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宁丰包装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运输公司内</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绍兴金宏金属</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金蓝湾推拿</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宏润制冷</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北门谢家</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绍兴凡泰数码</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公寓楼</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屈华村口</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新天袜业</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松茵园林</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煤气站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益达纺织</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创业路中段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宝能住宅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瑞灵路东端</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华阳焊料</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园区幼儿园</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东大公司</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艾博工艺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后山村委前</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前湖卫生院</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荣芳印刷</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丰章路（大自然对面）</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翔鹰制线</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海宏针织</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国土所墙外</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国土所</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上虞恒辉</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鹏阳风机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园区支路</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名蝶家居</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海博电器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丰足袜业</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3"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上虞杰王（原汽车公司）</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文军砂浆股份</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溢尔塑业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东方铜业</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捷亚铝业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99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阿灿饭店</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华谊针织</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得意塑料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良亮服饰</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帝烨针织</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上虞锴达电子</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恒彩塑料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荣马印花</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日昇针织</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众友企业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兴达工贸</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3"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华平制衣</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浙江裕康手套有限公司（康隆达）</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龚信潮出租房</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瑞信-车间</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鸿烨纺织</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冠格电器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永益金属</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神州仪表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46"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金芽环保</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bl>
    <w:p>
      <w:pPr>
        <w:numPr>
          <w:ilvl w:val="0"/>
          <w:numId w:val="0"/>
        </w:numPr>
        <w:spacing w:line="360" w:lineRule="auto"/>
        <w:jc w:val="center"/>
        <w:rPr>
          <w:rFonts w:hint="eastAsia"/>
          <w:color w:val="auto"/>
          <w:lang w:val="en-US" w:eastAsia="zh-CN"/>
        </w:rPr>
      </w:pPr>
      <w:r>
        <w:rPr>
          <w:rFonts w:hint="eastAsia" w:ascii="宋体" w:hAnsi="宋体" w:cs="宋体"/>
          <w:b/>
          <w:bCs w:val="0"/>
          <w:color w:val="auto"/>
          <w:sz w:val="24"/>
          <w:szCs w:val="24"/>
          <w:lang w:val="en-US" w:eastAsia="zh-CN"/>
        </w:rPr>
        <w:t>丰惠镇公厕分布图</w:t>
      </w:r>
    </w:p>
    <w:tbl>
      <w:tblPr>
        <w:tblStyle w:val="36"/>
        <w:tblW w:w="8199" w:type="dxa"/>
        <w:tblInd w:w="0" w:type="dxa"/>
        <w:tblLayout w:type="autofit"/>
        <w:tblCellMar>
          <w:top w:w="0" w:type="dxa"/>
          <w:left w:w="0" w:type="dxa"/>
          <w:bottom w:w="0" w:type="dxa"/>
          <w:right w:w="0" w:type="dxa"/>
        </w:tblCellMar>
      </w:tblPr>
      <w:tblGrid>
        <w:gridCol w:w="1305"/>
        <w:gridCol w:w="3488"/>
        <w:gridCol w:w="1183"/>
        <w:gridCol w:w="2223"/>
      </w:tblGrid>
      <w:tr>
        <w:tblPrEx>
          <w:tblCellMar>
            <w:top w:w="0" w:type="dxa"/>
            <w:left w:w="0" w:type="dxa"/>
            <w:bottom w:w="0" w:type="dxa"/>
            <w:right w:w="0" w:type="dxa"/>
          </w:tblCellMar>
        </w:tblPrEx>
        <w:trPr>
          <w:trHeight w:val="90" w:hRule="atLeast"/>
        </w:trPr>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地点</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只数</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环城路（老车站）</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电站路（邮电弄）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人民桥西（市场西首）</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陈列馆（北撤）</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人民路停车场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庙弄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溪弄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八字桥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南街（济夫桥）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市场后面（运河边）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华惠苑（和满福大食堂）</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九狮桥</w:t>
            </w:r>
            <w:r>
              <w:rPr>
                <w:rFonts w:hint="eastAsia" w:ascii="宋体" w:hAnsi="宋体" w:cs="宋体"/>
                <w:i w:val="0"/>
                <w:color w:val="auto"/>
                <w:kern w:val="0"/>
                <w:sz w:val="20"/>
                <w:szCs w:val="20"/>
                <w:u w:val="none"/>
                <w:lang w:val="en-US" w:eastAsia="zh-CN" w:bidi="ar"/>
              </w:rPr>
              <w:t>（老街）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丰城新苑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养老院旁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北门夜市厕所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启文门社区1楼厕所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8</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jc w:val="both"/>
              <w:rPr>
                <w:rFonts w:hint="eastAsia"/>
              </w:rPr>
            </w:pPr>
          </w:p>
        </w:tc>
      </w:tr>
    </w:tbl>
    <w:p>
      <w:pPr>
        <w:pStyle w:val="3"/>
        <w:numPr>
          <w:ilvl w:val="0"/>
          <w:numId w:val="0"/>
        </w:numPr>
        <w:ind w:left="400" w:leftChars="0"/>
        <w:rPr>
          <w:rFonts w:hint="eastAsia" w:ascii="宋体" w:hAnsi="宋体" w:eastAsia="宋体" w:cs="宋体"/>
          <w:b/>
          <w:color w:val="auto"/>
          <w:sz w:val="24"/>
          <w:szCs w:val="22"/>
          <w:lang w:val="en-US" w:eastAsia="zh-CN"/>
        </w:rPr>
      </w:pPr>
    </w:p>
    <w:p>
      <w:pPr>
        <w:pStyle w:val="3"/>
        <w:numPr>
          <w:ilvl w:val="0"/>
          <w:numId w:val="40"/>
        </w:numPr>
        <w:ind w:left="400" w:leftChars="0" w:firstLine="0" w:firstLineChars="0"/>
        <w:rPr>
          <w:rFonts w:hint="eastAsia" w:ascii="宋体" w:hAnsi="宋体" w:eastAsia="宋体" w:cs="宋体"/>
          <w:b/>
          <w:color w:val="auto"/>
          <w:sz w:val="24"/>
          <w:szCs w:val="22"/>
          <w:lang w:val="en-US" w:eastAsia="zh-CN"/>
        </w:rPr>
      </w:pPr>
      <w:r>
        <w:rPr>
          <w:rFonts w:hint="eastAsia" w:ascii="宋体" w:hAnsi="宋体" w:eastAsia="宋体" w:cs="宋体"/>
          <w:b/>
          <w:color w:val="auto"/>
          <w:sz w:val="24"/>
          <w:szCs w:val="22"/>
          <w:lang w:val="en-US" w:eastAsia="zh-CN"/>
        </w:rPr>
        <w:t>采购人现有</w:t>
      </w:r>
      <w:r>
        <w:rPr>
          <w:rFonts w:hint="eastAsia" w:ascii="宋体" w:hAnsi="宋体" w:cs="宋体"/>
          <w:b/>
          <w:color w:val="auto"/>
          <w:sz w:val="24"/>
          <w:szCs w:val="22"/>
          <w:lang w:val="en-US" w:eastAsia="zh-CN"/>
        </w:rPr>
        <w:t>垃圾中转站及</w:t>
      </w:r>
      <w:r>
        <w:rPr>
          <w:rFonts w:hint="eastAsia" w:ascii="宋体" w:hAnsi="宋体" w:eastAsia="宋体" w:cs="宋体"/>
          <w:b/>
          <w:color w:val="auto"/>
          <w:sz w:val="24"/>
          <w:szCs w:val="22"/>
          <w:lang w:val="en-US" w:eastAsia="zh-CN"/>
        </w:rPr>
        <w:t>机械设备明细表</w:t>
      </w:r>
    </w:p>
    <w:tbl>
      <w:tblPr>
        <w:tblStyle w:val="36"/>
        <w:tblW w:w="7105" w:type="dxa"/>
        <w:tblInd w:w="0" w:type="dxa"/>
        <w:tblLayout w:type="autofit"/>
        <w:tblCellMar>
          <w:top w:w="0" w:type="dxa"/>
          <w:left w:w="0" w:type="dxa"/>
          <w:bottom w:w="0" w:type="dxa"/>
          <w:right w:w="0" w:type="dxa"/>
        </w:tblCellMar>
      </w:tblPr>
      <w:tblGrid>
        <w:gridCol w:w="1564"/>
        <w:gridCol w:w="1836"/>
        <w:gridCol w:w="1836"/>
        <w:gridCol w:w="960"/>
        <w:gridCol w:w="1512"/>
      </w:tblGrid>
      <w:tr>
        <w:tblPrEx>
          <w:tblCellMar>
            <w:top w:w="0" w:type="dxa"/>
            <w:left w:w="0" w:type="dxa"/>
            <w:bottom w:w="0" w:type="dxa"/>
            <w:right w:w="0" w:type="dxa"/>
          </w:tblCellMar>
        </w:tblPrEx>
        <w:trPr>
          <w:trHeight w:val="400" w:hRule="atLeast"/>
        </w:trPr>
        <w:tc>
          <w:tcPr>
            <w:tcW w:w="960"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836"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836"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北门中转站</w:t>
            </w:r>
          </w:p>
        </w:tc>
        <w:tc>
          <w:tcPr>
            <w:tcW w:w="960"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配置年份</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垂直压缩机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水平压缩机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易腐垃圾处理机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污水泵</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铲车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谢桥垃圾中转站</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配置年份</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污水泵</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r>
      <w:tr>
        <w:tblPrEx>
          <w:tblCellMar>
            <w:top w:w="0" w:type="dxa"/>
            <w:left w:w="0" w:type="dxa"/>
            <w:bottom w:w="0" w:type="dxa"/>
            <w:right w:w="0" w:type="dxa"/>
          </w:tblCellMar>
        </w:tblPrEx>
        <w:trPr>
          <w:trHeight w:val="400" w:hRule="atLeast"/>
        </w:trPr>
        <w:tc>
          <w:tcPr>
            <w:tcW w:w="0" w:type="auto"/>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夹塘中转站</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配置年份</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水平压缩机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污水泵</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祝家庄中转站</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配置年份</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污水泵</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r>
    </w:tbl>
    <w:p>
      <w:pPr>
        <w:numPr>
          <w:ilvl w:val="0"/>
          <w:numId w:val="0"/>
        </w:numPr>
        <w:spacing w:line="360" w:lineRule="auto"/>
        <w:ind w:firstLine="482" w:firstLineChars="200"/>
        <w:jc w:val="left"/>
        <w:rPr>
          <w:rFonts w:hint="eastAsia"/>
          <w:b/>
          <w:bCs/>
          <w:color w:val="auto"/>
          <w:sz w:val="24"/>
          <w:szCs w:val="24"/>
          <w:lang w:val="en-US" w:eastAsia="zh-CN"/>
        </w:rPr>
      </w:pPr>
      <w:r>
        <w:rPr>
          <w:rFonts w:hint="eastAsia"/>
          <w:b/>
          <w:bCs/>
          <w:color w:val="auto"/>
          <w:sz w:val="24"/>
          <w:szCs w:val="24"/>
          <w:lang w:val="en-US" w:eastAsia="zh-CN"/>
        </w:rPr>
        <w:t>四、人员配备要求</w:t>
      </w:r>
    </w:p>
    <w:tbl>
      <w:tblPr>
        <w:tblStyle w:val="36"/>
        <w:tblW w:w="8239" w:type="dxa"/>
        <w:jc w:val="center"/>
        <w:tblLayout w:type="autofit"/>
        <w:tblCellMar>
          <w:top w:w="0" w:type="dxa"/>
          <w:left w:w="0" w:type="dxa"/>
          <w:bottom w:w="0" w:type="dxa"/>
          <w:right w:w="0" w:type="dxa"/>
        </w:tblCellMar>
      </w:tblPr>
      <w:tblGrid>
        <w:gridCol w:w="1068"/>
        <w:gridCol w:w="3272"/>
        <w:gridCol w:w="1181"/>
        <w:gridCol w:w="2718"/>
      </w:tblGrid>
      <w:tr>
        <w:tblPrEx>
          <w:tblCellMar>
            <w:top w:w="0" w:type="dxa"/>
            <w:left w:w="0" w:type="dxa"/>
            <w:bottom w:w="0" w:type="dxa"/>
            <w:right w:w="0" w:type="dxa"/>
          </w:tblCellMar>
        </w:tblPrEx>
        <w:trPr>
          <w:trHeight w:val="719" w:hRule="atLeast"/>
          <w:jc w:val="center"/>
        </w:trPr>
        <w:tc>
          <w:tcPr>
            <w:tcW w:w="10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序号</w:t>
            </w:r>
          </w:p>
        </w:tc>
        <w:tc>
          <w:tcPr>
            <w:tcW w:w="327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项目内容</w:t>
            </w:r>
          </w:p>
        </w:tc>
        <w:tc>
          <w:tcPr>
            <w:tcW w:w="118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人员数量</w:t>
            </w:r>
          </w:p>
        </w:tc>
        <w:tc>
          <w:tcPr>
            <w:tcW w:w="271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90"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1</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主管</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1</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color w:val="auto"/>
                <w:sz w:val="20"/>
                <w:szCs w:val="20"/>
                <w:lang w:val="en-US" w:eastAsia="zh-CN"/>
              </w:rPr>
              <w:t>年龄在55周岁以下，有一定的保洁管理经验。</w:t>
            </w:r>
          </w:p>
        </w:tc>
      </w:tr>
      <w:tr>
        <w:tblPrEx>
          <w:tblCellMar>
            <w:top w:w="0" w:type="dxa"/>
            <w:left w:w="0" w:type="dxa"/>
            <w:bottom w:w="0" w:type="dxa"/>
            <w:right w:w="0" w:type="dxa"/>
          </w:tblCellMar>
        </w:tblPrEx>
        <w:trPr>
          <w:trHeight w:val="956"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2</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中转站协调员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1</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color w:val="auto"/>
                <w:sz w:val="20"/>
                <w:szCs w:val="20"/>
                <w:lang w:val="en-US" w:eastAsia="zh-CN"/>
              </w:rPr>
            </w:pPr>
            <w:r>
              <w:rPr>
                <w:rFonts w:hint="eastAsia"/>
                <w:color w:val="auto"/>
                <w:sz w:val="20"/>
                <w:szCs w:val="20"/>
                <w:lang w:val="en-US" w:eastAsia="zh-CN"/>
              </w:rPr>
              <w:t>年龄在60周岁以下</w:t>
            </w:r>
          </w:p>
        </w:tc>
      </w:tr>
      <w:tr>
        <w:tblPrEx>
          <w:tblCellMar>
            <w:top w:w="0" w:type="dxa"/>
            <w:left w:w="0" w:type="dxa"/>
            <w:bottom w:w="0" w:type="dxa"/>
            <w:right w:w="0" w:type="dxa"/>
          </w:tblCellMar>
        </w:tblPrEx>
        <w:trPr>
          <w:trHeight w:val="71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3</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中转站分拣员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4</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color w:val="auto"/>
                <w:sz w:val="20"/>
                <w:szCs w:val="20"/>
                <w:lang w:val="en-US" w:eastAsia="zh-CN"/>
              </w:rPr>
              <w:t>年龄在60周岁以下</w:t>
            </w:r>
          </w:p>
        </w:tc>
      </w:tr>
      <w:tr>
        <w:tblPrEx>
          <w:tblCellMar>
            <w:top w:w="0" w:type="dxa"/>
            <w:left w:w="0" w:type="dxa"/>
            <w:bottom w:w="0" w:type="dxa"/>
            <w:right w:w="0" w:type="dxa"/>
          </w:tblCellMar>
        </w:tblPrEx>
        <w:trPr>
          <w:trHeight w:val="71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4</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中转站压缩机操作员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4</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color w:val="auto"/>
                <w:sz w:val="20"/>
                <w:szCs w:val="20"/>
                <w:lang w:val="en-US" w:eastAsia="zh-CN"/>
              </w:rPr>
            </w:pPr>
            <w:r>
              <w:rPr>
                <w:rFonts w:hint="eastAsia"/>
                <w:color w:val="auto"/>
                <w:sz w:val="20"/>
                <w:szCs w:val="20"/>
                <w:lang w:val="en-US" w:eastAsia="zh-CN"/>
              </w:rPr>
              <w:t>年龄在50周岁以下</w:t>
            </w:r>
          </w:p>
        </w:tc>
      </w:tr>
      <w:tr>
        <w:tblPrEx>
          <w:tblCellMar>
            <w:top w:w="0" w:type="dxa"/>
            <w:left w:w="0" w:type="dxa"/>
            <w:bottom w:w="0" w:type="dxa"/>
            <w:right w:w="0" w:type="dxa"/>
          </w:tblCellMar>
        </w:tblPrEx>
        <w:trPr>
          <w:trHeight w:val="71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5</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易腐垃圾处置设备操作员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1</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color w:val="auto"/>
                <w:sz w:val="20"/>
                <w:szCs w:val="20"/>
                <w:lang w:val="en-US" w:eastAsia="zh-CN"/>
              </w:rPr>
            </w:pPr>
            <w:r>
              <w:rPr>
                <w:rFonts w:hint="eastAsia"/>
                <w:color w:val="auto"/>
                <w:sz w:val="20"/>
                <w:szCs w:val="20"/>
                <w:lang w:val="en-US" w:eastAsia="zh-CN"/>
              </w:rPr>
              <w:t>年龄在45周岁以下</w:t>
            </w:r>
          </w:p>
        </w:tc>
      </w:tr>
      <w:tr>
        <w:tblPrEx>
          <w:tblCellMar>
            <w:top w:w="0" w:type="dxa"/>
            <w:left w:w="0" w:type="dxa"/>
            <w:bottom w:w="0" w:type="dxa"/>
            <w:right w:w="0" w:type="dxa"/>
          </w:tblCellMar>
        </w:tblPrEx>
        <w:trPr>
          <w:trHeight w:val="71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6</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垃圾清运员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sz w:val="20"/>
                <w:szCs w:val="20"/>
                <w:u w:val="none"/>
                <w:lang w:val="en-US"/>
              </w:rPr>
            </w:pPr>
            <w:r>
              <w:rPr>
                <w:rFonts w:hint="eastAsia" w:ascii="微软雅黑" w:hAnsi="微软雅黑" w:eastAsia="微软雅黑" w:cs="微软雅黑"/>
                <w:i w:val="0"/>
                <w:color w:val="auto"/>
                <w:kern w:val="0"/>
                <w:sz w:val="20"/>
                <w:szCs w:val="20"/>
                <w:u w:val="none"/>
                <w:lang w:val="en-US" w:eastAsia="zh-CN" w:bidi="ar"/>
              </w:rPr>
              <w:t>25</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color w:val="auto"/>
                <w:sz w:val="20"/>
                <w:szCs w:val="20"/>
                <w:lang w:val="en-US" w:eastAsia="zh-CN"/>
              </w:rPr>
              <w:t>年龄在55周岁以下</w:t>
            </w:r>
          </w:p>
        </w:tc>
      </w:tr>
      <w:tr>
        <w:tblPrEx>
          <w:tblCellMar>
            <w:top w:w="0" w:type="dxa"/>
            <w:left w:w="0" w:type="dxa"/>
            <w:bottom w:w="0" w:type="dxa"/>
            <w:right w:w="0" w:type="dxa"/>
          </w:tblCellMar>
        </w:tblPrEx>
        <w:trPr>
          <w:trHeight w:val="62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7</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保洁人员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sz w:val="20"/>
                <w:szCs w:val="20"/>
                <w:u w:val="none"/>
                <w:lang w:val="en-US" w:eastAsia="zh-CN"/>
              </w:rPr>
            </w:pPr>
            <w:r>
              <w:rPr>
                <w:rFonts w:hint="eastAsia" w:ascii="微软雅黑" w:hAnsi="微软雅黑" w:eastAsia="微软雅黑" w:cs="微软雅黑"/>
                <w:i w:val="0"/>
                <w:color w:val="auto"/>
                <w:sz w:val="20"/>
                <w:szCs w:val="20"/>
                <w:u w:val="none"/>
                <w:lang w:val="en-US" w:eastAsia="zh-CN"/>
              </w:rPr>
              <w:t>29</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color w:val="auto"/>
                <w:sz w:val="20"/>
                <w:szCs w:val="20"/>
                <w:lang w:val="en-US" w:eastAsia="zh-CN"/>
              </w:rPr>
              <w:t>年龄在60周岁以下</w:t>
            </w:r>
          </w:p>
        </w:tc>
      </w:tr>
      <w:tr>
        <w:tblPrEx>
          <w:tblCellMar>
            <w:top w:w="0" w:type="dxa"/>
            <w:left w:w="0" w:type="dxa"/>
            <w:bottom w:w="0" w:type="dxa"/>
            <w:right w:w="0" w:type="dxa"/>
          </w:tblCellMar>
        </w:tblPrEx>
        <w:trPr>
          <w:trHeight w:val="53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8</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河道保洁人员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5</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color w:val="auto"/>
                <w:sz w:val="20"/>
                <w:szCs w:val="20"/>
                <w:lang w:val="en-US" w:eastAsia="zh-CN"/>
              </w:rPr>
              <w:t>年龄在60周岁以下</w:t>
            </w:r>
          </w:p>
        </w:tc>
      </w:tr>
      <w:tr>
        <w:tblPrEx>
          <w:tblCellMar>
            <w:top w:w="0" w:type="dxa"/>
            <w:left w:w="0" w:type="dxa"/>
            <w:bottom w:w="0" w:type="dxa"/>
            <w:right w:w="0" w:type="dxa"/>
          </w:tblCellMar>
        </w:tblPrEx>
        <w:trPr>
          <w:trHeight w:val="530"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合计</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70</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p>
        </w:tc>
      </w:tr>
    </w:tbl>
    <w:p>
      <w:pPr>
        <w:keepNext w:val="0"/>
        <w:keepLines w:val="0"/>
        <w:pageBreakBefore w:val="0"/>
        <w:widowControl w:val="0"/>
        <w:tabs>
          <w:tab w:val="left" w:pos="772"/>
        </w:tabs>
        <w:kinsoku/>
        <w:wordWrap/>
        <w:overflowPunct/>
        <w:topLinePunct w:val="0"/>
        <w:autoSpaceDE/>
        <w:autoSpaceDN/>
        <w:bidi w:val="0"/>
        <w:adjustRightInd/>
        <w:snapToGrid/>
        <w:spacing w:line="360" w:lineRule="auto"/>
        <w:ind w:firstLine="480" w:firstLineChars="200"/>
        <w:textAlignment w:val="auto"/>
        <w:rPr>
          <w:rStyle w:val="71"/>
          <w:rFonts w:hint="eastAsia" w:ascii="宋体" w:hAnsi="宋体" w:eastAsia="宋体" w:cs="宋体"/>
          <w:b w:val="0"/>
          <w:bCs/>
          <w:sz w:val="24"/>
          <w:szCs w:val="24"/>
        </w:rPr>
      </w:pPr>
      <w:r>
        <w:rPr>
          <w:rFonts w:hint="eastAsia" w:ascii="宋体" w:hAnsi="宋体" w:eastAsia="宋体" w:cs="宋体"/>
          <w:b w:val="0"/>
          <w:bCs/>
          <w:color w:val="auto"/>
          <w:sz w:val="24"/>
          <w:szCs w:val="24"/>
        </w:rPr>
        <w:t>作业人员由中标人自行安排，总人数（包括调班）不得少于</w:t>
      </w:r>
      <w:r>
        <w:rPr>
          <w:rFonts w:hint="eastAsia" w:ascii="宋体" w:hAnsi="宋体" w:eastAsia="宋体" w:cs="宋体"/>
          <w:b w:val="0"/>
          <w:bCs/>
          <w:color w:val="auto"/>
          <w:sz w:val="24"/>
          <w:szCs w:val="24"/>
          <w:lang w:val="en-US" w:eastAsia="zh-CN"/>
        </w:rPr>
        <w:t xml:space="preserve"> 70 </w:t>
      </w:r>
      <w:r>
        <w:rPr>
          <w:rFonts w:hint="eastAsia" w:ascii="宋体" w:hAnsi="宋体" w:eastAsia="宋体" w:cs="宋体"/>
          <w:b w:val="0"/>
          <w:bCs/>
          <w:color w:val="auto"/>
          <w:sz w:val="24"/>
          <w:szCs w:val="24"/>
        </w:rPr>
        <w:t>人。身体健康，具有履行工作职责所需的服务技能和素养</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年龄在60周岁以下。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jc w:val="both"/>
        <w:textAlignment w:val="auto"/>
        <w:rPr>
          <w:rStyle w:val="71"/>
          <w:rFonts w:hint="eastAsia" w:ascii="宋体" w:hAnsi="宋体" w:eastAsia="宋体" w:cs="宋体"/>
          <w:b/>
          <w:bCs w:val="0"/>
          <w:sz w:val="24"/>
          <w:szCs w:val="24"/>
          <w:lang w:val="en-US" w:eastAsia="zh-CN"/>
        </w:rPr>
      </w:pPr>
      <w:r>
        <w:rPr>
          <w:rStyle w:val="71"/>
          <w:rFonts w:hint="eastAsia" w:ascii="宋体" w:hAnsi="宋体" w:eastAsia="宋体" w:cs="宋体"/>
          <w:b/>
          <w:bCs w:val="0"/>
          <w:sz w:val="24"/>
          <w:szCs w:val="24"/>
          <w:lang w:val="en-US" w:eastAsia="zh-CN"/>
        </w:rPr>
        <w:t>五、服务要求</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 xml:space="preserve"> 环卫保洁：</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清扫包括普扫、巡回保洁、收运清扫的垃圾，并实行12小时（6：00～18：00）循环保洁制；普扫5月份-9月份必须在8：00前完成，10月份-4月份在8：30前完成。其中人民路（人民桥—济夫桥）、东西大街（华惠苑—溪弄）晚上须（19：00～21：30）循环保洁。</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rPr>
        <w:t>②保洁要做到边沟、下水口无垃圾、不堵塞，树穴、隔离护栏下、绿化带及周围保持整洁，路面（包括背街小巷）、人行道废弃物停留时间不超过30分钟，</w:t>
      </w:r>
      <w:r>
        <w:rPr>
          <w:rFonts w:hint="eastAsia" w:ascii="宋体" w:hAnsi="宋体" w:eastAsia="宋体" w:cs="宋体"/>
          <w:b w:val="0"/>
          <w:bCs/>
          <w:color w:val="auto"/>
          <w:sz w:val="24"/>
          <w:szCs w:val="24"/>
          <w:highlight w:val="none"/>
        </w:rPr>
        <w:t>垃圾箱（房、桶）无满溢、周围无撒落垃圾、污水。</w:t>
      </w:r>
      <w:r>
        <w:rPr>
          <w:rFonts w:hint="eastAsia" w:ascii="宋体" w:hAnsi="宋体" w:eastAsia="宋体" w:cs="宋体"/>
          <w:b w:val="0"/>
          <w:bCs/>
          <w:color w:val="auto"/>
          <w:sz w:val="24"/>
          <w:szCs w:val="24"/>
          <w:highlight w:val="none"/>
          <w:lang w:val="en-US" w:eastAsia="zh-CN"/>
        </w:rPr>
        <w:t>工业园区垃圾收集时有混入工业垃圾的，先进行分拣，分拣后将生活垃圾清运。</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 xml:space="preserve"> 垃圾清运分类、收集、分</w:t>
      </w:r>
      <w:r>
        <w:rPr>
          <w:rFonts w:hint="eastAsia" w:ascii="宋体" w:hAnsi="宋体" w:eastAsia="宋体" w:cs="宋体"/>
          <w:b w:val="0"/>
          <w:bCs/>
          <w:color w:val="auto"/>
          <w:sz w:val="24"/>
          <w:szCs w:val="24"/>
          <w:highlight w:val="none"/>
          <w:lang w:val="en-US" w:eastAsia="zh-CN"/>
        </w:rPr>
        <w:t>拣</w:t>
      </w:r>
      <w:r>
        <w:rPr>
          <w:rFonts w:hint="eastAsia" w:ascii="宋体" w:hAnsi="宋体" w:eastAsia="宋体" w:cs="宋体"/>
          <w:b w:val="0"/>
          <w:bCs/>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①运载垃圾必须密闭化，采用“桶换桶”收运模式，在运输过程中无垃圾撒落、拖挂和污水滴漏现象，清运、收集的垃圾必须倾倒在指定的中转站内，不得随意乱倒；</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②垃圾收集车辆外貌整洁、性能良好，无残缺、破损，设定的垃圾箱（房、桶）应定期清洗并保持整洁；</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③做好垃圾分类分拣站内垃圾分类工作，按照上级要求对生活垃圾进行分类，维护好垃圾分类分拣站。</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④负责全镇行政村垃圾</w:t>
      </w:r>
      <w:r>
        <w:rPr>
          <w:rFonts w:hint="eastAsia" w:ascii="宋体" w:hAnsi="宋体" w:eastAsia="宋体" w:cs="宋体"/>
          <w:b w:val="0"/>
          <w:bCs/>
          <w:color w:val="auto"/>
          <w:sz w:val="24"/>
          <w:szCs w:val="24"/>
          <w:highlight w:val="none"/>
          <w:lang w:eastAsia="zh-CN"/>
        </w:rPr>
        <w:t>桶</w:t>
      </w:r>
      <w:r>
        <w:rPr>
          <w:rFonts w:hint="eastAsia" w:ascii="宋体" w:hAnsi="宋体" w:eastAsia="宋体" w:cs="宋体"/>
          <w:b w:val="0"/>
          <w:bCs/>
          <w:color w:val="auto"/>
          <w:sz w:val="24"/>
          <w:szCs w:val="24"/>
          <w:highlight w:val="none"/>
        </w:rPr>
        <w:t>的垃圾进行清运</w:t>
      </w:r>
      <w:r>
        <w:rPr>
          <w:rFonts w:hint="eastAsia" w:ascii="宋体" w:hAnsi="宋体" w:eastAsia="宋体" w:cs="宋体"/>
          <w:b w:val="0"/>
          <w:bCs/>
          <w:color w:val="auto"/>
          <w:sz w:val="24"/>
          <w:szCs w:val="24"/>
          <w:highlight w:val="none"/>
          <w:lang w:val="en-US" w:eastAsia="zh-CN"/>
        </w:rPr>
        <w:t>以及垃圾桶清洗</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负责垃圾桶周边满溢垃圾的清理与清运工作。</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 公厕保洁：</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城镇内所有公厕保洁做到巡回保洁，每日上下午集中清扫各1次，其余时间巡回保洁。厕所内墙面、天花板、门窗和隔板做到无积灰、污迹、蛛网，公厕外周围卫生整洁，无乱堆放，公厕内外墙面无乱贴。公厕内清洁基本无气味、地面光洁、无积水、蹲位整洁，大便槽两侧无粪便污迹，槽内无积粪，洁净见底，小便槽基本无水锈、尿垢；管道保持畅通。公厕内照明灯具、洗手器具、冲水设备等应完好无损，无积灰、污迹。发现损坏及时报修。协助做好厕所的季节性灭蜗蝇灭蚊消杀工作。</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 xml:space="preserve"> 牛皮癣清理：</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做好保洁范围内主干道、次干道、商业街道、巷道（含背街小巷）及小区（含一楼楼道）的路灯杆、广告牌、沿街两侧店面、地面、墙面、桥面、护栏、果壳箱、台阶、配电箱等各类基面乱张贴、乱涂写、乱刻画的清理工作，并制止未经批准的横幅、彩旗、广告或其他装饰等。</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 xml:space="preserve">  垃圾中转站管理、维护及协调：</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安排专人为垃圾分拣员和中转站管理人员，</w:t>
      </w:r>
      <w:r>
        <w:rPr>
          <w:rFonts w:hint="eastAsia" w:ascii="宋体" w:hAnsi="宋体" w:eastAsia="宋体" w:cs="宋体"/>
          <w:b w:val="0"/>
          <w:bCs/>
          <w:color w:val="auto"/>
          <w:sz w:val="24"/>
          <w:szCs w:val="24"/>
          <w:highlight w:val="none"/>
          <w:lang w:eastAsia="zh-CN"/>
        </w:rPr>
        <w:t>配备专人（需有生活垃圾转运站上岗证书）</w:t>
      </w:r>
      <w:r>
        <w:rPr>
          <w:rFonts w:hint="eastAsia" w:ascii="宋体" w:hAnsi="宋体" w:eastAsia="宋体" w:cs="宋体"/>
          <w:b w:val="0"/>
          <w:bCs/>
          <w:color w:val="auto"/>
          <w:sz w:val="24"/>
          <w:szCs w:val="24"/>
          <w:highlight w:val="none"/>
        </w:rPr>
        <w:t>做好垃圾中转站、分拣站的</w:t>
      </w:r>
      <w:r>
        <w:rPr>
          <w:rFonts w:hint="eastAsia" w:ascii="宋体" w:hAnsi="宋体" w:eastAsia="宋体" w:cs="宋体"/>
          <w:b w:val="0"/>
          <w:bCs/>
          <w:color w:val="auto"/>
          <w:sz w:val="24"/>
          <w:szCs w:val="24"/>
          <w:highlight w:val="none"/>
          <w:lang w:eastAsia="zh-CN"/>
        </w:rPr>
        <w:t>垃圾压缩机和易腐垃圾处理设备的</w:t>
      </w:r>
      <w:r>
        <w:rPr>
          <w:rFonts w:hint="eastAsia" w:ascii="宋体" w:hAnsi="宋体" w:eastAsia="宋体" w:cs="宋体"/>
          <w:b w:val="0"/>
          <w:bCs/>
          <w:color w:val="auto"/>
          <w:sz w:val="24"/>
          <w:szCs w:val="24"/>
          <w:highlight w:val="none"/>
        </w:rPr>
        <w:t>管理和维护，做好与上级相关部门衔接、协调工作，及时对垃圾中转站已堆垃圾打包外运，防止堆积垃圾，清理积存垃圾，做好中转站日常保洁工作。</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 xml:space="preserve">  垃圾收集点：</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做好垃圾收集点的清运工作，保持收集点及周边整洁，无垃圾满溢、无污水污渍。规范放置分类垃圾桶，及时收集清理果皮箱的垃圾，无满溢现象。</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 xml:space="preserve">  建筑垃圾：</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做好《丰惠镇城镇环境卫生保洁范围图》保洁范围内公共区域的建筑垃圾巡查工作，发现问题，及时</w:t>
      </w:r>
      <w:r>
        <w:rPr>
          <w:rFonts w:hint="eastAsia" w:ascii="宋体" w:hAnsi="宋体" w:eastAsia="宋体" w:cs="宋体"/>
          <w:b w:val="0"/>
          <w:bCs/>
          <w:color w:val="auto"/>
          <w:sz w:val="24"/>
          <w:szCs w:val="24"/>
          <w:highlight w:val="none"/>
          <w:lang w:eastAsia="zh-CN"/>
        </w:rPr>
        <w:t>反馈</w:t>
      </w:r>
      <w:r>
        <w:rPr>
          <w:rFonts w:hint="eastAsia" w:ascii="宋体" w:hAnsi="宋体" w:eastAsia="宋体" w:cs="宋体"/>
          <w:b w:val="0"/>
          <w:bCs/>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 xml:space="preserve"> 河道保洁：</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安排专人并配备船只对河</w:t>
      </w:r>
      <w:r>
        <w:rPr>
          <w:rFonts w:hint="eastAsia" w:ascii="宋体" w:hAnsi="宋体" w:eastAsia="宋体" w:cs="宋体"/>
          <w:b w:val="0"/>
          <w:bCs/>
          <w:color w:val="auto"/>
          <w:sz w:val="24"/>
          <w:szCs w:val="24"/>
          <w:highlight w:val="none"/>
          <w:lang w:eastAsia="zh-CN"/>
        </w:rPr>
        <w:t>道</w:t>
      </w:r>
      <w:r>
        <w:rPr>
          <w:rFonts w:hint="eastAsia" w:ascii="宋体" w:hAnsi="宋体" w:eastAsia="宋体" w:cs="宋体"/>
          <w:b w:val="0"/>
          <w:bCs/>
          <w:color w:val="auto"/>
          <w:sz w:val="24"/>
          <w:szCs w:val="24"/>
          <w:highlight w:val="none"/>
        </w:rPr>
        <w:t>进行每日巡回保洁，确保河面无飘浮物，河内无地笼、网簖等非法渔具，河、塘岸无生活垃圾、建筑垃圾及农作物秸杆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随时清除两侧河岸</w:t>
      </w:r>
      <w:r>
        <w:rPr>
          <w:rFonts w:hint="eastAsia" w:ascii="宋体" w:hAnsi="宋体" w:eastAsia="宋体" w:cs="宋体"/>
          <w:b w:val="0"/>
          <w:bCs/>
          <w:color w:val="auto"/>
          <w:sz w:val="24"/>
          <w:szCs w:val="24"/>
          <w:highlight w:val="none"/>
          <w:lang w:val="en-US" w:eastAsia="zh-CN"/>
        </w:rPr>
        <w:t>绿化带</w:t>
      </w:r>
      <w:r>
        <w:rPr>
          <w:rFonts w:hint="eastAsia" w:ascii="宋体" w:hAnsi="宋体" w:eastAsia="宋体" w:cs="宋体"/>
          <w:b w:val="0"/>
          <w:bCs/>
          <w:color w:val="auto"/>
          <w:sz w:val="24"/>
          <w:szCs w:val="24"/>
          <w:highlight w:val="none"/>
        </w:rPr>
        <w:t>、河底（包括小微水体）坡面上的垃圾、杂物，随时清除各种影响整洁的其他杂物和新建违章，确保河道及小微水体洁净，达到“水底无明显淤泥或水草垃圾淤积，水体无异味、颜色无明显异常，水体沿岸无非法设置的排污口，所有水体全面消灭劣V 类水，小微水体治理3 项指标合格”的总体目标。</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其他：</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遇重大活动或重要节日等，必须服从镇统一安排和调度，配合做好突击性保洁工作；</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接受社会监督，对居民反映和巡查员发现的问题及时处理，有记录有答复。</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垃圾中转站设备因操作不当、管理失误等引起的设备维修费用由中标人全额负责（根据区环卫中心认定）。</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④</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中标后甲方将</w:t>
      </w:r>
      <w:r>
        <w:rPr>
          <w:rFonts w:hint="eastAsia" w:ascii="宋体" w:hAnsi="宋体" w:eastAsia="宋体" w:cs="宋体"/>
          <w:b w:val="0"/>
          <w:bCs/>
          <w:color w:val="auto"/>
          <w:sz w:val="24"/>
          <w:szCs w:val="24"/>
          <w:highlight w:val="none"/>
          <w:lang w:eastAsia="zh-CN"/>
        </w:rPr>
        <w:t>现有的</w:t>
      </w:r>
      <w:r>
        <w:rPr>
          <w:rFonts w:hint="eastAsia" w:ascii="宋体" w:hAnsi="宋体" w:eastAsia="宋体" w:cs="宋体"/>
          <w:b w:val="0"/>
          <w:bCs/>
          <w:color w:val="auto"/>
          <w:sz w:val="24"/>
          <w:szCs w:val="24"/>
          <w:highlight w:val="none"/>
        </w:rPr>
        <w:t>各类清运车、清扫车移交给乙方进行管理的，在管理过程中发现有设施破损、缺失，由乙方进行修补和增添；垃圾桶由甲方进行增添</w:t>
      </w:r>
      <w:r>
        <w:rPr>
          <w:rFonts w:hint="eastAsia" w:ascii="宋体" w:hAnsi="宋体" w:eastAsia="宋体" w:cs="宋体"/>
          <w:b w:val="0"/>
          <w:bCs/>
          <w:color w:val="auto"/>
          <w:sz w:val="24"/>
          <w:szCs w:val="24"/>
          <w:highlight w:val="none"/>
          <w:lang w:eastAsia="zh-CN"/>
        </w:rPr>
        <w:t>，其余保洁所</w:t>
      </w:r>
      <w:r>
        <w:rPr>
          <w:rFonts w:hint="eastAsia" w:ascii="宋体" w:hAnsi="宋体" w:eastAsia="宋体" w:cs="宋体"/>
          <w:b w:val="0"/>
          <w:bCs/>
          <w:color w:val="auto"/>
          <w:sz w:val="24"/>
          <w:szCs w:val="24"/>
          <w:highlight w:val="none"/>
          <w:lang w:val="en-US" w:eastAsia="zh-CN"/>
        </w:rPr>
        <w:t>需要</w:t>
      </w:r>
      <w:r>
        <w:rPr>
          <w:rFonts w:hint="eastAsia" w:ascii="宋体" w:hAnsi="宋体" w:eastAsia="宋体" w:cs="宋体"/>
          <w:b w:val="0"/>
          <w:bCs/>
          <w:color w:val="auto"/>
          <w:sz w:val="24"/>
          <w:szCs w:val="24"/>
          <w:highlight w:val="none"/>
          <w:lang w:eastAsia="zh-CN"/>
        </w:rPr>
        <w:t>的机械设备由乙方自行提供，</w:t>
      </w:r>
      <w:r>
        <w:rPr>
          <w:rFonts w:hint="eastAsia" w:ascii="宋体" w:hAnsi="宋体" w:eastAsia="宋体" w:cs="宋体"/>
          <w:b w:val="0"/>
          <w:bCs/>
          <w:color w:val="auto"/>
          <w:sz w:val="24"/>
          <w:szCs w:val="24"/>
          <w:highlight w:val="none"/>
          <w:lang w:val="en-US" w:eastAsia="zh-CN"/>
        </w:rPr>
        <w:t>包括至少1辆中型道路清扫车，至少2辆小型道路清扫车、2辆小型高压冲洗车，1辆铲车。若以上设备不能满足保洁要求的，由乙方根据实际情况配备。</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集镇公厕吸粪</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水电费用由保洁公司承担，</w:t>
      </w:r>
      <w:r>
        <w:rPr>
          <w:rFonts w:hint="eastAsia" w:ascii="宋体" w:hAnsi="宋体" w:eastAsia="宋体" w:cs="宋体"/>
          <w:b w:val="0"/>
          <w:bCs/>
          <w:color w:val="auto"/>
          <w:sz w:val="24"/>
          <w:szCs w:val="24"/>
          <w:highlight w:val="none"/>
        </w:rPr>
        <w:t>2000元/年/座以下的维修费由保洁公司承担，单笔超过2000元的维修费须提供正规的税务发票，费用由镇政府承担（详见清单）。承包期内，每增加一处水冲式公厕按</w:t>
      </w:r>
      <w:r>
        <w:rPr>
          <w:rFonts w:hint="eastAsia" w:ascii="宋体" w:hAnsi="宋体" w:eastAsia="宋体" w:cs="宋体"/>
          <w:b w:val="0"/>
          <w:bCs/>
          <w:color w:val="auto"/>
          <w:sz w:val="24"/>
          <w:szCs w:val="24"/>
          <w:highlight w:val="none"/>
          <w:lang w:val="en-US" w:eastAsia="zh-CN"/>
        </w:rPr>
        <w:t>10000</w:t>
      </w:r>
      <w:r>
        <w:rPr>
          <w:rFonts w:hint="eastAsia" w:ascii="宋体" w:hAnsi="宋体" w:eastAsia="宋体" w:cs="宋体"/>
          <w:b w:val="0"/>
          <w:bCs/>
          <w:color w:val="auto"/>
          <w:sz w:val="24"/>
          <w:szCs w:val="24"/>
          <w:highlight w:val="none"/>
        </w:rPr>
        <w:t>元/只一年结算。</w:t>
      </w:r>
    </w:p>
    <w:p>
      <w:pPr>
        <w:keepNext w:val="0"/>
        <w:keepLines w:val="0"/>
        <w:pageBreakBefore w:val="0"/>
        <w:widowControl w:val="0"/>
        <w:tabs>
          <w:tab w:val="left" w:pos="57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⑤垃圾中转站，</w:t>
      </w:r>
      <w:r>
        <w:rPr>
          <w:rFonts w:hint="eastAsia" w:ascii="宋体" w:hAnsi="宋体" w:eastAsia="宋体" w:cs="宋体"/>
          <w:b w:val="0"/>
          <w:bCs/>
          <w:color w:val="auto"/>
          <w:sz w:val="24"/>
          <w:szCs w:val="24"/>
          <w:highlight w:val="none"/>
          <w:lang w:val="en-US" w:eastAsia="zh-CN"/>
        </w:rPr>
        <w:t>水电费用由保洁公司承担，</w:t>
      </w:r>
      <w:r>
        <w:rPr>
          <w:rFonts w:hint="eastAsia" w:ascii="宋体" w:hAnsi="宋体" w:eastAsia="宋体" w:cs="宋体"/>
          <w:b w:val="0"/>
          <w:bCs/>
          <w:color w:val="auto"/>
          <w:sz w:val="24"/>
          <w:szCs w:val="24"/>
          <w:highlight w:val="none"/>
        </w:rPr>
        <w:t>5000元/年/座以下的小型设备维修费由保洁公司承担，单笔超过5000元的设备维修费须提供专业维修公司开具的正规税务发票，费用由镇政府承担。进场垃圾必须做到及时转运，不能堆积。</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jc w:val="both"/>
        <w:textAlignment w:val="auto"/>
        <w:rPr>
          <w:rStyle w:val="71"/>
          <w:rFonts w:hint="eastAsia" w:ascii="宋体" w:hAnsi="宋体" w:eastAsia="宋体" w:cs="宋体"/>
          <w:b/>
          <w:bCs w:val="0"/>
          <w:sz w:val="24"/>
          <w:szCs w:val="24"/>
          <w:lang w:val="en-US" w:eastAsia="zh-CN"/>
        </w:rPr>
      </w:pPr>
      <w:r>
        <w:rPr>
          <w:rStyle w:val="71"/>
          <w:rFonts w:hint="eastAsia" w:ascii="宋体" w:hAnsi="宋体" w:eastAsia="宋体" w:cs="宋体"/>
          <w:b/>
          <w:bCs w:val="0"/>
          <w:sz w:val="24"/>
          <w:szCs w:val="24"/>
          <w:lang w:val="en-US" w:eastAsia="zh-CN"/>
        </w:rPr>
        <w:t>六、服务期限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丰惠镇城镇环境卫生保洁服务（含工业区）项目，本次招标的年限定为3年(具体时间根据签订的合同为准)。遇上级政策调整，部分或全部区域要划归区统一保洁时，必须无条件服从，并按比例扣减保洁费用。</w:t>
      </w:r>
    </w:p>
    <w:p>
      <w:pPr>
        <w:keepNext w:val="0"/>
        <w:keepLines w:val="0"/>
        <w:pageBreakBefore w:val="0"/>
        <w:widowControl w:val="0"/>
        <w:numPr>
          <w:ilvl w:val="0"/>
          <w:numId w:val="41"/>
        </w:numPr>
        <w:tabs>
          <w:tab w:val="left" w:pos="772"/>
        </w:tabs>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b/>
          <w:bCs w:val="0"/>
          <w:sz w:val="24"/>
          <w:szCs w:val="24"/>
        </w:rPr>
      </w:pPr>
      <w:r>
        <w:rPr>
          <w:rFonts w:hint="eastAsia" w:ascii="宋体" w:hAnsi="宋体" w:eastAsia="宋体" w:cs="宋体"/>
          <w:b/>
          <w:bCs w:val="0"/>
          <w:color w:val="auto"/>
          <w:kern w:val="2"/>
          <w:sz w:val="24"/>
          <w:szCs w:val="24"/>
          <w:lang w:val="en-US" w:eastAsia="zh-CN" w:bidi="ar-SA"/>
        </w:rPr>
        <w:t>合同金额及付款方式</w:t>
      </w:r>
      <w:r>
        <w:rPr>
          <w:rFonts w:hint="eastAsia" w:ascii="宋体" w:hAnsi="宋体" w:eastAsia="宋体" w:cs="宋体"/>
          <w:b/>
          <w:bCs w:val="0"/>
          <w:sz w:val="24"/>
          <w:szCs w:val="24"/>
        </w:rPr>
        <w:t>：</w:t>
      </w:r>
    </w:p>
    <w:p>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报价中标明的价格为履行合同3个年度的城镇环境卫生管理等费用，包括人工成本费（管理人员、保洁清运、中转站管理人员、分拣人员等的工资福利、员工五险费（养老保险、医疗保险、失业保险、工伤保险、生育保险）、服装费等）、保洁设备费、管理费、税费、设备维修费（液压油、配件等）、垃圾清运、车辆购置运输费用等一切项目所需费用。</w:t>
      </w:r>
    </w:p>
    <w:p>
      <w:pPr>
        <w:keepNext w:val="0"/>
        <w:keepLines w:val="0"/>
        <w:pageBreakBefore w:val="0"/>
        <w:widowControl w:val="0"/>
        <w:tabs>
          <w:tab w:val="left" w:pos="77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每月结合考核付款，按月支付，先做后付</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月合同金额为中标价/3/12,</w:t>
      </w:r>
      <w:r>
        <w:rPr>
          <w:rFonts w:hint="eastAsia" w:ascii="宋体" w:hAnsi="宋体" w:eastAsia="宋体" w:cs="宋体"/>
          <w:b w:val="0"/>
          <w:bCs/>
          <w:sz w:val="24"/>
          <w:szCs w:val="24"/>
        </w:rPr>
        <w:t>每月考核</w:t>
      </w:r>
      <w:r>
        <w:rPr>
          <w:rFonts w:hint="eastAsia" w:ascii="宋体" w:hAnsi="宋体" w:eastAsia="宋体" w:cs="宋体"/>
          <w:b w:val="0"/>
          <w:bCs/>
          <w:sz w:val="24"/>
          <w:szCs w:val="24"/>
          <w:lang w:val="en-US" w:eastAsia="zh-CN"/>
        </w:rPr>
        <w:t>结果在95分以上的，不扣物业费，全额支付月度物业费用，</w:t>
      </w:r>
      <w:r>
        <w:rPr>
          <w:rFonts w:hint="eastAsia" w:ascii="宋体" w:hAnsi="宋体" w:eastAsia="宋体" w:cs="宋体"/>
          <w:b w:val="0"/>
          <w:bCs/>
          <w:sz w:val="24"/>
          <w:szCs w:val="24"/>
        </w:rPr>
        <w:t>考核结果在95分以下的按实际得分计算</w:t>
      </w:r>
      <w:r>
        <w:rPr>
          <w:rFonts w:hint="eastAsia" w:ascii="宋体" w:hAnsi="宋体" w:eastAsia="宋体" w:cs="宋体"/>
          <w:b w:val="0"/>
          <w:bCs/>
          <w:sz w:val="24"/>
          <w:szCs w:val="24"/>
          <w:lang w:val="en-US" w:eastAsia="zh-CN"/>
        </w:rPr>
        <w:t>月度物业费</w:t>
      </w:r>
      <w:r>
        <w:rPr>
          <w:rFonts w:hint="eastAsia" w:ascii="宋体" w:hAnsi="宋体" w:eastAsia="宋体" w:cs="宋体"/>
          <w:b w:val="0"/>
          <w:bCs/>
          <w:sz w:val="24"/>
          <w:szCs w:val="24"/>
        </w:rPr>
        <w:t>，在次月10日前支付。</w:t>
      </w:r>
    </w:p>
    <w:p>
      <w:pPr>
        <w:keepNext w:val="0"/>
        <w:keepLines w:val="0"/>
        <w:pageBreakBefore w:val="0"/>
        <w:widowControl w:val="0"/>
        <w:tabs>
          <w:tab w:val="left" w:pos="77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八</w:t>
      </w:r>
      <w:r>
        <w:rPr>
          <w:rFonts w:hint="eastAsia" w:ascii="宋体" w:hAnsi="宋体" w:eastAsia="宋体" w:cs="宋体"/>
          <w:b w:val="0"/>
          <w:bCs/>
          <w:sz w:val="24"/>
          <w:szCs w:val="24"/>
        </w:rPr>
        <w:t>：考核办法</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sz w:val="24"/>
          <w:szCs w:val="24"/>
          <w:lang w:val="en-US" w:eastAsia="zh-CN"/>
        </w:rPr>
      </w:pPr>
      <w:r>
        <w:rPr>
          <w:rFonts w:hint="eastAsia" w:ascii="宋体" w:hAnsi="宋体" w:eastAsia="宋体" w:cs="宋体"/>
          <w:b w:val="0"/>
          <w:bCs/>
          <w:color w:val="auto"/>
          <w:sz w:val="24"/>
          <w:szCs w:val="24"/>
        </w:rPr>
        <w:t>1、考核实行100分制，实行月考核和年度考核。月考核，每月检查不少于1次并拍摄问题照片、下发问题清单，要求立即完成整改，未按时整改的加倍扣减考核分，各次考核</w:t>
      </w:r>
      <w:r>
        <w:rPr>
          <w:rFonts w:hint="eastAsia" w:ascii="宋体" w:hAnsi="宋体" w:eastAsia="宋体" w:cs="宋体"/>
          <w:b w:val="0"/>
          <w:bCs/>
          <w:sz w:val="24"/>
          <w:szCs w:val="24"/>
        </w:rPr>
        <w:t>综合平均分即为月度考核得分，按月统计，按总分</w:t>
      </w:r>
      <w:r>
        <w:rPr>
          <w:rFonts w:hint="eastAsia" w:ascii="宋体" w:hAnsi="宋体" w:eastAsia="宋体" w:cs="宋体"/>
          <w:b w:val="0"/>
          <w:bCs/>
          <w:sz w:val="24"/>
          <w:szCs w:val="24"/>
          <w:lang w:val="en-US" w:eastAsia="zh-CN"/>
        </w:rPr>
        <w:t>扣款。</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2、倒扣分和附加分由考核小组将根据条款内容进行评定。</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3、月考核结果在95分（含）以上的不扣当月物业费，考核结果在95分以下的每少1分扣减500元，在80分以下的在上述基础上再扣减20000元，连续两次在80分以下的解除合同并扣除质量保证金。</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4、考核结果在95分以下的扣减金额从</w:t>
      </w:r>
      <w:r>
        <w:rPr>
          <w:rFonts w:hint="eastAsia" w:ascii="宋体" w:hAnsi="宋体" w:eastAsia="宋体" w:cs="宋体"/>
          <w:b w:val="0"/>
          <w:bCs/>
          <w:sz w:val="24"/>
          <w:szCs w:val="24"/>
          <w:lang w:val="en-US" w:eastAsia="zh-CN"/>
        </w:rPr>
        <w:t>当月物业费</w:t>
      </w:r>
      <w:r>
        <w:rPr>
          <w:rFonts w:hint="eastAsia" w:ascii="宋体" w:hAnsi="宋体" w:eastAsia="宋体" w:cs="宋体"/>
          <w:b w:val="0"/>
          <w:bCs/>
          <w:sz w:val="24"/>
          <w:szCs w:val="24"/>
        </w:rPr>
        <w:t>中扣除</w:t>
      </w:r>
      <w:r>
        <w:rPr>
          <w:rFonts w:hint="eastAsia" w:ascii="宋体" w:hAnsi="宋体" w:eastAsia="宋体" w:cs="宋体"/>
          <w:b w:val="0"/>
          <w:bCs/>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5、遇重要活动、重大节日等特殊情况，必须服从统一安排，否则视情况罚款2000-5000元。</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6、人员到岗考核，由考核小组组织相关人员对本区域保洁人员进行不定期抽查，如发现人员配备不到位的，每少一人扣10分，虽已配备但工作时间责任网格内工作人员缺岗的，每少1人扣5分。</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7、物业管理单位由于平时管理不力，造成社会不良影响，出现投诉经查属实的，可对照《考评细则》扣分，并处500元的罚款。</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8、凡区级及以上部门进行督查、验收或复验等行动，出现通报、验收不合格等情况的，可对照《考评细则》扣分，并处2000元--5000元的罚款。被新闻媒体曝光的，对照《考评细则》扣分，并处2000元--5000元的罚款。</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9、物业管理单位不能按时完成某项作业要求时,甲方有权自行安排该项工作,所涉一切费用从中标方当月承包款中扣除,同时按《考评细则》扣分。</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10、对出现附加分情况的，除分数可计入当月考核分值外，业绩特别显著的，视情可另行作一次性奖励，奖励额另定。</w:t>
      </w:r>
    </w:p>
    <w:p>
      <w:pPr>
        <w:numPr>
          <w:ilvl w:val="0"/>
          <w:numId w:val="42"/>
        </w:numPr>
        <w:spacing w:line="360" w:lineRule="auto"/>
        <w:ind w:firstLine="723" w:firstLineChars="200"/>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bookmarkStart w:id="471" w:name="_Toc11681"/>
      <w:r>
        <w:rPr>
          <w:rFonts w:hint="eastAsia" w:ascii="宋体" w:hAnsi="宋体" w:eastAsia="宋体" w:cs="宋体"/>
          <w:b/>
          <w:color w:val="auto"/>
          <w:sz w:val="36"/>
          <w:szCs w:val="36"/>
        </w:rPr>
        <w:t>采购合同</w:t>
      </w:r>
      <w:bookmarkEnd w:id="469"/>
      <w:bookmarkEnd w:id="470"/>
      <w:bookmarkEnd w:id="471"/>
    </w:p>
    <w:p>
      <w:pPr>
        <w:pStyle w:val="7"/>
        <w:jc w:val="both"/>
        <w:rPr>
          <w:rFonts w:hint="eastAsia" w:ascii="宋体" w:hAnsi="宋体" w:eastAsia="宋体" w:cs="宋体"/>
          <w:color w:val="auto"/>
        </w:rPr>
      </w:pPr>
    </w:p>
    <w:p>
      <w:pPr>
        <w:spacing w:line="360" w:lineRule="auto"/>
        <w:ind w:firstLine="480" w:firstLineChars="200"/>
        <w:jc w:val="left"/>
        <w:rPr>
          <w:rFonts w:hint="eastAsia" w:ascii="宋体" w:hAnsi="宋体" w:cs="宋体"/>
          <w:kern w:val="0"/>
          <w:sz w:val="24"/>
        </w:rPr>
      </w:pPr>
      <w:bookmarkStart w:id="472" w:name="第五部分"/>
      <w:bookmarkStart w:id="473" w:name="_Toc86217003"/>
      <w:bookmarkStart w:id="474" w:name="_Toc260"/>
      <w:bookmarkStart w:id="475" w:name="_Toc26119"/>
      <w:r>
        <w:rPr>
          <w:rFonts w:hint="eastAsia" w:ascii="宋体" w:hAnsi="宋体" w:cs="宋体"/>
          <w:kern w:val="0"/>
          <w:sz w:val="24"/>
        </w:rPr>
        <w:t>合同编号：（202</w:t>
      </w:r>
      <w:r>
        <w:rPr>
          <w:rFonts w:hint="eastAsia" w:ascii="宋体" w:hAnsi="宋体" w:cs="宋体"/>
          <w:kern w:val="0"/>
          <w:sz w:val="24"/>
          <w:lang w:val="en-US" w:eastAsia="zh-CN"/>
        </w:rPr>
        <w:t xml:space="preserve"> </w:t>
      </w:r>
      <w:r>
        <w:rPr>
          <w:rFonts w:hint="eastAsia" w:ascii="宋体" w:hAnsi="宋体" w:cs="宋体"/>
          <w:kern w:val="0"/>
          <w:sz w:val="24"/>
        </w:rPr>
        <w:t>）第</w:t>
      </w:r>
      <w:r>
        <w:rPr>
          <w:rFonts w:hint="eastAsia" w:ascii="宋体" w:hAnsi="宋体" w:cs="宋体"/>
          <w:kern w:val="0"/>
          <w:sz w:val="24"/>
          <w:u w:val="single"/>
        </w:rPr>
        <w:t>　　</w:t>
      </w:r>
      <w:r>
        <w:rPr>
          <w:rFonts w:hint="eastAsia" w:ascii="宋体" w:hAnsi="宋体" w:cs="宋体"/>
          <w:kern w:val="0"/>
          <w:sz w:val="24"/>
        </w:rPr>
        <w:t>号</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签订日期：202</w:t>
      </w:r>
      <w:r>
        <w:rPr>
          <w:rFonts w:hint="eastAsia" w:ascii="宋体" w:hAnsi="宋体" w:cs="宋体"/>
          <w:kern w:val="0"/>
          <w:sz w:val="24"/>
          <w:lang w:val="en-US" w:eastAsia="zh-CN"/>
        </w:rPr>
        <w:t xml:space="preserve">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spacing w:line="360" w:lineRule="auto"/>
        <w:ind w:firstLine="480" w:firstLineChars="200"/>
        <w:rPr>
          <w:rFonts w:hint="eastAsia" w:ascii="宋体" w:hAnsi="宋体" w:cs="宋体"/>
          <w:sz w:val="24"/>
          <w:u w:val="single"/>
        </w:rPr>
      </w:pPr>
      <w:r>
        <w:rPr>
          <w:rFonts w:hint="eastAsia" w:ascii="宋体" w:hAnsi="宋体" w:cs="宋体"/>
          <w:kern w:val="0"/>
          <w:sz w:val="24"/>
        </w:rPr>
        <w:t>甲方</w:t>
      </w:r>
      <w:r>
        <w:rPr>
          <w:rFonts w:hint="eastAsia" w:ascii="宋体" w:hAnsi="宋体" w:cs="宋体"/>
          <w:sz w:val="24"/>
        </w:rPr>
        <w:t>：</w:t>
      </w:r>
      <w:r>
        <w:rPr>
          <w:rFonts w:hint="eastAsia" w:ascii="宋体" w:hAnsi="宋体" w:cs="宋体"/>
          <w:sz w:val="24"/>
          <w:u w:val="single"/>
        </w:rPr>
        <w:t>　　　　　　　　　　　　　　　　</w:t>
      </w:r>
      <w:r>
        <w:rPr>
          <w:rFonts w:hint="eastAsia" w:ascii="宋体" w:hAnsi="宋体" w:cs="宋体"/>
          <w:sz w:val="24"/>
        </w:rPr>
        <w:t>（甲方）</w:t>
      </w:r>
    </w:p>
    <w:p>
      <w:pPr>
        <w:spacing w:line="360" w:lineRule="auto"/>
        <w:ind w:firstLine="480" w:firstLineChars="200"/>
        <w:jc w:val="left"/>
        <w:rPr>
          <w:rFonts w:hint="eastAsia" w:ascii="宋体" w:hAnsi="宋体" w:cs="宋体"/>
          <w:sz w:val="24"/>
          <w:u w:val="single"/>
        </w:rPr>
      </w:pPr>
      <w:r>
        <w:rPr>
          <w:rFonts w:hint="eastAsia" w:ascii="宋体" w:hAnsi="宋体" w:cs="宋体"/>
          <w:kern w:val="0"/>
          <w:sz w:val="24"/>
        </w:rPr>
        <w:t>乙方</w:t>
      </w:r>
      <w:r>
        <w:rPr>
          <w:rFonts w:hint="eastAsia" w:ascii="宋体" w:hAnsi="宋体" w:cs="宋体"/>
          <w:sz w:val="24"/>
        </w:rPr>
        <w:t>：</w:t>
      </w:r>
      <w:r>
        <w:rPr>
          <w:rFonts w:hint="eastAsia" w:ascii="宋体" w:hAnsi="宋体" w:cs="宋体"/>
          <w:sz w:val="24"/>
          <w:u w:val="single"/>
        </w:rPr>
        <w:t>　　　　　　　　　　　　　　　　</w:t>
      </w:r>
      <w:r>
        <w:rPr>
          <w:rFonts w:hint="eastAsia" w:ascii="宋体" w:hAnsi="宋体" w:cs="宋体"/>
          <w:sz w:val="24"/>
        </w:rPr>
        <w:t>（乙方）</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根据《中华人民共和国民法典》、采购文件、乙方投标文件的规定，经公开采购，签订本合同。</w:t>
      </w:r>
    </w:p>
    <w:p>
      <w:pPr>
        <w:numPr>
          <w:ilvl w:val="0"/>
          <w:numId w:val="0"/>
        </w:numPr>
        <w:spacing w:line="360" w:lineRule="auto"/>
        <w:ind w:leftChars="200"/>
        <w:rPr>
          <w:rFonts w:hint="eastAsia" w:ascii="宋体" w:hAnsi="宋体" w:cs="宋体"/>
          <w:b/>
          <w:bCs w:val="0"/>
          <w:color w:val="auto"/>
          <w:sz w:val="24"/>
        </w:rPr>
      </w:pPr>
      <w:r>
        <w:rPr>
          <w:rFonts w:hint="eastAsia" w:ascii="宋体" w:hAnsi="宋体" w:cs="宋体"/>
          <w:b/>
          <w:bCs w:val="0"/>
          <w:color w:val="auto"/>
          <w:sz w:val="24"/>
          <w:lang w:val="en-US" w:eastAsia="zh-CN"/>
        </w:rPr>
        <w:t>一、</w:t>
      </w:r>
      <w:r>
        <w:rPr>
          <w:rFonts w:hint="eastAsia" w:ascii="宋体" w:hAnsi="宋体" w:cs="宋体"/>
          <w:b/>
          <w:bCs w:val="0"/>
          <w:color w:val="auto"/>
          <w:sz w:val="24"/>
        </w:rPr>
        <w:t>保洁</w:t>
      </w:r>
      <w:r>
        <w:rPr>
          <w:rFonts w:hint="eastAsia" w:ascii="宋体" w:hAnsi="宋体" w:cs="宋体"/>
          <w:b/>
          <w:bCs w:val="0"/>
          <w:color w:val="auto"/>
          <w:sz w:val="24"/>
          <w:lang w:val="en-US" w:eastAsia="zh-CN"/>
        </w:rPr>
        <w:t>内容</w:t>
      </w:r>
    </w:p>
    <w:p>
      <w:pPr>
        <w:tabs>
          <w:tab w:val="left" w:pos="772"/>
        </w:tabs>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丰惠镇集镇范围内</w:t>
      </w:r>
      <w:r>
        <w:rPr>
          <w:rFonts w:hint="eastAsia" w:ascii="宋体" w:hAnsi="宋体" w:cs="宋体"/>
          <w:bCs/>
          <w:color w:val="auto"/>
          <w:sz w:val="24"/>
        </w:rPr>
        <w:t>公共区域的卫生保洁，包括环卫保洁（含路面保洁、非封闭式小区公共区域、绿化带等）、道路清扫、河道保洁</w:t>
      </w:r>
      <w:r>
        <w:rPr>
          <w:rFonts w:hint="eastAsia" w:ascii="宋体" w:hAnsi="宋体" w:cs="宋体"/>
          <w:bCs/>
          <w:color w:val="auto"/>
          <w:sz w:val="24"/>
          <w:lang w:eastAsia="zh-CN"/>
        </w:rPr>
        <w:t>、</w:t>
      </w:r>
      <w:r>
        <w:rPr>
          <w:rFonts w:hint="eastAsia" w:ascii="宋体" w:hAnsi="宋体" w:cs="宋体"/>
          <w:bCs/>
          <w:color w:val="auto"/>
          <w:sz w:val="24"/>
        </w:rPr>
        <w:t>垃圾收集清运、公厕保洁、牛皮癣清理、环卫设施维护、垃圾中转站管理和维护等，保洁设备均由</w:t>
      </w:r>
      <w:r>
        <w:rPr>
          <w:rFonts w:hint="eastAsia" w:ascii="宋体" w:hAnsi="宋体" w:cs="宋体"/>
          <w:bCs/>
          <w:color w:val="auto"/>
          <w:sz w:val="24"/>
          <w:lang w:val="en-US" w:eastAsia="zh-CN"/>
        </w:rPr>
        <w:t>供应商</w:t>
      </w:r>
      <w:r>
        <w:rPr>
          <w:rFonts w:hint="eastAsia" w:ascii="宋体" w:hAnsi="宋体" w:cs="宋体"/>
          <w:bCs/>
          <w:color w:val="auto"/>
          <w:sz w:val="24"/>
        </w:rPr>
        <w:t>自行负责。</w:t>
      </w:r>
    </w:p>
    <w:p>
      <w:pPr>
        <w:numPr>
          <w:ilvl w:val="0"/>
          <w:numId w:val="0"/>
        </w:numPr>
        <w:spacing w:line="360" w:lineRule="auto"/>
        <w:ind w:leftChars="200"/>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二、保洁范围</w:t>
      </w:r>
    </w:p>
    <w:p>
      <w:pPr>
        <w:numPr>
          <w:ilvl w:val="0"/>
          <w:numId w:val="0"/>
        </w:numPr>
        <w:tabs>
          <w:tab w:val="left" w:pos="772"/>
        </w:tabs>
        <w:spacing w:line="360" w:lineRule="auto"/>
        <w:ind w:firstLine="480" w:firstLineChars="200"/>
        <w:rPr>
          <w:rFonts w:hint="default" w:ascii="宋体" w:hAnsi="宋体" w:cs="宋体"/>
          <w:bCs/>
          <w:color w:val="auto"/>
          <w:sz w:val="24"/>
          <w:lang w:val="en-US" w:eastAsia="zh-CN"/>
        </w:rPr>
      </w:pPr>
      <w:r>
        <w:rPr>
          <w:rFonts w:hint="eastAsia" w:ascii="宋体" w:hAnsi="宋体" w:cs="宋体"/>
          <w:bCs/>
          <w:color w:val="auto"/>
          <w:sz w:val="24"/>
          <w:lang w:val="en-US" w:eastAsia="zh-CN"/>
        </w:rPr>
        <w:t>保洁范围包括城区保洁，城北及城西工业园区保洁，以及百丰公路、丰三公路、环城南路、凤鸣公路主要道路保洁及垃圾分类工作。锦瑞苑及南源村垃圾分类试点工作。镇区河道保洁。</w:t>
      </w:r>
    </w:p>
    <w:p>
      <w:pPr>
        <w:numPr>
          <w:ilvl w:val="0"/>
          <w:numId w:val="0"/>
        </w:num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城区：东至环城河，南至街河，西至溪弄，北至运河范围内的所有道路路面、人行道、商户门前、绿地、停车场、弄堂等公共区域。包括惠灵小区、镇中集资楼、北门夜市及公园，人和家园等开放式小区、镇农贸市场（由市场物业负责管理的除外）及周边，老医院内清扫保洁。</w:t>
      </w:r>
    </w:p>
    <w:p>
      <w:p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城北工业园区所有道路路面，绿化带、人行道等公共区域清扫保洁。包括信义广场公园，法庭边公园，大普新村，人民桥、元贞桥桥下周边道路、绿地等。</w:t>
      </w:r>
    </w:p>
    <w:p>
      <w:p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主要道路路面，两侧人行道、绿化带、绿地、停车位等公共区域清扫保洁。</w:t>
      </w:r>
    </w:p>
    <w:p>
      <w:p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百丰公路：环洲工具——上沙岭。</w:t>
      </w:r>
    </w:p>
    <w:p>
      <w:p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丰三公路：惠客隆超市——新汽车站路口（包括丰惠医院门口道路、新创业路、镇幼儿园、丰城新苑周边道路，书香名城前面道路）。</w:t>
      </w:r>
    </w:p>
    <w:p>
      <w:pPr>
        <w:tabs>
          <w:tab w:val="left" w:pos="772"/>
        </w:tabs>
        <w:spacing w:line="360" w:lineRule="auto"/>
        <w:ind w:firstLine="240" w:firstLineChars="100"/>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 环城南路：凤鸣路口——丰章公路。   </w:t>
      </w:r>
    </w:p>
    <w:p>
      <w:p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凤鸣公路：百丰路口——凤鸣景区停车场。    </w:t>
      </w:r>
    </w:p>
    <w:p>
      <w:pPr>
        <w:numPr>
          <w:ilvl w:val="0"/>
          <w:numId w:val="0"/>
        </w:numPr>
        <w:tabs>
          <w:tab w:val="left" w:pos="772"/>
        </w:tabs>
        <w:spacing w:line="360" w:lineRule="auto"/>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城西工业园区所有道路路面，绿化带、人行道等公共区域。</w:t>
      </w:r>
    </w:p>
    <w:p>
      <w:pPr>
        <w:numPr>
          <w:ilvl w:val="0"/>
          <w:numId w:val="0"/>
        </w:numPr>
        <w:tabs>
          <w:tab w:val="left" w:pos="772"/>
        </w:tabs>
        <w:spacing w:line="360" w:lineRule="auto"/>
        <w:ind w:firstLine="480" w:firstLineChars="200"/>
        <w:rPr>
          <w:rFonts w:hint="default" w:ascii="宋体" w:hAnsi="宋体" w:cs="宋体"/>
          <w:bCs/>
          <w:color w:val="auto"/>
          <w:sz w:val="24"/>
          <w:szCs w:val="22"/>
          <w:lang w:val="en-US" w:eastAsia="zh-CN"/>
        </w:rPr>
      </w:pPr>
      <w:r>
        <w:rPr>
          <w:rFonts w:hint="eastAsia" w:ascii="宋体" w:hAnsi="宋体" w:cs="宋体"/>
          <w:bCs/>
          <w:color w:val="auto"/>
          <w:sz w:val="24"/>
          <w:szCs w:val="22"/>
          <w:lang w:val="en-US" w:eastAsia="zh-CN"/>
        </w:rPr>
        <w:t>河道</w:t>
      </w:r>
      <w:r>
        <w:rPr>
          <w:rFonts w:hint="default" w:ascii="宋体" w:hAnsi="宋体" w:cs="宋体"/>
          <w:bCs/>
          <w:color w:val="auto"/>
          <w:sz w:val="24"/>
          <w:szCs w:val="22"/>
          <w:lang w:val="en-US" w:eastAsia="zh-CN"/>
        </w:rPr>
        <w:t>保洁区域划分及保洁范围：全镇镇级河道，以传统管辖范围为界；村级河道，以村域为界，界河按实际情况协商划分。河道长效保洁范围纵向为全长，横向为水面、河底、两侧临水岸坡及</w:t>
      </w:r>
      <w:r>
        <w:rPr>
          <w:rFonts w:hint="eastAsia" w:ascii="宋体" w:hAnsi="宋体" w:cs="宋体"/>
          <w:bCs/>
          <w:color w:val="auto"/>
          <w:sz w:val="24"/>
          <w:szCs w:val="22"/>
          <w:lang w:val="en-US" w:eastAsia="zh-CN"/>
        </w:rPr>
        <w:t>绿化带</w:t>
      </w:r>
      <w:r>
        <w:rPr>
          <w:rFonts w:hint="default" w:ascii="宋体" w:hAnsi="宋体" w:cs="宋体"/>
          <w:bCs/>
          <w:color w:val="auto"/>
          <w:sz w:val="24"/>
          <w:szCs w:val="22"/>
          <w:lang w:val="en-US" w:eastAsia="zh-CN"/>
        </w:rPr>
        <w:t>。</w:t>
      </w:r>
    </w:p>
    <w:p>
      <w:pPr>
        <w:numPr>
          <w:ilvl w:val="0"/>
          <w:numId w:val="0"/>
        </w:numPr>
        <w:tabs>
          <w:tab w:val="left" w:pos="772"/>
        </w:tabs>
        <w:spacing w:line="360" w:lineRule="auto"/>
        <w:ind w:firstLine="480" w:firstLineChars="200"/>
        <w:rPr>
          <w:rFonts w:hint="default" w:ascii="宋体" w:hAnsi="宋体" w:cs="宋体"/>
          <w:bCs/>
          <w:color w:val="auto"/>
          <w:sz w:val="24"/>
          <w:szCs w:val="22"/>
          <w:lang w:val="en-US" w:eastAsia="zh-CN"/>
        </w:rPr>
      </w:pPr>
      <w:r>
        <w:rPr>
          <w:rFonts w:hint="default" w:ascii="宋体" w:hAnsi="宋体" w:cs="宋体"/>
          <w:bCs/>
          <w:color w:val="auto"/>
          <w:sz w:val="24"/>
          <w:szCs w:val="22"/>
          <w:lang w:val="en-US" w:eastAsia="zh-CN"/>
        </w:rPr>
        <w:t>街河：永庆村三朋桥头（丰三河）——街河杭甬运河入河口，长2618.7m；丰三河：大普闸——丰三河杭甬运河入河口，长4083m；十里河：杭甬运河——虞光新通明闸，长3086.4m；十八里河：虞光新通明闸——余姚下坝大闸，长5437.8m；街河小八字桥支流：小八字桥——西南门村观桥河卫生桥头，长500m。</w:t>
      </w:r>
    </w:p>
    <w:p>
      <w:pPr>
        <w:numPr>
          <w:ilvl w:val="0"/>
          <w:numId w:val="0"/>
        </w:numPr>
        <w:spacing w:line="360" w:lineRule="auto"/>
        <w:ind w:leftChars="200" w:firstLine="2262" w:firstLineChars="939"/>
        <w:rPr>
          <w:rFonts w:hint="default"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丰惠镇城区垃圾点分布情况</w:t>
      </w:r>
    </w:p>
    <w:tbl>
      <w:tblPr>
        <w:tblStyle w:val="36"/>
        <w:tblW w:w="8596" w:type="dxa"/>
        <w:tblInd w:w="0" w:type="dxa"/>
        <w:tblLayout w:type="autofit"/>
        <w:tblCellMar>
          <w:top w:w="0" w:type="dxa"/>
          <w:left w:w="0" w:type="dxa"/>
          <w:bottom w:w="0" w:type="dxa"/>
          <w:right w:w="0" w:type="dxa"/>
        </w:tblCellMar>
      </w:tblPr>
      <w:tblGrid>
        <w:gridCol w:w="662"/>
        <w:gridCol w:w="2464"/>
        <w:gridCol w:w="1104"/>
        <w:gridCol w:w="679"/>
        <w:gridCol w:w="2940"/>
        <w:gridCol w:w="747"/>
      </w:tblGrid>
      <w:tr>
        <w:tblPrEx>
          <w:tblCellMar>
            <w:top w:w="0" w:type="dxa"/>
            <w:left w:w="0" w:type="dxa"/>
            <w:bottom w:w="0" w:type="dxa"/>
            <w:right w:w="0"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2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地点</w:t>
            </w:r>
          </w:p>
        </w:tc>
        <w:tc>
          <w:tcPr>
            <w:tcW w:w="11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处数</w:t>
            </w:r>
          </w:p>
        </w:tc>
        <w:tc>
          <w:tcPr>
            <w:tcW w:w="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地点</w:t>
            </w:r>
          </w:p>
        </w:tc>
        <w:tc>
          <w:tcPr>
            <w:tcW w:w="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处数</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北撤旧址（侧面）</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溪弄口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八字桥</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原虞丝联门口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环庙路</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人民路中</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原丝厂后门</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商贸综合体车站</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九狮桥</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北门弄</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大通超市门口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老车站</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北门村委门口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陆家弄</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丰三路</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荷花池（新建路）</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镇中心幼儿园</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北门路中</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商贸综合体南面</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华惠苑</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人民医院丰惠分院</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陆家弄口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丰惠市场对面</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河草点（原供销社原副食品店）</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惠客隆超市</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老医院门口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心连心花店（人民路）</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老医院后门</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烟草营业部旁</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丰城酒店</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锦泽苑北门口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市场西首</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丰城新苑</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镇中门口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294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丰惠大酒店后</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46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镇中内</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元贞桥东首停车场夜宵摊</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吉祥门口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和满福大食堂门口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鸿运家园门口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农商银行门口（人民路）</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246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惠灵小区</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邮政银行门口（人民路）</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电站弄</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永庆市场门口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小芳幼儿园门口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丰惠供销社庄稼医院门口</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人和家园门口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信义广场</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人和家园北首</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锦泽苑前门对面（广播有线）</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锦泽苑小区内</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59</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永庆村新小区</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自来水公司门口</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邮政局旁</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人民桥桥下</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61</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新建路停车场</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县前中</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西大街木桥头</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西门粮站</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81</w:t>
            </w:r>
          </w:p>
        </w:tc>
      </w:tr>
    </w:tbl>
    <w:p>
      <w:pPr>
        <w:numPr>
          <w:ilvl w:val="0"/>
          <w:numId w:val="0"/>
        </w:numPr>
        <w:spacing w:line="360" w:lineRule="auto"/>
        <w:ind w:firstLine="2409" w:firstLineChars="1000"/>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丰惠镇工业园区垃圾点分布情况</w:t>
      </w:r>
    </w:p>
    <w:tbl>
      <w:tblPr>
        <w:tblStyle w:val="36"/>
        <w:tblW w:w="8420" w:type="dxa"/>
        <w:tblInd w:w="0" w:type="dxa"/>
        <w:tblLayout w:type="autofit"/>
        <w:tblCellMar>
          <w:top w:w="0" w:type="dxa"/>
          <w:left w:w="0" w:type="dxa"/>
          <w:bottom w:w="0" w:type="dxa"/>
          <w:right w:w="0" w:type="dxa"/>
        </w:tblCellMar>
      </w:tblPr>
      <w:tblGrid>
        <w:gridCol w:w="631"/>
        <w:gridCol w:w="1797"/>
        <w:gridCol w:w="1052"/>
        <w:gridCol w:w="647"/>
        <w:gridCol w:w="1991"/>
        <w:gridCol w:w="712"/>
        <w:gridCol w:w="1590"/>
      </w:tblGrid>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地点</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处数</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处数</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强生体育河对面</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怡盛家俱</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凯尔奇电器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r>
              <w:rPr>
                <w:rFonts w:hint="eastAsia" w:ascii="宋体" w:hAnsi="宋体" w:cs="宋体"/>
                <w:i w:val="0"/>
                <w:color w:val="auto"/>
                <w:kern w:val="0"/>
                <w:sz w:val="20"/>
                <w:szCs w:val="20"/>
                <w:u w:val="none"/>
                <w:lang w:val="en-US" w:eastAsia="zh-CN" w:bidi="ar"/>
              </w:rPr>
              <w:t>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强辉环保</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兴达铜业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59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锦杰塑业</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丰惠法庭</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60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珀奥塑业</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丰惠市场监管所</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6</w:t>
            </w:r>
            <w:r>
              <w:rPr>
                <w:rFonts w:hint="eastAsia" w:ascii="宋体" w:hAnsi="宋体" w:cs="宋体"/>
                <w:i w:val="0"/>
                <w:color w:val="auto"/>
                <w:kern w:val="0"/>
                <w:sz w:val="20"/>
                <w:szCs w:val="20"/>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奥克斯电机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万隆电脑</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6</w:t>
            </w:r>
            <w:r>
              <w:rPr>
                <w:rFonts w:hint="eastAsia" w:ascii="宋体" w:hAnsi="宋体" w:cs="宋体"/>
                <w:i w:val="0"/>
                <w:color w:val="auto"/>
                <w:kern w:val="0"/>
                <w:sz w:val="20"/>
                <w:szCs w:val="20"/>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东光加油站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大普新村</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新区菜馆</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94"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人民桥脚（北）</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日羲科技（原后山村委旁）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锦瑞苑售楼部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格林尔数码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溢尔宾馆</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益飞汽修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园区叉车修理店</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洪惠超市</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上虞煜兴摄影器材</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科诺摄影</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赛德户外</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鼎安门窗</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惠虎铜业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乐盈多针织</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金元铜业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乔森塑胶</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双益环保</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车辆检测中心</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地税分局</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73</w:t>
            </w:r>
          </w:p>
        </w:tc>
        <w:tc>
          <w:tcPr>
            <w:tcW w:w="1991"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铠源金属</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环洲工具</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鼎丰服饰</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三立铜业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阿原停车场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大竹企业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种子站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797"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东林针织</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阿达汽修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东光溪头</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78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韩泰轮胎</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东林加工点</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培良修车店</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宁丰包装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运输公司内</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绍兴金宏金属</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金蓝湾推拿</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宏润制冷</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北门谢家</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绍兴凡泰数码</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公寓楼</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屈华村口</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新天袜业</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松茵园林</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煤气站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益达纺织</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创业路中段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宝能住宅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瑞灵路东端</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华阳焊料</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园区幼儿园</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东大公司</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艾博工艺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后山村委前</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前湖卫生院</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0"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荣芳印刷</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丰章路（大自然对面）</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翔鹰制线</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海宏针织</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国土所墙外</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国土所</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上虞恒辉</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鹏阳风机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园区支路</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名蝶家居</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海博电器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丰足袜业</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3"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上虞杰王（原汽车公司）</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文军砂浆股份</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溢尔塑业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98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东方铜业</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捷亚铝业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99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阿灿饭店</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华谊针织</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得意塑料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良亮服饰</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帝烨针织</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上虞锴达电子</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恒彩塑料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荣马印花</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日昇针织</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众友企业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兴达工贸</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13"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华平制衣</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浙江裕康手套有限公司（康隆达）</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龚信潮出租房</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瑞信-车间</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鸿烨纺织</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冠格电器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永益金属</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39"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神州仪表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46" w:hRule="atLeast"/>
        </w:trPr>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金芽环保</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122</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0"/>
                <w:szCs w:val="20"/>
                <w:u w:val="none"/>
              </w:rPr>
            </w:pPr>
          </w:p>
        </w:tc>
      </w:tr>
    </w:tbl>
    <w:p>
      <w:pPr>
        <w:numPr>
          <w:ilvl w:val="0"/>
          <w:numId w:val="0"/>
        </w:numPr>
        <w:spacing w:line="360" w:lineRule="auto"/>
        <w:jc w:val="center"/>
        <w:rPr>
          <w:rFonts w:hint="eastAsia"/>
          <w:color w:val="auto"/>
          <w:lang w:val="en-US" w:eastAsia="zh-CN"/>
        </w:rPr>
      </w:pPr>
      <w:r>
        <w:rPr>
          <w:rFonts w:hint="eastAsia" w:ascii="宋体" w:hAnsi="宋体" w:cs="宋体"/>
          <w:b/>
          <w:bCs w:val="0"/>
          <w:color w:val="auto"/>
          <w:sz w:val="24"/>
          <w:szCs w:val="24"/>
          <w:lang w:val="en-US" w:eastAsia="zh-CN"/>
        </w:rPr>
        <w:t>丰惠镇公厕分布图</w:t>
      </w:r>
    </w:p>
    <w:tbl>
      <w:tblPr>
        <w:tblStyle w:val="36"/>
        <w:tblW w:w="8199" w:type="dxa"/>
        <w:tblInd w:w="0" w:type="dxa"/>
        <w:tblLayout w:type="autofit"/>
        <w:tblCellMar>
          <w:top w:w="0" w:type="dxa"/>
          <w:left w:w="0" w:type="dxa"/>
          <w:bottom w:w="0" w:type="dxa"/>
          <w:right w:w="0" w:type="dxa"/>
        </w:tblCellMar>
      </w:tblPr>
      <w:tblGrid>
        <w:gridCol w:w="1305"/>
        <w:gridCol w:w="3488"/>
        <w:gridCol w:w="1183"/>
        <w:gridCol w:w="2223"/>
      </w:tblGrid>
      <w:tr>
        <w:tblPrEx>
          <w:tblCellMar>
            <w:top w:w="0" w:type="dxa"/>
            <w:left w:w="0" w:type="dxa"/>
            <w:bottom w:w="0" w:type="dxa"/>
            <w:right w:w="0" w:type="dxa"/>
          </w:tblCellMar>
        </w:tblPrEx>
        <w:trPr>
          <w:trHeight w:val="90" w:hRule="atLeast"/>
        </w:trPr>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地点</w:t>
            </w:r>
          </w:p>
        </w:tc>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只数</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环城路（老车站）</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电站路（邮电弄）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人民桥西（市场西首）</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陈列馆（北撤）</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人民路停车场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庙弄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溪弄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八字桥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南街（济夫桥）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市场后面（运河边）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华惠苑（和满福大食堂）</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九狮桥</w:t>
            </w:r>
            <w:r>
              <w:rPr>
                <w:rFonts w:hint="eastAsia" w:ascii="宋体" w:hAnsi="宋体" w:cs="宋体"/>
                <w:i w:val="0"/>
                <w:color w:val="auto"/>
                <w:kern w:val="0"/>
                <w:sz w:val="20"/>
                <w:szCs w:val="20"/>
                <w:u w:val="none"/>
                <w:lang w:val="en-US" w:eastAsia="zh-CN" w:bidi="ar"/>
              </w:rPr>
              <w:t>（老街）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丰城新苑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养老院旁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北门夜市厕所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启文门社区1楼厕所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水冲式</w:t>
            </w:r>
          </w:p>
        </w:tc>
      </w:tr>
      <w:tr>
        <w:tblPrEx>
          <w:tblCellMar>
            <w:top w:w="0" w:type="dxa"/>
            <w:left w:w="0" w:type="dxa"/>
            <w:bottom w:w="0" w:type="dxa"/>
            <w:right w:w="0"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8</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jc w:val="both"/>
              <w:rPr>
                <w:rFonts w:hint="eastAsia"/>
              </w:rPr>
            </w:pPr>
          </w:p>
        </w:tc>
      </w:tr>
    </w:tbl>
    <w:p>
      <w:pPr>
        <w:pStyle w:val="3"/>
        <w:numPr>
          <w:ilvl w:val="0"/>
          <w:numId w:val="0"/>
        </w:numPr>
        <w:ind w:left="400" w:leftChars="0"/>
        <w:rPr>
          <w:rFonts w:hint="eastAsia" w:ascii="宋体" w:hAnsi="宋体" w:eastAsia="宋体" w:cs="宋体"/>
          <w:b/>
          <w:color w:val="auto"/>
          <w:sz w:val="24"/>
          <w:szCs w:val="22"/>
          <w:lang w:val="en-US" w:eastAsia="zh-CN"/>
        </w:rPr>
      </w:pPr>
    </w:p>
    <w:p>
      <w:pPr>
        <w:pStyle w:val="3"/>
        <w:numPr>
          <w:ilvl w:val="0"/>
          <w:numId w:val="0"/>
        </w:numPr>
        <w:ind w:left="400" w:leftChars="0"/>
        <w:rPr>
          <w:rFonts w:hint="eastAsia" w:ascii="宋体" w:hAnsi="宋体" w:eastAsia="宋体" w:cs="宋体"/>
          <w:b/>
          <w:color w:val="auto"/>
          <w:sz w:val="24"/>
          <w:szCs w:val="22"/>
          <w:lang w:val="en-US" w:eastAsia="zh-CN"/>
        </w:rPr>
      </w:pPr>
      <w:r>
        <w:rPr>
          <w:rFonts w:hint="eastAsia" w:ascii="宋体" w:hAnsi="宋体" w:eastAsia="宋体" w:cs="宋体"/>
          <w:b/>
          <w:color w:val="auto"/>
          <w:sz w:val="24"/>
          <w:szCs w:val="22"/>
          <w:lang w:val="en-US" w:eastAsia="zh-CN"/>
        </w:rPr>
        <w:t>三、采购人现有</w:t>
      </w:r>
      <w:r>
        <w:rPr>
          <w:rFonts w:hint="eastAsia" w:ascii="宋体" w:hAnsi="宋体" w:cs="宋体"/>
          <w:b/>
          <w:color w:val="auto"/>
          <w:sz w:val="24"/>
          <w:szCs w:val="22"/>
          <w:lang w:val="en-US" w:eastAsia="zh-CN"/>
        </w:rPr>
        <w:t>垃圾中转站及</w:t>
      </w:r>
      <w:r>
        <w:rPr>
          <w:rFonts w:hint="eastAsia" w:ascii="宋体" w:hAnsi="宋体" w:eastAsia="宋体" w:cs="宋体"/>
          <w:b/>
          <w:color w:val="auto"/>
          <w:sz w:val="24"/>
          <w:szCs w:val="22"/>
          <w:lang w:val="en-US" w:eastAsia="zh-CN"/>
        </w:rPr>
        <w:t>机械设备明细表</w:t>
      </w:r>
    </w:p>
    <w:tbl>
      <w:tblPr>
        <w:tblStyle w:val="36"/>
        <w:tblW w:w="7105" w:type="dxa"/>
        <w:tblInd w:w="0" w:type="dxa"/>
        <w:tblLayout w:type="autofit"/>
        <w:tblCellMar>
          <w:top w:w="0" w:type="dxa"/>
          <w:left w:w="0" w:type="dxa"/>
          <w:bottom w:w="0" w:type="dxa"/>
          <w:right w:w="0" w:type="dxa"/>
        </w:tblCellMar>
      </w:tblPr>
      <w:tblGrid>
        <w:gridCol w:w="1564"/>
        <w:gridCol w:w="1836"/>
        <w:gridCol w:w="1836"/>
        <w:gridCol w:w="960"/>
        <w:gridCol w:w="1512"/>
      </w:tblGrid>
      <w:tr>
        <w:tblPrEx>
          <w:tblCellMar>
            <w:top w:w="0" w:type="dxa"/>
            <w:left w:w="0" w:type="dxa"/>
            <w:bottom w:w="0" w:type="dxa"/>
            <w:right w:w="0" w:type="dxa"/>
          </w:tblCellMar>
        </w:tblPrEx>
        <w:trPr>
          <w:trHeight w:val="400" w:hRule="atLeast"/>
        </w:trPr>
        <w:tc>
          <w:tcPr>
            <w:tcW w:w="960"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836"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836"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北门中转站</w:t>
            </w:r>
          </w:p>
        </w:tc>
        <w:tc>
          <w:tcPr>
            <w:tcW w:w="960"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配置年份</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垂直压缩机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水平压缩机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易腐垃圾处理机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污水泵</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铲车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谢桥垃圾中转站</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配置年份</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污水泵</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r>
      <w:tr>
        <w:tblPrEx>
          <w:tblCellMar>
            <w:top w:w="0" w:type="dxa"/>
            <w:left w:w="0" w:type="dxa"/>
            <w:bottom w:w="0" w:type="dxa"/>
            <w:right w:w="0" w:type="dxa"/>
          </w:tblCellMar>
        </w:tblPrEx>
        <w:trPr>
          <w:trHeight w:val="400" w:hRule="atLeast"/>
        </w:trPr>
        <w:tc>
          <w:tcPr>
            <w:tcW w:w="0" w:type="auto"/>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夹塘中转站</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配置年份</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水平压缩机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污水泵</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祝家庄中转站</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配置年份</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污水泵</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八桶清运车</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r>
    </w:tbl>
    <w:p>
      <w:pPr>
        <w:numPr>
          <w:ilvl w:val="0"/>
          <w:numId w:val="0"/>
        </w:numPr>
        <w:spacing w:line="360" w:lineRule="auto"/>
        <w:ind w:firstLine="482" w:firstLineChars="200"/>
        <w:jc w:val="left"/>
        <w:rPr>
          <w:rFonts w:hint="eastAsia"/>
          <w:b/>
          <w:bCs/>
          <w:color w:val="auto"/>
          <w:sz w:val="24"/>
          <w:szCs w:val="24"/>
          <w:lang w:val="en-US" w:eastAsia="zh-CN"/>
        </w:rPr>
      </w:pPr>
      <w:r>
        <w:rPr>
          <w:rFonts w:hint="eastAsia"/>
          <w:b/>
          <w:bCs/>
          <w:color w:val="auto"/>
          <w:sz w:val="24"/>
          <w:szCs w:val="24"/>
          <w:lang w:val="en-US" w:eastAsia="zh-CN"/>
        </w:rPr>
        <w:t>四、人员配备要求</w:t>
      </w:r>
    </w:p>
    <w:tbl>
      <w:tblPr>
        <w:tblStyle w:val="36"/>
        <w:tblW w:w="8239" w:type="dxa"/>
        <w:jc w:val="center"/>
        <w:tblLayout w:type="autofit"/>
        <w:tblCellMar>
          <w:top w:w="0" w:type="dxa"/>
          <w:left w:w="0" w:type="dxa"/>
          <w:bottom w:w="0" w:type="dxa"/>
          <w:right w:w="0" w:type="dxa"/>
        </w:tblCellMar>
      </w:tblPr>
      <w:tblGrid>
        <w:gridCol w:w="1068"/>
        <w:gridCol w:w="3272"/>
        <w:gridCol w:w="1181"/>
        <w:gridCol w:w="2718"/>
      </w:tblGrid>
      <w:tr>
        <w:tblPrEx>
          <w:tblCellMar>
            <w:top w:w="0" w:type="dxa"/>
            <w:left w:w="0" w:type="dxa"/>
            <w:bottom w:w="0" w:type="dxa"/>
            <w:right w:w="0" w:type="dxa"/>
          </w:tblCellMar>
        </w:tblPrEx>
        <w:trPr>
          <w:trHeight w:val="719" w:hRule="atLeast"/>
          <w:jc w:val="center"/>
        </w:trPr>
        <w:tc>
          <w:tcPr>
            <w:tcW w:w="10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序号</w:t>
            </w:r>
          </w:p>
        </w:tc>
        <w:tc>
          <w:tcPr>
            <w:tcW w:w="327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项目内容</w:t>
            </w:r>
          </w:p>
        </w:tc>
        <w:tc>
          <w:tcPr>
            <w:tcW w:w="118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人员数量</w:t>
            </w:r>
          </w:p>
        </w:tc>
        <w:tc>
          <w:tcPr>
            <w:tcW w:w="271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90"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1</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主管</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1</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color w:val="auto"/>
                <w:sz w:val="20"/>
                <w:szCs w:val="20"/>
                <w:lang w:val="en-US" w:eastAsia="zh-CN"/>
              </w:rPr>
              <w:t>年龄在55周岁以下，有一定的保洁管理经验。</w:t>
            </w:r>
          </w:p>
        </w:tc>
      </w:tr>
      <w:tr>
        <w:tblPrEx>
          <w:tblCellMar>
            <w:top w:w="0" w:type="dxa"/>
            <w:left w:w="0" w:type="dxa"/>
            <w:bottom w:w="0" w:type="dxa"/>
            <w:right w:w="0" w:type="dxa"/>
          </w:tblCellMar>
        </w:tblPrEx>
        <w:trPr>
          <w:trHeight w:val="956"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2</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中转站协调员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1</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color w:val="auto"/>
                <w:sz w:val="20"/>
                <w:szCs w:val="20"/>
                <w:lang w:val="en-US" w:eastAsia="zh-CN"/>
              </w:rPr>
            </w:pPr>
            <w:r>
              <w:rPr>
                <w:rFonts w:hint="eastAsia"/>
                <w:color w:val="auto"/>
                <w:sz w:val="20"/>
                <w:szCs w:val="20"/>
                <w:lang w:val="en-US" w:eastAsia="zh-CN"/>
              </w:rPr>
              <w:t>年龄在60周岁以下</w:t>
            </w:r>
          </w:p>
        </w:tc>
      </w:tr>
      <w:tr>
        <w:tblPrEx>
          <w:tblCellMar>
            <w:top w:w="0" w:type="dxa"/>
            <w:left w:w="0" w:type="dxa"/>
            <w:bottom w:w="0" w:type="dxa"/>
            <w:right w:w="0" w:type="dxa"/>
          </w:tblCellMar>
        </w:tblPrEx>
        <w:trPr>
          <w:trHeight w:val="71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3</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中转站分拣员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4</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color w:val="auto"/>
                <w:sz w:val="20"/>
                <w:szCs w:val="20"/>
                <w:lang w:val="en-US" w:eastAsia="zh-CN"/>
              </w:rPr>
              <w:t>年龄在60周岁以下</w:t>
            </w:r>
          </w:p>
        </w:tc>
      </w:tr>
      <w:tr>
        <w:tblPrEx>
          <w:tblCellMar>
            <w:top w:w="0" w:type="dxa"/>
            <w:left w:w="0" w:type="dxa"/>
            <w:bottom w:w="0" w:type="dxa"/>
            <w:right w:w="0" w:type="dxa"/>
          </w:tblCellMar>
        </w:tblPrEx>
        <w:trPr>
          <w:trHeight w:val="71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4</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中转站压缩机操作员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4</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color w:val="auto"/>
                <w:sz w:val="20"/>
                <w:szCs w:val="20"/>
                <w:lang w:val="en-US" w:eastAsia="zh-CN"/>
              </w:rPr>
            </w:pPr>
            <w:r>
              <w:rPr>
                <w:rFonts w:hint="eastAsia"/>
                <w:color w:val="auto"/>
                <w:sz w:val="20"/>
                <w:szCs w:val="20"/>
                <w:lang w:val="en-US" w:eastAsia="zh-CN"/>
              </w:rPr>
              <w:t>年龄在50周岁以下</w:t>
            </w:r>
          </w:p>
        </w:tc>
      </w:tr>
      <w:tr>
        <w:tblPrEx>
          <w:tblCellMar>
            <w:top w:w="0" w:type="dxa"/>
            <w:left w:w="0" w:type="dxa"/>
            <w:bottom w:w="0" w:type="dxa"/>
            <w:right w:w="0" w:type="dxa"/>
          </w:tblCellMar>
        </w:tblPrEx>
        <w:trPr>
          <w:trHeight w:val="71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5</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易腐垃圾处置设备操作员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kern w:val="0"/>
                <w:sz w:val="20"/>
                <w:szCs w:val="20"/>
                <w:u w:val="none"/>
                <w:lang w:val="en-US" w:eastAsia="zh-CN" w:bidi="ar"/>
              </w:rPr>
            </w:pPr>
            <w:r>
              <w:rPr>
                <w:rFonts w:hint="eastAsia" w:ascii="微软雅黑" w:hAnsi="微软雅黑" w:eastAsia="微软雅黑" w:cs="微软雅黑"/>
                <w:i w:val="0"/>
                <w:color w:val="auto"/>
                <w:kern w:val="0"/>
                <w:sz w:val="20"/>
                <w:szCs w:val="20"/>
                <w:u w:val="none"/>
                <w:lang w:val="en-US" w:eastAsia="zh-CN" w:bidi="ar"/>
              </w:rPr>
              <w:t>1</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color w:val="auto"/>
                <w:sz w:val="20"/>
                <w:szCs w:val="20"/>
                <w:lang w:val="en-US" w:eastAsia="zh-CN"/>
              </w:rPr>
            </w:pPr>
            <w:r>
              <w:rPr>
                <w:rFonts w:hint="eastAsia"/>
                <w:color w:val="auto"/>
                <w:sz w:val="20"/>
                <w:szCs w:val="20"/>
                <w:lang w:val="en-US" w:eastAsia="zh-CN"/>
              </w:rPr>
              <w:t>年龄在45周岁以下</w:t>
            </w:r>
          </w:p>
        </w:tc>
      </w:tr>
      <w:tr>
        <w:tblPrEx>
          <w:tblCellMar>
            <w:top w:w="0" w:type="dxa"/>
            <w:left w:w="0" w:type="dxa"/>
            <w:bottom w:w="0" w:type="dxa"/>
            <w:right w:w="0" w:type="dxa"/>
          </w:tblCellMar>
        </w:tblPrEx>
        <w:trPr>
          <w:trHeight w:val="71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6</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垃圾清运员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sz w:val="20"/>
                <w:szCs w:val="20"/>
                <w:u w:val="none"/>
                <w:lang w:val="en-US"/>
              </w:rPr>
            </w:pPr>
            <w:r>
              <w:rPr>
                <w:rFonts w:hint="eastAsia" w:ascii="微软雅黑" w:hAnsi="微软雅黑" w:eastAsia="微软雅黑" w:cs="微软雅黑"/>
                <w:i w:val="0"/>
                <w:color w:val="auto"/>
                <w:kern w:val="0"/>
                <w:sz w:val="20"/>
                <w:szCs w:val="20"/>
                <w:u w:val="none"/>
                <w:lang w:val="en-US" w:eastAsia="zh-CN" w:bidi="ar"/>
              </w:rPr>
              <w:t>25</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color w:val="auto"/>
                <w:sz w:val="20"/>
                <w:szCs w:val="20"/>
                <w:lang w:val="en-US" w:eastAsia="zh-CN"/>
              </w:rPr>
              <w:t>年龄在55周岁以下</w:t>
            </w:r>
          </w:p>
        </w:tc>
      </w:tr>
      <w:tr>
        <w:tblPrEx>
          <w:tblCellMar>
            <w:top w:w="0" w:type="dxa"/>
            <w:left w:w="0" w:type="dxa"/>
            <w:bottom w:w="0" w:type="dxa"/>
            <w:right w:w="0" w:type="dxa"/>
          </w:tblCellMar>
        </w:tblPrEx>
        <w:trPr>
          <w:trHeight w:val="62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7</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保洁人员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auto"/>
                <w:sz w:val="20"/>
                <w:szCs w:val="20"/>
                <w:u w:val="none"/>
                <w:lang w:val="en-US" w:eastAsia="zh-CN"/>
              </w:rPr>
            </w:pPr>
            <w:r>
              <w:rPr>
                <w:rFonts w:hint="eastAsia" w:ascii="微软雅黑" w:hAnsi="微软雅黑" w:eastAsia="微软雅黑" w:cs="微软雅黑"/>
                <w:i w:val="0"/>
                <w:color w:val="auto"/>
                <w:sz w:val="20"/>
                <w:szCs w:val="20"/>
                <w:u w:val="none"/>
                <w:lang w:val="en-US" w:eastAsia="zh-CN"/>
              </w:rPr>
              <w:t>29</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color w:val="auto"/>
                <w:sz w:val="20"/>
                <w:szCs w:val="20"/>
                <w:lang w:val="en-US" w:eastAsia="zh-CN"/>
              </w:rPr>
              <w:t>年龄在60周岁以下</w:t>
            </w:r>
          </w:p>
        </w:tc>
      </w:tr>
      <w:tr>
        <w:tblPrEx>
          <w:tblCellMar>
            <w:top w:w="0" w:type="dxa"/>
            <w:left w:w="0" w:type="dxa"/>
            <w:bottom w:w="0" w:type="dxa"/>
            <w:right w:w="0" w:type="dxa"/>
          </w:tblCellMar>
        </w:tblPrEx>
        <w:trPr>
          <w:trHeight w:val="539"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8</w:t>
            </w: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河道保洁人员</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5</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r>
              <w:rPr>
                <w:rFonts w:hint="eastAsia"/>
                <w:color w:val="auto"/>
                <w:sz w:val="20"/>
                <w:szCs w:val="20"/>
                <w:lang w:val="en-US" w:eastAsia="zh-CN"/>
              </w:rPr>
              <w:t>年龄在60周岁以下</w:t>
            </w:r>
          </w:p>
        </w:tc>
      </w:tr>
      <w:tr>
        <w:tblPrEx>
          <w:tblCellMar>
            <w:top w:w="0" w:type="dxa"/>
            <w:left w:w="0" w:type="dxa"/>
            <w:bottom w:w="0" w:type="dxa"/>
            <w:right w:w="0" w:type="dxa"/>
          </w:tblCellMar>
        </w:tblPrEx>
        <w:trPr>
          <w:trHeight w:val="530" w:hRule="atLeast"/>
          <w:jc w:val="center"/>
        </w:trPr>
        <w:tc>
          <w:tcPr>
            <w:tcW w:w="106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p>
        </w:tc>
        <w:tc>
          <w:tcPr>
            <w:tcW w:w="327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合计</w:t>
            </w:r>
          </w:p>
        </w:tc>
        <w:tc>
          <w:tcPr>
            <w:tcW w:w="118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sz w:val="20"/>
                <w:szCs w:val="20"/>
                <w:u w:val="none"/>
              </w:rPr>
            </w:pPr>
            <w:r>
              <w:rPr>
                <w:rFonts w:hint="eastAsia" w:ascii="微软雅黑" w:hAnsi="微软雅黑" w:eastAsia="微软雅黑" w:cs="微软雅黑"/>
                <w:i w:val="0"/>
                <w:color w:val="auto"/>
                <w:kern w:val="0"/>
                <w:sz w:val="20"/>
                <w:szCs w:val="20"/>
                <w:u w:val="none"/>
                <w:lang w:val="en-US" w:eastAsia="zh-CN" w:bidi="ar"/>
              </w:rPr>
              <w:t>70</w:t>
            </w:r>
          </w:p>
        </w:tc>
        <w:tc>
          <w:tcPr>
            <w:tcW w:w="27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auto"/>
                <w:kern w:val="0"/>
                <w:sz w:val="20"/>
                <w:szCs w:val="20"/>
                <w:u w:val="none"/>
                <w:lang w:val="en-US" w:eastAsia="zh-CN" w:bidi="ar"/>
              </w:rPr>
            </w:pPr>
          </w:p>
        </w:tc>
      </w:tr>
    </w:tbl>
    <w:p>
      <w:pPr>
        <w:keepNext w:val="0"/>
        <w:keepLines w:val="0"/>
        <w:pageBreakBefore w:val="0"/>
        <w:widowControl w:val="0"/>
        <w:tabs>
          <w:tab w:val="left" w:pos="772"/>
        </w:tabs>
        <w:kinsoku/>
        <w:wordWrap/>
        <w:overflowPunct/>
        <w:topLinePunct w:val="0"/>
        <w:autoSpaceDE/>
        <w:autoSpaceDN/>
        <w:bidi w:val="0"/>
        <w:adjustRightInd/>
        <w:snapToGrid/>
        <w:spacing w:line="360" w:lineRule="auto"/>
        <w:ind w:firstLine="480" w:firstLineChars="200"/>
        <w:textAlignment w:val="auto"/>
        <w:rPr>
          <w:rStyle w:val="71"/>
          <w:rFonts w:hint="eastAsia" w:ascii="宋体" w:hAnsi="宋体" w:eastAsia="宋体" w:cs="宋体"/>
          <w:b w:val="0"/>
          <w:bCs/>
          <w:sz w:val="24"/>
          <w:szCs w:val="24"/>
        </w:rPr>
      </w:pPr>
      <w:r>
        <w:rPr>
          <w:rFonts w:hint="eastAsia" w:ascii="宋体" w:hAnsi="宋体" w:eastAsia="宋体" w:cs="宋体"/>
          <w:b w:val="0"/>
          <w:bCs/>
          <w:color w:val="auto"/>
          <w:sz w:val="24"/>
          <w:szCs w:val="24"/>
        </w:rPr>
        <w:t>作业人员由中标人自行安排，总人数（包括调班）不得少于</w:t>
      </w:r>
      <w:r>
        <w:rPr>
          <w:rFonts w:hint="eastAsia" w:ascii="宋体" w:hAnsi="宋体" w:eastAsia="宋体" w:cs="宋体"/>
          <w:b w:val="0"/>
          <w:bCs/>
          <w:color w:val="auto"/>
          <w:sz w:val="24"/>
          <w:szCs w:val="24"/>
          <w:lang w:val="en-US" w:eastAsia="zh-CN"/>
        </w:rPr>
        <w:t xml:space="preserve"> 70 </w:t>
      </w:r>
      <w:r>
        <w:rPr>
          <w:rFonts w:hint="eastAsia" w:ascii="宋体" w:hAnsi="宋体" w:eastAsia="宋体" w:cs="宋体"/>
          <w:b w:val="0"/>
          <w:bCs/>
          <w:color w:val="auto"/>
          <w:sz w:val="24"/>
          <w:szCs w:val="24"/>
        </w:rPr>
        <w:t>人。身体健康，具有履行工作职责所需的服务技能和素养</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年龄在60周岁以下。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jc w:val="both"/>
        <w:textAlignment w:val="auto"/>
        <w:rPr>
          <w:rStyle w:val="71"/>
          <w:rFonts w:hint="eastAsia" w:ascii="宋体" w:hAnsi="宋体" w:eastAsia="宋体" w:cs="宋体"/>
          <w:b/>
          <w:bCs w:val="0"/>
          <w:sz w:val="24"/>
          <w:szCs w:val="24"/>
          <w:lang w:val="en-US" w:eastAsia="zh-CN"/>
        </w:rPr>
      </w:pPr>
      <w:r>
        <w:rPr>
          <w:rStyle w:val="71"/>
          <w:rFonts w:hint="eastAsia" w:ascii="宋体" w:hAnsi="宋体" w:eastAsia="宋体" w:cs="宋体"/>
          <w:b/>
          <w:bCs w:val="0"/>
          <w:sz w:val="24"/>
          <w:szCs w:val="24"/>
          <w:lang w:val="en-US" w:eastAsia="zh-CN"/>
        </w:rPr>
        <w:t>五、服务要求</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 xml:space="preserve"> 环卫保洁：</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清扫包括普扫、巡回保洁、收运清扫的垃圾，并实行12小时（6：00～18：00）循环保洁制；普扫5月份-9月份必须在8：00前完成，10月份-4月份在8：30前完成。其中人民路（人民桥—济夫桥）、东西大街（华惠苑—溪弄）晚上须（19：00～21：30）循环保洁。</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rPr>
        <w:t>②保洁要做到边沟、下水口无垃圾、不堵塞，树穴、隔离护栏下、绿化带及周围保持整洁，路面（包括背街小巷）、人行道废弃物停留时间不超过30分钟，</w:t>
      </w:r>
      <w:r>
        <w:rPr>
          <w:rFonts w:hint="eastAsia" w:ascii="宋体" w:hAnsi="宋体" w:eastAsia="宋体" w:cs="宋体"/>
          <w:b w:val="0"/>
          <w:bCs/>
          <w:color w:val="auto"/>
          <w:sz w:val="24"/>
          <w:szCs w:val="24"/>
          <w:highlight w:val="none"/>
        </w:rPr>
        <w:t>垃圾箱（房、桶）无满溢、周围无撒落垃圾、污水。</w:t>
      </w:r>
      <w:r>
        <w:rPr>
          <w:rFonts w:hint="eastAsia" w:ascii="宋体" w:hAnsi="宋体" w:eastAsia="宋体" w:cs="宋体"/>
          <w:b w:val="0"/>
          <w:bCs/>
          <w:color w:val="auto"/>
          <w:sz w:val="24"/>
          <w:szCs w:val="24"/>
          <w:highlight w:val="none"/>
          <w:lang w:val="en-US" w:eastAsia="zh-CN"/>
        </w:rPr>
        <w:t>工业园区垃圾收集时有混入工业垃圾的，先进行分拣，分拣后将生活垃圾清运。</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 xml:space="preserve"> 垃圾清运分类、收集、分</w:t>
      </w:r>
      <w:r>
        <w:rPr>
          <w:rFonts w:hint="eastAsia" w:ascii="宋体" w:hAnsi="宋体" w:eastAsia="宋体" w:cs="宋体"/>
          <w:b w:val="0"/>
          <w:bCs/>
          <w:color w:val="auto"/>
          <w:sz w:val="24"/>
          <w:szCs w:val="24"/>
          <w:highlight w:val="none"/>
          <w:lang w:val="en-US" w:eastAsia="zh-CN"/>
        </w:rPr>
        <w:t>拣</w:t>
      </w:r>
      <w:r>
        <w:rPr>
          <w:rFonts w:hint="eastAsia" w:ascii="宋体" w:hAnsi="宋体" w:eastAsia="宋体" w:cs="宋体"/>
          <w:b w:val="0"/>
          <w:bCs/>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①运载垃圾必须密闭化，采用“桶换桶”收运模式，在运输过程中无垃圾撒落、拖挂和污水滴漏现象，清运、收集的垃圾必须倾倒在指定的中转站内，不得随意乱倒；</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②垃圾收集车辆外貌整洁、性能良好，无残缺、破损，设定的垃圾箱（房、桶）应定期清洗并保持整洁；</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③做好垃圾分类分拣站内垃圾分类工作，按照上级要求对生活垃圾进行分类，维护好垃圾分类分拣站。</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④负责全镇行政村垃圾</w:t>
      </w:r>
      <w:r>
        <w:rPr>
          <w:rFonts w:hint="eastAsia" w:ascii="宋体" w:hAnsi="宋体" w:eastAsia="宋体" w:cs="宋体"/>
          <w:b w:val="0"/>
          <w:bCs/>
          <w:color w:val="auto"/>
          <w:sz w:val="24"/>
          <w:szCs w:val="24"/>
          <w:highlight w:val="none"/>
          <w:lang w:eastAsia="zh-CN"/>
        </w:rPr>
        <w:t>桶</w:t>
      </w:r>
      <w:r>
        <w:rPr>
          <w:rFonts w:hint="eastAsia" w:ascii="宋体" w:hAnsi="宋体" w:eastAsia="宋体" w:cs="宋体"/>
          <w:b w:val="0"/>
          <w:bCs/>
          <w:color w:val="auto"/>
          <w:sz w:val="24"/>
          <w:szCs w:val="24"/>
          <w:highlight w:val="none"/>
        </w:rPr>
        <w:t>的垃圾进行清运</w:t>
      </w:r>
      <w:r>
        <w:rPr>
          <w:rFonts w:hint="eastAsia" w:ascii="宋体" w:hAnsi="宋体" w:eastAsia="宋体" w:cs="宋体"/>
          <w:b w:val="0"/>
          <w:bCs/>
          <w:color w:val="auto"/>
          <w:sz w:val="24"/>
          <w:szCs w:val="24"/>
          <w:highlight w:val="none"/>
          <w:lang w:val="en-US" w:eastAsia="zh-CN"/>
        </w:rPr>
        <w:t>以及垃圾桶清洗</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负责垃圾桶周边满溢垃圾的清理与清运工作。</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 公厕保洁：</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城镇内所有公厕保洁做到巡回保洁，每日上下午集中清扫各1次，其余时间巡回保洁。厕所内墙面、天花板、门窗和隔板做到无积灰、污迹、蛛网，公厕外周围卫生整洁，无乱堆放，公厕内外墙面无乱贴。公厕内清洁基本无气味、地面光洁、无积水、蹲位整洁，大便槽两侧无粪便污迹，槽内无积粪，洁净见底，小便槽基本无水锈、尿垢；管道保持畅通。公厕内照明灯具、洗手器具、冲水设备等应完好无损，无积灰、污迹。发现损坏及时报修。协助做好厕所的季节性灭蜗蝇灭蚊消杀工作。</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 xml:space="preserve"> 牛皮癣清理：</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做好保洁范围内主干道、次干道、商业街道、巷道（含背街小巷）及小区（含一楼楼道）的路灯杆、广告牌、沿街两侧店面、地面、墙面、桥面、护栏、果壳箱、台阶、配电箱等各类基面乱张贴、乱涂写、乱刻画的清理工作，并制止未经批准的横幅、彩旗、广告或其他装饰等。</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 xml:space="preserve">  垃圾中转站管理、维护及协调：</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安排专人为垃圾分拣员和中转站管理人员，</w:t>
      </w:r>
      <w:r>
        <w:rPr>
          <w:rFonts w:hint="eastAsia" w:ascii="宋体" w:hAnsi="宋体" w:eastAsia="宋体" w:cs="宋体"/>
          <w:b w:val="0"/>
          <w:bCs/>
          <w:color w:val="auto"/>
          <w:sz w:val="24"/>
          <w:szCs w:val="24"/>
          <w:highlight w:val="none"/>
          <w:lang w:eastAsia="zh-CN"/>
        </w:rPr>
        <w:t>配备专人（需有生活垃圾转运站上岗证书）</w:t>
      </w:r>
      <w:r>
        <w:rPr>
          <w:rFonts w:hint="eastAsia" w:ascii="宋体" w:hAnsi="宋体" w:eastAsia="宋体" w:cs="宋体"/>
          <w:b w:val="0"/>
          <w:bCs/>
          <w:color w:val="auto"/>
          <w:sz w:val="24"/>
          <w:szCs w:val="24"/>
          <w:highlight w:val="none"/>
        </w:rPr>
        <w:t>做好垃圾中转站、分拣站的</w:t>
      </w:r>
      <w:r>
        <w:rPr>
          <w:rFonts w:hint="eastAsia" w:ascii="宋体" w:hAnsi="宋体" w:eastAsia="宋体" w:cs="宋体"/>
          <w:b w:val="0"/>
          <w:bCs/>
          <w:color w:val="auto"/>
          <w:sz w:val="24"/>
          <w:szCs w:val="24"/>
          <w:highlight w:val="none"/>
          <w:lang w:eastAsia="zh-CN"/>
        </w:rPr>
        <w:t>垃圾压缩机和易腐垃圾处理设备的</w:t>
      </w:r>
      <w:r>
        <w:rPr>
          <w:rFonts w:hint="eastAsia" w:ascii="宋体" w:hAnsi="宋体" w:eastAsia="宋体" w:cs="宋体"/>
          <w:b w:val="0"/>
          <w:bCs/>
          <w:color w:val="auto"/>
          <w:sz w:val="24"/>
          <w:szCs w:val="24"/>
          <w:highlight w:val="none"/>
        </w:rPr>
        <w:t>管理和维护，做好与上级相关部门衔接、协调工作，及时对垃圾中转站已堆垃圾打包外运，防止堆积垃圾，清理积存垃圾，做好中转站日常保洁工作。</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 xml:space="preserve">  垃圾收集点：</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做好垃圾收集点的清运工作，保持收集点及周边整洁，无垃圾满溢、无污水污渍。规范放置分类垃圾桶，及时收集清理果皮箱的垃圾，无满溢现象。</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建筑垃圾：</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做好《丰惠镇城镇环境卫生保洁范围图》保洁范围内公共区域的建筑垃圾巡查工作，发现问题，及时</w:t>
      </w:r>
      <w:r>
        <w:rPr>
          <w:rFonts w:hint="eastAsia" w:ascii="宋体" w:hAnsi="宋体" w:eastAsia="宋体" w:cs="宋体"/>
          <w:b w:val="0"/>
          <w:bCs/>
          <w:color w:val="auto"/>
          <w:sz w:val="24"/>
          <w:szCs w:val="24"/>
          <w:highlight w:val="none"/>
          <w:lang w:eastAsia="zh-CN"/>
        </w:rPr>
        <w:t>反馈</w:t>
      </w:r>
      <w:r>
        <w:rPr>
          <w:rFonts w:hint="eastAsia" w:ascii="宋体" w:hAnsi="宋体" w:eastAsia="宋体" w:cs="宋体"/>
          <w:b w:val="0"/>
          <w:bCs/>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 xml:space="preserve"> 河道保洁：</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安排专人并配备船只对河</w:t>
      </w:r>
      <w:r>
        <w:rPr>
          <w:rFonts w:hint="eastAsia" w:ascii="宋体" w:hAnsi="宋体" w:eastAsia="宋体" w:cs="宋体"/>
          <w:b w:val="0"/>
          <w:bCs/>
          <w:color w:val="auto"/>
          <w:sz w:val="24"/>
          <w:szCs w:val="24"/>
          <w:highlight w:val="none"/>
          <w:lang w:eastAsia="zh-CN"/>
        </w:rPr>
        <w:t>道</w:t>
      </w:r>
      <w:r>
        <w:rPr>
          <w:rFonts w:hint="eastAsia" w:ascii="宋体" w:hAnsi="宋体" w:eastAsia="宋体" w:cs="宋体"/>
          <w:b w:val="0"/>
          <w:bCs/>
          <w:color w:val="auto"/>
          <w:sz w:val="24"/>
          <w:szCs w:val="24"/>
          <w:highlight w:val="none"/>
        </w:rPr>
        <w:t>进行每日巡回保洁，确保河面无飘浮物，河内无地笼、网簖等非法渔具，河、塘岸无生活垃圾、建筑垃圾及农作物秸杆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随时清除两侧河岸</w:t>
      </w:r>
      <w:r>
        <w:rPr>
          <w:rFonts w:hint="eastAsia" w:ascii="宋体" w:hAnsi="宋体" w:eastAsia="宋体" w:cs="宋体"/>
          <w:b w:val="0"/>
          <w:bCs/>
          <w:color w:val="auto"/>
          <w:sz w:val="24"/>
          <w:szCs w:val="24"/>
          <w:highlight w:val="none"/>
          <w:lang w:val="en-US" w:eastAsia="zh-CN"/>
        </w:rPr>
        <w:t>绿化带</w:t>
      </w:r>
      <w:r>
        <w:rPr>
          <w:rFonts w:hint="eastAsia" w:ascii="宋体" w:hAnsi="宋体" w:eastAsia="宋体" w:cs="宋体"/>
          <w:b w:val="0"/>
          <w:bCs/>
          <w:color w:val="auto"/>
          <w:sz w:val="24"/>
          <w:szCs w:val="24"/>
          <w:highlight w:val="none"/>
        </w:rPr>
        <w:t>、河底（包括小微水体）坡面上的垃圾、杂物，随时清除各种影响整洁的其他杂物和新建违章，确保河道及小微水体洁净，达到“水底无明显淤泥或水草垃圾淤积，水体无异味、颜色无明显异常，水体沿岸无非法设置的排污口，所有水体全面消灭劣V 类水，小微水体治理3 项指标合格”的总体目标。</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其他：</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遇重大活动或重要节日等，必须服从镇统一安排和调度，配合做好突击性保洁工作；</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接受社会监督，对居民反映和巡查员发现的问题及时处理，有记录有答复。</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垃圾中转站设备因操作不当、管理失误等引起的设备维修费用由中标人全额负责（根据区环卫中心认定）。</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④</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中标后甲方将</w:t>
      </w:r>
      <w:r>
        <w:rPr>
          <w:rFonts w:hint="eastAsia" w:ascii="宋体" w:hAnsi="宋体" w:eastAsia="宋体" w:cs="宋体"/>
          <w:b w:val="0"/>
          <w:bCs/>
          <w:color w:val="auto"/>
          <w:sz w:val="24"/>
          <w:szCs w:val="24"/>
          <w:highlight w:val="none"/>
          <w:lang w:eastAsia="zh-CN"/>
        </w:rPr>
        <w:t>现有的</w:t>
      </w:r>
      <w:r>
        <w:rPr>
          <w:rFonts w:hint="eastAsia" w:ascii="宋体" w:hAnsi="宋体" w:eastAsia="宋体" w:cs="宋体"/>
          <w:b w:val="0"/>
          <w:bCs/>
          <w:color w:val="auto"/>
          <w:sz w:val="24"/>
          <w:szCs w:val="24"/>
          <w:highlight w:val="none"/>
        </w:rPr>
        <w:t>各类清运车、清扫车移交给乙方进行管理的，在管理过程中发现有设施破损、缺失，由乙方进行修补和增添；垃圾桶由甲方进行增添</w:t>
      </w:r>
      <w:r>
        <w:rPr>
          <w:rFonts w:hint="eastAsia" w:ascii="宋体" w:hAnsi="宋体" w:eastAsia="宋体" w:cs="宋体"/>
          <w:b w:val="0"/>
          <w:bCs/>
          <w:color w:val="auto"/>
          <w:sz w:val="24"/>
          <w:szCs w:val="24"/>
          <w:highlight w:val="none"/>
          <w:lang w:eastAsia="zh-CN"/>
        </w:rPr>
        <w:t>，其余保洁所</w:t>
      </w:r>
      <w:r>
        <w:rPr>
          <w:rFonts w:hint="eastAsia" w:ascii="宋体" w:hAnsi="宋体" w:eastAsia="宋体" w:cs="宋体"/>
          <w:b w:val="0"/>
          <w:bCs/>
          <w:color w:val="auto"/>
          <w:sz w:val="24"/>
          <w:szCs w:val="24"/>
          <w:highlight w:val="none"/>
          <w:lang w:val="en-US" w:eastAsia="zh-CN"/>
        </w:rPr>
        <w:t>需要</w:t>
      </w:r>
      <w:r>
        <w:rPr>
          <w:rFonts w:hint="eastAsia" w:ascii="宋体" w:hAnsi="宋体" w:eastAsia="宋体" w:cs="宋体"/>
          <w:b w:val="0"/>
          <w:bCs/>
          <w:color w:val="auto"/>
          <w:sz w:val="24"/>
          <w:szCs w:val="24"/>
          <w:highlight w:val="none"/>
          <w:lang w:eastAsia="zh-CN"/>
        </w:rPr>
        <w:t>的机械设备由乙方自行提供，</w:t>
      </w:r>
      <w:r>
        <w:rPr>
          <w:rFonts w:hint="eastAsia" w:ascii="宋体" w:hAnsi="宋体" w:eastAsia="宋体" w:cs="宋体"/>
          <w:b w:val="0"/>
          <w:bCs/>
          <w:color w:val="auto"/>
          <w:sz w:val="24"/>
          <w:szCs w:val="24"/>
          <w:highlight w:val="none"/>
          <w:lang w:val="en-US" w:eastAsia="zh-CN"/>
        </w:rPr>
        <w:t>包括至少1辆中型道路清扫车，至少2辆小型道路清扫车、2辆小型高压冲洗车，1辆铲车。若以上设备不能满足保洁要求的，由乙方根据实际情况配备。</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集镇公厕吸粪</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水电费用由保洁公司承担，</w:t>
      </w:r>
      <w:r>
        <w:rPr>
          <w:rFonts w:hint="eastAsia" w:ascii="宋体" w:hAnsi="宋体" w:eastAsia="宋体" w:cs="宋体"/>
          <w:b w:val="0"/>
          <w:bCs/>
          <w:color w:val="auto"/>
          <w:sz w:val="24"/>
          <w:szCs w:val="24"/>
          <w:highlight w:val="none"/>
        </w:rPr>
        <w:t>2000元/年/座以下的维修费由保洁公司承担，单笔超过2000元的维修费须提供正规的税务发票，费用由镇政府承担（详见清单）。承包期内，每增加一处水冲式公厕按</w:t>
      </w:r>
      <w:r>
        <w:rPr>
          <w:rFonts w:hint="eastAsia" w:ascii="宋体" w:hAnsi="宋体" w:eastAsia="宋体" w:cs="宋体"/>
          <w:b w:val="0"/>
          <w:bCs/>
          <w:color w:val="auto"/>
          <w:sz w:val="24"/>
          <w:szCs w:val="24"/>
          <w:highlight w:val="none"/>
          <w:lang w:val="en-US" w:eastAsia="zh-CN"/>
        </w:rPr>
        <w:t>10000</w:t>
      </w:r>
      <w:r>
        <w:rPr>
          <w:rFonts w:hint="eastAsia" w:ascii="宋体" w:hAnsi="宋体" w:eastAsia="宋体" w:cs="宋体"/>
          <w:b w:val="0"/>
          <w:bCs/>
          <w:color w:val="auto"/>
          <w:sz w:val="24"/>
          <w:szCs w:val="24"/>
          <w:highlight w:val="none"/>
        </w:rPr>
        <w:t>元/只一年结算。</w:t>
      </w:r>
    </w:p>
    <w:p>
      <w:pPr>
        <w:keepNext w:val="0"/>
        <w:keepLines w:val="0"/>
        <w:pageBreakBefore w:val="0"/>
        <w:widowControl w:val="0"/>
        <w:tabs>
          <w:tab w:val="left" w:pos="57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⑤垃圾中转站，</w:t>
      </w:r>
      <w:r>
        <w:rPr>
          <w:rFonts w:hint="eastAsia" w:ascii="宋体" w:hAnsi="宋体" w:eastAsia="宋体" w:cs="宋体"/>
          <w:b w:val="0"/>
          <w:bCs/>
          <w:color w:val="auto"/>
          <w:sz w:val="24"/>
          <w:szCs w:val="24"/>
          <w:highlight w:val="none"/>
          <w:lang w:val="en-US" w:eastAsia="zh-CN"/>
        </w:rPr>
        <w:t>水电费用由保洁公司承担，</w:t>
      </w:r>
      <w:r>
        <w:rPr>
          <w:rFonts w:hint="eastAsia" w:ascii="宋体" w:hAnsi="宋体" w:eastAsia="宋体" w:cs="宋体"/>
          <w:b w:val="0"/>
          <w:bCs/>
          <w:color w:val="auto"/>
          <w:sz w:val="24"/>
          <w:szCs w:val="24"/>
          <w:highlight w:val="none"/>
        </w:rPr>
        <w:t>5000元/年/座以下的小型设备维修费由保洁公司承担，单笔超过5000元的设备维修费须提供专业维修公司开具的正规税务发票，费用由镇政府承担。进场垃圾必须做到及时转运，不能堆积。</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jc w:val="both"/>
        <w:textAlignment w:val="auto"/>
        <w:rPr>
          <w:rStyle w:val="71"/>
          <w:rFonts w:hint="eastAsia" w:ascii="宋体" w:hAnsi="宋体" w:eastAsia="宋体" w:cs="宋体"/>
          <w:b/>
          <w:bCs w:val="0"/>
          <w:sz w:val="24"/>
          <w:szCs w:val="24"/>
          <w:lang w:val="en-US" w:eastAsia="zh-CN"/>
        </w:rPr>
      </w:pPr>
      <w:r>
        <w:rPr>
          <w:rStyle w:val="71"/>
          <w:rFonts w:hint="eastAsia" w:ascii="宋体" w:hAnsi="宋体" w:eastAsia="宋体" w:cs="宋体"/>
          <w:b/>
          <w:bCs w:val="0"/>
          <w:sz w:val="24"/>
          <w:szCs w:val="24"/>
          <w:lang w:val="en-US" w:eastAsia="zh-CN"/>
        </w:rPr>
        <w:t>六、服务期限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丰惠镇城镇环境卫生保洁服务（含工业区）项目，本次招标的年限定为3年(具体时间根据签订的合同为准)。遇上级政策调整，部分或全部区域要划归区统一保洁时，必须无条件服从，并按比例扣减保洁费用。</w:t>
      </w:r>
    </w:p>
    <w:p>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val="0"/>
          <w:sz w:val="24"/>
          <w:szCs w:val="24"/>
        </w:rPr>
      </w:pPr>
      <w:r>
        <w:rPr>
          <w:rFonts w:hint="eastAsia" w:ascii="宋体" w:hAnsi="宋体" w:eastAsia="宋体" w:cs="宋体"/>
          <w:b/>
          <w:bCs w:val="0"/>
          <w:color w:val="auto"/>
          <w:kern w:val="2"/>
          <w:sz w:val="24"/>
          <w:szCs w:val="24"/>
          <w:lang w:val="en-US" w:eastAsia="zh-CN" w:bidi="ar-SA"/>
        </w:rPr>
        <w:t>七、合同金额及付款方式</w:t>
      </w:r>
      <w:r>
        <w:rPr>
          <w:rFonts w:hint="eastAsia" w:ascii="宋体" w:hAnsi="宋体" w:eastAsia="宋体" w:cs="宋体"/>
          <w:b/>
          <w:bCs w:val="0"/>
          <w:sz w:val="24"/>
          <w:szCs w:val="24"/>
        </w:rPr>
        <w:t>：</w:t>
      </w:r>
    </w:p>
    <w:p>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bCs/>
          <w:sz w:val="24"/>
          <w:lang w:val="en-US" w:eastAsia="zh-CN"/>
        </w:rPr>
        <w:t>本合同服务费</w:t>
      </w:r>
      <w:r>
        <w:rPr>
          <w:rFonts w:hint="eastAsia" w:ascii="宋体" w:hAnsi="宋体"/>
          <w:bCs/>
          <w:sz w:val="24"/>
        </w:rPr>
        <w:t>为人民币</w:t>
      </w:r>
      <w:r>
        <w:rPr>
          <w:rFonts w:hint="eastAsia" w:ascii="宋体" w:hAnsi="宋体"/>
          <w:bCs/>
          <w:sz w:val="24"/>
          <w:u w:val="single"/>
        </w:rPr>
        <w:t xml:space="preserve">           </w:t>
      </w:r>
      <w:r>
        <w:rPr>
          <w:rFonts w:hint="eastAsia" w:ascii="宋体" w:hAnsi="宋体"/>
          <w:bCs/>
          <w:sz w:val="24"/>
        </w:rPr>
        <w:t>元（小写：           ），</w:t>
      </w:r>
      <w:r>
        <w:rPr>
          <w:rFonts w:hint="eastAsia" w:ascii="宋体" w:hAnsi="宋体" w:eastAsia="宋体" w:cs="宋体"/>
          <w:b w:val="0"/>
          <w:bCs/>
          <w:color w:val="auto"/>
          <w:sz w:val="24"/>
          <w:szCs w:val="24"/>
        </w:rPr>
        <w:t>包括人工成本费（管理人员、保洁清运、中转站管理人员、分拣人员等的工资福利、员工五险费（养老保险、医疗保险、失业保险、工伤保险、生育保险）、服装费等）、保洁设备费、管理费、税费、设备维修费（液压油、配件等）、垃圾清运、车辆购置运输费用等一切项目所需费用。</w:t>
      </w:r>
    </w:p>
    <w:p>
      <w:pPr>
        <w:keepNext w:val="0"/>
        <w:keepLines w:val="0"/>
        <w:pageBreakBefore w:val="0"/>
        <w:widowControl w:val="0"/>
        <w:tabs>
          <w:tab w:val="left" w:pos="77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付款方式：每月结合考核付款，按月支付，先做后付</w:t>
      </w:r>
      <w:r>
        <w:rPr>
          <w:rFonts w:hint="eastAsia" w:ascii="宋体" w:hAnsi="宋体" w:eastAsia="宋体" w:cs="宋体"/>
          <w:b w:val="0"/>
          <w:bCs/>
          <w:sz w:val="24"/>
          <w:szCs w:val="24"/>
        </w:rPr>
        <w:t>。每月考核</w:t>
      </w:r>
      <w:r>
        <w:rPr>
          <w:rFonts w:hint="eastAsia" w:ascii="宋体" w:hAnsi="宋体" w:eastAsia="宋体" w:cs="宋体"/>
          <w:b w:val="0"/>
          <w:bCs/>
          <w:sz w:val="24"/>
          <w:szCs w:val="24"/>
          <w:lang w:val="en-US" w:eastAsia="zh-CN"/>
        </w:rPr>
        <w:t>结果在95分以上的，不扣物业费，全额支付月度物业费用，</w:t>
      </w:r>
      <w:r>
        <w:rPr>
          <w:rFonts w:hint="eastAsia" w:ascii="宋体" w:hAnsi="宋体" w:eastAsia="宋体" w:cs="宋体"/>
          <w:b w:val="0"/>
          <w:bCs/>
          <w:sz w:val="24"/>
          <w:szCs w:val="24"/>
        </w:rPr>
        <w:t>考核结果在95分以下的按实际得分计算</w:t>
      </w:r>
      <w:r>
        <w:rPr>
          <w:rFonts w:hint="eastAsia" w:ascii="宋体" w:hAnsi="宋体" w:eastAsia="宋体" w:cs="宋体"/>
          <w:b w:val="0"/>
          <w:bCs/>
          <w:sz w:val="24"/>
          <w:szCs w:val="24"/>
          <w:lang w:val="en-US" w:eastAsia="zh-CN"/>
        </w:rPr>
        <w:t>月度物业费</w:t>
      </w:r>
      <w:r>
        <w:rPr>
          <w:rFonts w:hint="eastAsia" w:ascii="宋体" w:hAnsi="宋体" w:eastAsia="宋体" w:cs="宋体"/>
          <w:b w:val="0"/>
          <w:bCs/>
          <w:sz w:val="24"/>
          <w:szCs w:val="24"/>
        </w:rPr>
        <w:t>，在次月10日前支付。</w:t>
      </w:r>
    </w:p>
    <w:p>
      <w:pPr>
        <w:keepNext w:val="0"/>
        <w:keepLines w:val="0"/>
        <w:pageBreakBefore w:val="0"/>
        <w:widowControl w:val="0"/>
        <w:tabs>
          <w:tab w:val="left" w:pos="77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八</w:t>
      </w:r>
      <w:r>
        <w:rPr>
          <w:rFonts w:hint="eastAsia" w:ascii="宋体" w:hAnsi="宋体" w:eastAsia="宋体" w:cs="宋体"/>
          <w:b w:val="0"/>
          <w:bCs/>
          <w:sz w:val="24"/>
          <w:szCs w:val="24"/>
        </w:rPr>
        <w:t>：考核办法</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sz w:val="24"/>
          <w:szCs w:val="24"/>
          <w:lang w:val="en-US" w:eastAsia="zh-CN"/>
        </w:rPr>
      </w:pPr>
      <w:r>
        <w:rPr>
          <w:rFonts w:hint="eastAsia" w:ascii="宋体" w:hAnsi="宋体" w:eastAsia="宋体" w:cs="宋体"/>
          <w:b w:val="0"/>
          <w:bCs/>
          <w:color w:val="auto"/>
          <w:sz w:val="24"/>
          <w:szCs w:val="24"/>
        </w:rPr>
        <w:t>1、考核实行100分制，实行月考核和年度考核。月考核，每月检查不少于1次并拍摄问题照片、下发问题清单，要求立即完成整改，未按时整改的加倍扣减考核分，各次考核</w:t>
      </w:r>
      <w:r>
        <w:rPr>
          <w:rFonts w:hint="eastAsia" w:ascii="宋体" w:hAnsi="宋体" w:eastAsia="宋体" w:cs="宋体"/>
          <w:b w:val="0"/>
          <w:bCs/>
          <w:sz w:val="24"/>
          <w:szCs w:val="24"/>
        </w:rPr>
        <w:t>综合平均分即为月度考核得分，按月统计，按总分</w:t>
      </w:r>
      <w:r>
        <w:rPr>
          <w:rFonts w:hint="eastAsia" w:ascii="宋体" w:hAnsi="宋体" w:eastAsia="宋体" w:cs="宋体"/>
          <w:b w:val="0"/>
          <w:bCs/>
          <w:sz w:val="24"/>
          <w:szCs w:val="24"/>
          <w:lang w:val="en-US" w:eastAsia="zh-CN"/>
        </w:rPr>
        <w:t>扣款。</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2、倒扣分和附加分由考核小组将根据条款内容进行评定。</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3、月考核结果在95分（含）以上的不扣当月物业费，考核结果在95分以下的每少1分扣减500元，在80分以下的在上述基础上再扣减20000元，连续两次在80分以下的解除合同并扣除质量保证金。</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4、考核结果在95分以下的扣减金额从</w:t>
      </w:r>
      <w:r>
        <w:rPr>
          <w:rFonts w:hint="eastAsia" w:ascii="宋体" w:hAnsi="宋体" w:eastAsia="宋体" w:cs="宋体"/>
          <w:b w:val="0"/>
          <w:bCs/>
          <w:sz w:val="24"/>
          <w:szCs w:val="24"/>
          <w:lang w:val="en-US" w:eastAsia="zh-CN"/>
        </w:rPr>
        <w:t>当月物业费</w:t>
      </w:r>
      <w:r>
        <w:rPr>
          <w:rFonts w:hint="eastAsia" w:ascii="宋体" w:hAnsi="宋体" w:eastAsia="宋体" w:cs="宋体"/>
          <w:b w:val="0"/>
          <w:bCs/>
          <w:sz w:val="24"/>
          <w:szCs w:val="24"/>
        </w:rPr>
        <w:t>中扣除</w:t>
      </w:r>
      <w:r>
        <w:rPr>
          <w:rFonts w:hint="eastAsia" w:ascii="宋体" w:hAnsi="宋体" w:eastAsia="宋体" w:cs="宋体"/>
          <w:b w:val="0"/>
          <w:bCs/>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5、遇重要活动、重大节日等特殊情况，必须服从统一安排，否则视情况罚款2000-5000元。</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6、人员到岗考核，由考核小组组织相关人员对本区域保洁人员进行不定期抽查，如发现人员配备不到位的，每少一人扣10分，虽已配备但工作时间责任网格内工作人员缺岗的，每少1人扣5分。</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7、物业管理单位由于平时管理不力，造成社会不良影响，出现投诉经查属实的，可对照《考评细则》扣分，并处500元的罚款。</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8、凡区级及以上部门进行督查、验收或复验等行动，出现通报、验收不合格等情况的，可对照</w:t>
      </w:r>
      <w:r>
        <w:rPr>
          <w:rFonts w:hint="eastAsia" w:ascii="宋体" w:hAnsi="宋体" w:eastAsia="宋体" w:cs="宋体"/>
          <w:b w:val="0"/>
          <w:bCs/>
          <w:color w:val="FF0000"/>
          <w:sz w:val="24"/>
          <w:szCs w:val="24"/>
          <w:highlight w:val="yellow"/>
        </w:rPr>
        <w:t>《考评细则》</w:t>
      </w:r>
      <w:r>
        <w:rPr>
          <w:rFonts w:hint="eastAsia" w:ascii="宋体" w:hAnsi="宋体" w:eastAsia="宋体" w:cs="宋体"/>
          <w:b w:val="0"/>
          <w:bCs/>
          <w:sz w:val="24"/>
          <w:szCs w:val="24"/>
        </w:rPr>
        <w:t>扣分，并处2000元--5000元的罚款。被新闻媒体曝光的，对照《考评细则》扣分，并处2000元--5000元的罚款。</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9、物业管理单位不能按时完成某项作业要求时,甲方有权自行安排该项工作,所涉一切费用从中标方当月承包款中扣除,同时按《考评细则》扣分。</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10、对出现附加分情况的，除分数可计入当月考核分值外，业绩特别显著的，视情可另行作一次性奖励，奖励额另定。</w:t>
      </w:r>
    </w:p>
    <w:p>
      <w:pPr>
        <w:spacing w:line="520" w:lineRule="exact"/>
        <w:jc w:val="center"/>
        <w:rPr>
          <w:rFonts w:hint="eastAsia" w:ascii="宋体" w:hAnsi="Calibri"/>
          <w:b/>
          <w:bCs/>
          <w:sz w:val="28"/>
        </w:rPr>
      </w:pPr>
      <w:bookmarkStart w:id="476" w:name="_Toc451464535"/>
      <w:bookmarkStart w:id="477" w:name="_Toc454912606"/>
      <w:r>
        <w:rPr>
          <w:rFonts w:hint="eastAsia" w:ascii="宋体" w:hAnsi="Calibri"/>
          <w:b/>
          <w:bCs/>
          <w:sz w:val="28"/>
        </w:rPr>
        <w:t>考核评分细则</w:t>
      </w:r>
    </w:p>
    <w:tbl>
      <w:tblPr>
        <w:tblStyle w:val="36"/>
        <w:tblpPr w:leftFromText="180" w:rightFromText="180" w:vertAnchor="text" w:horzAnchor="page" w:tblpX="1299" w:tblpY="498"/>
        <w:tblOverlap w:val="never"/>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42"/>
        <w:gridCol w:w="2761"/>
        <w:gridCol w:w="3133"/>
        <w:gridCol w:w="92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项目</w:t>
            </w: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分值</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考核内容</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评分标准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扣分原因</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道</w:t>
            </w:r>
            <w:r>
              <w:rPr>
                <w:rFonts w:ascii="宋体" w:hAnsi="宋体" w:cs="宋体"/>
              </w:rPr>
              <w:t xml:space="preserve">    </w:t>
            </w:r>
            <w:r>
              <w:rPr>
                <w:rFonts w:hint="eastAsia" w:ascii="宋体" w:hAnsi="宋体" w:cs="宋体"/>
              </w:rPr>
              <w:t>路</w:t>
            </w:r>
            <w:r>
              <w:rPr>
                <w:rFonts w:ascii="宋体" w:hAnsi="宋体" w:cs="宋体"/>
              </w:rPr>
              <w:t xml:space="preserve">   </w:t>
            </w:r>
            <w:r>
              <w:rPr>
                <w:rFonts w:hint="eastAsia" w:ascii="宋体" w:hAnsi="宋体" w:cs="宋体"/>
              </w:rPr>
              <w:t>清</w:t>
            </w:r>
            <w:r>
              <w:rPr>
                <w:rFonts w:ascii="宋体" w:hAnsi="宋体" w:cs="宋体"/>
              </w:rPr>
              <w:t xml:space="preserve">   </w:t>
            </w:r>
            <w:r>
              <w:rPr>
                <w:rFonts w:hint="eastAsia" w:ascii="宋体" w:hAnsi="宋体" w:cs="宋体"/>
              </w:rPr>
              <w:t>扫</w:t>
            </w:r>
          </w:p>
          <w:p>
            <w:pPr>
              <w:spacing w:line="280" w:lineRule="exact"/>
              <w:jc w:val="center"/>
              <w:rPr>
                <w:rFonts w:ascii="宋体"/>
              </w:rPr>
            </w:pPr>
            <w:r>
              <w:rPr>
                <w:rFonts w:hint="eastAsia" w:ascii="宋体" w:hAnsi="宋体" w:cs="宋体"/>
              </w:rPr>
              <w:t>保</w:t>
            </w:r>
          </w:p>
          <w:p>
            <w:pPr>
              <w:spacing w:line="280" w:lineRule="exact"/>
              <w:jc w:val="center"/>
              <w:rPr>
                <w:rFonts w:ascii="宋体" w:hAnsi="宋体" w:cs="宋体"/>
              </w:rPr>
            </w:pPr>
            <w:r>
              <w:rPr>
                <w:rFonts w:hint="eastAsia" w:ascii="宋体" w:hAnsi="宋体" w:cs="宋体"/>
              </w:rPr>
              <w:t>洁</w:t>
            </w:r>
            <w:r>
              <w:rPr>
                <w:rFonts w:ascii="宋体" w:hAnsi="宋体" w:cs="宋体"/>
              </w:rPr>
              <w:t xml:space="preserve">   30</w:t>
            </w:r>
          </w:p>
          <w:p>
            <w:pPr>
              <w:spacing w:line="280" w:lineRule="exact"/>
              <w:jc w:val="center"/>
              <w:rPr>
                <w:rFonts w:ascii="宋体"/>
              </w:rPr>
            </w:pPr>
            <w:r>
              <w:rPr>
                <w:rFonts w:hint="eastAsia" w:ascii="宋体" w:hAnsi="宋体" w:cs="宋体"/>
              </w:rPr>
              <w:t>分</w:t>
            </w:r>
          </w:p>
          <w:p>
            <w:pPr>
              <w:spacing w:line="280" w:lineRule="exact"/>
              <w:jc w:val="center"/>
              <w:rPr>
                <w:rFonts w:ascii="宋体"/>
              </w:rPr>
            </w:pPr>
          </w:p>
          <w:p>
            <w:pPr>
              <w:spacing w:line="280" w:lineRule="exact"/>
              <w:jc w:val="center"/>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3</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按计划配备路段保洁人员，落实责任人，并完成清扫任务。</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保洁不到位或漏扫的每处扣</w:t>
            </w:r>
            <w:r>
              <w:rPr>
                <w:rFonts w:ascii="宋体" w:hAnsi="宋体" w:cs="宋体"/>
              </w:rPr>
              <w:t>0.1</w:t>
            </w:r>
            <w:r>
              <w:rPr>
                <w:rFonts w:hint="eastAsia" w:ascii="宋体" w:hAnsi="宋体" w:cs="宋体"/>
              </w:rPr>
              <w:t>分；在规定时间内道路未完成普扫任务的，每区域扣</w:t>
            </w:r>
            <w:r>
              <w:rPr>
                <w:rFonts w:ascii="宋体" w:hAnsi="宋体" w:cs="宋体"/>
              </w:rPr>
              <w:t>0.5</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3</w:t>
            </w:r>
          </w:p>
        </w:tc>
        <w:tc>
          <w:tcPr>
            <w:tcW w:w="276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rPr>
            </w:pPr>
            <w:r>
              <w:rPr>
                <w:rFonts w:hint="eastAsia" w:ascii="宋体" w:hAnsi="宋体" w:cs="宋体"/>
              </w:rPr>
              <w:t>上门收集分</w:t>
            </w:r>
            <w:r>
              <w:rPr>
                <w:rFonts w:hint="eastAsia" w:ascii="宋体" w:hAnsi="宋体" w:cs="宋体"/>
                <w:szCs w:val="21"/>
                <w:u w:val="single"/>
              </w:rPr>
              <w:t>拣</w:t>
            </w:r>
            <w:r>
              <w:rPr>
                <w:rFonts w:hint="eastAsia" w:ascii="宋体" w:hAnsi="宋体" w:cs="宋体"/>
              </w:rPr>
              <w:t>、垃圾箱（桶、房）内垃圾在规定时间前完成收集、清运任务，做到日产日清，周边</w:t>
            </w:r>
            <w:r>
              <w:rPr>
                <w:rFonts w:ascii="宋体" w:hAnsi="宋体" w:cs="宋体"/>
              </w:rPr>
              <w:t>2-3</w:t>
            </w:r>
            <w:r>
              <w:rPr>
                <w:rFonts w:hint="eastAsia" w:ascii="宋体" w:hAnsi="宋体" w:cs="宋体"/>
              </w:rPr>
              <w:t>米保持清洁卫生。</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规定时间内未完成垃圾分类收集、清运的每户扣</w:t>
            </w:r>
            <w:r>
              <w:rPr>
                <w:rFonts w:ascii="宋体" w:hAnsi="宋体" w:cs="宋体"/>
              </w:rPr>
              <w:t>0.5</w:t>
            </w:r>
            <w:r>
              <w:rPr>
                <w:rFonts w:hint="eastAsia" w:ascii="宋体" w:hAnsi="宋体" w:cs="宋体"/>
              </w:rPr>
              <w:t>分，规定时间内未完成清运任务的每处扣</w:t>
            </w:r>
            <w:r>
              <w:rPr>
                <w:rFonts w:ascii="宋体" w:hAnsi="宋体" w:cs="宋体"/>
              </w:rPr>
              <w:t>0.5</w:t>
            </w:r>
            <w:r>
              <w:rPr>
                <w:rFonts w:hint="eastAsia" w:ascii="宋体" w:hAnsi="宋体" w:cs="宋体"/>
              </w:rPr>
              <w:t>分；周边</w:t>
            </w:r>
            <w:r>
              <w:rPr>
                <w:rFonts w:ascii="宋体" w:hAnsi="宋体" w:cs="宋体"/>
              </w:rPr>
              <w:t>2-3</w:t>
            </w:r>
            <w:r>
              <w:rPr>
                <w:rFonts w:hint="eastAsia" w:ascii="宋体" w:hAnsi="宋体" w:cs="宋体"/>
              </w:rPr>
              <w:t>米有垃圾的每处扣</w:t>
            </w:r>
            <w:r>
              <w:rPr>
                <w:rFonts w:ascii="宋体" w:hAnsi="宋体" w:cs="宋体"/>
              </w:rPr>
              <w:t>0.5</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18</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保洁区域内无生活垃圾堆积、无卫生死角，绿化带内无垃圾。路面废弃物、尘砂不超过控制指标。</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发现一处垃圾扣</w:t>
            </w:r>
            <w:r>
              <w:rPr>
                <w:rFonts w:ascii="宋体" w:hAnsi="宋体" w:cs="宋体"/>
              </w:rPr>
              <w:t>1</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3</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清扫路段窨井、下水道口无垃圾，不堵塞。</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清扫路段窨井、下水道口有垃圾、堵塞的，每处扣</w:t>
            </w:r>
            <w:r>
              <w:rPr>
                <w:rFonts w:ascii="宋体" w:hAnsi="宋体" w:cs="宋体"/>
              </w:rPr>
              <w:t>0.5</w:t>
            </w:r>
            <w:r>
              <w:rPr>
                <w:rFonts w:hint="eastAsia" w:ascii="宋体" w:hAnsi="宋体" w:cs="宋体"/>
              </w:rPr>
              <w:t>分。发现清扫人员往窨井、下水道口扫垃圾得，每发现一次扣</w:t>
            </w:r>
            <w:r>
              <w:rPr>
                <w:rFonts w:ascii="宋体" w:hAnsi="宋体" w:cs="宋体"/>
              </w:rPr>
              <w:t>1</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3</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无向明沟、绿化带和花坛扫倒杂物和焚烧杂物。</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有向明沟、绿化带和花坛扫倒、焚烧杂物的每处扣</w:t>
            </w:r>
            <w:r>
              <w:rPr>
                <w:rFonts w:ascii="宋体" w:hAnsi="宋体" w:cs="宋体"/>
              </w:rPr>
              <w:t>0.5</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村</w:t>
            </w:r>
          </w:p>
          <w:p>
            <w:pPr>
              <w:spacing w:line="280" w:lineRule="exact"/>
              <w:jc w:val="center"/>
              <w:rPr>
                <w:rFonts w:hint="eastAsia" w:ascii="宋体" w:hAnsi="宋体" w:cs="宋体"/>
              </w:rPr>
            </w:pPr>
            <w:r>
              <w:rPr>
                <w:rFonts w:hint="eastAsia" w:ascii="宋体" w:hAnsi="宋体" w:cs="宋体"/>
              </w:rPr>
              <w:t>垃</w:t>
            </w:r>
            <w:r>
              <w:rPr>
                <w:rFonts w:ascii="宋体" w:hAnsi="宋体" w:cs="宋体"/>
              </w:rPr>
              <w:t xml:space="preserve"> </w:t>
            </w:r>
            <w:r>
              <w:rPr>
                <w:rFonts w:hint="eastAsia" w:ascii="宋体" w:hAnsi="宋体" w:cs="宋体"/>
              </w:rPr>
              <w:t>圾</w:t>
            </w:r>
          </w:p>
          <w:p>
            <w:pPr>
              <w:spacing w:line="280" w:lineRule="exact"/>
              <w:jc w:val="center"/>
              <w:rPr>
                <w:rFonts w:hint="eastAsia" w:ascii="宋体" w:hAnsi="宋体" w:cs="宋体"/>
              </w:rPr>
            </w:pPr>
            <w:r>
              <w:rPr>
                <w:rFonts w:hint="eastAsia" w:ascii="宋体" w:hAnsi="宋体" w:cs="宋体"/>
              </w:rPr>
              <w:t>分</w:t>
            </w:r>
          </w:p>
          <w:p>
            <w:pPr>
              <w:spacing w:line="280" w:lineRule="exact"/>
              <w:jc w:val="center"/>
              <w:rPr>
                <w:rFonts w:hint="eastAsia" w:ascii="宋体" w:hAnsi="宋体" w:cs="宋体"/>
              </w:rPr>
            </w:pPr>
            <w:r>
              <w:rPr>
                <w:rFonts w:hint="eastAsia" w:ascii="宋体" w:hAnsi="宋体" w:cs="宋体"/>
              </w:rPr>
              <w:t>类</w:t>
            </w:r>
          </w:p>
          <w:p>
            <w:pPr>
              <w:spacing w:line="280" w:lineRule="exact"/>
              <w:jc w:val="center"/>
              <w:rPr>
                <w:rFonts w:ascii="宋体"/>
              </w:rPr>
            </w:pPr>
            <w:r>
              <w:rPr>
                <w:rFonts w:hint="eastAsia" w:ascii="宋体" w:hAnsi="宋体" w:cs="宋体"/>
              </w:rPr>
              <w:t>收</w:t>
            </w:r>
            <w:r>
              <w:rPr>
                <w:rFonts w:ascii="宋体" w:hAnsi="宋体" w:cs="宋体"/>
              </w:rPr>
              <w:t xml:space="preserve"> </w:t>
            </w:r>
            <w:r>
              <w:rPr>
                <w:rFonts w:hint="eastAsia" w:ascii="宋体" w:hAnsi="宋体" w:cs="宋体"/>
              </w:rPr>
              <w:t>集</w:t>
            </w:r>
            <w:r>
              <w:rPr>
                <w:rFonts w:ascii="宋体" w:hAnsi="宋体" w:cs="宋体"/>
              </w:rPr>
              <w:t xml:space="preserve"> </w:t>
            </w:r>
            <w:r>
              <w:rPr>
                <w:rFonts w:hint="eastAsia" w:ascii="宋体" w:hAnsi="宋体" w:cs="宋体"/>
              </w:rPr>
              <w:t>和</w:t>
            </w:r>
            <w:r>
              <w:rPr>
                <w:rFonts w:ascii="宋体" w:hAnsi="宋体" w:cs="宋体"/>
              </w:rPr>
              <w:t xml:space="preserve"> </w:t>
            </w:r>
            <w:r>
              <w:rPr>
                <w:rFonts w:hint="eastAsia" w:ascii="宋体" w:hAnsi="宋体" w:cs="宋体"/>
              </w:rPr>
              <w:t>运</w:t>
            </w:r>
            <w:r>
              <w:rPr>
                <w:rFonts w:ascii="宋体" w:hAnsi="宋体" w:cs="宋体"/>
              </w:rPr>
              <w:t xml:space="preserve"> </w:t>
            </w:r>
            <w:r>
              <w:rPr>
                <w:rFonts w:hint="eastAsia" w:ascii="宋体" w:hAnsi="宋体" w:cs="宋体"/>
              </w:rPr>
              <w:t>输</w:t>
            </w:r>
            <w:r>
              <w:rPr>
                <w:rFonts w:ascii="宋体" w:hAnsi="宋体" w:cs="宋体"/>
              </w:rPr>
              <w:t xml:space="preserve"> 20 </w:t>
            </w:r>
            <w:r>
              <w:rPr>
                <w:rFonts w:hint="eastAsia" w:ascii="宋体" w:hAnsi="宋体" w:cs="宋体"/>
              </w:rPr>
              <w:t>分</w:t>
            </w: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落实专职巡查、保洁、分</w:t>
            </w:r>
            <w:r>
              <w:rPr>
                <w:rFonts w:hint="eastAsia" w:ascii="宋体" w:hAnsi="宋体" w:cs="宋体"/>
                <w:szCs w:val="21"/>
                <w:u w:val="single"/>
              </w:rPr>
              <w:t>拣等</w:t>
            </w:r>
            <w:r>
              <w:rPr>
                <w:rFonts w:hint="eastAsia" w:ascii="宋体" w:hAnsi="宋体" w:cs="宋体"/>
              </w:rPr>
              <w:t>人员。</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未落实或少一人的不得分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8</w:t>
            </w:r>
          </w:p>
        </w:tc>
        <w:tc>
          <w:tcPr>
            <w:tcW w:w="276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rPr>
            </w:pPr>
            <w:r>
              <w:rPr>
                <w:rFonts w:hint="eastAsia" w:ascii="宋体" w:hAnsi="宋体" w:cs="宋体"/>
              </w:rPr>
              <w:t>上门收集分</w:t>
            </w:r>
            <w:r>
              <w:rPr>
                <w:rFonts w:hint="eastAsia" w:ascii="宋体" w:hAnsi="宋体" w:cs="宋体"/>
                <w:szCs w:val="21"/>
              </w:rPr>
              <w:t>拣</w:t>
            </w:r>
            <w:r>
              <w:rPr>
                <w:rFonts w:hint="eastAsia" w:ascii="宋体" w:hAnsi="宋体" w:cs="宋体"/>
              </w:rPr>
              <w:t>、垃圾箱（桶、房）、中转站内垃圾在规定时间前完成收集、清运任务，做到日产日清，周边</w:t>
            </w:r>
            <w:r>
              <w:rPr>
                <w:rFonts w:ascii="宋体" w:hAnsi="宋体" w:cs="宋体"/>
              </w:rPr>
              <w:t>2-3</w:t>
            </w:r>
            <w:r>
              <w:rPr>
                <w:rFonts w:hint="eastAsia" w:ascii="宋体" w:hAnsi="宋体" w:cs="宋体"/>
              </w:rPr>
              <w:t>米保持清洁卫生。</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规定时间内未完成垃圾分类收集、清运的每户扣</w:t>
            </w:r>
            <w:r>
              <w:rPr>
                <w:rFonts w:ascii="宋体" w:hAnsi="宋体" w:cs="宋体"/>
              </w:rPr>
              <w:t>0.5</w:t>
            </w:r>
            <w:r>
              <w:rPr>
                <w:rFonts w:hint="eastAsia" w:ascii="宋体" w:hAnsi="宋体" w:cs="宋体"/>
              </w:rPr>
              <w:t>分，规定时间内未完成清运任务的每处扣</w:t>
            </w:r>
            <w:r>
              <w:rPr>
                <w:rFonts w:ascii="宋体" w:hAnsi="宋体" w:cs="宋体"/>
              </w:rPr>
              <w:t>0.5</w:t>
            </w:r>
            <w:r>
              <w:rPr>
                <w:rFonts w:hint="eastAsia" w:ascii="宋体" w:hAnsi="宋体" w:cs="宋体"/>
              </w:rPr>
              <w:t>分；周边</w:t>
            </w:r>
            <w:r>
              <w:rPr>
                <w:rFonts w:ascii="宋体" w:hAnsi="宋体" w:cs="宋体"/>
              </w:rPr>
              <w:t>2-3</w:t>
            </w:r>
            <w:r>
              <w:rPr>
                <w:rFonts w:hint="eastAsia" w:ascii="宋体" w:hAnsi="宋体" w:cs="宋体"/>
              </w:rPr>
              <w:t>米有垃圾的每处扣</w:t>
            </w:r>
            <w:r>
              <w:rPr>
                <w:rFonts w:ascii="宋体" w:hAnsi="宋体" w:cs="宋体"/>
              </w:rPr>
              <w:t>0.5</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76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rPr>
            </w:pPr>
            <w:r>
              <w:rPr>
                <w:rFonts w:hint="eastAsia" w:ascii="宋体" w:hAnsi="宋体" w:cs="宋体"/>
              </w:rPr>
              <w:t>垃圾箱（桶、房）摆放整齐，破损及时报修，保证垃圾箱的洁净。</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垃圾箱</w:t>
            </w:r>
            <w:r>
              <w:rPr>
                <w:rFonts w:ascii="宋体" w:hAnsi="宋体" w:cs="宋体"/>
              </w:rPr>
              <w:t>(</w:t>
            </w:r>
            <w:r>
              <w:rPr>
                <w:rFonts w:hint="eastAsia" w:ascii="宋体" w:hAnsi="宋体" w:cs="宋体"/>
              </w:rPr>
              <w:t>桶、房</w:t>
            </w:r>
            <w:r>
              <w:rPr>
                <w:rFonts w:ascii="宋体" w:hAnsi="宋体" w:cs="宋体"/>
              </w:rPr>
              <w:t>)</w:t>
            </w:r>
            <w:r>
              <w:rPr>
                <w:rFonts w:hint="eastAsia" w:ascii="宋体" w:hAnsi="宋体" w:cs="宋体"/>
              </w:rPr>
              <w:t>摆放不整齐、有破损未及时报修的，每处扣</w:t>
            </w:r>
            <w:r>
              <w:rPr>
                <w:rFonts w:ascii="宋体" w:hAnsi="宋体" w:cs="宋体"/>
              </w:rPr>
              <w:t>0.1</w:t>
            </w:r>
            <w:r>
              <w:rPr>
                <w:rFonts w:hint="eastAsia" w:ascii="宋体" w:hAnsi="宋体" w:cs="宋体"/>
              </w:rPr>
              <w:t>分。垃圾箱不洁净每只扣</w:t>
            </w:r>
            <w:r>
              <w:rPr>
                <w:rFonts w:ascii="宋体" w:hAnsi="宋体" w:cs="宋体"/>
              </w:rPr>
              <w:t>0.2</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76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rPr>
            </w:pPr>
            <w:r>
              <w:rPr>
                <w:rFonts w:hint="eastAsia" w:ascii="宋体" w:hAnsi="宋体" w:cs="宋体"/>
              </w:rPr>
              <w:t>垃圾须收集干净，做到规范装载，在运输过程中应戴有网罩，无垃圾物在半途中有抛、洒、漏现象出现。</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发现一次扣</w:t>
            </w:r>
            <w:r>
              <w:rPr>
                <w:rFonts w:ascii="宋体" w:hAnsi="宋体" w:cs="宋体"/>
              </w:rPr>
              <w:t>1</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垃圾箱（房、点、站）内不得出现焚烧现象</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发现一处扣</w:t>
            </w:r>
            <w:r>
              <w:rPr>
                <w:rFonts w:ascii="宋体" w:hAnsi="宋体" w:cs="宋体"/>
              </w:rPr>
              <w:t>1</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垃圾收集清运设施整洁无破损，运输车辆车容车貌整洁。</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发现一次扣</w:t>
            </w:r>
            <w:r>
              <w:rPr>
                <w:rFonts w:ascii="宋体" w:hAnsi="宋体" w:cs="宋体"/>
              </w:rPr>
              <w:t>0.5</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垃圾箱（桶、房）做到定期消杀，基本无蝇无臭。</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未按规定消杀的，发现一次扣</w:t>
            </w:r>
            <w:r>
              <w:rPr>
                <w:rFonts w:ascii="宋体" w:hAnsi="宋体" w:cs="宋体"/>
              </w:rPr>
              <w:t>0.5</w:t>
            </w:r>
            <w:r>
              <w:rPr>
                <w:rFonts w:hint="eastAsia" w:ascii="宋体" w:hAnsi="宋体" w:cs="宋体"/>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bookmarkEnd w:id="476"/>
      <w:bookmarkEnd w:id="477"/>
    </w:tbl>
    <w:tbl>
      <w:tblPr>
        <w:tblStyle w:val="36"/>
        <w:tblpPr w:leftFromText="180" w:rightFromText="180" w:vertAnchor="text" w:horzAnchor="page" w:tblpX="1359" w:tblpY="446"/>
        <w:tblOverlap w:val="never"/>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47"/>
        <w:gridCol w:w="2563"/>
        <w:gridCol w:w="2374"/>
        <w:gridCol w:w="126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项目</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分值</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考核内容</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评分标准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扣分原因</w:t>
            </w: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rPr>
            </w:pPr>
            <w:r>
              <w:rPr>
                <w:rFonts w:hint="eastAsia" w:ascii="宋体" w:hAnsi="宋体" w:cs="宋体"/>
              </w:rPr>
              <w:t>公</w:t>
            </w:r>
            <w:r>
              <w:rPr>
                <w:rFonts w:ascii="宋体" w:hAnsi="宋体" w:cs="宋体"/>
              </w:rPr>
              <w:t xml:space="preserve">  </w:t>
            </w:r>
            <w:r>
              <w:rPr>
                <w:rFonts w:hint="eastAsia" w:ascii="宋体" w:hAnsi="宋体" w:cs="宋体"/>
              </w:rPr>
              <w:t>厕</w:t>
            </w:r>
            <w:r>
              <w:rPr>
                <w:rFonts w:ascii="宋体" w:hAnsi="宋体" w:cs="宋体"/>
              </w:rPr>
              <w:t xml:space="preserve">  </w:t>
            </w:r>
            <w:r>
              <w:rPr>
                <w:rFonts w:hint="eastAsia" w:ascii="宋体" w:hAnsi="宋体" w:cs="宋体"/>
              </w:rPr>
              <w:t>保</w:t>
            </w:r>
            <w:r>
              <w:rPr>
                <w:rFonts w:ascii="宋体" w:hAnsi="宋体" w:cs="宋体"/>
              </w:rPr>
              <w:t xml:space="preserve">  </w:t>
            </w:r>
            <w:r>
              <w:rPr>
                <w:rFonts w:hint="eastAsia" w:ascii="宋体" w:hAnsi="宋体" w:cs="宋体"/>
              </w:rPr>
              <w:t>洁</w:t>
            </w:r>
            <w:r>
              <w:rPr>
                <w:rFonts w:ascii="宋体" w:hAnsi="宋体" w:cs="宋体"/>
              </w:rPr>
              <w:t xml:space="preserve">   9   </w:t>
            </w:r>
            <w:r>
              <w:rPr>
                <w:rFonts w:hint="eastAsia" w:ascii="宋体" w:hAnsi="宋体" w:cs="宋体"/>
              </w:rPr>
              <w:t>分</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2.5</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公厕必须每天清扫，及时取粪，人工取粪做到途中不撒漏，不得乱倒。贮粪池粪便转运及时，无外溢。</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发现一次扣</w:t>
            </w:r>
            <w:r>
              <w:rPr>
                <w:rFonts w:ascii="宋体" w:hAnsi="宋体" w:cs="宋体"/>
              </w:rPr>
              <w:t>0.5</w:t>
            </w:r>
            <w:r>
              <w:rPr>
                <w:rFonts w:hint="eastAsia" w:ascii="宋体" w:hAnsi="宋体" w:cs="宋体"/>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2.5</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厕内无明显蜘蛛网，墙、窗处明净，倒粪口、出粪处保持清洁，周围无杂草、垃圾。公厕定期消杀，周围</w:t>
            </w:r>
            <w:r>
              <w:rPr>
                <w:rFonts w:ascii="宋体" w:hAnsi="宋体" w:cs="宋体"/>
              </w:rPr>
              <w:t>2</w:t>
            </w:r>
            <w:r>
              <w:rPr>
                <w:rFonts w:hint="eastAsia" w:ascii="宋体" w:hAnsi="宋体" w:cs="宋体"/>
              </w:rPr>
              <w:t>米范围内卫生整洁，无乱堆杂物。</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每发现一处扣</w:t>
            </w:r>
            <w:r>
              <w:rPr>
                <w:rFonts w:ascii="宋体" w:hAnsi="宋体" w:cs="宋体"/>
              </w:rPr>
              <w:t>0.5</w:t>
            </w:r>
            <w:r>
              <w:rPr>
                <w:rFonts w:hint="eastAsia" w:ascii="宋体" w:hAnsi="宋体" w:cs="宋体"/>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便池畅通，蹲位无粪便、污物，槽内无积粪，无尿垢、水锈。</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每发现一处扣</w:t>
            </w:r>
            <w:r>
              <w:rPr>
                <w:rFonts w:ascii="宋体" w:hAnsi="宋体" w:cs="宋体"/>
              </w:rPr>
              <w:t>0.2</w:t>
            </w:r>
            <w:r>
              <w:rPr>
                <w:rFonts w:hint="eastAsia" w:ascii="宋体" w:hAnsi="宋体" w:cs="宋体"/>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粪便运输车辆整洁，运输过程中无滴漏、满溢现象。</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运输车况不好的每车次扣</w:t>
            </w:r>
            <w:r>
              <w:rPr>
                <w:rFonts w:ascii="宋体" w:hAnsi="宋体" w:cs="宋体"/>
              </w:rPr>
              <w:t>0.1</w:t>
            </w:r>
            <w:r>
              <w:rPr>
                <w:rFonts w:hint="eastAsia" w:ascii="宋体" w:hAnsi="宋体" w:cs="宋体"/>
              </w:rPr>
              <w:t>分。粪便运输过程中封闭不严，造成滴漏洒落的，每车次扣</w:t>
            </w:r>
            <w:r>
              <w:rPr>
                <w:rFonts w:ascii="宋体" w:hAnsi="宋体" w:cs="宋体"/>
              </w:rPr>
              <w:t>0.2</w:t>
            </w:r>
            <w:r>
              <w:rPr>
                <w:rFonts w:hint="eastAsia" w:ascii="宋体" w:hAnsi="宋体" w:cs="宋体"/>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rPr>
            </w:pPr>
            <w:r>
              <w:rPr>
                <w:rFonts w:hint="eastAsia" w:ascii="宋体" w:hAnsi="宋体" w:cs="宋体"/>
              </w:rPr>
              <w:t>牛皮癣清理</w:t>
            </w:r>
            <w:r>
              <w:rPr>
                <w:rFonts w:ascii="宋体" w:hAnsi="宋体" w:cs="宋体"/>
              </w:rPr>
              <w:t>4</w:t>
            </w:r>
            <w:r>
              <w:rPr>
                <w:rFonts w:hint="eastAsia" w:ascii="宋体" w:hAnsi="宋体" w:cs="宋体"/>
              </w:rPr>
              <w:t>分</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kern w:val="0"/>
              </w:rPr>
              <w:t>张贴类广告标准。</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kern w:val="0"/>
              </w:rPr>
              <w:t>发现一处扣</w:t>
            </w:r>
            <w:r>
              <w:rPr>
                <w:rFonts w:ascii="宋体" w:hAnsi="宋体" w:cs="宋体"/>
                <w:kern w:val="0"/>
              </w:rPr>
              <w:t>0.2</w:t>
            </w:r>
            <w:r>
              <w:rPr>
                <w:rFonts w:hint="eastAsia" w:ascii="宋体" w:hAnsi="宋体" w:cs="宋体"/>
                <w:kern w:val="0"/>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kern w:val="0"/>
              </w:rPr>
              <w:t>喷涂类广告标准。</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kern w:val="0"/>
              </w:rPr>
              <w:t>发现一处扣</w:t>
            </w:r>
            <w:r>
              <w:rPr>
                <w:rFonts w:ascii="宋体" w:hAnsi="宋体" w:cs="宋体"/>
                <w:kern w:val="0"/>
              </w:rPr>
              <w:t>0.2</w:t>
            </w:r>
            <w:r>
              <w:rPr>
                <w:rFonts w:hint="eastAsia" w:ascii="宋体" w:hAnsi="宋体" w:cs="宋体"/>
                <w:kern w:val="0"/>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rPr>
            </w:pPr>
            <w:r>
              <w:rPr>
                <w:rFonts w:hint="eastAsia" w:ascii="宋体" w:hAnsi="宋体" w:cs="宋体"/>
              </w:rPr>
              <w:t>绿化带清理</w:t>
            </w:r>
            <w:r>
              <w:rPr>
                <w:rFonts w:ascii="宋体" w:hAnsi="宋体" w:cs="宋体"/>
              </w:rPr>
              <w:t xml:space="preserve"> 6  </w:t>
            </w:r>
            <w:r>
              <w:rPr>
                <w:rFonts w:hint="eastAsia" w:ascii="宋体" w:hAnsi="宋体" w:cs="宋体"/>
              </w:rPr>
              <w:t>分</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6</w:t>
            </w:r>
          </w:p>
          <w:p>
            <w:pPr>
              <w:spacing w:line="280" w:lineRule="exact"/>
              <w:jc w:val="center"/>
              <w:rPr>
                <w:rFonts w:ascii="宋体" w:hAnsi="宋体" w:cs="宋体"/>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rPr>
            </w:pPr>
            <w:r>
              <w:rPr>
                <w:rFonts w:hint="eastAsia" w:ascii="宋体" w:hAnsi="宋体" w:cs="宋体"/>
              </w:rPr>
              <w:t>绿化带内垃圾清理、杂草清理</w:t>
            </w:r>
            <w:r>
              <w:rPr>
                <w:rFonts w:hint="eastAsia" w:ascii="宋体"/>
              </w:rPr>
              <w:t>。</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不按规定（雨天除外）或作业不到位的，每次扣</w:t>
            </w:r>
            <w:r>
              <w:rPr>
                <w:rFonts w:ascii="宋体" w:hAnsi="宋体" w:cs="宋体"/>
              </w:rPr>
              <w:t>0.5</w:t>
            </w:r>
            <w:r>
              <w:rPr>
                <w:rFonts w:hint="eastAsia" w:ascii="宋体" w:hAnsi="宋体" w:cs="宋体"/>
              </w:rPr>
              <w:t>分。</w:t>
            </w:r>
          </w:p>
          <w:p>
            <w:pPr>
              <w:spacing w:line="280" w:lineRule="exact"/>
              <w:rPr>
                <w:rFonts w:asci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rPr>
            </w:pPr>
            <w:r>
              <w:rPr>
                <w:rFonts w:hint="eastAsia" w:ascii="宋体" w:hAnsi="宋体" w:cs="宋体"/>
              </w:rPr>
              <w:t>建筑垃圾清理</w:t>
            </w:r>
            <w:r>
              <w:rPr>
                <w:rFonts w:ascii="宋体" w:hAnsi="宋体" w:cs="宋体"/>
              </w:rPr>
              <w:t>7</w:t>
            </w:r>
            <w:r>
              <w:rPr>
                <w:rFonts w:hint="eastAsia" w:ascii="宋体" w:hAnsi="宋体" w:cs="宋体"/>
              </w:rPr>
              <w:t>分</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7</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建筑垃圾清理及时。</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kern w:val="0"/>
              </w:rPr>
            </w:pPr>
            <w:r>
              <w:rPr>
                <w:rFonts w:hint="eastAsia" w:ascii="宋体" w:hAnsi="宋体" w:cs="宋体"/>
                <w:kern w:val="0"/>
              </w:rPr>
              <w:t>未及时清理每发现一处扣</w:t>
            </w:r>
            <w:r>
              <w:rPr>
                <w:rFonts w:ascii="宋体" w:hAnsi="宋体" w:cs="宋体"/>
                <w:kern w:val="0"/>
              </w:rPr>
              <w:t>1</w:t>
            </w:r>
            <w:r>
              <w:rPr>
                <w:rFonts w:hint="eastAsia" w:ascii="宋体" w:hAnsi="宋体" w:cs="宋体"/>
                <w:kern w:val="0"/>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rPr>
            </w:pPr>
            <w:r>
              <w:rPr>
                <w:rFonts w:hint="eastAsia" w:ascii="宋体" w:hAnsi="宋体" w:cs="宋体"/>
              </w:rPr>
              <w:t>监</w:t>
            </w:r>
            <w:r>
              <w:rPr>
                <w:rFonts w:ascii="宋体" w:hAnsi="宋体" w:cs="宋体"/>
              </w:rPr>
              <w:t xml:space="preserve">  </w:t>
            </w:r>
            <w:r>
              <w:rPr>
                <w:rFonts w:hint="eastAsia" w:ascii="宋体" w:hAnsi="宋体" w:cs="宋体"/>
              </w:rPr>
              <w:t>督</w:t>
            </w:r>
            <w:r>
              <w:rPr>
                <w:rFonts w:ascii="宋体" w:hAnsi="宋体" w:cs="宋体"/>
              </w:rPr>
              <w:t xml:space="preserve">  </w:t>
            </w:r>
            <w:r>
              <w:rPr>
                <w:rFonts w:hint="eastAsia" w:ascii="宋体" w:hAnsi="宋体" w:cs="宋体"/>
              </w:rPr>
              <w:t>投</w:t>
            </w:r>
            <w:r>
              <w:rPr>
                <w:rFonts w:ascii="宋体" w:hAnsi="宋体" w:cs="宋体"/>
              </w:rPr>
              <w:t xml:space="preserve">  </w:t>
            </w:r>
            <w:r>
              <w:rPr>
                <w:rFonts w:hint="eastAsia" w:ascii="宋体" w:hAnsi="宋体" w:cs="宋体"/>
              </w:rPr>
              <w:t>诉</w:t>
            </w:r>
            <w:r>
              <w:rPr>
                <w:rFonts w:ascii="宋体" w:hAnsi="宋体" w:cs="宋体"/>
              </w:rPr>
              <w:t xml:space="preserve">  4</w:t>
            </w:r>
            <w:r>
              <w:rPr>
                <w:rFonts w:hint="eastAsia" w:ascii="宋体" w:hAnsi="宋体" w:cs="宋体"/>
              </w:rPr>
              <w:t>分</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在区级部门及以上组织卫生检查中扣分引起影响有关评优、创建工作的。受到上级部门批评（包括媒体曝光）的。</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每次扣</w:t>
            </w:r>
            <w:r>
              <w:rPr>
                <w:rFonts w:ascii="宋体" w:hAnsi="宋体" w:cs="宋体"/>
              </w:rPr>
              <w:t>2</w:t>
            </w:r>
            <w:r>
              <w:rPr>
                <w:rFonts w:hint="eastAsia" w:ascii="宋体" w:hAnsi="宋体" w:cs="宋体"/>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保洁地段不按时完成任务，导致群众信访、上访的。</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每件次视情扣</w:t>
            </w:r>
            <w:r>
              <w:rPr>
                <w:rFonts w:ascii="宋体" w:hAnsi="宋体" w:cs="宋体"/>
              </w:rPr>
              <w:t>1</w:t>
            </w:r>
            <w:r>
              <w:rPr>
                <w:rFonts w:hint="eastAsia" w:ascii="宋体" w:hAnsi="宋体" w:cs="宋体"/>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r>
              <w:rPr>
                <w:rFonts w:hint="eastAsia" w:ascii="宋体" w:hAnsi="宋体" w:cs="宋体"/>
              </w:rPr>
              <w:t>河道池塘保洁</w:t>
            </w:r>
            <w:r>
              <w:rPr>
                <w:rFonts w:ascii="宋体" w:hAnsi="宋体" w:cs="宋体"/>
              </w:rPr>
              <w:t>20</w:t>
            </w:r>
            <w:r>
              <w:rPr>
                <w:rFonts w:hint="eastAsia" w:ascii="宋体" w:hAnsi="宋体" w:cs="宋体"/>
              </w:rPr>
              <w:t>分</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5</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kern w:val="0"/>
                <w:szCs w:val="21"/>
              </w:rPr>
              <w:t>河、塘岸</w:t>
            </w:r>
            <w:r>
              <w:rPr>
                <w:rFonts w:hint="eastAsia" w:ascii="宋体" w:hAnsi="宋体"/>
                <w:szCs w:val="21"/>
              </w:rPr>
              <w:t>有垃圾、堆积物等</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发现一处扣</w:t>
            </w:r>
            <w:r>
              <w:rPr>
                <w:rFonts w:ascii="宋体" w:hAnsi="宋体" w:cs="宋体"/>
              </w:rPr>
              <w:t>1</w:t>
            </w:r>
            <w:r>
              <w:rPr>
                <w:rFonts w:hint="eastAsia" w:ascii="宋体" w:hAnsi="宋体" w:cs="宋体"/>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6</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kern w:val="0"/>
                <w:szCs w:val="21"/>
              </w:rPr>
              <w:t>河、</w:t>
            </w:r>
            <w:r>
              <w:rPr>
                <w:rFonts w:hint="eastAsia" w:ascii="宋体" w:hAnsi="宋体" w:cs="宋体"/>
                <w:kern w:val="0"/>
                <w:szCs w:val="21"/>
              </w:rPr>
              <w:t>塘</w:t>
            </w:r>
            <w:r>
              <w:rPr>
                <w:rFonts w:hint="eastAsia" w:ascii="宋体" w:hAnsi="宋体"/>
                <w:kern w:val="0"/>
                <w:szCs w:val="21"/>
              </w:rPr>
              <w:t>面、河底有成块</w:t>
            </w:r>
            <w:r>
              <w:rPr>
                <w:rFonts w:hint="eastAsia" w:ascii="宋体" w:hAnsi="宋体" w:cs="宋体"/>
              </w:rPr>
              <w:t>杂草（大于</w:t>
            </w:r>
            <w:r>
              <w:rPr>
                <w:rFonts w:ascii="宋体" w:hAnsi="宋体" w:cs="宋体"/>
              </w:rPr>
              <w:t>1</w:t>
            </w:r>
            <w:r>
              <w:rPr>
                <w:rFonts w:hint="eastAsia" w:ascii="宋体" w:hAnsi="宋体" w:cs="宋体"/>
              </w:rPr>
              <w:t>平方）、漂浮物等垃圾。</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发现一处扣</w:t>
            </w:r>
            <w:r>
              <w:rPr>
                <w:rFonts w:ascii="宋体" w:hAnsi="宋体" w:cs="宋体"/>
              </w:rPr>
              <w:t>1</w:t>
            </w:r>
            <w:r>
              <w:rPr>
                <w:rFonts w:hint="eastAsia" w:ascii="宋体" w:hAnsi="宋体" w:cs="宋体"/>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rPr>
            </w:pP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9</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szCs w:val="21"/>
              </w:rPr>
              <w:t>河、</w:t>
            </w:r>
            <w:r>
              <w:rPr>
                <w:rFonts w:hint="eastAsia" w:ascii="宋体" w:hAnsi="宋体" w:cs="宋体"/>
                <w:kern w:val="0"/>
                <w:szCs w:val="21"/>
              </w:rPr>
              <w:t>塘</w:t>
            </w:r>
            <w:r>
              <w:rPr>
                <w:rFonts w:hint="eastAsia" w:ascii="宋体" w:hAnsi="宋体"/>
                <w:szCs w:val="21"/>
              </w:rPr>
              <w:t>内有障碍物（如</w:t>
            </w:r>
            <w:r>
              <w:rPr>
                <w:rFonts w:hint="eastAsia" w:ascii="宋体" w:hAnsi="宋体" w:cs="宋体"/>
                <w:kern w:val="0"/>
                <w:szCs w:val="21"/>
              </w:rPr>
              <w:t>鱼箔、竹桩、木桩等）</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r>
              <w:rPr>
                <w:rFonts w:hint="eastAsia" w:ascii="宋体" w:hAnsi="宋体" w:cs="宋体"/>
              </w:rPr>
              <w:t>发现一处扣</w:t>
            </w:r>
            <w:r>
              <w:rPr>
                <w:rFonts w:ascii="宋体" w:hAnsi="宋体" w:cs="宋体"/>
              </w:rPr>
              <w:t>1</w:t>
            </w:r>
            <w:r>
              <w:rPr>
                <w:rFonts w:hint="eastAsia" w:ascii="宋体" w:hAnsi="宋体" w:cs="宋体"/>
              </w:rPr>
              <w:t>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rPr>
            </w:pPr>
          </w:p>
        </w:tc>
      </w:tr>
    </w:tbl>
    <w:p>
      <w:pPr>
        <w:autoSpaceDE w:val="0"/>
        <w:autoSpaceDN w:val="0"/>
        <w:adjustRightInd w:val="0"/>
        <w:snapToGrid w:val="0"/>
        <w:spacing w:line="360" w:lineRule="auto"/>
        <w:jc w:val="left"/>
        <w:rPr>
          <w:rFonts w:hint="eastAsia" w:ascii="宋体" w:hAnsi="宋体"/>
          <w:b/>
          <w:sz w:val="24"/>
        </w:rPr>
      </w:pPr>
    </w:p>
    <w:p>
      <w:pPr>
        <w:autoSpaceDE w:val="0"/>
        <w:autoSpaceDN w:val="0"/>
        <w:adjustRightInd w:val="0"/>
        <w:snapToGrid w:val="0"/>
        <w:spacing w:line="360" w:lineRule="auto"/>
        <w:jc w:val="left"/>
        <w:rPr>
          <w:rFonts w:hint="eastAsia" w:ascii="宋体" w:hAnsi="宋体"/>
          <w:sz w:val="24"/>
        </w:rPr>
      </w:pPr>
      <w:r>
        <w:rPr>
          <w:rFonts w:hint="eastAsia" w:ascii="宋体" w:hAnsi="宋体"/>
          <w:sz w:val="24"/>
        </w:rPr>
        <w:t>注：此考核细则仅作为参考，具体细则以采购人出具的为准。</w:t>
      </w:r>
    </w:p>
    <w:p>
      <w:pPr>
        <w:autoSpaceDE w:val="0"/>
        <w:autoSpaceDN w:val="0"/>
        <w:adjustRightInd w:val="0"/>
        <w:snapToGrid w:val="0"/>
        <w:spacing w:line="360" w:lineRule="auto"/>
        <w:jc w:val="left"/>
        <w:rPr>
          <w:rFonts w:hint="eastAsia" w:ascii="宋体" w:hAnsi="宋体"/>
          <w:b/>
          <w:sz w:val="24"/>
        </w:rPr>
      </w:pPr>
      <w:r>
        <w:rPr>
          <w:rFonts w:hint="eastAsia" w:ascii="宋体" w:hAnsi="宋体"/>
          <w:sz w:val="24"/>
        </w:rPr>
        <w:t>考核组人员签名：</w:t>
      </w:r>
      <w:r>
        <w:rPr>
          <w:rFonts w:hint="eastAsia" w:ascii="宋体" w:hAnsi="宋体"/>
          <w:sz w:val="24"/>
          <w:u w:val="single"/>
        </w:rPr>
        <w:t xml:space="preserve">                       </w:t>
      </w:r>
      <w:r>
        <w:rPr>
          <w:rFonts w:hint="eastAsia" w:ascii="宋体" w:hAnsi="宋体"/>
          <w:sz w:val="24"/>
        </w:rPr>
        <w:t xml:space="preserve">              考核日期：</w:t>
      </w:r>
    </w:p>
    <w:p>
      <w:pPr>
        <w:pStyle w:val="2"/>
        <w:spacing w:after="0" w:line="360" w:lineRule="auto"/>
        <w:ind w:left="0" w:leftChars="0" w:firstLine="482" w:firstLineChars="200"/>
        <w:rPr>
          <w:rFonts w:hint="eastAsia" w:ascii="宋体" w:hAnsi="宋体"/>
          <w:b/>
          <w:bCs/>
          <w:kern w:val="0"/>
          <w:sz w:val="24"/>
          <w:lang w:val="en-US" w:eastAsia="zh-CN"/>
        </w:rPr>
      </w:pPr>
    </w:p>
    <w:p>
      <w:pPr>
        <w:pStyle w:val="2"/>
        <w:spacing w:after="0" w:line="360" w:lineRule="auto"/>
        <w:ind w:left="0" w:leftChars="0" w:firstLine="482" w:firstLineChars="200"/>
        <w:rPr>
          <w:rFonts w:hint="eastAsia" w:ascii="宋体" w:hAnsi="宋体"/>
          <w:b/>
          <w:bCs/>
          <w:kern w:val="0"/>
          <w:sz w:val="24"/>
        </w:rPr>
      </w:pPr>
      <w:r>
        <w:rPr>
          <w:rFonts w:hint="eastAsia" w:ascii="宋体" w:hAnsi="宋体"/>
          <w:b/>
          <w:bCs/>
          <w:kern w:val="0"/>
          <w:sz w:val="24"/>
          <w:lang w:val="en-US" w:eastAsia="zh-CN"/>
        </w:rPr>
        <w:t>九</w:t>
      </w:r>
      <w:r>
        <w:rPr>
          <w:rFonts w:hint="eastAsia" w:ascii="宋体" w:hAnsi="宋体"/>
          <w:b/>
          <w:bCs/>
          <w:kern w:val="0"/>
          <w:sz w:val="24"/>
        </w:rPr>
        <w:t>、合同的变更与终止</w:t>
      </w:r>
    </w:p>
    <w:p>
      <w:pPr>
        <w:spacing w:line="360" w:lineRule="auto"/>
        <w:ind w:firstLine="600" w:firstLineChars="250"/>
        <w:jc w:val="left"/>
        <w:rPr>
          <w:rFonts w:hint="eastAsia" w:ascii="宋体" w:hAnsi="宋体"/>
          <w:kern w:val="0"/>
          <w:sz w:val="24"/>
        </w:rPr>
      </w:pPr>
      <w:r>
        <w:rPr>
          <w:rFonts w:hint="eastAsia" w:ascii="宋体" w:hAnsi="宋体"/>
          <w:kern w:val="0"/>
          <w:sz w:val="24"/>
        </w:rPr>
        <w:t>1、合同的变更与提前终止必须采用书面形式；</w:t>
      </w:r>
    </w:p>
    <w:p>
      <w:pPr>
        <w:spacing w:line="360" w:lineRule="auto"/>
        <w:ind w:firstLine="600" w:firstLineChars="250"/>
        <w:jc w:val="left"/>
        <w:rPr>
          <w:rFonts w:hint="eastAsia" w:ascii="宋体" w:hAnsi="宋体"/>
          <w:kern w:val="0"/>
          <w:sz w:val="24"/>
        </w:rPr>
      </w:pPr>
      <w:r>
        <w:rPr>
          <w:rFonts w:hint="eastAsia" w:ascii="宋体" w:hAnsi="宋体"/>
          <w:kern w:val="0"/>
          <w:sz w:val="24"/>
        </w:rPr>
        <w:t>2、本合同规定的履行期限届满，合同自行终止；</w:t>
      </w:r>
    </w:p>
    <w:p>
      <w:pPr>
        <w:spacing w:line="360" w:lineRule="auto"/>
        <w:ind w:firstLine="600" w:firstLineChars="250"/>
        <w:jc w:val="left"/>
        <w:rPr>
          <w:rFonts w:hint="eastAsia" w:ascii="宋体" w:hAnsi="宋体"/>
          <w:kern w:val="0"/>
          <w:sz w:val="24"/>
        </w:rPr>
      </w:pPr>
      <w:r>
        <w:rPr>
          <w:rFonts w:hint="eastAsia" w:ascii="宋体" w:hAnsi="宋体"/>
          <w:kern w:val="0"/>
          <w:sz w:val="24"/>
        </w:rPr>
        <w:t>3、在合同履行过程中，如遇不可抗的因素，双方协商以补充合同方式解决；</w:t>
      </w:r>
    </w:p>
    <w:p>
      <w:pPr>
        <w:spacing w:line="360" w:lineRule="auto"/>
        <w:ind w:firstLine="600" w:firstLineChars="250"/>
        <w:jc w:val="left"/>
        <w:rPr>
          <w:rFonts w:hint="eastAsia" w:ascii="宋体" w:hAnsi="宋体"/>
          <w:kern w:val="0"/>
          <w:sz w:val="24"/>
        </w:rPr>
      </w:pPr>
      <w:r>
        <w:rPr>
          <w:rFonts w:hint="eastAsia" w:ascii="宋体" w:hAnsi="宋体"/>
          <w:kern w:val="0"/>
          <w:sz w:val="24"/>
        </w:rPr>
        <w:t>4、合同内容变更、提前终止必须提前一个月书面通知对方。</w:t>
      </w:r>
    </w:p>
    <w:p>
      <w:pPr>
        <w:tabs>
          <w:tab w:val="left" w:pos="840"/>
          <w:tab w:val="left" w:pos="1020"/>
        </w:tabs>
        <w:spacing w:line="360" w:lineRule="auto"/>
        <w:ind w:left="482"/>
        <w:jc w:val="left"/>
        <w:rPr>
          <w:rFonts w:hint="eastAsia" w:ascii="宋体" w:hAnsi="宋体"/>
          <w:b/>
          <w:bCs/>
          <w:kern w:val="0"/>
          <w:sz w:val="24"/>
        </w:rPr>
      </w:pPr>
      <w:r>
        <w:rPr>
          <w:rFonts w:hint="eastAsia" w:ascii="宋体" w:hAnsi="宋体"/>
          <w:b/>
          <w:bCs/>
          <w:kern w:val="0"/>
          <w:sz w:val="24"/>
          <w:lang w:val="en-US" w:eastAsia="zh-CN"/>
        </w:rPr>
        <w:t>十</w:t>
      </w:r>
      <w:r>
        <w:rPr>
          <w:rFonts w:hint="eastAsia" w:ascii="宋体" w:hAnsi="宋体"/>
          <w:b/>
          <w:bCs/>
          <w:kern w:val="0"/>
          <w:sz w:val="24"/>
        </w:rPr>
        <w:t>、合同解除</w:t>
      </w:r>
    </w:p>
    <w:p>
      <w:pPr>
        <w:spacing w:line="360" w:lineRule="auto"/>
        <w:ind w:firstLine="600" w:firstLineChars="250"/>
        <w:jc w:val="left"/>
        <w:rPr>
          <w:rFonts w:hint="eastAsia" w:ascii="宋体" w:hAnsi="宋体"/>
          <w:kern w:val="0"/>
          <w:sz w:val="24"/>
        </w:rPr>
      </w:pPr>
      <w:r>
        <w:rPr>
          <w:rFonts w:hint="eastAsia" w:ascii="宋体" w:hAnsi="宋体"/>
          <w:kern w:val="0"/>
          <w:sz w:val="24"/>
        </w:rPr>
        <w:t>1、乙方严重失职造成甲方管理的重大损失，甲方可以解除合同，并按违约责任要求赔偿；</w:t>
      </w:r>
    </w:p>
    <w:p>
      <w:pPr>
        <w:spacing w:line="360" w:lineRule="auto"/>
        <w:ind w:firstLine="600" w:firstLineChars="250"/>
        <w:jc w:val="left"/>
        <w:rPr>
          <w:rFonts w:hint="eastAsia" w:ascii="宋体" w:hAnsi="宋体"/>
          <w:kern w:val="0"/>
          <w:sz w:val="24"/>
        </w:rPr>
      </w:pPr>
      <w:r>
        <w:rPr>
          <w:rFonts w:hint="eastAsia" w:ascii="宋体" w:hAnsi="宋体"/>
          <w:kern w:val="0"/>
          <w:sz w:val="24"/>
        </w:rPr>
        <w:t>2、乙方发生严重违约后，在甲方收到方书面通知一个月内仍不能采取补救措施及行动，甲方可以单方面解除合同。</w:t>
      </w:r>
    </w:p>
    <w:p>
      <w:pPr>
        <w:tabs>
          <w:tab w:val="left" w:pos="840"/>
          <w:tab w:val="left" w:pos="1020"/>
        </w:tabs>
        <w:spacing w:line="360" w:lineRule="auto"/>
        <w:ind w:left="482"/>
        <w:jc w:val="left"/>
        <w:rPr>
          <w:rFonts w:hint="eastAsia" w:ascii="宋体" w:hAnsi="宋体"/>
          <w:b/>
          <w:bCs/>
          <w:kern w:val="0"/>
          <w:sz w:val="24"/>
        </w:rPr>
      </w:pPr>
      <w:r>
        <w:rPr>
          <w:rFonts w:hint="eastAsia" w:ascii="宋体" w:hAnsi="宋体"/>
          <w:b/>
          <w:bCs/>
          <w:kern w:val="0"/>
          <w:sz w:val="24"/>
          <w:lang w:val="en-US" w:eastAsia="zh-CN"/>
        </w:rPr>
        <w:t>十一</w:t>
      </w:r>
      <w:r>
        <w:rPr>
          <w:rFonts w:hint="eastAsia" w:ascii="宋体" w:hAnsi="宋体"/>
          <w:b/>
          <w:bCs/>
          <w:kern w:val="0"/>
          <w:sz w:val="24"/>
        </w:rPr>
        <w:t>、违约责任</w:t>
      </w:r>
    </w:p>
    <w:p>
      <w:pPr>
        <w:spacing w:line="360" w:lineRule="auto"/>
        <w:ind w:firstLine="600" w:firstLineChars="250"/>
        <w:jc w:val="left"/>
        <w:rPr>
          <w:rFonts w:hint="eastAsia" w:ascii="宋体" w:hAnsi="宋体"/>
          <w:kern w:val="0"/>
          <w:sz w:val="24"/>
        </w:rPr>
      </w:pPr>
      <w:r>
        <w:rPr>
          <w:rFonts w:hint="eastAsia" w:ascii="宋体" w:hAnsi="宋体"/>
          <w:kern w:val="0"/>
          <w:sz w:val="24"/>
        </w:rPr>
        <w:t>1、如甲方未按合同规定期限向乙方付费，经乙方催讨后仍未支付时，对逾期未付的费用每逾期一天，按应付金额的3‰支付滞纳金。</w:t>
      </w:r>
    </w:p>
    <w:p>
      <w:pPr>
        <w:spacing w:line="360" w:lineRule="auto"/>
        <w:ind w:firstLine="600" w:firstLineChars="250"/>
        <w:jc w:val="left"/>
        <w:rPr>
          <w:rFonts w:hint="eastAsia" w:ascii="宋体" w:hAnsi="宋体"/>
          <w:kern w:val="0"/>
          <w:sz w:val="24"/>
        </w:rPr>
      </w:pPr>
      <w:r>
        <w:rPr>
          <w:rFonts w:hint="eastAsia" w:ascii="宋体" w:hAnsi="宋体"/>
          <w:kern w:val="0"/>
          <w:sz w:val="24"/>
        </w:rPr>
        <w:t>2、在承包期内，乙方无充分理由终止承包或擅自转包，甲方有权终止承包协议，并扣除全部履约保证金。</w:t>
      </w:r>
    </w:p>
    <w:p>
      <w:pPr>
        <w:spacing w:line="360" w:lineRule="auto"/>
        <w:ind w:firstLine="600" w:firstLineChars="250"/>
        <w:jc w:val="left"/>
        <w:rPr>
          <w:rFonts w:hint="eastAsia" w:ascii="宋体" w:hAnsi="宋体"/>
          <w:kern w:val="0"/>
          <w:sz w:val="24"/>
        </w:rPr>
      </w:pPr>
      <w:r>
        <w:rPr>
          <w:rFonts w:hint="eastAsia" w:ascii="宋体" w:hAnsi="宋体"/>
          <w:kern w:val="0"/>
          <w:sz w:val="24"/>
        </w:rPr>
        <w:t>3、</w:t>
      </w:r>
      <w:r>
        <w:rPr>
          <w:rFonts w:hint="eastAsia" w:ascii="宋体" w:hAnsi="宋体" w:cs="宋体"/>
          <w:sz w:val="24"/>
        </w:rPr>
        <w:t>承包期满后于次月退还履约保证金（不计息）。</w:t>
      </w:r>
    </w:p>
    <w:p>
      <w:pPr>
        <w:spacing w:line="360" w:lineRule="auto"/>
        <w:ind w:firstLine="600" w:firstLineChars="250"/>
        <w:jc w:val="left"/>
        <w:rPr>
          <w:rFonts w:hint="eastAsia" w:ascii="宋体" w:hAnsi="宋体"/>
          <w:kern w:val="0"/>
          <w:sz w:val="24"/>
        </w:rPr>
      </w:pPr>
      <w:r>
        <w:rPr>
          <w:rFonts w:hint="eastAsia" w:ascii="宋体" w:hAnsi="宋体"/>
          <w:kern w:val="0"/>
          <w:sz w:val="24"/>
        </w:rPr>
        <w:t>4、</w:t>
      </w:r>
      <w:r>
        <w:rPr>
          <w:rFonts w:hint="eastAsia" w:ascii="宋体" w:hAnsi="宋体" w:cs="宋体"/>
          <w:sz w:val="24"/>
        </w:rPr>
        <w:t>乙方出现下列情况之一，甲方有权终止合同，并罚没履约保证金，同时取消乙方下一轮投标资格，由此造成的一切损失由乙方自行承担：①月考核连续两个月得分在</w:t>
      </w:r>
      <w:r>
        <w:rPr>
          <w:rFonts w:ascii="宋体" w:hAnsi="宋体" w:cs="宋体"/>
          <w:sz w:val="24"/>
        </w:rPr>
        <w:t>79</w:t>
      </w:r>
      <w:r>
        <w:rPr>
          <w:rFonts w:hint="eastAsia" w:ascii="宋体" w:hAnsi="宋体" w:cs="宋体"/>
          <w:sz w:val="24"/>
        </w:rPr>
        <w:t>分以下或连续六个月内累计三个月以上（含三个月）得分在</w:t>
      </w:r>
      <w:r>
        <w:rPr>
          <w:rFonts w:ascii="宋体" w:hAnsi="宋体" w:cs="宋体"/>
          <w:sz w:val="24"/>
        </w:rPr>
        <w:t>79</w:t>
      </w:r>
      <w:r>
        <w:rPr>
          <w:rFonts w:hint="eastAsia" w:ascii="宋体" w:hAnsi="宋体" w:cs="宋体"/>
          <w:sz w:val="24"/>
        </w:rPr>
        <w:t>分以下的；②连续两个月发现有缺岗人数</w:t>
      </w:r>
      <w:r>
        <w:rPr>
          <w:rFonts w:ascii="宋体" w:hAnsi="宋体" w:cs="宋体"/>
          <w:sz w:val="24"/>
        </w:rPr>
        <w:t>3</w:t>
      </w:r>
      <w:r>
        <w:rPr>
          <w:rFonts w:hint="eastAsia" w:ascii="宋体" w:hAnsi="宋体" w:cs="宋体"/>
          <w:sz w:val="24"/>
        </w:rPr>
        <w:t>人及以上的；③在重大活动期间，乙方不服从甲方工作安排造成较大影响的；④乙方在承包期间保洁质量明显下降，给社会造成影响的；⑤不按时发放一线作业人员工资的。</w:t>
      </w:r>
    </w:p>
    <w:p>
      <w:pPr>
        <w:spacing w:line="360" w:lineRule="auto"/>
        <w:ind w:firstLine="600" w:firstLineChars="250"/>
        <w:jc w:val="left"/>
        <w:rPr>
          <w:rFonts w:hint="eastAsia" w:ascii="宋体" w:hAnsi="宋体"/>
          <w:kern w:val="0"/>
          <w:sz w:val="24"/>
        </w:rPr>
      </w:pPr>
      <w:r>
        <w:rPr>
          <w:rFonts w:hint="eastAsia" w:ascii="宋体" w:hAnsi="宋体"/>
          <w:kern w:val="0"/>
          <w:sz w:val="24"/>
        </w:rPr>
        <w:t>5、如乙方未能按合同要求（考核标准）进行服务，给甲方造成恶劣影响和损失时，甲方有权扣除</w:t>
      </w:r>
      <w:r>
        <w:rPr>
          <w:rFonts w:hint="eastAsia" w:ascii="宋体" w:hAnsi="宋体"/>
          <w:sz w:val="24"/>
        </w:rPr>
        <w:t>履约保证金</w:t>
      </w:r>
      <w:r>
        <w:rPr>
          <w:rFonts w:hint="eastAsia" w:ascii="宋体" w:hAnsi="宋体"/>
          <w:kern w:val="0"/>
          <w:sz w:val="24"/>
        </w:rPr>
        <w:t>。</w:t>
      </w:r>
    </w:p>
    <w:p>
      <w:pPr>
        <w:tabs>
          <w:tab w:val="left" w:pos="840"/>
          <w:tab w:val="left" w:pos="1020"/>
        </w:tabs>
        <w:spacing w:line="360" w:lineRule="auto"/>
        <w:ind w:left="397"/>
        <w:jc w:val="left"/>
        <w:rPr>
          <w:rFonts w:hint="eastAsia" w:ascii="宋体" w:hAnsi="宋体"/>
          <w:b/>
          <w:bCs/>
          <w:kern w:val="0"/>
          <w:sz w:val="24"/>
        </w:rPr>
      </w:pPr>
      <w:r>
        <w:rPr>
          <w:rFonts w:hint="eastAsia" w:ascii="宋体" w:hAnsi="宋体"/>
          <w:b/>
          <w:bCs/>
          <w:kern w:val="0"/>
          <w:sz w:val="24"/>
          <w:lang w:val="en-US" w:eastAsia="zh-CN"/>
        </w:rPr>
        <w:t>十二</w:t>
      </w:r>
      <w:r>
        <w:rPr>
          <w:rFonts w:hint="eastAsia" w:ascii="宋体" w:hAnsi="宋体"/>
          <w:b/>
          <w:bCs/>
          <w:kern w:val="0"/>
          <w:sz w:val="24"/>
        </w:rPr>
        <w:t>、其它事项</w:t>
      </w:r>
    </w:p>
    <w:p>
      <w:pPr>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、乙方必须按规定落实在册人员的人身意外保险，保险合同及相关资料需报甲方备案；同时乙方必须加强安全教育及采取安全作业措施，如有伤害事故发生均有乙方承担，与甲方无涉。</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、乙方作业车辆应符合上路运输条件，并按相关规定投保。乙方应加强安全教育及采取安全作业措施，如发生交通及意外事故均有乙方负责，与甲方无涉。</w:t>
      </w:r>
    </w:p>
    <w:p>
      <w:pPr>
        <w:tabs>
          <w:tab w:val="left" w:pos="840"/>
          <w:tab w:val="left" w:pos="1020"/>
        </w:tabs>
        <w:spacing w:line="360" w:lineRule="auto"/>
        <w:ind w:left="397"/>
        <w:jc w:val="left"/>
        <w:rPr>
          <w:rFonts w:hint="eastAsia" w:ascii="宋体" w:hAnsi="宋体"/>
          <w:b/>
          <w:bCs/>
          <w:kern w:val="0"/>
          <w:sz w:val="24"/>
        </w:rPr>
      </w:pPr>
      <w:r>
        <w:rPr>
          <w:rFonts w:hint="eastAsia" w:ascii="宋体" w:hAnsi="宋体"/>
          <w:b/>
          <w:bCs/>
          <w:kern w:val="0"/>
          <w:sz w:val="24"/>
        </w:rPr>
        <w:t>十</w:t>
      </w:r>
      <w:r>
        <w:rPr>
          <w:rFonts w:hint="eastAsia" w:ascii="宋体" w:hAnsi="宋体"/>
          <w:b/>
          <w:bCs/>
          <w:kern w:val="0"/>
          <w:sz w:val="24"/>
          <w:lang w:val="en-US" w:eastAsia="zh-CN"/>
        </w:rPr>
        <w:t>三</w:t>
      </w:r>
      <w:r>
        <w:rPr>
          <w:rFonts w:hint="eastAsia" w:ascii="宋体" w:hAnsi="宋体"/>
          <w:b/>
          <w:bCs/>
          <w:kern w:val="0"/>
          <w:sz w:val="24"/>
        </w:rPr>
        <w:t>、争议解决</w:t>
      </w:r>
    </w:p>
    <w:p>
      <w:pPr>
        <w:spacing w:line="360" w:lineRule="auto"/>
        <w:ind w:firstLine="480" w:firstLineChars="200"/>
        <w:jc w:val="left"/>
        <w:rPr>
          <w:rFonts w:hint="eastAsia" w:ascii="宋体" w:hAnsi="宋体"/>
          <w:kern w:val="0"/>
          <w:sz w:val="24"/>
        </w:rPr>
      </w:pPr>
      <w:r>
        <w:rPr>
          <w:rFonts w:hint="eastAsia" w:ascii="宋体" w:hAnsi="宋体"/>
          <w:kern w:val="0"/>
          <w:sz w:val="24"/>
        </w:rPr>
        <w:t>在履行合同中，如双方发生争议，双方本着互谅互让的原则友好协商解决，协商不成可向合同执行地人民法院提起诉讼。</w:t>
      </w:r>
    </w:p>
    <w:p>
      <w:pPr>
        <w:tabs>
          <w:tab w:val="left" w:pos="840"/>
          <w:tab w:val="left" w:pos="1020"/>
        </w:tabs>
        <w:spacing w:line="360" w:lineRule="auto"/>
        <w:ind w:left="482"/>
        <w:jc w:val="left"/>
        <w:rPr>
          <w:rFonts w:hint="eastAsia" w:ascii="宋体" w:hAnsi="宋体"/>
          <w:b/>
          <w:bCs/>
          <w:kern w:val="0"/>
          <w:sz w:val="24"/>
        </w:rPr>
      </w:pPr>
      <w:r>
        <w:rPr>
          <w:rFonts w:hint="eastAsia" w:ascii="宋体" w:hAnsi="宋体"/>
          <w:b/>
          <w:bCs/>
          <w:kern w:val="0"/>
          <w:sz w:val="24"/>
        </w:rPr>
        <w:t>十</w:t>
      </w:r>
      <w:r>
        <w:rPr>
          <w:rFonts w:hint="eastAsia" w:ascii="宋体" w:hAnsi="宋体"/>
          <w:b/>
          <w:bCs/>
          <w:kern w:val="0"/>
          <w:sz w:val="24"/>
          <w:lang w:val="en-US" w:eastAsia="zh-CN"/>
        </w:rPr>
        <w:t>四</w:t>
      </w:r>
      <w:r>
        <w:rPr>
          <w:rFonts w:hint="eastAsia" w:ascii="宋体" w:hAnsi="宋体"/>
          <w:b/>
          <w:bCs/>
          <w:kern w:val="0"/>
          <w:sz w:val="24"/>
        </w:rPr>
        <w:t>、合同生效</w:t>
      </w:r>
    </w:p>
    <w:p>
      <w:pPr>
        <w:spacing w:line="360" w:lineRule="auto"/>
        <w:ind w:firstLine="480" w:firstLineChars="200"/>
        <w:jc w:val="left"/>
        <w:rPr>
          <w:rFonts w:hint="eastAsia" w:ascii="宋体" w:hAnsi="宋体"/>
          <w:kern w:val="0"/>
          <w:sz w:val="24"/>
        </w:rPr>
      </w:pPr>
      <w:r>
        <w:rPr>
          <w:rFonts w:hint="eastAsia" w:ascii="宋体" w:hAnsi="宋体"/>
          <w:kern w:val="0"/>
          <w:sz w:val="24"/>
        </w:rPr>
        <w:t>本合同一式六份，甲、乙各执三份。本合同经双方授权代表签字盖章后生效。</w:t>
      </w:r>
    </w:p>
    <w:tbl>
      <w:tblPr>
        <w:tblStyle w:val="3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397"/>
        <w:gridCol w:w="1661"/>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乙方单位</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（盖章）</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甲方单位</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代表签名</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代表签名</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地址</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地址</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电话</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电话</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开户银行</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开户银行</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帐号</w:t>
            </w:r>
          </w:p>
        </w:tc>
        <w:tc>
          <w:tcPr>
            <w:tcW w:w="239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r>
              <w:rPr>
                <w:rFonts w:hint="eastAsia" w:ascii="宋体" w:hAnsi="宋体"/>
                <w:kern w:val="0"/>
                <w:sz w:val="24"/>
              </w:rPr>
              <w:t>帐号</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kern w:val="0"/>
                <w:sz w:val="24"/>
              </w:rPr>
            </w:pPr>
          </w:p>
        </w:tc>
      </w:tr>
    </w:tbl>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br w:type="page"/>
      </w:r>
    </w:p>
    <w:p>
      <w:pPr>
        <w:spacing w:line="360" w:lineRule="auto"/>
        <w:jc w:val="center"/>
        <w:outlineLvl w:val="0"/>
        <w:rPr>
          <w:rFonts w:hint="eastAsia" w:ascii="宋体" w:hAnsi="宋体" w:eastAsia="宋体" w:cs="宋体"/>
          <w:b/>
          <w:color w:val="auto"/>
          <w:sz w:val="36"/>
          <w:szCs w:val="36"/>
        </w:rPr>
      </w:pPr>
      <w:bookmarkStart w:id="478" w:name="_Toc32132"/>
      <w:r>
        <w:rPr>
          <w:rFonts w:hint="eastAsia" w:ascii="宋体" w:hAnsi="宋体" w:eastAsia="宋体" w:cs="宋体"/>
          <w:b/>
          <w:color w:val="auto"/>
          <w:sz w:val="36"/>
          <w:szCs w:val="36"/>
        </w:rPr>
        <w:t>第六部分</w:t>
      </w:r>
      <w:bookmarkEnd w:id="472"/>
      <w:r>
        <w:rPr>
          <w:rFonts w:hint="eastAsia" w:ascii="宋体" w:hAnsi="宋体" w:eastAsia="宋体" w:cs="宋体"/>
          <w:b/>
          <w:color w:val="auto"/>
          <w:sz w:val="36"/>
          <w:szCs w:val="36"/>
        </w:rPr>
        <w:t xml:space="preserve"> </w:t>
      </w:r>
      <w:bookmarkEnd w:id="473"/>
      <w:r>
        <w:rPr>
          <w:rFonts w:hint="eastAsia" w:ascii="宋体" w:hAnsi="宋体" w:eastAsia="宋体" w:cs="宋体"/>
          <w:b/>
          <w:color w:val="auto"/>
          <w:sz w:val="36"/>
          <w:szCs w:val="36"/>
        </w:rPr>
        <w:t>应提交的有关格式范例</w:t>
      </w:r>
      <w:bookmarkEnd w:id="474"/>
      <w:bookmarkEnd w:id="475"/>
      <w:bookmarkEnd w:id="478"/>
    </w:p>
    <w:p>
      <w:pPr>
        <w:pStyle w:val="147"/>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投标人按照以下格式编制投标文件，并将资格文件、商务技术文件、报价文件分别上传，并与招标文件的评分要点准确设置关联点。</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sz w:val="24"/>
        </w:rPr>
        <w:br w:type="page"/>
      </w:r>
      <w:bookmarkStart w:id="479" w:name="_Toc6968"/>
      <w:bookmarkStart w:id="480" w:name="_Toc16994"/>
      <w:bookmarkStart w:id="481" w:name="_Toc15042"/>
      <w:bookmarkStart w:id="482" w:name="_Toc6658"/>
      <w:bookmarkStart w:id="483" w:name="_Toc17838"/>
      <w:r>
        <w:rPr>
          <w:rFonts w:hint="eastAsia" w:ascii="宋体" w:hAnsi="宋体" w:eastAsia="宋体" w:cs="宋体"/>
          <w:b/>
          <w:color w:val="auto"/>
          <w:kern w:val="0"/>
          <w:sz w:val="36"/>
          <w:szCs w:val="36"/>
        </w:rPr>
        <w:t>资格文件部分</w:t>
      </w:r>
      <w:bookmarkEnd w:id="479"/>
      <w:bookmarkEnd w:id="480"/>
      <w:bookmarkEnd w:id="481"/>
      <w:bookmarkEnd w:id="482"/>
      <w:bookmarkEnd w:id="483"/>
    </w:p>
    <w:p>
      <w:pPr>
        <w:spacing w:line="360" w:lineRule="auto"/>
        <w:jc w:val="center"/>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bookmarkStart w:id="484" w:name="_Toc18569"/>
      <w:bookmarkStart w:id="485" w:name="_Toc10397"/>
      <w:bookmarkStart w:id="486" w:name="_Toc30230"/>
      <w:bookmarkStart w:id="487" w:name="_Toc23528"/>
      <w:bookmarkStart w:id="488" w:name="_Toc6779"/>
      <w:r>
        <w:rPr>
          <w:rFonts w:hint="eastAsia" w:ascii="宋体" w:hAnsi="宋体" w:eastAsia="宋体" w:cs="宋体"/>
          <w:b/>
          <w:color w:val="auto"/>
          <w:kern w:val="0"/>
          <w:sz w:val="36"/>
          <w:szCs w:val="36"/>
        </w:rPr>
        <w:t>目录</w:t>
      </w:r>
      <w:bookmarkEnd w:id="484"/>
      <w:bookmarkEnd w:id="485"/>
      <w:bookmarkEnd w:id="486"/>
      <w:bookmarkEnd w:id="487"/>
      <w:bookmarkEnd w:id="488"/>
    </w:p>
    <w:p>
      <w:pPr>
        <w:pStyle w:val="78"/>
        <w:numPr>
          <w:ilvl w:val="0"/>
          <w:numId w:val="43"/>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78"/>
        <w:numPr>
          <w:ilvl w:val="0"/>
          <w:numId w:val="43"/>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声明书（格式见附件）；</w:t>
      </w:r>
    </w:p>
    <w:p>
      <w:pPr>
        <w:pStyle w:val="78"/>
        <w:numPr>
          <w:ilvl w:val="0"/>
          <w:numId w:val="43"/>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 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78"/>
        <w:spacing w:before="0"/>
        <w:ind w:firstLine="480"/>
        <w:rPr>
          <w:rFonts w:hint="eastAsia" w:ascii="宋体" w:hAnsi="宋体" w:eastAsia="宋体" w:cs="宋体"/>
          <w:color w:val="auto"/>
          <w:szCs w:val="24"/>
        </w:rPr>
      </w:pPr>
      <w:r>
        <w:rPr>
          <w:rFonts w:hint="eastAsia" w:ascii="宋体" w:hAnsi="宋体" w:eastAsia="宋体" w:cs="宋体"/>
          <w:color w:val="auto"/>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78"/>
        <w:numPr>
          <w:ilvl w:val="0"/>
          <w:numId w:val="43"/>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前一年度资产负债表等财务报表资料文件(新成立的公司，必须提供情况说明)</w:t>
      </w:r>
    </w:p>
    <w:p>
      <w:pPr>
        <w:pStyle w:val="78"/>
        <w:numPr>
          <w:ilvl w:val="0"/>
          <w:numId w:val="43"/>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具有履行合同所必需的产品和专业技术能力的承诺函；</w:t>
      </w:r>
    </w:p>
    <w:p>
      <w:pPr>
        <w:pStyle w:val="78"/>
        <w:numPr>
          <w:ilvl w:val="0"/>
          <w:numId w:val="43"/>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提供有效的依法缴纳税收证明（完税凭证或税务部门出具的证明）和提供有效的依法缴纳社会保障资金证明（缴纳凭证或人社部门出具的证明）；</w:t>
      </w:r>
    </w:p>
    <w:p>
      <w:pPr>
        <w:pStyle w:val="78"/>
        <w:numPr>
          <w:ilvl w:val="0"/>
          <w:numId w:val="43"/>
        </w:numPr>
        <w:spacing w:before="0"/>
        <w:ind w:left="0" w:leftChars="0" w:firstLine="480" w:firstLineChars="200"/>
        <w:rPr>
          <w:rFonts w:hint="eastAsia" w:ascii="宋体" w:hAnsi="宋体" w:eastAsia="宋体" w:cs="宋体"/>
          <w:color w:val="auto"/>
          <w:szCs w:val="24"/>
        </w:rPr>
      </w:pPr>
      <w:r>
        <w:rPr>
          <w:rFonts w:hint="eastAsia" w:ascii="宋体" w:hAnsi="宋体" w:eastAsia="宋体" w:cs="宋体"/>
          <w:color w:val="auto"/>
          <w:szCs w:val="24"/>
        </w:rPr>
        <w:t>参加政府采购活动前三年内，在经营活动中没有重大违法记录的声明。</w:t>
      </w:r>
    </w:p>
    <w:p>
      <w:pPr>
        <w:pStyle w:val="2"/>
        <w:ind w:firstLine="486"/>
        <w:rPr>
          <w:rFonts w:hint="eastAsia" w:ascii="宋体" w:hAnsi="宋体" w:eastAsia="宋体" w:cs="宋体"/>
          <w:color w:val="auto"/>
        </w:rPr>
      </w:pPr>
    </w:p>
    <w:p>
      <w:pPr>
        <w:pStyle w:val="2"/>
        <w:ind w:firstLine="486"/>
        <w:rPr>
          <w:rFonts w:hint="eastAsia" w:ascii="宋体" w:hAnsi="宋体" w:eastAsia="宋体" w:cs="宋体"/>
          <w:color w:val="auto"/>
        </w:rPr>
      </w:pPr>
    </w:p>
    <w:p>
      <w:pPr>
        <w:pStyle w:val="2"/>
        <w:ind w:firstLine="486"/>
        <w:rPr>
          <w:rFonts w:hint="eastAsia" w:ascii="宋体" w:hAnsi="宋体" w:eastAsia="宋体" w:cs="宋体"/>
          <w:color w:val="auto"/>
        </w:rPr>
      </w:pPr>
    </w:p>
    <w:p>
      <w:pPr>
        <w:pStyle w:val="2"/>
        <w:ind w:firstLine="486"/>
        <w:rPr>
          <w:rFonts w:hint="eastAsia" w:ascii="宋体" w:hAnsi="宋体" w:eastAsia="宋体" w:cs="宋体"/>
          <w:color w:val="auto"/>
        </w:rPr>
      </w:pPr>
    </w:p>
    <w:p>
      <w:pPr>
        <w:pStyle w:val="2"/>
        <w:ind w:firstLine="486"/>
        <w:rPr>
          <w:rFonts w:hint="eastAsia" w:ascii="宋体" w:hAnsi="宋体" w:eastAsia="宋体" w:cs="宋体"/>
          <w:color w:val="auto"/>
        </w:rPr>
      </w:pPr>
    </w:p>
    <w:p>
      <w:pPr>
        <w:pStyle w:val="8"/>
        <w:jc w:val="center"/>
        <w:rPr>
          <w:rFonts w:hint="eastAsia" w:ascii="宋体" w:hAnsi="宋体" w:eastAsia="宋体" w:cs="宋体"/>
          <w:color w:val="auto"/>
          <w:sz w:val="30"/>
          <w:szCs w:val="30"/>
        </w:rPr>
      </w:pPr>
      <w:bookmarkStart w:id="489" w:name="_Toc24699"/>
      <w:bookmarkStart w:id="490" w:name="_Toc9152"/>
      <w:bookmarkStart w:id="491" w:name="_Toc10788"/>
      <w:r>
        <w:rPr>
          <w:rFonts w:hint="eastAsia" w:ascii="宋体" w:hAnsi="宋体" w:eastAsia="宋体" w:cs="宋体"/>
          <w:color w:val="auto"/>
          <w:sz w:val="30"/>
          <w:szCs w:val="30"/>
        </w:rPr>
        <w:t>附件一：法定代表人授权书</w:t>
      </w:r>
      <w:bookmarkEnd w:id="489"/>
      <w:bookmarkEnd w:id="490"/>
      <w:bookmarkEnd w:id="491"/>
    </w:p>
    <w:p>
      <w:pPr>
        <w:pStyle w:val="9"/>
        <w:spacing w:line="360" w:lineRule="auto"/>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eastAsia="zh-CN"/>
        </w:rPr>
        <w:t>上虞区丰惠镇人民政府</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浙江宇康工程管理咨询有限公司</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（投标人全称） </w:t>
      </w: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授权</w:t>
      </w:r>
      <w:r>
        <w:rPr>
          <w:rFonts w:hint="eastAsia" w:ascii="宋体" w:hAnsi="宋体" w:eastAsia="宋体" w:cs="宋体"/>
          <w:color w:val="auto"/>
          <w:sz w:val="24"/>
          <w:u w:val="single"/>
        </w:rPr>
        <w:t>（授权代表名称）</w:t>
      </w:r>
      <w:r>
        <w:rPr>
          <w:rFonts w:hint="eastAsia" w:ascii="宋体" w:hAnsi="宋体" w:eastAsia="宋体" w:cs="宋体"/>
          <w:color w:val="auto"/>
          <w:sz w:val="24"/>
        </w:rPr>
        <w:t>为授权代表，参加贵处组织的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w:t>
      </w:r>
      <w:r>
        <w:rPr>
          <w:rFonts w:hint="eastAsia" w:ascii="宋体" w:hAnsi="宋体" w:eastAsia="宋体" w:cs="宋体"/>
          <w:color w:val="auto"/>
          <w:sz w:val="24"/>
          <w:u w:val="single"/>
        </w:rPr>
        <w:t>（括号内填写招标编号</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标段</w:t>
      </w:r>
      <w:r>
        <w:rPr>
          <w:rFonts w:hint="eastAsia" w:ascii="宋体" w:hAnsi="宋体" w:eastAsia="宋体" w:cs="宋体"/>
          <w:color w:val="auto"/>
          <w:sz w:val="24"/>
          <w:u w:val="single"/>
        </w:rPr>
        <w:t>）</w:t>
      </w:r>
      <w:r>
        <w:rPr>
          <w:rFonts w:hint="eastAsia" w:ascii="宋体" w:hAnsi="宋体" w:eastAsia="宋体" w:cs="宋体"/>
          <w:color w:val="auto"/>
          <w:sz w:val="24"/>
        </w:rPr>
        <w:t>，授权处理招投标活动中的一切事宜。</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法定代表人签字：</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投标人全称：（盖章）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授权代表姓名：</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职务：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详细通讯地址：</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传真：</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电话：</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邮政编码：</w:t>
      </w:r>
    </w:p>
    <w:p>
      <w:pPr>
        <w:pStyle w:val="19"/>
        <w:snapToGrid w:val="0"/>
        <w:spacing w:line="360" w:lineRule="auto"/>
        <w:rPr>
          <w:rFonts w:hint="eastAsia" w:ascii="宋体" w:hAnsi="宋体" w:eastAsia="宋体" w:cs="宋体"/>
          <w:color w:val="auto"/>
          <w:sz w:val="24"/>
        </w:rPr>
      </w:pPr>
    </w:p>
    <w:p>
      <w:pPr>
        <w:pStyle w:val="19"/>
        <w:snapToGrid w:val="0"/>
        <w:spacing w:line="360" w:lineRule="auto"/>
        <w:rPr>
          <w:rFonts w:hint="eastAsia" w:ascii="宋体" w:hAnsi="宋体" w:eastAsia="宋体" w:cs="宋体"/>
          <w:color w:val="auto"/>
          <w:sz w:val="24"/>
        </w:rPr>
      </w:pPr>
    </w:p>
    <w:p>
      <w:pPr>
        <w:pStyle w:val="19"/>
        <w:snapToGrid w:val="0"/>
        <w:spacing w:line="360" w:lineRule="auto"/>
        <w:rPr>
          <w:rFonts w:hint="eastAsia" w:ascii="宋体" w:hAnsi="宋体" w:eastAsia="宋体" w:cs="宋体"/>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附：授权代表身份证复印件（正反面）</w:t>
      </w:r>
    </w:p>
    <w:p>
      <w:pPr>
        <w:spacing w:line="360" w:lineRule="auto"/>
        <w:rPr>
          <w:rFonts w:hint="eastAsia" w:ascii="宋体" w:hAnsi="宋体" w:eastAsia="宋体" w:cs="宋体"/>
          <w:b/>
          <w:color w:val="auto"/>
          <w:sz w:val="24"/>
        </w:rPr>
      </w:pPr>
    </w:p>
    <w:p>
      <w:pPr>
        <w:pStyle w:val="2"/>
        <w:ind w:firstLine="486"/>
        <w:rPr>
          <w:rFonts w:hint="eastAsia" w:ascii="宋体" w:hAnsi="宋体" w:eastAsia="宋体" w:cs="宋体"/>
          <w:color w:val="auto"/>
        </w:rPr>
      </w:pPr>
    </w:p>
    <w:p>
      <w:pPr>
        <w:snapToGrid w:val="0"/>
        <w:spacing w:before="50" w:after="156" w:afterLines="50"/>
        <w:jc w:val="center"/>
        <w:outlineLvl w:val="0"/>
        <w:rPr>
          <w:rFonts w:hint="eastAsia" w:ascii="宋体" w:hAnsi="宋体" w:eastAsia="宋体" w:cs="宋体"/>
          <w:b/>
          <w:color w:val="auto"/>
          <w:sz w:val="30"/>
          <w:szCs w:val="30"/>
        </w:rPr>
      </w:pPr>
      <w:r>
        <w:rPr>
          <w:rFonts w:hint="eastAsia" w:ascii="宋体" w:hAnsi="宋体" w:eastAsia="宋体" w:cs="宋体"/>
          <w:b/>
          <w:bCs/>
          <w:color w:val="auto"/>
          <w:sz w:val="24"/>
        </w:rPr>
        <w:br w:type="page"/>
      </w:r>
      <w:bookmarkStart w:id="492" w:name="_Toc4659"/>
      <w:bookmarkStart w:id="493" w:name="_Toc28643"/>
      <w:r>
        <w:rPr>
          <w:rFonts w:hint="eastAsia" w:ascii="宋体" w:hAnsi="宋体" w:eastAsia="宋体" w:cs="宋体"/>
          <w:b/>
          <w:color w:val="auto"/>
          <w:sz w:val="30"/>
          <w:szCs w:val="30"/>
          <w:lang w:val="zh-CN"/>
        </w:rPr>
        <w:t>附件二：</w:t>
      </w:r>
      <w:r>
        <w:rPr>
          <w:rFonts w:hint="eastAsia" w:ascii="宋体" w:hAnsi="宋体" w:eastAsia="宋体" w:cs="宋体"/>
          <w:b/>
          <w:color w:val="auto"/>
          <w:sz w:val="30"/>
          <w:szCs w:val="30"/>
        </w:rPr>
        <w:t>声 明 书</w:t>
      </w:r>
      <w:bookmarkEnd w:id="492"/>
      <w:bookmarkEnd w:id="493"/>
    </w:p>
    <w:p>
      <w:pPr>
        <w:spacing w:line="360" w:lineRule="auto"/>
        <w:ind w:firstLine="420" w:firstLineChars="200"/>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eastAsia="zh-CN"/>
        </w:rPr>
        <w:t>上虞区丰惠镇人民政府</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浙江宇康工程管理咨询有限公司</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（投标人名称）</w:t>
      </w:r>
      <w:r>
        <w:rPr>
          <w:rFonts w:hint="eastAsia" w:ascii="宋体" w:hAnsi="宋体" w:eastAsia="宋体" w:cs="宋体"/>
          <w:color w:val="auto"/>
          <w:sz w:val="24"/>
        </w:rPr>
        <w:t>系中华人民共和国合法企业，经营地址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（姓名）</w:t>
      </w:r>
      <w:r>
        <w:rPr>
          <w:rFonts w:hint="eastAsia" w:ascii="宋体" w:hAnsi="宋体" w:eastAsia="宋体" w:cs="宋体"/>
          <w:color w:val="auto"/>
          <w:sz w:val="24"/>
        </w:rPr>
        <w:t>系</w:t>
      </w:r>
      <w:r>
        <w:rPr>
          <w:rFonts w:hint="eastAsia" w:ascii="宋体" w:hAnsi="宋体" w:eastAsia="宋体" w:cs="宋体"/>
          <w:color w:val="auto"/>
          <w:sz w:val="24"/>
          <w:u w:val="single"/>
        </w:rPr>
        <w:t>（投标人名称）</w:t>
      </w:r>
      <w:r>
        <w:rPr>
          <w:rFonts w:hint="eastAsia" w:ascii="宋体" w:hAnsi="宋体" w:eastAsia="宋体" w:cs="宋体"/>
          <w:color w:val="auto"/>
          <w:sz w:val="24"/>
        </w:rPr>
        <w:t>的法定代表人，我方愿意参加贵方组织的</w:t>
      </w:r>
      <w:r>
        <w:rPr>
          <w:rFonts w:hint="eastAsia" w:ascii="宋体" w:hAnsi="宋体" w:eastAsia="宋体" w:cs="宋体"/>
          <w:color w:val="auto"/>
          <w:sz w:val="24"/>
          <w:u w:val="single"/>
        </w:rPr>
        <w:t>（招标项目名称）（编号为）</w:t>
      </w:r>
      <w:r>
        <w:rPr>
          <w:rFonts w:hint="eastAsia" w:ascii="宋体" w:hAnsi="宋体" w:eastAsia="宋体" w:cs="宋体"/>
          <w:color w:val="auto"/>
          <w:sz w:val="24"/>
        </w:rPr>
        <w:t>的投标，为此，我方就本次投标有关事项郑重声明如下：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1、我方已详细审查全部招标文件，同意招标文件的各项要求。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2、我方向贵方提交的所有投标文件、资料都是准确的和真实的。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3、若中标，我方将按招标文件规定履行合同责任和义务。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5、投标文件自开标日起有效期为90天。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6、我方参与本项目前3年内的经营活动中没有重大违法记录；</w:t>
      </w:r>
    </w:p>
    <w:p>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8、以上事项如有虚假或隐瞒，我方愿意承担一切后果，并不再寻求任何旨在减轻或免除法律责任的辩解。</w:t>
      </w:r>
    </w:p>
    <w:p>
      <w:pPr>
        <w:pStyle w:val="2"/>
        <w:rPr>
          <w:rFonts w:hint="eastAsia" w:ascii="宋体" w:hAnsi="宋体" w:eastAsia="宋体" w:cs="宋体"/>
          <w:color w:val="auto"/>
        </w:rPr>
      </w:pPr>
    </w:p>
    <w:p>
      <w:pPr>
        <w:pStyle w:val="2"/>
        <w:rPr>
          <w:rFonts w:hint="eastAsia" w:ascii="宋体" w:hAnsi="宋体" w:eastAsia="宋体" w:cs="宋体"/>
          <w:color w:val="auto"/>
        </w:rPr>
      </w:pP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投标人全称（公章）：</w:t>
      </w:r>
    </w:p>
    <w:p>
      <w:pPr>
        <w:pStyle w:val="2"/>
        <w:ind w:firstLine="566"/>
        <w:rPr>
          <w:rFonts w:hint="eastAsia" w:ascii="宋体" w:hAnsi="宋体" w:eastAsia="宋体" w:cs="宋体"/>
          <w:color w:val="auto"/>
          <w:sz w:val="28"/>
          <w:szCs w:val="28"/>
        </w:rPr>
      </w:pPr>
    </w:p>
    <w:p>
      <w:pPr>
        <w:pStyle w:val="2"/>
        <w:ind w:firstLine="566"/>
        <w:rPr>
          <w:rFonts w:hint="eastAsia" w:ascii="宋体" w:hAnsi="宋体" w:eastAsia="宋体" w:cs="宋体"/>
          <w:color w:val="auto"/>
          <w:sz w:val="28"/>
          <w:szCs w:val="28"/>
        </w:rPr>
      </w:pPr>
    </w:p>
    <w:p>
      <w:pPr>
        <w:pStyle w:val="2"/>
        <w:ind w:firstLine="566"/>
        <w:rPr>
          <w:rFonts w:hint="eastAsia" w:ascii="宋体" w:hAnsi="宋体" w:eastAsia="宋体" w:cs="宋体"/>
          <w:color w:val="auto"/>
          <w:sz w:val="28"/>
          <w:szCs w:val="28"/>
        </w:rPr>
      </w:pPr>
    </w:p>
    <w:p>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w:t>
      </w:r>
    </w:p>
    <w:p>
      <w:pPr>
        <w:spacing w:line="360" w:lineRule="auto"/>
        <w:jc w:val="center"/>
        <w:rPr>
          <w:rFonts w:hint="eastAsia" w:ascii="宋体" w:hAnsi="宋体" w:eastAsia="宋体" w:cs="宋体"/>
          <w:b/>
          <w:color w:val="auto"/>
          <w:kern w:val="0"/>
          <w:sz w:val="36"/>
          <w:szCs w:val="36"/>
        </w:rPr>
      </w:pPr>
    </w:p>
    <w:p>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2"/>
        <w:ind w:firstLine="486"/>
        <w:rPr>
          <w:rFonts w:hint="eastAsia" w:ascii="宋体" w:hAnsi="宋体" w:eastAsia="宋体" w:cs="宋体"/>
          <w:color w:val="auto"/>
        </w:rPr>
      </w:pPr>
    </w:p>
    <w:p>
      <w:pPr>
        <w:pStyle w:val="19"/>
        <w:spacing w:line="500" w:lineRule="exact"/>
        <w:ind w:firstLine="480" w:firstLineChars="200"/>
        <w:rPr>
          <w:rFonts w:hint="eastAsia" w:hAnsi="宋体" w:cs="宋体"/>
          <w:sz w:val="24"/>
          <w:szCs w:val="24"/>
        </w:rPr>
      </w:pPr>
      <w:bookmarkStart w:id="494" w:name="_Toc10131"/>
      <w:r>
        <w:rPr>
          <w:rFonts w:hint="eastAsia" w:hAnsi="宋体" w:cs="宋体"/>
          <w:sz w:val="24"/>
          <w:szCs w:val="24"/>
        </w:rPr>
        <w:t>①　评分对应表（格式见附件，主要用于评委对应评分内容）</w:t>
      </w:r>
    </w:p>
    <w:p>
      <w:pPr>
        <w:pStyle w:val="19"/>
        <w:spacing w:line="500" w:lineRule="exact"/>
        <w:ind w:firstLine="480" w:firstLineChars="200"/>
        <w:rPr>
          <w:rFonts w:hint="eastAsia" w:hAnsi="宋体" w:cs="宋体"/>
          <w:sz w:val="24"/>
          <w:szCs w:val="24"/>
        </w:rPr>
      </w:pPr>
      <w:r>
        <w:rPr>
          <w:rFonts w:hint="eastAsia" w:hAnsi="宋体" w:cs="宋体"/>
          <w:sz w:val="24"/>
          <w:szCs w:val="24"/>
        </w:rPr>
        <w:t>②　投标人商务技术文件中资信分自评表（格式见附件）；</w:t>
      </w:r>
    </w:p>
    <w:p>
      <w:pPr>
        <w:pStyle w:val="19"/>
        <w:spacing w:line="500" w:lineRule="exact"/>
        <w:ind w:firstLine="480" w:firstLineChars="200"/>
        <w:rPr>
          <w:rFonts w:hint="eastAsia" w:hAnsi="宋体" w:cs="宋体"/>
          <w:sz w:val="24"/>
          <w:szCs w:val="24"/>
        </w:rPr>
      </w:pPr>
      <w:r>
        <w:rPr>
          <w:rFonts w:hint="eastAsia" w:hAnsi="宋体" w:cs="宋体"/>
          <w:sz w:val="24"/>
          <w:szCs w:val="24"/>
        </w:rPr>
        <w:t>③　投标项目明细清单（格式见附件）；</w:t>
      </w:r>
    </w:p>
    <w:p>
      <w:pPr>
        <w:pStyle w:val="19"/>
        <w:spacing w:line="500" w:lineRule="exact"/>
        <w:ind w:firstLine="480" w:firstLineChars="200"/>
        <w:rPr>
          <w:rFonts w:hint="eastAsia" w:hAnsi="宋体" w:cs="宋体"/>
          <w:sz w:val="24"/>
          <w:szCs w:val="24"/>
        </w:rPr>
      </w:pPr>
      <w:r>
        <w:rPr>
          <w:rFonts w:hint="eastAsia" w:hAnsi="宋体" w:cs="宋体"/>
          <w:sz w:val="24"/>
          <w:szCs w:val="24"/>
        </w:rPr>
        <w:t>④　技术响应及建议表（格式见附件）；</w:t>
      </w:r>
    </w:p>
    <w:p>
      <w:pPr>
        <w:pStyle w:val="19"/>
        <w:spacing w:line="500" w:lineRule="exact"/>
        <w:ind w:firstLine="480" w:firstLineChars="200"/>
        <w:rPr>
          <w:rFonts w:hint="eastAsia" w:hAnsi="宋体" w:cs="宋体"/>
          <w:sz w:val="24"/>
          <w:szCs w:val="24"/>
        </w:rPr>
      </w:pPr>
      <w:r>
        <w:rPr>
          <w:rFonts w:hint="eastAsia" w:hAnsi="宋体" w:cs="宋体"/>
          <w:sz w:val="24"/>
          <w:szCs w:val="24"/>
        </w:rPr>
        <w:t>⑤　商务响应表（格式见附件）；</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⑥　</w:t>
      </w:r>
      <w:r>
        <w:rPr>
          <w:rFonts w:hint="eastAsia" w:ascii="宋体" w:hAnsi="宋体"/>
          <w:color w:val="auto"/>
          <w:sz w:val="24"/>
          <w:szCs w:val="24"/>
          <w:highlight w:val="none"/>
        </w:rPr>
        <w:t>卫生保洁服务方案</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⑦　</w:t>
      </w:r>
      <w:r>
        <w:rPr>
          <w:rFonts w:hint="eastAsia" w:ascii="宋体" w:hAnsi="宋体"/>
          <w:color w:val="auto"/>
          <w:sz w:val="24"/>
          <w:szCs w:val="24"/>
          <w:highlight w:val="none"/>
        </w:rPr>
        <w:t>项目组织与管理</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⑧　</w:t>
      </w:r>
      <w:r>
        <w:rPr>
          <w:rFonts w:hint="eastAsia" w:ascii="宋体" w:hAnsi="宋体"/>
          <w:color w:val="auto"/>
          <w:sz w:val="24"/>
          <w:szCs w:val="24"/>
          <w:highlight w:val="none"/>
        </w:rPr>
        <w:t>作业人员配备</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⑨　</w:t>
      </w:r>
      <w:r>
        <w:rPr>
          <w:rFonts w:hint="eastAsia" w:ascii="宋体" w:hAnsi="宋体"/>
          <w:color w:val="auto"/>
          <w:sz w:val="24"/>
          <w:szCs w:val="24"/>
          <w:highlight w:val="none"/>
        </w:rPr>
        <w:t>作业人员管理方案</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⑩　</w:t>
      </w:r>
      <w:r>
        <w:rPr>
          <w:rFonts w:hint="eastAsia" w:ascii="宋体" w:hAnsi="宋体"/>
          <w:color w:val="auto"/>
          <w:sz w:val="24"/>
          <w:szCs w:val="24"/>
          <w:highlight w:val="none"/>
        </w:rPr>
        <w:t>主要作业设备情况</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⑪　</w:t>
      </w:r>
      <w:r>
        <w:rPr>
          <w:rFonts w:hint="eastAsia" w:ascii="宋体" w:hAnsi="宋体" w:cs="宋体"/>
          <w:color w:val="auto"/>
          <w:sz w:val="24"/>
          <w:szCs w:val="24"/>
          <w:highlight w:val="none"/>
        </w:rPr>
        <w:t>管理人员经验情况</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⑫　</w:t>
      </w:r>
      <w:r>
        <w:rPr>
          <w:rFonts w:hint="eastAsia" w:ascii="宋体" w:hAnsi="宋体"/>
          <w:color w:val="auto"/>
          <w:sz w:val="24"/>
          <w:szCs w:val="24"/>
          <w:highlight w:val="none"/>
        </w:rPr>
        <w:t>服务质量保障措施</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⑬　</w:t>
      </w:r>
      <w:r>
        <w:rPr>
          <w:rFonts w:hint="eastAsia" w:ascii="宋体" w:hAnsi="宋体"/>
          <w:color w:val="auto"/>
          <w:sz w:val="24"/>
          <w:szCs w:val="24"/>
          <w:highlight w:val="none"/>
        </w:rPr>
        <w:t>特殊时期的应急保障措施</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⑭　</w:t>
      </w:r>
      <w:r>
        <w:rPr>
          <w:rFonts w:hint="eastAsia" w:ascii="宋体" w:hAnsi="宋体"/>
          <w:color w:val="auto"/>
          <w:sz w:val="24"/>
          <w:szCs w:val="24"/>
          <w:highlight w:val="none"/>
        </w:rPr>
        <w:t>合理化建议或承诺</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⑮　</w:t>
      </w:r>
      <w:r>
        <w:rPr>
          <w:rFonts w:hint="eastAsia" w:ascii="宋体" w:hAnsi="宋体" w:cs="宋体"/>
          <w:color w:val="auto"/>
          <w:sz w:val="24"/>
          <w:szCs w:val="24"/>
          <w:highlight w:val="none"/>
        </w:rPr>
        <w:t>本地化服务能力</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⑯　</w:t>
      </w:r>
      <w:r>
        <w:rPr>
          <w:rFonts w:hint="eastAsia" w:ascii="宋体" w:hAnsi="宋体" w:cs="宋体"/>
          <w:color w:val="auto"/>
          <w:sz w:val="24"/>
          <w:szCs w:val="24"/>
          <w:highlight w:val="none"/>
        </w:rPr>
        <w:t>业绩</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⑰　</w:t>
      </w:r>
      <w:r>
        <w:rPr>
          <w:rFonts w:hint="eastAsia" w:ascii="宋体" w:hAnsi="宋体" w:cs="宋体"/>
          <w:color w:val="auto"/>
          <w:sz w:val="24"/>
          <w:szCs w:val="24"/>
          <w:highlight w:val="none"/>
        </w:rPr>
        <w:t>企业认证</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⑱　</w:t>
      </w:r>
      <w:r>
        <w:rPr>
          <w:rFonts w:hint="eastAsia" w:ascii="宋体" w:hAnsi="宋体" w:cs="宋体"/>
          <w:color w:val="auto"/>
          <w:sz w:val="24"/>
          <w:szCs w:val="24"/>
          <w:highlight w:val="none"/>
          <w:lang w:eastAsia="zh-CN"/>
        </w:rPr>
        <w:t>企业信用</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⑲　</w:t>
      </w:r>
      <w:r>
        <w:rPr>
          <w:rFonts w:hint="eastAsia" w:ascii="宋体" w:hAnsi="宋体"/>
          <w:color w:val="auto"/>
          <w:sz w:val="24"/>
          <w:szCs w:val="24"/>
          <w:highlight w:val="none"/>
        </w:rPr>
        <w:t>企业荣誉</w:t>
      </w:r>
      <w:r>
        <w:rPr>
          <w:rFonts w:hint="eastAsia" w:hAnsi="宋体" w:cs="宋体"/>
          <w:color w:val="auto"/>
          <w:sz w:val="24"/>
          <w:szCs w:val="24"/>
          <w:highlight w:val="none"/>
        </w:rPr>
        <w:t>；</w:t>
      </w:r>
    </w:p>
    <w:p>
      <w:pPr>
        <w:pStyle w:val="19"/>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⑳　投标方认为需要的其他文件资料。</w:t>
      </w:r>
    </w:p>
    <w:p>
      <w:pPr>
        <w:snapToGrid w:val="0"/>
        <w:spacing w:before="50" w:after="156" w:afterLines="50"/>
        <w:jc w:val="center"/>
        <w:outlineLvl w:val="0"/>
        <w:rPr>
          <w:rFonts w:hint="eastAsia" w:ascii="宋体" w:hAnsi="宋体" w:eastAsia="宋体" w:cs="宋体"/>
          <w:b/>
          <w:color w:val="auto"/>
          <w:sz w:val="30"/>
          <w:szCs w:val="30"/>
          <w:lang w:val="zh-CN"/>
        </w:rPr>
      </w:pPr>
      <w:r>
        <w:rPr>
          <w:rFonts w:hint="eastAsia" w:ascii="宋体" w:hAnsi="宋体" w:eastAsia="宋体" w:cs="宋体"/>
          <w:b/>
          <w:bCs/>
          <w:color w:val="auto"/>
          <w:sz w:val="24"/>
          <w:lang w:val="zh-CN"/>
        </w:rPr>
        <w:br w:type="page"/>
      </w:r>
      <w:bookmarkStart w:id="495" w:name="_Toc15814"/>
      <w:bookmarkStart w:id="496" w:name="_Toc27220"/>
      <w:r>
        <w:rPr>
          <w:rFonts w:hint="eastAsia" w:ascii="宋体" w:hAnsi="宋体" w:eastAsia="宋体" w:cs="宋体"/>
          <w:b/>
          <w:color w:val="auto"/>
          <w:sz w:val="30"/>
          <w:szCs w:val="30"/>
          <w:lang w:val="zh-CN"/>
        </w:rPr>
        <w:t>附件三：评分对应表</w:t>
      </w:r>
      <w:bookmarkEnd w:id="495"/>
      <w:bookmarkEnd w:id="496"/>
    </w:p>
    <w:p>
      <w:pPr>
        <w:snapToGrid w:val="0"/>
        <w:spacing w:before="50"/>
        <w:jc w:val="center"/>
        <w:rPr>
          <w:rFonts w:hint="eastAsia" w:ascii="宋体" w:hAnsi="宋体" w:eastAsia="宋体" w:cs="宋体"/>
          <w:b/>
          <w:color w:val="auto"/>
          <w:sz w:val="32"/>
          <w:szCs w:val="32"/>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采购编号：</w:t>
      </w:r>
    </w:p>
    <w:tbl>
      <w:tblPr>
        <w:tblStyle w:val="36"/>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投标文件对应资料</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对应评分办法及评分标准</w:t>
            </w:r>
          </w:p>
          <w:p>
            <w:pPr>
              <w:jc w:val="center"/>
              <w:rPr>
                <w:rFonts w:hint="eastAsia" w:ascii="宋体" w:hAnsi="宋体" w:eastAsia="宋体" w:cs="宋体"/>
                <w:color w:val="auto"/>
                <w:sz w:val="24"/>
              </w:rPr>
            </w:pPr>
            <w:r>
              <w:rPr>
                <w:rFonts w:hint="eastAsia" w:ascii="宋体" w:hAnsi="宋体" w:eastAsia="宋体" w:cs="宋体"/>
                <w:color w:val="auto"/>
                <w:sz w:val="24"/>
              </w:rPr>
              <w:t>（报价除外）</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auto"/>
                <w:sz w:val="24"/>
              </w:rPr>
            </w:pPr>
          </w:p>
        </w:tc>
      </w:tr>
    </w:tbl>
    <w:p>
      <w:pPr>
        <w:spacing w:line="360" w:lineRule="auto"/>
        <w:ind w:firstLine="480" w:firstLineChars="200"/>
        <w:rPr>
          <w:rFonts w:hint="eastAsia" w:ascii="宋体" w:hAnsi="宋体" w:eastAsia="宋体" w:cs="宋体"/>
          <w:color w:val="auto"/>
          <w:sz w:val="24"/>
        </w:rPr>
      </w:pPr>
    </w:p>
    <w:p>
      <w:pPr>
        <w:spacing w:line="360" w:lineRule="auto"/>
        <w:ind w:left="3780" w:leftChars="1800" w:firstLine="480" w:firstLineChars="200"/>
        <w:rPr>
          <w:rFonts w:hint="eastAsia" w:ascii="宋体" w:hAnsi="宋体" w:eastAsia="宋体" w:cs="宋体"/>
          <w:color w:val="auto"/>
          <w:sz w:val="24"/>
        </w:rPr>
      </w:pP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投标人全称（公章）：</w:t>
      </w:r>
    </w:p>
    <w:p>
      <w:pPr>
        <w:pStyle w:val="8"/>
        <w:jc w:val="center"/>
        <w:rPr>
          <w:rFonts w:hint="eastAsia" w:ascii="宋体" w:hAnsi="宋体" w:eastAsia="宋体" w:cs="宋体"/>
          <w:color w:val="auto"/>
          <w:sz w:val="30"/>
          <w:szCs w:val="30"/>
          <w:lang w:val="zh-CN"/>
        </w:rPr>
      </w:pPr>
      <w:r>
        <w:rPr>
          <w:rFonts w:hint="eastAsia" w:ascii="宋体" w:hAnsi="宋体" w:eastAsia="宋体" w:cs="宋体"/>
          <w:bCs/>
          <w:color w:val="auto"/>
          <w:sz w:val="24"/>
          <w:szCs w:val="24"/>
        </w:rPr>
        <w:br w:type="page"/>
      </w:r>
      <w:bookmarkStart w:id="497" w:name="_Toc26661"/>
      <w:bookmarkStart w:id="498" w:name="_Toc19514"/>
      <w:r>
        <w:rPr>
          <w:rFonts w:hint="eastAsia" w:ascii="宋体" w:hAnsi="宋体" w:eastAsia="宋体" w:cs="宋体"/>
          <w:color w:val="auto"/>
          <w:sz w:val="30"/>
          <w:szCs w:val="30"/>
          <w:lang w:val="zh-CN"/>
        </w:rPr>
        <w:t>附件四：资信分自评表</w:t>
      </w:r>
      <w:bookmarkEnd w:id="494"/>
      <w:bookmarkEnd w:id="497"/>
      <w:bookmarkEnd w:id="498"/>
    </w:p>
    <w:p>
      <w:pPr>
        <w:snapToGrid w:val="0"/>
        <w:spacing w:before="50"/>
        <w:jc w:val="center"/>
        <w:rPr>
          <w:rFonts w:hint="eastAsia" w:ascii="宋体" w:hAnsi="宋体" w:eastAsia="宋体" w:cs="宋体"/>
          <w:b/>
          <w:color w:val="auto"/>
          <w:sz w:val="32"/>
          <w:szCs w:val="32"/>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采购编号：</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387"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资信分内容</w:t>
            </w:r>
          </w:p>
        </w:tc>
        <w:tc>
          <w:tcPr>
            <w:tcW w:w="146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自评得分</w:t>
            </w:r>
          </w:p>
        </w:tc>
        <w:tc>
          <w:tcPr>
            <w:tcW w:w="2415" w:type="dxa"/>
            <w:tcBorders>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投标文件对应资料</w:t>
            </w:r>
          </w:p>
        </w:tc>
        <w:tc>
          <w:tcPr>
            <w:tcW w:w="1746" w:type="dxa"/>
            <w:tcBorders>
              <w:lef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387" w:type="dxa"/>
            <w:noWrap w:val="0"/>
            <w:vAlign w:val="top"/>
          </w:tcPr>
          <w:p>
            <w:pPr>
              <w:jc w:val="center"/>
              <w:rPr>
                <w:rFonts w:hint="eastAsia" w:ascii="宋体" w:hAnsi="宋体" w:eastAsia="宋体" w:cs="宋体"/>
                <w:color w:val="auto"/>
                <w:sz w:val="24"/>
              </w:rPr>
            </w:pPr>
          </w:p>
        </w:tc>
        <w:tc>
          <w:tcPr>
            <w:tcW w:w="1462" w:type="dxa"/>
            <w:noWrap w:val="0"/>
            <w:vAlign w:val="top"/>
          </w:tcPr>
          <w:p>
            <w:pPr>
              <w:jc w:val="center"/>
              <w:rPr>
                <w:rFonts w:hint="eastAsia" w:ascii="宋体" w:hAnsi="宋体" w:eastAsia="宋体" w:cs="宋体"/>
                <w:color w:val="auto"/>
                <w:sz w:val="24"/>
              </w:rPr>
            </w:pPr>
          </w:p>
        </w:tc>
        <w:tc>
          <w:tcPr>
            <w:tcW w:w="2415" w:type="dxa"/>
            <w:tcBorders>
              <w:right w:val="single" w:color="auto" w:sz="4" w:space="0"/>
            </w:tcBorders>
            <w:noWrap w:val="0"/>
            <w:vAlign w:val="top"/>
          </w:tcPr>
          <w:p>
            <w:pPr>
              <w:jc w:val="center"/>
              <w:rPr>
                <w:rFonts w:hint="eastAsia" w:ascii="宋体" w:hAnsi="宋体" w:eastAsia="宋体" w:cs="宋体"/>
                <w:color w:val="auto"/>
                <w:sz w:val="24"/>
              </w:rPr>
            </w:pPr>
          </w:p>
        </w:tc>
        <w:tc>
          <w:tcPr>
            <w:tcW w:w="1746" w:type="dxa"/>
            <w:tcBorders>
              <w:left w:val="single" w:color="auto" w:sz="4" w:space="0"/>
            </w:tcBorders>
            <w:noWrap w:val="0"/>
            <w:vAlign w:val="top"/>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387" w:type="dxa"/>
            <w:noWrap w:val="0"/>
            <w:vAlign w:val="top"/>
          </w:tcPr>
          <w:p>
            <w:pPr>
              <w:jc w:val="center"/>
              <w:rPr>
                <w:rFonts w:hint="eastAsia" w:ascii="宋体" w:hAnsi="宋体" w:eastAsia="宋体" w:cs="宋体"/>
                <w:color w:val="auto"/>
                <w:sz w:val="24"/>
              </w:rPr>
            </w:pPr>
          </w:p>
        </w:tc>
        <w:tc>
          <w:tcPr>
            <w:tcW w:w="1462" w:type="dxa"/>
            <w:noWrap w:val="0"/>
            <w:vAlign w:val="top"/>
          </w:tcPr>
          <w:p>
            <w:pPr>
              <w:jc w:val="center"/>
              <w:rPr>
                <w:rFonts w:hint="eastAsia" w:ascii="宋体" w:hAnsi="宋体" w:eastAsia="宋体" w:cs="宋体"/>
                <w:color w:val="auto"/>
                <w:sz w:val="24"/>
              </w:rPr>
            </w:pPr>
          </w:p>
        </w:tc>
        <w:tc>
          <w:tcPr>
            <w:tcW w:w="2415" w:type="dxa"/>
            <w:tcBorders>
              <w:right w:val="single" w:color="auto" w:sz="4" w:space="0"/>
            </w:tcBorders>
            <w:noWrap w:val="0"/>
            <w:vAlign w:val="top"/>
          </w:tcPr>
          <w:p>
            <w:pPr>
              <w:jc w:val="center"/>
              <w:rPr>
                <w:rFonts w:hint="eastAsia" w:ascii="宋体" w:hAnsi="宋体" w:eastAsia="宋体" w:cs="宋体"/>
                <w:color w:val="auto"/>
                <w:sz w:val="24"/>
              </w:rPr>
            </w:pPr>
          </w:p>
        </w:tc>
        <w:tc>
          <w:tcPr>
            <w:tcW w:w="1746" w:type="dxa"/>
            <w:tcBorders>
              <w:left w:val="single" w:color="auto" w:sz="4" w:space="0"/>
            </w:tcBorders>
            <w:noWrap w:val="0"/>
            <w:vAlign w:val="top"/>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387" w:type="dxa"/>
            <w:noWrap w:val="0"/>
            <w:vAlign w:val="top"/>
          </w:tcPr>
          <w:p>
            <w:pPr>
              <w:jc w:val="center"/>
              <w:rPr>
                <w:rFonts w:hint="eastAsia" w:ascii="宋体" w:hAnsi="宋体" w:eastAsia="宋体" w:cs="宋体"/>
                <w:color w:val="auto"/>
                <w:sz w:val="24"/>
              </w:rPr>
            </w:pPr>
          </w:p>
        </w:tc>
        <w:tc>
          <w:tcPr>
            <w:tcW w:w="1462" w:type="dxa"/>
            <w:noWrap w:val="0"/>
            <w:vAlign w:val="top"/>
          </w:tcPr>
          <w:p>
            <w:pPr>
              <w:jc w:val="center"/>
              <w:rPr>
                <w:rFonts w:hint="eastAsia" w:ascii="宋体" w:hAnsi="宋体" w:eastAsia="宋体" w:cs="宋体"/>
                <w:color w:val="auto"/>
                <w:sz w:val="24"/>
              </w:rPr>
            </w:pPr>
          </w:p>
        </w:tc>
        <w:tc>
          <w:tcPr>
            <w:tcW w:w="2415" w:type="dxa"/>
            <w:tcBorders>
              <w:right w:val="single" w:color="auto" w:sz="4" w:space="0"/>
            </w:tcBorders>
            <w:noWrap w:val="0"/>
            <w:vAlign w:val="top"/>
          </w:tcPr>
          <w:p>
            <w:pPr>
              <w:jc w:val="center"/>
              <w:rPr>
                <w:rFonts w:hint="eastAsia" w:ascii="宋体" w:hAnsi="宋体" w:eastAsia="宋体" w:cs="宋体"/>
                <w:color w:val="auto"/>
                <w:sz w:val="24"/>
              </w:rPr>
            </w:pPr>
          </w:p>
        </w:tc>
        <w:tc>
          <w:tcPr>
            <w:tcW w:w="1746" w:type="dxa"/>
            <w:tcBorders>
              <w:left w:val="single" w:color="auto" w:sz="4" w:space="0"/>
            </w:tcBorders>
            <w:noWrap w:val="0"/>
            <w:vAlign w:val="top"/>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387" w:type="dxa"/>
            <w:noWrap w:val="0"/>
            <w:vAlign w:val="top"/>
          </w:tcPr>
          <w:p>
            <w:pPr>
              <w:jc w:val="center"/>
              <w:rPr>
                <w:rFonts w:hint="eastAsia" w:ascii="宋体" w:hAnsi="宋体" w:eastAsia="宋体" w:cs="宋体"/>
                <w:color w:val="auto"/>
                <w:sz w:val="24"/>
              </w:rPr>
            </w:pPr>
          </w:p>
        </w:tc>
        <w:tc>
          <w:tcPr>
            <w:tcW w:w="1462" w:type="dxa"/>
            <w:noWrap w:val="0"/>
            <w:vAlign w:val="top"/>
          </w:tcPr>
          <w:p>
            <w:pPr>
              <w:jc w:val="center"/>
              <w:rPr>
                <w:rFonts w:hint="eastAsia" w:ascii="宋体" w:hAnsi="宋体" w:eastAsia="宋体" w:cs="宋体"/>
                <w:color w:val="auto"/>
                <w:sz w:val="24"/>
              </w:rPr>
            </w:pPr>
          </w:p>
        </w:tc>
        <w:tc>
          <w:tcPr>
            <w:tcW w:w="2415" w:type="dxa"/>
            <w:tcBorders>
              <w:right w:val="single" w:color="auto" w:sz="4" w:space="0"/>
            </w:tcBorders>
            <w:noWrap w:val="0"/>
            <w:vAlign w:val="top"/>
          </w:tcPr>
          <w:p>
            <w:pPr>
              <w:jc w:val="center"/>
              <w:rPr>
                <w:rFonts w:hint="eastAsia" w:ascii="宋体" w:hAnsi="宋体" w:eastAsia="宋体" w:cs="宋体"/>
                <w:color w:val="auto"/>
                <w:sz w:val="24"/>
              </w:rPr>
            </w:pPr>
          </w:p>
        </w:tc>
        <w:tc>
          <w:tcPr>
            <w:tcW w:w="1746" w:type="dxa"/>
            <w:tcBorders>
              <w:left w:val="single" w:color="auto" w:sz="4" w:space="0"/>
            </w:tcBorders>
            <w:noWrap w:val="0"/>
            <w:vAlign w:val="top"/>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387" w:type="dxa"/>
            <w:noWrap w:val="0"/>
            <w:vAlign w:val="top"/>
          </w:tcPr>
          <w:p>
            <w:pPr>
              <w:jc w:val="center"/>
              <w:rPr>
                <w:rFonts w:hint="eastAsia" w:ascii="宋体" w:hAnsi="宋体" w:eastAsia="宋体" w:cs="宋体"/>
                <w:color w:val="auto"/>
                <w:sz w:val="24"/>
              </w:rPr>
            </w:pPr>
          </w:p>
        </w:tc>
        <w:tc>
          <w:tcPr>
            <w:tcW w:w="1462" w:type="dxa"/>
            <w:noWrap w:val="0"/>
            <w:vAlign w:val="top"/>
          </w:tcPr>
          <w:p>
            <w:pPr>
              <w:jc w:val="center"/>
              <w:rPr>
                <w:rFonts w:hint="eastAsia" w:ascii="宋体" w:hAnsi="宋体" w:eastAsia="宋体" w:cs="宋体"/>
                <w:color w:val="auto"/>
                <w:sz w:val="24"/>
              </w:rPr>
            </w:pPr>
          </w:p>
        </w:tc>
        <w:tc>
          <w:tcPr>
            <w:tcW w:w="2415" w:type="dxa"/>
            <w:tcBorders>
              <w:right w:val="single" w:color="auto" w:sz="4" w:space="0"/>
            </w:tcBorders>
            <w:noWrap w:val="0"/>
            <w:vAlign w:val="top"/>
          </w:tcPr>
          <w:p>
            <w:pPr>
              <w:jc w:val="center"/>
              <w:rPr>
                <w:rFonts w:hint="eastAsia" w:ascii="宋体" w:hAnsi="宋体" w:eastAsia="宋体" w:cs="宋体"/>
                <w:color w:val="auto"/>
                <w:sz w:val="24"/>
              </w:rPr>
            </w:pPr>
          </w:p>
        </w:tc>
        <w:tc>
          <w:tcPr>
            <w:tcW w:w="1746" w:type="dxa"/>
            <w:tcBorders>
              <w:left w:val="single" w:color="auto" w:sz="4" w:space="0"/>
            </w:tcBorders>
            <w:noWrap w:val="0"/>
            <w:vAlign w:val="top"/>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387" w:type="dxa"/>
            <w:noWrap w:val="0"/>
            <w:vAlign w:val="top"/>
          </w:tcPr>
          <w:p>
            <w:pPr>
              <w:jc w:val="center"/>
              <w:rPr>
                <w:rFonts w:hint="eastAsia" w:ascii="宋体" w:hAnsi="宋体" w:eastAsia="宋体" w:cs="宋体"/>
                <w:color w:val="auto"/>
                <w:sz w:val="24"/>
              </w:rPr>
            </w:pPr>
          </w:p>
        </w:tc>
        <w:tc>
          <w:tcPr>
            <w:tcW w:w="1462" w:type="dxa"/>
            <w:noWrap w:val="0"/>
            <w:vAlign w:val="top"/>
          </w:tcPr>
          <w:p>
            <w:pPr>
              <w:jc w:val="center"/>
              <w:rPr>
                <w:rFonts w:hint="eastAsia" w:ascii="宋体" w:hAnsi="宋体" w:eastAsia="宋体" w:cs="宋体"/>
                <w:color w:val="auto"/>
                <w:sz w:val="24"/>
              </w:rPr>
            </w:pPr>
          </w:p>
        </w:tc>
        <w:tc>
          <w:tcPr>
            <w:tcW w:w="2415" w:type="dxa"/>
            <w:tcBorders>
              <w:right w:val="single" w:color="auto" w:sz="4" w:space="0"/>
            </w:tcBorders>
            <w:noWrap w:val="0"/>
            <w:vAlign w:val="top"/>
          </w:tcPr>
          <w:p>
            <w:pPr>
              <w:jc w:val="center"/>
              <w:rPr>
                <w:rFonts w:hint="eastAsia" w:ascii="宋体" w:hAnsi="宋体" w:eastAsia="宋体" w:cs="宋体"/>
                <w:color w:val="auto"/>
                <w:sz w:val="24"/>
              </w:rPr>
            </w:pPr>
          </w:p>
        </w:tc>
        <w:tc>
          <w:tcPr>
            <w:tcW w:w="1746" w:type="dxa"/>
            <w:tcBorders>
              <w:left w:val="single" w:color="auto" w:sz="4" w:space="0"/>
            </w:tcBorders>
            <w:noWrap w:val="0"/>
            <w:vAlign w:val="top"/>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7</w:t>
            </w:r>
          </w:p>
        </w:tc>
        <w:tc>
          <w:tcPr>
            <w:tcW w:w="2387" w:type="dxa"/>
            <w:noWrap w:val="0"/>
            <w:vAlign w:val="top"/>
          </w:tcPr>
          <w:p>
            <w:pPr>
              <w:jc w:val="center"/>
              <w:rPr>
                <w:rFonts w:hint="eastAsia" w:ascii="宋体" w:hAnsi="宋体" w:eastAsia="宋体" w:cs="宋体"/>
                <w:color w:val="auto"/>
                <w:sz w:val="24"/>
              </w:rPr>
            </w:pPr>
          </w:p>
        </w:tc>
        <w:tc>
          <w:tcPr>
            <w:tcW w:w="1462" w:type="dxa"/>
            <w:noWrap w:val="0"/>
            <w:vAlign w:val="top"/>
          </w:tcPr>
          <w:p>
            <w:pPr>
              <w:jc w:val="center"/>
              <w:rPr>
                <w:rFonts w:hint="eastAsia" w:ascii="宋体" w:hAnsi="宋体" w:eastAsia="宋体" w:cs="宋体"/>
                <w:color w:val="auto"/>
                <w:sz w:val="24"/>
              </w:rPr>
            </w:pPr>
          </w:p>
        </w:tc>
        <w:tc>
          <w:tcPr>
            <w:tcW w:w="2415" w:type="dxa"/>
            <w:tcBorders>
              <w:right w:val="single" w:color="auto" w:sz="4" w:space="0"/>
            </w:tcBorders>
            <w:noWrap w:val="0"/>
            <w:vAlign w:val="top"/>
          </w:tcPr>
          <w:p>
            <w:pPr>
              <w:jc w:val="center"/>
              <w:rPr>
                <w:rFonts w:hint="eastAsia" w:ascii="宋体" w:hAnsi="宋体" w:eastAsia="宋体" w:cs="宋体"/>
                <w:color w:val="auto"/>
                <w:sz w:val="24"/>
              </w:rPr>
            </w:pPr>
          </w:p>
        </w:tc>
        <w:tc>
          <w:tcPr>
            <w:tcW w:w="1746" w:type="dxa"/>
            <w:tcBorders>
              <w:left w:val="single" w:color="auto" w:sz="4" w:space="0"/>
            </w:tcBorders>
            <w:noWrap w:val="0"/>
            <w:vAlign w:val="top"/>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8</w:t>
            </w:r>
          </w:p>
        </w:tc>
        <w:tc>
          <w:tcPr>
            <w:tcW w:w="2387" w:type="dxa"/>
            <w:noWrap w:val="0"/>
            <w:vAlign w:val="top"/>
          </w:tcPr>
          <w:p>
            <w:pPr>
              <w:jc w:val="center"/>
              <w:rPr>
                <w:rFonts w:hint="eastAsia" w:ascii="宋体" w:hAnsi="宋体" w:eastAsia="宋体" w:cs="宋体"/>
                <w:color w:val="auto"/>
                <w:sz w:val="24"/>
              </w:rPr>
            </w:pPr>
          </w:p>
        </w:tc>
        <w:tc>
          <w:tcPr>
            <w:tcW w:w="1462" w:type="dxa"/>
            <w:noWrap w:val="0"/>
            <w:vAlign w:val="top"/>
          </w:tcPr>
          <w:p>
            <w:pPr>
              <w:jc w:val="center"/>
              <w:rPr>
                <w:rFonts w:hint="eastAsia" w:ascii="宋体" w:hAnsi="宋体" w:eastAsia="宋体" w:cs="宋体"/>
                <w:color w:val="auto"/>
                <w:sz w:val="24"/>
              </w:rPr>
            </w:pPr>
          </w:p>
        </w:tc>
        <w:tc>
          <w:tcPr>
            <w:tcW w:w="2415" w:type="dxa"/>
            <w:tcBorders>
              <w:right w:val="single" w:color="auto" w:sz="4" w:space="0"/>
            </w:tcBorders>
            <w:noWrap w:val="0"/>
            <w:vAlign w:val="top"/>
          </w:tcPr>
          <w:p>
            <w:pPr>
              <w:jc w:val="center"/>
              <w:rPr>
                <w:rFonts w:hint="eastAsia" w:ascii="宋体" w:hAnsi="宋体" w:eastAsia="宋体" w:cs="宋体"/>
                <w:color w:val="auto"/>
                <w:sz w:val="24"/>
              </w:rPr>
            </w:pPr>
          </w:p>
        </w:tc>
        <w:tc>
          <w:tcPr>
            <w:tcW w:w="1746" w:type="dxa"/>
            <w:tcBorders>
              <w:left w:val="single" w:color="auto" w:sz="4" w:space="0"/>
            </w:tcBorders>
            <w:noWrap w:val="0"/>
            <w:vAlign w:val="top"/>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合计</w:t>
            </w:r>
          </w:p>
        </w:tc>
        <w:tc>
          <w:tcPr>
            <w:tcW w:w="2387" w:type="dxa"/>
            <w:noWrap w:val="0"/>
            <w:vAlign w:val="top"/>
          </w:tcPr>
          <w:p>
            <w:pPr>
              <w:jc w:val="center"/>
              <w:rPr>
                <w:rFonts w:hint="eastAsia" w:ascii="宋体" w:hAnsi="宋体" w:eastAsia="宋体" w:cs="宋体"/>
                <w:color w:val="auto"/>
                <w:sz w:val="24"/>
              </w:rPr>
            </w:pPr>
          </w:p>
        </w:tc>
        <w:tc>
          <w:tcPr>
            <w:tcW w:w="1462" w:type="dxa"/>
            <w:noWrap w:val="0"/>
            <w:vAlign w:val="top"/>
          </w:tcPr>
          <w:p>
            <w:pPr>
              <w:jc w:val="center"/>
              <w:rPr>
                <w:rFonts w:hint="eastAsia" w:ascii="宋体" w:hAnsi="宋体" w:eastAsia="宋体" w:cs="宋体"/>
                <w:color w:val="auto"/>
                <w:sz w:val="24"/>
              </w:rPr>
            </w:pPr>
          </w:p>
        </w:tc>
        <w:tc>
          <w:tcPr>
            <w:tcW w:w="2415" w:type="dxa"/>
            <w:tcBorders>
              <w:right w:val="single" w:color="auto" w:sz="4" w:space="0"/>
            </w:tcBorders>
            <w:noWrap w:val="0"/>
            <w:vAlign w:val="top"/>
          </w:tcPr>
          <w:p>
            <w:pPr>
              <w:jc w:val="center"/>
              <w:rPr>
                <w:rFonts w:hint="eastAsia" w:ascii="宋体" w:hAnsi="宋体" w:eastAsia="宋体" w:cs="宋体"/>
                <w:color w:val="auto"/>
                <w:sz w:val="24"/>
              </w:rPr>
            </w:pPr>
          </w:p>
        </w:tc>
        <w:tc>
          <w:tcPr>
            <w:tcW w:w="1746" w:type="dxa"/>
            <w:tcBorders>
              <w:left w:val="single" w:color="auto" w:sz="4" w:space="0"/>
            </w:tcBorders>
            <w:noWrap w:val="0"/>
            <w:vAlign w:val="top"/>
          </w:tcPr>
          <w:p>
            <w:pPr>
              <w:jc w:val="center"/>
              <w:rPr>
                <w:rFonts w:hint="eastAsia" w:ascii="宋体" w:hAnsi="宋体" w:eastAsia="宋体" w:cs="宋体"/>
                <w:color w:val="auto"/>
                <w:sz w:val="24"/>
              </w:rPr>
            </w:pPr>
          </w:p>
        </w:tc>
      </w:tr>
    </w:tbl>
    <w:p>
      <w:pPr>
        <w:spacing w:line="360" w:lineRule="auto"/>
        <w:ind w:firstLine="480" w:firstLineChars="200"/>
        <w:rPr>
          <w:rFonts w:hint="eastAsia" w:ascii="宋体" w:hAnsi="宋体" w:eastAsia="宋体" w:cs="宋体"/>
          <w:color w:val="auto"/>
          <w:sz w:val="24"/>
        </w:rPr>
      </w:pPr>
    </w:p>
    <w:p>
      <w:pPr>
        <w:spacing w:line="360" w:lineRule="auto"/>
        <w:ind w:left="3780" w:leftChars="1800" w:firstLine="480" w:firstLineChars="200"/>
        <w:rPr>
          <w:rFonts w:hint="eastAsia" w:ascii="宋体" w:hAnsi="宋体" w:eastAsia="宋体" w:cs="宋体"/>
          <w:color w:val="auto"/>
          <w:sz w:val="24"/>
        </w:rPr>
      </w:pP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投标人全称（公章）：</w:t>
      </w:r>
    </w:p>
    <w:p>
      <w:pPr>
        <w:tabs>
          <w:tab w:val="left" w:pos="439"/>
        </w:tabs>
        <w:snapToGrid w:val="0"/>
        <w:spacing w:before="50" w:after="156" w:afterLines="50"/>
        <w:jc w:val="center"/>
        <w:outlineLvl w:val="0"/>
        <w:rPr>
          <w:rFonts w:hint="eastAsia" w:ascii="宋体" w:hAnsi="宋体" w:eastAsia="宋体" w:cs="宋体"/>
          <w:b/>
          <w:color w:val="auto"/>
          <w:sz w:val="30"/>
          <w:szCs w:val="30"/>
          <w:lang w:val="zh-CN"/>
        </w:rPr>
      </w:pPr>
      <w:r>
        <w:rPr>
          <w:rFonts w:hint="eastAsia" w:ascii="宋体" w:hAnsi="宋体" w:eastAsia="宋体" w:cs="宋体"/>
          <w:b/>
          <w:bCs/>
          <w:color w:val="auto"/>
          <w:sz w:val="24"/>
          <w:lang w:val="zh-CN"/>
        </w:rPr>
        <w:br w:type="page"/>
      </w:r>
      <w:bookmarkStart w:id="499" w:name="_Toc27686"/>
      <w:bookmarkStart w:id="500" w:name="_Toc22045"/>
      <w:r>
        <w:rPr>
          <w:rFonts w:hint="eastAsia" w:ascii="宋体" w:hAnsi="宋体" w:eastAsia="宋体" w:cs="宋体"/>
          <w:b/>
          <w:color w:val="auto"/>
          <w:sz w:val="30"/>
          <w:szCs w:val="30"/>
          <w:lang w:val="zh-CN"/>
        </w:rPr>
        <w:t>附件五：投标项目明细清单</w:t>
      </w:r>
      <w:bookmarkEnd w:id="499"/>
      <w:bookmarkEnd w:id="500"/>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采购编号：</w:t>
      </w:r>
    </w:p>
    <w:tbl>
      <w:tblPr>
        <w:tblStyle w:val="36"/>
        <w:tblW w:w="9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456"/>
        <w:gridCol w:w="3734"/>
        <w:gridCol w:w="1186"/>
        <w:gridCol w:w="1170"/>
        <w:gridCol w:w="15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服务内容</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 w:val="24"/>
              </w:rPr>
            </w:pPr>
            <w:r>
              <w:rPr>
                <w:rFonts w:hint="eastAsia" w:ascii="宋体" w:hAnsi="宋体" w:eastAsia="宋体" w:cs="宋体"/>
                <w:color w:val="auto"/>
                <w:sz w:val="24"/>
              </w:rPr>
              <w:t>（人员或设备）</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eastAsia="宋体" w:cs="宋体"/>
                <w:color w:val="auto"/>
                <w:sz w:val="24"/>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bl>
    <w:p>
      <w:pPr>
        <w:snapToGrid w:val="0"/>
        <w:spacing w:before="156" w:before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注：在填写时，如上表不适合本项目的实际情况，可在确保投标明细内容完整的情况下，根据上表格式自行划表填写。</w:t>
      </w: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snapToGrid w:val="0"/>
        <w:spacing w:before="156" w:beforeLines="50"/>
        <w:rPr>
          <w:rFonts w:hint="eastAsia" w:ascii="宋体" w:hAnsi="宋体" w:eastAsia="宋体" w:cs="宋体"/>
          <w:color w:val="auto"/>
          <w:sz w:val="24"/>
        </w:rPr>
      </w:pP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投标人全称（公章）：</w:t>
      </w:r>
    </w:p>
    <w:p>
      <w:pPr>
        <w:snapToGrid w:val="0"/>
        <w:spacing w:before="50" w:after="50"/>
        <w:rPr>
          <w:rFonts w:hint="eastAsia" w:ascii="宋体" w:hAnsi="宋体" w:eastAsia="宋体" w:cs="宋体"/>
          <w:color w:val="auto"/>
          <w:spacing w:val="20"/>
          <w:sz w:val="24"/>
        </w:rPr>
      </w:pPr>
    </w:p>
    <w:p>
      <w:pPr>
        <w:snapToGrid w:val="0"/>
        <w:spacing w:before="50" w:after="50"/>
        <w:rPr>
          <w:rFonts w:hint="eastAsia" w:ascii="宋体" w:hAnsi="宋体" w:eastAsia="宋体" w:cs="宋体"/>
          <w:color w:val="auto"/>
          <w:spacing w:val="20"/>
          <w:sz w:val="30"/>
          <w:szCs w:val="30"/>
        </w:rPr>
      </w:pPr>
    </w:p>
    <w:p>
      <w:pPr>
        <w:pStyle w:val="2"/>
        <w:ind w:firstLine="686"/>
        <w:rPr>
          <w:rFonts w:hint="eastAsia" w:ascii="宋体" w:hAnsi="宋体" w:eastAsia="宋体" w:cs="宋体"/>
          <w:color w:val="auto"/>
          <w:spacing w:val="20"/>
          <w:sz w:val="30"/>
          <w:szCs w:val="30"/>
        </w:rPr>
      </w:pPr>
    </w:p>
    <w:p>
      <w:pPr>
        <w:pStyle w:val="2"/>
        <w:ind w:firstLine="686"/>
        <w:rPr>
          <w:rFonts w:hint="eastAsia" w:ascii="宋体" w:hAnsi="宋体" w:eastAsia="宋体" w:cs="宋体"/>
          <w:color w:val="auto"/>
          <w:spacing w:val="20"/>
          <w:sz w:val="30"/>
          <w:szCs w:val="30"/>
        </w:rPr>
      </w:pPr>
    </w:p>
    <w:p>
      <w:pPr>
        <w:pStyle w:val="2"/>
        <w:ind w:firstLine="686"/>
        <w:rPr>
          <w:rFonts w:hint="eastAsia" w:ascii="宋体" w:hAnsi="宋体" w:eastAsia="宋体" w:cs="宋体"/>
          <w:color w:val="auto"/>
          <w:spacing w:val="20"/>
          <w:sz w:val="30"/>
          <w:szCs w:val="30"/>
        </w:rPr>
      </w:pPr>
    </w:p>
    <w:p>
      <w:pPr>
        <w:pStyle w:val="2"/>
        <w:ind w:firstLine="686"/>
        <w:rPr>
          <w:rFonts w:hint="eastAsia" w:ascii="宋体" w:hAnsi="宋体" w:eastAsia="宋体" w:cs="宋体"/>
          <w:color w:val="auto"/>
          <w:spacing w:val="20"/>
          <w:sz w:val="30"/>
          <w:szCs w:val="30"/>
        </w:rPr>
      </w:pPr>
    </w:p>
    <w:p>
      <w:pPr>
        <w:pStyle w:val="8"/>
        <w:jc w:val="center"/>
        <w:rPr>
          <w:rFonts w:hint="eastAsia" w:ascii="宋体" w:hAnsi="宋体" w:eastAsia="宋体" w:cs="宋体"/>
          <w:color w:val="auto"/>
          <w:sz w:val="30"/>
          <w:szCs w:val="30"/>
          <w:lang w:val="zh-CN"/>
        </w:rPr>
      </w:pPr>
      <w:bookmarkStart w:id="501" w:name="_Toc2823"/>
      <w:r>
        <w:rPr>
          <w:rFonts w:hint="eastAsia" w:ascii="宋体" w:hAnsi="宋体" w:eastAsia="宋体" w:cs="宋体"/>
          <w:bCs/>
          <w:color w:val="auto"/>
          <w:sz w:val="24"/>
          <w:szCs w:val="24"/>
        </w:rPr>
        <w:br w:type="page"/>
      </w:r>
      <w:bookmarkEnd w:id="501"/>
      <w:bookmarkStart w:id="502" w:name="_Toc7780"/>
      <w:bookmarkStart w:id="503" w:name="_Toc22842"/>
      <w:r>
        <w:rPr>
          <w:rFonts w:hint="eastAsia" w:ascii="宋体" w:hAnsi="宋体" w:eastAsia="宋体" w:cs="宋体"/>
          <w:color w:val="auto"/>
          <w:sz w:val="30"/>
          <w:szCs w:val="30"/>
          <w:lang w:val="zh-CN"/>
        </w:rPr>
        <w:t>附件</w:t>
      </w:r>
      <w:r>
        <w:rPr>
          <w:rFonts w:hint="eastAsia" w:ascii="宋体" w:hAnsi="宋体" w:eastAsia="宋体" w:cs="宋体"/>
          <w:color w:val="auto"/>
          <w:sz w:val="30"/>
          <w:szCs w:val="30"/>
        </w:rPr>
        <w:t>六</w:t>
      </w:r>
      <w:r>
        <w:rPr>
          <w:rFonts w:hint="eastAsia" w:ascii="宋体" w:hAnsi="宋体" w:eastAsia="宋体" w:cs="宋体"/>
          <w:color w:val="auto"/>
          <w:sz w:val="30"/>
          <w:szCs w:val="30"/>
          <w:lang w:val="zh-CN"/>
        </w:rPr>
        <w:t>：商务响应表</w:t>
      </w:r>
      <w:bookmarkEnd w:id="502"/>
      <w:bookmarkEnd w:id="503"/>
    </w:p>
    <w:p>
      <w:pPr>
        <w:snapToGrid w:val="0"/>
        <w:spacing w:before="50"/>
        <w:jc w:val="center"/>
        <w:rPr>
          <w:rFonts w:hint="eastAsia" w:ascii="宋体" w:hAnsi="宋体" w:eastAsia="宋体" w:cs="宋体"/>
          <w:b/>
          <w:color w:val="auto"/>
          <w:sz w:val="32"/>
          <w:szCs w:val="32"/>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采购编号：</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是否</w:t>
            </w:r>
          </w:p>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p>
        </w:tc>
      </w:tr>
    </w:tbl>
    <w:p>
      <w:pPr>
        <w:spacing w:line="360" w:lineRule="auto"/>
        <w:ind w:left="3780" w:leftChars="1800" w:firstLine="480" w:firstLineChars="200"/>
        <w:rPr>
          <w:rFonts w:hint="eastAsia" w:ascii="宋体" w:hAnsi="宋体" w:eastAsia="宋体" w:cs="宋体"/>
          <w:color w:val="auto"/>
          <w:sz w:val="24"/>
        </w:rPr>
      </w:pPr>
    </w:p>
    <w:p>
      <w:pPr>
        <w:snapToGrid w:val="0"/>
        <w:spacing w:before="156" w:before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注：根据商务要求表及投标实际情况自行填写。</w:t>
      </w:r>
    </w:p>
    <w:p>
      <w:pPr>
        <w:spacing w:line="360" w:lineRule="auto"/>
        <w:ind w:left="3780" w:leftChars="1800" w:firstLine="480" w:firstLineChars="200"/>
        <w:rPr>
          <w:rFonts w:hint="eastAsia" w:ascii="宋体" w:hAnsi="宋体" w:eastAsia="宋体" w:cs="宋体"/>
          <w:color w:val="auto"/>
          <w:sz w:val="24"/>
        </w:rPr>
      </w:pPr>
    </w:p>
    <w:p>
      <w:pPr>
        <w:spacing w:line="360" w:lineRule="auto"/>
        <w:ind w:left="3780" w:leftChars="1800" w:firstLine="480" w:firstLineChars="200"/>
        <w:rPr>
          <w:rFonts w:hint="eastAsia" w:ascii="宋体" w:hAnsi="宋体" w:eastAsia="宋体" w:cs="宋体"/>
          <w:color w:val="auto"/>
          <w:sz w:val="24"/>
        </w:rPr>
      </w:pP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投标人全称（公章）：</w:t>
      </w:r>
    </w:p>
    <w:p>
      <w:pPr>
        <w:pStyle w:val="8"/>
        <w:jc w:val="center"/>
        <w:rPr>
          <w:rFonts w:hint="eastAsia" w:ascii="宋体" w:hAnsi="宋体" w:eastAsia="宋体" w:cs="宋体"/>
          <w:color w:val="auto"/>
          <w:sz w:val="30"/>
          <w:szCs w:val="30"/>
          <w:lang w:val="zh-CN"/>
        </w:rPr>
      </w:pPr>
      <w:r>
        <w:rPr>
          <w:rFonts w:hint="eastAsia" w:ascii="宋体" w:hAnsi="宋体" w:eastAsia="宋体" w:cs="宋体"/>
          <w:color w:val="auto"/>
          <w:sz w:val="24"/>
        </w:rPr>
        <w:br w:type="page"/>
      </w:r>
      <w:bookmarkStart w:id="504" w:name="_Toc30127"/>
      <w:bookmarkStart w:id="505" w:name="_Toc24425"/>
      <w:r>
        <w:rPr>
          <w:rFonts w:hint="eastAsia" w:ascii="宋体" w:hAnsi="宋体" w:eastAsia="宋体" w:cs="宋体"/>
          <w:color w:val="auto"/>
          <w:sz w:val="30"/>
          <w:szCs w:val="30"/>
          <w:lang w:val="zh-CN"/>
        </w:rPr>
        <w:t>附件</w:t>
      </w:r>
      <w:r>
        <w:rPr>
          <w:rFonts w:hint="eastAsia" w:ascii="宋体" w:hAnsi="宋体" w:eastAsia="宋体" w:cs="宋体"/>
          <w:color w:val="auto"/>
          <w:sz w:val="30"/>
          <w:szCs w:val="30"/>
        </w:rPr>
        <w:t>七</w:t>
      </w:r>
      <w:r>
        <w:rPr>
          <w:rFonts w:hint="eastAsia" w:ascii="宋体" w:hAnsi="宋体" w:eastAsia="宋体" w:cs="宋体"/>
          <w:color w:val="auto"/>
          <w:sz w:val="30"/>
          <w:szCs w:val="30"/>
          <w:lang w:val="zh-CN"/>
        </w:rPr>
        <w:t>：项目团队</w:t>
      </w:r>
      <w:bookmarkEnd w:id="504"/>
      <w:bookmarkEnd w:id="505"/>
    </w:p>
    <w:p>
      <w:pPr>
        <w:snapToGrid w:val="0"/>
        <w:spacing w:before="156" w:beforeLines="50" w:after="50"/>
        <w:jc w:val="center"/>
        <w:rPr>
          <w:rFonts w:hint="eastAsia" w:ascii="宋体" w:hAnsi="宋体" w:eastAsia="宋体" w:cs="宋体"/>
          <w:b/>
          <w:color w:val="auto"/>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采购编号：</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本项目职务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56" w:beforeLines="50" w:after="50" w:line="460" w:lineRule="exact"/>
              <w:ind w:left="5250"/>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eastAsia="宋体" w:cs="宋体"/>
                <w:color w:val="auto"/>
                <w:sz w:val="24"/>
              </w:rPr>
            </w:pPr>
          </w:p>
        </w:tc>
      </w:tr>
    </w:tbl>
    <w:p>
      <w:pPr>
        <w:adjustRightInd w:val="0"/>
        <w:snapToGrid w:val="0"/>
        <w:spacing w:line="360" w:lineRule="auto"/>
        <w:jc w:val="left"/>
        <w:rPr>
          <w:rFonts w:hint="eastAsia" w:ascii="宋体" w:hAnsi="宋体" w:eastAsia="宋体" w:cs="宋体"/>
          <w:color w:val="auto"/>
          <w:sz w:val="24"/>
        </w:rPr>
      </w:pPr>
    </w:p>
    <w:p>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注：在填写时，如本表格不适合投标单位的实际情况，可根据本表格式自行划表填写。 </w:t>
      </w:r>
    </w:p>
    <w:p>
      <w:pPr>
        <w:snapToGrid w:val="0"/>
        <w:spacing w:before="50" w:after="156" w:afterLines="50" w:line="460" w:lineRule="exact"/>
        <w:jc w:val="left"/>
        <w:rPr>
          <w:rFonts w:hint="eastAsia" w:ascii="宋体" w:hAnsi="宋体" w:eastAsia="宋体" w:cs="宋体"/>
          <w:color w:val="auto"/>
          <w:sz w:val="24"/>
        </w:rPr>
      </w:pPr>
    </w:p>
    <w:p>
      <w:pPr>
        <w:pStyle w:val="2"/>
        <w:rPr>
          <w:rFonts w:hint="eastAsia" w:ascii="宋体" w:hAnsi="宋体" w:eastAsia="宋体" w:cs="宋体"/>
          <w:color w:val="auto"/>
        </w:rPr>
      </w:pP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投标人全称（公章）：</w:t>
      </w:r>
    </w:p>
    <w:p>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color w:val="auto"/>
          <w:spacing w:val="20"/>
          <w:sz w:val="30"/>
          <w:szCs w:val="30"/>
        </w:rPr>
        <w:br w:type="page"/>
      </w:r>
      <w:r>
        <w:rPr>
          <w:rFonts w:hint="eastAsia" w:ascii="宋体" w:hAnsi="宋体" w:eastAsia="宋体" w:cs="宋体"/>
          <w:b/>
          <w:color w:val="auto"/>
          <w:kern w:val="0"/>
          <w:sz w:val="36"/>
          <w:szCs w:val="36"/>
        </w:rPr>
        <w:t>报价文件</w:t>
      </w:r>
    </w:p>
    <w:p>
      <w:pPr>
        <w:spacing w:line="360" w:lineRule="auto"/>
        <w:jc w:val="center"/>
        <w:rPr>
          <w:rFonts w:hint="eastAsia" w:ascii="宋体" w:hAnsi="宋体" w:eastAsia="宋体" w:cs="宋体"/>
          <w:b/>
          <w:color w:val="auto"/>
          <w:kern w:val="0"/>
          <w:sz w:val="36"/>
          <w:szCs w:val="36"/>
        </w:rPr>
      </w:pPr>
    </w:p>
    <w:p>
      <w:pPr>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2"/>
        <w:ind w:firstLine="723"/>
        <w:rPr>
          <w:rFonts w:hint="eastAsia" w:ascii="宋体" w:hAnsi="宋体" w:eastAsia="宋体" w:cs="宋体"/>
          <w:b/>
          <w:color w:val="auto"/>
          <w:kern w:val="0"/>
          <w:sz w:val="36"/>
          <w:szCs w:val="36"/>
        </w:rPr>
      </w:pPr>
    </w:p>
    <w:p>
      <w:pPr>
        <w:numPr>
          <w:ilvl w:val="0"/>
          <w:numId w:val="44"/>
        </w:numPr>
        <w:tabs>
          <w:tab w:val="left" w:pos="1440"/>
          <w:tab w:val="left" w:pos="1620"/>
          <w:tab w:val="left" w:pos="1800"/>
          <w:tab w:val="left" w:pos="1980"/>
        </w:tabs>
        <w:autoSpaceDE w:val="0"/>
        <w:autoSpaceDN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投标函（格式见附件）；</w:t>
      </w:r>
    </w:p>
    <w:p>
      <w:pPr>
        <w:numPr>
          <w:ilvl w:val="0"/>
          <w:numId w:val="44"/>
        </w:numPr>
        <w:tabs>
          <w:tab w:val="left" w:pos="1440"/>
          <w:tab w:val="left" w:pos="1620"/>
          <w:tab w:val="left" w:pos="1800"/>
          <w:tab w:val="left" w:pos="1980"/>
        </w:tabs>
        <w:autoSpaceDE w:val="0"/>
        <w:autoSpaceDN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开标一览表（格式见附件）；</w:t>
      </w:r>
    </w:p>
    <w:p>
      <w:pPr>
        <w:numPr>
          <w:ilvl w:val="0"/>
          <w:numId w:val="44"/>
        </w:numPr>
        <w:tabs>
          <w:tab w:val="left" w:pos="1440"/>
          <w:tab w:val="left" w:pos="1620"/>
          <w:tab w:val="left" w:pos="1800"/>
          <w:tab w:val="left" w:pos="1980"/>
        </w:tabs>
        <w:autoSpaceDE w:val="0"/>
        <w:autoSpaceDN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中小企业声明函(如有)（格式见附件）；</w:t>
      </w:r>
    </w:p>
    <w:p>
      <w:pPr>
        <w:numPr>
          <w:ilvl w:val="0"/>
          <w:numId w:val="44"/>
        </w:numPr>
        <w:tabs>
          <w:tab w:val="left" w:pos="1440"/>
          <w:tab w:val="left" w:pos="1620"/>
          <w:tab w:val="left" w:pos="1800"/>
          <w:tab w:val="left" w:pos="1980"/>
        </w:tabs>
        <w:autoSpaceDE w:val="0"/>
        <w:autoSpaceDN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投标报价明细表（格式见附件）；</w:t>
      </w:r>
    </w:p>
    <w:p>
      <w:pPr>
        <w:numPr>
          <w:ilvl w:val="0"/>
          <w:numId w:val="44"/>
        </w:numPr>
        <w:tabs>
          <w:tab w:val="left" w:pos="1440"/>
          <w:tab w:val="left" w:pos="1620"/>
          <w:tab w:val="left" w:pos="1800"/>
          <w:tab w:val="left" w:pos="1980"/>
        </w:tabs>
        <w:autoSpaceDE w:val="0"/>
        <w:autoSpaceDN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残疾人福利性单位声明函(如有)（格式见附件）；</w:t>
      </w:r>
    </w:p>
    <w:p>
      <w:pPr>
        <w:numPr>
          <w:ilvl w:val="0"/>
          <w:numId w:val="44"/>
        </w:numPr>
        <w:tabs>
          <w:tab w:val="left" w:pos="1440"/>
          <w:tab w:val="left" w:pos="1620"/>
          <w:tab w:val="left" w:pos="1800"/>
          <w:tab w:val="left" w:pos="1980"/>
        </w:tabs>
        <w:autoSpaceDE w:val="0"/>
        <w:autoSpaceDN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监狱企业证明文件(如有)。</w:t>
      </w:r>
    </w:p>
    <w:p>
      <w:pPr>
        <w:pStyle w:val="2"/>
        <w:ind w:firstLine="560"/>
        <w:rPr>
          <w:rFonts w:hint="eastAsia" w:ascii="宋体" w:hAnsi="宋体" w:eastAsia="宋体" w:cs="宋体"/>
          <w:color w:val="auto"/>
          <w:sz w:val="28"/>
          <w:szCs w:val="28"/>
        </w:rPr>
      </w:pPr>
    </w:p>
    <w:p>
      <w:pPr>
        <w:pStyle w:val="2"/>
        <w:ind w:firstLine="560"/>
        <w:rPr>
          <w:rFonts w:hint="eastAsia" w:ascii="宋体" w:hAnsi="宋体" w:eastAsia="宋体" w:cs="宋体"/>
          <w:color w:val="auto"/>
          <w:sz w:val="28"/>
          <w:szCs w:val="28"/>
        </w:rPr>
      </w:pPr>
    </w:p>
    <w:p>
      <w:pPr>
        <w:pStyle w:val="2"/>
        <w:ind w:firstLine="560"/>
        <w:rPr>
          <w:rFonts w:hint="eastAsia" w:ascii="宋体" w:hAnsi="宋体" w:eastAsia="宋体" w:cs="宋体"/>
          <w:color w:val="auto"/>
          <w:sz w:val="28"/>
          <w:szCs w:val="28"/>
        </w:rPr>
      </w:pPr>
    </w:p>
    <w:p>
      <w:pPr>
        <w:pStyle w:val="2"/>
        <w:ind w:firstLine="560"/>
        <w:rPr>
          <w:rFonts w:hint="eastAsia" w:ascii="宋体" w:hAnsi="宋体" w:eastAsia="宋体" w:cs="宋体"/>
          <w:color w:val="auto"/>
          <w:sz w:val="28"/>
          <w:szCs w:val="28"/>
        </w:rPr>
      </w:pPr>
    </w:p>
    <w:p>
      <w:pPr>
        <w:pStyle w:val="2"/>
        <w:ind w:firstLine="560"/>
        <w:rPr>
          <w:rFonts w:hint="eastAsia" w:ascii="宋体" w:hAnsi="宋体" w:eastAsia="宋体" w:cs="宋体"/>
          <w:color w:val="auto"/>
          <w:sz w:val="28"/>
          <w:szCs w:val="28"/>
        </w:rPr>
      </w:pPr>
    </w:p>
    <w:p>
      <w:pPr>
        <w:pStyle w:val="2"/>
        <w:ind w:firstLine="560"/>
        <w:rPr>
          <w:rFonts w:hint="eastAsia" w:ascii="宋体" w:hAnsi="宋体" w:eastAsia="宋体" w:cs="宋体"/>
          <w:color w:val="auto"/>
          <w:sz w:val="28"/>
          <w:szCs w:val="28"/>
        </w:rPr>
      </w:pPr>
    </w:p>
    <w:p>
      <w:pPr>
        <w:pStyle w:val="2"/>
        <w:ind w:firstLine="560"/>
        <w:rPr>
          <w:rFonts w:hint="eastAsia" w:ascii="宋体" w:hAnsi="宋体" w:eastAsia="宋体" w:cs="宋体"/>
          <w:color w:val="auto"/>
          <w:sz w:val="28"/>
          <w:szCs w:val="28"/>
        </w:rPr>
      </w:pPr>
    </w:p>
    <w:p>
      <w:pPr>
        <w:pStyle w:val="2"/>
        <w:ind w:firstLine="560"/>
        <w:rPr>
          <w:rFonts w:hint="eastAsia" w:ascii="宋体" w:hAnsi="宋体" w:eastAsia="宋体" w:cs="宋体"/>
          <w:color w:val="auto"/>
          <w:sz w:val="28"/>
          <w:szCs w:val="28"/>
        </w:rPr>
      </w:pPr>
    </w:p>
    <w:p>
      <w:pPr>
        <w:pStyle w:val="2"/>
        <w:ind w:firstLine="560"/>
        <w:rPr>
          <w:rFonts w:hint="eastAsia" w:ascii="宋体" w:hAnsi="宋体" w:eastAsia="宋体" w:cs="宋体"/>
          <w:color w:val="auto"/>
          <w:sz w:val="28"/>
          <w:szCs w:val="28"/>
        </w:rPr>
      </w:pPr>
    </w:p>
    <w:p>
      <w:pPr>
        <w:pStyle w:val="2"/>
        <w:ind w:firstLine="560"/>
        <w:rPr>
          <w:rFonts w:hint="eastAsia" w:ascii="宋体" w:hAnsi="宋体" w:eastAsia="宋体" w:cs="宋体"/>
          <w:color w:val="auto"/>
          <w:sz w:val="28"/>
          <w:szCs w:val="28"/>
        </w:rPr>
      </w:pPr>
    </w:p>
    <w:p>
      <w:pPr>
        <w:pStyle w:val="2"/>
        <w:ind w:firstLine="560"/>
        <w:rPr>
          <w:rFonts w:hint="eastAsia" w:ascii="宋体" w:hAnsi="宋体" w:eastAsia="宋体" w:cs="宋体"/>
          <w:color w:val="auto"/>
          <w:sz w:val="28"/>
          <w:szCs w:val="28"/>
        </w:rPr>
      </w:pPr>
    </w:p>
    <w:p>
      <w:pPr>
        <w:pStyle w:val="8"/>
        <w:jc w:val="center"/>
        <w:rPr>
          <w:rFonts w:hint="eastAsia" w:ascii="宋体" w:hAnsi="宋体" w:eastAsia="宋体" w:cs="宋体"/>
          <w:color w:val="auto"/>
          <w:sz w:val="30"/>
          <w:szCs w:val="30"/>
          <w:lang w:val="zh-CN"/>
        </w:rPr>
      </w:pPr>
      <w:bookmarkStart w:id="506" w:name="_Toc31130"/>
      <w:bookmarkStart w:id="507" w:name="_Toc3094"/>
      <w:bookmarkStart w:id="508" w:name="_Toc31366"/>
      <w:r>
        <w:rPr>
          <w:rFonts w:hint="eastAsia" w:ascii="宋体" w:hAnsi="宋体" w:eastAsia="宋体" w:cs="宋体"/>
          <w:color w:val="auto"/>
          <w:sz w:val="30"/>
          <w:szCs w:val="30"/>
          <w:lang w:val="zh-CN"/>
        </w:rPr>
        <w:t>附件</w:t>
      </w:r>
      <w:bookmarkStart w:id="509" w:name="_Toc130094924"/>
      <w:bookmarkStart w:id="510" w:name="_Toc98731770"/>
      <w:r>
        <w:rPr>
          <w:rFonts w:hint="eastAsia" w:ascii="宋体" w:hAnsi="宋体" w:eastAsia="宋体" w:cs="宋体"/>
          <w:color w:val="auto"/>
          <w:sz w:val="30"/>
          <w:szCs w:val="30"/>
        </w:rPr>
        <w:t>八</w:t>
      </w:r>
      <w:r>
        <w:rPr>
          <w:rFonts w:hint="eastAsia" w:ascii="宋体" w:hAnsi="宋体" w:eastAsia="宋体" w:cs="宋体"/>
          <w:color w:val="auto"/>
          <w:sz w:val="30"/>
          <w:szCs w:val="30"/>
          <w:lang w:val="zh-CN"/>
        </w:rPr>
        <w:t>：投 标 函</w:t>
      </w:r>
      <w:bookmarkEnd w:id="506"/>
      <w:bookmarkEnd w:id="507"/>
      <w:bookmarkEnd w:id="508"/>
      <w:bookmarkEnd w:id="509"/>
      <w:bookmarkEnd w:id="510"/>
    </w:p>
    <w:p>
      <w:pPr>
        <w:spacing w:line="360" w:lineRule="auto"/>
        <w:ind w:firstLine="480" w:firstLineChars="200"/>
        <w:rPr>
          <w:rFonts w:hint="eastAsia" w:ascii="宋体" w:hAnsi="宋体" w:eastAsia="宋体" w:cs="宋体"/>
          <w:color w:val="auto"/>
          <w:sz w:val="24"/>
          <w:u w:val="single"/>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eastAsia="zh-CN"/>
        </w:rPr>
        <w:t>上虞区丰惠镇人民政府</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浙江宇康工程管理咨询有限公司</w:t>
      </w:r>
      <w:r>
        <w:rPr>
          <w:rFonts w:hint="eastAsia" w:ascii="宋体" w:hAnsi="宋体" w:eastAsia="宋体" w:cs="宋体"/>
          <w:color w:val="auto"/>
          <w:sz w:val="24"/>
        </w:rPr>
        <w:t>：</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我单位认真研究了关于</w:t>
      </w:r>
      <w:r>
        <w:rPr>
          <w:rFonts w:hint="eastAsia" w:ascii="宋体" w:hAnsi="宋体" w:eastAsia="宋体" w:cs="宋体"/>
          <w:color w:val="auto"/>
          <w:sz w:val="24"/>
          <w:u w:val="single"/>
        </w:rPr>
        <w:t xml:space="preserve">                      </w:t>
      </w:r>
      <w:r>
        <w:rPr>
          <w:rFonts w:hint="eastAsia" w:ascii="宋体" w:hAnsi="宋体" w:eastAsia="宋体" w:cs="宋体"/>
          <w:color w:val="auto"/>
          <w:sz w:val="24"/>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504" w:firstLineChars="240"/>
        <w:rPr>
          <w:rFonts w:hint="eastAsia" w:ascii="宋体" w:hAnsi="宋体" w:eastAsia="宋体" w:cs="宋体"/>
          <w:color w:val="auto"/>
          <w:sz w:val="24"/>
        </w:rPr>
      </w:pPr>
      <w:r>
        <w:rPr>
          <w:rFonts w:hint="eastAsia" w:ascii="宋体" w:hAnsi="宋体" w:eastAsia="宋体" w:cs="宋体"/>
          <w:color w:val="auto"/>
          <w:lang/>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 name="直接连接符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9pt;margin-top:39pt;height:0pt;width:0.05pt;z-index:251659264;mso-width-relative:page;mso-height-relative:page;" filled="f" stroked="t" coordsize="21600,21600" o:allowincell="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EFJv7AEAALgDAAAOAAAAZHJzL2Uyb0RvYy54bWysU0uOEzEQ3SNxB8t70knQjKCVziwShs0I Is1wgIrt7rbwTy6TTi7BBZDYwYole24zwzEoOx9mhg1C9KJkl6ue6z2/nl1srWEbFVF71/DJaMyZ csJL7bqGv7u5fPaCM0zgJBjvVMN3CvnF/OmT2RBqNfW9N1JFRiAO6yE0vE8p1FWFolcWcOSDcnTY +mgh0TZ2lYwwELo11XQ8Pq8GH2WIXihEyi73h3xe8NtWifS2bVElZhpOs6USY4nrHKv5DOouQui1 OIwB/zCFBe3o0hPUEhKwD1H/AWW1iB59m0bC28q3rRaqcCA2k/EjNtc9BFW4kDgYTjLh/4MVbzar yLRs+JQzB5ae6O7T99uPX37++Ezx7ttXNs0iDQFrql24Vcw0xdZdhysv3iNzftGD61QZ9mYXCGGS O6oHLXmDYd+8baPNIMSebctT7E5PobaJCUqePz/jTBzzFdTHphAxvVbesrxouNEuKwQ1bK4w5Wuh PpbktHFsaPjLs2mGAzJYayDR0gaijK4rveiNlpfamNyBsVsvTGQbyJYpX6FDJ/fL8iVLwH5fV472 ZuoVyFdOslSkcOR6nkewSnJmFP0keVVsl0Cbv6kkSsYdBN1rmNVce7lbxaPQZI/C/WDl7L/7+9L9 +4eb/wIAAP//AwBQSwMEFAAGAAgAAAAhAA98H6XdAAAADAEAAA8AAABkcnMvZG93bnJldi54bWxM j0FPwzAMhe9I/IfISFwmlm5IUHVNJ8TojQsbiKvXmLaicbom2wq/Hlcc4GLr05Of38vXo+vUiYbQ ejawmCegiCtvW64NvO7KmxRUiMgWO89k4IsCrIvLixwz68/8QqdtrJWYcMjQQBNjn2kdqoYchrnv iUX78IPDKDjU2g54FnPX6WWS3GmHLcuHBnt6bKj63B6dgVC+0aH8nlWz5P229rQ8bJ6f0Jjrq3Gz kvGwAhVpjH8XMHWQ/FBIsL0/sg2qE06lTzRwP+1JTxeg9r+si1z/L1H8AAAA//8DAFBLAQItABQA BgAIAAAAIQC2gziS/gAAAOEBAAATAAAAAAAAAAAAAAAAAAAAAABbQ29udGVudF9UeXBlc10ueG1s UEsBAi0AFAAGAAgAAAAhADj9If/WAAAAlAEAAAsAAAAAAAAAAAAAAAAALwEAAF9yZWxzLy5yZWxz UEsBAi0AFAAGAAgAAAAhAHgQUm/sAQAAuAMAAA4AAAAAAAAAAAAAAAAALgIAAGRycy9lMm9Eb2Mu eG1sUEsBAi0AFAAGAAgAAAAhAA98H6XdAAAADAEAAA8AAAAAAAAAAAAAAAAARgQAAGRycy9kb3du cmV2LnhtbFBLBQYAAAAABAAEAPMAAABQBQAAAAA= ">
                <v:fill on="f" focussize="0,0"/>
                <v:stroke color="#000000" joinstyle="round"/>
                <v:imagedata o:title=""/>
                <o:lock v:ext="edit" aspectratio="f"/>
              </v:line>
            </w:pict>
          </mc:Fallback>
        </mc:AlternateContent>
      </w:r>
      <w:r>
        <w:rPr>
          <w:rFonts w:hint="eastAsia" w:ascii="宋体" w:hAnsi="宋体" w:eastAsia="宋体" w:cs="宋体"/>
          <w:color w:val="auto"/>
          <w:sz w:val="24"/>
        </w:rPr>
        <w:t>1、一旦我单位中标，我单位愿意承接开标一览表中所列的技术服务。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2、我单位同意提供按照</w:t>
      </w:r>
      <w:r>
        <w:rPr>
          <w:rFonts w:hint="eastAsia" w:ascii="宋体" w:hAnsi="宋体" w:eastAsia="宋体" w:cs="宋体"/>
          <w:bCs/>
          <w:color w:val="auto"/>
          <w:sz w:val="24"/>
        </w:rPr>
        <w:t>采购人的可能要求与其投标有关的一切数据和资料，完全理解采购人不一定要接受最低价者作为中标人</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3、一旦我单位中标，我们保证按照招标文件的要求，完成设备交货、安装、验收并交付使用。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4、如果我单位中标，我方将按照要求提交履约保证金，严格履行合同义务。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5、除非另行达成协议并生效，你方的中标通知书和本投标函将构成约束你我双方的合同。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6、我单位承诺，一旦发生招标文件第二部分第12条规定情形之一的，承担该条款约定的责任。</w:t>
      </w:r>
    </w:p>
    <w:p>
      <w:pPr>
        <w:pStyle w:val="19"/>
        <w:snapToGrid w:val="0"/>
        <w:spacing w:line="360" w:lineRule="auto"/>
        <w:ind w:left="480"/>
        <w:jc w:val="lef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bCs/>
          <w:color w:val="auto"/>
          <w:sz w:val="24"/>
          <w:szCs w:val="21"/>
        </w:rPr>
      </w:pPr>
      <w:r>
        <w:rPr>
          <w:rFonts w:hint="eastAsia" w:ascii="宋体" w:hAnsi="宋体" w:eastAsia="宋体" w:cs="宋体"/>
          <w:bCs/>
          <w:color w:val="auto"/>
          <w:sz w:val="24"/>
          <w:szCs w:val="21"/>
        </w:rPr>
        <w:t>地址：</w:t>
      </w:r>
      <w:r>
        <w:rPr>
          <w:rFonts w:hint="eastAsia" w:ascii="宋体" w:hAnsi="宋体" w:eastAsia="宋体" w:cs="宋体"/>
          <w:bCs/>
          <w:color w:val="auto"/>
          <w:sz w:val="24"/>
          <w:szCs w:val="21"/>
          <w:u w:val="single"/>
        </w:rPr>
        <w:t xml:space="preserve">                               </w:t>
      </w:r>
      <w:r>
        <w:rPr>
          <w:rFonts w:hint="eastAsia" w:ascii="宋体" w:hAnsi="宋体" w:eastAsia="宋体" w:cs="宋体"/>
          <w:bCs/>
          <w:color w:val="auto"/>
          <w:sz w:val="24"/>
          <w:szCs w:val="21"/>
        </w:rPr>
        <w:t>邮编：</w:t>
      </w:r>
      <w:r>
        <w:rPr>
          <w:rFonts w:hint="eastAsia" w:ascii="宋体" w:hAnsi="宋体" w:eastAsia="宋体" w:cs="宋体"/>
          <w:bCs/>
          <w:color w:val="auto"/>
          <w:sz w:val="24"/>
          <w:szCs w:val="21"/>
          <w:u w:val="single"/>
        </w:rPr>
        <w:t xml:space="preserve">                 </w:t>
      </w:r>
    </w:p>
    <w:p>
      <w:pPr>
        <w:spacing w:line="360" w:lineRule="auto"/>
        <w:ind w:firstLine="480" w:firstLineChars="200"/>
        <w:rPr>
          <w:rFonts w:hint="eastAsia" w:ascii="宋体" w:hAnsi="宋体" w:eastAsia="宋体" w:cs="宋体"/>
          <w:bCs/>
          <w:color w:val="auto"/>
          <w:sz w:val="24"/>
          <w:szCs w:val="21"/>
          <w:u w:val="single"/>
        </w:rPr>
      </w:pPr>
      <w:r>
        <w:rPr>
          <w:rFonts w:hint="eastAsia" w:ascii="宋体" w:hAnsi="宋体" w:eastAsia="宋体" w:cs="宋体"/>
          <w:bCs/>
          <w:color w:val="auto"/>
          <w:sz w:val="24"/>
          <w:szCs w:val="21"/>
        </w:rPr>
        <w:t>电话：</w:t>
      </w:r>
      <w:r>
        <w:rPr>
          <w:rFonts w:hint="eastAsia" w:ascii="宋体" w:hAnsi="宋体" w:eastAsia="宋体" w:cs="宋体"/>
          <w:bCs/>
          <w:color w:val="auto"/>
          <w:sz w:val="24"/>
          <w:szCs w:val="21"/>
          <w:u w:val="single"/>
        </w:rPr>
        <w:t xml:space="preserve">                               </w:t>
      </w:r>
      <w:r>
        <w:rPr>
          <w:rFonts w:hint="eastAsia" w:ascii="宋体" w:hAnsi="宋体" w:eastAsia="宋体" w:cs="宋体"/>
          <w:bCs/>
          <w:color w:val="auto"/>
          <w:sz w:val="24"/>
          <w:szCs w:val="21"/>
        </w:rPr>
        <w:t>传真：</w:t>
      </w:r>
      <w:r>
        <w:rPr>
          <w:rFonts w:hint="eastAsia" w:ascii="宋体" w:hAnsi="宋体" w:eastAsia="宋体" w:cs="宋体"/>
          <w:bCs/>
          <w:color w:val="auto"/>
          <w:sz w:val="24"/>
          <w:szCs w:val="21"/>
          <w:u w:val="single"/>
        </w:rPr>
        <w:t xml:space="preserve">                 </w:t>
      </w:r>
    </w:p>
    <w:p>
      <w:pPr>
        <w:spacing w:line="360" w:lineRule="auto"/>
        <w:ind w:firstLine="480" w:firstLineChars="200"/>
        <w:rPr>
          <w:rFonts w:hint="eastAsia" w:ascii="宋体" w:hAnsi="宋体" w:eastAsia="宋体" w:cs="宋体"/>
          <w:bCs/>
          <w:color w:val="auto"/>
          <w:sz w:val="24"/>
          <w:szCs w:val="21"/>
        </w:rPr>
      </w:pPr>
      <w:r>
        <w:rPr>
          <w:rFonts w:hint="eastAsia" w:ascii="宋体" w:hAnsi="宋体" w:eastAsia="宋体" w:cs="宋体"/>
          <w:bCs/>
          <w:color w:val="auto"/>
          <w:sz w:val="24"/>
          <w:szCs w:val="21"/>
        </w:rPr>
        <w:t>供应商代表姓名：</w:t>
      </w:r>
      <w:r>
        <w:rPr>
          <w:rFonts w:hint="eastAsia" w:ascii="宋体" w:hAnsi="宋体" w:eastAsia="宋体" w:cs="宋体"/>
          <w:bCs/>
          <w:color w:val="auto"/>
          <w:sz w:val="24"/>
          <w:szCs w:val="21"/>
          <w:u w:val="single"/>
        </w:rPr>
        <w:t xml:space="preserve">                     </w:t>
      </w:r>
      <w:r>
        <w:rPr>
          <w:rFonts w:hint="eastAsia" w:ascii="宋体" w:hAnsi="宋体" w:eastAsia="宋体" w:cs="宋体"/>
          <w:bCs/>
          <w:color w:val="auto"/>
          <w:sz w:val="24"/>
          <w:szCs w:val="21"/>
        </w:rPr>
        <w:t>职务：</w:t>
      </w:r>
      <w:r>
        <w:rPr>
          <w:rFonts w:hint="eastAsia" w:ascii="宋体" w:hAnsi="宋体" w:eastAsia="宋体" w:cs="宋体"/>
          <w:bCs/>
          <w:color w:val="auto"/>
          <w:sz w:val="24"/>
          <w:szCs w:val="21"/>
          <w:u w:val="single"/>
        </w:rPr>
        <w:t xml:space="preserve">                 </w:t>
      </w:r>
    </w:p>
    <w:p>
      <w:pPr>
        <w:spacing w:line="360" w:lineRule="auto"/>
        <w:ind w:firstLine="480" w:firstLineChars="200"/>
        <w:rPr>
          <w:rFonts w:hint="eastAsia" w:ascii="宋体" w:hAnsi="宋体" w:eastAsia="宋体" w:cs="宋体"/>
          <w:bCs/>
          <w:color w:val="auto"/>
          <w:sz w:val="24"/>
          <w:szCs w:val="21"/>
        </w:rPr>
      </w:pPr>
      <w:r>
        <w:rPr>
          <w:rFonts w:hint="eastAsia" w:ascii="宋体" w:hAnsi="宋体" w:eastAsia="宋体" w:cs="宋体"/>
          <w:bCs/>
          <w:color w:val="auto"/>
          <w:sz w:val="24"/>
          <w:szCs w:val="21"/>
        </w:rPr>
        <w:t>供应商名称</w:t>
      </w:r>
      <w:r>
        <w:rPr>
          <w:rFonts w:hint="eastAsia" w:ascii="宋体" w:hAnsi="宋体" w:eastAsia="宋体" w:cs="宋体"/>
          <w:bCs/>
          <w:color w:val="auto"/>
          <w:sz w:val="24"/>
          <w:szCs w:val="21"/>
          <w:u w:val="single"/>
        </w:rPr>
        <w:t>：                   　　　</w:t>
      </w:r>
    </w:p>
    <w:p>
      <w:pPr>
        <w:spacing w:line="360" w:lineRule="auto"/>
        <w:ind w:firstLine="480" w:firstLineChars="200"/>
        <w:rPr>
          <w:rFonts w:hint="eastAsia" w:ascii="宋体" w:hAnsi="宋体" w:eastAsia="宋体" w:cs="宋体"/>
          <w:bCs/>
          <w:color w:val="auto"/>
          <w:sz w:val="24"/>
          <w:szCs w:val="21"/>
        </w:rPr>
      </w:pPr>
      <w:r>
        <w:rPr>
          <w:rFonts w:hint="eastAsia" w:ascii="宋体" w:hAnsi="宋体" w:eastAsia="宋体" w:cs="宋体"/>
          <w:bCs/>
          <w:color w:val="auto"/>
          <w:sz w:val="24"/>
          <w:szCs w:val="21"/>
        </w:rPr>
        <w:t xml:space="preserve">（公章）：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firstLine="5280" w:firstLineChars="2200"/>
        <w:rPr>
          <w:rFonts w:hint="eastAsia" w:ascii="宋体" w:hAnsi="宋体" w:eastAsia="宋体" w:cs="宋体"/>
          <w:bCs/>
          <w:color w:val="auto"/>
          <w:sz w:val="24"/>
          <w:szCs w:val="21"/>
        </w:rPr>
      </w:pPr>
    </w:p>
    <w:p>
      <w:pPr>
        <w:pStyle w:val="8"/>
        <w:jc w:val="center"/>
        <w:rPr>
          <w:rFonts w:hint="eastAsia" w:ascii="宋体" w:hAnsi="宋体" w:eastAsia="宋体" w:cs="宋体"/>
          <w:color w:val="auto"/>
          <w:sz w:val="30"/>
          <w:szCs w:val="30"/>
          <w:lang w:val="zh-CN"/>
        </w:rPr>
      </w:pPr>
      <w:bookmarkStart w:id="511" w:name="_Toc12011"/>
      <w:r>
        <w:rPr>
          <w:rFonts w:hint="eastAsia" w:ascii="宋体" w:hAnsi="宋体" w:eastAsia="宋体" w:cs="宋体"/>
          <w:bCs/>
          <w:color w:val="auto"/>
          <w:sz w:val="24"/>
          <w:szCs w:val="24"/>
          <w:lang w:val="zh-CN"/>
        </w:rPr>
        <w:br w:type="page"/>
      </w:r>
      <w:bookmarkStart w:id="512" w:name="_Toc7777"/>
      <w:bookmarkStart w:id="513" w:name="_Toc16864"/>
      <w:r>
        <w:rPr>
          <w:rFonts w:hint="eastAsia" w:ascii="宋体" w:hAnsi="宋体" w:eastAsia="宋体" w:cs="宋体"/>
          <w:color w:val="auto"/>
          <w:sz w:val="30"/>
          <w:szCs w:val="30"/>
          <w:lang w:val="zh-CN"/>
        </w:rPr>
        <w:t>附件</w:t>
      </w:r>
      <w:bookmarkStart w:id="514" w:name="_Toc130094925"/>
      <w:bookmarkStart w:id="515" w:name="_Toc98731771"/>
      <w:r>
        <w:rPr>
          <w:rFonts w:hint="eastAsia" w:ascii="宋体" w:hAnsi="宋体" w:eastAsia="宋体" w:cs="宋体"/>
          <w:color w:val="auto"/>
          <w:sz w:val="30"/>
          <w:szCs w:val="30"/>
        </w:rPr>
        <w:t>九</w:t>
      </w:r>
      <w:r>
        <w:rPr>
          <w:rFonts w:hint="eastAsia" w:ascii="宋体" w:hAnsi="宋体" w:eastAsia="宋体" w:cs="宋体"/>
          <w:color w:val="auto"/>
          <w:sz w:val="30"/>
          <w:szCs w:val="30"/>
          <w:lang w:val="zh-CN"/>
        </w:rPr>
        <w:t>：开标一览表</w:t>
      </w:r>
      <w:bookmarkEnd w:id="511"/>
      <w:bookmarkEnd w:id="512"/>
      <w:bookmarkEnd w:id="513"/>
      <w:bookmarkEnd w:id="514"/>
      <w:bookmarkEnd w:id="515"/>
    </w:p>
    <w:p>
      <w:pPr>
        <w:pStyle w:val="19"/>
        <w:spacing w:line="360" w:lineRule="auto"/>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采购编号：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noWrap w:val="0"/>
            <w:vAlign w:val="center"/>
          </w:tcPr>
          <w:p>
            <w:pPr>
              <w:pStyle w:val="19"/>
              <w:spacing w:line="360" w:lineRule="auto"/>
              <w:jc w:val="center"/>
              <w:rPr>
                <w:rFonts w:hint="eastAsia" w:hAnsi="宋体" w:cs="宋体"/>
                <w:b/>
                <w:bCs/>
                <w:color w:val="auto"/>
                <w:sz w:val="24"/>
              </w:rPr>
            </w:pPr>
          </w:p>
          <w:p>
            <w:pPr>
              <w:pStyle w:val="19"/>
              <w:spacing w:line="360" w:lineRule="auto"/>
              <w:jc w:val="center"/>
              <w:rPr>
                <w:rFonts w:hint="eastAsia" w:hAnsi="宋体" w:cs="宋体"/>
                <w:b/>
                <w:bCs/>
                <w:color w:val="auto"/>
                <w:sz w:val="24"/>
              </w:rPr>
            </w:pPr>
            <w:r>
              <w:rPr>
                <w:rFonts w:hint="eastAsia" w:hAnsi="宋体" w:cs="宋体"/>
                <w:b/>
                <w:bCs/>
                <w:color w:val="auto"/>
                <w:sz w:val="24"/>
              </w:rPr>
              <w:t>投标总价</w:t>
            </w:r>
          </w:p>
        </w:tc>
        <w:tc>
          <w:tcPr>
            <w:tcW w:w="6707" w:type="dxa"/>
            <w:noWrap w:val="0"/>
            <w:vAlign w:val="center"/>
          </w:tcPr>
          <w:p>
            <w:pPr>
              <w:pStyle w:val="19"/>
              <w:spacing w:line="360" w:lineRule="auto"/>
              <w:jc w:val="center"/>
              <w:rPr>
                <w:rFonts w:hint="eastAsia" w:hAnsi="宋体" w:cs="宋体"/>
                <w:b/>
                <w:bCs/>
                <w:color w:val="auto"/>
                <w:sz w:val="24"/>
              </w:rPr>
            </w:pPr>
            <w:r>
              <w:rPr>
                <w:rFonts w:hint="eastAsia" w:hAnsi="宋体" w:cs="宋体"/>
                <w:b/>
                <w:bCs/>
                <w:color w:val="auto"/>
                <w:sz w:val="24"/>
              </w:rPr>
              <w:t>大写：</w:t>
            </w:r>
            <w:r>
              <w:rPr>
                <w:rFonts w:hint="eastAsia" w:hAnsi="宋体" w:cs="宋体"/>
                <w:b/>
                <w:bCs/>
                <w:color w:val="auto"/>
                <w:sz w:val="24"/>
                <w:u w:val="single"/>
              </w:rPr>
              <w:t xml:space="preserve">　　　　            </w:t>
            </w:r>
            <w:r>
              <w:rPr>
                <w:rFonts w:hint="eastAsia" w:hAnsi="宋体" w:cs="宋体"/>
                <w:b/>
                <w:bCs/>
                <w:color w:val="auto"/>
                <w:sz w:val="24"/>
              </w:rPr>
              <w:t>元（小写：</w:t>
            </w:r>
            <w:r>
              <w:rPr>
                <w:rFonts w:hint="eastAsia" w:hAnsi="宋体" w:cs="宋体"/>
                <w:b/>
                <w:bCs/>
                <w:color w:val="auto"/>
                <w:sz w:val="24"/>
                <w:u w:val="single"/>
              </w:rPr>
              <w:t xml:space="preserve">　　　　 </w:t>
            </w:r>
            <w:r>
              <w:rPr>
                <w:rFonts w:hint="eastAsia" w:hAnsi="宋体" w:cs="宋体"/>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noWrap w:val="0"/>
            <w:vAlign w:val="center"/>
          </w:tcPr>
          <w:p>
            <w:pPr>
              <w:spacing w:line="360" w:lineRule="auto"/>
              <w:ind w:firstLine="480" w:firstLineChars="200"/>
              <w:rPr>
                <w:rFonts w:hint="eastAsia"/>
                <w:color w:val="auto"/>
              </w:rPr>
            </w:pPr>
            <w:r>
              <w:rPr>
                <w:rFonts w:hint="eastAsia" w:ascii="宋体" w:hAnsi="宋体" w:eastAsia="宋体" w:cs="宋体"/>
                <w:b w:val="0"/>
                <w:bCs w:val="0"/>
                <w:color w:val="auto"/>
                <w:kern w:val="2"/>
                <w:sz w:val="24"/>
                <w:szCs w:val="21"/>
                <w:lang w:val="en-US" w:eastAsia="zh-CN" w:bidi="ar-SA"/>
              </w:rPr>
              <w:t>投标报价应包含项目所需全部货物、服务，不得缺漏，是履行合同的最终价格</w:t>
            </w:r>
            <w:r>
              <w:rPr>
                <w:rFonts w:hint="eastAsia" w:hAnsi="宋体" w:cs="宋体"/>
                <w:b/>
                <w:bCs/>
                <w:color w:val="000000"/>
                <w:sz w:val="24"/>
              </w:rPr>
              <w:t>（</w:t>
            </w:r>
            <w:r>
              <w:rPr>
                <w:rFonts w:hint="eastAsia" w:ascii="宋体" w:hAnsi="宋体" w:eastAsia="宋体" w:cs="宋体"/>
                <w:b/>
                <w:bCs/>
                <w:color w:val="auto"/>
                <w:sz w:val="24"/>
                <w:szCs w:val="24"/>
              </w:rPr>
              <w:t>包括人工成本费（管理人员、保洁清运、中转站管理人员、分拣人员等的工资福利、员工五险费（养老保险、医疗保险、失业保险、工伤保险、生育保险）、服装费等）、保洁设备费、管理费、税费、设备维修费（液压油、配件等）、垃圾清运、车辆购置运输费用等一切项目所需费用。</w:t>
            </w:r>
            <w:r>
              <w:rPr>
                <w:rFonts w:hint="eastAsia" w:hAnsi="宋体" w:cs="宋体"/>
                <w:b/>
                <w:bCs/>
                <w:color w:val="000000"/>
                <w:sz w:val="24"/>
              </w:rPr>
              <w:t>）</w:t>
            </w:r>
          </w:p>
        </w:tc>
      </w:tr>
    </w:tbl>
    <w:p>
      <w:pPr>
        <w:pStyle w:val="19"/>
        <w:spacing w:line="360" w:lineRule="auto"/>
        <w:rPr>
          <w:rFonts w:hint="eastAsia" w:ascii="宋体" w:hAnsi="宋体" w:eastAsia="宋体" w:cs="宋体"/>
          <w:color w:val="auto"/>
          <w:sz w:val="24"/>
        </w:rPr>
      </w:pPr>
    </w:p>
    <w:p>
      <w:pPr>
        <w:pStyle w:val="19"/>
        <w:spacing w:line="360" w:lineRule="auto"/>
        <w:rPr>
          <w:rFonts w:hint="eastAsia" w:ascii="宋体" w:hAnsi="宋体" w:eastAsia="宋体" w:cs="宋体"/>
          <w:color w:val="auto"/>
          <w:sz w:val="24"/>
        </w:rPr>
      </w:pPr>
    </w:p>
    <w:p>
      <w:pPr>
        <w:pStyle w:val="19"/>
        <w:spacing w:line="360" w:lineRule="auto"/>
        <w:rPr>
          <w:rFonts w:hint="eastAsia" w:ascii="宋体" w:hAnsi="宋体" w:eastAsia="宋体" w:cs="宋体"/>
          <w:color w:val="auto"/>
          <w:sz w:val="24"/>
        </w:rPr>
      </w:pP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投标人全称（公章）：</w:t>
      </w:r>
    </w:p>
    <w:p>
      <w:pPr>
        <w:snapToGrid w:val="0"/>
        <w:spacing w:line="360" w:lineRule="auto"/>
        <w:ind w:firstLine="435"/>
        <w:rPr>
          <w:rFonts w:hint="eastAsia" w:ascii="宋体" w:hAnsi="宋体" w:eastAsia="宋体" w:cs="宋体"/>
          <w:color w:val="auto"/>
        </w:rPr>
      </w:pPr>
    </w:p>
    <w:p>
      <w:pPr>
        <w:snapToGrid w:val="0"/>
        <w:spacing w:line="360" w:lineRule="auto"/>
        <w:ind w:firstLine="435"/>
        <w:rPr>
          <w:rFonts w:hint="eastAsia" w:ascii="宋体" w:hAnsi="宋体" w:eastAsia="宋体" w:cs="宋体"/>
          <w:color w:val="auto"/>
        </w:rPr>
      </w:pPr>
    </w:p>
    <w:p>
      <w:pPr>
        <w:snapToGrid w:val="0"/>
        <w:spacing w:line="360" w:lineRule="auto"/>
        <w:ind w:firstLine="435"/>
        <w:rPr>
          <w:rFonts w:hint="eastAsia" w:ascii="宋体" w:hAnsi="宋体" w:eastAsia="宋体" w:cs="宋体"/>
          <w:color w:val="auto"/>
        </w:rPr>
      </w:pPr>
    </w:p>
    <w:p>
      <w:pPr>
        <w:snapToGrid w:val="0"/>
        <w:spacing w:line="360" w:lineRule="auto"/>
        <w:ind w:firstLine="435"/>
        <w:rPr>
          <w:rFonts w:hint="eastAsia" w:ascii="宋体" w:hAnsi="宋体" w:eastAsia="宋体" w:cs="宋体"/>
          <w:color w:val="auto"/>
        </w:rPr>
      </w:pPr>
    </w:p>
    <w:p>
      <w:pPr>
        <w:snapToGrid w:val="0"/>
        <w:spacing w:line="360" w:lineRule="auto"/>
        <w:ind w:firstLine="435"/>
        <w:rPr>
          <w:rFonts w:hint="eastAsia" w:ascii="宋体" w:hAnsi="宋体" w:eastAsia="宋体" w:cs="宋体"/>
          <w:color w:val="auto"/>
        </w:rPr>
      </w:pPr>
    </w:p>
    <w:p>
      <w:pPr>
        <w:pStyle w:val="8"/>
        <w:jc w:val="center"/>
        <w:rPr>
          <w:rFonts w:hint="eastAsia" w:ascii="宋体" w:hAnsi="宋体" w:eastAsia="宋体" w:cs="宋体"/>
          <w:color w:val="auto"/>
          <w:sz w:val="30"/>
          <w:szCs w:val="30"/>
          <w:lang w:val="zh-CN"/>
        </w:rPr>
      </w:pPr>
      <w:bookmarkStart w:id="516" w:name="_Toc26621"/>
      <w:bookmarkStart w:id="517" w:name="_Toc7196"/>
      <w:r>
        <w:rPr>
          <w:rFonts w:hint="eastAsia" w:ascii="宋体" w:hAnsi="宋体" w:eastAsia="宋体" w:cs="宋体"/>
          <w:color w:val="auto"/>
          <w:sz w:val="30"/>
          <w:szCs w:val="30"/>
          <w:lang w:val="zh-CN"/>
        </w:rPr>
        <w:br w:type="page"/>
      </w:r>
      <w:bookmarkStart w:id="518" w:name="_Toc22697"/>
      <w:r>
        <w:rPr>
          <w:rFonts w:hint="eastAsia" w:ascii="宋体" w:hAnsi="宋体" w:eastAsia="宋体" w:cs="宋体"/>
          <w:color w:val="auto"/>
          <w:sz w:val="30"/>
          <w:szCs w:val="30"/>
          <w:lang w:val="zh-CN"/>
        </w:rPr>
        <w:t>附件十：投标报价明细表</w:t>
      </w:r>
      <w:bookmarkEnd w:id="516"/>
      <w:bookmarkEnd w:id="517"/>
      <w:bookmarkEnd w:id="518"/>
    </w:p>
    <w:p>
      <w:pPr>
        <w:pStyle w:val="9"/>
        <w:rPr>
          <w:rFonts w:hint="eastAsia" w:ascii="宋体" w:hAnsi="宋体" w:eastAsia="宋体" w:cs="宋体"/>
          <w:color w:val="auto"/>
          <w:lang w:val="zh-CN"/>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采购编号： </w:t>
      </w:r>
    </w:p>
    <w:p>
      <w:pPr>
        <w:spacing w:line="360" w:lineRule="auto"/>
        <w:ind w:firstLine="480" w:firstLineChars="200"/>
        <w:rPr>
          <w:rFonts w:hint="eastAsia" w:ascii="宋体" w:hAnsi="宋体" w:eastAsia="宋体" w:cs="宋体"/>
          <w:color w:val="auto"/>
          <w:sz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1944"/>
        <w:gridCol w:w="1830"/>
        <w:gridCol w:w="720"/>
        <w:gridCol w:w="648"/>
        <w:gridCol w:w="11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noWrap w:val="0"/>
            <w:vAlign w:val="center"/>
          </w:tcPr>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w:t>
            </w:r>
          </w:p>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号</w:t>
            </w:r>
          </w:p>
        </w:tc>
        <w:tc>
          <w:tcPr>
            <w:tcW w:w="1080" w:type="dxa"/>
            <w:vMerge w:val="restart"/>
            <w:noWrap w:val="0"/>
            <w:vAlign w:val="center"/>
          </w:tcPr>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货物</w:t>
            </w:r>
          </w:p>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1944" w:type="dxa"/>
            <w:vMerge w:val="restart"/>
            <w:noWrap w:val="0"/>
            <w:vAlign w:val="center"/>
          </w:tcPr>
          <w:p>
            <w:pPr>
              <w:pStyle w:val="19"/>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rPr>
              <w:t>规格型号</w:t>
            </w:r>
            <w:r>
              <w:rPr>
                <w:rFonts w:hint="eastAsia" w:hAnsi="宋体" w:eastAsia="宋体" w:cs="宋体"/>
                <w:color w:val="auto"/>
                <w:sz w:val="24"/>
                <w:lang w:val="en-US" w:eastAsia="zh-CN"/>
              </w:rPr>
              <w:t>及品牌</w:t>
            </w:r>
          </w:p>
        </w:tc>
        <w:tc>
          <w:tcPr>
            <w:tcW w:w="1830" w:type="dxa"/>
            <w:vMerge w:val="restart"/>
            <w:noWrap w:val="0"/>
            <w:vAlign w:val="center"/>
          </w:tcPr>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制造商名</w:t>
            </w:r>
          </w:p>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称及产地</w:t>
            </w:r>
          </w:p>
        </w:tc>
        <w:tc>
          <w:tcPr>
            <w:tcW w:w="720" w:type="dxa"/>
            <w:vMerge w:val="restart"/>
            <w:noWrap w:val="0"/>
            <w:vAlign w:val="center"/>
          </w:tcPr>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单</w:t>
            </w:r>
          </w:p>
          <w:p>
            <w:pPr>
              <w:pStyle w:val="19"/>
              <w:spacing w:line="360" w:lineRule="auto"/>
              <w:jc w:val="center"/>
              <w:rPr>
                <w:rFonts w:hint="eastAsia" w:ascii="宋体" w:hAnsi="宋体" w:eastAsia="宋体" w:cs="宋体"/>
                <w:color w:val="auto"/>
              </w:rPr>
            </w:pPr>
            <w:r>
              <w:rPr>
                <w:rFonts w:hint="eastAsia" w:ascii="宋体" w:hAnsi="宋体" w:eastAsia="宋体" w:cs="宋体"/>
                <w:color w:val="auto"/>
                <w:sz w:val="24"/>
              </w:rPr>
              <w:t>位</w:t>
            </w:r>
          </w:p>
        </w:tc>
        <w:tc>
          <w:tcPr>
            <w:tcW w:w="648" w:type="dxa"/>
            <w:vMerge w:val="restart"/>
            <w:noWrap w:val="0"/>
            <w:vAlign w:val="center"/>
          </w:tcPr>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2270" w:type="dxa"/>
            <w:gridSpan w:val="2"/>
            <w:noWrap w:val="0"/>
            <w:vAlign w:val="center"/>
          </w:tcPr>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noWrap w:val="0"/>
            <w:vAlign w:val="center"/>
          </w:tcPr>
          <w:p>
            <w:pPr>
              <w:pStyle w:val="19"/>
              <w:spacing w:line="360" w:lineRule="auto"/>
              <w:jc w:val="center"/>
              <w:rPr>
                <w:rFonts w:hint="eastAsia" w:ascii="宋体" w:hAnsi="宋体" w:eastAsia="宋体" w:cs="宋体"/>
                <w:color w:val="auto"/>
                <w:sz w:val="24"/>
              </w:rPr>
            </w:pPr>
          </w:p>
        </w:tc>
        <w:tc>
          <w:tcPr>
            <w:tcW w:w="1080" w:type="dxa"/>
            <w:vMerge w:val="continue"/>
            <w:noWrap w:val="0"/>
            <w:vAlign w:val="center"/>
          </w:tcPr>
          <w:p>
            <w:pPr>
              <w:pStyle w:val="19"/>
              <w:spacing w:line="360" w:lineRule="auto"/>
              <w:jc w:val="center"/>
              <w:rPr>
                <w:rFonts w:hint="eastAsia" w:ascii="宋体" w:hAnsi="宋体" w:eastAsia="宋体" w:cs="宋体"/>
                <w:color w:val="auto"/>
                <w:sz w:val="24"/>
              </w:rPr>
            </w:pPr>
          </w:p>
        </w:tc>
        <w:tc>
          <w:tcPr>
            <w:tcW w:w="1944" w:type="dxa"/>
            <w:vMerge w:val="continue"/>
            <w:noWrap w:val="0"/>
            <w:vAlign w:val="center"/>
          </w:tcPr>
          <w:p>
            <w:pPr>
              <w:pStyle w:val="19"/>
              <w:spacing w:line="360" w:lineRule="auto"/>
              <w:jc w:val="center"/>
              <w:rPr>
                <w:rFonts w:hint="eastAsia" w:ascii="宋体" w:hAnsi="宋体" w:eastAsia="宋体" w:cs="宋体"/>
                <w:color w:val="auto"/>
                <w:sz w:val="24"/>
              </w:rPr>
            </w:pPr>
          </w:p>
        </w:tc>
        <w:tc>
          <w:tcPr>
            <w:tcW w:w="1830" w:type="dxa"/>
            <w:vMerge w:val="continue"/>
            <w:noWrap w:val="0"/>
            <w:vAlign w:val="center"/>
          </w:tcPr>
          <w:p>
            <w:pPr>
              <w:pStyle w:val="19"/>
              <w:spacing w:line="360" w:lineRule="auto"/>
              <w:jc w:val="center"/>
              <w:rPr>
                <w:rFonts w:hint="eastAsia" w:ascii="宋体" w:hAnsi="宋体" w:eastAsia="宋体" w:cs="宋体"/>
                <w:color w:val="auto"/>
                <w:sz w:val="24"/>
              </w:rPr>
            </w:pPr>
          </w:p>
        </w:tc>
        <w:tc>
          <w:tcPr>
            <w:tcW w:w="720" w:type="dxa"/>
            <w:vMerge w:val="continue"/>
            <w:noWrap w:val="0"/>
            <w:vAlign w:val="center"/>
          </w:tcPr>
          <w:p>
            <w:pPr>
              <w:pStyle w:val="19"/>
              <w:spacing w:line="360" w:lineRule="auto"/>
              <w:jc w:val="center"/>
              <w:rPr>
                <w:rFonts w:hint="eastAsia" w:ascii="宋体" w:hAnsi="宋体" w:eastAsia="宋体" w:cs="宋体"/>
                <w:color w:val="auto"/>
                <w:sz w:val="24"/>
              </w:rPr>
            </w:pPr>
          </w:p>
        </w:tc>
        <w:tc>
          <w:tcPr>
            <w:tcW w:w="648" w:type="dxa"/>
            <w:vMerge w:val="continue"/>
            <w:noWrap w:val="0"/>
            <w:vAlign w:val="center"/>
          </w:tcPr>
          <w:p>
            <w:pPr>
              <w:pStyle w:val="19"/>
              <w:spacing w:line="360" w:lineRule="auto"/>
              <w:jc w:val="center"/>
              <w:rPr>
                <w:rFonts w:hint="eastAsia" w:ascii="宋体" w:hAnsi="宋体" w:eastAsia="宋体" w:cs="宋体"/>
                <w:color w:val="auto"/>
                <w:sz w:val="24"/>
              </w:rPr>
            </w:pPr>
          </w:p>
        </w:tc>
        <w:tc>
          <w:tcPr>
            <w:tcW w:w="1147" w:type="dxa"/>
            <w:noWrap w:val="0"/>
            <w:vAlign w:val="center"/>
          </w:tcPr>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单价</w:t>
            </w:r>
          </w:p>
        </w:tc>
        <w:tc>
          <w:tcPr>
            <w:tcW w:w="1123" w:type="dxa"/>
            <w:noWrap w:val="0"/>
            <w:vAlign w:val="center"/>
          </w:tcPr>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noWrap w:val="0"/>
            <w:vAlign w:val="center"/>
          </w:tcPr>
          <w:p>
            <w:pPr>
              <w:pStyle w:val="19"/>
              <w:spacing w:line="360" w:lineRule="auto"/>
              <w:jc w:val="center"/>
              <w:rPr>
                <w:rFonts w:hint="eastAsia" w:ascii="宋体" w:hAnsi="宋体" w:eastAsia="宋体" w:cs="宋体"/>
                <w:b/>
                <w:color w:val="auto"/>
                <w:sz w:val="24"/>
              </w:rPr>
            </w:pPr>
          </w:p>
        </w:tc>
        <w:tc>
          <w:tcPr>
            <w:tcW w:w="1080" w:type="dxa"/>
            <w:noWrap w:val="0"/>
            <w:vAlign w:val="center"/>
          </w:tcPr>
          <w:p>
            <w:pPr>
              <w:pStyle w:val="19"/>
              <w:spacing w:line="360" w:lineRule="auto"/>
              <w:rPr>
                <w:rFonts w:hint="eastAsia" w:ascii="宋体" w:hAnsi="宋体" w:eastAsia="宋体" w:cs="宋体"/>
                <w:b/>
                <w:color w:val="auto"/>
                <w:sz w:val="24"/>
              </w:rPr>
            </w:pPr>
          </w:p>
        </w:tc>
        <w:tc>
          <w:tcPr>
            <w:tcW w:w="1944" w:type="dxa"/>
            <w:noWrap w:val="0"/>
            <w:vAlign w:val="center"/>
          </w:tcPr>
          <w:p>
            <w:pPr>
              <w:pStyle w:val="19"/>
              <w:spacing w:line="360" w:lineRule="auto"/>
              <w:rPr>
                <w:rFonts w:hint="eastAsia" w:ascii="宋体" w:hAnsi="宋体" w:eastAsia="宋体" w:cs="宋体"/>
                <w:b/>
                <w:color w:val="auto"/>
                <w:sz w:val="24"/>
              </w:rPr>
            </w:pPr>
          </w:p>
        </w:tc>
        <w:tc>
          <w:tcPr>
            <w:tcW w:w="1830" w:type="dxa"/>
            <w:noWrap w:val="0"/>
            <w:vAlign w:val="center"/>
          </w:tcPr>
          <w:p>
            <w:pPr>
              <w:pStyle w:val="19"/>
              <w:spacing w:line="360" w:lineRule="auto"/>
              <w:rPr>
                <w:rFonts w:hint="eastAsia" w:ascii="宋体" w:hAnsi="宋体" w:eastAsia="宋体" w:cs="宋体"/>
                <w:b/>
                <w:color w:val="auto"/>
                <w:sz w:val="24"/>
              </w:rPr>
            </w:pPr>
          </w:p>
        </w:tc>
        <w:tc>
          <w:tcPr>
            <w:tcW w:w="720" w:type="dxa"/>
            <w:noWrap w:val="0"/>
            <w:vAlign w:val="center"/>
          </w:tcPr>
          <w:p>
            <w:pPr>
              <w:pStyle w:val="19"/>
              <w:spacing w:line="360" w:lineRule="auto"/>
              <w:rPr>
                <w:rFonts w:hint="eastAsia" w:ascii="宋体" w:hAnsi="宋体" w:eastAsia="宋体" w:cs="宋体"/>
                <w:b/>
                <w:color w:val="auto"/>
                <w:sz w:val="24"/>
              </w:rPr>
            </w:pPr>
          </w:p>
        </w:tc>
        <w:tc>
          <w:tcPr>
            <w:tcW w:w="648" w:type="dxa"/>
            <w:noWrap w:val="0"/>
            <w:vAlign w:val="center"/>
          </w:tcPr>
          <w:p>
            <w:pPr>
              <w:pStyle w:val="19"/>
              <w:spacing w:line="360" w:lineRule="auto"/>
              <w:rPr>
                <w:rFonts w:hint="eastAsia" w:ascii="宋体" w:hAnsi="宋体" w:eastAsia="宋体" w:cs="宋体"/>
                <w:b/>
                <w:color w:val="auto"/>
                <w:sz w:val="24"/>
              </w:rPr>
            </w:pPr>
          </w:p>
        </w:tc>
        <w:tc>
          <w:tcPr>
            <w:tcW w:w="1147" w:type="dxa"/>
            <w:noWrap w:val="0"/>
            <w:vAlign w:val="top"/>
          </w:tcPr>
          <w:p>
            <w:pPr>
              <w:pStyle w:val="19"/>
              <w:spacing w:line="360" w:lineRule="auto"/>
              <w:rPr>
                <w:rFonts w:hint="eastAsia" w:ascii="宋体" w:hAnsi="宋体" w:eastAsia="宋体" w:cs="宋体"/>
                <w:color w:val="auto"/>
                <w:sz w:val="24"/>
              </w:rPr>
            </w:pPr>
          </w:p>
        </w:tc>
        <w:tc>
          <w:tcPr>
            <w:tcW w:w="1123" w:type="dxa"/>
            <w:noWrap w:val="0"/>
            <w:vAlign w:val="top"/>
          </w:tcPr>
          <w:p>
            <w:pPr>
              <w:pStyle w:val="19"/>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noWrap w:val="0"/>
            <w:vAlign w:val="center"/>
          </w:tcPr>
          <w:p>
            <w:pPr>
              <w:pStyle w:val="19"/>
              <w:spacing w:line="360" w:lineRule="auto"/>
              <w:jc w:val="center"/>
              <w:rPr>
                <w:rFonts w:hint="eastAsia" w:ascii="宋体" w:hAnsi="宋体" w:eastAsia="宋体" w:cs="宋体"/>
                <w:b/>
                <w:color w:val="auto"/>
                <w:sz w:val="24"/>
              </w:rPr>
            </w:pPr>
          </w:p>
        </w:tc>
        <w:tc>
          <w:tcPr>
            <w:tcW w:w="1080" w:type="dxa"/>
            <w:noWrap w:val="0"/>
            <w:vAlign w:val="center"/>
          </w:tcPr>
          <w:p>
            <w:pPr>
              <w:pStyle w:val="19"/>
              <w:spacing w:line="360" w:lineRule="auto"/>
              <w:rPr>
                <w:rFonts w:hint="eastAsia" w:ascii="宋体" w:hAnsi="宋体" w:eastAsia="宋体" w:cs="宋体"/>
                <w:b/>
                <w:color w:val="auto"/>
                <w:sz w:val="24"/>
              </w:rPr>
            </w:pPr>
          </w:p>
        </w:tc>
        <w:tc>
          <w:tcPr>
            <w:tcW w:w="1944" w:type="dxa"/>
            <w:noWrap w:val="0"/>
            <w:vAlign w:val="center"/>
          </w:tcPr>
          <w:p>
            <w:pPr>
              <w:pStyle w:val="19"/>
              <w:spacing w:line="360" w:lineRule="auto"/>
              <w:rPr>
                <w:rFonts w:hint="eastAsia" w:ascii="宋体" w:hAnsi="宋体" w:eastAsia="宋体" w:cs="宋体"/>
                <w:b/>
                <w:color w:val="auto"/>
                <w:sz w:val="24"/>
              </w:rPr>
            </w:pPr>
          </w:p>
        </w:tc>
        <w:tc>
          <w:tcPr>
            <w:tcW w:w="1830" w:type="dxa"/>
            <w:noWrap w:val="0"/>
            <w:vAlign w:val="center"/>
          </w:tcPr>
          <w:p>
            <w:pPr>
              <w:pStyle w:val="19"/>
              <w:spacing w:line="360" w:lineRule="auto"/>
              <w:rPr>
                <w:rFonts w:hint="eastAsia" w:ascii="宋体" w:hAnsi="宋体" w:eastAsia="宋体" w:cs="宋体"/>
                <w:b/>
                <w:color w:val="auto"/>
                <w:sz w:val="24"/>
              </w:rPr>
            </w:pPr>
          </w:p>
        </w:tc>
        <w:tc>
          <w:tcPr>
            <w:tcW w:w="720" w:type="dxa"/>
            <w:noWrap w:val="0"/>
            <w:vAlign w:val="center"/>
          </w:tcPr>
          <w:p>
            <w:pPr>
              <w:pStyle w:val="19"/>
              <w:spacing w:line="360" w:lineRule="auto"/>
              <w:rPr>
                <w:rFonts w:hint="eastAsia" w:ascii="宋体" w:hAnsi="宋体" w:eastAsia="宋体" w:cs="宋体"/>
                <w:b/>
                <w:color w:val="auto"/>
                <w:sz w:val="24"/>
              </w:rPr>
            </w:pPr>
          </w:p>
        </w:tc>
        <w:tc>
          <w:tcPr>
            <w:tcW w:w="648" w:type="dxa"/>
            <w:noWrap w:val="0"/>
            <w:vAlign w:val="center"/>
          </w:tcPr>
          <w:p>
            <w:pPr>
              <w:pStyle w:val="19"/>
              <w:spacing w:line="360" w:lineRule="auto"/>
              <w:rPr>
                <w:rFonts w:hint="eastAsia" w:ascii="宋体" w:hAnsi="宋体" w:eastAsia="宋体" w:cs="宋体"/>
                <w:b/>
                <w:color w:val="auto"/>
                <w:sz w:val="24"/>
              </w:rPr>
            </w:pPr>
          </w:p>
        </w:tc>
        <w:tc>
          <w:tcPr>
            <w:tcW w:w="1147" w:type="dxa"/>
            <w:noWrap w:val="0"/>
            <w:vAlign w:val="top"/>
          </w:tcPr>
          <w:p>
            <w:pPr>
              <w:pStyle w:val="19"/>
              <w:spacing w:line="360" w:lineRule="auto"/>
              <w:rPr>
                <w:rFonts w:hint="eastAsia" w:ascii="宋体" w:hAnsi="宋体" w:eastAsia="宋体" w:cs="宋体"/>
                <w:color w:val="auto"/>
                <w:sz w:val="24"/>
              </w:rPr>
            </w:pPr>
          </w:p>
        </w:tc>
        <w:tc>
          <w:tcPr>
            <w:tcW w:w="1123" w:type="dxa"/>
            <w:noWrap w:val="0"/>
            <w:vAlign w:val="top"/>
          </w:tcPr>
          <w:p>
            <w:pPr>
              <w:pStyle w:val="19"/>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noWrap w:val="0"/>
            <w:vAlign w:val="center"/>
          </w:tcPr>
          <w:p>
            <w:pPr>
              <w:pStyle w:val="19"/>
              <w:spacing w:line="360" w:lineRule="auto"/>
              <w:jc w:val="center"/>
              <w:rPr>
                <w:rFonts w:hint="eastAsia" w:ascii="宋体" w:hAnsi="宋体" w:eastAsia="宋体" w:cs="宋体"/>
                <w:b/>
                <w:color w:val="auto"/>
                <w:sz w:val="24"/>
              </w:rPr>
            </w:pPr>
          </w:p>
        </w:tc>
        <w:tc>
          <w:tcPr>
            <w:tcW w:w="1080" w:type="dxa"/>
            <w:noWrap w:val="0"/>
            <w:vAlign w:val="center"/>
          </w:tcPr>
          <w:p>
            <w:pPr>
              <w:pStyle w:val="19"/>
              <w:spacing w:line="360" w:lineRule="auto"/>
              <w:rPr>
                <w:rFonts w:hint="eastAsia" w:ascii="宋体" w:hAnsi="宋体" w:eastAsia="宋体" w:cs="宋体"/>
                <w:b/>
                <w:color w:val="auto"/>
                <w:sz w:val="24"/>
              </w:rPr>
            </w:pPr>
          </w:p>
        </w:tc>
        <w:tc>
          <w:tcPr>
            <w:tcW w:w="1944" w:type="dxa"/>
            <w:noWrap w:val="0"/>
            <w:vAlign w:val="center"/>
          </w:tcPr>
          <w:p>
            <w:pPr>
              <w:pStyle w:val="19"/>
              <w:spacing w:line="360" w:lineRule="auto"/>
              <w:rPr>
                <w:rFonts w:hint="eastAsia" w:ascii="宋体" w:hAnsi="宋体" w:eastAsia="宋体" w:cs="宋体"/>
                <w:b/>
                <w:color w:val="auto"/>
              </w:rPr>
            </w:pPr>
          </w:p>
        </w:tc>
        <w:tc>
          <w:tcPr>
            <w:tcW w:w="1830" w:type="dxa"/>
            <w:noWrap w:val="0"/>
            <w:vAlign w:val="center"/>
          </w:tcPr>
          <w:p>
            <w:pPr>
              <w:pStyle w:val="19"/>
              <w:spacing w:line="360" w:lineRule="auto"/>
              <w:rPr>
                <w:rFonts w:hint="eastAsia" w:ascii="宋体" w:hAnsi="宋体" w:eastAsia="宋体" w:cs="宋体"/>
                <w:b/>
                <w:color w:val="auto"/>
                <w:sz w:val="24"/>
              </w:rPr>
            </w:pPr>
          </w:p>
        </w:tc>
        <w:tc>
          <w:tcPr>
            <w:tcW w:w="720" w:type="dxa"/>
            <w:noWrap w:val="0"/>
            <w:vAlign w:val="center"/>
          </w:tcPr>
          <w:p>
            <w:pPr>
              <w:pStyle w:val="19"/>
              <w:spacing w:line="360" w:lineRule="auto"/>
              <w:rPr>
                <w:rFonts w:hint="eastAsia" w:ascii="宋体" w:hAnsi="宋体" w:eastAsia="宋体" w:cs="宋体"/>
                <w:b/>
                <w:color w:val="auto"/>
                <w:sz w:val="24"/>
              </w:rPr>
            </w:pPr>
          </w:p>
        </w:tc>
        <w:tc>
          <w:tcPr>
            <w:tcW w:w="648" w:type="dxa"/>
            <w:noWrap w:val="0"/>
            <w:vAlign w:val="center"/>
          </w:tcPr>
          <w:p>
            <w:pPr>
              <w:pStyle w:val="19"/>
              <w:spacing w:line="360" w:lineRule="auto"/>
              <w:rPr>
                <w:rFonts w:hint="eastAsia" w:ascii="宋体" w:hAnsi="宋体" w:eastAsia="宋体" w:cs="宋体"/>
                <w:b/>
                <w:color w:val="auto"/>
                <w:sz w:val="24"/>
              </w:rPr>
            </w:pPr>
          </w:p>
        </w:tc>
        <w:tc>
          <w:tcPr>
            <w:tcW w:w="1147" w:type="dxa"/>
            <w:noWrap w:val="0"/>
            <w:vAlign w:val="top"/>
          </w:tcPr>
          <w:p>
            <w:pPr>
              <w:pStyle w:val="19"/>
              <w:spacing w:line="360" w:lineRule="auto"/>
              <w:rPr>
                <w:rFonts w:hint="eastAsia" w:ascii="宋体" w:hAnsi="宋体" w:eastAsia="宋体" w:cs="宋体"/>
                <w:color w:val="auto"/>
                <w:sz w:val="24"/>
              </w:rPr>
            </w:pPr>
          </w:p>
        </w:tc>
        <w:tc>
          <w:tcPr>
            <w:tcW w:w="1123" w:type="dxa"/>
            <w:noWrap w:val="0"/>
            <w:vAlign w:val="top"/>
          </w:tcPr>
          <w:p>
            <w:pPr>
              <w:pStyle w:val="19"/>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noWrap w:val="0"/>
            <w:vAlign w:val="top"/>
          </w:tcPr>
          <w:p>
            <w:pPr>
              <w:pStyle w:val="19"/>
              <w:spacing w:line="360" w:lineRule="auto"/>
              <w:rPr>
                <w:rFonts w:hint="eastAsia" w:ascii="宋体" w:hAnsi="宋体" w:eastAsia="宋体" w:cs="宋体"/>
                <w:color w:val="auto"/>
                <w:sz w:val="24"/>
              </w:rPr>
            </w:pPr>
          </w:p>
        </w:tc>
        <w:tc>
          <w:tcPr>
            <w:tcW w:w="1080" w:type="dxa"/>
            <w:noWrap w:val="0"/>
            <w:vAlign w:val="top"/>
          </w:tcPr>
          <w:p>
            <w:pPr>
              <w:pStyle w:val="19"/>
              <w:spacing w:line="360" w:lineRule="auto"/>
              <w:rPr>
                <w:rFonts w:hint="eastAsia" w:ascii="宋体" w:hAnsi="宋体" w:eastAsia="宋体" w:cs="宋体"/>
                <w:color w:val="auto"/>
                <w:sz w:val="24"/>
              </w:rPr>
            </w:pPr>
          </w:p>
        </w:tc>
        <w:tc>
          <w:tcPr>
            <w:tcW w:w="1944" w:type="dxa"/>
            <w:noWrap w:val="0"/>
            <w:vAlign w:val="top"/>
          </w:tcPr>
          <w:p>
            <w:pPr>
              <w:pStyle w:val="19"/>
              <w:spacing w:line="360" w:lineRule="auto"/>
              <w:rPr>
                <w:rFonts w:hint="eastAsia" w:ascii="宋体" w:hAnsi="宋体" w:eastAsia="宋体" w:cs="宋体"/>
                <w:color w:val="auto"/>
                <w:sz w:val="24"/>
              </w:rPr>
            </w:pPr>
          </w:p>
        </w:tc>
        <w:tc>
          <w:tcPr>
            <w:tcW w:w="1830" w:type="dxa"/>
            <w:noWrap w:val="0"/>
            <w:vAlign w:val="top"/>
          </w:tcPr>
          <w:p>
            <w:pPr>
              <w:pStyle w:val="19"/>
              <w:spacing w:line="360" w:lineRule="auto"/>
              <w:rPr>
                <w:rFonts w:hint="eastAsia" w:ascii="宋体" w:hAnsi="宋体" w:eastAsia="宋体" w:cs="宋体"/>
                <w:color w:val="auto"/>
                <w:sz w:val="24"/>
              </w:rPr>
            </w:pPr>
          </w:p>
        </w:tc>
        <w:tc>
          <w:tcPr>
            <w:tcW w:w="720" w:type="dxa"/>
            <w:noWrap w:val="0"/>
            <w:vAlign w:val="top"/>
          </w:tcPr>
          <w:p>
            <w:pPr>
              <w:pStyle w:val="19"/>
              <w:spacing w:line="360" w:lineRule="auto"/>
              <w:rPr>
                <w:rFonts w:hint="eastAsia" w:ascii="宋体" w:hAnsi="宋体" w:eastAsia="宋体" w:cs="宋体"/>
                <w:color w:val="auto"/>
                <w:sz w:val="24"/>
              </w:rPr>
            </w:pPr>
          </w:p>
        </w:tc>
        <w:tc>
          <w:tcPr>
            <w:tcW w:w="648" w:type="dxa"/>
            <w:noWrap w:val="0"/>
            <w:vAlign w:val="top"/>
          </w:tcPr>
          <w:p>
            <w:pPr>
              <w:pStyle w:val="19"/>
              <w:spacing w:line="360" w:lineRule="auto"/>
              <w:rPr>
                <w:rFonts w:hint="eastAsia" w:ascii="宋体" w:hAnsi="宋体" w:eastAsia="宋体" w:cs="宋体"/>
                <w:color w:val="auto"/>
                <w:sz w:val="24"/>
              </w:rPr>
            </w:pPr>
          </w:p>
        </w:tc>
        <w:tc>
          <w:tcPr>
            <w:tcW w:w="1147" w:type="dxa"/>
            <w:noWrap w:val="0"/>
            <w:vAlign w:val="top"/>
          </w:tcPr>
          <w:p>
            <w:pPr>
              <w:pStyle w:val="19"/>
              <w:spacing w:line="360" w:lineRule="auto"/>
              <w:rPr>
                <w:rFonts w:hint="eastAsia" w:ascii="宋体" w:hAnsi="宋体" w:eastAsia="宋体" w:cs="宋体"/>
                <w:color w:val="auto"/>
                <w:sz w:val="24"/>
              </w:rPr>
            </w:pPr>
          </w:p>
        </w:tc>
        <w:tc>
          <w:tcPr>
            <w:tcW w:w="1123" w:type="dxa"/>
            <w:noWrap w:val="0"/>
            <w:vAlign w:val="top"/>
          </w:tcPr>
          <w:p>
            <w:pPr>
              <w:pStyle w:val="19"/>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620" w:type="dxa"/>
            <w:gridSpan w:val="2"/>
            <w:noWrap w:val="0"/>
            <w:vAlign w:val="center"/>
          </w:tcPr>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投标总价</w:t>
            </w:r>
          </w:p>
        </w:tc>
        <w:tc>
          <w:tcPr>
            <w:tcW w:w="7412" w:type="dxa"/>
            <w:gridSpan w:val="6"/>
            <w:noWrap w:val="0"/>
            <w:vAlign w:val="center"/>
          </w:tcPr>
          <w:p>
            <w:pPr>
              <w:pStyle w:val="19"/>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大写：　　　　                元（小写：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6" w:hRule="atLeast"/>
          <w:jc w:val="center"/>
        </w:trPr>
        <w:tc>
          <w:tcPr>
            <w:tcW w:w="9032" w:type="dxa"/>
            <w:gridSpan w:val="8"/>
            <w:noWrap w:val="0"/>
            <w:vAlign w:val="center"/>
          </w:tcPr>
          <w:p>
            <w:pPr>
              <w:pStyle w:val="19"/>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b w:val="0"/>
                <w:bCs w:val="0"/>
                <w:color w:val="auto"/>
                <w:kern w:val="2"/>
                <w:sz w:val="24"/>
                <w:szCs w:val="21"/>
                <w:lang w:val="en-US" w:eastAsia="zh-CN" w:bidi="ar-SA"/>
              </w:rPr>
              <w:t>投标报价应包含项目所需全部货物、服务，不得缺漏，是履行合同的最终价格</w:t>
            </w:r>
            <w:r>
              <w:rPr>
                <w:rFonts w:hint="eastAsia" w:hAnsi="宋体" w:cs="宋体"/>
                <w:b/>
                <w:bCs/>
                <w:color w:val="000000"/>
                <w:sz w:val="24"/>
              </w:rPr>
              <w:t>（</w:t>
            </w:r>
            <w:r>
              <w:rPr>
                <w:rFonts w:hint="eastAsia" w:ascii="宋体" w:hAnsi="宋体" w:eastAsia="宋体" w:cs="宋体"/>
                <w:b/>
                <w:bCs/>
                <w:color w:val="auto"/>
                <w:sz w:val="24"/>
                <w:szCs w:val="24"/>
              </w:rPr>
              <w:t>包括人工成本费（管理人员、保洁清运、中转站管理人员、分拣人员等的工资福利、员工五险费（养老保险、医疗保险、失业保险、工伤保险、生育保险）、服装费等）、保洁设备费、管理费、税费、设备维修费（液压油、配件等）、垃圾清运、车辆购置运输费用等一切项目所需费用。</w:t>
            </w:r>
            <w:r>
              <w:rPr>
                <w:rFonts w:hint="eastAsia" w:hAnsi="宋体" w:cs="宋体"/>
                <w:b/>
                <w:bCs/>
                <w:color w:val="000000"/>
                <w:sz w:val="24"/>
              </w:rPr>
              <w:t>）</w:t>
            </w:r>
          </w:p>
        </w:tc>
      </w:tr>
    </w:tbl>
    <w:p>
      <w:pPr>
        <w:pStyle w:val="19"/>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以上名称可根据实际情况扩展，数量以采购要求为准</w:t>
      </w: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szCs w:val="21"/>
        </w:rPr>
        <w:t xml:space="preserve">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left="3780" w:leftChars="1800" w:firstLine="480" w:firstLineChars="200"/>
        <w:jc w:val="left"/>
        <w:rPr>
          <w:rFonts w:hint="eastAsia" w:ascii="宋体" w:hAnsi="宋体" w:eastAsia="宋体" w:cs="宋体"/>
          <w:bCs/>
          <w:color w:val="auto"/>
          <w:sz w:val="24"/>
          <w:lang w:val="zh-CN"/>
        </w:rPr>
      </w:pPr>
      <w:r>
        <w:rPr>
          <w:rFonts w:hint="eastAsia" w:ascii="宋体" w:hAnsi="宋体" w:eastAsia="宋体" w:cs="宋体"/>
          <w:color w:val="auto"/>
          <w:sz w:val="24"/>
        </w:rPr>
        <w:t>投标人全称（公章）：</w:t>
      </w:r>
      <w:bookmarkStart w:id="519" w:name="_Toc9715"/>
      <w:bookmarkStart w:id="520" w:name="_Toc31472"/>
      <w:bookmarkStart w:id="521" w:name="_Toc25017"/>
      <w:bookmarkStart w:id="522" w:name="_Toc16150"/>
    </w:p>
    <w:p>
      <w:pPr>
        <w:pStyle w:val="8"/>
        <w:jc w:val="center"/>
        <w:rPr>
          <w:rFonts w:hint="eastAsia" w:ascii="宋体" w:hAnsi="宋体" w:eastAsia="宋体" w:cs="宋体"/>
          <w:b w:val="0"/>
          <w:bCs/>
          <w:color w:val="auto"/>
          <w:sz w:val="24"/>
          <w:lang w:val="zh-CN"/>
        </w:rPr>
      </w:pPr>
    </w:p>
    <w:p>
      <w:pPr>
        <w:pStyle w:val="9"/>
        <w:rPr>
          <w:rFonts w:hint="eastAsia" w:ascii="宋体" w:hAnsi="宋体" w:eastAsia="宋体" w:cs="宋体"/>
          <w:b/>
          <w:bCs/>
          <w:color w:val="auto"/>
          <w:sz w:val="24"/>
          <w:lang w:val="zh-CN"/>
        </w:rPr>
      </w:pPr>
    </w:p>
    <w:p>
      <w:pPr>
        <w:pStyle w:val="9"/>
        <w:rPr>
          <w:rFonts w:hint="eastAsia" w:ascii="宋体" w:hAnsi="宋体" w:eastAsia="宋体" w:cs="宋体"/>
          <w:b/>
          <w:bCs/>
          <w:color w:val="auto"/>
          <w:sz w:val="24"/>
          <w:lang w:val="zh-CN"/>
        </w:rPr>
      </w:pPr>
    </w:p>
    <w:p>
      <w:pPr>
        <w:pStyle w:val="8"/>
        <w:jc w:val="center"/>
        <w:rPr>
          <w:rFonts w:hint="eastAsia" w:ascii="宋体" w:hAnsi="宋体" w:eastAsia="宋体" w:cs="宋体"/>
          <w:color w:val="auto"/>
          <w:sz w:val="30"/>
          <w:szCs w:val="30"/>
          <w:lang w:val="zh-CN"/>
        </w:rPr>
      </w:pPr>
      <w:r>
        <w:rPr>
          <w:rFonts w:hint="eastAsia" w:ascii="宋体" w:hAnsi="宋体" w:eastAsia="宋体" w:cs="宋体"/>
          <w:b w:val="0"/>
          <w:bCs/>
          <w:color w:val="auto"/>
          <w:sz w:val="24"/>
          <w:lang w:val="zh-CN"/>
        </w:rPr>
        <w:br w:type="page"/>
      </w:r>
      <w:bookmarkStart w:id="523" w:name="_Toc17007"/>
      <w:bookmarkStart w:id="524" w:name="_Toc6312"/>
      <w:bookmarkStart w:id="525" w:name="_Toc12406"/>
      <w:r>
        <w:rPr>
          <w:rFonts w:hint="eastAsia" w:ascii="宋体" w:hAnsi="宋体" w:eastAsia="宋体" w:cs="宋体"/>
          <w:color w:val="auto"/>
          <w:sz w:val="30"/>
          <w:szCs w:val="30"/>
          <w:lang w:val="zh-CN"/>
        </w:rPr>
        <w:t>附件十</w:t>
      </w:r>
      <w:r>
        <w:rPr>
          <w:rFonts w:hint="eastAsia" w:ascii="宋体" w:hAnsi="宋体" w:eastAsia="宋体" w:cs="宋体"/>
          <w:color w:val="auto"/>
          <w:sz w:val="30"/>
          <w:szCs w:val="30"/>
        </w:rPr>
        <w:t>一</w:t>
      </w:r>
      <w:r>
        <w:rPr>
          <w:rFonts w:hint="eastAsia" w:ascii="宋体" w:hAnsi="宋体" w:eastAsia="宋体" w:cs="宋体"/>
          <w:color w:val="auto"/>
          <w:sz w:val="30"/>
          <w:szCs w:val="30"/>
          <w:lang w:val="zh-CN"/>
        </w:rPr>
        <w:t>：中小企业声明函</w:t>
      </w:r>
      <w:bookmarkEnd w:id="523"/>
      <w:bookmarkEnd w:id="524"/>
    </w:p>
    <w:p>
      <w:pPr>
        <w:widowControl/>
        <w:snapToGrid w:val="0"/>
        <w:spacing w:line="324" w:lineRule="auto"/>
        <w:ind w:firstLine="480" w:firstLineChars="200"/>
        <w:jc w:val="center"/>
        <w:rPr>
          <w:rFonts w:hint="eastAsia" w:ascii="宋体" w:hAnsi="宋体" w:eastAsia="宋体" w:cs="宋体"/>
          <w:color w:val="auto"/>
          <w:kern w:val="0"/>
          <w:sz w:val="24"/>
        </w:rPr>
      </w:pPr>
      <w:r>
        <w:rPr>
          <w:rFonts w:hint="eastAsia" w:ascii="宋体" w:hAnsi="宋体" w:eastAsia="宋体" w:cs="宋体"/>
          <w:color w:val="auto"/>
          <w:kern w:val="0"/>
          <w:sz w:val="24"/>
        </w:rPr>
        <w:t>【不属于中小企业的无需填写、递交】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 （财库﹝2020﹞46 号）的规定，本公司（联合体）参加</w:t>
      </w:r>
      <w:r>
        <w:rPr>
          <w:rFonts w:hint="eastAsia" w:ascii="宋体" w:hAnsi="宋体" w:eastAsia="宋体" w:cs="宋体"/>
          <w:color w:val="auto"/>
          <w:sz w:val="24"/>
          <w:u w:val="single"/>
          <w:lang w:eastAsia="zh-CN"/>
        </w:rPr>
        <w:t>上虞区丰惠镇人民政府</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丰惠镇城镇环境卫生保洁服务采购</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 </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 ，属于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 </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 ，属于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ind w:right="420" w:firstLine="5880" w:firstLineChars="2450"/>
        <w:jc w:val="left"/>
        <w:rPr>
          <w:rFonts w:hint="eastAsia" w:ascii="宋体" w:hAnsi="宋体" w:eastAsia="宋体" w:cs="宋体"/>
          <w:color w:val="auto"/>
          <w:sz w:val="24"/>
        </w:rPr>
      </w:pPr>
    </w:p>
    <w:p>
      <w:pPr>
        <w:ind w:right="420" w:firstLine="4560" w:firstLineChars="1900"/>
        <w:rPr>
          <w:rFonts w:hint="eastAsia" w:ascii="宋体" w:hAnsi="宋体" w:eastAsia="宋体" w:cs="宋体"/>
          <w:color w:val="auto"/>
          <w:sz w:val="24"/>
        </w:rPr>
      </w:pPr>
    </w:p>
    <w:p>
      <w:pPr>
        <w:ind w:right="420" w:firstLine="4560" w:firstLineChars="1900"/>
        <w:rPr>
          <w:rFonts w:hint="eastAsia" w:ascii="宋体" w:hAnsi="宋体" w:eastAsia="宋体" w:cs="宋体"/>
          <w:color w:val="auto"/>
          <w:sz w:val="24"/>
        </w:rPr>
      </w:pPr>
      <w:r>
        <w:rPr>
          <w:rFonts w:hint="eastAsia" w:ascii="宋体" w:hAnsi="宋体" w:eastAsia="宋体" w:cs="宋体"/>
          <w:color w:val="auto"/>
          <w:sz w:val="24"/>
        </w:rPr>
        <w:t xml:space="preserve">企业名称（盖章）： </w:t>
      </w:r>
    </w:p>
    <w:p>
      <w:pPr>
        <w:ind w:right="420" w:firstLine="4560" w:firstLineChars="1900"/>
        <w:rPr>
          <w:rFonts w:hint="eastAsia" w:ascii="宋体" w:hAnsi="宋体" w:eastAsia="宋体" w:cs="宋体"/>
          <w:color w:val="auto"/>
          <w:sz w:val="24"/>
        </w:rPr>
      </w:pPr>
      <w:r>
        <w:rPr>
          <w:rFonts w:hint="eastAsia" w:ascii="宋体" w:hAnsi="宋体" w:eastAsia="宋体" w:cs="宋体"/>
          <w:color w:val="auto"/>
          <w:sz w:val="24"/>
        </w:rPr>
        <w:t>日期：   年     月     日</w:t>
      </w:r>
    </w:p>
    <w:p>
      <w:pPr>
        <w:snapToGrid w:val="0"/>
        <w:spacing w:line="360" w:lineRule="auto"/>
        <w:ind w:right="480"/>
        <w:rPr>
          <w:rFonts w:hint="eastAsia" w:ascii="宋体" w:hAnsi="宋体" w:eastAsia="宋体" w:cs="宋体"/>
          <w:color w:val="auto"/>
          <w:kern w:val="0"/>
          <w:sz w:val="24"/>
          <w:lang w:val="zh-CN"/>
        </w:rPr>
      </w:pPr>
    </w:p>
    <w:p>
      <w:pPr>
        <w:snapToGrid w:val="0"/>
        <w:spacing w:line="360" w:lineRule="auto"/>
        <w:ind w:right="480"/>
        <w:rPr>
          <w:rFonts w:hint="eastAsia" w:ascii="宋体" w:hAnsi="宋体" w:eastAsia="宋体" w:cs="宋体"/>
          <w:color w:val="auto"/>
          <w:kern w:val="0"/>
          <w:sz w:val="24"/>
          <w:lang w:val="zh-CN"/>
        </w:rPr>
      </w:pPr>
    </w:p>
    <w:p>
      <w:pPr>
        <w:pStyle w:val="9"/>
        <w:ind w:firstLine="0"/>
        <w:rPr>
          <w:rFonts w:hint="eastAsia" w:ascii="宋体" w:hAnsi="宋体" w:eastAsia="宋体" w:cs="宋体"/>
          <w:color w:val="auto"/>
          <w:sz w:val="24"/>
        </w:rPr>
      </w:pPr>
    </w:p>
    <w:p>
      <w:pPr>
        <w:pStyle w:val="9"/>
        <w:rPr>
          <w:rFonts w:hint="eastAsia" w:ascii="宋体" w:hAnsi="宋体" w:eastAsia="宋体" w:cs="宋体"/>
          <w:color w:val="auto"/>
          <w:sz w:val="24"/>
        </w:rPr>
      </w:pPr>
    </w:p>
    <w:p>
      <w:pPr>
        <w:pStyle w:val="9"/>
        <w:rPr>
          <w:rFonts w:hint="eastAsia" w:ascii="宋体" w:hAnsi="宋体" w:eastAsia="宋体" w:cs="宋体"/>
          <w:color w:val="auto"/>
          <w:sz w:val="24"/>
        </w:rPr>
      </w:pPr>
    </w:p>
    <w:p>
      <w:pPr>
        <w:pStyle w:val="9"/>
        <w:rPr>
          <w:rFonts w:hint="eastAsia" w:ascii="宋体" w:hAnsi="宋体" w:eastAsia="宋体" w:cs="宋体"/>
          <w:color w:val="auto"/>
          <w:sz w:val="24"/>
        </w:rPr>
      </w:pPr>
    </w:p>
    <w:p>
      <w:pPr>
        <w:pStyle w:val="9"/>
        <w:rPr>
          <w:rFonts w:hint="eastAsia" w:ascii="宋体" w:hAnsi="宋体" w:eastAsia="宋体" w:cs="宋体"/>
          <w:color w:val="auto"/>
          <w:sz w:val="24"/>
        </w:rPr>
      </w:pPr>
    </w:p>
    <w:p>
      <w:pPr>
        <w:spacing w:line="3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注：从业人员、营业收入、资产总额填报上一年度数据，无上一年度数据的新成立企业可不填报。</w:t>
      </w:r>
    </w:p>
    <w:p>
      <w:pPr>
        <w:ind w:firstLine="480" w:firstLineChars="200"/>
        <w:rPr>
          <w:rFonts w:hint="eastAsia" w:ascii="宋体" w:hAnsi="宋体" w:eastAsia="宋体" w:cs="宋体"/>
          <w:color w:val="auto"/>
          <w:sz w:val="24"/>
        </w:rPr>
      </w:pPr>
    </w:p>
    <w:p>
      <w:pPr>
        <w:pStyle w:val="8"/>
        <w:jc w:val="center"/>
        <w:rPr>
          <w:rFonts w:hint="eastAsia" w:ascii="宋体" w:hAnsi="宋体" w:eastAsia="宋体" w:cs="宋体"/>
          <w:color w:val="auto"/>
          <w:sz w:val="30"/>
          <w:szCs w:val="30"/>
          <w:lang w:val="zh-CN"/>
        </w:rPr>
      </w:pPr>
      <w:bookmarkStart w:id="526" w:name="_Toc17389"/>
      <w:r>
        <w:rPr>
          <w:rFonts w:hint="eastAsia" w:ascii="宋体" w:hAnsi="宋体" w:eastAsia="宋体" w:cs="宋体"/>
          <w:color w:val="auto"/>
          <w:sz w:val="30"/>
          <w:szCs w:val="30"/>
          <w:lang w:val="zh-CN"/>
        </w:rPr>
        <w:t>附件十</w:t>
      </w:r>
      <w:r>
        <w:rPr>
          <w:rFonts w:hint="eastAsia" w:ascii="宋体" w:hAnsi="宋体" w:eastAsia="宋体" w:cs="宋体"/>
          <w:color w:val="auto"/>
          <w:sz w:val="30"/>
          <w:szCs w:val="30"/>
        </w:rPr>
        <w:t>二</w:t>
      </w:r>
      <w:r>
        <w:rPr>
          <w:rFonts w:hint="eastAsia" w:ascii="宋体" w:hAnsi="宋体" w:eastAsia="宋体" w:cs="宋体"/>
          <w:color w:val="auto"/>
          <w:sz w:val="30"/>
          <w:szCs w:val="30"/>
          <w:lang w:val="zh-CN"/>
        </w:rPr>
        <w:t>：残疾人福利性单位声明函</w:t>
      </w:r>
      <w:bookmarkEnd w:id="519"/>
      <w:bookmarkEnd w:id="520"/>
      <w:bookmarkEnd w:id="521"/>
      <w:bookmarkEnd w:id="522"/>
      <w:bookmarkEnd w:id="525"/>
      <w:bookmarkEnd w:id="526"/>
    </w:p>
    <w:p>
      <w:pPr>
        <w:pStyle w:val="9"/>
        <w:rPr>
          <w:rFonts w:hint="eastAsia" w:ascii="宋体" w:hAnsi="宋体" w:eastAsia="宋体" w:cs="宋体"/>
          <w:color w:val="auto"/>
          <w:lang w:val="zh-CN"/>
        </w:rPr>
      </w:pPr>
    </w:p>
    <w:p>
      <w:pPr>
        <w:widowControl/>
        <w:snapToGrid w:val="0"/>
        <w:spacing w:line="324"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【不属于残疾人福利性单位的无需填写、递交】</w:t>
      </w:r>
    </w:p>
    <w:p>
      <w:pPr>
        <w:spacing w:line="588" w:lineRule="exact"/>
        <w:rPr>
          <w:rFonts w:hint="eastAsia" w:ascii="宋体" w:hAnsi="宋体" w:eastAsia="宋体" w:cs="宋体"/>
          <w:b/>
          <w:color w:val="auto"/>
          <w:spacing w:val="6"/>
          <w:sz w:val="30"/>
          <w:szCs w:val="30"/>
        </w:rPr>
      </w:pPr>
    </w:p>
    <w:p>
      <w:pPr>
        <w:spacing w:line="588"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pPr>
        <w:pStyle w:val="147"/>
        <w:rPr>
          <w:rFonts w:hint="eastAsia" w:ascii="宋体" w:hAnsi="宋体" w:eastAsia="宋体" w:cs="宋体"/>
          <w:color w:val="auto"/>
        </w:rPr>
      </w:pPr>
    </w:p>
    <w:p>
      <w:pPr>
        <w:pStyle w:val="9"/>
        <w:rPr>
          <w:rFonts w:hint="eastAsia" w:ascii="宋体" w:hAnsi="宋体" w:eastAsia="宋体" w:cs="宋体"/>
          <w:color w:val="auto"/>
        </w:rPr>
      </w:pPr>
    </w:p>
    <w:p>
      <w:pPr>
        <w:spacing w:line="588" w:lineRule="exact"/>
        <w:rPr>
          <w:rFonts w:hint="eastAsia" w:ascii="宋体" w:hAnsi="宋体" w:eastAsia="宋体" w:cs="宋体"/>
          <w:color w:val="auto"/>
          <w:sz w:val="24"/>
        </w:rPr>
      </w:pP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投标人全称（公章）：</w:t>
      </w:r>
    </w:p>
    <w:p>
      <w:pPr>
        <w:pStyle w:val="8"/>
        <w:jc w:val="center"/>
        <w:rPr>
          <w:rFonts w:hint="eastAsia" w:ascii="宋体" w:hAnsi="宋体" w:eastAsia="宋体" w:cs="宋体"/>
          <w:color w:val="auto"/>
          <w:sz w:val="30"/>
          <w:szCs w:val="30"/>
          <w:lang w:val="zh-CN"/>
        </w:rPr>
      </w:pPr>
      <w:r>
        <w:rPr>
          <w:rFonts w:hint="eastAsia" w:ascii="宋体" w:hAnsi="宋体" w:eastAsia="宋体" w:cs="宋体"/>
          <w:color w:val="auto"/>
          <w:sz w:val="24"/>
        </w:rPr>
        <w:br w:type="page"/>
      </w:r>
      <w:bookmarkStart w:id="527" w:name="_Toc2386"/>
      <w:bookmarkStart w:id="528" w:name="_Toc8397"/>
      <w:bookmarkStart w:id="529" w:name="_Toc5441"/>
      <w:bookmarkStart w:id="530" w:name="_Toc15966"/>
      <w:bookmarkStart w:id="531" w:name="_Toc24"/>
      <w:bookmarkStart w:id="532" w:name="_Toc26486"/>
      <w:r>
        <w:rPr>
          <w:rFonts w:hint="eastAsia" w:ascii="宋体" w:hAnsi="宋体" w:eastAsia="宋体" w:cs="宋体"/>
          <w:color w:val="auto"/>
          <w:sz w:val="30"/>
          <w:szCs w:val="30"/>
          <w:lang w:val="zh-CN"/>
        </w:rPr>
        <w:t>附件十</w:t>
      </w:r>
      <w:r>
        <w:rPr>
          <w:rFonts w:hint="eastAsia" w:ascii="宋体" w:hAnsi="宋体" w:eastAsia="宋体" w:cs="宋体"/>
          <w:color w:val="auto"/>
          <w:sz w:val="30"/>
          <w:szCs w:val="30"/>
        </w:rPr>
        <w:t>三</w:t>
      </w:r>
      <w:r>
        <w:rPr>
          <w:rFonts w:hint="eastAsia" w:ascii="宋体" w:hAnsi="宋体" w:eastAsia="宋体" w:cs="宋体"/>
          <w:color w:val="auto"/>
          <w:sz w:val="30"/>
          <w:szCs w:val="30"/>
          <w:lang w:val="zh-CN"/>
        </w:rPr>
        <w:t>：监狱企业证明文件</w:t>
      </w:r>
      <w:bookmarkEnd w:id="527"/>
      <w:bookmarkEnd w:id="528"/>
      <w:bookmarkEnd w:id="529"/>
      <w:bookmarkEnd w:id="530"/>
      <w:bookmarkEnd w:id="531"/>
      <w:bookmarkEnd w:id="532"/>
    </w:p>
    <w:p>
      <w:pPr>
        <w:pStyle w:val="9"/>
        <w:rPr>
          <w:rFonts w:hint="eastAsia" w:ascii="宋体" w:hAnsi="宋体" w:eastAsia="宋体" w:cs="宋体"/>
          <w:color w:val="auto"/>
          <w:lang w:val="zh-CN"/>
        </w:rPr>
      </w:pPr>
    </w:p>
    <w:p>
      <w:pPr>
        <w:widowControl/>
        <w:snapToGrid w:val="0"/>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【不属于监狱企业的无需填写、递交】</w:t>
      </w:r>
    </w:p>
    <w:p>
      <w:pPr>
        <w:widowControl/>
        <w:snapToGrid w:val="0"/>
        <w:spacing w:line="324" w:lineRule="auto"/>
        <w:jc w:val="center"/>
        <w:rPr>
          <w:rFonts w:hint="eastAsia" w:ascii="宋体" w:hAnsi="宋体" w:eastAsia="宋体" w:cs="宋体"/>
          <w:color w:val="auto"/>
          <w:kern w:val="0"/>
          <w:sz w:val="24"/>
        </w:rPr>
      </w:pPr>
    </w:p>
    <w:p>
      <w:pPr>
        <w:spacing w:line="588" w:lineRule="exact"/>
        <w:ind w:firstLine="480" w:firstLineChars="200"/>
        <w:rPr>
          <w:rFonts w:hint="eastAsia" w:ascii="宋体" w:hAnsi="宋体" w:eastAsia="宋体" w:cs="宋体"/>
          <w:color w:val="auto"/>
          <w:sz w:val="24"/>
        </w:rPr>
      </w:pPr>
    </w:p>
    <w:p>
      <w:pPr>
        <w:adjustRightInd w:val="0"/>
        <w:snapToGrid w:val="0"/>
        <w:spacing w:before="156" w:before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监狱企业需提供省级以上的监狱管理局、戒毒管理局（含新疆生产建设兵团）出具的属于监狱企业的证明文件。  </w:t>
      </w:r>
    </w:p>
    <w:p>
      <w:pPr>
        <w:pStyle w:val="8"/>
        <w:rPr>
          <w:rFonts w:hint="eastAsia" w:ascii="宋体" w:hAnsi="宋体" w:eastAsia="宋体" w:cs="宋体"/>
          <w:color w:val="auto"/>
        </w:rPr>
      </w:pPr>
    </w:p>
    <w:p>
      <w:pPr>
        <w:pStyle w:val="9"/>
        <w:rPr>
          <w:rFonts w:hint="eastAsia" w:ascii="宋体" w:hAnsi="宋体" w:eastAsia="宋体" w:cs="宋体"/>
          <w:color w:val="auto"/>
        </w:rPr>
      </w:pP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法定代表人签名（或签名章）：                       </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left="3780" w:leftChars="1800" w:firstLine="480" w:firstLineChars="200"/>
        <w:rPr>
          <w:rFonts w:hint="eastAsia" w:ascii="宋体" w:hAnsi="宋体" w:eastAsia="宋体" w:cs="宋体"/>
          <w:color w:val="auto"/>
          <w:sz w:val="24"/>
        </w:rPr>
      </w:pPr>
      <w:r>
        <w:rPr>
          <w:rFonts w:hint="eastAsia" w:ascii="宋体" w:hAnsi="宋体" w:eastAsia="宋体" w:cs="宋体"/>
          <w:color w:val="auto"/>
          <w:sz w:val="24"/>
        </w:rPr>
        <w:t>投标人全称（公章）：</w:t>
      </w:r>
    </w:p>
    <w:p>
      <w:pPr>
        <w:spacing w:line="360" w:lineRule="auto"/>
        <w:jc w:val="center"/>
        <w:rPr>
          <w:rFonts w:hint="eastAsia" w:ascii="宋体" w:hAnsi="宋体" w:eastAsia="宋体" w:cs="宋体"/>
          <w:b/>
          <w:color w:val="auto"/>
          <w:sz w:val="24"/>
        </w:rPr>
      </w:pPr>
    </w:p>
    <w:p>
      <w:pPr>
        <w:spacing w:line="360" w:lineRule="auto"/>
        <w:rPr>
          <w:rFonts w:hint="eastAsia" w:ascii="宋体" w:hAnsi="宋体" w:eastAsia="宋体" w:cs="宋体"/>
          <w:color w:val="auto"/>
          <w:sz w:val="36"/>
        </w:rPr>
      </w:pPr>
    </w:p>
    <w:p>
      <w:pPr>
        <w:spacing w:line="360" w:lineRule="auto"/>
        <w:rPr>
          <w:rFonts w:hint="eastAsia" w:ascii="宋体" w:hAnsi="宋体" w:eastAsia="宋体" w:cs="宋体"/>
          <w:color w:val="auto"/>
          <w:sz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长城仿宋">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微软雅黑緩..">
    <w:altName w:val="黑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32</w:t>
    </w:r>
    <w:r>
      <w:fldChar w:fldCharType="end"/>
    </w: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ind w:left="1080" w:hanging="1080" w:hangingChars="600"/>
      <w:jc w:val="both"/>
      <w:rPr>
        <w:rFonts w:hint="eastAsia"/>
        <w:color w:val="FF0000"/>
      </w:rPr>
    </w:pPr>
    <w:r>
      <w:rPr>
        <w:rFonts w:hint="eastAsia"/>
        <w:color w:val="FF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A3BB7E4"/>
    <w:multiLevelType w:val="singleLevel"/>
    <w:tmpl w:val="8A3BB7E4"/>
    <w:lvl w:ilvl="0" w:tentative="0">
      <w:start w:val="3"/>
      <w:numFmt w:val="chineseCounting"/>
      <w:suff w:val="nothing"/>
      <w:lvlText w:val="%1、"/>
      <w:lvlJc w:val="left"/>
      <w:pPr>
        <w:ind w:left="400" w:firstLine="0"/>
      </w:pPr>
      <w:rPr>
        <w:rFonts w:hint="eastAsia"/>
      </w:rPr>
    </w:lvl>
  </w:abstractNum>
  <w:abstractNum w:abstractNumId="2">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3">
    <w:nsid w:val="91614427"/>
    <w:multiLevelType w:val="singleLevel"/>
    <w:tmpl w:val="91614427"/>
    <w:lvl w:ilvl="0" w:tentative="0">
      <w:start w:val="1"/>
      <w:numFmt w:val="decimalEnclosedCircleChinese"/>
      <w:suff w:val="nothing"/>
      <w:lvlText w:val="%1　"/>
      <w:lvlJc w:val="left"/>
      <w:pPr>
        <w:ind w:left="0" w:firstLine="400"/>
      </w:pPr>
      <w:rPr>
        <w:rFonts w:hint="eastAsia"/>
      </w:rPr>
    </w:lvl>
  </w:abstractNum>
  <w:abstractNum w:abstractNumId="4">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5">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6">
    <w:nsid w:val="9BB01B17"/>
    <w:multiLevelType w:val="singleLevel"/>
    <w:tmpl w:val="9BB01B17"/>
    <w:lvl w:ilvl="0" w:tentative="0">
      <w:start w:val="2"/>
      <w:numFmt w:val="chineseCounting"/>
      <w:suff w:val="nothing"/>
      <w:lvlText w:val="%1、"/>
      <w:lvlJc w:val="left"/>
      <w:rPr>
        <w:rFonts w:hint="eastAsia"/>
      </w:rPr>
    </w:lvl>
  </w:abstractNum>
  <w:abstractNum w:abstractNumId="7">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8">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9">
    <w:nsid w:val="C5B95DF4"/>
    <w:multiLevelType w:val="singleLevel"/>
    <w:tmpl w:val="C5B95DF4"/>
    <w:lvl w:ilvl="0" w:tentative="0">
      <w:start w:val="2"/>
      <w:numFmt w:val="decimal"/>
      <w:suff w:val="nothing"/>
      <w:lvlText w:val="%1、"/>
      <w:lvlJc w:val="left"/>
    </w:lvl>
  </w:abstractNum>
  <w:abstractNum w:abstractNumId="10">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1">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2">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3">
    <w:nsid w:val="D3420A70"/>
    <w:multiLevelType w:val="singleLevel"/>
    <w:tmpl w:val="D3420A70"/>
    <w:lvl w:ilvl="0" w:tentative="0">
      <w:start w:val="1"/>
      <w:numFmt w:val="decimalEnclosedCircleChinese"/>
      <w:suff w:val="nothing"/>
      <w:lvlText w:val="%1　"/>
      <w:lvlJc w:val="left"/>
      <w:pPr>
        <w:ind w:left="0" w:firstLine="400"/>
      </w:pPr>
      <w:rPr>
        <w:rFonts w:hint="eastAsia"/>
      </w:rPr>
    </w:lvl>
  </w:abstractNum>
  <w:abstractNum w:abstractNumId="14">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5">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6">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7">
    <w:nsid w:val="F3FA8874"/>
    <w:multiLevelType w:val="singleLevel"/>
    <w:tmpl w:val="F3FA8874"/>
    <w:lvl w:ilvl="0" w:tentative="0">
      <w:start w:val="1"/>
      <w:numFmt w:val="decimalEnclosedCircleChinese"/>
      <w:suff w:val="nothing"/>
      <w:lvlText w:val="%1　"/>
      <w:lvlJc w:val="left"/>
      <w:pPr>
        <w:ind w:left="0" w:firstLine="400"/>
      </w:pPr>
      <w:rPr>
        <w:rFonts w:hint="eastAsia"/>
      </w:rPr>
    </w:lvl>
  </w:abstractNum>
  <w:abstractNum w:abstractNumId="18">
    <w:nsid w:val="FD324C73"/>
    <w:multiLevelType w:val="singleLevel"/>
    <w:tmpl w:val="FD324C73"/>
    <w:lvl w:ilvl="0" w:tentative="0">
      <w:start w:val="5"/>
      <w:numFmt w:val="chineseCounting"/>
      <w:suff w:val="space"/>
      <w:lvlText w:val="第%1部分"/>
      <w:lvlJc w:val="left"/>
      <w:rPr>
        <w:rFonts w:hint="eastAsia"/>
      </w:rPr>
    </w:lvl>
  </w:abstractNum>
  <w:abstractNum w:abstractNumId="19">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20">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21">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22">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3">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4">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5">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6">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7">
    <w:nsid w:val="2751FF01"/>
    <w:multiLevelType w:val="singleLevel"/>
    <w:tmpl w:val="2751FF01"/>
    <w:lvl w:ilvl="0" w:tentative="0">
      <w:start w:val="1"/>
      <w:numFmt w:val="decimal"/>
      <w:suff w:val="nothing"/>
      <w:lvlText w:val="24.16.%1 "/>
      <w:lvlJc w:val="left"/>
      <w:pPr>
        <w:tabs>
          <w:tab w:val="left" w:pos="0"/>
        </w:tabs>
        <w:ind w:left="0" w:firstLine="40"/>
      </w:pPr>
      <w:rPr>
        <w:rFonts w:hint="default" w:ascii="宋体" w:hAnsi="宋体" w:eastAsia="宋体" w:cs="宋体"/>
      </w:rPr>
    </w:lvl>
  </w:abstractNum>
  <w:abstractNum w:abstractNumId="28">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9">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30">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31">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32">
    <w:nsid w:val="466C6E1F"/>
    <w:multiLevelType w:val="multilevel"/>
    <w:tmpl w:val="466C6E1F"/>
    <w:lvl w:ilvl="0" w:tentative="0">
      <w:start w:val="1"/>
      <w:numFmt w:val="upperLetter"/>
      <w:pStyle w:val="10"/>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33">
    <w:nsid w:val="4A89995A"/>
    <w:multiLevelType w:val="singleLevel"/>
    <w:tmpl w:val="4A89995A"/>
    <w:lvl w:ilvl="0" w:tentative="0">
      <w:start w:val="7"/>
      <w:numFmt w:val="chineseCounting"/>
      <w:suff w:val="nothing"/>
      <w:lvlText w:val="%1、"/>
      <w:lvlJc w:val="left"/>
      <w:pPr>
        <w:ind w:left="-60"/>
      </w:pPr>
      <w:rPr>
        <w:rFonts w:hint="eastAsia"/>
      </w:rPr>
    </w:lvl>
  </w:abstractNum>
  <w:abstractNum w:abstractNumId="34">
    <w:nsid w:val="4D4A2151"/>
    <w:multiLevelType w:val="singleLevel"/>
    <w:tmpl w:val="4D4A2151"/>
    <w:lvl w:ilvl="0" w:tentative="0">
      <w:start w:val="1"/>
      <w:numFmt w:val="decimal"/>
      <w:pStyle w:val="145"/>
      <w:suff w:val="nothing"/>
      <w:lvlText w:val="%1．"/>
      <w:lvlJc w:val="left"/>
      <w:pPr>
        <w:ind w:left="0" w:firstLine="397"/>
      </w:pPr>
      <w:rPr>
        <w:rFonts w:hint="default"/>
      </w:rPr>
    </w:lvl>
  </w:abstractNum>
  <w:abstractNum w:abstractNumId="35">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6">
    <w:nsid w:val="5EAF5E49"/>
    <w:multiLevelType w:val="singleLevel"/>
    <w:tmpl w:val="5EAF5E49"/>
    <w:lvl w:ilvl="0" w:tentative="0">
      <w:start w:val="1"/>
      <w:numFmt w:val="decimalEnclosedCircleChinese"/>
      <w:suff w:val="nothing"/>
      <w:lvlText w:val="%1　"/>
      <w:lvlJc w:val="left"/>
      <w:pPr>
        <w:ind w:left="0" w:firstLine="400"/>
      </w:pPr>
      <w:rPr>
        <w:rFonts w:hint="eastAsia"/>
      </w:rPr>
    </w:lvl>
  </w:abstractNum>
  <w:abstractNum w:abstractNumId="37">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8">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9">
    <w:nsid w:val="63557B35"/>
    <w:multiLevelType w:val="singleLevel"/>
    <w:tmpl w:val="63557B35"/>
    <w:lvl w:ilvl="0" w:tentative="0">
      <w:start w:val="1"/>
      <w:numFmt w:val="upperLetter"/>
      <w:pStyle w:val="11"/>
      <w:lvlText w:val="%1、"/>
      <w:lvlJc w:val="left"/>
      <w:pPr>
        <w:tabs>
          <w:tab w:val="left" w:pos="1035"/>
        </w:tabs>
        <w:ind w:left="1035" w:hanging="420"/>
      </w:pPr>
      <w:rPr>
        <w:rFonts w:hint="eastAsia"/>
      </w:rPr>
    </w:lvl>
  </w:abstractNum>
  <w:abstractNum w:abstractNumId="40">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41">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42">
    <w:nsid w:val="72817D3E"/>
    <w:multiLevelType w:val="singleLevel"/>
    <w:tmpl w:val="72817D3E"/>
    <w:lvl w:ilvl="0" w:tentative="0">
      <w:start w:val="1"/>
      <w:numFmt w:val="decimalEnclosedCircleChinese"/>
      <w:suff w:val="nothing"/>
      <w:lvlText w:val="%1　"/>
      <w:lvlJc w:val="left"/>
      <w:pPr>
        <w:ind w:left="0" w:firstLine="397"/>
      </w:pPr>
      <w:rPr>
        <w:rFonts w:hint="eastAsia"/>
      </w:rPr>
    </w:lvl>
  </w:abstractNum>
  <w:abstractNum w:abstractNumId="43">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32"/>
  </w:num>
  <w:num w:numId="2">
    <w:abstractNumId w:val="39"/>
  </w:num>
  <w:num w:numId="3">
    <w:abstractNumId w:val="34"/>
  </w:num>
  <w:num w:numId="4">
    <w:abstractNumId w:val="19"/>
  </w:num>
  <w:num w:numId="5">
    <w:abstractNumId w:val="42"/>
  </w:num>
  <w:num w:numId="6">
    <w:abstractNumId w:val="43"/>
  </w:num>
  <w:num w:numId="7">
    <w:abstractNumId w:val="22"/>
  </w:num>
  <w:num w:numId="8">
    <w:abstractNumId w:val="37"/>
  </w:num>
  <w:num w:numId="9">
    <w:abstractNumId w:val="0"/>
  </w:num>
  <w:num w:numId="10">
    <w:abstractNumId w:val="26"/>
  </w:num>
  <w:num w:numId="11">
    <w:abstractNumId w:val="7"/>
  </w:num>
  <w:num w:numId="12">
    <w:abstractNumId w:val="8"/>
  </w:num>
  <w:num w:numId="13">
    <w:abstractNumId w:val="20"/>
  </w:num>
  <w:num w:numId="14">
    <w:abstractNumId w:val="38"/>
  </w:num>
  <w:num w:numId="15">
    <w:abstractNumId w:val="12"/>
  </w:num>
  <w:num w:numId="16">
    <w:abstractNumId w:val="40"/>
  </w:num>
  <w:num w:numId="17">
    <w:abstractNumId w:val="21"/>
  </w:num>
  <w:num w:numId="18">
    <w:abstractNumId w:val="13"/>
  </w:num>
  <w:num w:numId="19">
    <w:abstractNumId w:val="31"/>
  </w:num>
  <w:num w:numId="20">
    <w:abstractNumId w:val="3"/>
  </w:num>
  <w:num w:numId="21">
    <w:abstractNumId w:val="4"/>
  </w:num>
  <w:num w:numId="22">
    <w:abstractNumId w:val="25"/>
  </w:num>
  <w:num w:numId="23">
    <w:abstractNumId w:val="16"/>
  </w:num>
  <w:num w:numId="24">
    <w:abstractNumId w:val="5"/>
  </w:num>
  <w:num w:numId="25">
    <w:abstractNumId w:val="23"/>
  </w:num>
  <w:num w:numId="26">
    <w:abstractNumId w:val="29"/>
  </w:num>
  <w:num w:numId="27">
    <w:abstractNumId w:val="15"/>
  </w:num>
  <w:num w:numId="28">
    <w:abstractNumId w:val="10"/>
  </w:num>
  <w:num w:numId="29">
    <w:abstractNumId w:val="30"/>
  </w:num>
  <w:num w:numId="30">
    <w:abstractNumId w:val="11"/>
  </w:num>
  <w:num w:numId="31">
    <w:abstractNumId w:val="28"/>
  </w:num>
  <w:num w:numId="32">
    <w:abstractNumId w:val="35"/>
  </w:num>
  <w:num w:numId="33">
    <w:abstractNumId w:val="27"/>
  </w:num>
  <w:num w:numId="34">
    <w:abstractNumId w:val="14"/>
  </w:num>
  <w:num w:numId="35">
    <w:abstractNumId w:val="24"/>
  </w:num>
  <w:num w:numId="36">
    <w:abstractNumId w:val="41"/>
  </w:num>
  <w:num w:numId="37">
    <w:abstractNumId w:val="2"/>
  </w:num>
  <w:num w:numId="38">
    <w:abstractNumId w:val="9"/>
  </w:num>
  <w:num w:numId="39">
    <w:abstractNumId w:val="6"/>
  </w:num>
  <w:num w:numId="40">
    <w:abstractNumId w:val="1"/>
  </w:num>
  <w:num w:numId="41">
    <w:abstractNumId w:val="33"/>
  </w:num>
  <w:num w:numId="42">
    <w:abstractNumId w:val="18"/>
  </w:num>
  <w:num w:numId="43">
    <w:abstractNumId w:val="1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11"/>
    <w:rsid w:val="000002C5"/>
    <w:rsid w:val="00001DA3"/>
    <w:rsid w:val="0000242D"/>
    <w:rsid w:val="00004CED"/>
    <w:rsid w:val="00006818"/>
    <w:rsid w:val="000075DA"/>
    <w:rsid w:val="000077D0"/>
    <w:rsid w:val="000132A2"/>
    <w:rsid w:val="0001392B"/>
    <w:rsid w:val="000148D6"/>
    <w:rsid w:val="00015D59"/>
    <w:rsid w:val="00017390"/>
    <w:rsid w:val="00017802"/>
    <w:rsid w:val="00020033"/>
    <w:rsid w:val="000213B6"/>
    <w:rsid w:val="000233B8"/>
    <w:rsid w:val="00024443"/>
    <w:rsid w:val="00024A25"/>
    <w:rsid w:val="00024B66"/>
    <w:rsid w:val="0002591F"/>
    <w:rsid w:val="00027239"/>
    <w:rsid w:val="0003028E"/>
    <w:rsid w:val="000328AC"/>
    <w:rsid w:val="0003473A"/>
    <w:rsid w:val="00034B4B"/>
    <w:rsid w:val="00034D55"/>
    <w:rsid w:val="00035942"/>
    <w:rsid w:val="000379F2"/>
    <w:rsid w:val="000428B1"/>
    <w:rsid w:val="00043503"/>
    <w:rsid w:val="00045CF2"/>
    <w:rsid w:val="000464E5"/>
    <w:rsid w:val="0004792A"/>
    <w:rsid w:val="0004794A"/>
    <w:rsid w:val="000479DE"/>
    <w:rsid w:val="00050858"/>
    <w:rsid w:val="000510A3"/>
    <w:rsid w:val="00051C59"/>
    <w:rsid w:val="00052D30"/>
    <w:rsid w:val="00053264"/>
    <w:rsid w:val="000536AD"/>
    <w:rsid w:val="000541B9"/>
    <w:rsid w:val="00055F1C"/>
    <w:rsid w:val="00056840"/>
    <w:rsid w:val="000611ED"/>
    <w:rsid w:val="00063E4F"/>
    <w:rsid w:val="0006550E"/>
    <w:rsid w:val="0006705F"/>
    <w:rsid w:val="000671D1"/>
    <w:rsid w:val="00067276"/>
    <w:rsid w:val="00070161"/>
    <w:rsid w:val="000708A0"/>
    <w:rsid w:val="00070FE2"/>
    <w:rsid w:val="00071029"/>
    <w:rsid w:val="00071A80"/>
    <w:rsid w:val="00071C5B"/>
    <w:rsid w:val="00074863"/>
    <w:rsid w:val="00075FF9"/>
    <w:rsid w:val="00076F53"/>
    <w:rsid w:val="000801E4"/>
    <w:rsid w:val="00082674"/>
    <w:rsid w:val="00083D62"/>
    <w:rsid w:val="0008559E"/>
    <w:rsid w:val="00090BE8"/>
    <w:rsid w:val="000912C7"/>
    <w:rsid w:val="000923ED"/>
    <w:rsid w:val="0009248E"/>
    <w:rsid w:val="0009279F"/>
    <w:rsid w:val="00094374"/>
    <w:rsid w:val="00094F7B"/>
    <w:rsid w:val="000951D4"/>
    <w:rsid w:val="00096865"/>
    <w:rsid w:val="00096C60"/>
    <w:rsid w:val="0009767A"/>
    <w:rsid w:val="00097953"/>
    <w:rsid w:val="000A0932"/>
    <w:rsid w:val="000A241D"/>
    <w:rsid w:val="000A5490"/>
    <w:rsid w:val="000B0DE4"/>
    <w:rsid w:val="000B1CDD"/>
    <w:rsid w:val="000B3611"/>
    <w:rsid w:val="000B3EB8"/>
    <w:rsid w:val="000B40ED"/>
    <w:rsid w:val="000B4493"/>
    <w:rsid w:val="000B4627"/>
    <w:rsid w:val="000B4648"/>
    <w:rsid w:val="000B5F6E"/>
    <w:rsid w:val="000C11B6"/>
    <w:rsid w:val="000C239E"/>
    <w:rsid w:val="000C2631"/>
    <w:rsid w:val="000C2911"/>
    <w:rsid w:val="000C2AC6"/>
    <w:rsid w:val="000C663A"/>
    <w:rsid w:val="000C6E71"/>
    <w:rsid w:val="000C7BC2"/>
    <w:rsid w:val="000D05CC"/>
    <w:rsid w:val="000D25AF"/>
    <w:rsid w:val="000D263B"/>
    <w:rsid w:val="000D2BAD"/>
    <w:rsid w:val="000D3604"/>
    <w:rsid w:val="000D3E6D"/>
    <w:rsid w:val="000D405F"/>
    <w:rsid w:val="000D4E3C"/>
    <w:rsid w:val="000D504A"/>
    <w:rsid w:val="000D5B1B"/>
    <w:rsid w:val="000D645E"/>
    <w:rsid w:val="000E0E7B"/>
    <w:rsid w:val="000E136C"/>
    <w:rsid w:val="000E1A92"/>
    <w:rsid w:val="000E1CAE"/>
    <w:rsid w:val="000E1D06"/>
    <w:rsid w:val="000E21F5"/>
    <w:rsid w:val="000E297B"/>
    <w:rsid w:val="000E38B1"/>
    <w:rsid w:val="000E4664"/>
    <w:rsid w:val="000E4978"/>
    <w:rsid w:val="000E526A"/>
    <w:rsid w:val="000E5496"/>
    <w:rsid w:val="000E57E4"/>
    <w:rsid w:val="000E5939"/>
    <w:rsid w:val="000E61A3"/>
    <w:rsid w:val="000E647B"/>
    <w:rsid w:val="000E6483"/>
    <w:rsid w:val="000E730F"/>
    <w:rsid w:val="000F02FC"/>
    <w:rsid w:val="000F1FF4"/>
    <w:rsid w:val="000F2AA2"/>
    <w:rsid w:val="000F2F03"/>
    <w:rsid w:val="000F45D5"/>
    <w:rsid w:val="000F50EA"/>
    <w:rsid w:val="000F5F2A"/>
    <w:rsid w:val="000F7138"/>
    <w:rsid w:val="000F7272"/>
    <w:rsid w:val="000F7758"/>
    <w:rsid w:val="000F7D1F"/>
    <w:rsid w:val="00101B03"/>
    <w:rsid w:val="00102B8C"/>
    <w:rsid w:val="001049C2"/>
    <w:rsid w:val="0010598A"/>
    <w:rsid w:val="00106DAD"/>
    <w:rsid w:val="00107709"/>
    <w:rsid w:val="00107712"/>
    <w:rsid w:val="00110967"/>
    <w:rsid w:val="0011123D"/>
    <w:rsid w:val="001121F1"/>
    <w:rsid w:val="00112D2F"/>
    <w:rsid w:val="001131F0"/>
    <w:rsid w:val="00116DAA"/>
    <w:rsid w:val="00116F3C"/>
    <w:rsid w:val="001207CD"/>
    <w:rsid w:val="00120FD6"/>
    <w:rsid w:val="00121965"/>
    <w:rsid w:val="0012256C"/>
    <w:rsid w:val="00122E19"/>
    <w:rsid w:val="00122F13"/>
    <w:rsid w:val="001239D4"/>
    <w:rsid w:val="001306A4"/>
    <w:rsid w:val="00130B31"/>
    <w:rsid w:val="00131F44"/>
    <w:rsid w:val="00132490"/>
    <w:rsid w:val="001330B0"/>
    <w:rsid w:val="00134576"/>
    <w:rsid w:val="001346A9"/>
    <w:rsid w:val="00135D19"/>
    <w:rsid w:val="00136306"/>
    <w:rsid w:val="00136596"/>
    <w:rsid w:val="00136A7D"/>
    <w:rsid w:val="00136DAC"/>
    <w:rsid w:val="00137584"/>
    <w:rsid w:val="00141DA5"/>
    <w:rsid w:val="00145D2A"/>
    <w:rsid w:val="00145DEA"/>
    <w:rsid w:val="001468A0"/>
    <w:rsid w:val="00153041"/>
    <w:rsid w:val="001536FE"/>
    <w:rsid w:val="00154AE2"/>
    <w:rsid w:val="00154F16"/>
    <w:rsid w:val="00155550"/>
    <w:rsid w:val="001578F0"/>
    <w:rsid w:val="00157B09"/>
    <w:rsid w:val="00160134"/>
    <w:rsid w:val="001603F6"/>
    <w:rsid w:val="001614E1"/>
    <w:rsid w:val="00161D77"/>
    <w:rsid w:val="00164064"/>
    <w:rsid w:val="00167BCB"/>
    <w:rsid w:val="0017220F"/>
    <w:rsid w:val="0017302D"/>
    <w:rsid w:val="00175A80"/>
    <w:rsid w:val="00181AB5"/>
    <w:rsid w:val="00184026"/>
    <w:rsid w:val="001840F0"/>
    <w:rsid w:val="00184D7D"/>
    <w:rsid w:val="0018546D"/>
    <w:rsid w:val="00185753"/>
    <w:rsid w:val="0018697A"/>
    <w:rsid w:val="00186A09"/>
    <w:rsid w:val="00187B6C"/>
    <w:rsid w:val="00187DD3"/>
    <w:rsid w:val="00187E69"/>
    <w:rsid w:val="00190814"/>
    <w:rsid w:val="00191FD8"/>
    <w:rsid w:val="00192C57"/>
    <w:rsid w:val="00192D24"/>
    <w:rsid w:val="001940F2"/>
    <w:rsid w:val="00194A5E"/>
    <w:rsid w:val="00194C93"/>
    <w:rsid w:val="00194D4C"/>
    <w:rsid w:val="0019559D"/>
    <w:rsid w:val="00196875"/>
    <w:rsid w:val="001972B0"/>
    <w:rsid w:val="00197A01"/>
    <w:rsid w:val="001A09BA"/>
    <w:rsid w:val="001A1935"/>
    <w:rsid w:val="001A28C1"/>
    <w:rsid w:val="001A493D"/>
    <w:rsid w:val="001A5F98"/>
    <w:rsid w:val="001B01D0"/>
    <w:rsid w:val="001B260D"/>
    <w:rsid w:val="001B2755"/>
    <w:rsid w:val="001B36F5"/>
    <w:rsid w:val="001B4867"/>
    <w:rsid w:val="001B4D98"/>
    <w:rsid w:val="001B6049"/>
    <w:rsid w:val="001B71A5"/>
    <w:rsid w:val="001B7285"/>
    <w:rsid w:val="001C16E8"/>
    <w:rsid w:val="001C191C"/>
    <w:rsid w:val="001C20C4"/>
    <w:rsid w:val="001C22F6"/>
    <w:rsid w:val="001C26A0"/>
    <w:rsid w:val="001C26B1"/>
    <w:rsid w:val="001C282E"/>
    <w:rsid w:val="001C462F"/>
    <w:rsid w:val="001C48E8"/>
    <w:rsid w:val="001C4CAA"/>
    <w:rsid w:val="001C53F8"/>
    <w:rsid w:val="001C6443"/>
    <w:rsid w:val="001C6446"/>
    <w:rsid w:val="001C67E0"/>
    <w:rsid w:val="001C770C"/>
    <w:rsid w:val="001D0151"/>
    <w:rsid w:val="001D0B98"/>
    <w:rsid w:val="001D3140"/>
    <w:rsid w:val="001D32BE"/>
    <w:rsid w:val="001D4046"/>
    <w:rsid w:val="001D5729"/>
    <w:rsid w:val="001D5EA9"/>
    <w:rsid w:val="001D75F6"/>
    <w:rsid w:val="001E32A6"/>
    <w:rsid w:val="001E48F2"/>
    <w:rsid w:val="001E5F1A"/>
    <w:rsid w:val="001E65BA"/>
    <w:rsid w:val="001E7840"/>
    <w:rsid w:val="001F0C21"/>
    <w:rsid w:val="001F201E"/>
    <w:rsid w:val="001F317F"/>
    <w:rsid w:val="001F4C6E"/>
    <w:rsid w:val="001F596D"/>
    <w:rsid w:val="001F5D1E"/>
    <w:rsid w:val="001F5E72"/>
    <w:rsid w:val="001F63FD"/>
    <w:rsid w:val="001F77D4"/>
    <w:rsid w:val="002018E9"/>
    <w:rsid w:val="00201ADE"/>
    <w:rsid w:val="002024BD"/>
    <w:rsid w:val="00202850"/>
    <w:rsid w:val="00204834"/>
    <w:rsid w:val="002054EF"/>
    <w:rsid w:val="00206A96"/>
    <w:rsid w:val="00207B4A"/>
    <w:rsid w:val="002143AE"/>
    <w:rsid w:val="0021761C"/>
    <w:rsid w:val="0022084E"/>
    <w:rsid w:val="0022104A"/>
    <w:rsid w:val="00221186"/>
    <w:rsid w:val="00221F74"/>
    <w:rsid w:val="002251A8"/>
    <w:rsid w:val="00225A69"/>
    <w:rsid w:val="00225D19"/>
    <w:rsid w:val="00226C15"/>
    <w:rsid w:val="002270F1"/>
    <w:rsid w:val="002305A0"/>
    <w:rsid w:val="00230D9C"/>
    <w:rsid w:val="00233994"/>
    <w:rsid w:val="00235ABE"/>
    <w:rsid w:val="00235DFE"/>
    <w:rsid w:val="002364CF"/>
    <w:rsid w:val="00236ADE"/>
    <w:rsid w:val="002375BB"/>
    <w:rsid w:val="00242E58"/>
    <w:rsid w:val="0024409C"/>
    <w:rsid w:val="002440D3"/>
    <w:rsid w:val="00244106"/>
    <w:rsid w:val="00244BBA"/>
    <w:rsid w:val="00245130"/>
    <w:rsid w:val="00245C61"/>
    <w:rsid w:val="00246D0D"/>
    <w:rsid w:val="00247E15"/>
    <w:rsid w:val="00252A03"/>
    <w:rsid w:val="0025350B"/>
    <w:rsid w:val="00254070"/>
    <w:rsid w:val="00255BB0"/>
    <w:rsid w:val="0025652F"/>
    <w:rsid w:val="00257B84"/>
    <w:rsid w:val="002606EC"/>
    <w:rsid w:val="00260EDD"/>
    <w:rsid w:val="00266784"/>
    <w:rsid w:val="00270E2D"/>
    <w:rsid w:val="0027227D"/>
    <w:rsid w:val="002737DE"/>
    <w:rsid w:val="002737EE"/>
    <w:rsid w:val="00274F9A"/>
    <w:rsid w:val="00275072"/>
    <w:rsid w:val="00275157"/>
    <w:rsid w:val="002751D8"/>
    <w:rsid w:val="00280D86"/>
    <w:rsid w:val="0028144D"/>
    <w:rsid w:val="0028363F"/>
    <w:rsid w:val="00284285"/>
    <w:rsid w:val="00284635"/>
    <w:rsid w:val="00285F7E"/>
    <w:rsid w:val="00287DBB"/>
    <w:rsid w:val="0029041C"/>
    <w:rsid w:val="0029087D"/>
    <w:rsid w:val="002916A6"/>
    <w:rsid w:val="002916B1"/>
    <w:rsid w:val="00295155"/>
    <w:rsid w:val="00296D5E"/>
    <w:rsid w:val="002972FE"/>
    <w:rsid w:val="002A2ACF"/>
    <w:rsid w:val="002A373F"/>
    <w:rsid w:val="002A3CA6"/>
    <w:rsid w:val="002A50C8"/>
    <w:rsid w:val="002A5304"/>
    <w:rsid w:val="002A56A3"/>
    <w:rsid w:val="002A64CA"/>
    <w:rsid w:val="002A71CF"/>
    <w:rsid w:val="002A7379"/>
    <w:rsid w:val="002B0192"/>
    <w:rsid w:val="002B023C"/>
    <w:rsid w:val="002B058D"/>
    <w:rsid w:val="002B17BF"/>
    <w:rsid w:val="002B20E1"/>
    <w:rsid w:val="002B7653"/>
    <w:rsid w:val="002C0492"/>
    <w:rsid w:val="002C0539"/>
    <w:rsid w:val="002C1328"/>
    <w:rsid w:val="002C23E8"/>
    <w:rsid w:val="002C5223"/>
    <w:rsid w:val="002C639A"/>
    <w:rsid w:val="002C7A2D"/>
    <w:rsid w:val="002C7E34"/>
    <w:rsid w:val="002D0021"/>
    <w:rsid w:val="002D0BA8"/>
    <w:rsid w:val="002D11D9"/>
    <w:rsid w:val="002D42FD"/>
    <w:rsid w:val="002D5DFB"/>
    <w:rsid w:val="002D6B41"/>
    <w:rsid w:val="002D75D4"/>
    <w:rsid w:val="002E2739"/>
    <w:rsid w:val="002E35E9"/>
    <w:rsid w:val="002F0195"/>
    <w:rsid w:val="002F08B1"/>
    <w:rsid w:val="002F097F"/>
    <w:rsid w:val="002F2E8D"/>
    <w:rsid w:val="002F378A"/>
    <w:rsid w:val="002F4F8D"/>
    <w:rsid w:val="00301F37"/>
    <w:rsid w:val="00305666"/>
    <w:rsid w:val="00307075"/>
    <w:rsid w:val="003072EC"/>
    <w:rsid w:val="00307885"/>
    <w:rsid w:val="003100D0"/>
    <w:rsid w:val="0031129B"/>
    <w:rsid w:val="00311554"/>
    <w:rsid w:val="003137E6"/>
    <w:rsid w:val="00317185"/>
    <w:rsid w:val="0032106B"/>
    <w:rsid w:val="003244D8"/>
    <w:rsid w:val="0032607A"/>
    <w:rsid w:val="00327130"/>
    <w:rsid w:val="003310E2"/>
    <w:rsid w:val="003314EF"/>
    <w:rsid w:val="0033233C"/>
    <w:rsid w:val="00334E5C"/>
    <w:rsid w:val="0033562A"/>
    <w:rsid w:val="0033593F"/>
    <w:rsid w:val="00335F6A"/>
    <w:rsid w:val="00336801"/>
    <w:rsid w:val="00336F23"/>
    <w:rsid w:val="003404C1"/>
    <w:rsid w:val="00343AD4"/>
    <w:rsid w:val="00343D46"/>
    <w:rsid w:val="00343D60"/>
    <w:rsid w:val="00343E7B"/>
    <w:rsid w:val="00346A54"/>
    <w:rsid w:val="00346F9B"/>
    <w:rsid w:val="003503F3"/>
    <w:rsid w:val="003510DB"/>
    <w:rsid w:val="003524E2"/>
    <w:rsid w:val="0035370E"/>
    <w:rsid w:val="00353D66"/>
    <w:rsid w:val="00354D93"/>
    <w:rsid w:val="00355E84"/>
    <w:rsid w:val="00355E89"/>
    <w:rsid w:val="00356E19"/>
    <w:rsid w:val="00361B43"/>
    <w:rsid w:val="00362A07"/>
    <w:rsid w:val="00363BE4"/>
    <w:rsid w:val="0036471B"/>
    <w:rsid w:val="00365265"/>
    <w:rsid w:val="00365DEC"/>
    <w:rsid w:val="00366048"/>
    <w:rsid w:val="003666A9"/>
    <w:rsid w:val="00370309"/>
    <w:rsid w:val="00371583"/>
    <w:rsid w:val="0037377A"/>
    <w:rsid w:val="00375F43"/>
    <w:rsid w:val="003765A9"/>
    <w:rsid w:val="00376A85"/>
    <w:rsid w:val="00377117"/>
    <w:rsid w:val="0037746E"/>
    <w:rsid w:val="0038062E"/>
    <w:rsid w:val="00380EBB"/>
    <w:rsid w:val="00381BBB"/>
    <w:rsid w:val="0038273C"/>
    <w:rsid w:val="00383AA4"/>
    <w:rsid w:val="00384A29"/>
    <w:rsid w:val="003869BB"/>
    <w:rsid w:val="00387260"/>
    <w:rsid w:val="00390E17"/>
    <w:rsid w:val="00392324"/>
    <w:rsid w:val="00392A30"/>
    <w:rsid w:val="00392CCA"/>
    <w:rsid w:val="00395D64"/>
    <w:rsid w:val="00395EFF"/>
    <w:rsid w:val="00397347"/>
    <w:rsid w:val="00397F1D"/>
    <w:rsid w:val="003A04F6"/>
    <w:rsid w:val="003A7471"/>
    <w:rsid w:val="003B02AC"/>
    <w:rsid w:val="003B254E"/>
    <w:rsid w:val="003B2A50"/>
    <w:rsid w:val="003B3A2F"/>
    <w:rsid w:val="003B4E02"/>
    <w:rsid w:val="003B55B7"/>
    <w:rsid w:val="003B58DD"/>
    <w:rsid w:val="003B5E1A"/>
    <w:rsid w:val="003C045D"/>
    <w:rsid w:val="003C05AC"/>
    <w:rsid w:val="003C0EA7"/>
    <w:rsid w:val="003C21FC"/>
    <w:rsid w:val="003C2615"/>
    <w:rsid w:val="003C2BEF"/>
    <w:rsid w:val="003D13D3"/>
    <w:rsid w:val="003D2944"/>
    <w:rsid w:val="003D36A0"/>
    <w:rsid w:val="003D3AF6"/>
    <w:rsid w:val="003D54F9"/>
    <w:rsid w:val="003D64A7"/>
    <w:rsid w:val="003E03D0"/>
    <w:rsid w:val="003E0923"/>
    <w:rsid w:val="003E112E"/>
    <w:rsid w:val="003E1513"/>
    <w:rsid w:val="003E2076"/>
    <w:rsid w:val="003E2661"/>
    <w:rsid w:val="003E3777"/>
    <w:rsid w:val="003E40E9"/>
    <w:rsid w:val="003E4A85"/>
    <w:rsid w:val="003E4AAE"/>
    <w:rsid w:val="003E63B4"/>
    <w:rsid w:val="003E650C"/>
    <w:rsid w:val="003E724B"/>
    <w:rsid w:val="003E75CD"/>
    <w:rsid w:val="003F1A39"/>
    <w:rsid w:val="003F6C24"/>
    <w:rsid w:val="00403983"/>
    <w:rsid w:val="00403C7A"/>
    <w:rsid w:val="00407C25"/>
    <w:rsid w:val="00411B98"/>
    <w:rsid w:val="0041202F"/>
    <w:rsid w:val="00412A01"/>
    <w:rsid w:val="0041312B"/>
    <w:rsid w:val="004149D6"/>
    <w:rsid w:val="00415769"/>
    <w:rsid w:val="00416315"/>
    <w:rsid w:val="0042158E"/>
    <w:rsid w:val="004224B4"/>
    <w:rsid w:val="00423F56"/>
    <w:rsid w:val="00430B2F"/>
    <w:rsid w:val="00431075"/>
    <w:rsid w:val="0043130F"/>
    <w:rsid w:val="00432945"/>
    <w:rsid w:val="00432A66"/>
    <w:rsid w:val="00432FC0"/>
    <w:rsid w:val="0043452D"/>
    <w:rsid w:val="00434A5B"/>
    <w:rsid w:val="0043564D"/>
    <w:rsid w:val="0043576F"/>
    <w:rsid w:val="00436026"/>
    <w:rsid w:val="00440761"/>
    <w:rsid w:val="0044078E"/>
    <w:rsid w:val="004420EA"/>
    <w:rsid w:val="00442474"/>
    <w:rsid w:val="00442E77"/>
    <w:rsid w:val="00445CAB"/>
    <w:rsid w:val="0044612F"/>
    <w:rsid w:val="00447AF8"/>
    <w:rsid w:val="00450AF5"/>
    <w:rsid w:val="00451445"/>
    <w:rsid w:val="004544B9"/>
    <w:rsid w:val="0045513A"/>
    <w:rsid w:val="00455B4C"/>
    <w:rsid w:val="00462060"/>
    <w:rsid w:val="00463657"/>
    <w:rsid w:val="00464C4C"/>
    <w:rsid w:val="00465A05"/>
    <w:rsid w:val="00467405"/>
    <w:rsid w:val="00467531"/>
    <w:rsid w:val="004705DD"/>
    <w:rsid w:val="004707ED"/>
    <w:rsid w:val="00470C83"/>
    <w:rsid w:val="004738DF"/>
    <w:rsid w:val="00475372"/>
    <w:rsid w:val="00476FC6"/>
    <w:rsid w:val="00477C97"/>
    <w:rsid w:val="00480341"/>
    <w:rsid w:val="00480D16"/>
    <w:rsid w:val="004811FE"/>
    <w:rsid w:val="00481376"/>
    <w:rsid w:val="00481EE1"/>
    <w:rsid w:val="00482174"/>
    <w:rsid w:val="004821D3"/>
    <w:rsid w:val="00483ECB"/>
    <w:rsid w:val="00484007"/>
    <w:rsid w:val="004840E1"/>
    <w:rsid w:val="004848F7"/>
    <w:rsid w:val="00485252"/>
    <w:rsid w:val="00487344"/>
    <w:rsid w:val="004875E1"/>
    <w:rsid w:val="0049055D"/>
    <w:rsid w:val="00490DDE"/>
    <w:rsid w:val="00490F49"/>
    <w:rsid w:val="004922FB"/>
    <w:rsid w:val="0049738E"/>
    <w:rsid w:val="0049797C"/>
    <w:rsid w:val="004A4142"/>
    <w:rsid w:val="004A4830"/>
    <w:rsid w:val="004A6F58"/>
    <w:rsid w:val="004B05F4"/>
    <w:rsid w:val="004B0811"/>
    <w:rsid w:val="004B34ED"/>
    <w:rsid w:val="004B3910"/>
    <w:rsid w:val="004B46C4"/>
    <w:rsid w:val="004B5330"/>
    <w:rsid w:val="004B6001"/>
    <w:rsid w:val="004B6A5A"/>
    <w:rsid w:val="004B7697"/>
    <w:rsid w:val="004B7EA3"/>
    <w:rsid w:val="004C1318"/>
    <w:rsid w:val="004C1BA6"/>
    <w:rsid w:val="004C267F"/>
    <w:rsid w:val="004C348F"/>
    <w:rsid w:val="004C410D"/>
    <w:rsid w:val="004C4FB0"/>
    <w:rsid w:val="004D13ED"/>
    <w:rsid w:val="004D35C6"/>
    <w:rsid w:val="004D57AE"/>
    <w:rsid w:val="004D64DF"/>
    <w:rsid w:val="004D65D6"/>
    <w:rsid w:val="004E3A69"/>
    <w:rsid w:val="004E3F19"/>
    <w:rsid w:val="004E465E"/>
    <w:rsid w:val="004E480F"/>
    <w:rsid w:val="004E4B34"/>
    <w:rsid w:val="004E52B0"/>
    <w:rsid w:val="004E60DF"/>
    <w:rsid w:val="004E69C0"/>
    <w:rsid w:val="004E74C5"/>
    <w:rsid w:val="004F17C3"/>
    <w:rsid w:val="004F1B98"/>
    <w:rsid w:val="004F1EF6"/>
    <w:rsid w:val="004F42A8"/>
    <w:rsid w:val="004F4A0C"/>
    <w:rsid w:val="004F55F6"/>
    <w:rsid w:val="004F675C"/>
    <w:rsid w:val="004F6D1A"/>
    <w:rsid w:val="004F75CE"/>
    <w:rsid w:val="00500A59"/>
    <w:rsid w:val="00500D57"/>
    <w:rsid w:val="0050109E"/>
    <w:rsid w:val="00503B44"/>
    <w:rsid w:val="00503EAE"/>
    <w:rsid w:val="00505DEC"/>
    <w:rsid w:val="0050604E"/>
    <w:rsid w:val="005068B8"/>
    <w:rsid w:val="00511898"/>
    <w:rsid w:val="00511D3E"/>
    <w:rsid w:val="00511E01"/>
    <w:rsid w:val="005120E9"/>
    <w:rsid w:val="00514201"/>
    <w:rsid w:val="00515E23"/>
    <w:rsid w:val="00515FAA"/>
    <w:rsid w:val="00516AB4"/>
    <w:rsid w:val="00516C98"/>
    <w:rsid w:val="005177A2"/>
    <w:rsid w:val="00517C29"/>
    <w:rsid w:val="005204DA"/>
    <w:rsid w:val="00521532"/>
    <w:rsid w:val="005224AC"/>
    <w:rsid w:val="005245BA"/>
    <w:rsid w:val="005252D4"/>
    <w:rsid w:val="00525303"/>
    <w:rsid w:val="00525C33"/>
    <w:rsid w:val="0052677F"/>
    <w:rsid w:val="00526DE0"/>
    <w:rsid w:val="005306F4"/>
    <w:rsid w:val="00531CDE"/>
    <w:rsid w:val="00532723"/>
    <w:rsid w:val="00532809"/>
    <w:rsid w:val="00532ADC"/>
    <w:rsid w:val="00533931"/>
    <w:rsid w:val="00533DC9"/>
    <w:rsid w:val="005348C4"/>
    <w:rsid w:val="00536C08"/>
    <w:rsid w:val="00537173"/>
    <w:rsid w:val="005378CB"/>
    <w:rsid w:val="00537CDA"/>
    <w:rsid w:val="005404A5"/>
    <w:rsid w:val="00540CB5"/>
    <w:rsid w:val="00543FC2"/>
    <w:rsid w:val="005445DF"/>
    <w:rsid w:val="0054489F"/>
    <w:rsid w:val="00546A76"/>
    <w:rsid w:val="005500A4"/>
    <w:rsid w:val="005514E6"/>
    <w:rsid w:val="00554E93"/>
    <w:rsid w:val="005562F8"/>
    <w:rsid w:val="00557696"/>
    <w:rsid w:val="00560B4F"/>
    <w:rsid w:val="00560EA2"/>
    <w:rsid w:val="00561E6A"/>
    <w:rsid w:val="005648E0"/>
    <w:rsid w:val="00564E8F"/>
    <w:rsid w:val="0056578E"/>
    <w:rsid w:val="00565F1B"/>
    <w:rsid w:val="00567C01"/>
    <w:rsid w:val="00571877"/>
    <w:rsid w:val="00571B49"/>
    <w:rsid w:val="0057210E"/>
    <w:rsid w:val="0057228A"/>
    <w:rsid w:val="0057391D"/>
    <w:rsid w:val="005744DA"/>
    <w:rsid w:val="00575F6F"/>
    <w:rsid w:val="005774C8"/>
    <w:rsid w:val="0057757B"/>
    <w:rsid w:val="00577904"/>
    <w:rsid w:val="0058006C"/>
    <w:rsid w:val="005813E2"/>
    <w:rsid w:val="00581BE5"/>
    <w:rsid w:val="00582FCE"/>
    <w:rsid w:val="00583481"/>
    <w:rsid w:val="005835A8"/>
    <w:rsid w:val="0058498A"/>
    <w:rsid w:val="0058535A"/>
    <w:rsid w:val="005853D2"/>
    <w:rsid w:val="005867F3"/>
    <w:rsid w:val="00586A4F"/>
    <w:rsid w:val="005900B5"/>
    <w:rsid w:val="0059108B"/>
    <w:rsid w:val="00591734"/>
    <w:rsid w:val="00591FA1"/>
    <w:rsid w:val="00592DF2"/>
    <w:rsid w:val="00593C35"/>
    <w:rsid w:val="00594041"/>
    <w:rsid w:val="00594F19"/>
    <w:rsid w:val="00594F8E"/>
    <w:rsid w:val="005965F2"/>
    <w:rsid w:val="005A02D2"/>
    <w:rsid w:val="005A2495"/>
    <w:rsid w:val="005A61F4"/>
    <w:rsid w:val="005A6DCA"/>
    <w:rsid w:val="005B0839"/>
    <w:rsid w:val="005B61AE"/>
    <w:rsid w:val="005B7C66"/>
    <w:rsid w:val="005C159A"/>
    <w:rsid w:val="005C1EDC"/>
    <w:rsid w:val="005C33F9"/>
    <w:rsid w:val="005C3751"/>
    <w:rsid w:val="005C40A5"/>
    <w:rsid w:val="005C515B"/>
    <w:rsid w:val="005C5C17"/>
    <w:rsid w:val="005C7DA4"/>
    <w:rsid w:val="005D3369"/>
    <w:rsid w:val="005D44DD"/>
    <w:rsid w:val="005D4538"/>
    <w:rsid w:val="005D509B"/>
    <w:rsid w:val="005D59F7"/>
    <w:rsid w:val="005D6FDE"/>
    <w:rsid w:val="005D71DF"/>
    <w:rsid w:val="005E0BA7"/>
    <w:rsid w:val="005E16A4"/>
    <w:rsid w:val="005E1EB5"/>
    <w:rsid w:val="005E2379"/>
    <w:rsid w:val="005E435B"/>
    <w:rsid w:val="005E45D4"/>
    <w:rsid w:val="005E4877"/>
    <w:rsid w:val="005E5B93"/>
    <w:rsid w:val="005E5BAF"/>
    <w:rsid w:val="005E6667"/>
    <w:rsid w:val="005E781A"/>
    <w:rsid w:val="005F0902"/>
    <w:rsid w:val="005F20C3"/>
    <w:rsid w:val="005F3EA6"/>
    <w:rsid w:val="005F4076"/>
    <w:rsid w:val="005F5C9B"/>
    <w:rsid w:val="005F65E3"/>
    <w:rsid w:val="005F6A68"/>
    <w:rsid w:val="005F7746"/>
    <w:rsid w:val="005F7D07"/>
    <w:rsid w:val="006002D3"/>
    <w:rsid w:val="006025A6"/>
    <w:rsid w:val="00603285"/>
    <w:rsid w:val="0060337E"/>
    <w:rsid w:val="006037E7"/>
    <w:rsid w:val="00605B60"/>
    <w:rsid w:val="00605B63"/>
    <w:rsid w:val="00607067"/>
    <w:rsid w:val="006075C2"/>
    <w:rsid w:val="00607DF3"/>
    <w:rsid w:val="006108E4"/>
    <w:rsid w:val="00610BEB"/>
    <w:rsid w:val="0061208E"/>
    <w:rsid w:val="00616A50"/>
    <w:rsid w:val="006172D2"/>
    <w:rsid w:val="0062005F"/>
    <w:rsid w:val="00622C0C"/>
    <w:rsid w:val="006253AD"/>
    <w:rsid w:val="0062571B"/>
    <w:rsid w:val="00626AD6"/>
    <w:rsid w:val="00626C75"/>
    <w:rsid w:val="0062753E"/>
    <w:rsid w:val="00627BE7"/>
    <w:rsid w:val="00627CD0"/>
    <w:rsid w:val="00627E2D"/>
    <w:rsid w:val="0063140B"/>
    <w:rsid w:val="00633569"/>
    <w:rsid w:val="00634E68"/>
    <w:rsid w:val="00635132"/>
    <w:rsid w:val="006408DB"/>
    <w:rsid w:val="00642080"/>
    <w:rsid w:val="00642612"/>
    <w:rsid w:val="0064272F"/>
    <w:rsid w:val="0064289E"/>
    <w:rsid w:val="006435A9"/>
    <w:rsid w:val="00644CB6"/>
    <w:rsid w:val="00645C4D"/>
    <w:rsid w:val="00647195"/>
    <w:rsid w:val="006503B5"/>
    <w:rsid w:val="0065060D"/>
    <w:rsid w:val="00657F9C"/>
    <w:rsid w:val="00660F71"/>
    <w:rsid w:val="00665413"/>
    <w:rsid w:val="00667D62"/>
    <w:rsid w:val="006705A1"/>
    <w:rsid w:val="006708AA"/>
    <w:rsid w:val="00670DA8"/>
    <w:rsid w:val="0067187A"/>
    <w:rsid w:val="006733B7"/>
    <w:rsid w:val="006733E1"/>
    <w:rsid w:val="00681429"/>
    <w:rsid w:val="006826FE"/>
    <w:rsid w:val="00684CC6"/>
    <w:rsid w:val="00684E9E"/>
    <w:rsid w:val="0068625E"/>
    <w:rsid w:val="00691327"/>
    <w:rsid w:val="00691830"/>
    <w:rsid w:val="00692449"/>
    <w:rsid w:val="00693331"/>
    <w:rsid w:val="00693E45"/>
    <w:rsid w:val="006951A4"/>
    <w:rsid w:val="006957D8"/>
    <w:rsid w:val="00695EAD"/>
    <w:rsid w:val="006974EF"/>
    <w:rsid w:val="006A1152"/>
    <w:rsid w:val="006A11E3"/>
    <w:rsid w:val="006A279A"/>
    <w:rsid w:val="006A50FD"/>
    <w:rsid w:val="006A545D"/>
    <w:rsid w:val="006A7693"/>
    <w:rsid w:val="006B16D2"/>
    <w:rsid w:val="006B18A5"/>
    <w:rsid w:val="006B464F"/>
    <w:rsid w:val="006B5003"/>
    <w:rsid w:val="006B5750"/>
    <w:rsid w:val="006B6948"/>
    <w:rsid w:val="006B6E7A"/>
    <w:rsid w:val="006C0A94"/>
    <w:rsid w:val="006C0D27"/>
    <w:rsid w:val="006C1EC0"/>
    <w:rsid w:val="006C252F"/>
    <w:rsid w:val="006C5185"/>
    <w:rsid w:val="006C5E0D"/>
    <w:rsid w:val="006C7167"/>
    <w:rsid w:val="006C7BC3"/>
    <w:rsid w:val="006D0D78"/>
    <w:rsid w:val="006D127E"/>
    <w:rsid w:val="006D31BD"/>
    <w:rsid w:val="006D4C5F"/>
    <w:rsid w:val="006D57E8"/>
    <w:rsid w:val="006D6D42"/>
    <w:rsid w:val="006D77A2"/>
    <w:rsid w:val="006D79C2"/>
    <w:rsid w:val="006E03F0"/>
    <w:rsid w:val="006E132F"/>
    <w:rsid w:val="006E2BB2"/>
    <w:rsid w:val="006E34F7"/>
    <w:rsid w:val="006E393E"/>
    <w:rsid w:val="006E4DE1"/>
    <w:rsid w:val="006E5766"/>
    <w:rsid w:val="006E62AA"/>
    <w:rsid w:val="006F070C"/>
    <w:rsid w:val="006F16AA"/>
    <w:rsid w:val="006F1957"/>
    <w:rsid w:val="006F39CD"/>
    <w:rsid w:val="006F52F8"/>
    <w:rsid w:val="006F770E"/>
    <w:rsid w:val="0070029B"/>
    <w:rsid w:val="00700369"/>
    <w:rsid w:val="007003D7"/>
    <w:rsid w:val="0070173B"/>
    <w:rsid w:val="00702548"/>
    <w:rsid w:val="00702AEC"/>
    <w:rsid w:val="00703C8C"/>
    <w:rsid w:val="00703F26"/>
    <w:rsid w:val="00704022"/>
    <w:rsid w:val="00705811"/>
    <w:rsid w:val="00705C4B"/>
    <w:rsid w:val="007075B9"/>
    <w:rsid w:val="0071043E"/>
    <w:rsid w:val="007116F6"/>
    <w:rsid w:val="007120A5"/>
    <w:rsid w:val="0071212F"/>
    <w:rsid w:val="00712BAC"/>
    <w:rsid w:val="007133E2"/>
    <w:rsid w:val="007147A9"/>
    <w:rsid w:val="00715622"/>
    <w:rsid w:val="00717AB7"/>
    <w:rsid w:val="00720140"/>
    <w:rsid w:val="00720ECC"/>
    <w:rsid w:val="00721DFE"/>
    <w:rsid w:val="00722047"/>
    <w:rsid w:val="0072481E"/>
    <w:rsid w:val="0072534D"/>
    <w:rsid w:val="00725ED9"/>
    <w:rsid w:val="007266DF"/>
    <w:rsid w:val="007317F3"/>
    <w:rsid w:val="007318D9"/>
    <w:rsid w:val="00732283"/>
    <w:rsid w:val="007325DA"/>
    <w:rsid w:val="007334CF"/>
    <w:rsid w:val="00733A0A"/>
    <w:rsid w:val="0073530B"/>
    <w:rsid w:val="00735380"/>
    <w:rsid w:val="007353C8"/>
    <w:rsid w:val="00735F37"/>
    <w:rsid w:val="007400BE"/>
    <w:rsid w:val="00741801"/>
    <w:rsid w:val="0074230B"/>
    <w:rsid w:val="00743CE7"/>
    <w:rsid w:val="00745BBA"/>
    <w:rsid w:val="00745DCC"/>
    <w:rsid w:val="00750AE3"/>
    <w:rsid w:val="00751C16"/>
    <w:rsid w:val="00751E2A"/>
    <w:rsid w:val="00752348"/>
    <w:rsid w:val="007538A2"/>
    <w:rsid w:val="00753F62"/>
    <w:rsid w:val="0075462D"/>
    <w:rsid w:val="007553C1"/>
    <w:rsid w:val="00757337"/>
    <w:rsid w:val="00757800"/>
    <w:rsid w:val="00757915"/>
    <w:rsid w:val="00762B3D"/>
    <w:rsid w:val="00766552"/>
    <w:rsid w:val="0076726B"/>
    <w:rsid w:val="00770F92"/>
    <w:rsid w:val="00771B65"/>
    <w:rsid w:val="007723A4"/>
    <w:rsid w:val="007731A3"/>
    <w:rsid w:val="007742D0"/>
    <w:rsid w:val="00776940"/>
    <w:rsid w:val="0077748F"/>
    <w:rsid w:val="00777D01"/>
    <w:rsid w:val="007800A5"/>
    <w:rsid w:val="00780F42"/>
    <w:rsid w:val="00784FB2"/>
    <w:rsid w:val="00785BE9"/>
    <w:rsid w:val="00786247"/>
    <w:rsid w:val="00786428"/>
    <w:rsid w:val="00786F83"/>
    <w:rsid w:val="007877D6"/>
    <w:rsid w:val="00792069"/>
    <w:rsid w:val="00792C1E"/>
    <w:rsid w:val="00794C7C"/>
    <w:rsid w:val="00795FFB"/>
    <w:rsid w:val="00796295"/>
    <w:rsid w:val="00796F96"/>
    <w:rsid w:val="00797CAE"/>
    <w:rsid w:val="00797D92"/>
    <w:rsid w:val="007A0827"/>
    <w:rsid w:val="007A10CB"/>
    <w:rsid w:val="007A1F37"/>
    <w:rsid w:val="007A3721"/>
    <w:rsid w:val="007A4ED2"/>
    <w:rsid w:val="007A521C"/>
    <w:rsid w:val="007A5FA8"/>
    <w:rsid w:val="007B2FF7"/>
    <w:rsid w:val="007B33BF"/>
    <w:rsid w:val="007B5998"/>
    <w:rsid w:val="007B601A"/>
    <w:rsid w:val="007B6A74"/>
    <w:rsid w:val="007B70B3"/>
    <w:rsid w:val="007B7867"/>
    <w:rsid w:val="007C1B9E"/>
    <w:rsid w:val="007C2B64"/>
    <w:rsid w:val="007C4FC5"/>
    <w:rsid w:val="007C5553"/>
    <w:rsid w:val="007D16EC"/>
    <w:rsid w:val="007D1FDB"/>
    <w:rsid w:val="007D231F"/>
    <w:rsid w:val="007D2E7F"/>
    <w:rsid w:val="007D3620"/>
    <w:rsid w:val="007D4799"/>
    <w:rsid w:val="007D7100"/>
    <w:rsid w:val="007E09DD"/>
    <w:rsid w:val="007E3946"/>
    <w:rsid w:val="007E4563"/>
    <w:rsid w:val="007E47AF"/>
    <w:rsid w:val="007E4B75"/>
    <w:rsid w:val="007E4BCB"/>
    <w:rsid w:val="007E66C4"/>
    <w:rsid w:val="007F3D48"/>
    <w:rsid w:val="007F455F"/>
    <w:rsid w:val="007F637D"/>
    <w:rsid w:val="0080010D"/>
    <w:rsid w:val="008017BC"/>
    <w:rsid w:val="0080289B"/>
    <w:rsid w:val="0080361E"/>
    <w:rsid w:val="00805738"/>
    <w:rsid w:val="00805908"/>
    <w:rsid w:val="008068C4"/>
    <w:rsid w:val="00806E06"/>
    <w:rsid w:val="008112C2"/>
    <w:rsid w:val="00813782"/>
    <w:rsid w:val="00813EEC"/>
    <w:rsid w:val="00815303"/>
    <w:rsid w:val="0081686A"/>
    <w:rsid w:val="00817FD3"/>
    <w:rsid w:val="00822B2E"/>
    <w:rsid w:val="008236F1"/>
    <w:rsid w:val="0082395E"/>
    <w:rsid w:val="00824F2B"/>
    <w:rsid w:val="00826EB8"/>
    <w:rsid w:val="0083040C"/>
    <w:rsid w:val="00830CF8"/>
    <w:rsid w:val="00832B9D"/>
    <w:rsid w:val="00833198"/>
    <w:rsid w:val="00833BF9"/>
    <w:rsid w:val="008341CE"/>
    <w:rsid w:val="0083519D"/>
    <w:rsid w:val="00836471"/>
    <w:rsid w:val="00837638"/>
    <w:rsid w:val="00837ADC"/>
    <w:rsid w:val="0084018E"/>
    <w:rsid w:val="00842281"/>
    <w:rsid w:val="00843413"/>
    <w:rsid w:val="0085034D"/>
    <w:rsid w:val="008509B5"/>
    <w:rsid w:val="00850E72"/>
    <w:rsid w:val="00851F7A"/>
    <w:rsid w:val="00855715"/>
    <w:rsid w:val="00855BF1"/>
    <w:rsid w:val="00856F40"/>
    <w:rsid w:val="00860F56"/>
    <w:rsid w:val="008630F5"/>
    <w:rsid w:val="00863831"/>
    <w:rsid w:val="00865AF7"/>
    <w:rsid w:val="008660C6"/>
    <w:rsid w:val="008705F0"/>
    <w:rsid w:val="00870A42"/>
    <w:rsid w:val="00871C5E"/>
    <w:rsid w:val="00871CDD"/>
    <w:rsid w:val="00873BCC"/>
    <w:rsid w:val="00873CC6"/>
    <w:rsid w:val="008742AD"/>
    <w:rsid w:val="00876D91"/>
    <w:rsid w:val="0088070F"/>
    <w:rsid w:val="008809ED"/>
    <w:rsid w:val="00881169"/>
    <w:rsid w:val="00881590"/>
    <w:rsid w:val="00882269"/>
    <w:rsid w:val="00883611"/>
    <w:rsid w:val="00884273"/>
    <w:rsid w:val="00884A33"/>
    <w:rsid w:val="00886A91"/>
    <w:rsid w:val="00886F4F"/>
    <w:rsid w:val="00887C9B"/>
    <w:rsid w:val="0089004D"/>
    <w:rsid w:val="0089235D"/>
    <w:rsid w:val="00892BF1"/>
    <w:rsid w:val="00894884"/>
    <w:rsid w:val="008948CC"/>
    <w:rsid w:val="00894E12"/>
    <w:rsid w:val="008950B8"/>
    <w:rsid w:val="008963A2"/>
    <w:rsid w:val="008964B4"/>
    <w:rsid w:val="008964D5"/>
    <w:rsid w:val="00897BF8"/>
    <w:rsid w:val="008A02CC"/>
    <w:rsid w:val="008A19FB"/>
    <w:rsid w:val="008A220C"/>
    <w:rsid w:val="008A2DC5"/>
    <w:rsid w:val="008A71D9"/>
    <w:rsid w:val="008B0B06"/>
    <w:rsid w:val="008B1554"/>
    <w:rsid w:val="008B3AEF"/>
    <w:rsid w:val="008B598D"/>
    <w:rsid w:val="008B7964"/>
    <w:rsid w:val="008C0D07"/>
    <w:rsid w:val="008C2010"/>
    <w:rsid w:val="008C3BB6"/>
    <w:rsid w:val="008C429A"/>
    <w:rsid w:val="008C516E"/>
    <w:rsid w:val="008C58B8"/>
    <w:rsid w:val="008C6CE7"/>
    <w:rsid w:val="008C767C"/>
    <w:rsid w:val="008D1001"/>
    <w:rsid w:val="008D11F5"/>
    <w:rsid w:val="008D777B"/>
    <w:rsid w:val="008E0F50"/>
    <w:rsid w:val="008E1011"/>
    <w:rsid w:val="008E1905"/>
    <w:rsid w:val="008E2A88"/>
    <w:rsid w:val="008E2B38"/>
    <w:rsid w:val="008E3C50"/>
    <w:rsid w:val="008E4EB5"/>
    <w:rsid w:val="008E57DF"/>
    <w:rsid w:val="008E6CC5"/>
    <w:rsid w:val="008F0B77"/>
    <w:rsid w:val="008F290B"/>
    <w:rsid w:val="008F5DB0"/>
    <w:rsid w:val="008F62A7"/>
    <w:rsid w:val="00902119"/>
    <w:rsid w:val="00902E2E"/>
    <w:rsid w:val="00904FA2"/>
    <w:rsid w:val="00904FB2"/>
    <w:rsid w:val="00906F1B"/>
    <w:rsid w:val="009072F4"/>
    <w:rsid w:val="00907A7E"/>
    <w:rsid w:val="00907AB1"/>
    <w:rsid w:val="00910048"/>
    <w:rsid w:val="0091130A"/>
    <w:rsid w:val="00913166"/>
    <w:rsid w:val="009139D5"/>
    <w:rsid w:val="00914440"/>
    <w:rsid w:val="00917166"/>
    <w:rsid w:val="009178B1"/>
    <w:rsid w:val="009178E1"/>
    <w:rsid w:val="009210AE"/>
    <w:rsid w:val="00922517"/>
    <w:rsid w:val="009227B3"/>
    <w:rsid w:val="00922DB8"/>
    <w:rsid w:val="00925172"/>
    <w:rsid w:val="009256F6"/>
    <w:rsid w:val="00926E77"/>
    <w:rsid w:val="00927A34"/>
    <w:rsid w:val="009309DC"/>
    <w:rsid w:val="0093191A"/>
    <w:rsid w:val="00931B41"/>
    <w:rsid w:val="00933187"/>
    <w:rsid w:val="009332A3"/>
    <w:rsid w:val="0093418F"/>
    <w:rsid w:val="009352E1"/>
    <w:rsid w:val="009373F5"/>
    <w:rsid w:val="00937B5B"/>
    <w:rsid w:val="0094293E"/>
    <w:rsid w:val="0094354C"/>
    <w:rsid w:val="00946010"/>
    <w:rsid w:val="00950EA6"/>
    <w:rsid w:val="00951692"/>
    <w:rsid w:val="009531CB"/>
    <w:rsid w:val="00953B72"/>
    <w:rsid w:val="009549AD"/>
    <w:rsid w:val="00955691"/>
    <w:rsid w:val="009557E9"/>
    <w:rsid w:val="00956B6F"/>
    <w:rsid w:val="0096209E"/>
    <w:rsid w:val="00963254"/>
    <w:rsid w:val="00963639"/>
    <w:rsid w:val="009636B7"/>
    <w:rsid w:val="009653B2"/>
    <w:rsid w:val="0096701B"/>
    <w:rsid w:val="00967340"/>
    <w:rsid w:val="00967F48"/>
    <w:rsid w:val="009701C5"/>
    <w:rsid w:val="00970462"/>
    <w:rsid w:val="00970487"/>
    <w:rsid w:val="00970B38"/>
    <w:rsid w:val="0097133A"/>
    <w:rsid w:val="009724EB"/>
    <w:rsid w:val="0097423A"/>
    <w:rsid w:val="009747A3"/>
    <w:rsid w:val="009779B8"/>
    <w:rsid w:val="00977D16"/>
    <w:rsid w:val="0098018A"/>
    <w:rsid w:val="0098146F"/>
    <w:rsid w:val="0098195C"/>
    <w:rsid w:val="0098205C"/>
    <w:rsid w:val="00982E2A"/>
    <w:rsid w:val="0098392C"/>
    <w:rsid w:val="00983B0B"/>
    <w:rsid w:val="00984340"/>
    <w:rsid w:val="00986586"/>
    <w:rsid w:val="00987DB7"/>
    <w:rsid w:val="009932DC"/>
    <w:rsid w:val="00993460"/>
    <w:rsid w:val="00993C5B"/>
    <w:rsid w:val="00993D04"/>
    <w:rsid w:val="009944AC"/>
    <w:rsid w:val="0099788C"/>
    <w:rsid w:val="009A0367"/>
    <w:rsid w:val="009A1276"/>
    <w:rsid w:val="009A194B"/>
    <w:rsid w:val="009A38B3"/>
    <w:rsid w:val="009A4515"/>
    <w:rsid w:val="009A588B"/>
    <w:rsid w:val="009B0634"/>
    <w:rsid w:val="009B0797"/>
    <w:rsid w:val="009B19A2"/>
    <w:rsid w:val="009B1A96"/>
    <w:rsid w:val="009B4A9C"/>
    <w:rsid w:val="009B50E1"/>
    <w:rsid w:val="009B5A1A"/>
    <w:rsid w:val="009B7086"/>
    <w:rsid w:val="009C05E8"/>
    <w:rsid w:val="009C33EB"/>
    <w:rsid w:val="009C3FE4"/>
    <w:rsid w:val="009C4D08"/>
    <w:rsid w:val="009C5701"/>
    <w:rsid w:val="009C663B"/>
    <w:rsid w:val="009C7795"/>
    <w:rsid w:val="009C7B33"/>
    <w:rsid w:val="009D0791"/>
    <w:rsid w:val="009D200B"/>
    <w:rsid w:val="009D20A7"/>
    <w:rsid w:val="009D219F"/>
    <w:rsid w:val="009D258E"/>
    <w:rsid w:val="009D2BEA"/>
    <w:rsid w:val="009D4EFC"/>
    <w:rsid w:val="009D5397"/>
    <w:rsid w:val="009D69B0"/>
    <w:rsid w:val="009E1601"/>
    <w:rsid w:val="009E16A2"/>
    <w:rsid w:val="009E227A"/>
    <w:rsid w:val="009E2D4C"/>
    <w:rsid w:val="009E37D8"/>
    <w:rsid w:val="009E5844"/>
    <w:rsid w:val="009E5D1E"/>
    <w:rsid w:val="009E77FF"/>
    <w:rsid w:val="009E79A0"/>
    <w:rsid w:val="009F0C7C"/>
    <w:rsid w:val="009F1C9F"/>
    <w:rsid w:val="009F3362"/>
    <w:rsid w:val="009F3BD2"/>
    <w:rsid w:val="009F441A"/>
    <w:rsid w:val="009F4D93"/>
    <w:rsid w:val="009F50B7"/>
    <w:rsid w:val="009F54F5"/>
    <w:rsid w:val="009F75D9"/>
    <w:rsid w:val="00A019F6"/>
    <w:rsid w:val="00A02E0C"/>
    <w:rsid w:val="00A0323C"/>
    <w:rsid w:val="00A032AD"/>
    <w:rsid w:val="00A03D5D"/>
    <w:rsid w:val="00A04A1E"/>
    <w:rsid w:val="00A04CD8"/>
    <w:rsid w:val="00A0624B"/>
    <w:rsid w:val="00A064C8"/>
    <w:rsid w:val="00A0765D"/>
    <w:rsid w:val="00A118B0"/>
    <w:rsid w:val="00A11C4E"/>
    <w:rsid w:val="00A14C4D"/>
    <w:rsid w:val="00A151E3"/>
    <w:rsid w:val="00A161CA"/>
    <w:rsid w:val="00A165B8"/>
    <w:rsid w:val="00A16B1D"/>
    <w:rsid w:val="00A17CB8"/>
    <w:rsid w:val="00A20580"/>
    <w:rsid w:val="00A20B8C"/>
    <w:rsid w:val="00A21F8B"/>
    <w:rsid w:val="00A2296D"/>
    <w:rsid w:val="00A23ABA"/>
    <w:rsid w:val="00A242F2"/>
    <w:rsid w:val="00A256BC"/>
    <w:rsid w:val="00A265A1"/>
    <w:rsid w:val="00A310C5"/>
    <w:rsid w:val="00A317D3"/>
    <w:rsid w:val="00A31B98"/>
    <w:rsid w:val="00A32040"/>
    <w:rsid w:val="00A32A2B"/>
    <w:rsid w:val="00A32A6B"/>
    <w:rsid w:val="00A33E42"/>
    <w:rsid w:val="00A3757F"/>
    <w:rsid w:val="00A4031A"/>
    <w:rsid w:val="00A42078"/>
    <w:rsid w:val="00A42993"/>
    <w:rsid w:val="00A44BBB"/>
    <w:rsid w:val="00A44E69"/>
    <w:rsid w:val="00A4589E"/>
    <w:rsid w:val="00A45EC5"/>
    <w:rsid w:val="00A46C58"/>
    <w:rsid w:val="00A46CAE"/>
    <w:rsid w:val="00A477A6"/>
    <w:rsid w:val="00A4785E"/>
    <w:rsid w:val="00A52293"/>
    <w:rsid w:val="00A52685"/>
    <w:rsid w:val="00A526D7"/>
    <w:rsid w:val="00A5304B"/>
    <w:rsid w:val="00A53BE4"/>
    <w:rsid w:val="00A55163"/>
    <w:rsid w:val="00A556D4"/>
    <w:rsid w:val="00A56108"/>
    <w:rsid w:val="00A56EFB"/>
    <w:rsid w:val="00A5762D"/>
    <w:rsid w:val="00A6065D"/>
    <w:rsid w:val="00A606DD"/>
    <w:rsid w:val="00A610E5"/>
    <w:rsid w:val="00A61583"/>
    <w:rsid w:val="00A620E3"/>
    <w:rsid w:val="00A624EC"/>
    <w:rsid w:val="00A62BB5"/>
    <w:rsid w:val="00A64DC5"/>
    <w:rsid w:val="00A653FA"/>
    <w:rsid w:val="00A67145"/>
    <w:rsid w:val="00A67347"/>
    <w:rsid w:val="00A70F0A"/>
    <w:rsid w:val="00A71F9D"/>
    <w:rsid w:val="00A745E6"/>
    <w:rsid w:val="00A755D2"/>
    <w:rsid w:val="00A76E62"/>
    <w:rsid w:val="00A809EB"/>
    <w:rsid w:val="00A82586"/>
    <w:rsid w:val="00A82743"/>
    <w:rsid w:val="00A8307D"/>
    <w:rsid w:val="00A85F63"/>
    <w:rsid w:val="00A863D7"/>
    <w:rsid w:val="00A865D7"/>
    <w:rsid w:val="00A867CA"/>
    <w:rsid w:val="00A87E79"/>
    <w:rsid w:val="00A90C66"/>
    <w:rsid w:val="00A927FA"/>
    <w:rsid w:val="00A93651"/>
    <w:rsid w:val="00A951B4"/>
    <w:rsid w:val="00A95870"/>
    <w:rsid w:val="00A965CA"/>
    <w:rsid w:val="00A974CC"/>
    <w:rsid w:val="00AA0677"/>
    <w:rsid w:val="00AA176E"/>
    <w:rsid w:val="00AA2834"/>
    <w:rsid w:val="00AA4B4A"/>
    <w:rsid w:val="00AA6F5A"/>
    <w:rsid w:val="00AA742C"/>
    <w:rsid w:val="00AB0897"/>
    <w:rsid w:val="00AB102C"/>
    <w:rsid w:val="00AB2FF7"/>
    <w:rsid w:val="00AB32B2"/>
    <w:rsid w:val="00AB39A1"/>
    <w:rsid w:val="00AB3D6A"/>
    <w:rsid w:val="00AB5802"/>
    <w:rsid w:val="00AB5CA2"/>
    <w:rsid w:val="00AB6F1F"/>
    <w:rsid w:val="00AB74CB"/>
    <w:rsid w:val="00AC00AA"/>
    <w:rsid w:val="00AC092A"/>
    <w:rsid w:val="00AC15BF"/>
    <w:rsid w:val="00AC2AFF"/>
    <w:rsid w:val="00AC6B45"/>
    <w:rsid w:val="00AC7099"/>
    <w:rsid w:val="00AD0164"/>
    <w:rsid w:val="00AD059A"/>
    <w:rsid w:val="00AD0A2F"/>
    <w:rsid w:val="00AD23AB"/>
    <w:rsid w:val="00AD26A9"/>
    <w:rsid w:val="00AD43C6"/>
    <w:rsid w:val="00AD4406"/>
    <w:rsid w:val="00AD5D1C"/>
    <w:rsid w:val="00AD7E80"/>
    <w:rsid w:val="00AE13EF"/>
    <w:rsid w:val="00AE3C10"/>
    <w:rsid w:val="00AE5BC0"/>
    <w:rsid w:val="00AE5DA8"/>
    <w:rsid w:val="00AE73C1"/>
    <w:rsid w:val="00AF0723"/>
    <w:rsid w:val="00AF07E5"/>
    <w:rsid w:val="00AF1A06"/>
    <w:rsid w:val="00AF2B57"/>
    <w:rsid w:val="00AF3BED"/>
    <w:rsid w:val="00AF4C7A"/>
    <w:rsid w:val="00AF593E"/>
    <w:rsid w:val="00AF62F6"/>
    <w:rsid w:val="00B00DB3"/>
    <w:rsid w:val="00B0166D"/>
    <w:rsid w:val="00B01E5E"/>
    <w:rsid w:val="00B045E2"/>
    <w:rsid w:val="00B05835"/>
    <w:rsid w:val="00B10541"/>
    <w:rsid w:val="00B11163"/>
    <w:rsid w:val="00B11544"/>
    <w:rsid w:val="00B115BF"/>
    <w:rsid w:val="00B12B2A"/>
    <w:rsid w:val="00B12D56"/>
    <w:rsid w:val="00B146C2"/>
    <w:rsid w:val="00B14F4E"/>
    <w:rsid w:val="00B1619A"/>
    <w:rsid w:val="00B16F4B"/>
    <w:rsid w:val="00B2070C"/>
    <w:rsid w:val="00B2148D"/>
    <w:rsid w:val="00B23521"/>
    <w:rsid w:val="00B238AF"/>
    <w:rsid w:val="00B25EAE"/>
    <w:rsid w:val="00B274EF"/>
    <w:rsid w:val="00B27936"/>
    <w:rsid w:val="00B303A5"/>
    <w:rsid w:val="00B3052D"/>
    <w:rsid w:val="00B305D3"/>
    <w:rsid w:val="00B3161E"/>
    <w:rsid w:val="00B33CCF"/>
    <w:rsid w:val="00B354EC"/>
    <w:rsid w:val="00B3643A"/>
    <w:rsid w:val="00B4109D"/>
    <w:rsid w:val="00B41170"/>
    <w:rsid w:val="00B41C08"/>
    <w:rsid w:val="00B42597"/>
    <w:rsid w:val="00B43764"/>
    <w:rsid w:val="00B43976"/>
    <w:rsid w:val="00B445CF"/>
    <w:rsid w:val="00B44C76"/>
    <w:rsid w:val="00B463C0"/>
    <w:rsid w:val="00B4652A"/>
    <w:rsid w:val="00B4657A"/>
    <w:rsid w:val="00B47050"/>
    <w:rsid w:val="00B477C2"/>
    <w:rsid w:val="00B54777"/>
    <w:rsid w:val="00B54848"/>
    <w:rsid w:val="00B5518D"/>
    <w:rsid w:val="00B55717"/>
    <w:rsid w:val="00B565DB"/>
    <w:rsid w:val="00B56E8A"/>
    <w:rsid w:val="00B57128"/>
    <w:rsid w:val="00B5726D"/>
    <w:rsid w:val="00B574CB"/>
    <w:rsid w:val="00B5798E"/>
    <w:rsid w:val="00B60381"/>
    <w:rsid w:val="00B61F4E"/>
    <w:rsid w:val="00B6276A"/>
    <w:rsid w:val="00B62B53"/>
    <w:rsid w:val="00B6354A"/>
    <w:rsid w:val="00B63756"/>
    <w:rsid w:val="00B63962"/>
    <w:rsid w:val="00B63B3A"/>
    <w:rsid w:val="00B63F41"/>
    <w:rsid w:val="00B64F6F"/>
    <w:rsid w:val="00B67895"/>
    <w:rsid w:val="00B678F8"/>
    <w:rsid w:val="00B72D04"/>
    <w:rsid w:val="00B74938"/>
    <w:rsid w:val="00B75C85"/>
    <w:rsid w:val="00B7625E"/>
    <w:rsid w:val="00B76397"/>
    <w:rsid w:val="00B774BB"/>
    <w:rsid w:val="00B77506"/>
    <w:rsid w:val="00B81257"/>
    <w:rsid w:val="00B81D00"/>
    <w:rsid w:val="00B83083"/>
    <w:rsid w:val="00B836F0"/>
    <w:rsid w:val="00B83B25"/>
    <w:rsid w:val="00B83F65"/>
    <w:rsid w:val="00B84B09"/>
    <w:rsid w:val="00B853D1"/>
    <w:rsid w:val="00B86022"/>
    <w:rsid w:val="00B86663"/>
    <w:rsid w:val="00B86D8A"/>
    <w:rsid w:val="00B870AB"/>
    <w:rsid w:val="00B91637"/>
    <w:rsid w:val="00B91765"/>
    <w:rsid w:val="00B91C43"/>
    <w:rsid w:val="00B922A9"/>
    <w:rsid w:val="00B92BC8"/>
    <w:rsid w:val="00B92D96"/>
    <w:rsid w:val="00B9312D"/>
    <w:rsid w:val="00B9367D"/>
    <w:rsid w:val="00B93C16"/>
    <w:rsid w:val="00B94672"/>
    <w:rsid w:val="00B95556"/>
    <w:rsid w:val="00B96D60"/>
    <w:rsid w:val="00B97E0A"/>
    <w:rsid w:val="00BA0027"/>
    <w:rsid w:val="00BA05F5"/>
    <w:rsid w:val="00BA06A5"/>
    <w:rsid w:val="00BA1325"/>
    <w:rsid w:val="00BA329D"/>
    <w:rsid w:val="00BB0101"/>
    <w:rsid w:val="00BB011A"/>
    <w:rsid w:val="00BB0A08"/>
    <w:rsid w:val="00BB104D"/>
    <w:rsid w:val="00BB6002"/>
    <w:rsid w:val="00BC1753"/>
    <w:rsid w:val="00BC1EA9"/>
    <w:rsid w:val="00BC2423"/>
    <w:rsid w:val="00BC3EB7"/>
    <w:rsid w:val="00BC42E7"/>
    <w:rsid w:val="00BC6323"/>
    <w:rsid w:val="00BC6A23"/>
    <w:rsid w:val="00BC6ED0"/>
    <w:rsid w:val="00BC7309"/>
    <w:rsid w:val="00BC76A2"/>
    <w:rsid w:val="00BD0B30"/>
    <w:rsid w:val="00BD1053"/>
    <w:rsid w:val="00BD1B50"/>
    <w:rsid w:val="00BD306A"/>
    <w:rsid w:val="00BD37A0"/>
    <w:rsid w:val="00BD3C1E"/>
    <w:rsid w:val="00BD4025"/>
    <w:rsid w:val="00BD4783"/>
    <w:rsid w:val="00BD4A1A"/>
    <w:rsid w:val="00BD5981"/>
    <w:rsid w:val="00BD5A7B"/>
    <w:rsid w:val="00BD5A9C"/>
    <w:rsid w:val="00BD6408"/>
    <w:rsid w:val="00BD7560"/>
    <w:rsid w:val="00BE0BE0"/>
    <w:rsid w:val="00BE0CAF"/>
    <w:rsid w:val="00BE0E45"/>
    <w:rsid w:val="00BE2258"/>
    <w:rsid w:val="00BE5318"/>
    <w:rsid w:val="00BE58B5"/>
    <w:rsid w:val="00BE5A1F"/>
    <w:rsid w:val="00BE5F32"/>
    <w:rsid w:val="00BE6365"/>
    <w:rsid w:val="00BE723C"/>
    <w:rsid w:val="00BE7689"/>
    <w:rsid w:val="00BF1D92"/>
    <w:rsid w:val="00BF3165"/>
    <w:rsid w:val="00BF3D26"/>
    <w:rsid w:val="00BF41C7"/>
    <w:rsid w:val="00BF4A6E"/>
    <w:rsid w:val="00BF579F"/>
    <w:rsid w:val="00BF57DA"/>
    <w:rsid w:val="00BF5B3B"/>
    <w:rsid w:val="00BF6984"/>
    <w:rsid w:val="00BF74BC"/>
    <w:rsid w:val="00BF7FB6"/>
    <w:rsid w:val="00C03045"/>
    <w:rsid w:val="00C03E5B"/>
    <w:rsid w:val="00C04267"/>
    <w:rsid w:val="00C050B7"/>
    <w:rsid w:val="00C05CA3"/>
    <w:rsid w:val="00C05FF6"/>
    <w:rsid w:val="00C0689F"/>
    <w:rsid w:val="00C0703F"/>
    <w:rsid w:val="00C071CF"/>
    <w:rsid w:val="00C072F5"/>
    <w:rsid w:val="00C10A53"/>
    <w:rsid w:val="00C1315D"/>
    <w:rsid w:val="00C15AF4"/>
    <w:rsid w:val="00C17640"/>
    <w:rsid w:val="00C21BD6"/>
    <w:rsid w:val="00C237B0"/>
    <w:rsid w:val="00C23838"/>
    <w:rsid w:val="00C23CFA"/>
    <w:rsid w:val="00C240DA"/>
    <w:rsid w:val="00C26131"/>
    <w:rsid w:val="00C268F4"/>
    <w:rsid w:val="00C27086"/>
    <w:rsid w:val="00C27519"/>
    <w:rsid w:val="00C3078D"/>
    <w:rsid w:val="00C3096B"/>
    <w:rsid w:val="00C3227B"/>
    <w:rsid w:val="00C33129"/>
    <w:rsid w:val="00C3475E"/>
    <w:rsid w:val="00C34A02"/>
    <w:rsid w:val="00C34A70"/>
    <w:rsid w:val="00C35FF3"/>
    <w:rsid w:val="00C367BC"/>
    <w:rsid w:val="00C42364"/>
    <w:rsid w:val="00C43F77"/>
    <w:rsid w:val="00C45D4B"/>
    <w:rsid w:val="00C46D9F"/>
    <w:rsid w:val="00C4734E"/>
    <w:rsid w:val="00C50119"/>
    <w:rsid w:val="00C51340"/>
    <w:rsid w:val="00C52F08"/>
    <w:rsid w:val="00C5341D"/>
    <w:rsid w:val="00C53A8C"/>
    <w:rsid w:val="00C54622"/>
    <w:rsid w:val="00C54A4B"/>
    <w:rsid w:val="00C5593A"/>
    <w:rsid w:val="00C55AF0"/>
    <w:rsid w:val="00C55F10"/>
    <w:rsid w:val="00C56885"/>
    <w:rsid w:val="00C57539"/>
    <w:rsid w:val="00C6104B"/>
    <w:rsid w:val="00C62340"/>
    <w:rsid w:val="00C623FD"/>
    <w:rsid w:val="00C6418C"/>
    <w:rsid w:val="00C645E3"/>
    <w:rsid w:val="00C67EE0"/>
    <w:rsid w:val="00C67F5B"/>
    <w:rsid w:val="00C721A9"/>
    <w:rsid w:val="00C7220F"/>
    <w:rsid w:val="00C72638"/>
    <w:rsid w:val="00C72C8D"/>
    <w:rsid w:val="00C75839"/>
    <w:rsid w:val="00C77690"/>
    <w:rsid w:val="00C80BD7"/>
    <w:rsid w:val="00C8226C"/>
    <w:rsid w:val="00C8309F"/>
    <w:rsid w:val="00C8473E"/>
    <w:rsid w:val="00C847E4"/>
    <w:rsid w:val="00C84EDD"/>
    <w:rsid w:val="00C84FC8"/>
    <w:rsid w:val="00C85369"/>
    <w:rsid w:val="00C86D93"/>
    <w:rsid w:val="00C86E49"/>
    <w:rsid w:val="00C92459"/>
    <w:rsid w:val="00C92C45"/>
    <w:rsid w:val="00C92C9D"/>
    <w:rsid w:val="00C938AC"/>
    <w:rsid w:val="00C93AF7"/>
    <w:rsid w:val="00C94501"/>
    <w:rsid w:val="00C94EE0"/>
    <w:rsid w:val="00C959BA"/>
    <w:rsid w:val="00C95CBB"/>
    <w:rsid w:val="00C95FF4"/>
    <w:rsid w:val="00C96DA3"/>
    <w:rsid w:val="00CA0824"/>
    <w:rsid w:val="00CA1EED"/>
    <w:rsid w:val="00CA5105"/>
    <w:rsid w:val="00CA599F"/>
    <w:rsid w:val="00CA5DCF"/>
    <w:rsid w:val="00CA6A63"/>
    <w:rsid w:val="00CB01C6"/>
    <w:rsid w:val="00CB101D"/>
    <w:rsid w:val="00CB5F36"/>
    <w:rsid w:val="00CB65E4"/>
    <w:rsid w:val="00CB7A14"/>
    <w:rsid w:val="00CC1286"/>
    <w:rsid w:val="00CC1954"/>
    <w:rsid w:val="00CC276A"/>
    <w:rsid w:val="00CC2AB4"/>
    <w:rsid w:val="00CC2ABC"/>
    <w:rsid w:val="00CC4632"/>
    <w:rsid w:val="00CC4C21"/>
    <w:rsid w:val="00CC4F72"/>
    <w:rsid w:val="00CC5F18"/>
    <w:rsid w:val="00CC768C"/>
    <w:rsid w:val="00CD022A"/>
    <w:rsid w:val="00CD3E98"/>
    <w:rsid w:val="00CD3FAD"/>
    <w:rsid w:val="00CD4DC4"/>
    <w:rsid w:val="00CD518F"/>
    <w:rsid w:val="00CD5373"/>
    <w:rsid w:val="00CD5B6D"/>
    <w:rsid w:val="00CD68FE"/>
    <w:rsid w:val="00CD70D7"/>
    <w:rsid w:val="00CD7C7A"/>
    <w:rsid w:val="00CE1964"/>
    <w:rsid w:val="00CE2DD3"/>
    <w:rsid w:val="00CE3ED8"/>
    <w:rsid w:val="00CE4B1B"/>
    <w:rsid w:val="00CE62A7"/>
    <w:rsid w:val="00CF0104"/>
    <w:rsid w:val="00CF0C4D"/>
    <w:rsid w:val="00CF0E38"/>
    <w:rsid w:val="00CF0E55"/>
    <w:rsid w:val="00CF2226"/>
    <w:rsid w:val="00CF2712"/>
    <w:rsid w:val="00CF5CCA"/>
    <w:rsid w:val="00D00C30"/>
    <w:rsid w:val="00D0165B"/>
    <w:rsid w:val="00D01A14"/>
    <w:rsid w:val="00D036E4"/>
    <w:rsid w:val="00D0576E"/>
    <w:rsid w:val="00D0601E"/>
    <w:rsid w:val="00D10CB0"/>
    <w:rsid w:val="00D1174A"/>
    <w:rsid w:val="00D11CD9"/>
    <w:rsid w:val="00D120B0"/>
    <w:rsid w:val="00D12C4D"/>
    <w:rsid w:val="00D20A51"/>
    <w:rsid w:val="00D20B2B"/>
    <w:rsid w:val="00D21496"/>
    <w:rsid w:val="00D228FE"/>
    <w:rsid w:val="00D229E6"/>
    <w:rsid w:val="00D23169"/>
    <w:rsid w:val="00D23330"/>
    <w:rsid w:val="00D23990"/>
    <w:rsid w:val="00D23B43"/>
    <w:rsid w:val="00D251F6"/>
    <w:rsid w:val="00D27A7F"/>
    <w:rsid w:val="00D323DD"/>
    <w:rsid w:val="00D3456D"/>
    <w:rsid w:val="00D35025"/>
    <w:rsid w:val="00D35822"/>
    <w:rsid w:val="00D3624E"/>
    <w:rsid w:val="00D37FD7"/>
    <w:rsid w:val="00D41189"/>
    <w:rsid w:val="00D41480"/>
    <w:rsid w:val="00D45133"/>
    <w:rsid w:val="00D45255"/>
    <w:rsid w:val="00D4583C"/>
    <w:rsid w:val="00D46EE0"/>
    <w:rsid w:val="00D47747"/>
    <w:rsid w:val="00D503DD"/>
    <w:rsid w:val="00D523E4"/>
    <w:rsid w:val="00D52412"/>
    <w:rsid w:val="00D5343A"/>
    <w:rsid w:val="00D53CC4"/>
    <w:rsid w:val="00D53FD2"/>
    <w:rsid w:val="00D548FE"/>
    <w:rsid w:val="00D55C24"/>
    <w:rsid w:val="00D56715"/>
    <w:rsid w:val="00D56D0C"/>
    <w:rsid w:val="00D57D37"/>
    <w:rsid w:val="00D57D6E"/>
    <w:rsid w:val="00D641C9"/>
    <w:rsid w:val="00D65121"/>
    <w:rsid w:val="00D668DA"/>
    <w:rsid w:val="00D70B53"/>
    <w:rsid w:val="00D72882"/>
    <w:rsid w:val="00D743C3"/>
    <w:rsid w:val="00D75178"/>
    <w:rsid w:val="00D75556"/>
    <w:rsid w:val="00D76264"/>
    <w:rsid w:val="00D765E6"/>
    <w:rsid w:val="00D8416F"/>
    <w:rsid w:val="00D84A4A"/>
    <w:rsid w:val="00D84D91"/>
    <w:rsid w:val="00D85870"/>
    <w:rsid w:val="00D859BC"/>
    <w:rsid w:val="00D8634B"/>
    <w:rsid w:val="00D871E3"/>
    <w:rsid w:val="00D87875"/>
    <w:rsid w:val="00D92227"/>
    <w:rsid w:val="00D93732"/>
    <w:rsid w:val="00D94783"/>
    <w:rsid w:val="00D9530D"/>
    <w:rsid w:val="00D970A1"/>
    <w:rsid w:val="00D978B3"/>
    <w:rsid w:val="00DA124D"/>
    <w:rsid w:val="00DA18FA"/>
    <w:rsid w:val="00DA32AB"/>
    <w:rsid w:val="00DA469B"/>
    <w:rsid w:val="00DA5149"/>
    <w:rsid w:val="00DA54A3"/>
    <w:rsid w:val="00DA720F"/>
    <w:rsid w:val="00DB1105"/>
    <w:rsid w:val="00DB1950"/>
    <w:rsid w:val="00DB196D"/>
    <w:rsid w:val="00DB1B29"/>
    <w:rsid w:val="00DB2D78"/>
    <w:rsid w:val="00DB6309"/>
    <w:rsid w:val="00DC0050"/>
    <w:rsid w:val="00DC0AF9"/>
    <w:rsid w:val="00DC0FBD"/>
    <w:rsid w:val="00DC2CC3"/>
    <w:rsid w:val="00DC4473"/>
    <w:rsid w:val="00DC6A1E"/>
    <w:rsid w:val="00DC72AF"/>
    <w:rsid w:val="00DD3B2B"/>
    <w:rsid w:val="00DD4294"/>
    <w:rsid w:val="00DD63AA"/>
    <w:rsid w:val="00DD6D15"/>
    <w:rsid w:val="00DD7A26"/>
    <w:rsid w:val="00DE0587"/>
    <w:rsid w:val="00DE0A1B"/>
    <w:rsid w:val="00DE1AF9"/>
    <w:rsid w:val="00DE230E"/>
    <w:rsid w:val="00DE3BE3"/>
    <w:rsid w:val="00DE5804"/>
    <w:rsid w:val="00DE5A76"/>
    <w:rsid w:val="00DE6D72"/>
    <w:rsid w:val="00DE7070"/>
    <w:rsid w:val="00DF0906"/>
    <w:rsid w:val="00DF1739"/>
    <w:rsid w:val="00DF35CA"/>
    <w:rsid w:val="00DF521F"/>
    <w:rsid w:val="00DF5D57"/>
    <w:rsid w:val="00DF60A0"/>
    <w:rsid w:val="00DF6CBC"/>
    <w:rsid w:val="00DF77E5"/>
    <w:rsid w:val="00E005F7"/>
    <w:rsid w:val="00E01EEF"/>
    <w:rsid w:val="00E02859"/>
    <w:rsid w:val="00E030DA"/>
    <w:rsid w:val="00E03173"/>
    <w:rsid w:val="00E036E4"/>
    <w:rsid w:val="00E03BEA"/>
    <w:rsid w:val="00E049D9"/>
    <w:rsid w:val="00E04B46"/>
    <w:rsid w:val="00E072FA"/>
    <w:rsid w:val="00E1048C"/>
    <w:rsid w:val="00E109E1"/>
    <w:rsid w:val="00E10D50"/>
    <w:rsid w:val="00E1158C"/>
    <w:rsid w:val="00E115D6"/>
    <w:rsid w:val="00E11A55"/>
    <w:rsid w:val="00E13984"/>
    <w:rsid w:val="00E16BA1"/>
    <w:rsid w:val="00E16EDD"/>
    <w:rsid w:val="00E16F3D"/>
    <w:rsid w:val="00E172C2"/>
    <w:rsid w:val="00E219AA"/>
    <w:rsid w:val="00E22793"/>
    <w:rsid w:val="00E22EE2"/>
    <w:rsid w:val="00E2374E"/>
    <w:rsid w:val="00E248BD"/>
    <w:rsid w:val="00E25BD8"/>
    <w:rsid w:val="00E25C36"/>
    <w:rsid w:val="00E2645F"/>
    <w:rsid w:val="00E2696D"/>
    <w:rsid w:val="00E276CC"/>
    <w:rsid w:val="00E30DB3"/>
    <w:rsid w:val="00E32A00"/>
    <w:rsid w:val="00E332DC"/>
    <w:rsid w:val="00E34AA0"/>
    <w:rsid w:val="00E37342"/>
    <w:rsid w:val="00E37368"/>
    <w:rsid w:val="00E4084C"/>
    <w:rsid w:val="00E42EC5"/>
    <w:rsid w:val="00E438C0"/>
    <w:rsid w:val="00E50967"/>
    <w:rsid w:val="00E50A7F"/>
    <w:rsid w:val="00E5172F"/>
    <w:rsid w:val="00E51FBF"/>
    <w:rsid w:val="00E52540"/>
    <w:rsid w:val="00E5425E"/>
    <w:rsid w:val="00E542E0"/>
    <w:rsid w:val="00E55034"/>
    <w:rsid w:val="00E60C1D"/>
    <w:rsid w:val="00E64F14"/>
    <w:rsid w:val="00E664F1"/>
    <w:rsid w:val="00E70866"/>
    <w:rsid w:val="00E71F7E"/>
    <w:rsid w:val="00E725DC"/>
    <w:rsid w:val="00E72D14"/>
    <w:rsid w:val="00E73543"/>
    <w:rsid w:val="00E73C4E"/>
    <w:rsid w:val="00E75D36"/>
    <w:rsid w:val="00E76BC1"/>
    <w:rsid w:val="00E82C97"/>
    <w:rsid w:val="00E84803"/>
    <w:rsid w:val="00E851BE"/>
    <w:rsid w:val="00E85DBE"/>
    <w:rsid w:val="00E86697"/>
    <w:rsid w:val="00E8674F"/>
    <w:rsid w:val="00E900B9"/>
    <w:rsid w:val="00E90898"/>
    <w:rsid w:val="00E916BB"/>
    <w:rsid w:val="00E943A5"/>
    <w:rsid w:val="00E960B8"/>
    <w:rsid w:val="00E967F2"/>
    <w:rsid w:val="00E97295"/>
    <w:rsid w:val="00E9791B"/>
    <w:rsid w:val="00EA1381"/>
    <w:rsid w:val="00EA2127"/>
    <w:rsid w:val="00EA3364"/>
    <w:rsid w:val="00EA4340"/>
    <w:rsid w:val="00EB01B3"/>
    <w:rsid w:val="00EB0543"/>
    <w:rsid w:val="00EB1CCA"/>
    <w:rsid w:val="00EB3068"/>
    <w:rsid w:val="00EB32B5"/>
    <w:rsid w:val="00EB33C9"/>
    <w:rsid w:val="00EB6F3A"/>
    <w:rsid w:val="00EC0ADB"/>
    <w:rsid w:val="00EC1976"/>
    <w:rsid w:val="00EC26AC"/>
    <w:rsid w:val="00EC2995"/>
    <w:rsid w:val="00EC3EBE"/>
    <w:rsid w:val="00EC670D"/>
    <w:rsid w:val="00ED0948"/>
    <w:rsid w:val="00ED1489"/>
    <w:rsid w:val="00ED1560"/>
    <w:rsid w:val="00ED3018"/>
    <w:rsid w:val="00ED34C3"/>
    <w:rsid w:val="00ED48CC"/>
    <w:rsid w:val="00ED50AF"/>
    <w:rsid w:val="00ED5FE2"/>
    <w:rsid w:val="00ED7899"/>
    <w:rsid w:val="00EE0A8D"/>
    <w:rsid w:val="00EE2DAF"/>
    <w:rsid w:val="00EE3D3C"/>
    <w:rsid w:val="00EE4218"/>
    <w:rsid w:val="00EE447F"/>
    <w:rsid w:val="00EE49D6"/>
    <w:rsid w:val="00EE5DCB"/>
    <w:rsid w:val="00EE5F4A"/>
    <w:rsid w:val="00EE69E3"/>
    <w:rsid w:val="00EE74D4"/>
    <w:rsid w:val="00EF03DF"/>
    <w:rsid w:val="00EF1BB4"/>
    <w:rsid w:val="00EF706A"/>
    <w:rsid w:val="00F012AE"/>
    <w:rsid w:val="00F01625"/>
    <w:rsid w:val="00F0176E"/>
    <w:rsid w:val="00F01A96"/>
    <w:rsid w:val="00F01C18"/>
    <w:rsid w:val="00F01E5A"/>
    <w:rsid w:val="00F032AD"/>
    <w:rsid w:val="00F033C8"/>
    <w:rsid w:val="00F03993"/>
    <w:rsid w:val="00F0758E"/>
    <w:rsid w:val="00F0761B"/>
    <w:rsid w:val="00F11627"/>
    <w:rsid w:val="00F12CA2"/>
    <w:rsid w:val="00F13964"/>
    <w:rsid w:val="00F14408"/>
    <w:rsid w:val="00F155EF"/>
    <w:rsid w:val="00F16A4E"/>
    <w:rsid w:val="00F17B15"/>
    <w:rsid w:val="00F2370C"/>
    <w:rsid w:val="00F24468"/>
    <w:rsid w:val="00F25E69"/>
    <w:rsid w:val="00F2693B"/>
    <w:rsid w:val="00F27222"/>
    <w:rsid w:val="00F319C7"/>
    <w:rsid w:val="00F31F40"/>
    <w:rsid w:val="00F32FED"/>
    <w:rsid w:val="00F3330E"/>
    <w:rsid w:val="00F33335"/>
    <w:rsid w:val="00F34F3E"/>
    <w:rsid w:val="00F35275"/>
    <w:rsid w:val="00F35E4D"/>
    <w:rsid w:val="00F37686"/>
    <w:rsid w:val="00F3782F"/>
    <w:rsid w:val="00F37C74"/>
    <w:rsid w:val="00F40C38"/>
    <w:rsid w:val="00F422F8"/>
    <w:rsid w:val="00F42545"/>
    <w:rsid w:val="00F42B6B"/>
    <w:rsid w:val="00F4329C"/>
    <w:rsid w:val="00F439FF"/>
    <w:rsid w:val="00F43EC8"/>
    <w:rsid w:val="00F461AD"/>
    <w:rsid w:val="00F511A3"/>
    <w:rsid w:val="00F54D4C"/>
    <w:rsid w:val="00F5718E"/>
    <w:rsid w:val="00F57686"/>
    <w:rsid w:val="00F57A53"/>
    <w:rsid w:val="00F60D25"/>
    <w:rsid w:val="00F63F3B"/>
    <w:rsid w:val="00F66168"/>
    <w:rsid w:val="00F6758C"/>
    <w:rsid w:val="00F6784C"/>
    <w:rsid w:val="00F703CA"/>
    <w:rsid w:val="00F71338"/>
    <w:rsid w:val="00F71D20"/>
    <w:rsid w:val="00F71DFC"/>
    <w:rsid w:val="00F72E39"/>
    <w:rsid w:val="00F73EFE"/>
    <w:rsid w:val="00F74C4C"/>
    <w:rsid w:val="00F754A9"/>
    <w:rsid w:val="00F759F8"/>
    <w:rsid w:val="00F76235"/>
    <w:rsid w:val="00F76AE2"/>
    <w:rsid w:val="00F76F09"/>
    <w:rsid w:val="00F76F45"/>
    <w:rsid w:val="00F8178D"/>
    <w:rsid w:val="00F8194B"/>
    <w:rsid w:val="00F8261E"/>
    <w:rsid w:val="00F84444"/>
    <w:rsid w:val="00F8464A"/>
    <w:rsid w:val="00F8526C"/>
    <w:rsid w:val="00F87387"/>
    <w:rsid w:val="00F8799E"/>
    <w:rsid w:val="00F91AD6"/>
    <w:rsid w:val="00F9377E"/>
    <w:rsid w:val="00F93B8B"/>
    <w:rsid w:val="00F93C2E"/>
    <w:rsid w:val="00F93CCD"/>
    <w:rsid w:val="00F95E27"/>
    <w:rsid w:val="00F9673B"/>
    <w:rsid w:val="00F967F2"/>
    <w:rsid w:val="00FA1202"/>
    <w:rsid w:val="00FA1C28"/>
    <w:rsid w:val="00FB0055"/>
    <w:rsid w:val="00FB06F8"/>
    <w:rsid w:val="00FB2441"/>
    <w:rsid w:val="00FB26ED"/>
    <w:rsid w:val="00FB2B85"/>
    <w:rsid w:val="00FB61C1"/>
    <w:rsid w:val="00FB6556"/>
    <w:rsid w:val="00FB69AF"/>
    <w:rsid w:val="00FB6D93"/>
    <w:rsid w:val="00FC1AEC"/>
    <w:rsid w:val="00FC2987"/>
    <w:rsid w:val="00FC392E"/>
    <w:rsid w:val="00FC4288"/>
    <w:rsid w:val="00FC5F41"/>
    <w:rsid w:val="00FC6A2D"/>
    <w:rsid w:val="00FC6CB7"/>
    <w:rsid w:val="00FC76DA"/>
    <w:rsid w:val="00FC7A6E"/>
    <w:rsid w:val="00FD0622"/>
    <w:rsid w:val="00FD26FC"/>
    <w:rsid w:val="00FD7A6D"/>
    <w:rsid w:val="00FD7B89"/>
    <w:rsid w:val="00FE0BD4"/>
    <w:rsid w:val="00FE1C26"/>
    <w:rsid w:val="00FE2073"/>
    <w:rsid w:val="00FE20F7"/>
    <w:rsid w:val="00FE42AB"/>
    <w:rsid w:val="00FE51B9"/>
    <w:rsid w:val="00FE5C9D"/>
    <w:rsid w:val="00FE5DF6"/>
    <w:rsid w:val="00FE71A9"/>
    <w:rsid w:val="00FF2013"/>
    <w:rsid w:val="00FF2C73"/>
    <w:rsid w:val="00FF2FE0"/>
    <w:rsid w:val="00FF5026"/>
    <w:rsid w:val="00FF6BAA"/>
    <w:rsid w:val="00FF6C58"/>
    <w:rsid w:val="01290489"/>
    <w:rsid w:val="01350E74"/>
    <w:rsid w:val="014267AE"/>
    <w:rsid w:val="016B3DED"/>
    <w:rsid w:val="017010FD"/>
    <w:rsid w:val="01881D72"/>
    <w:rsid w:val="01A700D2"/>
    <w:rsid w:val="01C625CD"/>
    <w:rsid w:val="01F81598"/>
    <w:rsid w:val="01FB2EF0"/>
    <w:rsid w:val="020636EB"/>
    <w:rsid w:val="02065242"/>
    <w:rsid w:val="020B3BAD"/>
    <w:rsid w:val="020D5EE8"/>
    <w:rsid w:val="029229E3"/>
    <w:rsid w:val="029C2FA6"/>
    <w:rsid w:val="02A0457E"/>
    <w:rsid w:val="02A227A1"/>
    <w:rsid w:val="02DC1010"/>
    <w:rsid w:val="033D0B36"/>
    <w:rsid w:val="03662242"/>
    <w:rsid w:val="036835C4"/>
    <w:rsid w:val="038C1C81"/>
    <w:rsid w:val="03AA6349"/>
    <w:rsid w:val="03B81AEF"/>
    <w:rsid w:val="03DC064F"/>
    <w:rsid w:val="03DF00C1"/>
    <w:rsid w:val="03FD73D0"/>
    <w:rsid w:val="040E1D2F"/>
    <w:rsid w:val="041813EA"/>
    <w:rsid w:val="043A5387"/>
    <w:rsid w:val="04625AA4"/>
    <w:rsid w:val="047B784B"/>
    <w:rsid w:val="0480010B"/>
    <w:rsid w:val="04933986"/>
    <w:rsid w:val="04963D46"/>
    <w:rsid w:val="04A874BC"/>
    <w:rsid w:val="04AE305E"/>
    <w:rsid w:val="04B56224"/>
    <w:rsid w:val="04BD03E7"/>
    <w:rsid w:val="04CD48A8"/>
    <w:rsid w:val="050D3F15"/>
    <w:rsid w:val="050D5DEA"/>
    <w:rsid w:val="05332283"/>
    <w:rsid w:val="053972C0"/>
    <w:rsid w:val="057175F3"/>
    <w:rsid w:val="059068D6"/>
    <w:rsid w:val="059E1FC3"/>
    <w:rsid w:val="05DF38C9"/>
    <w:rsid w:val="06185B96"/>
    <w:rsid w:val="06294701"/>
    <w:rsid w:val="06334523"/>
    <w:rsid w:val="063B5499"/>
    <w:rsid w:val="0643555A"/>
    <w:rsid w:val="066A604B"/>
    <w:rsid w:val="066C13F6"/>
    <w:rsid w:val="06881202"/>
    <w:rsid w:val="06A74CFE"/>
    <w:rsid w:val="06B859D0"/>
    <w:rsid w:val="06C97A0E"/>
    <w:rsid w:val="0701192F"/>
    <w:rsid w:val="07293021"/>
    <w:rsid w:val="07612B93"/>
    <w:rsid w:val="077661DF"/>
    <w:rsid w:val="0777765F"/>
    <w:rsid w:val="07862A94"/>
    <w:rsid w:val="07B52FFF"/>
    <w:rsid w:val="07CD66EE"/>
    <w:rsid w:val="07D67372"/>
    <w:rsid w:val="08122176"/>
    <w:rsid w:val="08133D5F"/>
    <w:rsid w:val="081D021D"/>
    <w:rsid w:val="082965FC"/>
    <w:rsid w:val="085F2C71"/>
    <w:rsid w:val="08863B39"/>
    <w:rsid w:val="089A69CA"/>
    <w:rsid w:val="08D648E1"/>
    <w:rsid w:val="08D866EA"/>
    <w:rsid w:val="08DA7AC0"/>
    <w:rsid w:val="08DC472C"/>
    <w:rsid w:val="08E46FFA"/>
    <w:rsid w:val="08E94A41"/>
    <w:rsid w:val="08EA5DF2"/>
    <w:rsid w:val="0920469C"/>
    <w:rsid w:val="092F65B6"/>
    <w:rsid w:val="093D3658"/>
    <w:rsid w:val="0944556D"/>
    <w:rsid w:val="09592B76"/>
    <w:rsid w:val="09852433"/>
    <w:rsid w:val="09910188"/>
    <w:rsid w:val="09B0143E"/>
    <w:rsid w:val="09D01381"/>
    <w:rsid w:val="09D248AB"/>
    <w:rsid w:val="09E71B0D"/>
    <w:rsid w:val="09EC47F4"/>
    <w:rsid w:val="0A3E72BD"/>
    <w:rsid w:val="0A464E92"/>
    <w:rsid w:val="0A743242"/>
    <w:rsid w:val="0A766471"/>
    <w:rsid w:val="0A8F7576"/>
    <w:rsid w:val="0A9270B3"/>
    <w:rsid w:val="0AB023E6"/>
    <w:rsid w:val="0AC00944"/>
    <w:rsid w:val="0AC05B9A"/>
    <w:rsid w:val="0AD63C50"/>
    <w:rsid w:val="0AE840EA"/>
    <w:rsid w:val="0B0C6EC6"/>
    <w:rsid w:val="0B1E4D6E"/>
    <w:rsid w:val="0B1E6659"/>
    <w:rsid w:val="0B5E40F8"/>
    <w:rsid w:val="0B701270"/>
    <w:rsid w:val="0B785D82"/>
    <w:rsid w:val="0B7C423B"/>
    <w:rsid w:val="0B8D4A8D"/>
    <w:rsid w:val="0BB65E54"/>
    <w:rsid w:val="0C051E37"/>
    <w:rsid w:val="0C3022B8"/>
    <w:rsid w:val="0C553EA0"/>
    <w:rsid w:val="0CBF4E94"/>
    <w:rsid w:val="0D216673"/>
    <w:rsid w:val="0D294192"/>
    <w:rsid w:val="0D2C28E3"/>
    <w:rsid w:val="0D2D5153"/>
    <w:rsid w:val="0D3D018D"/>
    <w:rsid w:val="0D4C612B"/>
    <w:rsid w:val="0D7C249E"/>
    <w:rsid w:val="0D896DBD"/>
    <w:rsid w:val="0DA61C1F"/>
    <w:rsid w:val="0DBA0D85"/>
    <w:rsid w:val="0DBE2823"/>
    <w:rsid w:val="0DE87221"/>
    <w:rsid w:val="0E016F15"/>
    <w:rsid w:val="0E0935C0"/>
    <w:rsid w:val="0E1F7F38"/>
    <w:rsid w:val="0E2A2377"/>
    <w:rsid w:val="0E5E0840"/>
    <w:rsid w:val="0E8B0388"/>
    <w:rsid w:val="0EA63D08"/>
    <w:rsid w:val="0EA837C2"/>
    <w:rsid w:val="0EB30DBE"/>
    <w:rsid w:val="0EC93A2B"/>
    <w:rsid w:val="0ED06D37"/>
    <w:rsid w:val="0ED434D5"/>
    <w:rsid w:val="0EF401AF"/>
    <w:rsid w:val="0F057CA8"/>
    <w:rsid w:val="0F2D6DC0"/>
    <w:rsid w:val="0F304F86"/>
    <w:rsid w:val="0F4821BE"/>
    <w:rsid w:val="0F5E1584"/>
    <w:rsid w:val="0F782DD3"/>
    <w:rsid w:val="0F7F05D9"/>
    <w:rsid w:val="0F956C90"/>
    <w:rsid w:val="0FC46960"/>
    <w:rsid w:val="0FE32825"/>
    <w:rsid w:val="0FEF7B5F"/>
    <w:rsid w:val="0FFE2478"/>
    <w:rsid w:val="0FFE370C"/>
    <w:rsid w:val="10093718"/>
    <w:rsid w:val="103E7530"/>
    <w:rsid w:val="105B4E4C"/>
    <w:rsid w:val="106A4C58"/>
    <w:rsid w:val="10770A6D"/>
    <w:rsid w:val="10973B61"/>
    <w:rsid w:val="10AC0995"/>
    <w:rsid w:val="1149675D"/>
    <w:rsid w:val="11541461"/>
    <w:rsid w:val="116D7D5F"/>
    <w:rsid w:val="1178375E"/>
    <w:rsid w:val="11934328"/>
    <w:rsid w:val="121239E8"/>
    <w:rsid w:val="122136E2"/>
    <w:rsid w:val="1232350F"/>
    <w:rsid w:val="127056E2"/>
    <w:rsid w:val="1296783A"/>
    <w:rsid w:val="12E81E21"/>
    <w:rsid w:val="13110601"/>
    <w:rsid w:val="1318274F"/>
    <w:rsid w:val="132A1DB3"/>
    <w:rsid w:val="134F60E5"/>
    <w:rsid w:val="136C34BB"/>
    <w:rsid w:val="137A05B8"/>
    <w:rsid w:val="13875F66"/>
    <w:rsid w:val="138C0176"/>
    <w:rsid w:val="13A908E5"/>
    <w:rsid w:val="13B1699B"/>
    <w:rsid w:val="13B87ED6"/>
    <w:rsid w:val="142F4FD4"/>
    <w:rsid w:val="147B6FAB"/>
    <w:rsid w:val="14880C8A"/>
    <w:rsid w:val="14D56A3B"/>
    <w:rsid w:val="14DD416A"/>
    <w:rsid w:val="14FF3904"/>
    <w:rsid w:val="151E6A62"/>
    <w:rsid w:val="152C0D1B"/>
    <w:rsid w:val="15567EB2"/>
    <w:rsid w:val="155F55F7"/>
    <w:rsid w:val="15681D19"/>
    <w:rsid w:val="158A3439"/>
    <w:rsid w:val="15970E66"/>
    <w:rsid w:val="15AF1065"/>
    <w:rsid w:val="15B90EF7"/>
    <w:rsid w:val="1624329B"/>
    <w:rsid w:val="16342DA7"/>
    <w:rsid w:val="16505937"/>
    <w:rsid w:val="16AB1699"/>
    <w:rsid w:val="16D53F7B"/>
    <w:rsid w:val="16D91A7A"/>
    <w:rsid w:val="16E724CA"/>
    <w:rsid w:val="16F24E72"/>
    <w:rsid w:val="171464B3"/>
    <w:rsid w:val="171E4351"/>
    <w:rsid w:val="17377504"/>
    <w:rsid w:val="17B21FDB"/>
    <w:rsid w:val="17C26B23"/>
    <w:rsid w:val="17C35D02"/>
    <w:rsid w:val="17C859C3"/>
    <w:rsid w:val="17DF6B1B"/>
    <w:rsid w:val="18674E59"/>
    <w:rsid w:val="189A0855"/>
    <w:rsid w:val="189A305B"/>
    <w:rsid w:val="189D25FA"/>
    <w:rsid w:val="18AF514A"/>
    <w:rsid w:val="18B236A0"/>
    <w:rsid w:val="18B724CD"/>
    <w:rsid w:val="18CA7B76"/>
    <w:rsid w:val="18D30E1F"/>
    <w:rsid w:val="18DE37FD"/>
    <w:rsid w:val="195C7C36"/>
    <w:rsid w:val="19621844"/>
    <w:rsid w:val="19647F59"/>
    <w:rsid w:val="197C5264"/>
    <w:rsid w:val="199128EC"/>
    <w:rsid w:val="19AD48EF"/>
    <w:rsid w:val="19AE0A99"/>
    <w:rsid w:val="19B3471D"/>
    <w:rsid w:val="19CE62E7"/>
    <w:rsid w:val="1A06091B"/>
    <w:rsid w:val="1A747CFE"/>
    <w:rsid w:val="1A98287D"/>
    <w:rsid w:val="1A9E0B9D"/>
    <w:rsid w:val="1AA93A0C"/>
    <w:rsid w:val="1AB071EB"/>
    <w:rsid w:val="1ABA3A29"/>
    <w:rsid w:val="1AC03753"/>
    <w:rsid w:val="1AC123F5"/>
    <w:rsid w:val="1AEF0B99"/>
    <w:rsid w:val="1B373AE3"/>
    <w:rsid w:val="1B6963A0"/>
    <w:rsid w:val="1B6C77AD"/>
    <w:rsid w:val="1BB3293A"/>
    <w:rsid w:val="1BC75DC9"/>
    <w:rsid w:val="1BFC314F"/>
    <w:rsid w:val="1BFC5E35"/>
    <w:rsid w:val="1C0C3073"/>
    <w:rsid w:val="1C491B37"/>
    <w:rsid w:val="1C7F0D7B"/>
    <w:rsid w:val="1C864094"/>
    <w:rsid w:val="1C9E1B58"/>
    <w:rsid w:val="1C9F321E"/>
    <w:rsid w:val="1CBF19AA"/>
    <w:rsid w:val="1CCC342F"/>
    <w:rsid w:val="1CCE7CD7"/>
    <w:rsid w:val="1CD83CE2"/>
    <w:rsid w:val="1CE11AE5"/>
    <w:rsid w:val="1CF45A1E"/>
    <w:rsid w:val="1CF510A8"/>
    <w:rsid w:val="1CF71603"/>
    <w:rsid w:val="1D041852"/>
    <w:rsid w:val="1D091C88"/>
    <w:rsid w:val="1D2A5520"/>
    <w:rsid w:val="1D2F1F5D"/>
    <w:rsid w:val="1D37056D"/>
    <w:rsid w:val="1D47488A"/>
    <w:rsid w:val="1D504783"/>
    <w:rsid w:val="1D554005"/>
    <w:rsid w:val="1D62678A"/>
    <w:rsid w:val="1D9A4C9C"/>
    <w:rsid w:val="1DAD3C0B"/>
    <w:rsid w:val="1DB54D46"/>
    <w:rsid w:val="1DE93742"/>
    <w:rsid w:val="1E03750B"/>
    <w:rsid w:val="1E53759F"/>
    <w:rsid w:val="1E5772BB"/>
    <w:rsid w:val="1E5D4ADC"/>
    <w:rsid w:val="1E7B27D2"/>
    <w:rsid w:val="1ECE68AF"/>
    <w:rsid w:val="1EDE4C18"/>
    <w:rsid w:val="1EEF334C"/>
    <w:rsid w:val="1EF55C66"/>
    <w:rsid w:val="1F0D0884"/>
    <w:rsid w:val="1F1360DB"/>
    <w:rsid w:val="1F3C23AE"/>
    <w:rsid w:val="1F3D32D6"/>
    <w:rsid w:val="1F640DC2"/>
    <w:rsid w:val="1F8B12F9"/>
    <w:rsid w:val="1FAD7750"/>
    <w:rsid w:val="201B2E59"/>
    <w:rsid w:val="203E0206"/>
    <w:rsid w:val="205840C2"/>
    <w:rsid w:val="20715C91"/>
    <w:rsid w:val="207B4553"/>
    <w:rsid w:val="20A30097"/>
    <w:rsid w:val="20C75D9C"/>
    <w:rsid w:val="20C87932"/>
    <w:rsid w:val="20CF25A1"/>
    <w:rsid w:val="20D1116E"/>
    <w:rsid w:val="20E750A2"/>
    <w:rsid w:val="21004825"/>
    <w:rsid w:val="210C1A46"/>
    <w:rsid w:val="21156B5C"/>
    <w:rsid w:val="21456A1F"/>
    <w:rsid w:val="21562C7C"/>
    <w:rsid w:val="21724238"/>
    <w:rsid w:val="21766121"/>
    <w:rsid w:val="217B4A28"/>
    <w:rsid w:val="21B46689"/>
    <w:rsid w:val="21BC38A4"/>
    <w:rsid w:val="21D228B9"/>
    <w:rsid w:val="21E3086B"/>
    <w:rsid w:val="22131B6D"/>
    <w:rsid w:val="22241F88"/>
    <w:rsid w:val="222B517D"/>
    <w:rsid w:val="22321601"/>
    <w:rsid w:val="223C6E79"/>
    <w:rsid w:val="22413CA8"/>
    <w:rsid w:val="22427DB4"/>
    <w:rsid w:val="22517CB1"/>
    <w:rsid w:val="227023AF"/>
    <w:rsid w:val="227A042A"/>
    <w:rsid w:val="22B11939"/>
    <w:rsid w:val="22B275D1"/>
    <w:rsid w:val="22B30AD9"/>
    <w:rsid w:val="22BC1BC3"/>
    <w:rsid w:val="22F737B1"/>
    <w:rsid w:val="22FA2EF0"/>
    <w:rsid w:val="233A6362"/>
    <w:rsid w:val="233C678E"/>
    <w:rsid w:val="23947812"/>
    <w:rsid w:val="2396488D"/>
    <w:rsid w:val="23A3354B"/>
    <w:rsid w:val="23A77AD8"/>
    <w:rsid w:val="23BF0E1F"/>
    <w:rsid w:val="23CC2551"/>
    <w:rsid w:val="23F67170"/>
    <w:rsid w:val="241141C8"/>
    <w:rsid w:val="241E0857"/>
    <w:rsid w:val="243E1AC4"/>
    <w:rsid w:val="244A53F6"/>
    <w:rsid w:val="244C6C69"/>
    <w:rsid w:val="24537C40"/>
    <w:rsid w:val="24601156"/>
    <w:rsid w:val="24A605A4"/>
    <w:rsid w:val="24BE395E"/>
    <w:rsid w:val="24CB44FE"/>
    <w:rsid w:val="24D32C7E"/>
    <w:rsid w:val="25201C97"/>
    <w:rsid w:val="252C1963"/>
    <w:rsid w:val="254406DF"/>
    <w:rsid w:val="25845562"/>
    <w:rsid w:val="25A04F29"/>
    <w:rsid w:val="25C82981"/>
    <w:rsid w:val="25DF45B5"/>
    <w:rsid w:val="26325691"/>
    <w:rsid w:val="26473B3D"/>
    <w:rsid w:val="26790F18"/>
    <w:rsid w:val="26A62C8B"/>
    <w:rsid w:val="26CA176A"/>
    <w:rsid w:val="26D36D67"/>
    <w:rsid w:val="26F65D3B"/>
    <w:rsid w:val="2714222A"/>
    <w:rsid w:val="271F1091"/>
    <w:rsid w:val="27253162"/>
    <w:rsid w:val="27550FA4"/>
    <w:rsid w:val="277E1613"/>
    <w:rsid w:val="279627F9"/>
    <w:rsid w:val="27C87C08"/>
    <w:rsid w:val="27CD008B"/>
    <w:rsid w:val="27CE616F"/>
    <w:rsid w:val="27F73724"/>
    <w:rsid w:val="280D40E1"/>
    <w:rsid w:val="281D224D"/>
    <w:rsid w:val="281F4FDA"/>
    <w:rsid w:val="28246BCA"/>
    <w:rsid w:val="282F3AAD"/>
    <w:rsid w:val="283115B7"/>
    <w:rsid w:val="285215B4"/>
    <w:rsid w:val="285D0220"/>
    <w:rsid w:val="286D6C09"/>
    <w:rsid w:val="288A05AD"/>
    <w:rsid w:val="28B87C83"/>
    <w:rsid w:val="28C66367"/>
    <w:rsid w:val="28D64439"/>
    <w:rsid w:val="2920429C"/>
    <w:rsid w:val="294B316F"/>
    <w:rsid w:val="29A23BD4"/>
    <w:rsid w:val="29B7310C"/>
    <w:rsid w:val="29BB4D7B"/>
    <w:rsid w:val="29DF4157"/>
    <w:rsid w:val="29EE5743"/>
    <w:rsid w:val="29F62207"/>
    <w:rsid w:val="29F87845"/>
    <w:rsid w:val="2A1C42A5"/>
    <w:rsid w:val="2A6D04C4"/>
    <w:rsid w:val="2A736BE0"/>
    <w:rsid w:val="2A9B188E"/>
    <w:rsid w:val="2AE272B1"/>
    <w:rsid w:val="2B255221"/>
    <w:rsid w:val="2B27650D"/>
    <w:rsid w:val="2B3C08B2"/>
    <w:rsid w:val="2B3D01A2"/>
    <w:rsid w:val="2B9845BD"/>
    <w:rsid w:val="2BAB5051"/>
    <w:rsid w:val="2BB56B29"/>
    <w:rsid w:val="2BFD4C7E"/>
    <w:rsid w:val="2C0C53E4"/>
    <w:rsid w:val="2C165DD0"/>
    <w:rsid w:val="2C45620F"/>
    <w:rsid w:val="2C5408A5"/>
    <w:rsid w:val="2C5C3886"/>
    <w:rsid w:val="2C5E74B8"/>
    <w:rsid w:val="2C96448C"/>
    <w:rsid w:val="2CA721F8"/>
    <w:rsid w:val="2CA758D3"/>
    <w:rsid w:val="2CBA7CEC"/>
    <w:rsid w:val="2CE34A8A"/>
    <w:rsid w:val="2D0246DD"/>
    <w:rsid w:val="2D037DB0"/>
    <w:rsid w:val="2D123047"/>
    <w:rsid w:val="2D481CFE"/>
    <w:rsid w:val="2D4A3EF7"/>
    <w:rsid w:val="2D4D3C44"/>
    <w:rsid w:val="2D624770"/>
    <w:rsid w:val="2D67758F"/>
    <w:rsid w:val="2D794571"/>
    <w:rsid w:val="2D983DF7"/>
    <w:rsid w:val="2DA81050"/>
    <w:rsid w:val="2DAE5947"/>
    <w:rsid w:val="2DAE6A77"/>
    <w:rsid w:val="2DBF2FEA"/>
    <w:rsid w:val="2DCA7918"/>
    <w:rsid w:val="2DE67921"/>
    <w:rsid w:val="2DE86198"/>
    <w:rsid w:val="2DEB7DA8"/>
    <w:rsid w:val="2DF22641"/>
    <w:rsid w:val="2E0E4128"/>
    <w:rsid w:val="2E2D19E1"/>
    <w:rsid w:val="2E3C6DF6"/>
    <w:rsid w:val="2E5C6996"/>
    <w:rsid w:val="2E66389E"/>
    <w:rsid w:val="2E705BFF"/>
    <w:rsid w:val="2EAB157F"/>
    <w:rsid w:val="2F053547"/>
    <w:rsid w:val="2F203FA1"/>
    <w:rsid w:val="2F2041C5"/>
    <w:rsid w:val="2F585004"/>
    <w:rsid w:val="2F592899"/>
    <w:rsid w:val="2F5C46B9"/>
    <w:rsid w:val="2F773147"/>
    <w:rsid w:val="2F8F2129"/>
    <w:rsid w:val="2FB03668"/>
    <w:rsid w:val="2FCC300F"/>
    <w:rsid w:val="2FFA12C0"/>
    <w:rsid w:val="303662D9"/>
    <w:rsid w:val="304869A0"/>
    <w:rsid w:val="3065312A"/>
    <w:rsid w:val="30662190"/>
    <w:rsid w:val="30A300CD"/>
    <w:rsid w:val="30B4504B"/>
    <w:rsid w:val="30C658C9"/>
    <w:rsid w:val="30CC6AB7"/>
    <w:rsid w:val="30D11C43"/>
    <w:rsid w:val="30E55290"/>
    <w:rsid w:val="310C17BE"/>
    <w:rsid w:val="31453EAC"/>
    <w:rsid w:val="314545E0"/>
    <w:rsid w:val="31507A9A"/>
    <w:rsid w:val="31516C3B"/>
    <w:rsid w:val="317F3EE3"/>
    <w:rsid w:val="3196072F"/>
    <w:rsid w:val="31E32575"/>
    <w:rsid w:val="31FD5C54"/>
    <w:rsid w:val="32191D61"/>
    <w:rsid w:val="3226526C"/>
    <w:rsid w:val="323111FF"/>
    <w:rsid w:val="323304CD"/>
    <w:rsid w:val="323C59AF"/>
    <w:rsid w:val="32416AA2"/>
    <w:rsid w:val="325A14A9"/>
    <w:rsid w:val="32A163F2"/>
    <w:rsid w:val="32BB2924"/>
    <w:rsid w:val="32C179A0"/>
    <w:rsid w:val="32D8556D"/>
    <w:rsid w:val="32EE405A"/>
    <w:rsid w:val="32F80153"/>
    <w:rsid w:val="32F932A6"/>
    <w:rsid w:val="3302605E"/>
    <w:rsid w:val="332A65E5"/>
    <w:rsid w:val="33445844"/>
    <w:rsid w:val="33B670D0"/>
    <w:rsid w:val="33BF5EF4"/>
    <w:rsid w:val="33E06739"/>
    <w:rsid w:val="33F06554"/>
    <w:rsid w:val="33F34F5E"/>
    <w:rsid w:val="341E1DF8"/>
    <w:rsid w:val="342A07E1"/>
    <w:rsid w:val="3490100C"/>
    <w:rsid w:val="34A07751"/>
    <w:rsid w:val="34AE4C08"/>
    <w:rsid w:val="34D9124A"/>
    <w:rsid w:val="34E940DB"/>
    <w:rsid w:val="34EC2D7D"/>
    <w:rsid w:val="34F76564"/>
    <w:rsid w:val="34FE09D0"/>
    <w:rsid w:val="34FF29BF"/>
    <w:rsid w:val="350F2286"/>
    <w:rsid w:val="35375AB9"/>
    <w:rsid w:val="35467420"/>
    <w:rsid w:val="3556762D"/>
    <w:rsid w:val="35751905"/>
    <w:rsid w:val="357E23E8"/>
    <w:rsid w:val="357F5533"/>
    <w:rsid w:val="358E2328"/>
    <w:rsid w:val="35996DE1"/>
    <w:rsid w:val="35B3488A"/>
    <w:rsid w:val="35BB25F2"/>
    <w:rsid w:val="35E81095"/>
    <w:rsid w:val="35ED6770"/>
    <w:rsid w:val="35F83DD6"/>
    <w:rsid w:val="36062A6B"/>
    <w:rsid w:val="361F5DE1"/>
    <w:rsid w:val="36461ED7"/>
    <w:rsid w:val="368F1734"/>
    <w:rsid w:val="369960B5"/>
    <w:rsid w:val="36A13FFB"/>
    <w:rsid w:val="36A4650C"/>
    <w:rsid w:val="36E636DF"/>
    <w:rsid w:val="36E96669"/>
    <w:rsid w:val="370545F8"/>
    <w:rsid w:val="37092C79"/>
    <w:rsid w:val="370C5AC8"/>
    <w:rsid w:val="371C6747"/>
    <w:rsid w:val="3724681C"/>
    <w:rsid w:val="37347390"/>
    <w:rsid w:val="37396C42"/>
    <w:rsid w:val="375202C7"/>
    <w:rsid w:val="37653587"/>
    <w:rsid w:val="37743431"/>
    <w:rsid w:val="37792110"/>
    <w:rsid w:val="37897C3C"/>
    <w:rsid w:val="37CC12BD"/>
    <w:rsid w:val="37E27BA2"/>
    <w:rsid w:val="37E45315"/>
    <w:rsid w:val="380837F7"/>
    <w:rsid w:val="381A20B5"/>
    <w:rsid w:val="382122A2"/>
    <w:rsid w:val="384004C6"/>
    <w:rsid w:val="387800E6"/>
    <w:rsid w:val="38A76606"/>
    <w:rsid w:val="38A938CA"/>
    <w:rsid w:val="38BC005D"/>
    <w:rsid w:val="38F86D57"/>
    <w:rsid w:val="39000445"/>
    <w:rsid w:val="3905389A"/>
    <w:rsid w:val="392A5283"/>
    <w:rsid w:val="39480B3C"/>
    <w:rsid w:val="396A11A8"/>
    <w:rsid w:val="39825E89"/>
    <w:rsid w:val="39833C10"/>
    <w:rsid w:val="39970516"/>
    <w:rsid w:val="39982DD7"/>
    <w:rsid w:val="39BE5352"/>
    <w:rsid w:val="39C3314D"/>
    <w:rsid w:val="3A166AE9"/>
    <w:rsid w:val="3A4956B9"/>
    <w:rsid w:val="3A8A56AA"/>
    <w:rsid w:val="3A8D6CB9"/>
    <w:rsid w:val="3A9D7718"/>
    <w:rsid w:val="3AA868F8"/>
    <w:rsid w:val="3AB73924"/>
    <w:rsid w:val="3AE803AA"/>
    <w:rsid w:val="3B0865BA"/>
    <w:rsid w:val="3B132CA2"/>
    <w:rsid w:val="3B274FAE"/>
    <w:rsid w:val="3B757138"/>
    <w:rsid w:val="3B7C729C"/>
    <w:rsid w:val="3B8D6278"/>
    <w:rsid w:val="3B9B21F2"/>
    <w:rsid w:val="3BA944DE"/>
    <w:rsid w:val="3BB97F4A"/>
    <w:rsid w:val="3BCE44F7"/>
    <w:rsid w:val="3BF5780A"/>
    <w:rsid w:val="3BF71F2B"/>
    <w:rsid w:val="3C0D7582"/>
    <w:rsid w:val="3C1A7051"/>
    <w:rsid w:val="3C28423A"/>
    <w:rsid w:val="3C4320F6"/>
    <w:rsid w:val="3C520EFB"/>
    <w:rsid w:val="3C5F6524"/>
    <w:rsid w:val="3C790407"/>
    <w:rsid w:val="3C9030E6"/>
    <w:rsid w:val="3CB22CF7"/>
    <w:rsid w:val="3CB81B4A"/>
    <w:rsid w:val="3CD326D2"/>
    <w:rsid w:val="3CF077FE"/>
    <w:rsid w:val="3D0F3702"/>
    <w:rsid w:val="3D1572B3"/>
    <w:rsid w:val="3D2E0900"/>
    <w:rsid w:val="3D3711B6"/>
    <w:rsid w:val="3D5E1712"/>
    <w:rsid w:val="3D703998"/>
    <w:rsid w:val="3D78133B"/>
    <w:rsid w:val="3D795CC1"/>
    <w:rsid w:val="3D8E75EC"/>
    <w:rsid w:val="3DF049AF"/>
    <w:rsid w:val="3E2B12A9"/>
    <w:rsid w:val="3E2F0AFD"/>
    <w:rsid w:val="3E341F49"/>
    <w:rsid w:val="3E495BEB"/>
    <w:rsid w:val="3E673FF7"/>
    <w:rsid w:val="3EA81EE4"/>
    <w:rsid w:val="3EAF2705"/>
    <w:rsid w:val="3EB3237D"/>
    <w:rsid w:val="3ED073E1"/>
    <w:rsid w:val="3ED819C7"/>
    <w:rsid w:val="3F2D3790"/>
    <w:rsid w:val="3F443C74"/>
    <w:rsid w:val="3F544509"/>
    <w:rsid w:val="3F5801EA"/>
    <w:rsid w:val="3F6B092F"/>
    <w:rsid w:val="3FA05D9A"/>
    <w:rsid w:val="3FA65747"/>
    <w:rsid w:val="3FCB2DAC"/>
    <w:rsid w:val="3FD57038"/>
    <w:rsid w:val="3FFC6576"/>
    <w:rsid w:val="40052DE9"/>
    <w:rsid w:val="401E12B4"/>
    <w:rsid w:val="404901C3"/>
    <w:rsid w:val="4067183B"/>
    <w:rsid w:val="406E5350"/>
    <w:rsid w:val="409919F3"/>
    <w:rsid w:val="40B43400"/>
    <w:rsid w:val="40E86FF4"/>
    <w:rsid w:val="413B2495"/>
    <w:rsid w:val="413C7163"/>
    <w:rsid w:val="41413C34"/>
    <w:rsid w:val="414F63C1"/>
    <w:rsid w:val="415822EA"/>
    <w:rsid w:val="417628DE"/>
    <w:rsid w:val="41821E93"/>
    <w:rsid w:val="4186148B"/>
    <w:rsid w:val="4186454E"/>
    <w:rsid w:val="41AF51B5"/>
    <w:rsid w:val="41DF5B0E"/>
    <w:rsid w:val="42052432"/>
    <w:rsid w:val="42474E83"/>
    <w:rsid w:val="42782C8C"/>
    <w:rsid w:val="42CC0BB0"/>
    <w:rsid w:val="430671A8"/>
    <w:rsid w:val="430736DD"/>
    <w:rsid w:val="430A5A9A"/>
    <w:rsid w:val="430D090C"/>
    <w:rsid w:val="43240A36"/>
    <w:rsid w:val="434F6740"/>
    <w:rsid w:val="43754D69"/>
    <w:rsid w:val="439C0B39"/>
    <w:rsid w:val="43AC2E1A"/>
    <w:rsid w:val="43D71831"/>
    <w:rsid w:val="44103A71"/>
    <w:rsid w:val="441F476C"/>
    <w:rsid w:val="44265237"/>
    <w:rsid w:val="44407A55"/>
    <w:rsid w:val="44482DDA"/>
    <w:rsid w:val="44563EF2"/>
    <w:rsid w:val="44572895"/>
    <w:rsid w:val="44887757"/>
    <w:rsid w:val="449235CB"/>
    <w:rsid w:val="449461F6"/>
    <w:rsid w:val="44A406E8"/>
    <w:rsid w:val="44B16DCE"/>
    <w:rsid w:val="44D12826"/>
    <w:rsid w:val="44F40F9A"/>
    <w:rsid w:val="44FF704D"/>
    <w:rsid w:val="45235A94"/>
    <w:rsid w:val="452C38F0"/>
    <w:rsid w:val="4537679D"/>
    <w:rsid w:val="45A447D1"/>
    <w:rsid w:val="45C53BBF"/>
    <w:rsid w:val="461142BB"/>
    <w:rsid w:val="464A2DC6"/>
    <w:rsid w:val="464D1C33"/>
    <w:rsid w:val="464F7D8E"/>
    <w:rsid w:val="46733F2C"/>
    <w:rsid w:val="468E7E76"/>
    <w:rsid w:val="469454E9"/>
    <w:rsid w:val="46BB25A3"/>
    <w:rsid w:val="46FC5897"/>
    <w:rsid w:val="470B2AB2"/>
    <w:rsid w:val="47313086"/>
    <w:rsid w:val="47422D46"/>
    <w:rsid w:val="47743D97"/>
    <w:rsid w:val="47867568"/>
    <w:rsid w:val="47B2281B"/>
    <w:rsid w:val="47B8429F"/>
    <w:rsid w:val="47DE2F07"/>
    <w:rsid w:val="47E06C38"/>
    <w:rsid w:val="47F65B9E"/>
    <w:rsid w:val="47FB06DB"/>
    <w:rsid w:val="48060E0C"/>
    <w:rsid w:val="4831420C"/>
    <w:rsid w:val="48315477"/>
    <w:rsid w:val="483E1008"/>
    <w:rsid w:val="48726256"/>
    <w:rsid w:val="48B306AC"/>
    <w:rsid w:val="48C06C85"/>
    <w:rsid w:val="48FA245C"/>
    <w:rsid w:val="490E5CBB"/>
    <w:rsid w:val="49406E95"/>
    <w:rsid w:val="495D43D3"/>
    <w:rsid w:val="49712643"/>
    <w:rsid w:val="49810129"/>
    <w:rsid w:val="499D77AF"/>
    <w:rsid w:val="49A27A06"/>
    <w:rsid w:val="49C92F6C"/>
    <w:rsid w:val="49CD5416"/>
    <w:rsid w:val="49E53398"/>
    <w:rsid w:val="49FE05FC"/>
    <w:rsid w:val="4A03543C"/>
    <w:rsid w:val="4A1009F9"/>
    <w:rsid w:val="4A216DB7"/>
    <w:rsid w:val="4A491326"/>
    <w:rsid w:val="4A5212A1"/>
    <w:rsid w:val="4A660BA7"/>
    <w:rsid w:val="4A8A736F"/>
    <w:rsid w:val="4A9911F8"/>
    <w:rsid w:val="4ADE504E"/>
    <w:rsid w:val="4AE5751A"/>
    <w:rsid w:val="4AF41B20"/>
    <w:rsid w:val="4B0A02D5"/>
    <w:rsid w:val="4B1B1FDB"/>
    <w:rsid w:val="4B25317A"/>
    <w:rsid w:val="4B257184"/>
    <w:rsid w:val="4B5A1B72"/>
    <w:rsid w:val="4B73663F"/>
    <w:rsid w:val="4B851BE6"/>
    <w:rsid w:val="4B864B3C"/>
    <w:rsid w:val="4B9F55D4"/>
    <w:rsid w:val="4BC7582E"/>
    <w:rsid w:val="4BF55B4F"/>
    <w:rsid w:val="4C4D3A7C"/>
    <w:rsid w:val="4C62146D"/>
    <w:rsid w:val="4C6B156A"/>
    <w:rsid w:val="4C7E3399"/>
    <w:rsid w:val="4C8A5485"/>
    <w:rsid w:val="4C91414A"/>
    <w:rsid w:val="4C966C47"/>
    <w:rsid w:val="4CD327CC"/>
    <w:rsid w:val="4CDD0975"/>
    <w:rsid w:val="4CF50638"/>
    <w:rsid w:val="4D071093"/>
    <w:rsid w:val="4D226AEF"/>
    <w:rsid w:val="4D3379EA"/>
    <w:rsid w:val="4D3D0C29"/>
    <w:rsid w:val="4D6825F5"/>
    <w:rsid w:val="4DA1334D"/>
    <w:rsid w:val="4DEC3DEB"/>
    <w:rsid w:val="4E0262E1"/>
    <w:rsid w:val="4E1328FF"/>
    <w:rsid w:val="4E283F2A"/>
    <w:rsid w:val="4E5305CF"/>
    <w:rsid w:val="4E752647"/>
    <w:rsid w:val="4E7A29C9"/>
    <w:rsid w:val="4E830D38"/>
    <w:rsid w:val="4E872F75"/>
    <w:rsid w:val="4EA40C60"/>
    <w:rsid w:val="4EC92E43"/>
    <w:rsid w:val="4ED2018D"/>
    <w:rsid w:val="4ED378C0"/>
    <w:rsid w:val="4EE1605E"/>
    <w:rsid w:val="4EE77ACD"/>
    <w:rsid w:val="4F003FF5"/>
    <w:rsid w:val="4F181265"/>
    <w:rsid w:val="4F1E6344"/>
    <w:rsid w:val="4F1F0BF7"/>
    <w:rsid w:val="4F1F375F"/>
    <w:rsid w:val="4F2E7C95"/>
    <w:rsid w:val="4F3C0D20"/>
    <w:rsid w:val="4F954E14"/>
    <w:rsid w:val="4FB1194D"/>
    <w:rsid w:val="4FC9687E"/>
    <w:rsid w:val="4FCF06B5"/>
    <w:rsid w:val="500C52C0"/>
    <w:rsid w:val="50124405"/>
    <w:rsid w:val="506A55BF"/>
    <w:rsid w:val="508E7160"/>
    <w:rsid w:val="50B574B7"/>
    <w:rsid w:val="50CA4B38"/>
    <w:rsid w:val="50DE44C3"/>
    <w:rsid w:val="50DF7B97"/>
    <w:rsid w:val="512959A1"/>
    <w:rsid w:val="512C261D"/>
    <w:rsid w:val="514A5208"/>
    <w:rsid w:val="515B7336"/>
    <w:rsid w:val="51666060"/>
    <w:rsid w:val="51775E06"/>
    <w:rsid w:val="517904F5"/>
    <w:rsid w:val="517B63AD"/>
    <w:rsid w:val="51A3705C"/>
    <w:rsid w:val="51AB3CB4"/>
    <w:rsid w:val="51B15229"/>
    <w:rsid w:val="51C43DB9"/>
    <w:rsid w:val="522610AE"/>
    <w:rsid w:val="52591EBD"/>
    <w:rsid w:val="525A6475"/>
    <w:rsid w:val="52B40D78"/>
    <w:rsid w:val="52D658AE"/>
    <w:rsid w:val="53117594"/>
    <w:rsid w:val="53265E3A"/>
    <w:rsid w:val="53365941"/>
    <w:rsid w:val="534A70A8"/>
    <w:rsid w:val="53796D1E"/>
    <w:rsid w:val="538D056D"/>
    <w:rsid w:val="538F23C7"/>
    <w:rsid w:val="539A3263"/>
    <w:rsid w:val="539E07FC"/>
    <w:rsid w:val="53F06A97"/>
    <w:rsid w:val="540927C2"/>
    <w:rsid w:val="54145FAA"/>
    <w:rsid w:val="544464C4"/>
    <w:rsid w:val="546B1C78"/>
    <w:rsid w:val="54756862"/>
    <w:rsid w:val="547C3284"/>
    <w:rsid w:val="54D47C6E"/>
    <w:rsid w:val="54DA3745"/>
    <w:rsid w:val="54E5246A"/>
    <w:rsid w:val="55240645"/>
    <w:rsid w:val="55B059A9"/>
    <w:rsid w:val="55BD0710"/>
    <w:rsid w:val="55C35AFF"/>
    <w:rsid w:val="55EC480D"/>
    <w:rsid w:val="56823562"/>
    <w:rsid w:val="56A838FA"/>
    <w:rsid w:val="56D275E5"/>
    <w:rsid w:val="57062127"/>
    <w:rsid w:val="57550F07"/>
    <w:rsid w:val="577152AF"/>
    <w:rsid w:val="57737F8D"/>
    <w:rsid w:val="578E53C8"/>
    <w:rsid w:val="57911526"/>
    <w:rsid w:val="57B10719"/>
    <w:rsid w:val="57C00874"/>
    <w:rsid w:val="57C7027F"/>
    <w:rsid w:val="57CA61FB"/>
    <w:rsid w:val="582E0F53"/>
    <w:rsid w:val="583059FA"/>
    <w:rsid w:val="58506B12"/>
    <w:rsid w:val="585A1473"/>
    <w:rsid w:val="58B47BD3"/>
    <w:rsid w:val="59041801"/>
    <w:rsid w:val="596F5259"/>
    <w:rsid w:val="597240AD"/>
    <w:rsid w:val="59A62E84"/>
    <w:rsid w:val="59AC44CF"/>
    <w:rsid w:val="59B33CD1"/>
    <w:rsid w:val="59C02A1F"/>
    <w:rsid w:val="59DA3ECF"/>
    <w:rsid w:val="5A016E4B"/>
    <w:rsid w:val="5A3410A5"/>
    <w:rsid w:val="5A385F7F"/>
    <w:rsid w:val="5A4C1E08"/>
    <w:rsid w:val="5A5F2990"/>
    <w:rsid w:val="5A726396"/>
    <w:rsid w:val="5A9D3A33"/>
    <w:rsid w:val="5AC8354A"/>
    <w:rsid w:val="5ACE5E3E"/>
    <w:rsid w:val="5AD404B6"/>
    <w:rsid w:val="5AEA4476"/>
    <w:rsid w:val="5B1C518E"/>
    <w:rsid w:val="5B2E3F11"/>
    <w:rsid w:val="5B2F0801"/>
    <w:rsid w:val="5B6A79D7"/>
    <w:rsid w:val="5B7406A2"/>
    <w:rsid w:val="5BAE34C5"/>
    <w:rsid w:val="5BB22859"/>
    <w:rsid w:val="5BB77D93"/>
    <w:rsid w:val="5BC64884"/>
    <w:rsid w:val="5BD015EC"/>
    <w:rsid w:val="5BD71F20"/>
    <w:rsid w:val="5C463BC8"/>
    <w:rsid w:val="5C696866"/>
    <w:rsid w:val="5C6B4FA1"/>
    <w:rsid w:val="5C776DD2"/>
    <w:rsid w:val="5C7F479A"/>
    <w:rsid w:val="5C9B21DE"/>
    <w:rsid w:val="5CC656E7"/>
    <w:rsid w:val="5CE26471"/>
    <w:rsid w:val="5D154E0A"/>
    <w:rsid w:val="5D172CEE"/>
    <w:rsid w:val="5D4B165C"/>
    <w:rsid w:val="5D985B70"/>
    <w:rsid w:val="5DFA03AB"/>
    <w:rsid w:val="5E1A6F8C"/>
    <w:rsid w:val="5E356FB8"/>
    <w:rsid w:val="5E41461C"/>
    <w:rsid w:val="5E603F4A"/>
    <w:rsid w:val="5E683889"/>
    <w:rsid w:val="5E7F310F"/>
    <w:rsid w:val="5EC46C0B"/>
    <w:rsid w:val="5EE9638E"/>
    <w:rsid w:val="5F2551D8"/>
    <w:rsid w:val="5F4921D4"/>
    <w:rsid w:val="5F55079B"/>
    <w:rsid w:val="5F630AD3"/>
    <w:rsid w:val="5F921EF6"/>
    <w:rsid w:val="5F9705AE"/>
    <w:rsid w:val="5FC2186A"/>
    <w:rsid w:val="5FC53978"/>
    <w:rsid w:val="5FEF0981"/>
    <w:rsid w:val="60781AB7"/>
    <w:rsid w:val="60946BAB"/>
    <w:rsid w:val="60AF628D"/>
    <w:rsid w:val="60BA3E1C"/>
    <w:rsid w:val="60D17AB6"/>
    <w:rsid w:val="61055FAC"/>
    <w:rsid w:val="611312F2"/>
    <w:rsid w:val="61295338"/>
    <w:rsid w:val="61B765A6"/>
    <w:rsid w:val="62103CE8"/>
    <w:rsid w:val="62391B8E"/>
    <w:rsid w:val="62824368"/>
    <w:rsid w:val="629F0636"/>
    <w:rsid w:val="62E63092"/>
    <w:rsid w:val="62F30C40"/>
    <w:rsid w:val="62FD1D35"/>
    <w:rsid w:val="6309230E"/>
    <w:rsid w:val="63161258"/>
    <w:rsid w:val="63617019"/>
    <w:rsid w:val="63683893"/>
    <w:rsid w:val="63762B45"/>
    <w:rsid w:val="63A31131"/>
    <w:rsid w:val="63B9705B"/>
    <w:rsid w:val="63F27442"/>
    <w:rsid w:val="63F830FC"/>
    <w:rsid w:val="640C22E9"/>
    <w:rsid w:val="641B0A80"/>
    <w:rsid w:val="644B6D24"/>
    <w:rsid w:val="64714CC7"/>
    <w:rsid w:val="64CD6E9F"/>
    <w:rsid w:val="64CE7379"/>
    <w:rsid w:val="64D43E5B"/>
    <w:rsid w:val="64D444B6"/>
    <w:rsid w:val="64DB7FED"/>
    <w:rsid w:val="64EB0F9C"/>
    <w:rsid w:val="64F2583E"/>
    <w:rsid w:val="65026A60"/>
    <w:rsid w:val="652502A7"/>
    <w:rsid w:val="654241FB"/>
    <w:rsid w:val="65452F09"/>
    <w:rsid w:val="65990E70"/>
    <w:rsid w:val="65991A04"/>
    <w:rsid w:val="659D230F"/>
    <w:rsid w:val="65F64B98"/>
    <w:rsid w:val="66042A81"/>
    <w:rsid w:val="6605576F"/>
    <w:rsid w:val="662C69E4"/>
    <w:rsid w:val="66385FA9"/>
    <w:rsid w:val="664E0065"/>
    <w:rsid w:val="665442A1"/>
    <w:rsid w:val="665453F6"/>
    <w:rsid w:val="66565629"/>
    <w:rsid w:val="665F45AA"/>
    <w:rsid w:val="66617445"/>
    <w:rsid w:val="66947832"/>
    <w:rsid w:val="66947C67"/>
    <w:rsid w:val="66B653EE"/>
    <w:rsid w:val="66DD33A4"/>
    <w:rsid w:val="66F610A0"/>
    <w:rsid w:val="67714A30"/>
    <w:rsid w:val="6787046D"/>
    <w:rsid w:val="68076E0B"/>
    <w:rsid w:val="68096D1E"/>
    <w:rsid w:val="681933D4"/>
    <w:rsid w:val="682677EC"/>
    <w:rsid w:val="68330A3C"/>
    <w:rsid w:val="68405154"/>
    <w:rsid w:val="6859366D"/>
    <w:rsid w:val="68852D7B"/>
    <w:rsid w:val="68A015FA"/>
    <w:rsid w:val="68B86284"/>
    <w:rsid w:val="68C72C1C"/>
    <w:rsid w:val="68F36A2E"/>
    <w:rsid w:val="68FD73A5"/>
    <w:rsid w:val="691B26E2"/>
    <w:rsid w:val="692A5348"/>
    <w:rsid w:val="694A1066"/>
    <w:rsid w:val="694A4AFE"/>
    <w:rsid w:val="695F5AE9"/>
    <w:rsid w:val="69774B7B"/>
    <w:rsid w:val="697C7DB1"/>
    <w:rsid w:val="69B558FE"/>
    <w:rsid w:val="69B55E34"/>
    <w:rsid w:val="69C006B8"/>
    <w:rsid w:val="69ED596F"/>
    <w:rsid w:val="6A265A8D"/>
    <w:rsid w:val="6A38779B"/>
    <w:rsid w:val="6A6A465A"/>
    <w:rsid w:val="6A72782D"/>
    <w:rsid w:val="6AA622DD"/>
    <w:rsid w:val="6AD94BDA"/>
    <w:rsid w:val="6AEB0206"/>
    <w:rsid w:val="6B0127AE"/>
    <w:rsid w:val="6B034D7D"/>
    <w:rsid w:val="6B071CE8"/>
    <w:rsid w:val="6B2C7C1E"/>
    <w:rsid w:val="6B765F3D"/>
    <w:rsid w:val="6BCD6FE2"/>
    <w:rsid w:val="6C28135E"/>
    <w:rsid w:val="6C436FC9"/>
    <w:rsid w:val="6C4A2CA5"/>
    <w:rsid w:val="6C6236A4"/>
    <w:rsid w:val="6C9011EC"/>
    <w:rsid w:val="6CAA1671"/>
    <w:rsid w:val="6CE801A1"/>
    <w:rsid w:val="6D1E634D"/>
    <w:rsid w:val="6D6C2303"/>
    <w:rsid w:val="6D9F75E6"/>
    <w:rsid w:val="6DD00F54"/>
    <w:rsid w:val="6E4B4CE0"/>
    <w:rsid w:val="6E863529"/>
    <w:rsid w:val="6E9A496B"/>
    <w:rsid w:val="6EA56BF3"/>
    <w:rsid w:val="6ED175BF"/>
    <w:rsid w:val="6EE01868"/>
    <w:rsid w:val="6EFE0E88"/>
    <w:rsid w:val="6F2E24FE"/>
    <w:rsid w:val="6F4D6995"/>
    <w:rsid w:val="6F5163D0"/>
    <w:rsid w:val="6F57413E"/>
    <w:rsid w:val="6F8B00D3"/>
    <w:rsid w:val="6F8F5DE7"/>
    <w:rsid w:val="6FC42866"/>
    <w:rsid w:val="6FE024E5"/>
    <w:rsid w:val="6FE2625A"/>
    <w:rsid w:val="6FED6B72"/>
    <w:rsid w:val="6FF329DD"/>
    <w:rsid w:val="70486700"/>
    <w:rsid w:val="706D6BFC"/>
    <w:rsid w:val="7077785B"/>
    <w:rsid w:val="70D07E75"/>
    <w:rsid w:val="70D81058"/>
    <w:rsid w:val="71045389"/>
    <w:rsid w:val="712C73C8"/>
    <w:rsid w:val="712F2CF3"/>
    <w:rsid w:val="718F558C"/>
    <w:rsid w:val="71D9610B"/>
    <w:rsid w:val="71D962EB"/>
    <w:rsid w:val="720D2C78"/>
    <w:rsid w:val="7297381C"/>
    <w:rsid w:val="72C133F0"/>
    <w:rsid w:val="72D12EA6"/>
    <w:rsid w:val="72DE181A"/>
    <w:rsid w:val="734E3FF8"/>
    <w:rsid w:val="735E5FBD"/>
    <w:rsid w:val="735F1357"/>
    <w:rsid w:val="738A22FB"/>
    <w:rsid w:val="739A2334"/>
    <w:rsid w:val="73CC7518"/>
    <w:rsid w:val="74201D98"/>
    <w:rsid w:val="743F07BC"/>
    <w:rsid w:val="74410803"/>
    <w:rsid w:val="744311FD"/>
    <w:rsid w:val="744F4D1A"/>
    <w:rsid w:val="74C62B4E"/>
    <w:rsid w:val="74C738E8"/>
    <w:rsid w:val="74D86FD2"/>
    <w:rsid w:val="74DC28A5"/>
    <w:rsid w:val="74EB5E35"/>
    <w:rsid w:val="74F31E70"/>
    <w:rsid w:val="7506715F"/>
    <w:rsid w:val="75112948"/>
    <w:rsid w:val="751605EA"/>
    <w:rsid w:val="752C4421"/>
    <w:rsid w:val="75362976"/>
    <w:rsid w:val="753F5D98"/>
    <w:rsid w:val="755421F2"/>
    <w:rsid w:val="75545A6D"/>
    <w:rsid w:val="756C2E1B"/>
    <w:rsid w:val="75721269"/>
    <w:rsid w:val="7584583C"/>
    <w:rsid w:val="75B467ED"/>
    <w:rsid w:val="75B66448"/>
    <w:rsid w:val="75BE5B4D"/>
    <w:rsid w:val="75EE5DC7"/>
    <w:rsid w:val="76002828"/>
    <w:rsid w:val="760B4630"/>
    <w:rsid w:val="76147644"/>
    <w:rsid w:val="762F786A"/>
    <w:rsid w:val="76484006"/>
    <w:rsid w:val="764C27C5"/>
    <w:rsid w:val="76577867"/>
    <w:rsid w:val="768D1F11"/>
    <w:rsid w:val="76C012AD"/>
    <w:rsid w:val="76EE26B7"/>
    <w:rsid w:val="771F6DB8"/>
    <w:rsid w:val="7723715C"/>
    <w:rsid w:val="772C10CF"/>
    <w:rsid w:val="77712277"/>
    <w:rsid w:val="77904779"/>
    <w:rsid w:val="779E6E81"/>
    <w:rsid w:val="77A15B74"/>
    <w:rsid w:val="77A306B0"/>
    <w:rsid w:val="77B20EFB"/>
    <w:rsid w:val="77C12F4C"/>
    <w:rsid w:val="78113C9B"/>
    <w:rsid w:val="781567D1"/>
    <w:rsid w:val="78327A5B"/>
    <w:rsid w:val="78391049"/>
    <w:rsid w:val="783B1A2B"/>
    <w:rsid w:val="784F6DCD"/>
    <w:rsid w:val="786768A4"/>
    <w:rsid w:val="786A3575"/>
    <w:rsid w:val="786F5672"/>
    <w:rsid w:val="787016CC"/>
    <w:rsid w:val="787214F7"/>
    <w:rsid w:val="78775FBE"/>
    <w:rsid w:val="78CE527B"/>
    <w:rsid w:val="78FF4580"/>
    <w:rsid w:val="790C0D17"/>
    <w:rsid w:val="79154E31"/>
    <w:rsid w:val="792A5615"/>
    <w:rsid w:val="794934EF"/>
    <w:rsid w:val="795E7B66"/>
    <w:rsid w:val="79CA73D7"/>
    <w:rsid w:val="7A125B11"/>
    <w:rsid w:val="7A627B82"/>
    <w:rsid w:val="7A66004B"/>
    <w:rsid w:val="7A6F5B3B"/>
    <w:rsid w:val="7A792DD8"/>
    <w:rsid w:val="7A7D2CE1"/>
    <w:rsid w:val="7AB211C4"/>
    <w:rsid w:val="7AB865B5"/>
    <w:rsid w:val="7ABA14EB"/>
    <w:rsid w:val="7ACA0554"/>
    <w:rsid w:val="7ADC1755"/>
    <w:rsid w:val="7AFB0585"/>
    <w:rsid w:val="7B0E29B1"/>
    <w:rsid w:val="7B5867DB"/>
    <w:rsid w:val="7B997600"/>
    <w:rsid w:val="7BDF7D28"/>
    <w:rsid w:val="7BF70459"/>
    <w:rsid w:val="7C3A2CC2"/>
    <w:rsid w:val="7C665B94"/>
    <w:rsid w:val="7C6E2E6D"/>
    <w:rsid w:val="7C870D8D"/>
    <w:rsid w:val="7C9826BD"/>
    <w:rsid w:val="7CA76BC4"/>
    <w:rsid w:val="7CD31248"/>
    <w:rsid w:val="7CDD45F1"/>
    <w:rsid w:val="7D5D77BB"/>
    <w:rsid w:val="7D717C60"/>
    <w:rsid w:val="7D9D6EC5"/>
    <w:rsid w:val="7DE13008"/>
    <w:rsid w:val="7DE36CAC"/>
    <w:rsid w:val="7DFE72B5"/>
    <w:rsid w:val="7E1D3F4E"/>
    <w:rsid w:val="7E2C42F7"/>
    <w:rsid w:val="7E5938FF"/>
    <w:rsid w:val="7E9877D0"/>
    <w:rsid w:val="7EA51F12"/>
    <w:rsid w:val="7ECF55B4"/>
    <w:rsid w:val="7EEA3A51"/>
    <w:rsid w:val="7EF83D54"/>
    <w:rsid w:val="7F043992"/>
    <w:rsid w:val="7F0A3D71"/>
    <w:rsid w:val="7F697EDB"/>
    <w:rsid w:val="7F7D0C75"/>
    <w:rsid w:val="7F9157EF"/>
    <w:rsid w:val="7F933179"/>
    <w:rsid w:val="7F963EA4"/>
    <w:rsid w:val="7F9976FC"/>
    <w:rsid w:val="7FE500F3"/>
    <w:rsid w:val="7FF83B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7">
    <w:name w:val="heading 1"/>
    <w:basedOn w:val="1"/>
    <w:next w:val="1"/>
    <w:link w:val="71"/>
    <w:qFormat/>
    <w:uiPriority w:val="0"/>
    <w:pPr>
      <w:keepNext/>
      <w:spacing w:line="216" w:lineRule="auto"/>
      <w:jc w:val="center"/>
      <w:outlineLvl w:val="0"/>
    </w:pPr>
    <w:rPr>
      <w:rFonts w:ascii="宋体" w:hAnsi="宋体"/>
      <w:b/>
      <w:sz w:val="30"/>
      <w:szCs w:val="20"/>
    </w:rPr>
  </w:style>
  <w:style w:type="paragraph" w:styleId="8">
    <w:name w:val="heading 2"/>
    <w:basedOn w:val="1"/>
    <w:next w:val="9"/>
    <w:link w:val="60"/>
    <w:qFormat/>
    <w:uiPriority w:val="0"/>
    <w:pPr>
      <w:keepNext/>
      <w:spacing w:line="216" w:lineRule="auto"/>
      <w:outlineLvl w:val="1"/>
    </w:pPr>
    <w:rPr>
      <w:rFonts w:ascii="宋体"/>
      <w:b/>
      <w:sz w:val="28"/>
      <w:szCs w:val="20"/>
    </w:rPr>
  </w:style>
  <w:style w:type="paragraph" w:styleId="10">
    <w:name w:val="heading 3"/>
    <w:basedOn w:val="1"/>
    <w:next w:val="9"/>
    <w:qFormat/>
    <w:uiPriority w:val="0"/>
    <w:pPr>
      <w:keepNext/>
      <w:numPr>
        <w:ilvl w:val="0"/>
        <w:numId w:val="1"/>
      </w:numPr>
      <w:spacing w:line="216" w:lineRule="auto"/>
      <w:outlineLvl w:val="2"/>
    </w:pPr>
    <w:rPr>
      <w:rFonts w:ascii="宋体"/>
      <w:b/>
      <w:bCs/>
      <w:sz w:val="28"/>
      <w:szCs w:val="20"/>
    </w:rPr>
  </w:style>
  <w:style w:type="paragraph" w:styleId="11">
    <w:name w:val="heading 4"/>
    <w:basedOn w:val="1"/>
    <w:next w:val="1"/>
    <w:qFormat/>
    <w:uiPriority w:val="0"/>
    <w:pPr>
      <w:keepNext/>
      <w:numPr>
        <w:ilvl w:val="0"/>
        <w:numId w:val="2"/>
      </w:numPr>
      <w:spacing w:line="216" w:lineRule="auto"/>
      <w:outlineLvl w:val="3"/>
    </w:pPr>
    <w:rPr>
      <w:rFonts w:ascii="黑体" w:eastAsia="黑体"/>
      <w:b/>
      <w:sz w:val="24"/>
      <w:szCs w:val="20"/>
    </w:rPr>
  </w:style>
  <w:style w:type="paragraph" w:styleId="12">
    <w:name w:val="heading 5"/>
    <w:basedOn w:val="1"/>
    <w:next w:val="1"/>
    <w:link w:val="61"/>
    <w:qFormat/>
    <w:uiPriority w:val="0"/>
    <w:pPr>
      <w:keepNext/>
      <w:keepLines/>
      <w:spacing w:before="280" w:after="290" w:line="376" w:lineRule="auto"/>
      <w:outlineLvl w:val="4"/>
    </w:pPr>
    <w:rPr>
      <w:rFonts w:ascii="宋体" w:hAnsi="宋体"/>
      <w:b/>
      <w:bCs/>
      <w:kern w:val="0"/>
      <w:sz w:val="28"/>
      <w:szCs w:val="28"/>
    </w:rPr>
  </w:style>
  <w:style w:type="paragraph" w:styleId="13">
    <w:name w:val="heading 6"/>
    <w:basedOn w:val="1"/>
    <w:next w:val="1"/>
    <w:link w:val="62"/>
    <w:qFormat/>
    <w:uiPriority w:val="0"/>
    <w:pPr>
      <w:keepNext/>
      <w:keepLines/>
      <w:spacing w:before="50" w:beforeLines="50" w:after="50" w:afterLines="50"/>
      <w:jc w:val="left"/>
      <w:outlineLvl w:val="5"/>
    </w:pPr>
    <w:rPr>
      <w:rFonts w:ascii="Arial" w:hAnsi="Arial" w:eastAsia="黑体"/>
      <w:bCs/>
      <w:sz w:val="24"/>
    </w:rPr>
  </w:style>
  <w:style w:type="character" w:default="1" w:styleId="42">
    <w:name w:val="Default Paragraph Font"/>
    <w:semiHidden/>
    <w:uiPriority w:val="0"/>
  </w:style>
  <w:style w:type="table" w:default="1" w:styleId="36">
    <w:name w:val="Normal Table"/>
    <w:semiHidden/>
    <w:uiPriority w:val="0"/>
    <w:tblPr>
      <w:tblStyle w:val="36"/>
      <w:tblCellMar>
        <w:top w:w="0" w:type="dxa"/>
        <w:left w:w="108" w:type="dxa"/>
        <w:bottom w:w="0" w:type="dxa"/>
        <w:right w:w="108" w:type="dxa"/>
      </w:tblCellMar>
    </w:tblPr>
  </w:style>
  <w:style w:type="paragraph" w:styleId="2">
    <w:name w:val="Body Text Indent"/>
    <w:basedOn w:val="1"/>
    <w:next w:val="3"/>
    <w:link w:val="57"/>
    <w:qFormat/>
    <w:uiPriority w:val="0"/>
    <w:pPr>
      <w:spacing w:after="120"/>
      <w:ind w:left="420" w:leftChars="200"/>
    </w:pPr>
  </w:style>
  <w:style w:type="paragraph" w:styleId="3">
    <w:name w:val="Body Text First Indent 2"/>
    <w:basedOn w:val="2"/>
    <w:next w:val="4"/>
    <w:link w:val="58"/>
    <w:qFormat/>
    <w:uiPriority w:val="0"/>
    <w:pPr>
      <w:ind w:firstLine="420" w:firstLineChars="200"/>
    </w:pPr>
  </w:style>
  <w:style w:type="paragraph" w:styleId="4">
    <w:name w:val="Body Text First Indent"/>
    <w:basedOn w:val="5"/>
    <w:next w:val="6"/>
    <w:qFormat/>
    <w:uiPriority w:val="99"/>
    <w:pPr>
      <w:ind w:firstLine="420" w:firstLineChars="100"/>
    </w:pPr>
  </w:style>
  <w:style w:type="paragraph" w:styleId="5">
    <w:name w:val="Body Text"/>
    <w:basedOn w:val="1"/>
    <w:next w:val="4"/>
    <w:uiPriority w:val="0"/>
    <w:pPr>
      <w:autoSpaceDE w:val="0"/>
      <w:autoSpaceDN w:val="0"/>
      <w:adjustRightInd w:val="0"/>
      <w:spacing w:line="360" w:lineRule="auto"/>
    </w:pPr>
    <w:rPr>
      <w:rFonts w:ascii="宋体" w:hAnsi="Arial" w:cs="Arial"/>
      <w:snapToGrid w:val="0"/>
      <w:sz w:val="24"/>
      <w:szCs w:val="21"/>
      <w:lang w:val="zh-CN"/>
    </w:rPr>
  </w:style>
  <w:style w:type="paragraph" w:styleId="6">
    <w:name w:val="toc 6"/>
    <w:basedOn w:val="1"/>
    <w:next w:val="1"/>
    <w:semiHidden/>
    <w:uiPriority w:val="0"/>
    <w:pPr>
      <w:ind w:left="2100" w:leftChars="1000"/>
    </w:pPr>
  </w:style>
  <w:style w:type="paragraph" w:styleId="9">
    <w:name w:val="Normal Indent"/>
    <w:basedOn w:val="1"/>
    <w:uiPriority w:val="0"/>
    <w:pPr>
      <w:ind w:firstLine="420"/>
    </w:pPr>
    <w:rPr>
      <w:szCs w:val="20"/>
    </w:rPr>
  </w:style>
  <w:style w:type="paragraph" w:styleId="14">
    <w:name w:val="toc 7"/>
    <w:basedOn w:val="1"/>
    <w:next w:val="1"/>
    <w:semiHidden/>
    <w:uiPriority w:val="0"/>
    <w:pPr>
      <w:ind w:left="2520" w:leftChars="1200"/>
    </w:pPr>
  </w:style>
  <w:style w:type="paragraph" w:styleId="15">
    <w:name w:val="caption"/>
    <w:basedOn w:val="1"/>
    <w:next w:val="1"/>
    <w:qFormat/>
    <w:uiPriority w:val="0"/>
    <w:pPr>
      <w:numPr>
        <w:ilvl w:val="0"/>
        <w:numId w:val="1"/>
      </w:numPr>
      <w:spacing w:line="360" w:lineRule="auto"/>
      <w:ind w:left="0" w:firstLine="0"/>
      <w:jc w:val="center"/>
    </w:pPr>
    <w:rPr>
      <w:rFonts w:ascii="Arial Unicode MS" w:hAnsi="Arial Unicode MS" w:cs="宋体"/>
      <w:kern w:val="0"/>
      <w:sz w:val="20"/>
      <w:szCs w:val="20"/>
      <w:lang/>
    </w:rPr>
  </w:style>
  <w:style w:type="paragraph" w:styleId="16">
    <w:name w:val="annotation text"/>
    <w:basedOn w:val="1"/>
    <w:link w:val="63"/>
    <w:uiPriority w:val="0"/>
    <w:pPr>
      <w:adjustRightInd w:val="0"/>
      <w:jc w:val="left"/>
    </w:pPr>
  </w:style>
  <w:style w:type="paragraph" w:styleId="17">
    <w:name w:val="toc 5"/>
    <w:basedOn w:val="1"/>
    <w:next w:val="1"/>
    <w:semiHidden/>
    <w:uiPriority w:val="0"/>
    <w:pPr>
      <w:ind w:left="1680" w:leftChars="800"/>
    </w:pPr>
  </w:style>
  <w:style w:type="paragraph" w:styleId="18">
    <w:name w:val="toc 3"/>
    <w:basedOn w:val="1"/>
    <w:next w:val="1"/>
    <w:uiPriority w:val="0"/>
    <w:pPr>
      <w:ind w:left="840" w:leftChars="400"/>
    </w:pPr>
  </w:style>
  <w:style w:type="paragraph" w:styleId="19">
    <w:name w:val="Plain Text"/>
    <w:basedOn w:val="1"/>
    <w:next w:val="1"/>
    <w:link w:val="64"/>
    <w:uiPriority w:val="0"/>
    <w:rPr>
      <w:rFonts w:ascii="宋体" w:hAnsi="Courier New" w:cs="Courier New"/>
      <w:szCs w:val="21"/>
    </w:rPr>
  </w:style>
  <w:style w:type="paragraph" w:styleId="20">
    <w:name w:val="toc 8"/>
    <w:basedOn w:val="1"/>
    <w:next w:val="1"/>
    <w:semiHidden/>
    <w:uiPriority w:val="0"/>
    <w:pPr>
      <w:ind w:left="2940" w:leftChars="1400"/>
    </w:pPr>
  </w:style>
  <w:style w:type="paragraph" w:styleId="21">
    <w:name w:val="Date"/>
    <w:basedOn w:val="1"/>
    <w:next w:val="1"/>
    <w:uiPriority w:val="0"/>
    <w:pPr>
      <w:ind w:left="100" w:leftChars="2500"/>
    </w:pPr>
    <w:rPr>
      <w:rFonts w:ascii="宋体" w:hAnsi="宋体"/>
      <w:color w:val="000000"/>
      <w:sz w:val="24"/>
    </w:rPr>
  </w:style>
  <w:style w:type="paragraph" w:styleId="22">
    <w:name w:val="Body Text Indent 2"/>
    <w:basedOn w:val="1"/>
    <w:link w:val="65"/>
    <w:qFormat/>
    <w:uiPriority w:val="0"/>
    <w:pPr>
      <w:spacing w:after="120" w:line="480" w:lineRule="auto"/>
      <w:ind w:left="420" w:leftChars="200"/>
    </w:pPr>
  </w:style>
  <w:style w:type="paragraph" w:styleId="23">
    <w:name w:val="Balloon Text"/>
    <w:basedOn w:val="1"/>
    <w:semiHidden/>
    <w:uiPriority w:val="0"/>
    <w:rPr>
      <w:sz w:val="18"/>
      <w:szCs w:val="18"/>
    </w:rPr>
  </w:style>
  <w:style w:type="paragraph" w:styleId="24">
    <w:name w:val="footer"/>
    <w:basedOn w:val="1"/>
    <w:link w:val="66"/>
    <w:uiPriority w:val="99"/>
    <w:pPr>
      <w:tabs>
        <w:tab w:val="center" w:pos="4153"/>
        <w:tab w:val="right" w:pos="8306"/>
      </w:tabs>
      <w:snapToGrid w:val="0"/>
      <w:jc w:val="left"/>
    </w:pPr>
    <w:rPr>
      <w:sz w:val="18"/>
      <w:szCs w:val="18"/>
    </w:rPr>
  </w:style>
  <w:style w:type="paragraph" w:styleId="25">
    <w:name w:val="header"/>
    <w:basedOn w:val="1"/>
    <w:link w:val="67"/>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6">
    <w:name w:val="toc 1"/>
    <w:basedOn w:val="1"/>
    <w:next w:val="1"/>
    <w:uiPriority w:val="39"/>
  </w:style>
  <w:style w:type="paragraph" w:styleId="27">
    <w:name w:val="toc 4"/>
    <w:basedOn w:val="1"/>
    <w:next w:val="1"/>
    <w:semiHidden/>
    <w:uiPriority w:val="0"/>
    <w:pPr>
      <w:ind w:left="1260" w:leftChars="600"/>
    </w:pPr>
  </w:style>
  <w:style w:type="paragraph" w:styleId="28">
    <w:name w:val="Subtitle"/>
    <w:basedOn w:val="1"/>
    <w:next w:val="1"/>
    <w:link w:val="68"/>
    <w:qFormat/>
    <w:uiPriority w:val="0"/>
    <w:pPr>
      <w:spacing w:line="360" w:lineRule="auto"/>
      <w:jc w:val="left"/>
      <w:outlineLvl w:val="2"/>
    </w:pPr>
    <w:rPr>
      <w:rFonts w:ascii="Cambria" w:hAnsi="Cambria"/>
      <w:b/>
      <w:bCs/>
      <w:kern w:val="28"/>
      <w:sz w:val="30"/>
      <w:szCs w:val="32"/>
    </w:rPr>
  </w:style>
  <w:style w:type="paragraph" w:styleId="29">
    <w:name w:val="Body Text Indent 3"/>
    <w:basedOn w:val="1"/>
    <w:uiPriority w:val="0"/>
    <w:pPr>
      <w:spacing w:after="120"/>
      <w:ind w:left="420" w:leftChars="200"/>
    </w:pPr>
    <w:rPr>
      <w:sz w:val="16"/>
      <w:szCs w:val="16"/>
    </w:rPr>
  </w:style>
  <w:style w:type="paragraph" w:styleId="30">
    <w:name w:val="toc 2"/>
    <w:basedOn w:val="1"/>
    <w:next w:val="1"/>
    <w:uiPriority w:val="39"/>
    <w:pPr>
      <w:ind w:left="420" w:leftChars="200"/>
    </w:pPr>
  </w:style>
  <w:style w:type="paragraph" w:styleId="31">
    <w:name w:val="toc 9"/>
    <w:basedOn w:val="1"/>
    <w:next w:val="1"/>
    <w:semiHidden/>
    <w:uiPriority w:val="0"/>
    <w:pPr>
      <w:ind w:left="3360" w:leftChars="1600"/>
    </w:pPr>
  </w:style>
  <w:style w:type="paragraph" w:styleId="32">
    <w:name w:val="HTML Preformatted"/>
    <w:basedOn w:val="1"/>
    <w:link w:val="69"/>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35">
    <w:name w:val="annotation subject"/>
    <w:basedOn w:val="16"/>
    <w:next w:val="16"/>
    <w:link w:val="70"/>
    <w:uiPriority w:val="0"/>
    <w:pPr>
      <w:adjustRightInd/>
    </w:pPr>
    <w:rPr>
      <w:b/>
      <w:bCs/>
    </w:rPr>
  </w:style>
  <w:style w:type="table" w:styleId="37">
    <w:name w:val="Table Grid"/>
    <w:basedOn w:val="36"/>
    <w:uiPriority w:val="59"/>
    <w:pPr>
      <w:widowControl w:val="0"/>
      <w:jc w:val="both"/>
    </w:p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Web 1"/>
    <w:basedOn w:val="36"/>
    <w:uiPriority w:val="0"/>
    <w:pPr>
      <w:widowControl w:val="0"/>
      <w:jc w:val="both"/>
    </w:pPr>
    <w:rPr>
      <w:rFonts w:ascii="Calibri" w:hAnsi="Calibri"/>
    </w:rPr>
    <w:tblPr>
      <w:tblStyle w:val="36"/>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blStyle w:val="36"/>
      </w:tblPr>
      <w:tcPr>
        <w:tcBorders>
          <w:top w:val="nil"/>
          <w:left w:val="nil"/>
          <w:bottom w:val="nil"/>
          <w:right w:val="nil"/>
          <w:insideH w:val="nil"/>
          <w:insideV w:val="nil"/>
          <w:tl2br w:val="nil"/>
          <w:tr2bl w:val="nil"/>
        </w:tcBorders>
      </w:tcPr>
    </w:tblStylePr>
  </w:style>
  <w:style w:type="table" w:styleId="39">
    <w:name w:val="Table Web 2"/>
    <w:basedOn w:val="36"/>
    <w:uiPriority w:val="0"/>
    <w:pPr>
      <w:widowControl w:val="0"/>
      <w:jc w:val="both"/>
    </w:pPr>
    <w:rPr>
      <w:rFonts w:ascii="Calibri" w:hAnsi="Calibri"/>
    </w:rPr>
    <w:tblPr>
      <w:tblStyle w:val="36"/>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blStyle w:val="36"/>
      </w:tblPr>
      <w:tcPr>
        <w:tcBorders>
          <w:top w:val="nil"/>
          <w:left w:val="nil"/>
          <w:bottom w:val="nil"/>
          <w:right w:val="nil"/>
          <w:insideH w:val="nil"/>
          <w:insideV w:val="nil"/>
          <w:tl2br w:val="nil"/>
          <w:tr2bl w:val="nil"/>
        </w:tcBorders>
      </w:tcPr>
    </w:tblStylePr>
  </w:style>
  <w:style w:type="table" w:styleId="40">
    <w:name w:val="Table Web 3"/>
    <w:basedOn w:val="36"/>
    <w:uiPriority w:val="0"/>
    <w:pPr>
      <w:widowControl w:val="0"/>
      <w:jc w:val="both"/>
    </w:pPr>
    <w:rPr>
      <w:rFonts w:ascii="Calibri" w:hAnsi="Calibri"/>
    </w:rPr>
    <w:tblPr>
      <w:tblStyle w:val="36"/>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blStyle w:val="36"/>
      </w:tblPr>
      <w:tcPr>
        <w:tcBorders>
          <w:top w:val="nil"/>
          <w:left w:val="nil"/>
          <w:bottom w:val="nil"/>
          <w:right w:val="nil"/>
          <w:insideH w:val="nil"/>
          <w:insideV w:val="nil"/>
          <w:tl2br w:val="nil"/>
          <w:tr2bl w:val="nil"/>
        </w:tcBorders>
      </w:tcPr>
    </w:tblStylePr>
  </w:style>
  <w:style w:type="table" w:styleId="41">
    <w:name w:val="Table Professional"/>
    <w:basedOn w:val="36"/>
    <w:uiPriority w:val="0"/>
    <w:pPr>
      <w:widowControl w:val="0"/>
      <w:jc w:val="both"/>
    </w:pPr>
    <w:rPr>
      <w:rFonts w:ascii="Calibri" w:hAnsi="Calibri"/>
    </w:rPr>
    <w:tblPr>
      <w:tblStyle w:val="36"/>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36"/>
      </w:tblPr>
      <w:tcPr>
        <w:tcBorders>
          <w:top w:val="nil"/>
          <w:left w:val="nil"/>
          <w:bottom w:val="nil"/>
          <w:right w:val="nil"/>
          <w:insideH w:val="nil"/>
          <w:insideV w:val="nil"/>
          <w:tl2br w:val="nil"/>
          <w:tr2bl w:val="nil"/>
        </w:tcBorders>
        <w:shd w:val="solid" w:color="000000" w:fill="FFFFFF"/>
      </w:tcPr>
    </w:tblStylePr>
  </w:style>
  <w:style w:type="character" w:styleId="43">
    <w:name w:val="Strong"/>
    <w:qFormat/>
    <w:uiPriority w:val="0"/>
  </w:style>
  <w:style w:type="character" w:styleId="44">
    <w:name w:val="page number"/>
    <w:basedOn w:val="42"/>
    <w:uiPriority w:val="0"/>
  </w:style>
  <w:style w:type="character" w:styleId="45">
    <w:name w:val="FollowedHyperlink"/>
    <w:uiPriority w:val="99"/>
    <w:rPr>
      <w:color w:val="800080"/>
      <w:u w:val="single"/>
    </w:rPr>
  </w:style>
  <w:style w:type="character" w:styleId="46">
    <w:name w:val="Emphasis"/>
    <w:qFormat/>
    <w:uiPriority w:val="0"/>
    <w:rPr>
      <w:rFonts w:eastAsia="宋体"/>
      <w:b/>
      <w:iCs/>
      <w:sz w:val="28"/>
      <w:vertAlign w:val="baseline"/>
    </w:rPr>
  </w:style>
  <w:style w:type="character" w:styleId="47">
    <w:name w:val="HTML Definition"/>
    <w:uiPriority w:val="0"/>
  </w:style>
  <w:style w:type="character" w:styleId="48">
    <w:name w:val="HTML Typewriter"/>
    <w:uiPriority w:val="0"/>
    <w:rPr>
      <w:rFonts w:hint="default" w:ascii="monospace" w:hAnsi="monospace" w:eastAsia="monospace" w:cs="monospace"/>
      <w:sz w:val="20"/>
    </w:rPr>
  </w:style>
  <w:style w:type="character" w:styleId="49">
    <w:name w:val="HTML Acronym"/>
    <w:basedOn w:val="42"/>
    <w:uiPriority w:val="0"/>
  </w:style>
  <w:style w:type="character" w:styleId="50">
    <w:name w:val="HTML Variable"/>
    <w:uiPriority w:val="0"/>
  </w:style>
  <w:style w:type="character" w:styleId="51">
    <w:name w:val="Hyperlink"/>
    <w:uiPriority w:val="99"/>
    <w:rPr>
      <w:color w:val="0000FF"/>
      <w:u w:val="single"/>
    </w:rPr>
  </w:style>
  <w:style w:type="character" w:styleId="52">
    <w:name w:val="HTML Code"/>
    <w:uiPriority w:val="0"/>
    <w:rPr>
      <w:rFonts w:ascii="monospace" w:hAnsi="monospace" w:eastAsia="monospace" w:cs="monospace"/>
      <w:sz w:val="20"/>
    </w:rPr>
  </w:style>
  <w:style w:type="character" w:styleId="53">
    <w:name w:val="annotation reference"/>
    <w:uiPriority w:val="99"/>
    <w:rPr>
      <w:sz w:val="21"/>
      <w:szCs w:val="21"/>
    </w:rPr>
  </w:style>
  <w:style w:type="character" w:styleId="54">
    <w:name w:val="HTML Cite"/>
    <w:uiPriority w:val="0"/>
  </w:style>
  <w:style w:type="character" w:styleId="55">
    <w:name w:val="HTML Keyboard"/>
    <w:uiPriority w:val="0"/>
    <w:rPr>
      <w:rFonts w:hint="default" w:ascii="monospace" w:hAnsi="monospace" w:eastAsia="monospace" w:cs="monospace"/>
      <w:sz w:val="20"/>
    </w:rPr>
  </w:style>
  <w:style w:type="character" w:styleId="56">
    <w:name w:val="HTML Sample"/>
    <w:uiPriority w:val="0"/>
    <w:rPr>
      <w:rFonts w:hint="default" w:ascii="monospace" w:hAnsi="monospace" w:eastAsia="monospace" w:cs="monospace"/>
    </w:rPr>
  </w:style>
  <w:style w:type="character" w:customStyle="1" w:styleId="57">
    <w:name w:val="正文文本缩进 Char1"/>
    <w:link w:val="2"/>
    <w:uiPriority w:val="0"/>
    <w:rPr>
      <w:kern w:val="2"/>
      <w:sz w:val="21"/>
      <w:szCs w:val="24"/>
    </w:rPr>
  </w:style>
  <w:style w:type="character" w:customStyle="1" w:styleId="58">
    <w:name w:val="正文首行缩进 2 Char1"/>
    <w:basedOn w:val="57"/>
    <w:link w:val="3"/>
    <w:uiPriority w:val="0"/>
  </w:style>
  <w:style w:type="character" w:customStyle="1" w:styleId="59">
    <w:name w:val="标题 1 Char1"/>
    <w:link w:val="7"/>
    <w:uiPriority w:val="0"/>
    <w:rPr>
      <w:rFonts w:ascii="宋体" w:hAnsi="宋体"/>
      <w:b/>
      <w:kern w:val="2"/>
      <w:sz w:val="30"/>
    </w:rPr>
  </w:style>
  <w:style w:type="character" w:customStyle="1" w:styleId="60">
    <w:name w:val="标题 2 Char1"/>
    <w:link w:val="8"/>
    <w:uiPriority w:val="0"/>
    <w:rPr>
      <w:rFonts w:ascii="宋体"/>
      <w:b/>
      <w:kern w:val="2"/>
      <w:sz w:val="28"/>
    </w:rPr>
  </w:style>
  <w:style w:type="character" w:customStyle="1" w:styleId="61">
    <w:name w:val="标题 5 Char"/>
    <w:link w:val="12"/>
    <w:uiPriority w:val="0"/>
    <w:rPr>
      <w:rFonts w:ascii="宋体" w:hAnsi="宋体" w:cs="宋体"/>
      <w:b/>
      <w:bCs/>
      <w:sz w:val="28"/>
      <w:szCs w:val="28"/>
    </w:rPr>
  </w:style>
  <w:style w:type="character" w:customStyle="1" w:styleId="62">
    <w:name w:val="标题 6 Char"/>
    <w:link w:val="13"/>
    <w:qFormat/>
    <w:uiPriority w:val="0"/>
    <w:rPr>
      <w:rFonts w:ascii="Arial" w:hAnsi="Arial" w:eastAsia="黑体"/>
      <w:bCs/>
      <w:kern w:val="2"/>
      <w:sz w:val="24"/>
      <w:szCs w:val="24"/>
    </w:rPr>
  </w:style>
  <w:style w:type="character" w:customStyle="1" w:styleId="63">
    <w:name w:val="批注文字 Char1"/>
    <w:link w:val="16"/>
    <w:uiPriority w:val="0"/>
    <w:rPr>
      <w:kern w:val="2"/>
      <w:sz w:val="21"/>
      <w:szCs w:val="24"/>
      <w:lang w:bidi="ar-SA"/>
    </w:rPr>
  </w:style>
  <w:style w:type="character" w:customStyle="1" w:styleId="64">
    <w:name w:val="纯文本 Char1"/>
    <w:link w:val="19"/>
    <w:locked/>
    <w:uiPriority w:val="0"/>
    <w:rPr>
      <w:rFonts w:ascii="宋体" w:hAnsi="Courier New" w:eastAsia="宋体" w:cs="Courier New"/>
      <w:kern w:val="2"/>
      <w:sz w:val="21"/>
      <w:szCs w:val="21"/>
      <w:lang w:val="en-US" w:eastAsia="zh-CN" w:bidi="ar-SA"/>
    </w:rPr>
  </w:style>
  <w:style w:type="character" w:customStyle="1" w:styleId="65">
    <w:name w:val="正文文本缩进 2 Char1"/>
    <w:link w:val="22"/>
    <w:qFormat/>
    <w:locked/>
    <w:uiPriority w:val="0"/>
    <w:rPr>
      <w:kern w:val="2"/>
      <w:sz w:val="21"/>
      <w:szCs w:val="24"/>
    </w:rPr>
  </w:style>
  <w:style w:type="character" w:customStyle="1" w:styleId="66">
    <w:name w:val="页脚 Char"/>
    <w:link w:val="24"/>
    <w:uiPriority w:val="99"/>
    <w:rPr>
      <w:kern w:val="2"/>
      <w:sz w:val="18"/>
      <w:szCs w:val="18"/>
    </w:rPr>
  </w:style>
  <w:style w:type="character" w:customStyle="1" w:styleId="67">
    <w:name w:val="页眉 Char"/>
    <w:link w:val="25"/>
    <w:uiPriority w:val="99"/>
    <w:rPr>
      <w:rFonts w:ascii="宋体"/>
      <w:sz w:val="18"/>
    </w:rPr>
  </w:style>
  <w:style w:type="character" w:customStyle="1" w:styleId="68">
    <w:name w:val="副标题 Char"/>
    <w:link w:val="28"/>
    <w:uiPriority w:val="0"/>
    <w:rPr>
      <w:rFonts w:ascii="Cambria" w:hAnsi="Cambria"/>
      <w:b/>
      <w:bCs/>
      <w:kern w:val="28"/>
      <w:sz w:val="30"/>
      <w:szCs w:val="32"/>
    </w:rPr>
  </w:style>
  <w:style w:type="character" w:customStyle="1" w:styleId="69">
    <w:name w:val="HTML 预设格式 Char"/>
    <w:link w:val="32"/>
    <w:uiPriority w:val="0"/>
    <w:rPr>
      <w:rFonts w:ascii="宋体" w:hAnsi="宋体"/>
      <w:sz w:val="24"/>
      <w:szCs w:val="24"/>
    </w:rPr>
  </w:style>
  <w:style w:type="character" w:customStyle="1" w:styleId="70">
    <w:name w:val="批注主题 Char"/>
    <w:link w:val="35"/>
    <w:uiPriority w:val="0"/>
    <w:rPr>
      <w:b/>
      <w:bCs/>
      <w:kern w:val="2"/>
      <w:sz w:val="21"/>
      <w:szCs w:val="24"/>
      <w:lang w:bidi="ar-SA"/>
    </w:rPr>
  </w:style>
  <w:style w:type="character" w:customStyle="1" w:styleId="71">
    <w:name w:val="标题 1 Char"/>
    <w:link w:val="7"/>
    <w:uiPriority w:val="99"/>
    <w:rPr>
      <w:rFonts w:ascii="宋体" w:hAnsi="宋体"/>
      <w:b/>
      <w:kern w:val="2"/>
      <w:sz w:val="30"/>
    </w:rPr>
  </w:style>
  <w:style w:type="character" w:customStyle="1" w:styleId="72">
    <w:name w:val="纯文本 字符"/>
    <w:locked/>
    <w:uiPriority w:val="0"/>
    <w:rPr>
      <w:rFonts w:ascii="宋体" w:hAnsi="Courier New" w:eastAsia="宋体" w:cs="Courier New"/>
      <w:kern w:val="2"/>
      <w:sz w:val="21"/>
      <w:szCs w:val="21"/>
      <w:lang w:val="en-US" w:eastAsia="zh-CN" w:bidi="ar-SA"/>
    </w:rPr>
  </w:style>
  <w:style w:type="character" w:customStyle="1" w:styleId="73">
    <w:name w:val=" Char Char26"/>
    <w:qFormat/>
    <w:uiPriority w:val="0"/>
    <w:rPr>
      <w:rFonts w:ascii="宋体" w:hAnsi="Courier New" w:eastAsia="宋体" w:cs="Arial"/>
      <w:snapToGrid w:val="0"/>
      <w:kern w:val="2"/>
      <w:sz w:val="21"/>
      <w:szCs w:val="21"/>
      <w:lang w:val="en-US" w:eastAsia="zh-CN" w:bidi="ar-SA"/>
    </w:rPr>
  </w:style>
  <w:style w:type="character" w:customStyle="1" w:styleId="74">
    <w:name w:val="正文文本首行缩进 2 字符"/>
    <w:link w:val="75"/>
    <w:uiPriority w:val="0"/>
  </w:style>
  <w:style w:type="paragraph" w:customStyle="1" w:styleId="75">
    <w:name w:val="_Style 79"/>
    <w:basedOn w:val="1"/>
    <w:next w:val="1"/>
    <w:link w:val="74"/>
    <w:uiPriority w:val="0"/>
  </w:style>
  <w:style w:type="character" w:customStyle="1" w:styleId="76">
    <w:name w:val="A8"/>
    <w:qFormat/>
    <w:uiPriority w:val="0"/>
    <w:rPr>
      <w:rFonts w:cs="微软雅黑"/>
      <w:color w:val="000000"/>
      <w:sz w:val="16"/>
      <w:szCs w:val="16"/>
    </w:rPr>
  </w:style>
  <w:style w:type="character" w:customStyle="1" w:styleId="77">
    <w:name w:val="正文2 Char Char"/>
    <w:link w:val="78"/>
    <w:qFormat/>
    <w:uiPriority w:val="0"/>
    <w:rPr>
      <w:rFonts w:eastAsia="宋体"/>
      <w:kern w:val="2"/>
      <w:sz w:val="24"/>
      <w:lang w:val="en-US" w:eastAsia="zh-CN" w:bidi="ar-SA"/>
    </w:rPr>
  </w:style>
  <w:style w:type="paragraph" w:customStyle="1" w:styleId="78">
    <w:name w:val="正文2"/>
    <w:basedOn w:val="1"/>
    <w:link w:val="77"/>
    <w:qFormat/>
    <w:uiPriority w:val="0"/>
    <w:pPr>
      <w:adjustRightInd w:val="0"/>
      <w:spacing w:before="156" w:line="360" w:lineRule="auto"/>
      <w:ind w:firstLine="510" w:firstLineChars="200"/>
    </w:pPr>
    <w:rPr>
      <w:sz w:val="24"/>
      <w:szCs w:val="20"/>
    </w:rPr>
  </w:style>
  <w:style w:type="character" w:customStyle="1" w:styleId="79">
    <w:name w:val="font81"/>
    <w:basedOn w:val="42"/>
    <w:qFormat/>
    <w:uiPriority w:val="0"/>
    <w:rPr>
      <w:rFonts w:ascii="Times" w:hAnsi="Times" w:eastAsia="Times" w:cs="Times"/>
      <w:color w:val="FF0000"/>
      <w:sz w:val="22"/>
      <w:szCs w:val="22"/>
      <w:u w:val="none"/>
    </w:rPr>
  </w:style>
  <w:style w:type="character" w:customStyle="1" w:styleId="80">
    <w:name w:val="font181"/>
    <w:uiPriority w:val="0"/>
    <w:rPr>
      <w:rFonts w:hint="eastAsia" w:ascii="宋体" w:hAnsi="宋体" w:eastAsia="宋体" w:cs="宋体"/>
      <w:color w:val="000000"/>
      <w:sz w:val="20"/>
      <w:szCs w:val="20"/>
      <w:u w:val="none"/>
    </w:rPr>
  </w:style>
  <w:style w:type="character" w:customStyle="1" w:styleId="81">
    <w:name w:val="正文文本缩进 2 字符1"/>
    <w:uiPriority w:val="0"/>
    <w:rPr>
      <w:kern w:val="2"/>
      <w:sz w:val="21"/>
      <w:szCs w:val="24"/>
    </w:rPr>
  </w:style>
  <w:style w:type="character" w:customStyle="1" w:styleId="82">
    <w:name w:val="font21"/>
    <w:basedOn w:val="42"/>
    <w:uiPriority w:val="0"/>
    <w:rPr>
      <w:rFonts w:hint="eastAsia" w:ascii="宋体" w:hAnsi="宋体" w:eastAsia="宋体" w:cs="宋体"/>
      <w:color w:val="FF0000"/>
      <w:sz w:val="22"/>
      <w:szCs w:val="22"/>
      <w:u w:val="none"/>
    </w:rPr>
  </w:style>
  <w:style w:type="character" w:customStyle="1" w:styleId="83">
    <w:name w:val="10"/>
    <w:uiPriority w:val="0"/>
    <w:rPr>
      <w:rFonts w:hint="default" w:ascii="Times New Roman" w:hAnsi="Times New Roman" w:cs="Times New Roman"/>
    </w:rPr>
  </w:style>
  <w:style w:type="character" w:customStyle="1" w:styleId="84">
    <w:name w:val="正文首行缩进 2 Char"/>
    <w:basedOn w:val="85"/>
    <w:uiPriority w:val="0"/>
  </w:style>
  <w:style w:type="character" w:customStyle="1" w:styleId="85">
    <w:name w:val="正文文本缩进 Char"/>
    <w:qFormat/>
    <w:uiPriority w:val="0"/>
    <w:rPr>
      <w:kern w:val="2"/>
      <w:sz w:val="21"/>
      <w:szCs w:val="24"/>
    </w:rPr>
  </w:style>
  <w:style w:type="character" w:customStyle="1" w:styleId="86">
    <w:name w:val="正文文本缩进 字符"/>
    <w:uiPriority w:val="0"/>
    <w:rPr>
      <w:kern w:val="2"/>
      <w:sz w:val="21"/>
      <w:szCs w:val="24"/>
    </w:rPr>
  </w:style>
  <w:style w:type="character" w:customStyle="1" w:styleId="87">
    <w:name w:val="zbggmain style9"/>
    <w:qFormat/>
    <w:uiPriority w:val="0"/>
    <w:rPr>
      <w:rFonts w:ascii="Tahoma" w:hAnsi="Tahoma"/>
      <w:sz w:val="24"/>
      <w:szCs w:val="20"/>
    </w:rPr>
  </w:style>
  <w:style w:type="character" w:customStyle="1" w:styleId="88">
    <w:name w:val="font11"/>
    <w:uiPriority w:val="0"/>
    <w:rPr>
      <w:rFonts w:hint="eastAsia" w:ascii="宋体" w:hAnsi="宋体" w:eastAsia="宋体" w:cs="宋体"/>
      <w:color w:val="FF0000"/>
      <w:sz w:val="20"/>
      <w:szCs w:val="20"/>
      <w:u w:val="none"/>
    </w:rPr>
  </w:style>
  <w:style w:type="character" w:customStyle="1" w:styleId="89">
    <w:name w:val="font71"/>
    <w:basedOn w:val="42"/>
    <w:qFormat/>
    <w:uiPriority w:val="0"/>
    <w:rPr>
      <w:rFonts w:hint="eastAsia" w:ascii="宋体" w:hAnsi="宋体" w:eastAsia="宋体" w:cs="宋体"/>
      <w:color w:val="000000"/>
      <w:sz w:val="24"/>
      <w:szCs w:val="24"/>
      <w:u w:val="none"/>
    </w:rPr>
  </w:style>
  <w:style w:type="character" w:customStyle="1" w:styleId="90">
    <w:name w:val="font171"/>
    <w:uiPriority w:val="0"/>
    <w:rPr>
      <w:rFonts w:hint="eastAsia" w:ascii="宋体" w:hAnsi="宋体" w:eastAsia="宋体" w:cs="宋体"/>
      <w:color w:val="000000"/>
      <w:sz w:val="20"/>
      <w:szCs w:val="20"/>
      <w:u w:val="none"/>
    </w:rPr>
  </w:style>
  <w:style w:type="character" w:customStyle="1" w:styleId="91">
    <w:name w:val="font41"/>
    <w:qFormat/>
    <w:uiPriority w:val="99"/>
    <w:rPr>
      <w:rFonts w:hint="eastAsia" w:ascii="宋体" w:hAnsi="宋体" w:eastAsia="宋体" w:cs="宋体"/>
      <w:color w:val="000000"/>
      <w:sz w:val="20"/>
      <w:szCs w:val="20"/>
      <w:u w:val="none"/>
    </w:rPr>
  </w:style>
  <w:style w:type="character" w:customStyle="1" w:styleId="92">
    <w:name w:val="NormalCharacter"/>
    <w:semiHidden/>
    <w:qFormat/>
    <w:uiPriority w:val="0"/>
    <w:rPr>
      <w:rFonts w:ascii="Tahoma" w:hAnsi="Tahoma" w:eastAsia="宋体"/>
      <w:color w:val="000000"/>
      <w:sz w:val="24"/>
      <w:szCs w:val="24"/>
      <w:lang w:val="en-US" w:eastAsia="zh-CN" w:bidi="ar-SA"/>
    </w:rPr>
  </w:style>
  <w:style w:type="character" w:customStyle="1" w:styleId="93">
    <w:name w:val="标题 2 字符"/>
    <w:uiPriority w:val="0"/>
    <w:rPr>
      <w:rFonts w:ascii="宋体"/>
      <w:b/>
      <w:kern w:val="2"/>
      <w:sz w:val="28"/>
    </w:rPr>
  </w:style>
  <w:style w:type="character" w:customStyle="1" w:styleId="94">
    <w:name w:val="font01"/>
    <w:qFormat/>
    <w:uiPriority w:val="0"/>
    <w:rPr>
      <w:rFonts w:hint="eastAsia" w:ascii="宋体" w:hAnsi="宋体" w:eastAsia="宋体" w:cs="宋体"/>
      <w:color w:val="FF0000"/>
      <w:sz w:val="20"/>
      <w:szCs w:val="20"/>
      <w:u w:val="none"/>
    </w:rPr>
  </w:style>
  <w:style w:type="character" w:customStyle="1" w:styleId="95">
    <w:name w:val="标题 2 Char"/>
    <w:uiPriority w:val="9"/>
    <w:rPr>
      <w:rFonts w:ascii="宋体"/>
      <w:b/>
      <w:kern w:val="2"/>
      <w:sz w:val="28"/>
    </w:rPr>
  </w:style>
  <w:style w:type="character" w:customStyle="1" w:styleId="96">
    <w:name w:val="A6"/>
    <w:uiPriority w:val="0"/>
    <w:rPr>
      <w:rFonts w:cs="微软雅黑"/>
      <w:color w:val="000000"/>
      <w:sz w:val="18"/>
      <w:szCs w:val="18"/>
    </w:rPr>
  </w:style>
  <w:style w:type="character" w:customStyle="1" w:styleId="97">
    <w:name w:val="font31"/>
    <w:qFormat/>
    <w:uiPriority w:val="0"/>
    <w:rPr>
      <w:rFonts w:ascii="Arial" w:hAnsi="Arial" w:cs="Arial"/>
      <w:color w:val="FF0000"/>
      <w:sz w:val="20"/>
      <w:szCs w:val="20"/>
      <w:u w:val="none"/>
    </w:rPr>
  </w:style>
  <w:style w:type="character" w:customStyle="1" w:styleId="98">
    <w:name w:val="普通文字 Char Char Char1"/>
    <w:aliases w:val="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11 Char,普通文字7 Char"/>
    <w:uiPriority w:val="0"/>
    <w:rPr>
      <w:rFonts w:ascii="宋体" w:hAnsi="Courier New" w:eastAsia="宋体"/>
      <w:kern w:val="2"/>
      <w:sz w:val="21"/>
      <w:lang w:val="en-US" w:eastAsia="zh-CN" w:bidi="ar-SA"/>
    </w:rPr>
  </w:style>
  <w:style w:type="character" w:customStyle="1" w:styleId="99">
    <w:name w:val="副标题 字符1"/>
    <w:uiPriority w:val="0"/>
    <w:rPr>
      <w:rFonts w:ascii="等线 Light" w:hAnsi="等线 Light" w:cs="Times New Roman"/>
      <w:b/>
      <w:bCs/>
      <w:kern w:val="28"/>
      <w:sz w:val="32"/>
      <w:szCs w:val="32"/>
    </w:rPr>
  </w:style>
  <w:style w:type="character" w:customStyle="1" w:styleId="100">
    <w:name w:val="纯文本 Char"/>
    <w:locked/>
    <w:uiPriority w:val="0"/>
    <w:rPr>
      <w:rFonts w:ascii="宋体" w:hAnsi="Courier New" w:eastAsia="宋体" w:cs="Courier New"/>
      <w:kern w:val="2"/>
      <w:sz w:val="21"/>
      <w:szCs w:val="21"/>
      <w:lang w:val="en-US" w:eastAsia="zh-CN" w:bidi="ar-SA"/>
    </w:rPr>
  </w:style>
  <w:style w:type="character" w:customStyle="1" w:styleId="101">
    <w:name w:val="批注文字 字符"/>
    <w:uiPriority w:val="0"/>
    <w:rPr>
      <w:kern w:val="2"/>
      <w:sz w:val="21"/>
      <w:szCs w:val="24"/>
      <w:lang w:bidi="ar-SA"/>
    </w:rPr>
  </w:style>
  <w:style w:type="character" w:customStyle="1" w:styleId="102">
    <w:name w:val="font91"/>
    <w:uiPriority w:val="0"/>
    <w:rPr>
      <w:rFonts w:hint="eastAsia" w:ascii="宋体" w:hAnsi="宋体" w:eastAsia="宋体" w:cs="宋体"/>
      <w:color w:val="000000"/>
      <w:sz w:val="20"/>
      <w:szCs w:val="20"/>
      <w:u w:val="none"/>
    </w:rPr>
  </w:style>
  <w:style w:type="character" w:customStyle="1" w:styleId="103">
    <w:name w:val="font51"/>
    <w:qFormat/>
    <w:uiPriority w:val="0"/>
    <w:rPr>
      <w:rFonts w:hint="eastAsia" w:ascii="宋体" w:hAnsi="宋体" w:eastAsia="宋体" w:cs="宋体"/>
      <w:color w:val="000000"/>
      <w:sz w:val="24"/>
      <w:szCs w:val="24"/>
      <w:u w:val="none"/>
    </w:rPr>
  </w:style>
  <w:style w:type="character" w:customStyle="1" w:styleId="104">
    <w:name w:val="font61"/>
    <w:uiPriority w:val="0"/>
    <w:rPr>
      <w:rFonts w:hint="eastAsia" w:ascii="宋体" w:hAnsi="宋体" w:eastAsia="宋体" w:cs="宋体"/>
      <w:color w:val="000000"/>
      <w:sz w:val="20"/>
      <w:szCs w:val="20"/>
      <w:u w:val="none"/>
    </w:rPr>
  </w:style>
  <w:style w:type="character" w:customStyle="1" w:styleId="105">
    <w:name w:val="标题 1 字符"/>
    <w:uiPriority w:val="0"/>
    <w:rPr>
      <w:rFonts w:ascii="宋体" w:hAnsi="宋体"/>
      <w:b/>
      <w:kern w:val="2"/>
      <w:sz w:val="30"/>
    </w:rPr>
  </w:style>
  <w:style w:type="character" w:customStyle="1" w:styleId="106">
    <w:name w:val="HTML 预设格式 字符1"/>
    <w:uiPriority w:val="0"/>
    <w:rPr>
      <w:rFonts w:ascii="Courier New" w:hAnsi="Courier New" w:cs="Courier New"/>
      <w:kern w:val="2"/>
    </w:rPr>
  </w:style>
  <w:style w:type="character" w:customStyle="1" w:styleId="107">
    <w:name w:val="15"/>
    <w:uiPriority w:val="0"/>
    <w:rPr>
      <w:rFonts w:hint="default" w:ascii="Times New Roman" w:hAnsi="Times New Roman" w:cs="Times New Roman"/>
    </w:rPr>
  </w:style>
  <w:style w:type="character" w:customStyle="1" w:styleId="108">
    <w:name w:val="font131"/>
    <w:uiPriority w:val="0"/>
    <w:rPr>
      <w:rFonts w:hint="eastAsia" w:ascii="宋体" w:hAnsi="宋体" w:eastAsia="宋体" w:cs="宋体"/>
      <w:color w:val="000000"/>
      <w:sz w:val="20"/>
      <w:szCs w:val="20"/>
      <w:u w:val="none"/>
    </w:rPr>
  </w:style>
  <w:style w:type="character" w:customStyle="1" w:styleId="109">
    <w:name w:val="font101"/>
    <w:uiPriority w:val="0"/>
    <w:rPr>
      <w:rFonts w:hint="eastAsia" w:ascii="宋体" w:hAnsi="宋体" w:eastAsia="宋体" w:cs="宋体"/>
      <w:color w:val="000000"/>
      <w:sz w:val="20"/>
      <w:szCs w:val="20"/>
      <w:u w:val="none"/>
    </w:rPr>
  </w:style>
  <w:style w:type="character" w:customStyle="1" w:styleId="110">
    <w:name w:val="批注文字 Char"/>
    <w:uiPriority w:val="0"/>
    <w:rPr>
      <w:kern w:val="2"/>
      <w:sz w:val="21"/>
      <w:szCs w:val="24"/>
      <w:lang w:bidi="ar-SA"/>
    </w:rPr>
  </w:style>
  <w:style w:type="character" w:customStyle="1" w:styleId="111">
    <w:name w:val="正文文本缩进 2 Char"/>
    <w:uiPriority w:val="0"/>
    <w:rPr>
      <w:kern w:val="2"/>
      <w:sz w:val="21"/>
      <w:szCs w:val="24"/>
    </w:rPr>
  </w:style>
  <w:style w:type="paragraph" w:customStyle="1" w:styleId="112">
    <w:name w:val="BodyText1I2"/>
    <w:basedOn w:val="113"/>
    <w:qFormat/>
    <w:uiPriority w:val="0"/>
    <w:pPr>
      <w:ind w:firstLine="420"/>
    </w:pPr>
    <w:rPr>
      <w:sz w:val="21"/>
    </w:rPr>
  </w:style>
  <w:style w:type="paragraph" w:customStyle="1" w:styleId="113">
    <w:name w:val="BodyTextIndent"/>
    <w:basedOn w:val="1"/>
    <w:next w:val="112"/>
    <w:qFormat/>
    <w:uiPriority w:val="0"/>
    <w:pPr>
      <w:spacing w:line="360" w:lineRule="auto"/>
      <w:ind w:firstLine="490"/>
      <w:jc w:val="left"/>
    </w:pPr>
    <w:rPr>
      <w:rFonts w:ascii="宋体" w:hAnsi="宋体"/>
      <w:sz w:val="24"/>
    </w:rPr>
  </w:style>
  <w:style w:type="paragraph" w:customStyle="1" w:styleId="114">
    <w:name w:val="_Style 45"/>
    <w:next w:val="1"/>
    <w:uiPriority w:val="0"/>
    <w:pPr>
      <w:widowControl w:val="0"/>
      <w:jc w:val="both"/>
    </w:pPr>
    <w:rPr>
      <w:kern w:val="2"/>
      <w:sz w:val="21"/>
      <w:szCs w:val="24"/>
      <w:lang w:val="en-US" w:eastAsia="zh-CN" w:bidi="ar-SA"/>
    </w:rPr>
  </w:style>
  <w:style w:type="paragraph" w:customStyle="1" w:styleId="115">
    <w:name w:val="WPSOffice手动目录 2"/>
    <w:uiPriority w:val="0"/>
    <w:pPr>
      <w:ind w:leftChars="200"/>
    </w:pPr>
    <w:rPr>
      <w:lang w:val="en-US" w:eastAsia="zh-CN" w:bidi="ar-SA"/>
    </w:rPr>
  </w:style>
  <w:style w:type="paragraph" w:customStyle="1" w:styleId="116">
    <w:name w:val="xl63"/>
    <w:basedOn w:val="1"/>
    <w:uiPriority w:val="0"/>
    <w:pPr>
      <w:widowControl/>
      <w:spacing w:before="100" w:beforeAutospacing="1" w:after="100" w:afterAutospacing="1"/>
      <w:jc w:val="left"/>
    </w:pPr>
    <w:rPr>
      <w:rFonts w:ascii="宋体" w:hAnsi="宋体" w:cs="宋体"/>
      <w:kern w:val="0"/>
      <w:sz w:val="24"/>
      <w:szCs w:val="21"/>
    </w:rPr>
  </w:style>
  <w:style w:type="paragraph" w:customStyle="1" w:styleId="117">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18">
    <w:name w:val="文档正文"/>
    <w:basedOn w:val="1"/>
    <w:qFormat/>
    <w:uiPriority w:val="0"/>
    <w:pPr>
      <w:ind w:firstLine="567"/>
    </w:pPr>
    <w:rPr>
      <w:rFonts w:ascii="长城仿宋" w:eastAsia="长城仿宋"/>
      <w:sz w:val="28"/>
    </w:rPr>
  </w:style>
  <w:style w:type="paragraph" w:customStyle="1" w:styleId="11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20">
    <w:name w:val="表格文字"/>
    <w:basedOn w:val="1"/>
    <w:next w:val="5"/>
    <w:qFormat/>
    <w:uiPriority w:val="0"/>
    <w:pPr>
      <w:adjustRightInd w:val="0"/>
      <w:spacing w:line="420" w:lineRule="atLeast"/>
      <w:textAlignment w:val="baseline"/>
    </w:pPr>
    <w:rPr>
      <w:rFonts w:ascii="宋体" w:hAnsi="宋体" w:cs="宋体"/>
      <w:kern w:val="0"/>
      <w:sz w:val="20"/>
      <w:szCs w:val="21"/>
    </w:rPr>
  </w:style>
  <w:style w:type="paragraph" w:customStyle="1" w:styleId="121">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2">
    <w:name w:val="WPSOffice手动目录 1"/>
    <w:uiPriority w:val="0"/>
    <w:rPr>
      <w:lang w:val="en-US" w:eastAsia="zh-CN" w:bidi="ar-SA"/>
    </w:rPr>
  </w:style>
  <w:style w:type="paragraph" w:customStyle="1" w:styleId="123">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4">
    <w:name w:val="xl8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等线 Light" w:hAnsi="等线 Light" w:eastAsia="等线 Light" w:cs="宋体"/>
      <w:kern w:val="0"/>
      <w:sz w:val="20"/>
      <w:szCs w:val="20"/>
    </w:rPr>
  </w:style>
  <w:style w:type="paragraph" w:customStyle="1" w:styleId="125">
    <w:name w:val="xl8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6">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27">
    <w:name w:val=" Char Char2 Char"/>
    <w:basedOn w:val="1"/>
    <w:uiPriority w:val="0"/>
    <w:pPr>
      <w:keepNext/>
      <w:keepLines/>
      <w:pageBreakBefore/>
      <w:tabs>
        <w:tab w:val="left" w:pos="845"/>
      </w:tabs>
      <w:ind w:left="845" w:hanging="420"/>
    </w:pPr>
    <w:rPr>
      <w:rFonts w:ascii="Tahoma" w:hAnsi="Tahoma" w:cs="宋体"/>
      <w:kern w:val="0"/>
      <w:sz w:val="24"/>
      <w:szCs w:val="20"/>
    </w:rPr>
  </w:style>
  <w:style w:type="paragraph" w:customStyle="1" w:styleId="128">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9">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Table Paragraph"/>
    <w:basedOn w:val="1"/>
    <w:qFormat/>
    <w:uiPriority w:val="1"/>
    <w:pPr>
      <w:jc w:val="left"/>
    </w:pPr>
    <w:rPr>
      <w:rFonts w:ascii="Calibri" w:hAnsi="Calibri" w:cs="宋体"/>
      <w:kern w:val="0"/>
      <w:sz w:val="22"/>
      <w:szCs w:val="22"/>
      <w:lang w:eastAsia="en-US"/>
    </w:rPr>
  </w:style>
  <w:style w:type="paragraph" w:customStyle="1" w:styleId="13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样式 表格左对齐 + 五号"/>
    <w:basedOn w:val="133"/>
    <w:qFormat/>
    <w:uiPriority w:val="0"/>
    <w:pPr>
      <w:jc w:val="left"/>
    </w:pPr>
    <w:rPr>
      <w:sz w:val="21"/>
    </w:rPr>
  </w:style>
  <w:style w:type="paragraph" w:customStyle="1" w:styleId="133">
    <w:name w:val="表格居中"/>
    <w:basedOn w:val="1"/>
    <w:qFormat/>
    <w:uiPriority w:val="0"/>
    <w:pPr>
      <w:spacing w:line="360" w:lineRule="auto"/>
      <w:jc w:val="center"/>
    </w:pPr>
    <w:rPr>
      <w:rFonts w:ascii="Times New Roman" w:hAnsi="Times New Roman"/>
      <w:sz w:val="24"/>
      <w:szCs w:val="20"/>
    </w:rPr>
  </w:style>
  <w:style w:type="paragraph" w:customStyle="1" w:styleId="134">
    <w:name w:val="font8"/>
    <w:basedOn w:val="1"/>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35">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36">
    <w:name w:val="Pa3"/>
    <w:basedOn w:val="1"/>
    <w:next w:val="1"/>
    <w:qFormat/>
    <w:uiPriority w:val="0"/>
    <w:pPr>
      <w:autoSpaceDE w:val="0"/>
      <w:autoSpaceDN w:val="0"/>
      <w:adjustRightInd w:val="0"/>
      <w:spacing w:line="201" w:lineRule="atLeast"/>
      <w:jc w:val="left"/>
    </w:pPr>
    <w:rPr>
      <w:rFonts w:ascii="微软雅黑" w:eastAsia="微软雅黑"/>
      <w:kern w:val="0"/>
      <w:sz w:val="24"/>
    </w:rPr>
  </w:style>
  <w:style w:type="paragraph" w:customStyle="1" w:styleId="137">
    <w:name w:val="无间隔"/>
    <w:qFormat/>
    <w:uiPriority w:val="1"/>
    <w:pPr>
      <w:widowControl w:val="0"/>
      <w:adjustRightInd w:val="0"/>
      <w:snapToGrid w:val="0"/>
      <w:spacing w:line="360" w:lineRule="auto"/>
    </w:pPr>
    <w:rPr>
      <w:kern w:val="2"/>
      <w:sz w:val="21"/>
      <w:szCs w:val="22"/>
      <w:lang w:val="en-US" w:eastAsia="zh-CN" w:bidi="ar-SA"/>
    </w:rPr>
  </w:style>
  <w:style w:type="paragraph" w:customStyle="1" w:styleId="13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9">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Default"/>
    <w:qFormat/>
    <w:uiPriority w:val="0"/>
    <w:pPr>
      <w:widowControl w:val="0"/>
      <w:autoSpaceDE w:val="0"/>
      <w:autoSpaceDN w:val="0"/>
      <w:adjustRightInd w:val="0"/>
    </w:pPr>
    <w:rPr>
      <w:rFonts w:ascii="微软雅黑" w:eastAsia="微软雅黑" w:cs="微软雅黑"/>
      <w:color w:val="000000"/>
      <w:sz w:val="24"/>
      <w:szCs w:val="24"/>
      <w:lang w:val="en-US" w:eastAsia="zh-CN" w:bidi="ar-SA"/>
    </w:rPr>
  </w:style>
  <w:style w:type="paragraph" w:customStyle="1" w:styleId="141">
    <w:name w:val="font7"/>
    <w:basedOn w:val="1"/>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42">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43">
    <w:name w:val="xl8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45">
    <w:name w:val="编号，小四"/>
    <w:basedOn w:val="1"/>
    <w:qFormat/>
    <w:uiPriority w:val="0"/>
    <w:pPr>
      <w:numPr>
        <w:ilvl w:val="0"/>
        <w:numId w:val="3"/>
      </w:numPr>
      <w:spacing w:line="360" w:lineRule="auto"/>
    </w:pPr>
    <w:rPr>
      <w:rFonts w:ascii="Arial" w:hAnsi="Arial" w:cs="宋体"/>
      <w:kern w:val="0"/>
      <w:sz w:val="24"/>
      <w:szCs w:val="20"/>
    </w:rPr>
  </w:style>
  <w:style w:type="paragraph" w:customStyle="1" w:styleId="146">
    <w:name w:val="a2"/>
    <w:basedOn w:val="1"/>
    <w:qFormat/>
    <w:uiPriority w:val="0"/>
    <w:pPr>
      <w:widowControl/>
      <w:spacing w:before="100" w:beforeAutospacing="1" w:after="100" w:afterAutospacing="1"/>
      <w:jc w:val="left"/>
    </w:pPr>
    <w:rPr>
      <w:rFonts w:ascii="宋体" w:hAnsi="宋体" w:cs="宋体"/>
      <w:sz w:val="24"/>
    </w:rPr>
  </w:style>
  <w:style w:type="paragraph" w:customStyle="1" w:styleId="147">
    <w:name w:val="*正文"/>
    <w:basedOn w:val="1"/>
    <w:qFormat/>
    <w:uiPriority w:val="0"/>
    <w:pPr>
      <w:spacing w:line="300" w:lineRule="auto"/>
      <w:ind w:firstLine="480"/>
    </w:pPr>
    <w:rPr>
      <w:rFonts w:ascii="宋体" w:hAnsi="宋体" w:cs="仿宋_GB2312"/>
      <w:kern w:val="0"/>
      <w:sz w:val="20"/>
      <w:szCs w:val="21"/>
    </w:rPr>
  </w:style>
  <w:style w:type="paragraph" w:customStyle="1" w:styleId="148">
    <w:name w:val="表格表头"/>
    <w:basedOn w:val="1"/>
    <w:qFormat/>
    <w:uiPriority w:val="0"/>
    <w:pPr>
      <w:spacing w:line="360" w:lineRule="auto"/>
      <w:jc w:val="center"/>
      <w:outlineLvl w:val="0"/>
    </w:pPr>
    <w:rPr>
      <w:rFonts w:ascii="宋体" w:hAnsi="宋体" w:eastAsia="黑体" w:cs="宋体"/>
      <w:kern w:val="0"/>
      <w:sz w:val="24"/>
      <w:szCs w:val="21"/>
    </w:rPr>
  </w:style>
  <w:style w:type="paragraph" w:customStyle="1" w:styleId="149">
    <w:name w:val="heading 2"/>
    <w:basedOn w:val="1"/>
    <w:next w:val="9"/>
    <w:qFormat/>
    <w:uiPriority w:val="0"/>
    <w:pPr>
      <w:keepNext/>
      <w:spacing w:line="216" w:lineRule="auto"/>
      <w:outlineLvl w:val="1"/>
    </w:pPr>
    <w:rPr>
      <w:rFonts w:hint="eastAsia" w:ascii="宋体" w:cs="宋体"/>
      <w:b/>
      <w:kern w:val="0"/>
      <w:sz w:val="28"/>
      <w:szCs w:val="20"/>
    </w:rPr>
  </w:style>
  <w:style w:type="paragraph" w:customStyle="1" w:styleId="15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styleId="151">
    <w:name w:val="List Paragraph"/>
    <w:basedOn w:val="1"/>
    <w:qFormat/>
    <w:uiPriority w:val="34"/>
    <w:pPr>
      <w:ind w:firstLine="420" w:firstLineChars="200"/>
    </w:pPr>
    <w:rPr>
      <w:rFonts w:ascii="Calibri" w:hAnsi="Calibri"/>
      <w:szCs w:val="22"/>
    </w:rPr>
  </w:style>
  <w:style w:type="paragraph" w:customStyle="1" w:styleId="152">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3">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4">
    <w:name w:val="Plain Text"/>
    <w:basedOn w:val="1"/>
    <w:qFormat/>
    <w:uiPriority w:val="0"/>
    <w:rPr>
      <w:rFonts w:hint="eastAsia" w:ascii="宋体" w:hAnsi="Courier New" w:cs="宋体"/>
      <w:kern w:val="0"/>
      <w:sz w:val="20"/>
      <w:szCs w:val="20"/>
    </w:rPr>
  </w:style>
  <w:style w:type="paragraph" w:customStyle="1" w:styleId="155">
    <w:name w:val="Sp-正文"/>
    <w:basedOn w:val="1"/>
    <w:qFormat/>
    <w:uiPriority w:val="0"/>
    <w:pPr>
      <w:spacing w:before="120" w:after="120" w:line="440" w:lineRule="exact"/>
    </w:pPr>
    <w:rPr>
      <w:rFonts w:ascii="宋体" w:hAnsi="宋体" w:cs="宋体"/>
      <w:color w:val="000000"/>
      <w:kern w:val="0"/>
      <w:sz w:val="20"/>
      <w:szCs w:val="21"/>
    </w:rPr>
  </w:style>
  <w:style w:type="paragraph" w:customStyle="1" w:styleId="156">
    <w:name w:val="表格正文"/>
    <w:basedOn w:val="1"/>
    <w:qFormat/>
    <w:uiPriority w:val="0"/>
    <w:pPr>
      <w:spacing w:line="360" w:lineRule="auto"/>
      <w:jc w:val="left"/>
    </w:pPr>
    <w:rPr>
      <w:rFonts w:ascii="Arial" w:hAnsi="Arial" w:cs="宋体"/>
      <w:kern w:val="0"/>
      <w:sz w:val="20"/>
      <w:szCs w:val="20"/>
    </w:rPr>
  </w:style>
  <w:style w:type="paragraph" w:customStyle="1" w:styleId="157">
    <w:name w:val="首行缩进"/>
    <w:basedOn w:val="1"/>
    <w:qFormat/>
    <w:uiPriority w:val="0"/>
    <w:pPr>
      <w:spacing w:line="360" w:lineRule="auto"/>
      <w:ind w:firstLine="480" w:firstLineChars="200"/>
    </w:pPr>
    <w:rPr>
      <w:sz w:val="24"/>
      <w:szCs w:val="22"/>
      <w:lang w:val="zh-CN"/>
    </w:rPr>
  </w:style>
  <w:style w:type="paragraph" w:customStyle="1" w:styleId="158">
    <w:name w:val="BodyText1I"/>
    <w:basedOn w:val="159"/>
    <w:qFormat/>
    <w:uiPriority w:val="0"/>
    <w:pPr>
      <w:spacing w:after="120" w:line="240" w:lineRule="auto"/>
      <w:ind w:firstLine="420" w:firstLineChars="100"/>
      <w:jc w:val="both"/>
    </w:pPr>
  </w:style>
  <w:style w:type="paragraph" w:customStyle="1" w:styleId="159">
    <w:name w:val="BodyText"/>
    <w:basedOn w:val="1"/>
    <w:qFormat/>
    <w:uiPriority w:val="0"/>
    <w:pPr>
      <w:spacing w:after="120" w:line="240" w:lineRule="auto"/>
      <w:jc w:val="both"/>
    </w:pPr>
  </w:style>
  <w:style w:type="paragraph" w:customStyle="1" w:styleId="160">
    <w:name w:val="Char Char Char Char1"/>
    <w:basedOn w:val="1"/>
    <w:uiPriority w:val="0"/>
    <w:rPr>
      <w:rFonts w:ascii="Tahoma" w:hAnsi="Tahoma"/>
      <w:sz w:val="24"/>
      <w:szCs w:val="20"/>
    </w:rPr>
  </w:style>
  <w:style w:type="paragraph" w:customStyle="1" w:styleId="161">
    <w:name w:val="列出段落1"/>
    <w:basedOn w:val="1"/>
    <w:qFormat/>
    <w:uiPriority w:val="0"/>
    <w:pPr>
      <w:ind w:firstLine="420" w:firstLineChars="200"/>
    </w:pPr>
  </w:style>
  <w:style w:type="paragraph" w:customStyle="1" w:styleId="162">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3">
    <w:name w:val="列出段落"/>
    <w:basedOn w:val="1"/>
    <w:qFormat/>
    <w:uiPriority w:val="34"/>
    <w:pPr>
      <w:ind w:firstLine="420" w:firstLineChars="200"/>
    </w:pPr>
    <w:rPr>
      <w:rFonts w:ascii="Calibri" w:hAnsi="Calibri"/>
      <w:szCs w:val="22"/>
    </w:rPr>
  </w:style>
  <w:style w:type="paragraph" w:customStyle="1" w:styleId="164">
    <w:name w:val="Pa21"/>
    <w:basedOn w:val="1"/>
    <w:next w:val="1"/>
    <w:qFormat/>
    <w:uiPriority w:val="0"/>
    <w:pPr>
      <w:autoSpaceDE w:val="0"/>
      <w:autoSpaceDN w:val="0"/>
      <w:adjustRightInd w:val="0"/>
      <w:spacing w:line="161" w:lineRule="atLeast"/>
      <w:jc w:val="left"/>
    </w:pPr>
    <w:rPr>
      <w:rFonts w:ascii="微软雅黑緩.." w:eastAsia="微软雅黑緩.."/>
      <w:kern w:val="0"/>
      <w:sz w:val="24"/>
    </w:rPr>
  </w:style>
  <w:style w:type="paragraph" w:customStyle="1" w:styleId="165">
    <w:name w:val="正文缩进2字符"/>
    <w:basedOn w:val="1"/>
    <w:qFormat/>
    <w:uiPriority w:val="0"/>
    <w:pPr>
      <w:spacing w:line="360" w:lineRule="auto"/>
      <w:ind w:firstLine="200" w:firstLineChars="200"/>
      <w:jc w:val="left"/>
    </w:pPr>
    <w:rPr>
      <w:rFonts w:cs="宋体"/>
      <w:kern w:val="0"/>
      <w:sz w:val="24"/>
      <w:szCs w:val="20"/>
    </w:rPr>
  </w:style>
  <w:style w:type="paragraph" w:customStyle="1" w:styleId="166">
    <w:name w:val="xl85"/>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7">
    <w:name w:val="msonormal"/>
    <w:basedOn w:val="1"/>
    <w:uiPriority w:val="0"/>
    <w:pPr>
      <w:widowControl/>
      <w:spacing w:before="100" w:beforeAutospacing="1" w:after="100" w:afterAutospacing="1"/>
      <w:jc w:val="left"/>
    </w:pPr>
    <w:rPr>
      <w:rFonts w:ascii="宋体" w:hAnsi="宋体" w:cs="宋体"/>
      <w:kern w:val="0"/>
      <w:sz w:val="24"/>
      <w:szCs w:val="21"/>
    </w:rPr>
  </w:style>
  <w:style w:type="paragraph" w:customStyle="1" w:styleId="168">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9">
    <w:name w:val="xl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70">
    <w:name w:val="招标文件－标准正文"/>
    <w:basedOn w:val="19"/>
    <w:qFormat/>
    <w:uiPriority w:val="0"/>
    <w:pPr>
      <w:spacing w:line="360" w:lineRule="auto"/>
    </w:pPr>
    <w:rPr>
      <w:rFonts w:ascii="Times New Roman" w:hAnsi="Times New Roman" w:cs="宋体"/>
      <w:color w:val="000000"/>
      <w:sz w:val="24"/>
      <w:szCs w:val="20"/>
    </w:rPr>
  </w:style>
  <w:style w:type="paragraph" w:customStyle="1" w:styleId="171">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7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73">
    <w:name w:val="样式 首行缩进:  0 字符"/>
    <w:basedOn w:val="1"/>
    <w:qFormat/>
    <w:uiPriority w:val="0"/>
    <w:pPr>
      <w:spacing w:line="360" w:lineRule="auto"/>
      <w:ind w:firstLine="200" w:firstLineChars="200"/>
    </w:pPr>
    <w:rPr>
      <w:rFonts w:cs="宋体"/>
      <w:kern w:val="0"/>
      <w:sz w:val="24"/>
      <w:szCs w:val="20"/>
    </w:rPr>
  </w:style>
  <w:style w:type="paragraph" w:customStyle="1" w:styleId="174">
    <w:name w:val="xl8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5">
    <w:name w:val="Normal"/>
    <w:basedOn w:val="1"/>
    <w:uiPriority w:val="0"/>
    <w:rPr>
      <w:rFonts w:ascii="宋体" w:hAnsi="宋体" w:cs="宋体"/>
      <w:szCs w:val="21"/>
    </w:rPr>
  </w:style>
  <w:style w:type="paragraph" w:customStyle="1" w:styleId="176">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7">
    <w:name w:val="正文（缩进）"/>
    <w:basedOn w:val="1"/>
    <w:qFormat/>
    <w:uiPriority w:val="0"/>
    <w:pPr>
      <w:spacing w:beforeLines="50" w:afterLines="50"/>
      <w:ind w:firstLine="480"/>
    </w:pPr>
    <w:rPr>
      <w:rFonts w:cs="黑体"/>
      <w:kern w:val="0"/>
      <w:sz w:val="20"/>
      <w:szCs w:val="21"/>
    </w:rPr>
  </w:style>
  <w:style w:type="paragraph" w:customStyle="1" w:styleId="17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79">
    <w:name w:val="p0"/>
    <w:basedOn w:val="1"/>
    <w:qFormat/>
    <w:uiPriority w:val="99"/>
    <w:pPr>
      <w:widowControl/>
    </w:pPr>
    <w:rPr>
      <w:rFonts w:ascii="Calibri" w:hAnsi="Calibri" w:cs="宋体"/>
      <w:kern w:val="0"/>
      <w:sz w:val="20"/>
      <w:szCs w:val="21"/>
    </w:rPr>
  </w:style>
  <w:style w:type="paragraph" w:customStyle="1" w:styleId="180">
    <w:name w:val="Heading1"/>
    <w:basedOn w:val="1"/>
    <w:next w:val="1"/>
    <w:qFormat/>
    <w:uiPriority w:val="0"/>
    <w:pPr>
      <w:widowControl/>
      <w:spacing w:before="100" w:beforeAutospacing="1" w:after="100" w:afterAutospacing="1" w:line="240" w:lineRule="atLeast"/>
      <w:jc w:val="left"/>
    </w:pPr>
    <w:rPr>
      <w:rFonts w:ascii="ˎ̥" w:hAnsi="ˎ̥" w:eastAsia="宋体" w:cs="宋体"/>
      <w:b/>
      <w:bCs/>
      <w:color w:val="FFFFFF"/>
      <w:kern w:val="36"/>
      <w:sz w:val="21"/>
      <w:szCs w:val="21"/>
      <w:lang w:val="en-US" w:eastAsia="zh-CN" w:bidi="ar-SA"/>
    </w:rPr>
  </w:style>
  <w:style w:type="table" w:customStyle="1" w:styleId="181">
    <w:name w:val="浅色列表1"/>
    <w:basedOn w:val="36"/>
    <w:qFormat/>
    <w:uiPriority w:val="61"/>
    <w:rPr>
      <w:kern w:val="2"/>
      <w:sz w:val="21"/>
      <w:szCs w:val="22"/>
    </w:rPr>
    <w:tblPr>
      <w:tblStyle w:val="36"/>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blStyle w:val="36"/>
      </w:tblPr>
      <w:tcPr>
        <w:shd w:val="clear" w:color="auto" w:fill="000000"/>
      </w:tcPr>
    </w:tblStylePr>
    <w:tblStylePr w:type="lastRow">
      <w:pPr>
        <w:spacing w:before="0" w:after="0" w:line="240" w:lineRule="auto"/>
      </w:pPr>
      <w:rPr>
        <w:b/>
        <w:bCs/>
      </w:rPr>
      <w:tblPr>
        <w:tblStyle w:val="36"/>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blStyle w:val="36"/>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blStyle w:val="36"/>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82">
    <w:name w:val="网格型2"/>
    <w:basedOn w:val="36"/>
    <w:uiPriority w:val="0"/>
    <w:pPr>
      <w:widowControl w:val="0"/>
      <w:jc w:val="both"/>
    </w:pPr>
    <w:rPr>
      <w:rFonts w:ascii="Calibri" w:hAnsi="Calibri" w:eastAsia="宋体" w:cs="Times New Roman"/>
    </w:r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1"/>
    <w:basedOn w:val="36"/>
    <w:uiPriority w:val="59"/>
    <w:rPr>
      <w:rFonts w:ascii="Calibri" w:hAnsi="Calibri" w:eastAsia="宋体" w:cs="Times New Roman"/>
      <w:kern w:val="2"/>
      <w:sz w:val="21"/>
      <w:szCs w:val="22"/>
    </w:r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71</Pages>
  <Words>34802</Words>
  <Characters>36443</Characters>
  <Lines>418</Lines>
  <Paragraphs>117</Paragraphs>
  <TotalTime>32</TotalTime>
  <ScaleCrop>false</ScaleCrop>
  <LinksUpToDate>false</LinksUpToDate>
  <CharactersWithSpaces>37526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2020-08-05T02:14:00Z</dcterms:created>
  <dc:creator>wxg</dc:creator>
  <cp:lastModifiedBy>WPS_1701756769</cp:lastModifiedBy>
  <cp:lastPrinted>2021-09-09T09:14:08Z</cp:lastPrinted>
  <dcterms:modified xsi:type="dcterms:W3CDTF">2024-02-23T03:43:34Z</dcterms:modified>
  <cp:revision>2</cp:revision>
  <dc:title>采购单位：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48A6C0EE07EA42E7902DB68A30747FE7_13</vt:lpwstr>
  </property>
</Properties>
</file>