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ascii="宋体" w:hAnsi="宋体" w:cs="宋体"/>
          <w:b/>
          <w:color w:val="auto"/>
          <w:sz w:val="48"/>
          <w:szCs w:val="48"/>
          <w:highlight w:val="none"/>
        </w:rPr>
      </w:pPr>
      <w:bookmarkStart w:id="162" w:name="_GoBack"/>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2024年度成本调查监审委托审核项目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ZJXSC-2024-010</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绍兴市发展和改革委员会成本调查监审局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28168565"/>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rPr>
              <w:t>月</w:t>
            </w:r>
          </w:p>
        </w:tc>
      </w:tr>
    </w:tbl>
    <w:p>
      <w:pPr>
        <w:pStyle w:val="635"/>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87" w:bottom="1474" w:left="1587" w:header="851" w:footer="992" w:gutter="0"/>
          <w:pgNumType w:fmt="decimal" w:start="1"/>
          <w:cols w:space="720" w:num="1"/>
          <w:titlePg/>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2024年度成本调查监审委托审核项目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lang w:val="en-US" w:eastAsia="zh-CN"/>
        </w:rPr>
        <w:t>2024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 xml:space="preserve">3 </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 xml:space="preserve">12 </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lang w:val="en-US" w:eastAsia="zh-CN"/>
        </w:rPr>
        <w:t>00</w:t>
      </w:r>
      <w:r>
        <w:rPr>
          <w:rStyle w:val="76"/>
          <w:rFonts w:hint="eastAsia" w:ascii="仿宋" w:hAnsi="仿宋" w:eastAsia="仿宋" w:cs="仿宋"/>
          <w:bCs/>
          <w:snapToGrid/>
          <w:color w:val="auto"/>
          <w:kern w:val="2"/>
          <w:sz w:val="24"/>
          <w:szCs w:val="24"/>
          <w:highlight w:val="none"/>
        </w:rPr>
        <w:t>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ZJXSC-2024-010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2024年度成本调查监审委托审核项目</w:t>
      </w:r>
      <w:r>
        <w:rPr>
          <w:rFonts w:hint="eastAsia" w:ascii="仿宋" w:hAnsi="仿宋" w:eastAsia="仿宋" w:cs="仿宋"/>
          <w:color w:val="auto"/>
          <w:sz w:val="24"/>
          <w:highlight w:val="none"/>
          <w:lang w:val="en-US" w:eastAsia="zh-CN"/>
        </w:rPr>
        <w:t xml:space="preserve"> </w:t>
      </w:r>
    </w:p>
    <w:tbl>
      <w:tblPr>
        <w:tblStyle w:val="63"/>
        <w:tblW w:w="8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7"/>
        <w:gridCol w:w="3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7" w:type="dxa"/>
            <w:vAlign w:val="center"/>
          </w:tcPr>
          <w:p>
            <w:pPr>
              <w:pStyle w:val="2"/>
              <w:jc w:val="center"/>
              <w:rPr>
                <w:rFonts w:hint="eastAsia"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服务内容</w:t>
            </w:r>
          </w:p>
        </w:tc>
        <w:tc>
          <w:tcPr>
            <w:tcW w:w="3375" w:type="dxa"/>
            <w:vAlign w:val="center"/>
          </w:tcPr>
          <w:p>
            <w:pPr>
              <w:pStyle w:val="2"/>
              <w:jc w:val="center"/>
              <w:rPr>
                <w:rFonts w:hint="eastAsia"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上限价（元）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7" w:type="dxa"/>
            <w:vAlign w:val="center"/>
          </w:tcPr>
          <w:p>
            <w:pPr>
              <w:autoSpaceDE w:val="0"/>
              <w:autoSpaceDN w:val="0"/>
              <w:spacing w:line="360" w:lineRule="auto"/>
              <w:ind w:firstLine="480" w:firstLineChars="200"/>
              <w:jc w:val="center"/>
              <w:rPr>
                <w:rFonts w:hint="eastAsia" w:ascii="仿宋" w:hAnsi="仿宋" w:eastAsia="仿宋" w:cs="仿宋"/>
                <w:b w:val="0"/>
                <w:bCs/>
                <w:color w:val="auto"/>
                <w:kern w:val="0"/>
                <w:sz w:val="24"/>
                <w:szCs w:val="24"/>
                <w:highlight w:val="none"/>
                <w:lang w:val="en-US" w:eastAsia="zh-CN" w:bidi="ar-SA"/>
              </w:rPr>
            </w:pPr>
            <w:r>
              <w:rPr>
                <w:rFonts w:hint="eastAsia" w:ascii="仿宋" w:hAnsi="仿宋" w:eastAsia="仿宋" w:cs="仿宋"/>
                <w:b w:val="0"/>
                <w:bCs/>
                <w:color w:val="auto"/>
                <w:kern w:val="0"/>
                <w:sz w:val="24"/>
                <w:highlight w:val="none"/>
                <w:lang w:val="en-US" w:eastAsia="zh-CN"/>
              </w:rPr>
              <w:t>成本预测调查项目</w:t>
            </w:r>
          </w:p>
        </w:tc>
        <w:tc>
          <w:tcPr>
            <w:tcW w:w="3375" w:type="dxa"/>
            <w:vAlign w:val="center"/>
          </w:tcPr>
          <w:p>
            <w:pPr>
              <w:autoSpaceDE w:val="0"/>
              <w:autoSpaceDN w:val="0"/>
              <w:spacing w:line="360" w:lineRule="auto"/>
              <w:ind w:firstLine="480" w:firstLineChars="200"/>
              <w:jc w:val="center"/>
              <w:rPr>
                <w:rFonts w:hint="default" w:ascii="仿宋" w:hAnsi="仿宋" w:eastAsia="仿宋" w:cs="仿宋"/>
                <w:b w:val="0"/>
                <w:bCs/>
                <w:color w:val="auto"/>
                <w:kern w:val="0"/>
                <w:sz w:val="24"/>
                <w:szCs w:val="24"/>
                <w:highlight w:val="none"/>
                <w:lang w:val="en-US" w:eastAsia="zh-CN" w:bidi="ar-SA"/>
              </w:rPr>
            </w:pPr>
            <w:r>
              <w:rPr>
                <w:rFonts w:hint="eastAsia" w:ascii="仿宋" w:hAnsi="仿宋" w:eastAsia="仿宋" w:cs="仿宋"/>
                <w:b w:val="0"/>
                <w:bCs/>
                <w:color w:val="auto"/>
                <w:kern w:val="0"/>
                <w:sz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7" w:type="dxa"/>
            <w:vAlign w:val="center"/>
          </w:tcPr>
          <w:p>
            <w:pPr>
              <w:autoSpaceDE w:val="0"/>
              <w:autoSpaceDN w:val="0"/>
              <w:spacing w:line="360" w:lineRule="auto"/>
              <w:ind w:firstLine="480" w:firstLineChars="200"/>
              <w:jc w:val="center"/>
              <w:rPr>
                <w:rFonts w:hint="eastAsia" w:ascii="仿宋" w:hAnsi="仿宋" w:eastAsia="仿宋" w:cs="仿宋"/>
                <w:b w:val="0"/>
                <w:bCs/>
                <w:color w:val="auto"/>
                <w:kern w:val="0"/>
                <w:sz w:val="24"/>
                <w:szCs w:val="24"/>
                <w:highlight w:val="none"/>
                <w:lang w:val="en-US" w:eastAsia="zh-CN" w:bidi="ar-SA"/>
              </w:rPr>
            </w:pPr>
            <w:r>
              <w:rPr>
                <w:rFonts w:hint="eastAsia" w:ascii="仿宋" w:hAnsi="仿宋" w:eastAsia="仿宋" w:cs="仿宋"/>
                <w:b w:val="0"/>
                <w:bCs/>
                <w:color w:val="auto"/>
                <w:kern w:val="0"/>
                <w:sz w:val="24"/>
                <w:highlight w:val="none"/>
                <w:lang w:val="en-US" w:eastAsia="zh-CN"/>
              </w:rPr>
              <w:t>成本调查监审项目（监审期间一年）</w:t>
            </w:r>
          </w:p>
        </w:tc>
        <w:tc>
          <w:tcPr>
            <w:tcW w:w="3375" w:type="dxa"/>
            <w:vAlign w:val="center"/>
          </w:tcPr>
          <w:p>
            <w:pPr>
              <w:autoSpaceDE w:val="0"/>
              <w:autoSpaceDN w:val="0"/>
              <w:spacing w:line="360" w:lineRule="auto"/>
              <w:ind w:firstLine="480" w:firstLineChars="200"/>
              <w:jc w:val="center"/>
              <w:rPr>
                <w:rFonts w:hint="default" w:ascii="仿宋" w:hAnsi="仿宋" w:eastAsia="仿宋" w:cs="仿宋"/>
                <w:b w:val="0"/>
                <w:bCs/>
                <w:color w:val="auto"/>
                <w:kern w:val="0"/>
                <w:sz w:val="24"/>
                <w:szCs w:val="24"/>
                <w:highlight w:val="none"/>
                <w:lang w:val="en-US" w:eastAsia="zh-CN" w:bidi="ar-SA"/>
              </w:rPr>
            </w:pPr>
            <w:r>
              <w:rPr>
                <w:rFonts w:hint="eastAsia" w:ascii="仿宋" w:hAnsi="仿宋" w:eastAsia="仿宋" w:cs="仿宋"/>
                <w:b w:val="0"/>
                <w:bCs/>
                <w:color w:val="auto"/>
                <w:kern w:val="0"/>
                <w:sz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7" w:type="dxa"/>
            <w:vAlign w:val="center"/>
          </w:tcPr>
          <w:p>
            <w:pPr>
              <w:autoSpaceDE w:val="0"/>
              <w:autoSpaceDN w:val="0"/>
              <w:spacing w:line="360" w:lineRule="auto"/>
              <w:ind w:firstLine="480" w:firstLineChars="200"/>
              <w:jc w:val="center"/>
              <w:rPr>
                <w:rFonts w:hint="eastAsia" w:ascii="仿宋" w:hAnsi="仿宋" w:eastAsia="仿宋" w:cs="仿宋"/>
                <w:b w:val="0"/>
                <w:bCs/>
                <w:color w:val="auto"/>
                <w:kern w:val="0"/>
                <w:sz w:val="24"/>
                <w:szCs w:val="24"/>
                <w:highlight w:val="none"/>
                <w:lang w:val="en-US" w:eastAsia="zh-CN" w:bidi="ar-SA"/>
              </w:rPr>
            </w:pPr>
            <w:r>
              <w:rPr>
                <w:rFonts w:hint="eastAsia" w:ascii="仿宋" w:hAnsi="仿宋" w:eastAsia="仿宋" w:cs="仿宋"/>
                <w:b w:val="0"/>
                <w:bCs/>
                <w:color w:val="auto"/>
                <w:kern w:val="0"/>
                <w:sz w:val="24"/>
                <w:highlight w:val="none"/>
                <w:lang w:val="en-US" w:eastAsia="zh-CN"/>
              </w:rPr>
              <w:t>成本调查监审项目（监审期间二年）</w:t>
            </w:r>
          </w:p>
        </w:tc>
        <w:tc>
          <w:tcPr>
            <w:tcW w:w="3375" w:type="dxa"/>
            <w:vAlign w:val="center"/>
          </w:tcPr>
          <w:p>
            <w:pPr>
              <w:autoSpaceDE w:val="0"/>
              <w:autoSpaceDN w:val="0"/>
              <w:spacing w:line="360" w:lineRule="auto"/>
              <w:ind w:firstLine="480" w:firstLineChars="200"/>
              <w:jc w:val="center"/>
              <w:rPr>
                <w:rFonts w:hint="default" w:ascii="仿宋" w:hAnsi="仿宋" w:eastAsia="仿宋" w:cs="仿宋"/>
                <w:b w:val="0"/>
                <w:bCs/>
                <w:color w:val="auto"/>
                <w:kern w:val="0"/>
                <w:sz w:val="24"/>
                <w:szCs w:val="24"/>
                <w:highlight w:val="none"/>
                <w:lang w:val="en-US" w:eastAsia="zh-CN" w:bidi="ar-SA"/>
              </w:rPr>
            </w:pPr>
            <w:r>
              <w:rPr>
                <w:rFonts w:hint="eastAsia" w:ascii="仿宋" w:hAnsi="仿宋" w:eastAsia="仿宋" w:cs="仿宋"/>
                <w:b w:val="0"/>
                <w:bCs/>
                <w:color w:val="auto"/>
                <w:kern w:val="0"/>
                <w:sz w:val="24"/>
                <w:highlight w:val="none"/>
                <w:lang w:val="en-US" w:eastAsia="zh-CN"/>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7" w:type="dxa"/>
            <w:vAlign w:val="center"/>
          </w:tcPr>
          <w:p>
            <w:pPr>
              <w:autoSpaceDE w:val="0"/>
              <w:autoSpaceDN w:val="0"/>
              <w:spacing w:line="360" w:lineRule="auto"/>
              <w:ind w:firstLine="480" w:firstLineChars="200"/>
              <w:jc w:val="center"/>
              <w:rPr>
                <w:rFonts w:hint="eastAsia" w:ascii="仿宋" w:hAnsi="仿宋" w:eastAsia="仿宋" w:cs="仿宋"/>
                <w:b w:val="0"/>
                <w:bCs/>
                <w:color w:val="auto"/>
                <w:kern w:val="0"/>
                <w:sz w:val="24"/>
                <w:szCs w:val="24"/>
                <w:highlight w:val="none"/>
                <w:lang w:val="en-US" w:eastAsia="zh-CN" w:bidi="ar-SA"/>
              </w:rPr>
            </w:pPr>
            <w:r>
              <w:rPr>
                <w:rFonts w:hint="eastAsia" w:ascii="仿宋" w:hAnsi="仿宋" w:eastAsia="仿宋" w:cs="仿宋"/>
                <w:b w:val="0"/>
                <w:bCs/>
                <w:color w:val="auto"/>
                <w:kern w:val="0"/>
                <w:sz w:val="24"/>
                <w:highlight w:val="none"/>
                <w:lang w:val="en-US" w:eastAsia="zh-CN"/>
              </w:rPr>
              <w:t>成本调查监审项目（监审期间三年及以上）</w:t>
            </w:r>
          </w:p>
        </w:tc>
        <w:tc>
          <w:tcPr>
            <w:tcW w:w="3375" w:type="dxa"/>
            <w:vAlign w:val="center"/>
          </w:tcPr>
          <w:p>
            <w:pPr>
              <w:autoSpaceDE w:val="0"/>
              <w:autoSpaceDN w:val="0"/>
              <w:spacing w:line="360" w:lineRule="auto"/>
              <w:ind w:firstLine="480" w:firstLineChars="200"/>
              <w:jc w:val="center"/>
              <w:rPr>
                <w:rFonts w:hint="default" w:ascii="仿宋" w:hAnsi="仿宋" w:eastAsia="仿宋" w:cs="仿宋"/>
                <w:b w:val="0"/>
                <w:bCs/>
                <w:color w:val="auto"/>
                <w:kern w:val="0"/>
                <w:sz w:val="24"/>
                <w:szCs w:val="24"/>
                <w:highlight w:val="none"/>
                <w:lang w:val="en-US" w:eastAsia="zh-CN" w:bidi="ar-SA"/>
              </w:rPr>
            </w:pPr>
            <w:r>
              <w:rPr>
                <w:rFonts w:hint="eastAsia" w:ascii="仿宋" w:hAnsi="仿宋" w:eastAsia="仿宋" w:cs="仿宋"/>
                <w:b w:val="0"/>
                <w:bCs/>
                <w:color w:val="auto"/>
                <w:kern w:val="0"/>
                <w:sz w:val="24"/>
                <w:highlight w:val="none"/>
                <w:lang w:val="en-US" w:eastAsia="zh-CN"/>
              </w:rPr>
              <w:t>20000</w:t>
            </w:r>
          </w:p>
        </w:tc>
      </w:tr>
    </w:tbl>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数量：不限</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val="en-US" w:eastAsia="zh-CN"/>
        </w:rPr>
        <w:t>项目累计总预算金额：不超过100000元</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eastAsia="zh-CN"/>
        </w:rPr>
        <w:t>主要内容：详见招标文件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r>
            <w:rPr>
              <w:rFonts w:hint="eastAsia" w:ascii="仿宋" w:hAnsi="仿宋" w:eastAsia="仿宋" w:cs="仿宋"/>
              <w:color w:val="auto"/>
              <w:sz w:val="24"/>
              <w:szCs w:val="24"/>
              <w:highlight w:val="none"/>
            </w:rPr>
            <w:sym w:font="Wingdings" w:char="00FE"/>
          </w:r>
        </w:sdtContent>
      </w:sdt>
      <w:r>
        <w:rPr>
          <w:rFonts w:hint="eastAsia" w:ascii="仿宋" w:hAnsi="仿宋" w:eastAsia="仿宋" w:cs="仿宋"/>
          <w:b/>
          <w:color w:val="auto"/>
          <w:sz w:val="24"/>
          <w:highlight w:val="none"/>
        </w:rPr>
        <w:t>是，☐否。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szCs w:val="24"/>
          <w:highlight w:val="none"/>
        </w:rPr>
      </w:pPr>
      <w:sdt>
        <w:sdtPr>
          <w:rPr>
            <w:rFonts w:hint="eastAsia" w:ascii="仿宋" w:hAnsi="仿宋" w:eastAsia="仿宋" w:cs="仿宋"/>
            <w:color w:val="auto"/>
            <w:sz w:val="24"/>
            <w:szCs w:val="24"/>
            <w:highlight w:val="none"/>
            <w:lang w:val="en-US"/>
          </w:rPr>
          <w:id w:val="337506595"/>
        </w:sdtPr>
        <w:sdtEndPr>
          <w:rPr>
            <w:rFonts w:hint="eastAsia" w:ascii="仿宋" w:hAnsi="仿宋" w:eastAsia="仿宋" w:cs="仿宋"/>
            <w:color w:val="auto"/>
            <w:sz w:val="24"/>
            <w:szCs w:val="24"/>
            <w:highlight w:val="none"/>
            <w:lang w:val="en-US"/>
          </w:rPr>
        </w:sdtEndPr>
        <w:sdtContent>
          <w:r>
            <w:rPr>
              <w:rFonts w:hint="eastAsia" w:ascii="仿宋" w:hAnsi="仿宋" w:eastAsia="仿宋" w:cs="仿宋"/>
              <w:color w:val="auto"/>
              <w:sz w:val="24"/>
              <w:szCs w:val="24"/>
              <w:highlight w:val="none"/>
              <w:lang w:val="en-US" w:eastAsia="zh-CN"/>
            </w:rPr>
            <w:t>☑</w:t>
          </w:r>
        </w:sdtContent>
      </w:sdt>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szCs w:val="24"/>
            <w:highlight w:val="none"/>
            <w:lang w:val="en-US"/>
          </w:rPr>
          <w:id w:val="337506595"/>
        </w:sdtPr>
        <w:sdtEndPr>
          <w:rPr>
            <w:rFonts w:hint="eastAsia" w:ascii="仿宋" w:hAnsi="仿宋" w:eastAsia="仿宋" w:cs="仿宋"/>
            <w:color w:val="auto"/>
            <w:sz w:val="24"/>
            <w:szCs w:val="24"/>
            <w:highlight w:val="none"/>
            <w:lang w:val="en-US"/>
          </w:rPr>
        </w:sdtEndPr>
        <w:sdtContent>
          <w:r>
            <w:rPr>
              <w:rFonts w:hint="eastAsia" w:ascii="仿宋" w:hAnsi="仿宋" w:eastAsia="仿宋" w:cs="仿宋"/>
              <w:color w:val="auto"/>
              <w:sz w:val="24"/>
              <w:szCs w:val="24"/>
              <w:highlight w:val="none"/>
              <w:lang w:val="en-US" w:eastAsia="zh-CN"/>
            </w:rPr>
            <w:t>☑</w:t>
          </w:r>
        </w:sdtContent>
      </w:sdt>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4.本项目的特定资格要求：需经省级人民法院</w:t>
      </w:r>
      <w:r>
        <w:rPr>
          <w:rFonts w:hint="eastAsia" w:ascii="仿宋" w:hAnsi="仿宋" w:eastAsia="仿宋" w:cs="仿宋"/>
          <w:color w:val="auto"/>
          <w:sz w:val="24"/>
          <w:highlight w:val="none"/>
          <w:lang w:val="en-US" w:eastAsia="zh-CN"/>
        </w:rPr>
        <w:t>或</w:t>
      </w:r>
      <w:r>
        <w:rPr>
          <w:rFonts w:hint="eastAsia" w:ascii="仿宋" w:hAnsi="仿宋" w:eastAsia="仿宋" w:cs="仿宋"/>
          <w:color w:val="auto"/>
          <w:sz w:val="24"/>
          <w:highlight w:val="none"/>
        </w:rPr>
        <w:t>司法行政部门</w:t>
      </w:r>
      <w:r>
        <w:rPr>
          <w:rFonts w:hint="eastAsia" w:ascii="仿宋" w:hAnsi="仿宋" w:eastAsia="仿宋" w:cs="仿宋"/>
          <w:color w:val="auto"/>
          <w:sz w:val="24"/>
          <w:highlight w:val="none"/>
          <w:lang w:val="en-US" w:eastAsia="zh-CN"/>
        </w:rPr>
        <w:t>或</w:t>
      </w:r>
      <w:r>
        <w:rPr>
          <w:rFonts w:hint="eastAsia" w:ascii="仿宋" w:hAnsi="仿宋" w:eastAsia="仿宋" w:cs="仿宋"/>
          <w:color w:val="auto"/>
          <w:sz w:val="24"/>
          <w:highlight w:val="none"/>
        </w:rPr>
        <w:t>产品质量监督部门或公安部门备案认可，并具有相关司法鉴定许可证（或产品质量鉴定组织单位备案证书）的鉴定机构；</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3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3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3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val="0"/>
          <w:bCs/>
          <w:color w:val="auto"/>
          <w:sz w:val="24"/>
          <w:highlight w:val="none"/>
        </w:rPr>
        <w:t>浙江翔实建设项目管理有限公司一楼开标室（绍兴市越城区阳明北路692号），在政府采购云平台（www.zcygov.cn）上开启响应文件。  </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6"/>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637"/>
      <w:bookmarkStart w:id="7" w:name="_Toc3539380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绍兴市发展和改革委员会成本调查监审局</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w:t>
      </w:r>
      <w:r>
        <w:rPr>
          <w:rFonts w:hint="eastAsia" w:ascii="仿宋" w:hAnsi="仿宋" w:eastAsia="仿宋" w:cs="仿宋"/>
          <w:color w:val="auto"/>
          <w:sz w:val="24"/>
          <w:highlight w:val="none"/>
          <w:lang w:eastAsia="zh-CN"/>
        </w:rPr>
        <w:t>洋江西路</w:t>
      </w:r>
      <w:r>
        <w:rPr>
          <w:rFonts w:hint="eastAsia" w:ascii="仿宋" w:hAnsi="仿宋" w:eastAsia="仿宋" w:cs="仿宋"/>
          <w:color w:val="auto"/>
          <w:sz w:val="24"/>
          <w:highlight w:val="none"/>
          <w:lang w:val="en-US" w:eastAsia="zh-CN"/>
        </w:rPr>
        <w:t>589</w:t>
      </w:r>
      <w:r>
        <w:rPr>
          <w:rFonts w:hint="eastAsia" w:ascii="仿宋" w:hAnsi="仿宋" w:eastAsia="仿宋" w:cs="仿宋"/>
          <w:color w:val="auto"/>
          <w:sz w:val="24"/>
          <w:highlight w:val="none"/>
        </w:rPr>
        <w:t>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陈树坚</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88265621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谢金琴</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质疑联系方式：0575-</w:t>
      </w:r>
      <w:r>
        <w:rPr>
          <w:rFonts w:hint="eastAsia" w:ascii="仿宋" w:hAnsi="仿宋" w:eastAsia="仿宋" w:cs="仿宋"/>
          <w:color w:val="auto"/>
          <w:sz w:val="24"/>
          <w:highlight w:val="none"/>
          <w:lang w:val="en-US" w:eastAsia="zh-CN"/>
        </w:rPr>
        <w:t>88265621/13757582913</w:t>
      </w:r>
    </w:p>
    <w:p>
      <w:pPr>
        <w:pStyle w:val="6"/>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20"/>
      <w:bookmarkStart w:id="10" w:name="_Toc28359097"/>
      <w:bookmarkStart w:id="11" w:name="_Toc35393807"/>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称：浙江翔实建设项目管理有限公司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址：绍兴市越城区阳明北路692号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娄佳琴、黄跃文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项目联系方式（询问）：0575-8897968</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13376873230</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质疑联系人：孙莉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质疑联系方式：0575-88976639</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21"/>
      <w:bookmarkStart w:id="15" w:name="_Toc2835909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真：0575-85209697</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人：张婷婷</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监督投诉电话：0575-85209697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keepNext w:val="0"/>
              <w:keepLines w:val="0"/>
              <w:pageBreakBefore w:val="0"/>
              <w:kinsoku/>
              <w:wordWrap/>
              <w:overflowPunct/>
              <w:topLinePunct w:val="0"/>
              <w:bidi w:val="0"/>
              <w:spacing w:line="288" w:lineRule="auto"/>
              <w:rPr>
                <w:rFonts w:ascii="仿宋" w:hAnsi="仿宋" w:eastAsia="仿宋" w:cs="仿宋"/>
                <w:b/>
                <w:color w:val="auto"/>
                <w:sz w:val="24"/>
                <w:highlight w:val="none"/>
              </w:rPr>
            </w:pPr>
            <w:r>
              <w:rPr>
                <w:rFonts w:hint="eastAsia" w:ascii="仿宋_GB2312" w:hAnsi="宋体" w:eastAsia="仿宋_GB2312"/>
                <w:b/>
                <w:color w:val="auto"/>
                <w:sz w:val="24"/>
                <w:szCs w:val="24"/>
                <w:highlight w:val="none"/>
              </w:rPr>
              <w:t>方案讲解演示：</w:t>
            </w:r>
          </w:p>
          <w:p>
            <w:pPr>
              <w:keepNext w:val="0"/>
              <w:keepLines w:val="0"/>
              <w:pageBreakBefore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A无方案讲解演示。</w:t>
            </w:r>
          </w:p>
          <w:p>
            <w:pPr>
              <w:keepNext w:val="0"/>
              <w:keepLines w:val="0"/>
              <w:pageBreakBefore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B有方案讲解演示：</w:t>
            </w:r>
          </w:p>
          <w:p>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2024年度成本调查监审委托审核项目</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其他未列明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keepNext w:val="0"/>
              <w:keepLines w:val="0"/>
              <w:pageBreakBefore w:val="0"/>
              <w:widowControl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b/>
                <w:bCs/>
                <w:color w:val="auto"/>
                <w:sz w:val="24"/>
                <w:highlight w:val="none"/>
              </w:rPr>
              <w:t>代理服务费</w:t>
            </w:r>
            <w:r>
              <w:rPr>
                <w:rFonts w:hint="eastAsia" w:ascii="仿宋" w:hAnsi="仿宋" w:eastAsia="仿宋" w:cs="仿宋"/>
                <w:b/>
                <w:bCs/>
                <w:color w:val="auto"/>
                <w:sz w:val="24"/>
                <w:highlight w:val="none"/>
                <w:lang w:eastAsia="zh-CN"/>
              </w:rPr>
              <w:t>：</w:t>
            </w:r>
            <w:r>
              <w:rPr>
                <w:rFonts w:hint="eastAsia" w:ascii="仿宋" w:hAnsi="仿宋" w:eastAsia="仿宋" w:cs="仿宋"/>
                <w:b/>
                <w:color w:val="auto"/>
                <w:sz w:val="24"/>
                <w:szCs w:val="24"/>
                <w:highlight w:val="none"/>
              </w:rPr>
              <w:t>中标人须向招标代理机构交纳招标代理服务费，并在投标报价中自行考虑：</w:t>
            </w:r>
          </w:p>
          <w:p>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① </w:t>
            </w:r>
            <w:r>
              <w:rPr>
                <w:rFonts w:hint="eastAsia" w:ascii="仿宋" w:hAnsi="仿宋" w:eastAsia="仿宋" w:cs="仿宋"/>
                <w:color w:val="auto"/>
                <w:sz w:val="24"/>
                <w:highlight w:val="none"/>
                <w:lang w:eastAsia="zh-CN"/>
              </w:rPr>
              <w:t>整个项目按</w:t>
            </w:r>
            <w:r>
              <w:rPr>
                <w:rFonts w:hint="eastAsia" w:ascii="仿宋" w:hAnsi="仿宋" w:eastAsia="仿宋" w:cs="仿宋"/>
                <w:color w:val="auto"/>
                <w:sz w:val="24"/>
                <w:highlight w:val="none"/>
                <w:lang w:val="en-US" w:eastAsia="zh-CN"/>
              </w:rPr>
              <w:t>3000元计取</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 招标代理服务费的交纳方式：</w:t>
            </w:r>
          </w:p>
          <w:p>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用银行支票、汇票、电汇、现金等付款方式直接交纳招标代理服务费。</w:t>
            </w:r>
          </w:p>
          <w:p>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公司名称：浙江翔实建设项目管理有限公司 </w:t>
            </w:r>
          </w:p>
          <w:p>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开户行：建行绍兴越城支行</w:t>
            </w:r>
          </w:p>
          <w:p>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号：33001653549053003519</w:t>
            </w:r>
          </w:p>
          <w:p>
            <w:pPr>
              <w:keepNext w:val="0"/>
              <w:keepLines w:val="0"/>
              <w:pageBreakBefore w:val="0"/>
              <w:widowControl w:val="0"/>
              <w:kinsoku/>
              <w:wordWrap/>
              <w:overflowPunct/>
              <w:topLinePunct w:val="0"/>
              <w:bidi w:val="0"/>
              <w:snapToGrid w:val="0"/>
              <w:spacing w:line="288"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行</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号：</w:t>
            </w:r>
            <w:r>
              <w:rPr>
                <w:rFonts w:hint="eastAsia" w:ascii="仿宋" w:hAnsi="仿宋" w:eastAsia="仿宋" w:cs="仿宋"/>
                <w:color w:val="auto"/>
                <w:sz w:val="24"/>
                <w:highlight w:val="none"/>
                <w:lang w:val="en-US" w:eastAsia="zh-CN"/>
              </w:rPr>
              <w:t>105337035490</w:t>
            </w:r>
          </w:p>
          <w:p>
            <w:pPr>
              <w:spacing w:line="336" w:lineRule="auto"/>
              <w:ind w:firstLine="480" w:firstLineChars="20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rPr>
              <w:t>③ 招标代理服务费的交纳时间：领取中标通知书前交纳。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pStyle w:val="79"/>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中小企业声明函；</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b/>
          <w:color w:val="auto"/>
          <w:sz w:val="24"/>
          <w:highlight w:val="none"/>
          <w:lang w:val="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 xml:space="preserve"> 残疾人福利性单位声明函（如果有）。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2.2.4法定代表人及其授权代表身份证</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2.2.5</w:t>
      </w:r>
      <w:r>
        <w:rPr>
          <w:rFonts w:hint="eastAsia" w:ascii="仿宋" w:hAnsi="仿宋" w:eastAsia="仿宋" w:cs="仿宋"/>
          <w:color w:val="auto"/>
          <w:sz w:val="24"/>
          <w:highlight w:val="none"/>
        </w:rPr>
        <w:t>法定代表人身份证明书；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22" w:firstLineChars="200"/>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0"/>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8"/>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8"/>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30295"/>
      <w:bookmarkEnd w:id="20"/>
      <w:bookmarkStart w:id="21" w:name="_Hlt68072990"/>
      <w:bookmarkEnd w:id="21"/>
      <w:bookmarkStart w:id="22" w:name="_Hlt75236011"/>
      <w:bookmarkEnd w:id="22"/>
      <w:bookmarkStart w:id="23" w:name="_Hlt74714665"/>
      <w:bookmarkEnd w:id="23"/>
      <w:bookmarkStart w:id="24" w:name="_Hlt75236290"/>
      <w:bookmarkEnd w:id="24"/>
      <w:bookmarkStart w:id="25" w:name="_Hlt74707468"/>
      <w:bookmarkEnd w:id="25"/>
      <w:bookmarkStart w:id="26" w:name="_Hlt75236101"/>
      <w:bookmarkEnd w:id="26"/>
      <w:bookmarkStart w:id="27" w:name="_Hlt68073093"/>
      <w:bookmarkEnd w:id="27"/>
      <w:bookmarkStart w:id="28" w:name="_Hlt68403820"/>
      <w:bookmarkEnd w:id="28"/>
      <w:bookmarkStart w:id="29" w:name="_Hlt74729768"/>
      <w:bookmarkEnd w:id="29"/>
      <w:bookmarkStart w:id="30" w:name="_Hlt68057669"/>
      <w:bookmarkEnd w:id="30"/>
      <w:bookmarkStart w:id="31" w:name="_Hlt68072998"/>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pPr>
        <w:pStyle w:val="18"/>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587" w:bottom="1474" w:left="1587" w:header="851" w:footer="992" w:gutter="0"/>
          <w:pgNumType w:fmt="decimal"/>
          <w:cols w:space="720" w:num="1"/>
          <w:docGrid w:linePitch="312" w:charSpace="0"/>
        </w:sectPr>
      </w:pPr>
    </w:p>
    <w:bookmarkEnd w:id="17"/>
    <w:bookmarkEnd w:id="18"/>
    <w:p>
      <w:pPr>
        <w:pageBreakBefore/>
        <w:snapToGrid w:val="0"/>
        <w:spacing w:line="800" w:lineRule="exact"/>
        <w:jc w:val="center"/>
        <w:rPr>
          <w:rFonts w:ascii="仿宋_GB2312" w:hAnsi="宋体" w:eastAsia="仿宋_GB2312"/>
          <w:b/>
          <w:color w:val="auto"/>
          <w:sz w:val="36"/>
          <w:szCs w:val="36"/>
          <w:highlight w:val="none"/>
        </w:rPr>
      </w:pPr>
      <w:bookmarkStart w:id="35" w:name="第五部分"/>
      <w:bookmarkStart w:id="36" w:name="_Toc86217003"/>
      <w:r>
        <w:rPr>
          <w:rFonts w:hint="eastAsia" w:ascii="仿宋_GB2312" w:hAnsi="宋体" w:eastAsia="仿宋_GB2312"/>
          <w:b/>
          <w:color w:val="auto"/>
          <w:sz w:val="36"/>
          <w:szCs w:val="36"/>
          <w:highlight w:val="none"/>
        </w:rPr>
        <w:t>第三部分 招标项目范围及要求</w:t>
      </w:r>
    </w:p>
    <w:p>
      <w:pPr>
        <w:pStyle w:val="782"/>
        <w:adjustRightInd w:val="0"/>
        <w:snapToGrid w:val="0"/>
        <w:spacing w:line="360" w:lineRule="auto"/>
        <w:ind w:firstLine="420" w:firstLineChars="200"/>
        <w:rPr>
          <w:rFonts w:hint="eastAsia"/>
          <w:b w:val="0"/>
          <w:i w:val="0"/>
          <w:caps w:val="0"/>
          <w:color w:val="auto"/>
          <w:spacing w:val="0"/>
          <w:sz w:val="21"/>
          <w:szCs w:val="21"/>
          <w:highlight w:val="none"/>
          <w:shd w:val="clear" w:color="auto" w:fill="FFFFFF"/>
          <w:lang w:eastAsia="zh-CN"/>
        </w:rPr>
      </w:pPr>
    </w:p>
    <w:p>
      <w:pPr>
        <w:pStyle w:val="782"/>
        <w:keepNext w:val="0"/>
        <w:keepLines w:val="0"/>
        <w:pageBreakBefore w:val="0"/>
        <w:kinsoku/>
        <w:wordWrap/>
        <w:overflowPunct/>
        <w:topLinePunct w:val="0"/>
        <w:autoSpaceDE/>
        <w:autoSpaceDN/>
        <w:bidi w:val="0"/>
        <w:adjustRightInd w:val="0"/>
        <w:snapToGrid w:val="0"/>
        <w:spacing w:line="580" w:lineRule="exact"/>
        <w:ind w:firstLine="482" w:firstLineChars="200"/>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一、项目情况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0"/>
        <w:jc w:val="left"/>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为2024年度成本调查监审委托审核服务工作，具体项目根据定期成本监审和政府定调价成本调查监审工作需要适时开展。要求第三方中介机构协助开展成本调查监审，完成基础数据审核，并在规定时间内出具成本审核报告，提交工作底稿等相关资料。</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0"/>
        <w:jc w:val="left"/>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本项目选定1家第三方中介机构。每个项目成本审核费用按中标价格结算，如项目累计支出金额超过10万元，本项目自动终止。</w:t>
      </w:r>
    </w:p>
    <w:p>
      <w:pPr>
        <w:pStyle w:val="782"/>
        <w:keepNext w:val="0"/>
        <w:keepLines w:val="0"/>
        <w:pageBreakBefore w:val="0"/>
        <w:kinsoku/>
        <w:wordWrap/>
        <w:overflowPunct/>
        <w:topLinePunct w:val="0"/>
        <w:autoSpaceDE/>
        <w:autoSpaceDN/>
        <w:bidi w:val="0"/>
        <w:adjustRightInd w:val="0"/>
        <w:snapToGrid w:val="0"/>
        <w:spacing w:line="580" w:lineRule="exact"/>
        <w:ind w:firstLine="482" w:firstLineChars="200"/>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二、服务要求</w:t>
      </w:r>
    </w:p>
    <w:p>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64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1.熟悉成本调查监审相关的法律、法规及办法规定。</w:t>
      </w:r>
    </w:p>
    <w:p>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64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2.承接过成本调查监审类或相关专项审核业务，并能提供优质审核服务和财务咨询服务。</w:t>
      </w:r>
    </w:p>
    <w:p>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64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委派专业人员按照采购方工作方案，参与成本调查监审，实施必要的成本核实程序，对成本调查监审项目的基本情况、成本情况、与成本相关的重要事项（产量、职工人数、财政专项资金等）等进行调查核实，对固定资产折旧额按成本调查监审要求年限重新测算等，严格按照成本调查监审相关办法规定对成本构成的合法性、相关性和合理性进行审核，科学核定成本情况。</w:t>
      </w:r>
    </w:p>
    <w:p>
      <w:pPr>
        <w:keepNext w:val="0"/>
        <w:keepLines w:val="0"/>
        <w:pageBreakBefore w:val="0"/>
        <w:widowControl w:val="0"/>
        <w:numPr>
          <w:ilvl w:val="0"/>
          <w:numId w:val="0"/>
        </w:numPr>
        <w:kinsoku/>
        <w:wordWrap/>
        <w:overflowPunct/>
        <w:topLinePunct w:val="0"/>
        <w:autoSpaceDE/>
        <w:autoSpaceDN/>
        <w:bidi w:val="0"/>
        <w:adjustRightInd/>
        <w:snapToGrid w:val="0"/>
        <w:spacing w:line="580" w:lineRule="exact"/>
        <w:ind w:right="0" w:rightChars="0" w:firstLine="480" w:firstLineChars="20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4.主动与调查监审对象沟通，收集成本调查监审所需资料，及时反馈成本调查监审过程中发现的问题，并按采购方要求进行调整审核方案。</w:t>
      </w:r>
    </w:p>
    <w:p>
      <w:pPr>
        <w:keepNext w:val="0"/>
        <w:keepLines w:val="0"/>
        <w:pageBreakBefore w:val="0"/>
        <w:numPr>
          <w:ilvl w:val="0"/>
          <w:numId w:val="0"/>
        </w:numPr>
        <w:kinsoku/>
        <w:wordWrap/>
        <w:overflowPunct/>
        <w:topLinePunct w:val="0"/>
        <w:autoSpaceDE/>
        <w:autoSpaceDN/>
        <w:bidi w:val="0"/>
        <w:adjustRightInd w:val="0"/>
        <w:snapToGrid w:val="0"/>
        <w:spacing w:before="156" w:beforeLines="50" w:line="58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5.在规定时间内按采购方规定要求的文本格式提交成本审核报告和成本控制意见，并移交相关工作资料和底稿。其中：成本审核报告包括被调查监审单位</w:t>
      </w:r>
      <w:r>
        <w:rPr>
          <w:rFonts w:hint="eastAsia" w:ascii="仿宋" w:hAnsi="仿宋" w:eastAsia="仿宋" w:cs="仿宋"/>
          <w:color w:val="auto"/>
          <w:sz w:val="24"/>
          <w:szCs w:val="24"/>
          <w:highlight w:val="none"/>
        </w:rPr>
        <w:t>基本情况</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工作程序</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成本构成及分摊方法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成本审核情况</w:t>
      </w:r>
      <w:r>
        <w:rPr>
          <w:rFonts w:hint="eastAsia" w:ascii="仿宋" w:hAnsi="仿宋" w:eastAsia="仿宋" w:cs="仿宋"/>
          <w:color w:val="auto"/>
          <w:sz w:val="24"/>
          <w:szCs w:val="24"/>
          <w:highlight w:val="none"/>
          <w:lang w:eastAsia="zh-CN"/>
        </w:rPr>
        <w:t>（核增核减情况及理由）、成本</w:t>
      </w:r>
      <w:r>
        <w:rPr>
          <w:rFonts w:hint="eastAsia" w:ascii="仿宋" w:hAnsi="仿宋" w:eastAsia="仿宋" w:cs="仿宋"/>
          <w:color w:val="auto"/>
          <w:sz w:val="24"/>
          <w:szCs w:val="24"/>
          <w:highlight w:val="none"/>
        </w:rPr>
        <w:t>核实结论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其他需要</w:t>
      </w:r>
      <w:r>
        <w:rPr>
          <w:rFonts w:hint="eastAsia" w:ascii="仿宋" w:hAnsi="仿宋" w:eastAsia="仿宋" w:cs="仿宋"/>
          <w:color w:val="auto"/>
          <w:sz w:val="24"/>
          <w:szCs w:val="24"/>
          <w:highlight w:val="none"/>
          <w:lang w:eastAsia="zh-CN"/>
        </w:rPr>
        <w:t>说明</w:t>
      </w:r>
      <w:r>
        <w:rPr>
          <w:rFonts w:hint="eastAsia" w:ascii="仿宋" w:hAnsi="仿宋" w:eastAsia="仿宋" w:cs="仿宋"/>
          <w:color w:val="auto"/>
          <w:sz w:val="24"/>
          <w:szCs w:val="24"/>
          <w:highlight w:val="none"/>
        </w:rPr>
        <w:t>的事项</w:t>
      </w:r>
      <w:r>
        <w:rPr>
          <w:rFonts w:hint="eastAsia" w:ascii="仿宋" w:hAnsi="仿宋" w:eastAsia="仿宋" w:cs="仿宋"/>
          <w:color w:val="auto"/>
          <w:sz w:val="24"/>
          <w:szCs w:val="24"/>
          <w:highlight w:val="none"/>
          <w:lang w:eastAsia="zh-CN"/>
        </w:rPr>
        <w:t>等内容；工作底稿需要全面详实反映重要成本数据的审核过程及核定情况，特别是涉及数据核增核减的成本项目。</w:t>
      </w:r>
    </w:p>
    <w:p>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64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6.能恪守执业准则和道德准则，保守在服务过程中知悉的国家秘密或商业秘密，对提供审核服务过程中获取或形成的资料进行保密。</w:t>
      </w:r>
    </w:p>
    <w:p>
      <w:pPr>
        <w:pStyle w:val="782"/>
        <w:keepNext w:val="0"/>
        <w:keepLines w:val="0"/>
        <w:pageBreakBefore w:val="0"/>
        <w:kinsoku/>
        <w:wordWrap/>
        <w:overflowPunct/>
        <w:topLinePunct w:val="0"/>
        <w:autoSpaceDE/>
        <w:autoSpaceDN/>
        <w:bidi w:val="0"/>
        <w:adjustRightInd w:val="0"/>
        <w:snapToGrid w:val="0"/>
        <w:spacing w:line="58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7.对提交的审核报告及相关资料的客观性、准确性、真实性负责。</w:t>
      </w:r>
    </w:p>
    <w:p>
      <w:pPr>
        <w:pStyle w:val="782"/>
        <w:keepNext w:val="0"/>
        <w:keepLines w:val="0"/>
        <w:pageBreakBefore w:val="0"/>
        <w:kinsoku/>
        <w:wordWrap/>
        <w:overflowPunct/>
        <w:topLinePunct w:val="0"/>
        <w:autoSpaceDE/>
        <w:autoSpaceDN/>
        <w:bidi w:val="0"/>
        <w:adjustRightInd w:val="0"/>
        <w:snapToGrid w:val="0"/>
        <w:spacing w:line="580" w:lineRule="exact"/>
        <w:ind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kern w:val="2"/>
          <w:sz w:val="24"/>
          <w:szCs w:val="24"/>
          <w:highlight w:val="none"/>
          <w:lang w:val="en-US" w:eastAsia="zh-CN" w:bidi="ar-SA"/>
        </w:rPr>
        <w:t>三、人员要求</w:t>
      </w:r>
    </w:p>
    <w:p>
      <w:pPr>
        <w:keepNext w:val="0"/>
        <w:keepLines w:val="0"/>
        <w:pageBreakBefore w:val="0"/>
        <w:widowControl w:val="0"/>
        <w:numPr>
          <w:ilvl w:val="0"/>
          <w:numId w:val="0"/>
        </w:numPr>
        <w:kinsoku/>
        <w:wordWrap/>
        <w:overflowPunct/>
        <w:topLinePunct w:val="0"/>
        <w:autoSpaceDE/>
        <w:autoSpaceDN/>
        <w:bidi w:val="0"/>
        <w:adjustRightInd/>
        <w:snapToGrid w:val="0"/>
        <w:spacing w:line="580" w:lineRule="exact"/>
        <w:ind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1.项目组人员持有注册会计师证书人数</w:t>
      </w:r>
      <w:r>
        <w:rPr>
          <w:rFonts w:hint="eastAsia" w:ascii="仿宋" w:hAnsi="仿宋" w:eastAsia="仿宋" w:cs="仿宋"/>
          <w:b w:val="0"/>
          <w:bCs w:val="0"/>
          <w:color w:val="auto"/>
          <w:sz w:val="24"/>
          <w:szCs w:val="24"/>
          <w:highlight w:val="none"/>
          <w:lang w:val="en-US" w:eastAsia="zh-CN"/>
        </w:rPr>
        <w:t>不少于1人。</w:t>
      </w:r>
    </w:p>
    <w:p>
      <w:pPr>
        <w:keepNext w:val="0"/>
        <w:keepLines w:val="0"/>
        <w:pageBreakBefore w:val="0"/>
        <w:widowControl w:val="0"/>
        <w:numPr>
          <w:ilvl w:val="0"/>
          <w:numId w:val="0"/>
        </w:numPr>
        <w:kinsoku/>
        <w:wordWrap/>
        <w:overflowPunct/>
        <w:topLinePunct w:val="0"/>
        <w:autoSpaceDE/>
        <w:autoSpaceDN/>
        <w:bidi w:val="0"/>
        <w:adjustRightInd/>
        <w:snapToGrid w:val="0"/>
        <w:spacing w:line="580" w:lineRule="exact"/>
        <w:ind w:right="0" w:rightChars="0" w:firstLine="480" w:firstLineChars="20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2.项目负责人需提供注册会计师证书，项目组其他人员须提供专业技术职称证书，人员须为本单位在职人员。</w:t>
      </w:r>
    </w:p>
    <w:p>
      <w:pPr>
        <w:pStyle w:val="782"/>
        <w:keepNext w:val="0"/>
        <w:keepLines w:val="0"/>
        <w:pageBreakBefore w:val="0"/>
        <w:kinsoku/>
        <w:wordWrap/>
        <w:overflowPunct/>
        <w:topLinePunct w:val="0"/>
        <w:autoSpaceDE/>
        <w:autoSpaceDN/>
        <w:bidi w:val="0"/>
        <w:adjustRightInd w:val="0"/>
        <w:snapToGrid w:val="0"/>
        <w:spacing w:line="58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kern w:val="2"/>
          <w:sz w:val="24"/>
          <w:szCs w:val="24"/>
          <w:highlight w:val="none"/>
          <w:lang w:val="en-US" w:eastAsia="zh-CN" w:bidi="ar-SA"/>
        </w:rPr>
        <w:t>项目负责人要</w:t>
      </w:r>
      <w:r>
        <w:rPr>
          <w:rFonts w:hint="eastAsia" w:ascii="仿宋" w:hAnsi="仿宋" w:eastAsia="仿宋" w:cs="仿宋"/>
          <w:color w:val="auto"/>
          <w:sz w:val="24"/>
          <w:szCs w:val="24"/>
          <w:highlight w:val="none"/>
          <w:lang w:val="en-US" w:eastAsia="zh-CN"/>
        </w:rPr>
        <w:t>熟悉相关的成本调查监审办法规定</w:t>
      </w:r>
      <w:r>
        <w:rPr>
          <w:rFonts w:hint="eastAsia" w:ascii="仿宋" w:hAnsi="仿宋" w:eastAsia="仿宋" w:cs="仿宋"/>
          <w:color w:val="auto"/>
          <w:kern w:val="2"/>
          <w:sz w:val="24"/>
          <w:szCs w:val="24"/>
          <w:highlight w:val="none"/>
          <w:lang w:val="en-US" w:eastAsia="zh-CN" w:bidi="ar-SA"/>
        </w:rPr>
        <w:t>，在实地成本调查监审时需在场主持工作，并做好与被监审单位的沟通以及数据资料的审核把关。</w:t>
      </w:r>
    </w:p>
    <w:p>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64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4.中标人应按投标文件所列的项目组人员名单提供</w:t>
      </w:r>
      <w:r>
        <w:rPr>
          <w:rFonts w:hint="eastAsia" w:ascii="仿宋" w:hAnsi="仿宋" w:eastAsia="仿宋" w:cs="仿宋"/>
          <w:color w:val="auto"/>
          <w:kern w:val="2"/>
          <w:sz w:val="24"/>
          <w:szCs w:val="24"/>
          <w:highlight w:val="none"/>
          <w:lang w:val="en-US" w:eastAsia="zh-CN" w:bidi="ar-SA"/>
        </w:rPr>
        <w:t>成本调查监审审核</w:t>
      </w:r>
      <w:r>
        <w:rPr>
          <w:rFonts w:hint="eastAsia" w:ascii="仿宋" w:hAnsi="仿宋" w:eastAsia="仿宋" w:cs="仿宋"/>
          <w:color w:val="auto"/>
          <w:sz w:val="24"/>
          <w:szCs w:val="24"/>
          <w:highlight w:val="none"/>
          <w:lang w:val="en-US" w:eastAsia="zh-CN"/>
        </w:rPr>
        <w:t>服务，项目组人员必须具备相应的资格。合同期内，未经采购人同意，不得擅自更换项目组人员，采购人有权根据成本监审调查需要和项目组人员业务水平要求中标人对人员进行调整。</w:t>
      </w:r>
    </w:p>
    <w:p>
      <w:pPr>
        <w:keepNext w:val="0"/>
        <w:keepLines w:val="0"/>
        <w:pageBreakBefore w:val="0"/>
        <w:widowControl/>
        <w:kinsoku/>
        <w:wordWrap/>
        <w:overflowPunct/>
        <w:topLinePunct w:val="0"/>
        <w:autoSpaceDE/>
        <w:autoSpaceDN/>
        <w:bidi w:val="0"/>
        <w:snapToGrid w:val="0"/>
        <w:spacing w:line="580" w:lineRule="exact"/>
        <w:ind w:firstLine="482" w:firstLineChars="200"/>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 xml:space="preserve">四、其他要求 </w:t>
      </w:r>
    </w:p>
    <w:p>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64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1.中标人应与采购人签订保密承诺函，并在实际服务过程中，对采购人、被调查监审单位提供的所有资料信息承担保密责任，中标人对其拟派本项目人员的泄密行为承担连带法律责任。</w:t>
      </w:r>
    </w:p>
    <w:p>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64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2.中标人未经采购人书面许可不得以任何形式将任务转由第三方承担和实施，一经发现，采购人可单方面解除合同。</w:t>
      </w:r>
    </w:p>
    <w:p>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64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3.由于采购人变更计划，或因被调查监审单位资料提供不及时及其他不可预见因素，中标人可合理延期出具成本审核报告。</w:t>
      </w:r>
    </w:p>
    <w:p>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64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4.若中标人未按时提交成本审核报告，采购人因此产生直接或间接的损失由中标人赔偿。</w:t>
      </w:r>
    </w:p>
    <w:p>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64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5.采购人有权根据中标人的成本调查监审服务情况选择是否继续合作。</w:t>
      </w:r>
    </w:p>
    <w:p>
      <w:pPr>
        <w:pStyle w:val="782"/>
        <w:keepNext w:val="0"/>
        <w:keepLines w:val="0"/>
        <w:pageBreakBefore w:val="0"/>
        <w:kinsoku/>
        <w:wordWrap/>
        <w:overflowPunct/>
        <w:topLinePunct w:val="0"/>
        <w:autoSpaceDE/>
        <w:autoSpaceDN/>
        <w:bidi w:val="0"/>
        <w:adjustRightInd w:val="0"/>
        <w:snapToGrid w:val="0"/>
        <w:spacing w:line="580" w:lineRule="exact"/>
        <w:ind w:firstLine="482" w:firstLineChars="200"/>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五、服务期限</w:t>
      </w:r>
    </w:p>
    <w:p>
      <w:pPr>
        <w:keepNext w:val="0"/>
        <w:keepLines w:val="0"/>
        <w:pageBreakBefore w:val="0"/>
        <w:widowControl/>
        <w:kinsoku/>
        <w:wordWrap/>
        <w:overflowPunct/>
        <w:topLinePunct w:val="0"/>
        <w:autoSpaceDE/>
        <w:autoSpaceDN/>
        <w:bidi w:val="0"/>
        <w:snapToGrid w:val="0"/>
        <w:spacing w:line="58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服务期限为2024年度（合同签订之日起至2024年12月31日止），具体项目根据甲方的具体时间要求开展。</w:t>
      </w:r>
    </w:p>
    <w:p>
      <w:pPr>
        <w:pStyle w:val="2"/>
        <w:jc w:val="center"/>
        <w:rPr>
          <w:rFonts w:hint="eastAsia" w:ascii="仿宋" w:hAnsi="Times New Roman" w:eastAsia="仿宋" w:cs="Times New Roman"/>
          <w:b/>
          <w:bCs/>
          <w:snapToGrid/>
          <w:color w:val="auto"/>
          <w:kern w:val="0"/>
          <w:sz w:val="24"/>
          <w:szCs w:val="24"/>
          <w:highlight w:val="none"/>
          <w:lang w:val="en-US" w:eastAsia="zh-CN" w:bidi="ar-SA"/>
        </w:rPr>
      </w:pPr>
    </w:p>
    <w:p>
      <w:pPr>
        <w:pStyle w:val="2"/>
        <w:jc w:val="center"/>
        <w:rPr>
          <w:rFonts w:hint="eastAsia" w:ascii="仿宋" w:hAnsi="Times New Roman" w:eastAsia="仿宋" w:cs="Times New Roman"/>
          <w:b/>
          <w:bCs/>
          <w:snapToGrid/>
          <w:color w:val="auto"/>
          <w:kern w:val="0"/>
          <w:sz w:val="32"/>
          <w:szCs w:val="32"/>
          <w:highlight w:val="none"/>
          <w:lang w:val="en-US" w:eastAsia="zh-CN" w:bidi="ar-SA"/>
        </w:rPr>
      </w:pPr>
      <w:r>
        <w:rPr>
          <w:rFonts w:hint="eastAsia" w:ascii="仿宋" w:hAnsi="Times New Roman" w:eastAsia="仿宋" w:cs="Times New Roman"/>
          <w:b/>
          <w:bCs/>
          <w:snapToGrid/>
          <w:color w:val="auto"/>
          <w:kern w:val="0"/>
          <w:sz w:val="32"/>
          <w:szCs w:val="32"/>
          <w:highlight w:val="none"/>
          <w:lang w:val="en-US" w:eastAsia="zh-CN" w:bidi="ar-SA"/>
        </w:rPr>
        <w:t>单价上限价明细表</w:t>
      </w:r>
    </w:p>
    <w:tbl>
      <w:tblPr>
        <w:tblStyle w:val="62"/>
        <w:tblW w:w="84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09"/>
        <w:gridCol w:w="3135"/>
        <w:gridCol w:w="17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jc w:val="center"/>
        </w:trPr>
        <w:tc>
          <w:tcPr>
            <w:tcW w:w="3609" w:type="dxa"/>
            <w:tcBorders>
              <w:top w:val="single" w:color="auto" w:sz="4" w:space="0"/>
              <w:left w:val="single" w:color="auto" w:sz="4" w:space="0"/>
              <w:bottom w:val="single" w:color="auto" w:sz="4" w:space="0"/>
              <w:right w:val="single" w:color="auto" w:sz="4" w:space="0"/>
            </w:tcBorders>
            <w:noWrap/>
            <w:vAlign w:val="bottom"/>
          </w:tcPr>
          <w:p>
            <w:pPr>
              <w:autoSpaceDE w:val="0"/>
              <w:autoSpaceDN w:val="0"/>
              <w:spacing w:line="360" w:lineRule="auto"/>
              <w:ind w:firstLine="480" w:firstLineChars="200"/>
              <w:jc w:val="center"/>
              <w:rPr>
                <w:rFonts w:hint="eastAsia" w:ascii="仿宋" w:hAnsi="仿宋" w:eastAsia="仿宋" w:cs="仿宋"/>
                <w:b w:val="0"/>
                <w:bCs/>
                <w:color w:val="auto"/>
                <w:kern w:val="0"/>
                <w:sz w:val="24"/>
                <w:highlight w:val="none"/>
                <w:lang w:val="zh-CN"/>
              </w:rPr>
            </w:pPr>
            <w:r>
              <w:rPr>
                <w:rFonts w:hint="eastAsia" w:ascii="仿宋" w:hAnsi="仿宋" w:eastAsia="仿宋" w:cs="仿宋"/>
                <w:b w:val="0"/>
                <w:bCs/>
                <w:color w:val="auto"/>
                <w:kern w:val="0"/>
                <w:sz w:val="24"/>
                <w:highlight w:val="none"/>
                <w:lang w:val="en-US" w:eastAsia="zh-CN"/>
              </w:rPr>
              <w:t>服务内容</w:t>
            </w:r>
          </w:p>
        </w:tc>
        <w:tc>
          <w:tcPr>
            <w:tcW w:w="3135" w:type="dxa"/>
            <w:tcBorders>
              <w:top w:val="single" w:color="auto" w:sz="4" w:space="0"/>
              <w:left w:val="nil"/>
              <w:bottom w:val="single" w:color="auto" w:sz="4" w:space="0"/>
              <w:right w:val="single" w:color="auto" w:sz="4" w:space="0"/>
            </w:tcBorders>
            <w:noWrap/>
            <w:vAlign w:val="bottom"/>
          </w:tcPr>
          <w:p>
            <w:pPr>
              <w:autoSpaceDE w:val="0"/>
              <w:autoSpaceDN w:val="0"/>
              <w:spacing w:line="360" w:lineRule="auto"/>
              <w:ind w:firstLine="480" w:firstLineChars="200"/>
              <w:jc w:val="center"/>
              <w:rPr>
                <w:rFonts w:hint="eastAsia" w:ascii="仿宋" w:hAnsi="仿宋" w:eastAsia="仿宋" w:cs="仿宋"/>
                <w:b w:val="0"/>
                <w:bCs/>
                <w:color w:val="auto"/>
                <w:kern w:val="0"/>
                <w:sz w:val="24"/>
                <w:highlight w:val="none"/>
                <w:lang w:val="en-US" w:eastAsia="zh-CN"/>
              </w:rPr>
            </w:pPr>
            <w:r>
              <w:rPr>
                <w:rFonts w:hint="eastAsia" w:ascii="仿宋" w:hAnsi="仿宋" w:eastAsia="仿宋" w:cs="仿宋"/>
                <w:b w:val="0"/>
                <w:bCs/>
                <w:color w:val="auto"/>
                <w:kern w:val="0"/>
                <w:sz w:val="24"/>
                <w:highlight w:val="none"/>
                <w:lang w:val="en-US" w:eastAsia="zh-CN"/>
              </w:rPr>
              <w:t>成本调查监审期</w:t>
            </w:r>
          </w:p>
        </w:tc>
        <w:tc>
          <w:tcPr>
            <w:tcW w:w="1714" w:type="dxa"/>
            <w:tcBorders>
              <w:top w:val="single" w:color="auto" w:sz="4" w:space="0"/>
              <w:left w:val="nil"/>
              <w:bottom w:val="single" w:color="auto" w:sz="4" w:space="0"/>
              <w:right w:val="single" w:color="auto" w:sz="4" w:space="0"/>
            </w:tcBorders>
            <w:noWrap/>
            <w:vAlign w:val="bottom"/>
          </w:tcPr>
          <w:p>
            <w:pPr>
              <w:autoSpaceDE w:val="0"/>
              <w:autoSpaceDN w:val="0"/>
              <w:spacing w:line="360" w:lineRule="auto"/>
              <w:jc w:val="center"/>
              <w:rPr>
                <w:rFonts w:hint="eastAsia" w:ascii="仿宋" w:hAnsi="仿宋" w:eastAsia="仿宋" w:cs="仿宋"/>
                <w:b w:val="0"/>
                <w:bCs/>
                <w:color w:val="auto"/>
                <w:kern w:val="0"/>
                <w:sz w:val="24"/>
                <w:highlight w:val="none"/>
                <w:lang w:val="zh-CN"/>
              </w:rPr>
            </w:pPr>
            <w:r>
              <w:rPr>
                <w:rFonts w:hint="eastAsia" w:ascii="仿宋" w:hAnsi="仿宋" w:eastAsia="仿宋" w:cs="仿宋"/>
                <w:b w:val="0"/>
                <w:bCs/>
                <w:color w:val="auto"/>
                <w:kern w:val="0"/>
                <w:sz w:val="24"/>
                <w:highlight w:val="none"/>
                <w:lang w:val="en-US" w:eastAsia="zh-CN"/>
              </w:rPr>
              <w:t>上限价（元）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3609" w:type="dxa"/>
            <w:tcBorders>
              <w:top w:val="single" w:color="auto" w:sz="4" w:space="0"/>
              <w:left w:val="single" w:color="auto" w:sz="4" w:space="0"/>
              <w:bottom w:val="single" w:color="auto" w:sz="4" w:space="0"/>
              <w:right w:val="single" w:color="auto" w:sz="4" w:space="0"/>
            </w:tcBorders>
            <w:noWrap/>
            <w:vAlign w:val="bottom"/>
          </w:tcPr>
          <w:p>
            <w:pPr>
              <w:autoSpaceDE w:val="0"/>
              <w:autoSpaceDN w:val="0"/>
              <w:spacing w:line="360" w:lineRule="auto"/>
              <w:ind w:firstLine="480" w:firstLineChars="200"/>
              <w:jc w:val="center"/>
              <w:rPr>
                <w:rFonts w:hint="eastAsia" w:ascii="仿宋" w:hAnsi="仿宋" w:eastAsia="仿宋" w:cs="仿宋"/>
                <w:b w:val="0"/>
                <w:bCs/>
                <w:color w:val="auto"/>
                <w:kern w:val="0"/>
                <w:sz w:val="24"/>
                <w:highlight w:val="none"/>
                <w:lang w:val="en-US" w:eastAsia="zh-CN"/>
              </w:rPr>
            </w:pPr>
            <w:r>
              <w:rPr>
                <w:rFonts w:hint="eastAsia" w:ascii="仿宋" w:hAnsi="仿宋" w:eastAsia="仿宋" w:cs="仿宋"/>
                <w:b w:val="0"/>
                <w:bCs/>
                <w:color w:val="auto"/>
                <w:kern w:val="0"/>
                <w:sz w:val="24"/>
                <w:highlight w:val="none"/>
                <w:lang w:val="en-US" w:eastAsia="zh-CN"/>
              </w:rPr>
              <w:t>成本预测调查项目</w:t>
            </w:r>
          </w:p>
        </w:tc>
        <w:tc>
          <w:tcPr>
            <w:tcW w:w="3135" w:type="dxa"/>
            <w:tcBorders>
              <w:top w:val="nil"/>
              <w:left w:val="nil"/>
              <w:bottom w:val="single" w:color="auto" w:sz="4" w:space="0"/>
              <w:right w:val="single" w:color="auto" w:sz="4" w:space="0"/>
            </w:tcBorders>
            <w:noWrap/>
            <w:vAlign w:val="bottom"/>
          </w:tcPr>
          <w:p>
            <w:pPr>
              <w:autoSpaceDE w:val="0"/>
              <w:autoSpaceDN w:val="0"/>
              <w:spacing w:line="360" w:lineRule="auto"/>
              <w:ind w:firstLine="480" w:firstLineChars="200"/>
              <w:jc w:val="center"/>
              <w:rPr>
                <w:rFonts w:hint="eastAsia" w:ascii="仿宋" w:hAnsi="仿宋" w:eastAsia="仿宋" w:cs="仿宋"/>
                <w:b w:val="0"/>
                <w:bCs/>
                <w:color w:val="auto"/>
                <w:kern w:val="0"/>
                <w:sz w:val="24"/>
                <w:highlight w:val="none"/>
                <w:lang w:val="en-US" w:eastAsia="zh-CN"/>
              </w:rPr>
            </w:pPr>
            <w:r>
              <w:rPr>
                <w:rFonts w:hint="eastAsia" w:ascii="仿宋" w:hAnsi="仿宋" w:eastAsia="仿宋" w:cs="仿宋"/>
                <w:b w:val="0"/>
                <w:bCs/>
                <w:color w:val="auto"/>
                <w:kern w:val="0"/>
                <w:sz w:val="24"/>
                <w:highlight w:val="none"/>
                <w:lang w:val="en-US" w:eastAsia="zh-CN"/>
              </w:rPr>
              <w:t>/</w:t>
            </w:r>
          </w:p>
        </w:tc>
        <w:tc>
          <w:tcPr>
            <w:tcW w:w="1714" w:type="dxa"/>
            <w:tcBorders>
              <w:top w:val="nil"/>
              <w:left w:val="nil"/>
              <w:bottom w:val="single" w:color="auto" w:sz="4" w:space="0"/>
              <w:right w:val="single" w:color="auto" w:sz="4" w:space="0"/>
            </w:tcBorders>
            <w:noWrap/>
            <w:vAlign w:val="bottom"/>
          </w:tcPr>
          <w:p>
            <w:pPr>
              <w:autoSpaceDE w:val="0"/>
              <w:autoSpaceDN w:val="0"/>
              <w:spacing w:line="360" w:lineRule="auto"/>
              <w:ind w:firstLine="480" w:firstLineChars="200"/>
              <w:jc w:val="center"/>
              <w:rPr>
                <w:rFonts w:hint="default" w:ascii="仿宋" w:hAnsi="仿宋" w:eastAsia="仿宋" w:cs="仿宋"/>
                <w:b w:val="0"/>
                <w:bCs/>
                <w:color w:val="auto"/>
                <w:kern w:val="0"/>
                <w:sz w:val="24"/>
                <w:highlight w:val="none"/>
                <w:lang w:val="en-US" w:eastAsia="zh-CN"/>
              </w:rPr>
            </w:pPr>
            <w:r>
              <w:rPr>
                <w:rFonts w:hint="eastAsia" w:ascii="仿宋" w:hAnsi="仿宋" w:eastAsia="仿宋" w:cs="仿宋"/>
                <w:b w:val="0"/>
                <w:bCs/>
                <w:color w:val="auto"/>
                <w:kern w:val="0"/>
                <w:sz w:val="24"/>
                <w:highlight w:val="none"/>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3609" w:type="dxa"/>
            <w:tcBorders>
              <w:top w:val="single" w:color="auto" w:sz="4" w:space="0"/>
              <w:left w:val="single" w:color="auto" w:sz="4" w:space="0"/>
              <w:bottom w:val="single" w:color="auto" w:sz="4" w:space="0"/>
              <w:right w:val="single" w:color="auto" w:sz="4" w:space="0"/>
            </w:tcBorders>
            <w:noWrap/>
            <w:vAlign w:val="bottom"/>
          </w:tcPr>
          <w:p>
            <w:pPr>
              <w:autoSpaceDE w:val="0"/>
              <w:autoSpaceDN w:val="0"/>
              <w:spacing w:line="360" w:lineRule="auto"/>
              <w:ind w:firstLine="480" w:firstLineChars="200"/>
              <w:jc w:val="center"/>
              <w:rPr>
                <w:rFonts w:hint="eastAsia" w:ascii="仿宋" w:hAnsi="仿宋" w:eastAsia="仿宋" w:cs="仿宋"/>
                <w:b w:val="0"/>
                <w:bCs/>
                <w:color w:val="auto"/>
                <w:kern w:val="0"/>
                <w:sz w:val="24"/>
                <w:highlight w:val="none"/>
                <w:lang w:val="en-US" w:eastAsia="zh-CN"/>
              </w:rPr>
            </w:pPr>
            <w:r>
              <w:rPr>
                <w:rFonts w:hint="eastAsia" w:ascii="仿宋" w:hAnsi="仿宋" w:eastAsia="仿宋" w:cs="仿宋"/>
                <w:b w:val="0"/>
                <w:bCs/>
                <w:color w:val="auto"/>
                <w:kern w:val="0"/>
                <w:sz w:val="24"/>
                <w:highlight w:val="none"/>
                <w:lang w:val="en-US" w:eastAsia="zh-CN"/>
              </w:rPr>
              <w:t>成本调查监审项目</w:t>
            </w:r>
          </w:p>
        </w:tc>
        <w:tc>
          <w:tcPr>
            <w:tcW w:w="3135" w:type="dxa"/>
            <w:tcBorders>
              <w:top w:val="nil"/>
              <w:left w:val="nil"/>
              <w:bottom w:val="single" w:color="auto" w:sz="4" w:space="0"/>
              <w:right w:val="single" w:color="auto" w:sz="4" w:space="0"/>
            </w:tcBorders>
            <w:noWrap/>
            <w:vAlign w:val="bottom"/>
          </w:tcPr>
          <w:p>
            <w:pPr>
              <w:autoSpaceDE w:val="0"/>
              <w:autoSpaceDN w:val="0"/>
              <w:spacing w:line="360" w:lineRule="auto"/>
              <w:ind w:firstLine="480" w:firstLineChars="200"/>
              <w:jc w:val="center"/>
              <w:rPr>
                <w:rFonts w:hint="eastAsia" w:ascii="仿宋" w:hAnsi="仿宋" w:eastAsia="仿宋" w:cs="仿宋"/>
                <w:b w:val="0"/>
                <w:bCs/>
                <w:color w:val="auto"/>
                <w:kern w:val="0"/>
                <w:sz w:val="24"/>
                <w:highlight w:val="none"/>
                <w:lang w:val="zh-CN"/>
              </w:rPr>
            </w:pPr>
            <w:r>
              <w:rPr>
                <w:rFonts w:hint="eastAsia" w:ascii="仿宋" w:hAnsi="仿宋" w:eastAsia="仿宋" w:cs="仿宋"/>
                <w:b w:val="0"/>
                <w:bCs/>
                <w:color w:val="auto"/>
                <w:kern w:val="0"/>
                <w:sz w:val="24"/>
                <w:highlight w:val="none"/>
                <w:lang w:val="en-US" w:eastAsia="zh-CN"/>
              </w:rPr>
              <w:t>一年</w:t>
            </w:r>
          </w:p>
        </w:tc>
        <w:tc>
          <w:tcPr>
            <w:tcW w:w="1714" w:type="dxa"/>
            <w:tcBorders>
              <w:top w:val="nil"/>
              <w:left w:val="nil"/>
              <w:bottom w:val="single" w:color="auto" w:sz="4" w:space="0"/>
              <w:right w:val="single" w:color="auto" w:sz="4" w:space="0"/>
            </w:tcBorders>
            <w:noWrap/>
            <w:vAlign w:val="bottom"/>
          </w:tcPr>
          <w:p>
            <w:pPr>
              <w:autoSpaceDE w:val="0"/>
              <w:autoSpaceDN w:val="0"/>
              <w:spacing w:line="360" w:lineRule="auto"/>
              <w:ind w:firstLine="480" w:firstLineChars="200"/>
              <w:jc w:val="center"/>
              <w:rPr>
                <w:rFonts w:hint="default" w:ascii="仿宋" w:hAnsi="仿宋" w:eastAsia="仿宋" w:cs="仿宋"/>
                <w:b w:val="0"/>
                <w:bCs/>
                <w:color w:val="auto"/>
                <w:kern w:val="0"/>
                <w:sz w:val="24"/>
                <w:highlight w:val="none"/>
                <w:lang w:val="en-US" w:eastAsia="zh-CN"/>
              </w:rPr>
            </w:pPr>
            <w:r>
              <w:rPr>
                <w:rFonts w:hint="eastAsia" w:ascii="仿宋" w:hAnsi="仿宋" w:eastAsia="仿宋" w:cs="仿宋"/>
                <w:b w:val="0"/>
                <w:bCs/>
                <w:color w:val="auto"/>
                <w:kern w:val="0"/>
                <w:sz w:val="24"/>
                <w:highlight w:val="none"/>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3609" w:type="dxa"/>
            <w:tcBorders>
              <w:top w:val="single" w:color="auto" w:sz="4" w:space="0"/>
              <w:left w:val="single" w:color="auto" w:sz="4" w:space="0"/>
              <w:bottom w:val="single" w:color="auto" w:sz="4" w:space="0"/>
              <w:right w:val="single" w:color="auto" w:sz="4" w:space="0"/>
            </w:tcBorders>
            <w:noWrap/>
            <w:vAlign w:val="bottom"/>
          </w:tcPr>
          <w:p>
            <w:pPr>
              <w:autoSpaceDE w:val="0"/>
              <w:autoSpaceDN w:val="0"/>
              <w:spacing w:line="360" w:lineRule="auto"/>
              <w:ind w:firstLine="480" w:firstLineChars="200"/>
              <w:jc w:val="center"/>
              <w:rPr>
                <w:rFonts w:hint="eastAsia" w:ascii="仿宋" w:hAnsi="仿宋" w:eastAsia="仿宋" w:cs="仿宋"/>
                <w:b w:val="0"/>
                <w:bCs/>
                <w:color w:val="auto"/>
                <w:kern w:val="0"/>
                <w:sz w:val="24"/>
                <w:highlight w:val="none"/>
                <w:lang w:val="zh-CN" w:eastAsia="zh-CN"/>
              </w:rPr>
            </w:pPr>
            <w:r>
              <w:rPr>
                <w:rFonts w:hint="eastAsia" w:ascii="仿宋" w:hAnsi="仿宋" w:eastAsia="仿宋" w:cs="仿宋"/>
                <w:b w:val="0"/>
                <w:bCs/>
                <w:color w:val="auto"/>
                <w:kern w:val="0"/>
                <w:sz w:val="24"/>
                <w:highlight w:val="none"/>
                <w:lang w:val="en-US" w:eastAsia="zh-CN"/>
              </w:rPr>
              <w:t>成本调查监审项目</w:t>
            </w:r>
          </w:p>
        </w:tc>
        <w:tc>
          <w:tcPr>
            <w:tcW w:w="3135" w:type="dxa"/>
            <w:tcBorders>
              <w:top w:val="nil"/>
              <w:left w:val="nil"/>
              <w:bottom w:val="single" w:color="auto" w:sz="4" w:space="0"/>
              <w:right w:val="single" w:color="auto" w:sz="4" w:space="0"/>
            </w:tcBorders>
            <w:noWrap/>
            <w:vAlign w:val="bottom"/>
          </w:tcPr>
          <w:p>
            <w:pPr>
              <w:autoSpaceDE w:val="0"/>
              <w:autoSpaceDN w:val="0"/>
              <w:spacing w:line="360" w:lineRule="auto"/>
              <w:ind w:firstLine="480" w:firstLineChars="200"/>
              <w:jc w:val="center"/>
              <w:rPr>
                <w:rFonts w:hint="eastAsia" w:ascii="仿宋" w:hAnsi="仿宋" w:eastAsia="仿宋" w:cs="仿宋"/>
                <w:b w:val="0"/>
                <w:bCs/>
                <w:color w:val="auto"/>
                <w:kern w:val="0"/>
                <w:sz w:val="24"/>
                <w:highlight w:val="none"/>
                <w:lang w:val="zh-CN"/>
              </w:rPr>
            </w:pPr>
            <w:r>
              <w:rPr>
                <w:rFonts w:hint="eastAsia" w:ascii="仿宋" w:hAnsi="仿宋" w:eastAsia="仿宋" w:cs="仿宋"/>
                <w:b w:val="0"/>
                <w:bCs/>
                <w:color w:val="auto"/>
                <w:kern w:val="0"/>
                <w:sz w:val="24"/>
                <w:highlight w:val="none"/>
                <w:lang w:val="zh-CN" w:eastAsia="zh-CN"/>
              </w:rPr>
              <w:t>二年</w:t>
            </w:r>
          </w:p>
        </w:tc>
        <w:tc>
          <w:tcPr>
            <w:tcW w:w="1714" w:type="dxa"/>
            <w:tcBorders>
              <w:top w:val="nil"/>
              <w:left w:val="nil"/>
              <w:bottom w:val="single" w:color="auto" w:sz="4" w:space="0"/>
              <w:right w:val="single" w:color="auto" w:sz="4" w:space="0"/>
            </w:tcBorders>
            <w:noWrap/>
            <w:vAlign w:val="bottom"/>
          </w:tcPr>
          <w:p>
            <w:pPr>
              <w:autoSpaceDE w:val="0"/>
              <w:autoSpaceDN w:val="0"/>
              <w:spacing w:line="360" w:lineRule="auto"/>
              <w:ind w:firstLine="480" w:firstLineChars="200"/>
              <w:jc w:val="center"/>
              <w:rPr>
                <w:rFonts w:hint="default" w:ascii="仿宋" w:hAnsi="仿宋" w:eastAsia="仿宋" w:cs="仿宋"/>
                <w:b w:val="0"/>
                <w:bCs/>
                <w:color w:val="auto"/>
                <w:kern w:val="0"/>
                <w:sz w:val="24"/>
                <w:highlight w:val="none"/>
                <w:lang w:val="en-US" w:eastAsia="zh-CN"/>
              </w:rPr>
            </w:pPr>
            <w:r>
              <w:rPr>
                <w:rFonts w:hint="eastAsia" w:ascii="仿宋" w:hAnsi="仿宋" w:eastAsia="仿宋" w:cs="仿宋"/>
                <w:b w:val="0"/>
                <w:bCs/>
                <w:color w:val="auto"/>
                <w:kern w:val="0"/>
                <w:sz w:val="24"/>
                <w:highlight w:val="none"/>
                <w:lang w:val="en-US" w:eastAsia="zh-CN"/>
              </w:rPr>
              <w:t>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3609" w:type="dxa"/>
            <w:tcBorders>
              <w:top w:val="single" w:color="auto" w:sz="4" w:space="0"/>
              <w:left w:val="single" w:color="auto" w:sz="4" w:space="0"/>
              <w:bottom w:val="single" w:color="auto" w:sz="4" w:space="0"/>
              <w:right w:val="single" w:color="auto" w:sz="4" w:space="0"/>
            </w:tcBorders>
            <w:noWrap/>
            <w:vAlign w:val="bottom"/>
          </w:tcPr>
          <w:p>
            <w:pPr>
              <w:autoSpaceDE w:val="0"/>
              <w:autoSpaceDN w:val="0"/>
              <w:spacing w:line="360" w:lineRule="auto"/>
              <w:ind w:firstLine="480" w:firstLineChars="200"/>
              <w:jc w:val="center"/>
              <w:rPr>
                <w:rFonts w:hint="eastAsia" w:ascii="仿宋" w:hAnsi="仿宋" w:eastAsia="仿宋" w:cs="仿宋"/>
                <w:b w:val="0"/>
                <w:bCs/>
                <w:color w:val="auto"/>
                <w:kern w:val="0"/>
                <w:sz w:val="24"/>
                <w:highlight w:val="none"/>
                <w:lang w:val="zh-CN" w:eastAsia="zh-CN"/>
              </w:rPr>
            </w:pPr>
            <w:r>
              <w:rPr>
                <w:rFonts w:hint="eastAsia" w:ascii="仿宋" w:hAnsi="仿宋" w:eastAsia="仿宋" w:cs="仿宋"/>
                <w:b w:val="0"/>
                <w:bCs/>
                <w:color w:val="auto"/>
                <w:kern w:val="0"/>
                <w:sz w:val="24"/>
                <w:highlight w:val="none"/>
                <w:lang w:val="en-US" w:eastAsia="zh-CN"/>
              </w:rPr>
              <w:t>成本调查监审项目</w:t>
            </w:r>
          </w:p>
        </w:tc>
        <w:tc>
          <w:tcPr>
            <w:tcW w:w="3135" w:type="dxa"/>
            <w:tcBorders>
              <w:top w:val="nil"/>
              <w:left w:val="nil"/>
              <w:bottom w:val="single" w:color="auto" w:sz="4" w:space="0"/>
              <w:right w:val="single" w:color="auto" w:sz="4" w:space="0"/>
            </w:tcBorders>
            <w:noWrap/>
            <w:vAlign w:val="bottom"/>
          </w:tcPr>
          <w:p>
            <w:pPr>
              <w:autoSpaceDE w:val="0"/>
              <w:autoSpaceDN w:val="0"/>
              <w:spacing w:line="360" w:lineRule="auto"/>
              <w:ind w:firstLine="480" w:firstLineChars="200"/>
              <w:jc w:val="center"/>
              <w:rPr>
                <w:rFonts w:hint="eastAsia" w:ascii="仿宋" w:hAnsi="仿宋" w:eastAsia="仿宋" w:cs="仿宋"/>
                <w:b w:val="0"/>
                <w:bCs/>
                <w:color w:val="auto"/>
                <w:kern w:val="0"/>
                <w:sz w:val="24"/>
                <w:highlight w:val="none"/>
                <w:lang w:val="zh-CN"/>
              </w:rPr>
            </w:pPr>
            <w:r>
              <w:rPr>
                <w:rFonts w:hint="eastAsia" w:ascii="仿宋" w:hAnsi="仿宋" w:eastAsia="仿宋" w:cs="仿宋"/>
                <w:b w:val="0"/>
                <w:bCs/>
                <w:color w:val="auto"/>
                <w:kern w:val="0"/>
                <w:sz w:val="24"/>
                <w:highlight w:val="none"/>
                <w:lang w:val="zh-CN" w:eastAsia="zh-CN"/>
              </w:rPr>
              <w:t>三年及以上</w:t>
            </w:r>
          </w:p>
        </w:tc>
        <w:tc>
          <w:tcPr>
            <w:tcW w:w="1714" w:type="dxa"/>
            <w:tcBorders>
              <w:top w:val="nil"/>
              <w:left w:val="nil"/>
              <w:bottom w:val="single" w:color="auto" w:sz="4" w:space="0"/>
              <w:right w:val="single" w:color="auto" w:sz="4" w:space="0"/>
            </w:tcBorders>
            <w:noWrap/>
            <w:vAlign w:val="bottom"/>
          </w:tcPr>
          <w:p>
            <w:pPr>
              <w:autoSpaceDE w:val="0"/>
              <w:autoSpaceDN w:val="0"/>
              <w:spacing w:line="360" w:lineRule="auto"/>
              <w:ind w:firstLine="480" w:firstLineChars="200"/>
              <w:jc w:val="center"/>
              <w:rPr>
                <w:rFonts w:hint="default" w:ascii="仿宋" w:hAnsi="仿宋" w:eastAsia="仿宋" w:cs="仿宋"/>
                <w:b w:val="0"/>
                <w:bCs/>
                <w:color w:val="auto"/>
                <w:kern w:val="0"/>
                <w:sz w:val="24"/>
                <w:highlight w:val="none"/>
                <w:lang w:val="en-US" w:eastAsia="zh-CN"/>
              </w:rPr>
            </w:pPr>
            <w:r>
              <w:rPr>
                <w:rFonts w:hint="eastAsia" w:ascii="仿宋" w:hAnsi="仿宋" w:eastAsia="仿宋" w:cs="仿宋"/>
                <w:b w:val="0"/>
                <w:bCs/>
                <w:color w:val="auto"/>
                <w:kern w:val="0"/>
                <w:sz w:val="24"/>
                <w:highlight w:val="none"/>
                <w:lang w:val="en-US" w:eastAsia="zh-CN"/>
              </w:rPr>
              <w:t>20000</w:t>
            </w:r>
          </w:p>
        </w:tc>
      </w:tr>
    </w:tbl>
    <w:p>
      <w:pPr>
        <w:pStyle w:val="782"/>
        <w:keepNext w:val="0"/>
        <w:keepLines w:val="0"/>
        <w:pageBreakBefore w:val="0"/>
        <w:kinsoku/>
        <w:wordWrap/>
        <w:overflowPunct/>
        <w:topLinePunct w:val="0"/>
        <w:autoSpaceDE/>
        <w:autoSpaceDN/>
        <w:bidi w:val="0"/>
        <w:adjustRightInd w:val="0"/>
        <w:snapToGrid w:val="0"/>
        <w:spacing w:line="580" w:lineRule="exact"/>
        <w:ind w:firstLine="482" w:firstLineChars="200"/>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六、数量调整</w:t>
      </w:r>
    </w:p>
    <w:p>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640" w:firstLineChars="0"/>
        <w:jc w:val="left"/>
        <w:textAlignment w:val="auto"/>
        <w:outlineLvl w:val="9"/>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pPr>
        <w:pStyle w:val="782"/>
        <w:keepNext w:val="0"/>
        <w:keepLines w:val="0"/>
        <w:pageBreakBefore w:val="0"/>
        <w:kinsoku/>
        <w:wordWrap/>
        <w:overflowPunct/>
        <w:topLinePunct w:val="0"/>
        <w:autoSpaceDE/>
        <w:autoSpaceDN/>
        <w:bidi w:val="0"/>
        <w:adjustRightInd w:val="0"/>
        <w:snapToGrid w:val="0"/>
        <w:spacing w:line="580" w:lineRule="exact"/>
        <w:ind w:firstLine="482" w:firstLineChars="200"/>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七、付款方式</w:t>
      </w:r>
    </w:p>
    <w:p>
      <w:pPr>
        <w:autoSpaceDE w:val="0"/>
        <w:autoSpaceDN w:val="0"/>
        <w:spacing w:line="360" w:lineRule="auto"/>
        <w:ind w:firstLine="480" w:firstLineChars="200"/>
        <w:jc w:val="left"/>
        <w:rPr>
          <w:rFonts w:ascii="仿宋" w:hAnsi="仿宋" w:eastAsia="仿宋" w:cs="仿宋"/>
          <w:b w:val="0"/>
          <w:bCs/>
          <w:color w:val="auto"/>
          <w:kern w:val="0"/>
          <w:sz w:val="24"/>
          <w:highlight w:val="none"/>
        </w:rPr>
      </w:pPr>
      <w:r>
        <w:rPr>
          <w:rFonts w:hint="eastAsia" w:ascii="仿宋" w:hAnsi="仿宋" w:eastAsia="仿宋" w:cs="仿宋"/>
          <w:color w:val="auto"/>
          <w:sz w:val="24"/>
          <w:szCs w:val="24"/>
          <w:highlight w:val="none"/>
          <w:lang w:val="en-US" w:eastAsia="zh-CN"/>
        </w:rPr>
        <w:t>费用支付按“完成一个，支付一个”原则进行。</w:t>
      </w:r>
      <w:r>
        <w:rPr>
          <w:rFonts w:hint="eastAsia" w:ascii="仿宋" w:hAnsi="仿宋" w:eastAsia="仿宋" w:cs="仿宋"/>
          <w:color w:val="auto"/>
          <w:sz w:val="24"/>
          <w:szCs w:val="24"/>
          <w:highlight w:val="none"/>
          <w:lang w:val="zh-CN" w:eastAsia="zh-CN"/>
        </w:rPr>
        <w:t>按</w:t>
      </w:r>
      <w:r>
        <w:rPr>
          <w:rFonts w:hint="eastAsia" w:ascii="仿宋" w:hAnsi="仿宋" w:eastAsia="仿宋" w:cs="仿宋"/>
          <w:b w:val="0"/>
          <w:bCs/>
          <w:color w:val="auto"/>
          <w:kern w:val="0"/>
          <w:sz w:val="24"/>
          <w:highlight w:val="none"/>
          <w:lang w:val="zh-CN"/>
        </w:rPr>
        <w:t>《浙江省财政厅关于进一步发挥政府采购政策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6"/>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7"/>
        <w:spacing w:before="120" w:line="22" w:lineRule="atLeast"/>
        <w:rPr>
          <w:rFonts w:hint="eastAsia" w:ascii="仿宋" w:hAnsi="仿宋" w:eastAsia="仿宋" w:cs="仿宋"/>
          <w:color w:val="auto"/>
          <w:szCs w:val="24"/>
          <w:highlight w:val="none"/>
        </w:rPr>
      </w:pPr>
    </w:p>
    <w:p>
      <w:pPr>
        <w:pStyle w:val="597"/>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587" w:bottom="1474" w:left="1587" w:header="851" w:footer="851" w:gutter="0"/>
          <w:pgNumType w:fmt="decimal"/>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7" w:name="_Toc28855"/>
      <w:bookmarkStart w:id="38" w:name="_Toc20421"/>
      <w:bookmarkStart w:id="39" w:name="_Toc15367"/>
      <w:bookmarkStart w:id="40" w:name="_Toc22967"/>
      <w:bookmarkStart w:id="41" w:name="_Toc19273"/>
      <w:r>
        <w:rPr>
          <w:rFonts w:hint="eastAsia" w:ascii="仿宋" w:hAnsi="仿宋" w:eastAsia="仿宋" w:cs="仿宋"/>
          <w:b/>
          <w:color w:val="auto"/>
          <w:sz w:val="24"/>
          <w:highlight w:val="none"/>
        </w:rPr>
        <w:t>1.1 合同组成部分</w:t>
      </w:r>
      <w:bookmarkEnd w:id="37"/>
      <w:bookmarkEnd w:id="38"/>
      <w:bookmarkEnd w:id="39"/>
      <w:bookmarkEnd w:id="40"/>
      <w:bookmarkEnd w:id="4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2" w:name="_Toc6773"/>
      <w:bookmarkStart w:id="43" w:name="_Toc6311"/>
      <w:bookmarkStart w:id="44" w:name="_Toc22185"/>
      <w:bookmarkStart w:id="45" w:name="_Toc18585"/>
      <w:bookmarkStart w:id="46" w:name="_Toc2918"/>
      <w:r>
        <w:rPr>
          <w:rFonts w:hint="eastAsia" w:ascii="仿宋" w:hAnsi="仿宋" w:eastAsia="仿宋" w:cs="仿宋"/>
          <w:b/>
          <w:color w:val="auto"/>
          <w:sz w:val="24"/>
          <w:highlight w:val="none"/>
        </w:rPr>
        <w:t>1.2 标的</w:t>
      </w:r>
      <w:bookmarkEnd w:id="42"/>
      <w:bookmarkEnd w:id="43"/>
      <w:bookmarkEnd w:id="44"/>
      <w:bookmarkEnd w:id="45"/>
      <w:bookmarkEnd w:id="46"/>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7" w:name="_Toc5635"/>
      <w:bookmarkStart w:id="48" w:name="_Toc21124"/>
      <w:bookmarkStart w:id="49" w:name="_Toc4929"/>
      <w:bookmarkStart w:id="50" w:name="_Toc1386"/>
      <w:bookmarkStart w:id="51"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7"/>
      <w:bookmarkEnd w:id="48"/>
      <w:bookmarkEnd w:id="49"/>
      <w:bookmarkEnd w:id="50"/>
      <w:bookmarkEnd w:id="5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2" w:name="_Toc30506"/>
      <w:bookmarkStart w:id="53" w:name="_Toc30158"/>
      <w:bookmarkStart w:id="54" w:name="_Toc3654"/>
      <w:bookmarkStart w:id="55" w:name="_Toc14993"/>
      <w:bookmarkStart w:id="56"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6"/>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2"/>
    <w:bookmarkEnd w:id="53"/>
    <w:bookmarkEnd w:id="54"/>
    <w:bookmarkEnd w:id="55"/>
    <w:bookmarkEnd w:id="56"/>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7" w:name="_Toc1814"/>
      <w:bookmarkStart w:id="58" w:name="_Toc22618"/>
      <w:bookmarkStart w:id="59" w:name="_Toc10340"/>
      <w:bookmarkStart w:id="60" w:name="_Toc3625"/>
      <w:bookmarkStart w:id="61" w:name="_Toc8772"/>
      <w:bookmarkStart w:id="62" w:name="_Toc4760"/>
      <w:bookmarkStart w:id="63" w:name="_Toc11108"/>
      <w:bookmarkStart w:id="64" w:name="_Toc31421"/>
      <w:r>
        <w:rPr>
          <w:rFonts w:hint="eastAsia" w:ascii="仿宋" w:hAnsi="仿宋" w:eastAsia="仿宋" w:cs="仿宋"/>
          <w:b/>
          <w:color w:val="auto"/>
          <w:highlight w:val="none"/>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6"/>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7"/>
      <w:bookmarkEnd w:id="58"/>
      <w:bookmarkEnd w:id="59"/>
      <w:r>
        <w:rPr>
          <w:rFonts w:hint="eastAsia" w:ascii="仿宋" w:hAnsi="仿宋" w:eastAsia="仿宋" w:cs="仿宋"/>
          <w:b/>
          <w:color w:val="auto"/>
          <w:sz w:val="24"/>
          <w:highlight w:val="none"/>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0"/>
      <w:bookmarkEnd w:id="61"/>
      <w:bookmarkEnd w:id="62"/>
      <w:bookmarkEnd w:id="63"/>
      <w:bookmarkEnd w:id="6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5" w:name="_Toc5698"/>
      <w:bookmarkStart w:id="66" w:name="_Toc2375"/>
      <w:bookmarkStart w:id="67" w:name="_Toc3079"/>
      <w:bookmarkStart w:id="68" w:name="_Toc24662"/>
      <w:bookmarkStart w:id="69" w:name="_Toc8586"/>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5"/>
      <w:bookmarkEnd w:id="66"/>
      <w:bookmarkEnd w:id="67"/>
      <w:bookmarkEnd w:id="68"/>
      <w:bookmarkEnd w:id="69"/>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6"/>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0" w:name="_Toc18683"/>
      <w:bookmarkStart w:id="71" w:name="_Toc9497"/>
      <w:bookmarkStart w:id="72" w:name="_Toc30329"/>
      <w:bookmarkStart w:id="73" w:name="_Toc32454"/>
      <w:bookmarkStart w:id="74"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0"/>
    <w:bookmarkEnd w:id="71"/>
    <w:bookmarkEnd w:id="72"/>
    <w:bookmarkEnd w:id="73"/>
    <w:bookmarkEnd w:id="74"/>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5" w:name="_Toc15583"/>
      <w:bookmarkStart w:id="76" w:name="_Toc28375"/>
      <w:bookmarkStart w:id="77" w:name="_Toc16021"/>
      <w:r>
        <w:rPr>
          <w:rFonts w:hint="eastAsia" w:ascii="仿宋" w:hAnsi="仿宋" w:eastAsia="仿宋" w:cs="仿宋"/>
          <w:b/>
          <w:color w:val="auto"/>
          <w:sz w:val="24"/>
          <w:highlight w:val="none"/>
        </w:rPr>
        <w:t>1.9合同争议的解决</w:t>
      </w:r>
      <w:bookmarkEnd w:id="75"/>
      <w:bookmarkEnd w:id="76"/>
      <w:bookmarkEnd w:id="7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8" w:name="_Toc11173"/>
      <w:bookmarkStart w:id="79" w:name="_Toc15322"/>
      <w:bookmarkStart w:id="80" w:name="_Toc7245"/>
      <w:r>
        <w:rPr>
          <w:rFonts w:hint="eastAsia" w:ascii="仿宋" w:hAnsi="仿宋" w:eastAsia="仿宋" w:cs="仿宋"/>
          <w:b/>
          <w:color w:val="auto"/>
          <w:sz w:val="24"/>
          <w:highlight w:val="none"/>
        </w:rPr>
        <w:t>2.0 合同生效</w:t>
      </w:r>
      <w:bookmarkEnd w:id="78"/>
      <w:bookmarkEnd w:id="79"/>
      <w:bookmarkEnd w:id="8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81" w:name="_Toc14021"/>
      <w:bookmarkStart w:id="82" w:name="_Toc25079"/>
      <w:bookmarkStart w:id="83" w:name="_Toc31297"/>
      <w:bookmarkStart w:id="84" w:name="_Toc5228"/>
      <w:bookmarkStart w:id="85" w:name="_Toc19680"/>
      <w:r>
        <w:rPr>
          <w:rFonts w:hint="eastAsia" w:ascii="仿宋" w:hAnsi="仿宋" w:eastAsia="仿宋" w:cs="仿宋"/>
          <w:b/>
          <w:color w:val="auto"/>
          <w:sz w:val="24"/>
          <w:highlight w:val="none"/>
        </w:rPr>
        <w:t>2.1 定义</w:t>
      </w:r>
      <w:bookmarkEnd w:id="81"/>
      <w:bookmarkEnd w:id="82"/>
      <w:bookmarkEnd w:id="83"/>
      <w:bookmarkEnd w:id="84"/>
      <w:bookmarkEnd w:id="8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86" w:name="_Toc19539"/>
      <w:bookmarkStart w:id="87" w:name="_Toc31402"/>
      <w:bookmarkStart w:id="88" w:name="_Toc3769"/>
      <w:bookmarkStart w:id="89" w:name="_Toc16752"/>
      <w:bookmarkStart w:id="90" w:name="_Toc23289"/>
      <w:r>
        <w:rPr>
          <w:rFonts w:hint="eastAsia" w:ascii="仿宋" w:hAnsi="仿宋" w:eastAsia="仿宋" w:cs="仿宋"/>
          <w:b/>
          <w:color w:val="auto"/>
          <w:sz w:val="24"/>
          <w:highlight w:val="none"/>
        </w:rPr>
        <w:t>2.2 技术规范</w:t>
      </w:r>
      <w:bookmarkEnd w:id="86"/>
      <w:bookmarkEnd w:id="87"/>
      <w:bookmarkEnd w:id="88"/>
      <w:bookmarkEnd w:id="89"/>
      <w:bookmarkEnd w:id="9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1" w:name="_Toc12412"/>
      <w:bookmarkStart w:id="92" w:name="_Toc27945"/>
      <w:bookmarkStart w:id="93" w:name="_Toc9161"/>
      <w:bookmarkStart w:id="94" w:name="_Toc4133"/>
      <w:bookmarkStart w:id="95" w:name="_Toc13673"/>
      <w:r>
        <w:rPr>
          <w:rFonts w:hint="eastAsia" w:ascii="仿宋" w:hAnsi="仿宋" w:eastAsia="仿宋" w:cs="仿宋"/>
          <w:b/>
          <w:color w:val="auto"/>
          <w:sz w:val="24"/>
          <w:highlight w:val="none"/>
        </w:rPr>
        <w:t>2.3 知识产权</w:t>
      </w:r>
      <w:bookmarkEnd w:id="91"/>
      <w:bookmarkEnd w:id="92"/>
      <w:bookmarkEnd w:id="93"/>
      <w:bookmarkEnd w:id="94"/>
      <w:bookmarkEnd w:id="9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96" w:name="_Toc15447"/>
      <w:bookmarkStart w:id="97" w:name="_Toc32670"/>
      <w:bookmarkStart w:id="98" w:name="_Toc31233"/>
      <w:bookmarkStart w:id="99" w:name="_Toc22011"/>
      <w:bookmarkStart w:id="100" w:name="_Toc26555"/>
      <w:r>
        <w:rPr>
          <w:rFonts w:hint="eastAsia" w:ascii="仿宋" w:hAnsi="仿宋" w:eastAsia="仿宋" w:cs="仿宋"/>
          <w:b/>
          <w:color w:val="auto"/>
          <w:sz w:val="24"/>
          <w:highlight w:val="none"/>
        </w:rPr>
        <w:t>2.5 结算方式和付款条件</w:t>
      </w:r>
      <w:bookmarkEnd w:id="96"/>
      <w:bookmarkEnd w:id="97"/>
      <w:bookmarkEnd w:id="98"/>
      <w:bookmarkEnd w:id="99"/>
      <w:bookmarkEnd w:id="10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1" w:name="_Toc18990"/>
      <w:bookmarkStart w:id="102" w:name="_Toc16163"/>
      <w:bookmarkStart w:id="103" w:name="_Toc30507"/>
      <w:bookmarkStart w:id="104" w:name="_Toc13154"/>
      <w:bookmarkStart w:id="105" w:name="_Toc13467"/>
      <w:r>
        <w:rPr>
          <w:rFonts w:hint="eastAsia" w:ascii="仿宋" w:hAnsi="仿宋" w:eastAsia="仿宋" w:cs="仿宋"/>
          <w:b/>
          <w:color w:val="auto"/>
          <w:sz w:val="24"/>
          <w:highlight w:val="none"/>
        </w:rPr>
        <w:t>2.6 技术资料和保密义务</w:t>
      </w:r>
      <w:bookmarkEnd w:id="101"/>
      <w:bookmarkEnd w:id="102"/>
      <w:bookmarkEnd w:id="103"/>
      <w:bookmarkEnd w:id="104"/>
      <w:bookmarkEnd w:id="10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6" w:name="_Toc19069"/>
      <w:r>
        <w:rPr>
          <w:rFonts w:hint="eastAsia" w:ascii="仿宋" w:hAnsi="仿宋" w:eastAsia="仿宋" w:cs="仿宋"/>
          <w:b/>
          <w:color w:val="auto"/>
          <w:sz w:val="24"/>
          <w:highlight w:val="none"/>
        </w:rPr>
        <w:t>2.7 质量保证</w:t>
      </w:r>
      <w:bookmarkEnd w:id="10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7" w:name="_Toc22267"/>
      <w:r>
        <w:rPr>
          <w:rFonts w:hint="eastAsia" w:ascii="仿宋" w:hAnsi="仿宋" w:eastAsia="仿宋" w:cs="仿宋"/>
          <w:b/>
          <w:color w:val="auto"/>
          <w:sz w:val="24"/>
          <w:highlight w:val="none"/>
        </w:rPr>
        <w:t>2.8 延迟履行</w:t>
      </w:r>
      <w:bookmarkEnd w:id="10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8" w:name="_Toc10611"/>
      <w:r>
        <w:rPr>
          <w:rFonts w:hint="eastAsia" w:ascii="仿宋" w:hAnsi="仿宋" w:eastAsia="仿宋" w:cs="仿宋"/>
          <w:b/>
          <w:color w:val="auto"/>
          <w:sz w:val="24"/>
          <w:highlight w:val="none"/>
        </w:rPr>
        <w:t>2.9 合同变更</w:t>
      </w:r>
      <w:bookmarkEnd w:id="10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09" w:name="_Toc23368"/>
      <w:bookmarkStart w:id="110" w:name="_Toc10663"/>
      <w:bookmarkStart w:id="111" w:name="_Toc26689"/>
      <w:bookmarkStart w:id="112" w:name="_Toc42"/>
      <w:bookmarkStart w:id="113" w:name="_Toc21830"/>
      <w:r>
        <w:rPr>
          <w:rFonts w:hint="eastAsia" w:ascii="仿宋" w:hAnsi="仿宋" w:eastAsia="仿宋" w:cs="仿宋"/>
          <w:b/>
          <w:color w:val="auto"/>
          <w:sz w:val="24"/>
          <w:highlight w:val="none"/>
        </w:rPr>
        <w:t>2.10 合同转让和分包</w:t>
      </w:r>
      <w:bookmarkEnd w:id="109"/>
      <w:bookmarkEnd w:id="110"/>
      <w:bookmarkEnd w:id="111"/>
      <w:bookmarkEnd w:id="112"/>
      <w:bookmarkEnd w:id="11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14" w:name="_Toc25571"/>
      <w:bookmarkStart w:id="115" w:name="_Toc26633"/>
      <w:bookmarkStart w:id="116" w:name="_Toc32494"/>
      <w:bookmarkStart w:id="117" w:name="_Toc14371"/>
      <w:bookmarkStart w:id="118" w:name="_Toc4720"/>
      <w:r>
        <w:rPr>
          <w:rFonts w:hint="eastAsia" w:ascii="仿宋" w:hAnsi="仿宋" w:eastAsia="仿宋" w:cs="仿宋"/>
          <w:b/>
          <w:color w:val="auto"/>
          <w:sz w:val="24"/>
          <w:highlight w:val="none"/>
        </w:rPr>
        <w:t>2.11 不可抗力</w:t>
      </w:r>
      <w:bookmarkEnd w:id="114"/>
      <w:bookmarkEnd w:id="115"/>
      <w:bookmarkEnd w:id="116"/>
      <w:bookmarkEnd w:id="117"/>
      <w:bookmarkEnd w:id="11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19" w:name="_Toc23854"/>
      <w:bookmarkStart w:id="120" w:name="_Toc25783"/>
      <w:bookmarkStart w:id="121" w:name="_Toc14115"/>
      <w:bookmarkStart w:id="122" w:name="_Toc24465"/>
      <w:bookmarkStart w:id="123" w:name="_Toc3638"/>
      <w:r>
        <w:rPr>
          <w:rFonts w:hint="eastAsia" w:ascii="仿宋" w:hAnsi="仿宋" w:eastAsia="仿宋" w:cs="仿宋"/>
          <w:b/>
          <w:color w:val="auto"/>
          <w:sz w:val="24"/>
          <w:highlight w:val="none"/>
        </w:rPr>
        <w:t>2.12 税费</w:t>
      </w:r>
      <w:bookmarkEnd w:id="119"/>
      <w:bookmarkEnd w:id="120"/>
      <w:bookmarkEnd w:id="121"/>
      <w:bookmarkEnd w:id="122"/>
      <w:bookmarkEnd w:id="12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24" w:name="_Toc26883"/>
      <w:bookmarkStart w:id="125" w:name="_Toc14814"/>
      <w:bookmarkStart w:id="126" w:name="_Toc30105"/>
      <w:bookmarkStart w:id="127" w:name="_Toc7315"/>
      <w:bookmarkStart w:id="128" w:name="_Toc25525"/>
      <w:r>
        <w:rPr>
          <w:rFonts w:hint="eastAsia" w:ascii="仿宋" w:hAnsi="仿宋" w:eastAsia="仿宋" w:cs="仿宋"/>
          <w:b/>
          <w:color w:val="auto"/>
          <w:sz w:val="24"/>
          <w:highlight w:val="none"/>
        </w:rPr>
        <w:t>2.13 乙方破产</w:t>
      </w:r>
      <w:bookmarkEnd w:id="124"/>
      <w:bookmarkEnd w:id="125"/>
      <w:bookmarkEnd w:id="126"/>
      <w:bookmarkEnd w:id="127"/>
      <w:bookmarkEnd w:id="12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29" w:name="_Toc2016"/>
      <w:bookmarkStart w:id="130" w:name="_Toc23323"/>
      <w:bookmarkStart w:id="131" w:name="_Toc1123"/>
      <w:r>
        <w:rPr>
          <w:rFonts w:hint="eastAsia" w:ascii="仿宋" w:hAnsi="仿宋" w:eastAsia="仿宋" w:cs="仿宋"/>
          <w:b/>
          <w:color w:val="auto"/>
          <w:sz w:val="24"/>
          <w:highlight w:val="none"/>
        </w:rPr>
        <w:t>2.14 合同中止、终止</w:t>
      </w:r>
      <w:bookmarkEnd w:id="129"/>
      <w:bookmarkEnd w:id="130"/>
      <w:bookmarkEnd w:id="13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2" w:name="_Toc1969"/>
      <w:bookmarkStart w:id="133" w:name="_Toc17363"/>
      <w:bookmarkStart w:id="134" w:name="_Toc14525"/>
      <w:r>
        <w:rPr>
          <w:rFonts w:hint="eastAsia" w:ascii="仿宋" w:hAnsi="仿宋" w:eastAsia="仿宋" w:cs="仿宋"/>
          <w:b/>
          <w:color w:val="auto"/>
          <w:sz w:val="24"/>
          <w:highlight w:val="none"/>
        </w:rPr>
        <w:t>2.15 检验和验收</w:t>
      </w:r>
      <w:bookmarkEnd w:id="132"/>
      <w:bookmarkEnd w:id="133"/>
      <w:bookmarkEnd w:id="134"/>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5" w:name="_Toc9808"/>
      <w:bookmarkStart w:id="136" w:name="_Toc2308"/>
      <w:bookmarkStart w:id="137" w:name="_Toc31892"/>
      <w:bookmarkStart w:id="138" w:name="_Toc25198"/>
      <w:bookmarkStart w:id="139" w:name="_Toc12666"/>
      <w:r>
        <w:rPr>
          <w:rFonts w:hint="eastAsia" w:ascii="仿宋" w:hAnsi="仿宋" w:eastAsia="仿宋" w:cs="仿宋"/>
          <w:b/>
          <w:color w:val="auto"/>
          <w:sz w:val="24"/>
          <w:highlight w:val="none"/>
        </w:rPr>
        <w:t>2.16 通知和送达</w:t>
      </w:r>
      <w:bookmarkEnd w:id="135"/>
      <w:bookmarkEnd w:id="136"/>
      <w:bookmarkEnd w:id="137"/>
      <w:bookmarkEnd w:id="138"/>
      <w:bookmarkEnd w:id="139"/>
    </w:p>
    <w:p>
      <w:pPr>
        <w:spacing w:line="560" w:lineRule="exact"/>
        <w:ind w:firstLine="480" w:firstLineChars="200"/>
        <w:rPr>
          <w:rFonts w:hint="eastAsia" w:ascii="仿宋" w:hAnsi="仿宋" w:eastAsia="仿宋" w:cs="仿宋"/>
          <w:color w:val="auto"/>
          <w:sz w:val="24"/>
          <w:highlight w:val="none"/>
        </w:rPr>
      </w:pPr>
      <w:bookmarkStart w:id="140" w:name="_Toc18401"/>
      <w:bookmarkStart w:id="141"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0"/>
      <w:bookmarkEnd w:id="141"/>
    </w:p>
    <w:p>
      <w:pPr>
        <w:spacing w:line="560" w:lineRule="exact"/>
        <w:ind w:firstLine="482" w:firstLineChars="200"/>
        <w:outlineLvl w:val="0"/>
        <w:rPr>
          <w:rFonts w:hint="eastAsia" w:ascii="仿宋" w:hAnsi="仿宋" w:eastAsia="仿宋" w:cs="仿宋"/>
          <w:b/>
          <w:color w:val="auto"/>
          <w:sz w:val="24"/>
          <w:highlight w:val="none"/>
        </w:rPr>
      </w:pPr>
      <w:bookmarkStart w:id="142" w:name="_Toc27644"/>
      <w:bookmarkStart w:id="143" w:name="_Toc12254"/>
      <w:bookmarkStart w:id="144" w:name="_Toc28906"/>
      <w:bookmarkStart w:id="145" w:name="_Toc20808"/>
      <w:bookmarkStart w:id="146" w:name="_Toc5063"/>
      <w:r>
        <w:rPr>
          <w:rFonts w:hint="eastAsia" w:ascii="仿宋" w:hAnsi="仿宋" w:eastAsia="仿宋" w:cs="仿宋"/>
          <w:b/>
          <w:color w:val="auto"/>
          <w:sz w:val="24"/>
          <w:highlight w:val="none"/>
        </w:rPr>
        <w:t>2.17 合同使用的文字和适用的法律</w:t>
      </w:r>
      <w:bookmarkEnd w:id="142"/>
      <w:bookmarkEnd w:id="143"/>
      <w:bookmarkEnd w:id="144"/>
      <w:bookmarkEnd w:id="145"/>
      <w:bookmarkEnd w:id="14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47" w:name="_Toc4355"/>
      <w:bookmarkStart w:id="148" w:name="_Toc18540"/>
      <w:bookmarkStart w:id="149" w:name="_Toc30599"/>
      <w:r>
        <w:rPr>
          <w:rFonts w:hint="eastAsia" w:ascii="仿宋" w:hAnsi="仿宋" w:eastAsia="仿宋" w:cs="仿宋"/>
          <w:b/>
          <w:color w:val="auto"/>
          <w:sz w:val="24"/>
          <w:highlight w:val="none"/>
        </w:rPr>
        <w:t>2.18 计量单位</w:t>
      </w:r>
      <w:bookmarkEnd w:id="147"/>
      <w:bookmarkEnd w:id="148"/>
      <w:bookmarkEnd w:id="14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0" w:name="_Toc259093692"/>
      <w:bookmarkStart w:id="151" w:name="_Toc487900373"/>
      <w:bookmarkStart w:id="152" w:name="_Toc10330"/>
      <w:bookmarkStart w:id="153" w:name="_Toc12773"/>
      <w:bookmarkStart w:id="154" w:name="_Toc279701263"/>
      <w:bookmarkStart w:id="155" w:name="_Toc18567"/>
      <w:r>
        <w:rPr>
          <w:rFonts w:hint="eastAsia" w:ascii="仿宋" w:hAnsi="仿宋" w:eastAsia="仿宋" w:cs="仿宋"/>
          <w:b/>
          <w:color w:val="auto"/>
          <w:sz w:val="24"/>
          <w:highlight w:val="none"/>
        </w:rPr>
        <w:t>2.19 合同使用的文字和适用的法律</w:t>
      </w:r>
      <w:bookmarkEnd w:id="150"/>
      <w:bookmarkEnd w:id="151"/>
      <w:bookmarkEnd w:id="152"/>
      <w:bookmarkEnd w:id="153"/>
      <w:bookmarkEnd w:id="154"/>
      <w:bookmarkEnd w:id="15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6" w:name="_Toc331685784"/>
      <w:r>
        <w:rPr>
          <w:rFonts w:hint="eastAsia" w:ascii="仿宋" w:hAnsi="仿宋" w:eastAsia="仿宋" w:cs="仿宋"/>
          <w:b/>
          <w:color w:val="auto"/>
          <w:sz w:val="24"/>
          <w:highlight w:val="none"/>
        </w:rPr>
        <w:t xml:space="preserve"> </w:t>
      </w:r>
      <w:bookmarkEnd w:id="156"/>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2"/>
        <w:tblW w:w="9487" w:type="dxa"/>
        <w:jc w:val="center"/>
        <w:tblLayout w:type="fixed"/>
        <w:tblCellMar>
          <w:top w:w="0" w:type="dxa"/>
          <w:left w:w="108" w:type="dxa"/>
          <w:bottom w:w="0" w:type="dxa"/>
          <w:right w:w="108" w:type="dxa"/>
        </w:tblCellMar>
      </w:tblPr>
      <w:tblGrid>
        <w:gridCol w:w="869"/>
        <w:gridCol w:w="1220"/>
        <w:gridCol w:w="6675"/>
        <w:gridCol w:w="723"/>
      </w:tblGrid>
      <w:tr>
        <w:tblPrEx>
          <w:tblCellMar>
            <w:top w:w="0" w:type="dxa"/>
            <w:left w:w="108" w:type="dxa"/>
            <w:bottom w:w="0" w:type="dxa"/>
            <w:right w:w="108" w:type="dxa"/>
          </w:tblCellMar>
        </w:tblPrEx>
        <w:trPr>
          <w:trHeight w:val="561"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tblPrEx>
          <w:tblCellMar>
            <w:top w:w="0" w:type="dxa"/>
            <w:left w:w="108" w:type="dxa"/>
            <w:bottom w:w="0" w:type="dxa"/>
            <w:right w:w="108" w:type="dxa"/>
          </w:tblCellMar>
        </w:tblPrEx>
        <w:trPr>
          <w:trHeight w:val="90" w:hRule="atLeast"/>
          <w:jc w:val="center"/>
        </w:trPr>
        <w:tc>
          <w:tcPr>
            <w:tcW w:w="869"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rPr>
              <w:t>1</w:t>
            </w:r>
          </w:p>
        </w:tc>
        <w:tc>
          <w:tcPr>
            <w:tcW w:w="1220"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类似业绩</w:t>
            </w: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自2021年1月1日以来（以合同签订时间为准），投标人具有类似服务项目的，每一个得</w:t>
            </w:r>
            <w:r>
              <w:rPr>
                <w:rFonts w:hint="eastAsia" w:ascii="仿宋" w:hAnsi="仿宋" w:eastAsia="仿宋" w:cs="仿宋"/>
                <w:color w:val="auto"/>
                <w:sz w:val="24"/>
                <w:szCs w:val="24"/>
                <w:highlight w:val="none"/>
                <w:lang w:val="en-US" w:eastAsia="zh-CN"/>
              </w:rPr>
              <w:t>0.5</w:t>
            </w:r>
            <w:r>
              <w:rPr>
                <w:rFonts w:hint="default" w:ascii="仿宋" w:hAnsi="仿宋" w:eastAsia="仿宋" w:cs="仿宋"/>
                <w:color w:val="auto"/>
                <w:sz w:val="24"/>
                <w:szCs w:val="24"/>
                <w:highlight w:val="none"/>
                <w:lang w:val="en-US" w:eastAsia="zh-CN"/>
              </w:rPr>
              <w:t>分，最高得2分，本项最多按</w:t>
            </w:r>
            <w:r>
              <w:rPr>
                <w:rFonts w:hint="eastAsia" w:ascii="仿宋" w:hAnsi="仿宋" w:eastAsia="仿宋" w:cs="仿宋"/>
                <w:color w:val="auto"/>
                <w:sz w:val="24"/>
                <w:szCs w:val="24"/>
                <w:highlight w:val="none"/>
                <w:lang w:val="en-US" w:eastAsia="zh-CN"/>
              </w:rPr>
              <w:t>4</w:t>
            </w:r>
            <w:r>
              <w:rPr>
                <w:rFonts w:hint="default" w:ascii="仿宋" w:hAnsi="仿宋" w:eastAsia="仿宋" w:cs="仿宋"/>
                <w:color w:val="auto"/>
                <w:sz w:val="24"/>
                <w:szCs w:val="24"/>
                <w:highlight w:val="none"/>
                <w:lang w:val="en-US" w:eastAsia="zh-CN"/>
              </w:rPr>
              <w:t>个合同计分。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注：须提供有效合同复印件并加盖投标人公章，未提供或提供不全的不得分。合同须包括但不限于合同首页、主要内容页（含客户名称、签订时间、服务内容）、双方盖章页。</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lang w:val="en-US" w:eastAsia="zh-CN"/>
              </w:rPr>
              <w:t>2</w:t>
            </w:r>
          </w:p>
        </w:tc>
      </w:tr>
      <w:tr>
        <w:tblPrEx>
          <w:tblCellMar>
            <w:top w:w="0" w:type="dxa"/>
            <w:left w:w="108" w:type="dxa"/>
            <w:bottom w:w="0" w:type="dxa"/>
            <w:right w:w="108" w:type="dxa"/>
          </w:tblCellMar>
        </w:tblPrEx>
        <w:trPr>
          <w:trHeight w:val="51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2</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rPr>
            </w:pPr>
            <w:r>
              <w:rPr>
                <w:rFonts w:hint="default" w:ascii="仿宋" w:hAnsi="仿宋" w:eastAsia="仿宋" w:cs="仿宋"/>
                <w:color w:val="auto"/>
                <w:kern w:val="0"/>
                <w:sz w:val="24"/>
                <w:szCs w:val="24"/>
                <w:highlight w:val="none"/>
                <w:lang w:val="en-US"/>
              </w:rPr>
              <w:t>拟派服务人员配置</w:t>
            </w:r>
          </w:p>
        </w:tc>
        <w:tc>
          <w:tcPr>
            <w:tcW w:w="6675" w:type="dxa"/>
            <w:tcBorders>
              <w:top w:val="single" w:color="auto" w:sz="4" w:space="0"/>
              <w:left w:val="single" w:color="auto" w:sz="4" w:space="0"/>
              <w:bottom w:val="single" w:color="auto" w:sz="4" w:space="0"/>
              <w:right w:val="single" w:color="auto" w:sz="4" w:space="0"/>
            </w:tcBorders>
            <w:vAlign w:val="center"/>
          </w:tcPr>
          <w:p>
            <w:pPr>
              <w:pStyle w:val="8"/>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1.投标人具有</w:t>
            </w:r>
            <w:r>
              <w:rPr>
                <w:rFonts w:hint="eastAsia" w:ascii="仿宋" w:hAnsi="仿宋" w:eastAsia="仿宋" w:cs="仿宋"/>
                <w:color w:val="auto"/>
                <w:sz w:val="24"/>
                <w:szCs w:val="24"/>
                <w:highlight w:val="none"/>
                <w:lang w:eastAsia="zh-CN"/>
              </w:rPr>
              <w:t>固定执业的注册会计师（注册会计师必须是投标人正式职工）达到</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人的，得4分；</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人以上每</w:t>
            </w:r>
            <w:r>
              <w:rPr>
                <w:rFonts w:hint="eastAsia" w:ascii="仿宋" w:hAnsi="仿宋" w:eastAsia="仿宋" w:cs="仿宋"/>
                <w:color w:val="auto"/>
                <w:sz w:val="24"/>
                <w:szCs w:val="24"/>
                <w:highlight w:val="none"/>
                <w:lang w:val="en-US" w:eastAsia="zh-CN"/>
              </w:rPr>
              <w:t>增加</w:t>
            </w:r>
            <w:r>
              <w:rPr>
                <w:rFonts w:hint="eastAsia" w:ascii="仿宋" w:hAnsi="仿宋" w:eastAsia="仿宋" w:cs="仿宋"/>
                <w:color w:val="auto"/>
                <w:sz w:val="24"/>
                <w:szCs w:val="24"/>
                <w:highlight w:val="none"/>
                <w:lang w:eastAsia="zh-CN"/>
              </w:rPr>
              <w:t>1名注册会计师加1分。最高得</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eastAsia="zh-CN"/>
              </w:rPr>
              <w:t>分。</w:t>
            </w:r>
          </w:p>
          <w:p>
            <w:pPr>
              <w:pStyle w:val="8"/>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项目负责人应具备</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eastAsia="zh-CN"/>
              </w:rPr>
              <w:t>年以上注册会计师资格，且具有会计类或审计类或经济类高级</w:t>
            </w:r>
            <w:r>
              <w:rPr>
                <w:rFonts w:hint="eastAsia" w:ascii="仿宋" w:hAnsi="仿宋" w:eastAsia="仿宋" w:cs="仿宋"/>
                <w:color w:val="auto"/>
                <w:sz w:val="24"/>
                <w:szCs w:val="24"/>
                <w:highlight w:val="none"/>
                <w:lang w:val="en-US" w:eastAsia="zh-CN"/>
              </w:rPr>
              <w:t>及以上</w:t>
            </w:r>
            <w:r>
              <w:rPr>
                <w:rFonts w:hint="eastAsia" w:ascii="仿宋" w:hAnsi="仿宋" w:eastAsia="仿宋" w:cs="仿宋"/>
                <w:color w:val="auto"/>
                <w:sz w:val="24"/>
                <w:szCs w:val="24"/>
                <w:highlight w:val="none"/>
                <w:lang w:eastAsia="zh-CN"/>
              </w:rPr>
              <w:t>职称，得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分；考取其他相关执业（职业）资格的（包括税务师、一级造价工程师、房地产估价师、土地估价师、律师等），每</w:t>
            </w:r>
            <w:r>
              <w:rPr>
                <w:rFonts w:hint="eastAsia" w:ascii="仿宋" w:hAnsi="仿宋" w:eastAsia="仿宋" w:cs="仿宋"/>
                <w:color w:val="auto"/>
                <w:sz w:val="24"/>
                <w:szCs w:val="24"/>
                <w:highlight w:val="none"/>
                <w:lang w:val="en-US" w:eastAsia="zh-CN"/>
              </w:rPr>
              <w:t>增加</w:t>
            </w:r>
            <w:r>
              <w:rPr>
                <w:rFonts w:hint="eastAsia" w:ascii="仿宋" w:hAnsi="仿宋" w:eastAsia="仿宋" w:cs="仿宋"/>
                <w:color w:val="auto"/>
                <w:sz w:val="24"/>
                <w:szCs w:val="24"/>
                <w:highlight w:val="none"/>
                <w:lang w:eastAsia="zh-CN"/>
              </w:rPr>
              <w:t>1个资格，加1分。</w:t>
            </w:r>
            <w:r>
              <w:rPr>
                <w:rFonts w:hint="eastAsia" w:ascii="仿宋" w:hAnsi="仿宋" w:eastAsia="仿宋" w:cs="仿宋"/>
                <w:color w:val="auto"/>
                <w:sz w:val="24"/>
                <w:szCs w:val="24"/>
                <w:highlight w:val="none"/>
                <w:lang w:val="en-US" w:eastAsia="zh-CN"/>
              </w:rPr>
              <w:t>此项</w:t>
            </w:r>
            <w:r>
              <w:rPr>
                <w:rFonts w:hint="eastAsia" w:ascii="仿宋" w:hAnsi="仿宋" w:eastAsia="仿宋" w:cs="仿宋"/>
                <w:color w:val="auto"/>
                <w:sz w:val="24"/>
                <w:szCs w:val="24"/>
                <w:highlight w:val="none"/>
                <w:lang w:eastAsia="zh-CN"/>
              </w:rPr>
              <w:t>最高得6分。</w:t>
            </w:r>
          </w:p>
          <w:p>
            <w:pPr>
              <w:pStyle w:val="8"/>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本项目的项目成员具备3人的，得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分（不包含项目负责人）。每增加一人得</w:t>
            </w:r>
            <w:r>
              <w:rPr>
                <w:rFonts w:hint="eastAsia" w:ascii="仿宋" w:hAnsi="仿宋" w:eastAsia="仿宋" w:cs="仿宋"/>
                <w:color w:val="auto"/>
                <w:sz w:val="24"/>
                <w:szCs w:val="24"/>
                <w:highlight w:val="none"/>
                <w:lang w:val="en-US" w:eastAsia="zh-CN"/>
              </w:rPr>
              <w:t>0.5分，若增加</w:t>
            </w:r>
            <w:r>
              <w:rPr>
                <w:rFonts w:hint="eastAsia" w:ascii="仿宋" w:hAnsi="仿宋" w:eastAsia="仿宋" w:cs="仿宋"/>
                <w:color w:val="auto"/>
                <w:sz w:val="24"/>
                <w:szCs w:val="24"/>
                <w:highlight w:val="none"/>
                <w:lang w:eastAsia="zh-CN"/>
              </w:rPr>
              <w:t>具备注册会计师执业资格且具备高级以上职称的成员，每人加</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分，最高</w:t>
            </w:r>
            <w:r>
              <w:rPr>
                <w:rFonts w:hint="eastAsia" w:ascii="仿宋" w:hAnsi="仿宋" w:eastAsia="仿宋" w:cs="仿宋"/>
                <w:color w:val="auto"/>
                <w:sz w:val="24"/>
                <w:szCs w:val="24"/>
                <w:highlight w:val="none"/>
                <w:lang w:val="en-US" w:eastAsia="zh-CN"/>
              </w:rPr>
              <w:t>得2</w:t>
            </w:r>
            <w:r>
              <w:rPr>
                <w:rFonts w:hint="eastAsia" w:ascii="仿宋" w:hAnsi="仿宋" w:eastAsia="仿宋" w:cs="仿宋"/>
                <w:color w:val="auto"/>
                <w:sz w:val="24"/>
                <w:szCs w:val="24"/>
                <w:highlight w:val="none"/>
                <w:lang w:eastAsia="zh-CN"/>
              </w:rPr>
              <w:t>分。</w:t>
            </w:r>
            <w:r>
              <w:rPr>
                <w:rFonts w:hint="eastAsia" w:ascii="仿宋" w:hAnsi="仿宋" w:eastAsia="仿宋" w:cs="仿宋"/>
                <w:color w:val="auto"/>
                <w:sz w:val="24"/>
                <w:szCs w:val="24"/>
                <w:highlight w:val="none"/>
                <w:lang w:val="en-US" w:eastAsia="zh-CN"/>
              </w:rPr>
              <w:t>此项</w:t>
            </w:r>
            <w:r>
              <w:rPr>
                <w:rFonts w:hint="eastAsia" w:ascii="仿宋" w:hAnsi="仿宋" w:eastAsia="仿宋" w:cs="仿宋"/>
                <w:color w:val="auto"/>
                <w:sz w:val="24"/>
                <w:szCs w:val="24"/>
                <w:highlight w:val="none"/>
                <w:lang w:eastAsia="zh-CN"/>
              </w:rPr>
              <w:t>最高得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分。</w:t>
            </w:r>
          </w:p>
          <w:p>
            <w:pPr>
              <w:pStyle w:val="8"/>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注：须提供相关证书及该人员在投标人的社保证明（加盖社保证明专用章或电子专用章）扫描件并加盖投标人公章（缴费单位和投标单位名称必须一致），否则不得分。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20</w:t>
            </w:r>
          </w:p>
        </w:tc>
      </w:tr>
      <w:tr>
        <w:tblPrEx>
          <w:tblCellMar>
            <w:top w:w="0" w:type="dxa"/>
            <w:left w:w="108" w:type="dxa"/>
            <w:bottom w:w="0" w:type="dxa"/>
            <w:right w:w="108" w:type="dxa"/>
          </w:tblCellMar>
        </w:tblPrEx>
        <w:trPr>
          <w:trHeight w:val="484"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荣誉</w:t>
            </w: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自2021年1月1日以来（以获奖证书或文件落款时间为准），投标人或其员工获省级以及省级以上人民政府、省级以及省级以上财政部门、省级以及省级以上注协颁发的荣誉称号的，每项得2分；获市级荣誉称号的，每项得1分。本项最多累计三个奖项，最高得6分。</w:t>
            </w:r>
          </w:p>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注：须提供证书、文件、相关官网截屏复印件并加盖投标人公章，须获奖人员在投标人的社保证明（加盖社保证明专用章或电子专用章）扫描件并加盖投标人公章（缴费单位和投标单位名称必须一致），未提供的不得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r>
      <w:tr>
        <w:tblPrEx>
          <w:tblCellMar>
            <w:top w:w="0" w:type="dxa"/>
            <w:left w:w="108" w:type="dxa"/>
            <w:bottom w:w="0" w:type="dxa"/>
            <w:right w:w="108" w:type="dxa"/>
          </w:tblCellMar>
        </w:tblPrEx>
        <w:trPr>
          <w:trHeight w:val="1717"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highlight w:val="none"/>
                <w:lang w:val="en-US" w:eastAsia="zh-CN"/>
              </w:rPr>
              <w:t>4</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业务承接种类</w:t>
            </w: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投标人具有</w:t>
            </w:r>
            <w:r>
              <w:rPr>
                <w:rFonts w:hint="eastAsia" w:ascii="仿宋" w:hAnsi="仿宋" w:eastAsia="仿宋" w:cs="仿宋"/>
                <w:color w:val="auto"/>
                <w:sz w:val="24"/>
                <w:szCs w:val="24"/>
                <w:highlight w:val="none"/>
                <w:lang w:val="en-US" w:eastAsia="zh-CN"/>
              </w:rPr>
              <w:t>不同种类的</w:t>
            </w:r>
            <w:r>
              <w:rPr>
                <w:rFonts w:hint="default"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lang w:val="en-US" w:eastAsia="zh-CN"/>
              </w:rPr>
              <w:t>业务范围</w:t>
            </w:r>
            <w:r>
              <w:rPr>
                <w:rFonts w:hint="default" w:ascii="仿宋" w:hAnsi="仿宋" w:eastAsia="仿宋" w:cs="仿宋"/>
                <w:color w:val="auto"/>
                <w:sz w:val="24"/>
                <w:szCs w:val="24"/>
                <w:highlight w:val="none"/>
                <w:lang w:val="en-US" w:eastAsia="zh-CN"/>
              </w:rPr>
              <w:t>，每一个</w:t>
            </w:r>
            <w:r>
              <w:rPr>
                <w:rFonts w:hint="eastAsia" w:ascii="仿宋" w:hAnsi="仿宋" w:eastAsia="仿宋" w:cs="仿宋"/>
                <w:color w:val="auto"/>
                <w:sz w:val="24"/>
                <w:szCs w:val="24"/>
                <w:highlight w:val="none"/>
                <w:lang w:val="en-US" w:eastAsia="zh-CN"/>
              </w:rPr>
              <w:t>种类</w:t>
            </w:r>
            <w:r>
              <w:rPr>
                <w:rFonts w:hint="default" w:ascii="仿宋" w:hAnsi="仿宋" w:eastAsia="仿宋" w:cs="仿宋"/>
                <w:color w:val="auto"/>
                <w:sz w:val="24"/>
                <w:szCs w:val="24"/>
                <w:highlight w:val="none"/>
                <w:lang w:val="en-US" w:eastAsia="zh-CN"/>
              </w:rPr>
              <w:t>得</w:t>
            </w:r>
            <w:r>
              <w:rPr>
                <w:rFonts w:hint="eastAsia" w:ascii="仿宋" w:hAnsi="仿宋" w:eastAsia="仿宋" w:cs="仿宋"/>
                <w:color w:val="auto"/>
                <w:sz w:val="24"/>
                <w:szCs w:val="24"/>
                <w:highlight w:val="none"/>
                <w:lang w:val="en-US" w:eastAsia="zh-CN"/>
              </w:rPr>
              <w:t>1</w:t>
            </w:r>
            <w:r>
              <w:rPr>
                <w:rFonts w:hint="default" w:ascii="仿宋" w:hAnsi="仿宋" w:eastAsia="仿宋" w:cs="仿宋"/>
                <w:color w:val="auto"/>
                <w:sz w:val="24"/>
                <w:szCs w:val="24"/>
                <w:highlight w:val="none"/>
                <w:lang w:val="en-US" w:eastAsia="zh-CN"/>
              </w:rPr>
              <w:t>分，最高得</w:t>
            </w:r>
            <w:r>
              <w:rPr>
                <w:rFonts w:hint="eastAsia" w:ascii="仿宋" w:hAnsi="仿宋" w:eastAsia="仿宋" w:cs="仿宋"/>
                <w:color w:val="auto"/>
                <w:sz w:val="24"/>
                <w:szCs w:val="24"/>
                <w:highlight w:val="none"/>
                <w:lang w:val="en-US" w:eastAsia="zh-CN"/>
              </w:rPr>
              <w:t>10</w:t>
            </w:r>
            <w:r>
              <w:rPr>
                <w:rFonts w:hint="default" w:ascii="仿宋" w:hAnsi="仿宋" w:eastAsia="仿宋" w:cs="仿宋"/>
                <w:color w:val="auto"/>
                <w:sz w:val="24"/>
                <w:szCs w:val="24"/>
                <w:highlight w:val="none"/>
                <w:lang w:val="en-US" w:eastAsia="zh-CN"/>
              </w:rPr>
              <w:t>分。</w:t>
            </w:r>
          </w:p>
          <w:p>
            <w:pPr>
              <w:pStyle w:val="8"/>
              <w:keepNext w:val="0"/>
              <w:keepLines w:val="0"/>
              <w:pageBreakBefore w:val="0"/>
              <w:kinsoku/>
              <w:wordWrap/>
              <w:overflowPunct/>
              <w:topLinePunct w:val="0"/>
              <w:autoSpaceDE/>
              <w:autoSpaceDN/>
              <w:bidi w:val="0"/>
              <w:adjustRightInd/>
              <w:spacing w:line="240" w:lineRule="auto"/>
              <w:ind w:firstLine="0" w:firstLineChars="0"/>
              <w:textAlignment w:val="auto"/>
              <w:rPr>
                <w:rFonts w:hint="eastAsia" w:ascii="仿宋" w:hAnsi="仿宋" w:eastAsia="仿宋" w:cs="仿宋"/>
                <w:color w:val="auto"/>
                <w:kern w:val="0"/>
                <w:sz w:val="24"/>
                <w:szCs w:val="24"/>
                <w:highlight w:val="none"/>
                <w:lang w:val="en-US" w:eastAsia="zh-CN" w:bidi="ar-SA"/>
              </w:rPr>
            </w:pPr>
            <w:r>
              <w:rPr>
                <w:rFonts w:hint="default" w:ascii="仿宋" w:hAnsi="仿宋" w:eastAsia="仿宋" w:cs="仿宋"/>
                <w:color w:val="auto"/>
                <w:sz w:val="24"/>
                <w:szCs w:val="24"/>
                <w:highlight w:val="none"/>
                <w:lang w:val="en-US" w:eastAsia="zh-CN"/>
              </w:rPr>
              <w:t>注：须提供有效合同复印件并加盖投标人公章，未提供或提供不全的不得分。合同须包括但不限于合同首页、主要内容页（含客户名称、签订时间、服务内容）、双方盖章页</w:t>
            </w:r>
            <w:r>
              <w:rPr>
                <w:rFonts w:hint="eastAsia" w:ascii="仿宋" w:hAnsi="仿宋" w:eastAsia="仿宋" w:cs="仿宋"/>
                <w:color w:val="auto"/>
                <w:sz w:val="24"/>
                <w:szCs w:val="24"/>
                <w:highlight w:val="none"/>
                <w:lang w:val="en-US" w:eastAsia="zh-CN"/>
              </w:rPr>
              <w:t>及业务种类</w:t>
            </w:r>
            <w:r>
              <w:rPr>
                <w:rFonts w:hint="default" w:ascii="仿宋" w:hAnsi="仿宋" w:eastAsia="仿宋" w:cs="仿宋"/>
                <w:color w:val="auto"/>
                <w:sz w:val="24"/>
                <w:szCs w:val="24"/>
                <w:highlight w:val="none"/>
                <w:lang w:val="en-US" w:eastAsia="zh-CN"/>
              </w:rPr>
              <w:t>。</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r>
        <w:tblPrEx>
          <w:tblCellMar>
            <w:top w:w="0" w:type="dxa"/>
            <w:left w:w="108" w:type="dxa"/>
            <w:bottom w:w="0" w:type="dxa"/>
            <w:right w:w="108" w:type="dxa"/>
          </w:tblCellMar>
        </w:tblPrEx>
        <w:trPr>
          <w:trHeight w:val="1790"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项目应急预案</w:t>
            </w: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主要考察投标人对于项目应急预案的可行性和有效性，经横向比较后综合评分。方案符合要求，内容完整、充实，响应时间在一周的得5.1-7分；方案符合要求，内容完整、但有所欠缺，响应时间在两周及以内的得3.1-5分；方案符合要求，但内容不完整，响应时间在两周以上的得0.1-3分；未提供不得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r>
      <w:tr>
        <w:tblPrEx>
          <w:tblCellMar>
            <w:top w:w="0" w:type="dxa"/>
            <w:left w:w="108" w:type="dxa"/>
            <w:bottom w:w="0" w:type="dxa"/>
            <w:right w:w="108" w:type="dxa"/>
          </w:tblCellMar>
        </w:tblPrEx>
        <w:trPr>
          <w:trHeight w:val="927"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6</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质量方案与质量保证</w:t>
            </w: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投标人须提供本项目的服务保障措施：主要考察投标人的项目实施组织形式和质量保证措施科学可行，质量管理体系健全，各级质量管理人员齐全，岗位职责明确，以及对采购方需求相应的及时：</w:t>
            </w:r>
          </w:p>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color w:val="auto"/>
                <w:highlight w:val="none"/>
                <w:lang w:eastAsia="zh-CN"/>
              </w:rPr>
            </w:pPr>
            <w:r>
              <w:rPr>
                <w:rFonts w:hint="eastAsia" w:ascii="Times New Roman" w:hAnsi="Times New Roman" w:eastAsia="宋体" w:cs="Times New Roman"/>
                <w:color w:val="auto"/>
                <w:kern w:val="2"/>
                <w:sz w:val="21"/>
                <w:szCs w:val="24"/>
                <w:highlight w:val="none"/>
                <w:lang w:val="en-US" w:eastAsia="zh-CN" w:bidi="ar-SA"/>
              </w:rPr>
              <w:t>（1）</w:t>
            </w:r>
            <w:r>
              <w:rPr>
                <w:rFonts w:hint="eastAsia" w:ascii="仿宋" w:hAnsi="仿宋" w:eastAsia="仿宋" w:cs="仿宋"/>
                <w:color w:val="auto"/>
                <w:sz w:val="24"/>
                <w:szCs w:val="24"/>
                <w:highlight w:val="none"/>
                <w:lang w:eastAsia="zh-CN"/>
              </w:rPr>
              <w:t>服务承诺完整可行，落实保障措施到位的得</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eastAsia="zh-CN"/>
              </w:rPr>
              <w:t>分；（</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）服务承诺较完整可行，落实保障措施较到位的得3.1-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分；</w:t>
            </w:r>
          </w:p>
          <w:p>
            <w:pPr>
              <w:keepNext w:val="0"/>
              <w:keepLines w:val="0"/>
              <w:pageBreakBefore w:val="0"/>
              <w:numPr>
                <w:ilvl w:val="0"/>
                <w:numId w:val="0"/>
              </w:numPr>
              <w:kinsoku/>
              <w:wordWrap/>
              <w:overflowPunct/>
              <w:topLinePunct w:val="0"/>
              <w:autoSpaceDE/>
              <w:autoSpaceDN/>
              <w:bidi w:val="0"/>
              <w:adjustRightInd/>
              <w:spacing w:line="240" w:lineRule="auto"/>
              <w:ind w:left="0" w:leftChars="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2"/>
                <w:sz w:val="24"/>
                <w:szCs w:val="24"/>
                <w:highlight w:val="none"/>
                <w:lang w:val="en-US" w:eastAsia="zh-CN" w:bidi="ar-SA"/>
              </w:rPr>
              <w:t>（3）</w:t>
            </w:r>
            <w:r>
              <w:rPr>
                <w:rFonts w:hint="eastAsia" w:ascii="仿宋" w:hAnsi="仿宋" w:eastAsia="仿宋" w:cs="仿宋"/>
                <w:color w:val="auto"/>
                <w:sz w:val="24"/>
                <w:szCs w:val="24"/>
                <w:highlight w:val="none"/>
                <w:lang w:eastAsia="zh-CN"/>
              </w:rPr>
              <w:t>服务承诺及落实保障措施一般的得0.1-3分；</w:t>
            </w:r>
          </w:p>
          <w:p>
            <w:pPr>
              <w:keepNext w:val="0"/>
              <w:keepLines w:val="0"/>
              <w:pageBreakBefore w:val="0"/>
              <w:numPr>
                <w:ilvl w:val="0"/>
                <w:numId w:val="0"/>
              </w:numPr>
              <w:kinsoku/>
              <w:wordWrap/>
              <w:overflowPunct/>
              <w:topLinePunct w:val="0"/>
              <w:autoSpaceDE/>
              <w:autoSpaceDN/>
              <w:bidi w:val="0"/>
              <w:adjustRightInd/>
              <w:spacing w:line="240" w:lineRule="auto"/>
              <w:ind w:left="0" w:leftChars="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（4）不提供不得分。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r>
        <w:tblPrEx>
          <w:tblCellMar>
            <w:top w:w="0" w:type="dxa"/>
            <w:left w:w="108" w:type="dxa"/>
            <w:bottom w:w="0" w:type="dxa"/>
            <w:right w:w="108" w:type="dxa"/>
          </w:tblCellMar>
        </w:tblPrEx>
        <w:trPr>
          <w:trHeight w:val="138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服务能力（或快速响应能力）</w:t>
            </w: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根据投标人的综合实力，人员配备数量和技术力量，是否具有较强较快的便捷服务能力；协调与项目实施相关各方关系的承诺等进行综合评分：</w:t>
            </w:r>
          </w:p>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（1）服务能力全面，对后续服务有保障的，得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分；</w:t>
            </w:r>
          </w:p>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（2）服务能力较全面，具有一定服务保障的，得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分；</w:t>
            </w:r>
          </w:p>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（3）服务能力不全面的，得0.1-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分；</w:t>
            </w:r>
          </w:p>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（4）不提供不得分。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r>
      <w:tr>
        <w:tblPrEx>
          <w:tblCellMar>
            <w:top w:w="0" w:type="dxa"/>
            <w:left w:w="108" w:type="dxa"/>
            <w:bottom w:w="0" w:type="dxa"/>
            <w:right w:w="108" w:type="dxa"/>
          </w:tblCellMar>
        </w:tblPrEx>
        <w:trPr>
          <w:trHeight w:val="1802"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服务方案</w:t>
            </w:r>
          </w:p>
        </w:tc>
        <w:tc>
          <w:tcPr>
            <w:tcW w:w="6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主要考察投标人对于本项目</w:t>
            </w:r>
            <w:r>
              <w:rPr>
                <w:rFonts w:hint="eastAsia" w:ascii="仿宋" w:hAnsi="仿宋" w:eastAsia="仿宋" w:cs="仿宋"/>
                <w:color w:val="auto"/>
                <w:kern w:val="2"/>
                <w:sz w:val="24"/>
                <w:szCs w:val="24"/>
                <w:highlight w:val="none"/>
                <w:lang w:val="en-US" w:eastAsia="zh-CN" w:bidi="ar-SA"/>
              </w:rPr>
              <w:t>成本调查监审</w:t>
            </w:r>
            <w:r>
              <w:rPr>
                <w:rFonts w:hint="eastAsia" w:ascii="仿宋" w:hAnsi="仿宋" w:eastAsia="仿宋" w:cs="仿宋"/>
                <w:color w:val="auto"/>
                <w:sz w:val="24"/>
                <w:szCs w:val="24"/>
                <w:highlight w:val="none"/>
                <w:lang w:eastAsia="zh-CN"/>
              </w:rPr>
              <w:t>的专业及熟悉程度，结合项目特点，对项目整体方法和思路的完整性与合理性进行综合评审：方案符合要求，内容完整、充实的得</w:t>
            </w:r>
            <w:r>
              <w:rPr>
                <w:rFonts w:hint="eastAsia" w:ascii="仿宋" w:hAnsi="仿宋" w:eastAsia="仿宋" w:cs="仿宋"/>
                <w:color w:val="auto"/>
                <w:sz w:val="24"/>
                <w:szCs w:val="24"/>
                <w:highlight w:val="none"/>
                <w:lang w:val="en-US" w:eastAsia="zh-CN"/>
              </w:rPr>
              <w:t>14.1-20</w:t>
            </w:r>
            <w:r>
              <w:rPr>
                <w:rFonts w:hint="eastAsia" w:ascii="仿宋" w:hAnsi="仿宋" w:eastAsia="仿宋" w:cs="仿宋"/>
                <w:color w:val="auto"/>
                <w:sz w:val="24"/>
                <w:szCs w:val="24"/>
                <w:highlight w:val="none"/>
                <w:lang w:eastAsia="zh-CN"/>
              </w:rPr>
              <w:t>分；方案符合要求，内容完整，但有所欠缺的得</w:t>
            </w:r>
            <w:r>
              <w:rPr>
                <w:rFonts w:hint="eastAsia" w:ascii="仿宋" w:hAnsi="仿宋" w:eastAsia="仿宋" w:cs="仿宋"/>
                <w:color w:val="auto"/>
                <w:sz w:val="24"/>
                <w:szCs w:val="24"/>
                <w:highlight w:val="none"/>
                <w:lang w:val="en-US" w:eastAsia="zh-CN"/>
              </w:rPr>
              <w:t>8.1-14</w:t>
            </w:r>
            <w:r>
              <w:rPr>
                <w:rFonts w:hint="eastAsia" w:ascii="仿宋" w:hAnsi="仿宋" w:eastAsia="仿宋" w:cs="仿宋"/>
                <w:color w:val="auto"/>
                <w:sz w:val="24"/>
                <w:szCs w:val="24"/>
                <w:highlight w:val="none"/>
                <w:lang w:eastAsia="zh-CN"/>
              </w:rPr>
              <w:t>分；方案符合要求，但内容不完整的得</w:t>
            </w:r>
            <w:r>
              <w:rPr>
                <w:rFonts w:hint="eastAsia" w:ascii="仿宋" w:hAnsi="仿宋" w:eastAsia="仿宋" w:cs="仿宋"/>
                <w:color w:val="auto"/>
                <w:sz w:val="24"/>
                <w:szCs w:val="24"/>
                <w:highlight w:val="none"/>
                <w:lang w:val="en-US" w:eastAsia="zh-CN"/>
              </w:rPr>
              <w:t>0.1-8</w:t>
            </w:r>
            <w:r>
              <w:rPr>
                <w:rFonts w:hint="eastAsia" w:ascii="仿宋" w:hAnsi="仿宋" w:eastAsia="仿宋" w:cs="仿宋"/>
                <w:color w:val="auto"/>
                <w:sz w:val="24"/>
                <w:szCs w:val="24"/>
                <w:highlight w:val="none"/>
                <w:lang w:eastAsia="zh-CN"/>
              </w:rPr>
              <w:t>分；不提供不得分。</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r>
    </w:tbl>
    <w:p>
      <w:pPr>
        <w:keepNext w:val="0"/>
        <w:keepLines w:val="0"/>
        <w:pageBreakBefore w:val="0"/>
        <w:widowControl w:val="0"/>
        <w:kinsoku/>
        <w:wordWrap/>
        <w:overflowPunct/>
        <w:topLinePunct w:val="0"/>
        <w:autoSpaceDE/>
        <w:autoSpaceDN/>
        <w:bidi w:val="0"/>
        <w:adjustRightInd w:val="0"/>
        <w:snapToGrid w:val="0"/>
        <w:spacing w:line="288" w:lineRule="auto"/>
        <w:ind w:left="0" w:firstLine="40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b w:val="0"/>
          <w:bCs/>
          <w:color w:val="auto"/>
          <w:sz w:val="24"/>
          <w:highlight w:val="none"/>
          <w:lang w:val="en-US" w:eastAsia="zh-CN"/>
        </w:rPr>
        <w:t>1、</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pPr>
        <w:keepNext w:val="0"/>
        <w:keepLines w:val="0"/>
        <w:pageBreakBefore w:val="0"/>
        <w:widowControl w:val="0"/>
        <w:numPr>
          <w:ilvl w:val="0"/>
          <w:numId w:val="1"/>
        </w:numPr>
        <w:kinsoku/>
        <w:wordWrap/>
        <w:overflowPunct/>
        <w:topLinePunct w:val="0"/>
        <w:autoSpaceDE/>
        <w:autoSpaceDN/>
        <w:bidi w:val="0"/>
        <w:adjustRightInd w:val="0"/>
        <w:snapToGrid w:val="0"/>
        <w:spacing w:line="288"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本项目招标文件内对开标现场原件核验不作要求，招标人有权在标后对中标候选人进行原件核验，投标人对所提供的全部资料的真实性承担法律责任。</w:t>
      </w:r>
    </w:p>
    <w:p>
      <w:pPr>
        <w:keepNext w:val="0"/>
        <w:keepLines w:val="0"/>
        <w:pageBreakBefore w:val="0"/>
        <w:widowControl w:val="0"/>
        <w:numPr>
          <w:ilvl w:val="0"/>
          <w:numId w:val="1"/>
        </w:numPr>
        <w:kinsoku/>
        <w:wordWrap/>
        <w:overflowPunct/>
        <w:topLinePunct w:val="0"/>
        <w:autoSpaceDE/>
        <w:autoSpaceDN/>
        <w:bidi w:val="0"/>
        <w:adjustRightInd w:val="0"/>
        <w:snapToGrid w:val="0"/>
        <w:spacing w:line="288"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所有的证书必须在有效期内，不在有效期内的不得分</w:t>
      </w:r>
      <w:r>
        <w:rPr>
          <w:rFonts w:hint="eastAsia" w:ascii="仿宋" w:hAnsi="仿宋" w:eastAsia="仿宋" w:cs="仿宋"/>
          <w:color w:val="auto"/>
          <w:sz w:val="24"/>
          <w:highlight w:val="none"/>
          <w:lang w:eastAsia="zh-CN"/>
        </w:rPr>
        <w:t>。</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pPr>
        <w:shd w:val="clear" w:color="auto" w:fill="auto"/>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w:t>
      </w:r>
      <w:r>
        <w:rPr>
          <w:rFonts w:hint="eastAsia" w:ascii="仿宋" w:hAnsi="仿宋" w:eastAsia="仿宋" w:cs="仿宋"/>
          <w:bCs/>
          <w:iCs/>
          <w:color w:val="auto"/>
          <w:sz w:val="24"/>
          <w:highlight w:val="none"/>
          <w:lang w:eastAsia="zh-CN"/>
        </w:rPr>
        <w:t>下浮率最大</w:t>
      </w:r>
      <w:r>
        <w:rPr>
          <w:rFonts w:hint="eastAsia" w:ascii="仿宋" w:hAnsi="仿宋" w:eastAsia="仿宋" w:cs="仿宋"/>
          <w:bCs/>
          <w:iCs/>
          <w:color w:val="auto"/>
          <w:sz w:val="24"/>
          <w:highlight w:val="none"/>
        </w:rPr>
        <w:t>的投标报价为评标基准价，其价格分为满分。</w:t>
      </w:r>
    </w:p>
    <w:p>
      <w:pPr>
        <w:shd w:val="clear" w:color="auto" w:fill="auto"/>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shd w:val="clear" w:color="auto" w:fill="auto"/>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投标报价得分=(1-评标基准价）</w:t>
      </w:r>
      <w:r>
        <w:rPr>
          <w:rFonts w:hint="eastAsia" w:ascii="仿宋" w:hAnsi="仿宋" w:eastAsia="仿宋" w:cs="仿宋"/>
          <w:bCs/>
          <w:iCs/>
          <w:color w:val="auto"/>
          <w:sz w:val="24"/>
          <w:highlight w:val="none"/>
          <w:lang w:val="en-US" w:eastAsia="zh-CN"/>
        </w:rPr>
        <w:t>/</w:t>
      </w:r>
      <w:r>
        <w:rPr>
          <w:rFonts w:hint="eastAsia" w:ascii="仿宋" w:hAnsi="仿宋" w:eastAsia="仿宋" w:cs="仿宋"/>
          <w:bCs/>
          <w:iCs/>
          <w:color w:val="auto"/>
          <w:sz w:val="24"/>
          <w:highlight w:val="none"/>
        </w:rPr>
        <w:t>（1-投标下浮率）×价格权值×100</w:t>
      </w:r>
    </w:p>
    <w:p>
      <w:pPr>
        <w:shd w:val="clear" w:color="auto" w:fill="auto"/>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即：投标报价得分=(1-评标基准价）／（1-投标下浮率）×</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0</w:t>
      </w:r>
    </w:p>
    <w:p>
      <w:pPr>
        <w:pStyle w:val="3"/>
        <w:rPr>
          <w:rFonts w:hint="eastAsia" w:ascii="仿宋" w:hAnsi="仿宋" w:eastAsia="仿宋" w:cs="仿宋"/>
          <w:color w:val="auto"/>
          <w:highlight w:val="none"/>
        </w:rPr>
      </w:pPr>
    </w:p>
    <w:p>
      <w:pPr>
        <w:pStyle w:val="4"/>
        <w:rPr>
          <w:rFonts w:hint="eastAsia" w:ascii="仿宋" w:hAnsi="仿宋" w:eastAsia="仿宋" w:cs="仿宋"/>
          <w:color w:val="auto"/>
          <w:highlight w:val="none"/>
        </w:rPr>
      </w:pPr>
    </w:p>
    <w:p>
      <w:pPr>
        <w:rPr>
          <w:rFonts w:hint="eastAsia" w:ascii="仿宋" w:hAnsi="仿宋" w:eastAsia="仿宋" w:cs="仿宋"/>
          <w:color w:val="auto"/>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pStyle w:val="5"/>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color w:val="auto"/>
          <w:highlight w:val="none"/>
        </w:rPr>
      </w:pPr>
    </w:p>
    <w:p>
      <w:pP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5"/>
      <w:r>
        <w:rPr>
          <w:rFonts w:hint="eastAsia" w:ascii="仿宋" w:hAnsi="仿宋" w:eastAsia="仿宋" w:cs="仿宋"/>
          <w:b/>
          <w:color w:val="auto"/>
          <w:sz w:val="36"/>
          <w:szCs w:val="20"/>
          <w:highlight w:val="none"/>
        </w:rPr>
        <w:t xml:space="preserve"> </w:t>
      </w:r>
      <w:bookmarkEnd w:id="36"/>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）中小企业声明函………………………………………………………（页码）</w:t>
      </w:r>
    </w:p>
    <w:p>
      <w:pPr>
        <w:pStyle w:val="2"/>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7</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……………………………………………………………（页码）</w:t>
      </w:r>
    </w:p>
    <w:p>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授权代表社保证明（复印件）………………………………………………（页码）</w:t>
      </w:r>
    </w:p>
    <w:p>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法定代表人身份证明书………………………………………………………（页码）</w:t>
      </w:r>
    </w:p>
    <w:p>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………………………………………………………………（页码）</w:t>
      </w:r>
    </w:p>
    <w:p>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_GB2312" w:hAnsi="仿宋_GB2312" w:eastAsia="仿宋_GB2312" w:cs="仿宋_GB2312"/>
          <w:color w:val="auto"/>
          <w:sz w:val="24"/>
          <w:highlight w:val="none"/>
        </w:rPr>
        <w:t>（页码）</w:t>
      </w:r>
    </w:p>
    <w:p>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6"/>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6"/>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（填写姓名）</w:t>
      </w:r>
      <w:r>
        <w:rPr>
          <w:rFonts w:hint="eastAsia" w:ascii="仿宋" w:hAnsi="仿宋" w:eastAsia="仿宋" w:cs="仿宋"/>
          <w:color w:val="auto"/>
          <w:sz w:val="24"/>
          <w:highlight w:val="none"/>
        </w:rPr>
        <w:t>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（填写姓名）</w:t>
      </w:r>
      <w:r>
        <w:rPr>
          <w:rFonts w:hint="eastAsia" w:ascii="仿宋" w:hAnsi="仿宋" w:eastAsia="仿宋" w:cs="仿宋"/>
          <w:color w:val="auto"/>
          <w:sz w:val="24"/>
          <w:highlight w:val="none"/>
        </w:rPr>
        <w:t>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jc w:val="center"/>
        <w:rPr>
          <w:rFonts w:hint="eastAsia" w:ascii="仿宋" w:hAnsi="仿宋" w:eastAsia="仿宋" w:cs="仿宋"/>
          <w:b/>
          <w:color w:val="auto"/>
          <w:sz w:val="30"/>
          <w:szCs w:val="30"/>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80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35"/>
        <w:gridCol w:w="3437"/>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535"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437"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350"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535" w:type="dxa"/>
          </w:tcPr>
          <w:p>
            <w:pPr>
              <w:jc w:val="center"/>
              <w:rPr>
                <w:rFonts w:hint="eastAsia" w:ascii="仿宋" w:hAnsi="仿宋" w:eastAsia="仿宋" w:cs="仿宋"/>
                <w:b/>
                <w:color w:val="auto"/>
                <w:kern w:val="0"/>
                <w:sz w:val="32"/>
                <w:szCs w:val="32"/>
                <w:highlight w:val="none"/>
              </w:rPr>
            </w:pPr>
          </w:p>
        </w:tc>
        <w:tc>
          <w:tcPr>
            <w:tcW w:w="3437" w:type="dxa"/>
          </w:tcPr>
          <w:p>
            <w:pPr>
              <w:jc w:val="center"/>
              <w:rPr>
                <w:rFonts w:hint="eastAsia" w:ascii="仿宋" w:hAnsi="仿宋" w:eastAsia="仿宋" w:cs="仿宋"/>
                <w:b/>
                <w:color w:val="auto"/>
                <w:kern w:val="0"/>
                <w:sz w:val="32"/>
                <w:szCs w:val="32"/>
                <w:highlight w:val="none"/>
              </w:rPr>
            </w:pPr>
          </w:p>
        </w:tc>
        <w:tc>
          <w:tcPr>
            <w:tcW w:w="1350"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535" w:type="dxa"/>
          </w:tcPr>
          <w:p>
            <w:pPr>
              <w:jc w:val="center"/>
              <w:rPr>
                <w:rFonts w:hint="eastAsia" w:ascii="仿宋" w:hAnsi="仿宋" w:eastAsia="仿宋" w:cs="仿宋"/>
                <w:b/>
                <w:color w:val="auto"/>
                <w:kern w:val="0"/>
                <w:sz w:val="32"/>
                <w:szCs w:val="32"/>
                <w:highlight w:val="none"/>
              </w:rPr>
            </w:pPr>
          </w:p>
        </w:tc>
        <w:tc>
          <w:tcPr>
            <w:tcW w:w="3437" w:type="dxa"/>
          </w:tcPr>
          <w:p>
            <w:pPr>
              <w:jc w:val="center"/>
              <w:rPr>
                <w:rFonts w:hint="eastAsia" w:ascii="仿宋" w:hAnsi="仿宋" w:eastAsia="仿宋" w:cs="仿宋"/>
                <w:b/>
                <w:color w:val="auto"/>
                <w:kern w:val="0"/>
                <w:sz w:val="32"/>
                <w:szCs w:val="32"/>
                <w:highlight w:val="none"/>
              </w:rPr>
            </w:pPr>
          </w:p>
        </w:tc>
        <w:tc>
          <w:tcPr>
            <w:tcW w:w="1350"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535" w:type="dxa"/>
          </w:tcPr>
          <w:p>
            <w:pPr>
              <w:jc w:val="center"/>
              <w:rPr>
                <w:rFonts w:hint="eastAsia" w:ascii="仿宋" w:hAnsi="仿宋" w:eastAsia="仿宋" w:cs="仿宋"/>
                <w:b/>
                <w:color w:val="auto"/>
                <w:kern w:val="0"/>
                <w:sz w:val="32"/>
                <w:szCs w:val="32"/>
                <w:highlight w:val="none"/>
              </w:rPr>
            </w:pPr>
          </w:p>
        </w:tc>
        <w:tc>
          <w:tcPr>
            <w:tcW w:w="3437" w:type="dxa"/>
          </w:tcPr>
          <w:p>
            <w:pPr>
              <w:jc w:val="center"/>
              <w:rPr>
                <w:rFonts w:hint="eastAsia" w:ascii="仿宋" w:hAnsi="仿宋" w:eastAsia="仿宋" w:cs="仿宋"/>
                <w:b/>
                <w:color w:val="auto"/>
                <w:kern w:val="0"/>
                <w:sz w:val="32"/>
                <w:szCs w:val="32"/>
                <w:highlight w:val="none"/>
              </w:rPr>
            </w:pPr>
          </w:p>
        </w:tc>
        <w:tc>
          <w:tcPr>
            <w:tcW w:w="1350"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2"/>
        <w:rPr>
          <w:rFonts w:hint="eastAsia" w:ascii="仿宋" w:hAnsi="仿宋" w:eastAsia="仿宋" w:cs="仿宋"/>
          <w:b/>
          <w:bCs/>
          <w:color w:val="auto"/>
          <w:sz w:val="24"/>
          <w:highlight w:val="none"/>
        </w:rPr>
      </w:pPr>
    </w:p>
    <w:p>
      <w:pPr>
        <w:pStyle w:val="3"/>
        <w:rPr>
          <w:rFonts w:hint="eastAsia" w:ascii="仿宋" w:hAnsi="仿宋" w:eastAsia="仿宋" w:cs="仿宋"/>
          <w:b/>
          <w:bCs/>
          <w:color w:val="auto"/>
          <w:sz w:val="24"/>
          <w:highlight w:val="none"/>
        </w:rPr>
      </w:pPr>
    </w:p>
    <w:p>
      <w:pPr>
        <w:pStyle w:val="4"/>
        <w:rPr>
          <w:rFonts w:hint="eastAsia"/>
          <w:color w:val="auto"/>
          <w:highlight w:val="none"/>
        </w:rPr>
      </w:pPr>
    </w:p>
    <w:p>
      <w:pPr>
        <w:pStyle w:val="79"/>
        <w:jc w:val="center"/>
        <w:rPr>
          <w:rFonts w:hint="eastAsia" w:ascii="仿宋" w:hAnsi="仿宋" w:eastAsia="仿宋" w:cs="仿宋"/>
          <w:b/>
          <w:bCs/>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Style w:val="2"/>
        <w:rPr>
          <w:rFonts w:ascii="仿宋_GB2312" w:hAnsi="仿宋_GB2312" w:eastAsia="仿宋_GB2312" w:cs="仿宋_GB2312"/>
          <w:b/>
          <w:bCs/>
          <w:color w:val="auto"/>
          <w:sz w:val="32"/>
          <w:szCs w:val="32"/>
          <w:highlight w:val="none"/>
        </w:rPr>
      </w:pPr>
    </w:p>
    <w:p>
      <w:pPr>
        <w:pStyle w:val="3"/>
        <w:rPr>
          <w:color w:val="auto"/>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hint="eastAsia" w:ascii="仿宋_GB2312" w:hAnsi="仿宋_GB2312" w:eastAsia="仿宋_GB2312" w:cs="仿宋_GB2312"/>
          <w:b/>
          <w:color w:val="auto"/>
          <w:sz w:val="30"/>
          <w:szCs w:val="30"/>
          <w:highlight w:val="none"/>
          <w:lang w:eastAsia="zh-CN"/>
        </w:rPr>
      </w:pPr>
    </w:p>
    <w:p>
      <w:pPr>
        <w:pStyle w:val="2"/>
        <w:rPr>
          <w:rFonts w:hint="eastAsia" w:ascii="仿宋_GB2312" w:hAnsi="仿宋_GB2312" w:eastAsia="仿宋_GB2312" w:cs="仿宋_GB2312"/>
          <w:b/>
          <w:color w:val="auto"/>
          <w:sz w:val="30"/>
          <w:szCs w:val="30"/>
          <w:highlight w:val="none"/>
          <w:lang w:eastAsia="zh-CN"/>
        </w:rPr>
      </w:pPr>
    </w:p>
    <w:p>
      <w:pPr>
        <w:pStyle w:val="3"/>
        <w:rPr>
          <w:rFonts w:hint="eastAsia" w:ascii="仿宋_GB2312" w:hAnsi="仿宋_GB2312" w:eastAsia="仿宋_GB2312" w:cs="仿宋_GB2312"/>
          <w:b/>
          <w:color w:val="auto"/>
          <w:sz w:val="30"/>
          <w:szCs w:val="30"/>
          <w:highlight w:val="none"/>
          <w:lang w:eastAsia="zh-CN"/>
        </w:rPr>
      </w:pPr>
    </w:p>
    <w:p>
      <w:pPr>
        <w:pStyle w:val="4"/>
        <w:rPr>
          <w:rFonts w:hint="eastAsia" w:ascii="仿宋_GB2312" w:hAnsi="仿宋_GB2312" w:eastAsia="仿宋_GB2312" w:cs="仿宋_GB2312"/>
          <w:b/>
          <w:color w:val="auto"/>
          <w:sz w:val="30"/>
          <w:szCs w:val="30"/>
          <w:highlight w:val="none"/>
          <w:lang w:eastAsia="zh-CN"/>
        </w:rPr>
      </w:pPr>
    </w:p>
    <w:p>
      <w:pPr>
        <w:rPr>
          <w:rFonts w:hint="eastAsia" w:ascii="仿宋_GB2312" w:hAnsi="仿宋_GB2312" w:eastAsia="仿宋_GB2312" w:cs="仿宋_GB2312"/>
          <w:b/>
          <w:color w:val="auto"/>
          <w:sz w:val="30"/>
          <w:szCs w:val="30"/>
          <w:highlight w:val="none"/>
          <w:lang w:eastAsia="zh-CN"/>
        </w:rPr>
      </w:pPr>
    </w:p>
    <w:p>
      <w:pPr>
        <w:pStyle w:val="2"/>
        <w:rPr>
          <w:rFonts w:hint="eastAsia" w:ascii="仿宋_GB2312" w:hAnsi="仿宋_GB2312" w:eastAsia="仿宋_GB2312" w:cs="仿宋_GB2312"/>
          <w:b/>
          <w:color w:val="auto"/>
          <w:sz w:val="30"/>
          <w:szCs w:val="30"/>
          <w:highlight w:val="none"/>
          <w:lang w:eastAsia="zh-CN"/>
        </w:rPr>
      </w:pPr>
    </w:p>
    <w:p>
      <w:pPr>
        <w:pStyle w:val="3"/>
        <w:rPr>
          <w:rFonts w:hint="eastAsia" w:ascii="仿宋_GB2312" w:hAnsi="仿宋_GB2312" w:eastAsia="仿宋_GB2312" w:cs="仿宋_GB2312"/>
          <w:b/>
          <w:color w:val="auto"/>
          <w:sz w:val="30"/>
          <w:szCs w:val="30"/>
          <w:highlight w:val="none"/>
          <w:lang w:eastAsia="zh-CN"/>
        </w:rPr>
      </w:pPr>
    </w:p>
    <w:p>
      <w:pPr>
        <w:pStyle w:val="4"/>
        <w:rPr>
          <w:rFonts w:hint="eastAsia" w:ascii="仿宋_GB2312" w:hAnsi="仿宋_GB2312" w:eastAsia="仿宋_GB2312" w:cs="仿宋_GB2312"/>
          <w:b/>
          <w:color w:val="auto"/>
          <w:sz w:val="30"/>
          <w:szCs w:val="30"/>
          <w:highlight w:val="none"/>
          <w:lang w:eastAsia="zh-CN"/>
        </w:rPr>
      </w:pPr>
    </w:p>
    <w:p>
      <w:pPr>
        <w:rPr>
          <w:rFonts w:hint="eastAsia" w:ascii="仿宋_GB2312" w:hAnsi="仿宋_GB2312" w:eastAsia="仿宋_GB2312" w:cs="仿宋_GB2312"/>
          <w:b/>
          <w:color w:val="auto"/>
          <w:sz w:val="30"/>
          <w:szCs w:val="30"/>
          <w:highlight w:val="none"/>
          <w:lang w:eastAsia="zh-CN"/>
        </w:rPr>
      </w:pPr>
    </w:p>
    <w:p>
      <w:pPr>
        <w:pStyle w:val="2"/>
        <w:rPr>
          <w:rFonts w:hint="eastAsia" w:ascii="仿宋_GB2312" w:hAnsi="仿宋_GB2312" w:eastAsia="仿宋_GB2312" w:cs="仿宋_GB2312"/>
          <w:b/>
          <w:color w:val="auto"/>
          <w:sz w:val="30"/>
          <w:szCs w:val="30"/>
          <w:highlight w:val="none"/>
          <w:lang w:eastAsia="zh-CN"/>
        </w:rPr>
      </w:pPr>
    </w:p>
    <w:p>
      <w:pPr>
        <w:pStyle w:val="3"/>
        <w:rPr>
          <w:rFonts w:hint="eastAsia"/>
          <w:color w:val="auto"/>
          <w:highlight w:val="none"/>
          <w:lang w:eastAsia="zh-CN"/>
        </w:rPr>
      </w:pPr>
    </w:p>
    <w:p>
      <w:pPr>
        <w:pStyle w:val="79"/>
        <w:rPr>
          <w:rFonts w:hint="eastAsia"/>
          <w:color w:val="auto"/>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79"/>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Style w:val="2"/>
        <w:rPr>
          <w:rFonts w:ascii="仿宋_GB2312" w:hAnsi="仿宋_GB2312" w:eastAsia="仿宋_GB2312" w:cs="仿宋_GB2312"/>
          <w:b/>
          <w:bCs/>
          <w:color w:val="auto"/>
          <w:sz w:val="32"/>
          <w:szCs w:val="32"/>
          <w:highlight w:val="none"/>
        </w:rPr>
      </w:pPr>
    </w:p>
    <w:p>
      <w:pPr>
        <w:pStyle w:val="3"/>
        <w:rPr>
          <w:rFonts w:ascii="仿宋_GB2312" w:hAnsi="仿宋_GB2312" w:eastAsia="仿宋_GB2312" w:cs="仿宋_GB2312"/>
          <w:b/>
          <w:bCs/>
          <w:color w:val="auto"/>
          <w:sz w:val="32"/>
          <w:szCs w:val="32"/>
          <w:highlight w:val="none"/>
        </w:rPr>
      </w:pPr>
    </w:p>
    <w:p>
      <w:pPr>
        <w:pStyle w:val="4"/>
        <w:rPr>
          <w:rFonts w:ascii="仿宋_GB2312" w:hAnsi="仿宋_GB2312" w:eastAsia="仿宋_GB2312" w:cs="仿宋_GB2312"/>
          <w:b/>
          <w:bCs/>
          <w:color w:val="auto"/>
          <w:sz w:val="32"/>
          <w:szCs w:val="32"/>
          <w:highlight w:val="none"/>
        </w:rPr>
      </w:pPr>
    </w:p>
    <w:p>
      <w:pPr>
        <w:rPr>
          <w:rFonts w:ascii="仿宋_GB2312" w:hAnsi="仿宋_GB2312" w:eastAsia="仿宋_GB2312" w:cs="仿宋_GB2312"/>
          <w:b/>
          <w:bCs/>
          <w:color w:val="auto"/>
          <w:sz w:val="32"/>
          <w:szCs w:val="32"/>
          <w:highlight w:val="none"/>
        </w:rPr>
      </w:pPr>
    </w:p>
    <w:p>
      <w:pPr>
        <w:pStyle w:val="2"/>
        <w:rPr>
          <w:rFonts w:ascii="仿宋_GB2312" w:hAnsi="仿宋_GB2312" w:eastAsia="仿宋_GB2312" w:cs="仿宋_GB2312"/>
          <w:b/>
          <w:bCs/>
          <w:color w:val="auto"/>
          <w:sz w:val="32"/>
          <w:szCs w:val="32"/>
          <w:highlight w:val="none"/>
        </w:rPr>
      </w:pPr>
    </w:p>
    <w:p>
      <w:pPr>
        <w:pStyle w:val="3"/>
        <w:rPr>
          <w:rFonts w:ascii="仿宋_GB2312" w:hAnsi="仿宋_GB2312" w:eastAsia="仿宋_GB2312" w:cs="仿宋_GB2312"/>
          <w:b/>
          <w:bCs/>
          <w:color w:val="auto"/>
          <w:sz w:val="32"/>
          <w:szCs w:val="32"/>
          <w:highlight w:val="none"/>
        </w:rPr>
      </w:pPr>
    </w:p>
    <w:p>
      <w:pPr>
        <w:pStyle w:val="4"/>
        <w:rPr>
          <w:color w:val="auto"/>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rFonts w:hint="eastAsia"/>
          <w:color w:val="auto"/>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hd w:val="clear" w:color="auto" w:fill="auto"/>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sz w:val="24"/>
          <w:highlight w:val="none"/>
          <w:lang w:val="zh-CN"/>
        </w:rPr>
        <w:t>：</w:t>
      </w:r>
    </w:p>
    <w:p>
      <w:pPr>
        <w:shd w:val="clear" w:color="auto" w:fill="auto"/>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按你方招标文件要求，我们，本投标文件签字方，谨此向你方发出要约如下：如你方接受本投标，我方承诺按照如下</w:t>
      </w:r>
      <w:r>
        <w:rPr>
          <w:rFonts w:hint="eastAsia" w:ascii="仿宋" w:hAnsi="仿宋" w:eastAsia="仿宋" w:cs="仿宋"/>
          <w:color w:val="auto"/>
          <w:kern w:val="0"/>
          <w:sz w:val="24"/>
          <w:highlight w:val="none"/>
          <w:lang w:val="zh-CN"/>
        </w:rPr>
        <w:t>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hd w:val="clear" w:color="auto" w:fill="auto"/>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p>
    <w:tbl>
      <w:tblPr>
        <w:tblStyle w:val="62"/>
        <w:tblW w:w="53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771"/>
        <w:gridCol w:w="1439"/>
        <w:gridCol w:w="1028"/>
        <w:gridCol w:w="3102"/>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354" w:type="pct"/>
            <w:noWrap w:val="0"/>
            <w:vAlign w:val="center"/>
          </w:tcPr>
          <w:p>
            <w:pPr>
              <w:shd w:val="clear" w:color="auto" w:fill="auto"/>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94" w:type="pct"/>
            <w:noWrap w:val="0"/>
            <w:vAlign w:val="center"/>
          </w:tcPr>
          <w:p>
            <w:pPr>
              <w:shd w:val="clear" w:color="auto" w:fill="auto"/>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项目</w:t>
            </w:r>
            <w:r>
              <w:rPr>
                <w:rFonts w:hint="eastAsia" w:ascii="仿宋" w:hAnsi="仿宋" w:eastAsia="仿宋" w:cs="仿宋"/>
                <w:b/>
                <w:color w:val="auto"/>
                <w:sz w:val="24"/>
                <w:highlight w:val="none"/>
              </w:rPr>
              <w:t>名称</w:t>
            </w:r>
          </w:p>
        </w:tc>
        <w:tc>
          <w:tcPr>
            <w:tcW w:w="726" w:type="pct"/>
            <w:noWrap w:val="0"/>
            <w:vAlign w:val="center"/>
          </w:tcPr>
          <w:p>
            <w:pPr>
              <w:shd w:val="clear" w:color="auto" w:fill="auto"/>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服务内容</w:t>
            </w:r>
          </w:p>
        </w:tc>
        <w:tc>
          <w:tcPr>
            <w:tcW w:w="519" w:type="pct"/>
            <w:noWrap w:val="0"/>
            <w:vAlign w:val="center"/>
          </w:tcPr>
          <w:p>
            <w:pPr>
              <w:shd w:val="clear" w:color="auto" w:fill="auto"/>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66" w:type="pct"/>
            <w:noWrap w:val="0"/>
            <w:vAlign w:val="center"/>
          </w:tcPr>
          <w:p>
            <w:pPr>
              <w:shd w:val="clear" w:color="auto" w:fill="auto"/>
              <w:spacing w:line="360" w:lineRule="auto"/>
              <w:jc w:val="center"/>
              <w:rPr>
                <w:rFonts w:hint="eastAsia" w:ascii="仿宋" w:hAnsi="仿宋" w:eastAsia="仿宋" w:cs="仿宋"/>
                <w:b/>
                <w:color w:val="auto"/>
                <w:sz w:val="24"/>
                <w:highlight w:val="none"/>
              </w:rPr>
            </w:pPr>
            <w:r>
              <w:rPr>
                <w:rFonts w:hint="eastAsia" w:ascii="仿宋" w:hAnsi="仿宋" w:eastAsia="仿宋" w:cs="仿宋"/>
                <w:b/>
                <w:bCs/>
                <w:color w:val="auto"/>
                <w:kern w:val="2"/>
                <w:sz w:val="24"/>
                <w:szCs w:val="24"/>
                <w:highlight w:val="none"/>
                <w:lang w:val="en-US" w:eastAsia="zh-CN" w:bidi="ar-SA"/>
              </w:rPr>
              <w:t>成本调查监审期</w:t>
            </w:r>
          </w:p>
        </w:tc>
        <w:tc>
          <w:tcPr>
            <w:tcW w:w="937" w:type="pct"/>
            <w:noWrap w:val="0"/>
            <w:vAlign w:val="center"/>
          </w:tcPr>
          <w:p>
            <w:pPr>
              <w:shd w:val="clear" w:color="auto" w:fill="auto"/>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审核服务费上限价（元）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54" w:type="pct"/>
            <w:noWrap w:val="0"/>
            <w:vAlign w:val="center"/>
          </w:tcPr>
          <w:p>
            <w:pPr>
              <w:shd w:val="clear" w:color="auto" w:fill="auto"/>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894" w:type="pct"/>
            <w:vMerge w:val="restart"/>
            <w:noWrap w:val="0"/>
            <w:vAlign w:val="center"/>
          </w:tcPr>
          <w:p>
            <w:pPr>
              <w:shd w:val="clear" w:color="auto" w:fill="auto"/>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eastAsia="zh-CN"/>
              </w:rPr>
              <w:t>2024年度成本调查监审委托审核项目</w:t>
            </w:r>
          </w:p>
        </w:tc>
        <w:tc>
          <w:tcPr>
            <w:tcW w:w="7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成本预测调查项目审核</w:t>
            </w:r>
          </w:p>
        </w:tc>
        <w:tc>
          <w:tcPr>
            <w:tcW w:w="519" w:type="pct"/>
            <w:noWrap w:val="0"/>
            <w:vAlign w:val="center"/>
          </w:tcPr>
          <w:p>
            <w:pPr>
              <w:shd w:val="clear" w:color="auto" w:fill="auto"/>
              <w:snapToGrid w:val="0"/>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566" w:type="pct"/>
            <w:noWrap w:val="0"/>
            <w:vAlign w:val="center"/>
          </w:tcPr>
          <w:p>
            <w:pPr>
              <w:shd w:val="clear" w:color="auto" w:fill="auto"/>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c>
          <w:tcPr>
            <w:tcW w:w="937" w:type="pct"/>
            <w:noWrap w:val="0"/>
            <w:vAlign w:val="center"/>
          </w:tcPr>
          <w:p>
            <w:pPr>
              <w:shd w:val="clear" w:color="auto" w:fill="auto"/>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354" w:type="pct"/>
            <w:noWrap w:val="0"/>
            <w:vAlign w:val="center"/>
          </w:tcPr>
          <w:p>
            <w:pPr>
              <w:shd w:val="clear" w:color="auto" w:fill="auto"/>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p>
        </w:tc>
        <w:tc>
          <w:tcPr>
            <w:tcW w:w="894" w:type="pct"/>
            <w:vMerge w:val="continue"/>
            <w:noWrap w:val="0"/>
            <w:vAlign w:val="center"/>
          </w:tcPr>
          <w:p>
            <w:pPr>
              <w:shd w:val="clear" w:color="auto" w:fill="auto"/>
              <w:snapToGrid w:val="0"/>
              <w:spacing w:line="360" w:lineRule="auto"/>
              <w:jc w:val="center"/>
              <w:rPr>
                <w:rFonts w:hint="eastAsia" w:ascii="仿宋" w:hAnsi="仿宋" w:eastAsia="仿宋" w:cs="仿宋"/>
                <w:color w:val="auto"/>
                <w:sz w:val="24"/>
                <w:highlight w:val="none"/>
              </w:rPr>
            </w:pPr>
          </w:p>
        </w:tc>
        <w:tc>
          <w:tcPr>
            <w:tcW w:w="7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成本调查监审项目审核</w:t>
            </w:r>
          </w:p>
        </w:tc>
        <w:tc>
          <w:tcPr>
            <w:tcW w:w="519" w:type="pct"/>
            <w:noWrap w:val="0"/>
            <w:vAlign w:val="center"/>
          </w:tcPr>
          <w:p>
            <w:pPr>
              <w:shd w:val="clear" w:color="auto" w:fill="auto"/>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566" w:type="pct"/>
            <w:noWrap w:val="0"/>
            <w:vAlign w:val="center"/>
          </w:tcPr>
          <w:p>
            <w:pPr>
              <w:shd w:val="clear" w:color="auto" w:fill="auto"/>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一年</w:t>
            </w:r>
          </w:p>
        </w:tc>
        <w:tc>
          <w:tcPr>
            <w:tcW w:w="937" w:type="pct"/>
            <w:noWrap w:val="0"/>
            <w:vAlign w:val="center"/>
          </w:tcPr>
          <w:p>
            <w:pPr>
              <w:shd w:val="clear" w:color="auto" w:fill="auto"/>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354" w:type="pct"/>
            <w:noWrap w:val="0"/>
            <w:vAlign w:val="center"/>
          </w:tcPr>
          <w:p>
            <w:pPr>
              <w:shd w:val="clear" w:color="auto" w:fill="auto"/>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94" w:type="pct"/>
            <w:vMerge w:val="continue"/>
            <w:noWrap w:val="0"/>
            <w:vAlign w:val="center"/>
          </w:tcPr>
          <w:p>
            <w:pPr>
              <w:shd w:val="clear" w:color="auto" w:fill="auto"/>
              <w:snapToGrid w:val="0"/>
              <w:spacing w:line="360" w:lineRule="auto"/>
              <w:jc w:val="center"/>
              <w:rPr>
                <w:rFonts w:hint="eastAsia" w:ascii="仿宋" w:hAnsi="仿宋" w:eastAsia="仿宋" w:cs="仿宋"/>
                <w:color w:val="auto"/>
                <w:sz w:val="24"/>
                <w:highlight w:val="none"/>
              </w:rPr>
            </w:pPr>
          </w:p>
        </w:tc>
        <w:tc>
          <w:tcPr>
            <w:tcW w:w="7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成本调查监审项目审核</w:t>
            </w:r>
          </w:p>
        </w:tc>
        <w:tc>
          <w:tcPr>
            <w:tcW w:w="519" w:type="pct"/>
            <w:noWrap w:val="0"/>
            <w:vAlign w:val="center"/>
          </w:tcPr>
          <w:p>
            <w:pPr>
              <w:shd w:val="clear" w:color="auto" w:fill="auto"/>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566" w:type="pct"/>
            <w:noWrap w:val="0"/>
            <w:vAlign w:val="center"/>
          </w:tcPr>
          <w:p>
            <w:pPr>
              <w:shd w:val="clear" w:color="auto" w:fill="auto"/>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二年</w:t>
            </w:r>
          </w:p>
        </w:tc>
        <w:tc>
          <w:tcPr>
            <w:tcW w:w="937" w:type="pct"/>
            <w:noWrap w:val="0"/>
            <w:vAlign w:val="center"/>
          </w:tcPr>
          <w:p>
            <w:pPr>
              <w:shd w:val="clear" w:color="auto" w:fill="auto"/>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354" w:type="pct"/>
            <w:noWrap w:val="0"/>
            <w:vAlign w:val="center"/>
          </w:tcPr>
          <w:p>
            <w:pPr>
              <w:shd w:val="clear" w:color="auto" w:fill="auto"/>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94" w:type="pct"/>
            <w:vMerge w:val="continue"/>
            <w:noWrap w:val="0"/>
            <w:vAlign w:val="center"/>
          </w:tcPr>
          <w:p>
            <w:pPr>
              <w:shd w:val="clear" w:color="auto" w:fill="auto"/>
              <w:spacing w:line="360" w:lineRule="auto"/>
              <w:jc w:val="center"/>
              <w:rPr>
                <w:rFonts w:hint="eastAsia" w:ascii="仿宋" w:hAnsi="仿宋" w:eastAsia="仿宋" w:cs="仿宋"/>
                <w:color w:val="auto"/>
                <w:sz w:val="24"/>
                <w:highlight w:val="none"/>
              </w:rPr>
            </w:pPr>
          </w:p>
        </w:tc>
        <w:tc>
          <w:tcPr>
            <w:tcW w:w="7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成本调查监审项目审核</w:t>
            </w:r>
          </w:p>
        </w:tc>
        <w:tc>
          <w:tcPr>
            <w:tcW w:w="519" w:type="pct"/>
            <w:noWrap w:val="0"/>
            <w:vAlign w:val="center"/>
          </w:tcPr>
          <w:p>
            <w:pPr>
              <w:shd w:val="clear" w:color="auto" w:fill="auto"/>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566" w:type="pct"/>
            <w:noWrap w:val="0"/>
            <w:vAlign w:val="center"/>
          </w:tcPr>
          <w:p>
            <w:pPr>
              <w:shd w:val="clear" w:color="auto" w:fill="auto"/>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三年及以上</w:t>
            </w:r>
          </w:p>
        </w:tc>
        <w:tc>
          <w:tcPr>
            <w:tcW w:w="937" w:type="pct"/>
            <w:noWrap w:val="0"/>
            <w:vAlign w:val="center"/>
          </w:tcPr>
          <w:p>
            <w:pPr>
              <w:shd w:val="clear" w:color="auto" w:fill="auto"/>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354" w:type="pct"/>
            <w:noWrap w:val="0"/>
            <w:vAlign w:val="center"/>
          </w:tcPr>
          <w:p>
            <w:pPr>
              <w:shd w:val="clear" w:color="auto" w:fill="auto"/>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c>
          <w:tcPr>
            <w:tcW w:w="894" w:type="pct"/>
            <w:noWrap w:val="0"/>
            <w:vAlign w:val="center"/>
          </w:tcPr>
          <w:p>
            <w:pPr>
              <w:shd w:val="clear" w:color="auto" w:fill="auto"/>
              <w:snapToGrid w:val="0"/>
              <w:spacing w:line="360" w:lineRule="auto"/>
              <w:jc w:val="center"/>
              <w:rPr>
                <w:rFonts w:hint="eastAsia" w:ascii="仿宋" w:hAnsi="仿宋" w:eastAsia="仿宋" w:cs="仿宋"/>
                <w:color w:val="auto"/>
                <w:sz w:val="24"/>
                <w:highlight w:val="none"/>
              </w:rPr>
            </w:pPr>
          </w:p>
        </w:tc>
        <w:tc>
          <w:tcPr>
            <w:tcW w:w="726" w:type="pct"/>
            <w:noWrap w:val="0"/>
            <w:vAlign w:val="center"/>
          </w:tcPr>
          <w:p>
            <w:pPr>
              <w:shd w:val="clear" w:color="auto" w:fill="auto"/>
              <w:snapToGrid w:val="0"/>
              <w:spacing w:line="360" w:lineRule="auto"/>
              <w:jc w:val="center"/>
              <w:rPr>
                <w:rFonts w:hint="eastAsia" w:ascii="仿宋" w:hAnsi="仿宋" w:eastAsia="仿宋" w:cs="仿宋"/>
                <w:color w:val="auto"/>
                <w:sz w:val="24"/>
                <w:highlight w:val="none"/>
              </w:rPr>
            </w:pPr>
          </w:p>
        </w:tc>
        <w:tc>
          <w:tcPr>
            <w:tcW w:w="519" w:type="pct"/>
            <w:noWrap w:val="0"/>
            <w:vAlign w:val="center"/>
          </w:tcPr>
          <w:p>
            <w:pPr>
              <w:shd w:val="clear" w:color="auto" w:fill="auto"/>
              <w:snapToGrid w:val="0"/>
              <w:spacing w:line="360" w:lineRule="auto"/>
              <w:jc w:val="center"/>
              <w:rPr>
                <w:rFonts w:hint="eastAsia" w:ascii="仿宋" w:hAnsi="仿宋" w:eastAsia="仿宋" w:cs="仿宋"/>
                <w:color w:val="auto"/>
                <w:sz w:val="24"/>
                <w:highlight w:val="none"/>
              </w:rPr>
            </w:pPr>
          </w:p>
        </w:tc>
        <w:tc>
          <w:tcPr>
            <w:tcW w:w="1566" w:type="pct"/>
            <w:noWrap w:val="0"/>
            <w:vAlign w:val="center"/>
          </w:tcPr>
          <w:p>
            <w:pPr>
              <w:shd w:val="clear" w:color="auto" w:fill="auto"/>
              <w:spacing w:line="360" w:lineRule="auto"/>
              <w:jc w:val="center"/>
              <w:rPr>
                <w:rFonts w:hint="eastAsia" w:ascii="仿宋" w:hAnsi="仿宋" w:eastAsia="仿宋" w:cs="仿宋"/>
                <w:color w:val="auto"/>
                <w:sz w:val="24"/>
                <w:highlight w:val="none"/>
              </w:rPr>
            </w:pPr>
          </w:p>
        </w:tc>
        <w:tc>
          <w:tcPr>
            <w:tcW w:w="937" w:type="pct"/>
            <w:noWrap w:val="0"/>
            <w:vAlign w:val="center"/>
          </w:tcPr>
          <w:p>
            <w:pPr>
              <w:shd w:val="clear" w:color="auto" w:fill="auto"/>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249" w:type="pct"/>
            <w:gridSpan w:val="2"/>
            <w:vMerge w:val="restart"/>
            <w:noWrap w:val="0"/>
            <w:vAlign w:val="center"/>
          </w:tcPr>
          <w:p>
            <w:pPr>
              <w:shd w:val="clear" w:color="auto" w:fill="auto"/>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投标下浮率（</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w:t>
            </w:r>
          </w:p>
        </w:tc>
        <w:tc>
          <w:tcPr>
            <w:tcW w:w="3750" w:type="pct"/>
            <w:gridSpan w:val="4"/>
            <w:noWrap w:val="0"/>
            <w:vAlign w:val="center"/>
          </w:tcPr>
          <w:p>
            <w:pPr>
              <w:shd w:val="clear" w:color="auto" w:fill="auto"/>
              <w:spacing w:line="360" w:lineRule="auto"/>
              <w:ind w:firstLine="240" w:firstLineChars="100"/>
              <w:jc w:val="both"/>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249" w:type="pct"/>
            <w:gridSpan w:val="2"/>
            <w:vMerge w:val="continue"/>
            <w:noWrap w:val="0"/>
            <w:vAlign w:val="center"/>
          </w:tcPr>
          <w:p>
            <w:pPr>
              <w:shd w:val="clear" w:color="auto" w:fill="auto"/>
              <w:spacing w:line="360" w:lineRule="auto"/>
              <w:jc w:val="both"/>
              <w:rPr>
                <w:rFonts w:hint="eastAsia" w:ascii="仿宋" w:hAnsi="仿宋" w:eastAsia="仿宋" w:cs="仿宋"/>
                <w:color w:val="auto"/>
                <w:sz w:val="24"/>
                <w:highlight w:val="none"/>
                <w:lang w:eastAsia="zh-CN"/>
              </w:rPr>
            </w:pPr>
          </w:p>
        </w:tc>
        <w:tc>
          <w:tcPr>
            <w:tcW w:w="3750" w:type="pct"/>
            <w:gridSpan w:val="4"/>
            <w:noWrap w:val="0"/>
            <w:vAlign w:val="center"/>
          </w:tcPr>
          <w:p>
            <w:pPr>
              <w:shd w:val="clear" w:color="auto" w:fill="auto"/>
              <w:spacing w:line="360" w:lineRule="auto"/>
              <w:jc w:val="both"/>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none"/>
                <w:lang w:val="en-US" w:eastAsia="zh-CN"/>
              </w:rPr>
              <w:t xml:space="preserve"> 百分之</w:t>
            </w:r>
            <w:r>
              <w:rPr>
                <w:rFonts w:hint="eastAsia" w:ascii="仿宋" w:hAnsi="仿宋" w:eastAsia="仿宋" w:cs="仿宋"/>
                <w:color w:val="auto"/>
                <w:sz w:val="24"/>
                <w:highlight w:val="none"/>
                <w:u w:val="single"/>
                <w:lang w:val="en-US" w:eastAsia="zh-CN"/>
              </w:rPr>
              <w:t xml:space="preserve">      </w:t>
            </w:r>
          </w:p>
        </w:tc>
      </w:tr>
    </w:tbl>
    <w:p>
      <w:pPr>
        <w:shd w:val="clear" w:color="auto" w:fill="auto"/>
        <w:snapToGrid w:val="0"/>
        <w:spacing w:line="360" w:lineRule="auto"/>
        <w:ind w:left="480"/>
        <w:rPr>
          <w:rFonts w:hint="eastAsia" w:ascii="仿宋" w:hAnsi="仿宋" w:eastAsia="仿宋" w:cs="仿宋"/>
          <w:b/>
          <w:color w:val="auto"/>
          <w:kern w:val="0"/>
          <w:sz w:val="24"/>
          <w:highlight w:val="none"/>
          <w:lang w:val="zh-CN"/>
        </w:rPr>
      </w:pPr>
    </w:p>
    <w:p>
      <w:pPr>
        <w:shd w:val="clear" w:color="auto" w:fill="auto"/>
        <w:snapToGrid w:val="0"/>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color w:val="auto"/>
          <w:kern w:val="0"/>
          <w:sz w:val="24"/>
          <w:highlight w:val="none"/>
          <w:lang w:val="zh-CN"/>
        </w:rPr>
        <w:t>注：</w:t>
      </w:r>
      <w:r>
        <w:rPr>
          <w:rFonts w:hint="eastAsia" w:ascii="仿宋" w:hAnsi="仿宋" w:eastAsia="仿宋" w:cs="仿宋"/>
          <w:b/>
          <w:color w:val="auto"/>
          <w:kern w:val="0"/>
          <w:sz w:val="24"/>
          <w:highlight w:val="none"/>
          <w:lang w:val="en-US" w:eastAsia="zh-CN"/>
        </w:rPr>
        <w:t>1、</w:t>
      </w:r>
      <w:r>
        <w:rPr>
          <w:rFonts w:hint="eastAsia" w:ascii="仿宋" w:hAnsi="仿宋" w:eastAsia="仿宋" w:cs="仿宋"/>
          <w:b/>
          <w:bCs/>
          <w:color w:val="auto"/>
          <w:kern w:val="2"/>
          <w:sz w:val="24"/>
          <w:szCs w:val="24"/>
          <w:highlight w:val="none"/>
          <w:lang w:val="en-US" w:eastAsia="zh-CN" w:bidi="ar-SA"/>
        </w:rPr>
        <w:t>本项目投标下浮率是指成本调查监审期间为一年的项目、成本预测调查项目审核服务费，成本调查监审期间为二年的项目审核服务费，成本调查监审期间为三年及以上的项目审核服务费</w:t>
      </w:r>
      <w:r>
        <w:rPr>
          <w:rFonts w:hint="eastAsia" w:ascii="仿宋" w:hAnsi="仿宋" w:eastAsia="仿宋" w:cs="仿宋"/>
          <w:b/>
          <w:bCs/>
          <w:color w:val="auto"/>
          <w:kern w:val="2"/>
          <w:sz w:val="24"/>
          <w:szCs w:val="24"/>
          <w:highlight w:val="none"/>
          <w:u w:val="none" w:color="000000"/>
          <w:lang w:val="zh-TW" w:eastAsia="zh-CN"/>
        </w:rPr>
        <w:t>的统一下浮率，投标人只须写一个下浮率。</w:t>
      </w:r>
    </w:p>
    <w:p>
      <w:pPr>
        <w:keepNext w:val="0"/>
        <w:keepLines w:val="0"/>
        <w:pageBreakBefore w:val="0"/>
        <w:widowControl w:val="0"/>
        <w:numPr>
          <w:ilvl w:val="0"/>
          <w:numId w:val="4"/>
        </w:numPr>
        <w:shd w:val="clear" w:color="auto" w:fill="auto"/>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lang w:val="zh-CN"/>
        </w:rPr>
        <w:t>、有关本项目实施所涉及的一切费用均计入报价。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hd w:val="clear" w:color="auto" w:fill="auto"/>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lang w:val="zh-CN"/>
        </w:rPr>
        <w:t>、特别提示：采购代理机构将对项目名称和项目编号，中标供应商名称、地址和中标金额，主要中标标的名称、品牌（如果有）、规格型号、数量、单价等予以公示。</w:t>
      </w:r>
    </w:p>
    <w:p>
      <w:pPr>
        <w:shd w:val="clear" w:color="auto" w:fill="auto"/>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5</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36" w:lineRule="auto"/>
        <w:ind w:firstLine="3600" w:firstLineChars="1500"/>
        <w:jc w:val="center"/>
        <w:rPr>
          <w:rFonts w:hint="eastAsia" w:ascii="仿宋" w:hAnsi="仿宋" w:eastAsia="仿宋" w:cs="仿宋"/>
          <w:color w:val="auto"/>
          <w:sz w:val="24"/>
          <w:highlight w:val="none"/>
          <w:lang w:eastAsia="zh-CN"/>
        </w:rPr>
      </w:pPr>
    </w:p>
    <w:p>
      <w:pPr>
        <w:spacing w:line="336" w:lineRule="auto"/>
        <w:ind w:firstLine="3600" w:firstLineChars="1500"/>
        <w:jc w:val="center"/>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60" w:lineRule="auto"/>
        <w:ind w:firstLine="480" w:firstLineChars="200"/>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pPr>
        <w:pStyle w:val="5"/>
        <w:keepNext w:val="0"/>
        <w:keepLines w:val="0"/>
        <w:pageBreakBefore/>
        <w:widowControl/>
        <w:spacing w:before="100" w:beforeAutospacing="1" w:after="100" w:afterAutospacing="1" w:line="360" w:lineRule="auto"/>
        <w:ind w:left="0" w:leftChars="0" w:firstLine="0" w:firstLineChars="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pStyle w:val="3"/>
        <w:rPr>
          <w:rFonts w:hint="eastAsia" w:ascii="仿宋" w:hAnsi="仿宋" w:eastAsia="仿宋" w:cs="仿宋"/>
          <w:b/>
          <w:color w:val="auto"/>
          <w:spacing w:val="6"/>
          <w:sz w:val="32"/>
          <w:szCs w:val="32"/>
          <w:highlight w:val="none"/>
        </w:rPr>
      </w:pPr>
    </w:p>
    <w:p>
      <w:pPr>
        <w:pStyle w:val="4"/>
        <w:rPr>
          <w:rFonts w:hint="eastAsia" w:ascii="仿宋" w:hAnsi="仿宋" w:eastAsia="仿宋" w:cs="仿宋"/>
          <w:b/>
          <w:color w:val="auto"/>
          <w:spacing w:val="6"/>
          <w:sz w:val="32"/>
          <w:szCs w:val="32"/>
          <w:highlight w:val="none"/>
        </w:rPr>
      </w:pPr>
    </w:p>
    <w:p>
      <w:pPr>
        <w:rPr>
          <w:rFonts w:hint="eastAsia"/>
          <w:color w:val="auto"/>
          <w:highlight w:val="none"/>
        </w:rPr>
      </w:pPr>
    </w:p>
    <w:p>
      <w:pPr>
        <w:spacing w:line="360" w:lineRule="auto"/>
        <w:jc w:val="left"/>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pStyle w:val="3"/>
        <w:rPr>
          <w:rFonts w:hint="eastAsia" w:ascii="仿宋" w:hAnsi="仿宋" w:eastAsia="仿宋" w:cs="仿宋"/>
          <w:b/>
          <w:color w:val="auto"/>
          <w:spacing w:val="6"/>
          <w:sz w:val="32"/>
          <w:szCs w:val="32"/>
          <w:highlight w:val="none"/>
        </w:rPr>
      </w:pPr>
    </w:p>
    <w:p>
      <w:pPr>
        <w:pStyle w:val="4"/>
        <w:rPr>
          <w:rFonts w:hint="eastAsia" w:ascii="仿宋" w:hAnsi="仿宋" w:eastAsia="仿宋" w:cs="仿宋"/>
          <w:b/>
          <w:color w:val="auto"/>
          <w:spacing w:val="6"/>
          <w:sz w:val="32"/>
          <w:szCs w:val="32"/>
          <w:highlight w:val="none"/>
        </w:rPr>
      </w:pPr>
    </w:p>
    <w:p>
      <w:pPr>
        <w:rPr>
          <w:rFonts w:hint="eastAsia"/>
          <w:color w:val="auto"/>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left"/>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7" w:name="_Hlk101131882"/>
      <w:r>
        <w:rPr>
          <w:rFonts w:hint="eastAsia" w:ascii="仿宋" w:hAnsi="仿宋" w:eastAsia="仿宋" w:cs="仿宋"/>
          <w:color w:val="auto"/>
          <w:kern w:val="0"/>
          <w:sz w:val="24"/>
          <w:highlight w:val="none"/>
          <w:u w:val="single"/>
        </w:rPr>
        <w:t>联合体成员X,……</w:t>
      </w:r>
      <w:bookmarkEnd w:id="15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8"/>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9"/>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ind w:firstLine="3666" w:firstLineChars="1100"/>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6"/>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numPr>
          <w:ilvl w:val="0"/>
          <w:numId w:val="5"/>
        </w:numPr>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价款或者报酬</w:t>
      </w:r>
    </w:p>
    <w:p>
      <w:pPr>
        <w:pageBreakBefore w:val="0"/>
        <w:numPr>
          <w:ilvl w:val="0"/>
          <w:numId w:val="0"/>
        </w:numPr>
        <w:kinsoku/>
        <w:wordWrap/>
        <w:overflowPunct/>
        <w:topLinePunct w:val="0"/>
        <w:autoSpaceDE/>
        <w:autoSpaceDN/>
        <w:bidi w:val="0"/>
        <w:snapToGrid w:val="0"/>
        <w:spacing w:line="440" w:lineRule="exact"/>
        <w:ind w:left="576" w:leftChars="0" w:right="0" w:rightChars="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0" w:name="OLE_LINK13"/>
      <w:bookmarkStart w:id="161" w:name="OLE_LINK14"/>
      <w:r>
        <w:rPr>
          <w:rFonts w:hint="eastAsia" w:ascii="仿宋" w:hAnsi="仿宋" w:eastAsia="仿宋" w:cs="仿宋"/>
          <w:b/>
          <w:color w:val="auto"/>
          <w:spacing w:val="6"/>
          <w:sz w:val="32"/>
          <w:szCs w:val="32"/>
          <w:highlight w:val="none"/>
        </w:rPr>
        <w:t>残疾人福利性单位声明函</w:t>
      </w:r>
    </w:p>
    <w:bookmarkEnd w:id="160"/>
    <w:bookmarkEnd w:id="161"/>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
        <w:rPr>
          <w:rFonts w:hint="eastAsia" w:ascii="仿宋" w:hAnsi="仿宋" w:eastAsia="仿宋" w:cs="仿宋"/>
          <w:color w:val="auto"/>
          <w:highlight w:val="none"/>
        </w:rPr>
      </w:pPr>
    </w:p>
    <w:p>
      <w:pPr>
        <w:pStyle w:val="3"/>
        <w:rPr>
          <w:rFonts w:hint="eastAsia" w:ascii="仿宋" w:hAnsi="仿宋" w:eastAsia="仿宋" w:cs="仿宋"/>
          <w:color w:val="auto"/>
          <w:highlight w:val="none"/>
        </w:rPr>
      </w:pPr>
    </w:p>
    <w:p>
      <w:pPr>
        <w:pStyle w:val="4"/>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color w:val="auto"/>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其他未列明行业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lang w:eastAsia="zh-CN"/>
        </w:rPr>
        <w:t>其他未列明行业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6"/>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bookmarkEnd w:id="162"/>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 w:name="hakuyoxingshu7000">
    <w:panose1 w:val="02000600000000000000"/>
    <w:charset w:val="86"/>
    <w:family w:val="auto"/>
    <w:pitch w:val="default"/>
    <w:sig w:usb0="FFFFFFFF" w:usb1="E9FFFFFF" w:usb2="0000003F" w:usb3="00000000" w:csb0="603F00FF" w:csb1="FFFF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p>
  <w:p>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ZJXSC-2024-010</w:t>
    </w:r>
    <w:r>
      <w:rPr>
        <w:rFonts w:hint="eastAsia" w:ascii="仿宋" w:hAnsi="仿宋" w:eastAsia="仿宋" w:cs="仿宋"/>
        <w:lang w:val="en-US" w:eastAsia="zh-CN"/>
      </w:rPr>
      <w:t xml:space="preserve"> </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ZJXSC-2024-010</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ZJXSC-2024-010</w:t>
    </w:r>
  </w:p>
  <w:p>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ZJXSC-2024-010</w:t>
    </w:r>
  </w:p>
  <w:p>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ZJXSC-2024-010</w:t>
    </w:r>
  </w:p>
  <w:p>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ZJXSC-2024-010</w:t>
    </w:r>
  </w:p>
  <w:p>
    <w:pPr>
      <w:pStyle w:val="42"/>
      <w:pBdr>
        <w:bottom w:val="none" w:color="auto" w:sz="0" w:space="1"/>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9BBE54"/>
    <w:multiLevelType w:val="singleLevel"/>
    <w:tmpl w:val="BC9BBE54"/>
    <w:lvl w:ilvl="0" w:tentative="0">
      <w:start w:val="2"/>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46FF6F56"/>
    <w:multiLevelType w:val="singleLevel"/>
    <w:tmpl w:val="46FF6F56"/>
    <w:lvl w:ilvl="0" w:tentative="0">
      <w:start w:val="2"/>
      <w:numFmt w:val="decimal"/>
      <w:suff w:val="nothing"/>
      <w:lvlText w:val="%1、"/>
      <w:lvlJc w:val="left"/>
      <w:pPr>
        <w:ind w:left="786" w:leftChars="0" w:firstLine="0" w:firstLineChars="0"/>
      </w:pPr>
    </w:lvl>
  </w:abstractNum>
  <w:abstractNum w:abstractNumId="4">
    <w:nsid w:val="4921150C"/>
    <w:multiLevelType w:val="singleLevel"/>
    <w:tmpl w:val="4921150C"/>
    <w:lvl w:ilvl="0" w:tentative="0">
      <w:start w:val="5"/>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ZGQ1YzcyNTg5NWQ4Y2Q2YzdlZjY5YzNkNmViNTgifQ=="/>
  </w:docVars>
  <w:rsids>
    <w:rsidRoot w:val="00172A27"/>
    <w:rsid w:val="00E125C1"/>
    <w:rsid w:val="014C1F73"/>
    <w:rsid w:val="01536D2A"/>
    <w:rsid w:val="057923A6"/>
    <w:rsid w:val="066473E7"/>
    <w:rsid w:val="0842563F"/>
    <w:rsid w:val="08BC1AE9"/>
    <w:rsid w:val="0B77698A"/>
    <w:rsid w:val="0C943AA2"/>
    <w:rsid w:val="0CA423BE"/>
    <w:rsid w:val="0D2A0A24"/>
    <w:rsid w:val="0E3B5369"/>
    <w:rsid w:val="0F073AB6"/>
    <w:rsid w:val="0F096B8F"/>
    <w:rsid w:val="0F63063F"/>
    <w:rsid w:val="100D6394"/>
    <w:rsid w:val="1178BD2A"/>
    <w:rsid w:val="12413A23"/>
    <w:rsid w:val="129C63B6"/>
    <w:rsid w:val="134E2397"/>
    <w:rsid w:val="13BE3778"/>
    <w:rsid w:val="167C473D"/>
    <w:rsid w:val="17BE77E3"/>
    <w:rsid w:val="186366A3"/>
    <w:rsid w:val="18E60774"/>
    <w:rsid w:val="1A46157E"/>
    <w:rsid w:val="1A5F32E6"/>
    <w:rsid w:val="1BD44E83"/>
    <w:rsid w:val="1BE279D2"/>
    <w:rsid w:val="1C3225F3"/>
    <w:rsid w:val="1D2D4DD0"/>
    <w:rsid w:val="1D2F1C3B"/>
    <w:rsid w:val="1FBF4D79"/>
    <w:rsid w:val="20B87907"/>
    <w:rsid w:val="2272389C"/>
    <w:rsid w:val="24B520E2"/>
    <w:rsid w:val="25BE9D61"/>
    <w:rsid w:val="28BB5EEC"/>
    <w:rsid w:val="29C56BF1"/>
    <w:rsid w:val="2B5FD985"/>
    <w:rsid w:val="2B713B97"/>
    <w:rsid w:val="2C3B0F6B"/>
    <w:rsid w:val="2E797950"/>
    <w:rsid w:val="2FDF43C3"/>
    <w:rsid w:val="2FEF5088"/>
    <w:rsid w:val="2FFD14A1"/>
    <w:rsid w:val="30CD01D9"/>
    <w:rsid w:val="31855F2F"/>
    <w:rsid w:val="33EE0FA9"/>
    <w:rsid w:val="37B741D9"/>
    <w:rsid w:val="37F9032E"/>
    <w:rsid w:val="39770D67"/>
    <w:rsid w:val="3A540500"/>
    <w:rsid w:val="3A930725"/>
    <w:rsid w:val="3B8F1C56"/>
    <w:rsid w:val="3BD70399"/>
    <w:rsid w:val="3DAD026B"/>
    <w:rsid w:val="3DEFCA72"/>
    <w:rsid w:val="3DFF98C1"/>
    <w:rsid w:val="3E41979C"/>
    <w:rsid w:val="3EBF97DA"/>
    <w:rsid w:val="3EFB3E94"/>
    <w:rsid w:val="3F4E6628"/>
    <w:rsid w:val="3F83DCEE"/>
    <w:rsid w:val="3FBECC25"/>
    <w:rsid w:val="3FFD7638"/>
    <w:rsid w:val="3FFDC29F"/>
    <w:rsid w:val="427E60E8"/>
    <w:rsid w:val="464AF4CE"/>
    <w:rsid w:val="46ED1AE0"/>
    <w:rsid w:val="471D37BB"/>
    <w:rsid w:val="4AB73469"/>
    <w:rsid w:val="4AEF6CEF"/>
    <w:rsid w:val="4B163A9F"/>
    <w:rsid w:val="4BC6339F"/>
    <w:rsid w:val="4BDF4428"/>
    <w:rsid w:val="4CF3BDEC"/>
    <w:rsid w:val="4ECFB751"/>
    <w:rsid w:val="4EF17D3A"/>
    <w:rsid w:val="4EFCB6A7"/>
    <w:rsid w:val="4F4B3D85"/>
    <w:rsid w:val="4F67B564"/>
    <w:rsid w:val="4FDB60F7"/>
    <w:rsid w:val="523161A7"/>
    <w:rsid w:val="52755752"/>
    <w:rsid w:val="52792421"/>
    <w:rsid w:val="52E839AD"/>
    <w:rsid w:val="532438A8"/>
    <w:rsid w:val="54A975BB"/>
    <w:rsid w:val="54F24120"/>
    <w:rsid w:val="55FECC61"/>
    <w:rsid w:val="56D025AE"/>
    <w:rsid w:val="59EB5659"/>
    <w:rsid w:val="5AF721D0"/>
    <w:rsid w:val="5BED37F4"/>
    <w:rsid w:val="5BFE6251"/>
    <w:rsid w:val="5C93266B"/>
    <w:rsid w:val="5F561B6F"/>
    <w:rsid w:val="5F57E5CA"/>
    <w:rsid w:val="5FB52A61"/>
    <w:rsid w:val="5FDF902E"/>
    <w:rsid w:val="5FF5576A"/>
    <w:rsid w:val="5FFB64A4"/>
    <w:rsid w:val="5FFF1FB9"/>
    <w:rsid w:val="603A445B"/>
    <w:rsid w:val="636E5E65"/>
    <w:rsid w:val="65F148C4"/>
    <w:rsid w:val="669C35D3"/>
    <w:rsid w:val="6771EE6C"/>
    <w:rsid w:val="677BD4C6"/>
    <w:rsid w:val="67FF6150"/>
    <w:rsid w:val="68447C23"/>
    <w:rsid w:val="693F6F1D"/>
    <w:rsid w:val="69DDBE60"/>
    <w:rsid w:val="6BD533EC"/>
    <w:rsid w:val="6C5E7B58"/>
    <w:rsid w:val="6CB3907D"/>
    <w:rsid w:val="6D3C1942"/>
    <w:rsid w:val="6DA54670"/>
    <w:rsid w:val="6DAF31CD"/>
    <w:rsid w:val="6DCF234D"/>
    <w:rsid w:val="6EC80E49"/>
    <w:rsid w:val="6FB3CDE7"/>
    <w:rsid w:val="6FC37AD4"/>
    <w:rsid w:val="703B31B3"/>
    <w:rsid w:val="70CDE819"/>
    <w:rsid w:val="71F64402"/>
    <w:rsid w:val="72FF9672"/>
    <w:rsid w:val="73EB2787"/>
    <w:rsid w:val="74406107"/>
    <w:rsid w:val="754FA49C"/>
    <w:rsid w:val="755F82CF"/>
    <w:rsid w:val="759748BC"/>
    <w:rsid w:val="75FC8D69"/>
    <w:rsid w:val="76FFEBAD"/>
    <w:rsid w:val="77B76EB4"/>
    <w:rsid w:val="77D9B781"/>
    <w:rsid w:val="77ED1837"/>
    <w:rsid w:val="77F9F220"/>
    <w:rsid w:val="77FF3215"/>
    <w:rsid w:val="77FFBD6C"/>
    <w:rsid w:val="78AD1F79"/>
    <w:rsid w:val="799F3431"/>
    <w:rsid w:val="7A2B7977"/>
    <w:rsid w:val="7A6FDFAE"/>
    <w:rsid w:val="7A7ACE27"/>
    <w:rsid w:val="7AFA648A"/>
    <w:rsid w:val="7B3B2F89"/>
    <w:rsid w:val="7BFE27FA"/>
    <w:rsid w:val="7BFF3954"/>
    <w:rsid w:val="7D112435"/>
    <w:rsid w:val="7D3533AE"/>
    <w:rsid w:val="7D5F6F8F"/>
    <w:rsid w:val="7DBFF624"/>
    <w:rsid w:val="7DE9C396"/>
    <w:rsid w:val="7DEF490C"/>
    <w:rsid w:val="7DEF627C"/>
    <w:rsid w:val="7DFF3A1B"/>
    <w:rsid w:val="7E65736C"/>
    <w:rsid w:val="7E7DC0D8"/>
    <w:rsid w:val="7E9EB6E3"/>
    <w:rsid w:val="7EF33711"/>
    <w:rsid w:val="7EFD604F"/>
    <w:rsid w:val="7EFF2858"/>
    <w:rsid w:val="7F1CEA33"/>
    <w:rsid w:val="7F1FF0A9"/>
    <w:rsid w:val="7F412BA8"/>
    <w:rsid w:val="7F671C12"/>
    <w:rsid w:val="7F7F8F49"/>
    <w:rsid w:val="7F7FD1E7"/>
    <w:rsid w:val="7FCE9F2A"/>
    <w:rsid w:val="7FCF25A8"/>
    <w:rsid w:val="7FF7CDB5"/>
    <w:rsid w:val="7FFA056F"/>
    <w:rsid w:val="7FFCED79"/>
    <w:rsid w:val="7FFF4004"/>
    <w:rsid w:val="7FFFDF33"/>
    <w:rsid w:val="87D5AA6C"/>
    <w:rsid w:val="8DCF0878"/>
    <w:rsid w:val="9C3FDAB5"/>
    <w:rsid w:val="9F37FC8A"/>
    <w:rsid w:val="9F7DE43F"/>
    <w:rsid w:val="AB93E728"/>
    <w:rsid w:val="AEFF9333"/>
    <w:rsid w:val="B2FE7782"/>
    <w:rsid w:val="B54F2963"/>
    <w:rsid w:val="B5BB74DC"/>
    <w:rsid w:val="BA7F4B11"/>
    <w:rsid w:val="BABD70B8"/>
    <w:rsid w:val="BB75C2CA"/>
    <w:rsid w:val="BBFFC078"/>
    <w:rsid w:val="BD5C87C0"/>
    <w:rsid w:val="BD9F7019"/>
    <w:rsid w:val="BDFB6202"/>
    <w:rsid w:val="BEDCC982"/>
    <w:rsid w:val="BF632EB8"/>
    <w:rsid w:val="BFB2ADA2"/>
    <w:rsid w:val="BFF71600"/>
    <w:rsid w:val="BFFF9A2D"/>
    <w:rsid w:val="C3AF4078"/>
    <w:rsid w:val="CEDDA673"/>
    <w:rsid w:val="CEF523B4"/>
    <w:rsid w:val="CFBF916D"/>
    <w:rsid w:val="CFDE2C7F"/>
    <w:rsid w:val="D57F019D"/>
    <w:rsid w:val="D5DE52A4"/>
    <w:rsid w:val="D76F8705"/>
    <w:rsid w:val="DBBF2A1C"/>
    <w:rsid w:val="DBED5789"/>
    <w:rsid w:val="DC3F3B8C"/>
    <w:rsid w:val="DED05627"/>
    <w:rsid w:val="DF4FE056"/>
    <w:rsid w:val="DF7789E1"/>
    <w:rsid w:val="DF7FF1C8"/>
    <w:rsid w:val="E36FE997"/>
    <w:rsid w:val="E5FD37CC"/>
    <w:rsid w:val="E65FA3E4"/>
    <w:rsid w:val="E6EFFB94"/>
    <w:rsid w:val="E6F543FD"/>
    <w:rsid w:val="E769EBB3"/>
    <w:rsid w:val="E79FFC72"/>
    <w:rsid w:val="E7BA0B39"/>
    <w:rsid w:val="E7DF5CAD"/>
    <w:rsid w:val="E9FF3EC3"/>
    <w:rsid w:val="EA8323B3"/>
    <w:rsid w:val="EB4C9147"/>
    <w:rsid w:val="ED4EAF2B"/>
    <w:rsid w:val="EDBFEE54"/>
    <w:rsid w:val="EE4F8BCB"/>
    <w:rsid w:val="EE85CE21"/>
    <w:rsid w:val="EEF9A158"/>
    <w:rsid w:val="EF1E1092"/>
    <w:rsid w:val="EFDE7D39"/>
    <w:rsid w:val="EFFF0622"/>
    <w:rsid w:val="F1DB50EC"/>
    <w:rsid w:val="F1ED47B0"/>
    <w:rsid w:val="F3D7A590"/>
    <w:rsid w:val="F67F61BB"/>
    <w:rsid w:val="F6E7F863"/>
    <w:rsid w:val="F6EE8A0C"/>
    <w:rsid w:val="F6FEBD7C"/>
    <w:rsid w:val="F7EB93DB"/>
    <w:rsid w:val="F7FB1651"/>
    <w:rsid w:val="F8D78CE0"/>
    <w:rsid w:val="F9BD47F5"/>
    <w:rsid w:val="FA33DC4F"/>
    <w:rsid w:val="FB56F264"/>
    <w:rsid w:val="FBBB8508"/>
    <w:rsid w:val="FBF96D81"/>
    <w:rsid w:val="FDBC6321"/>
    <w:rsid w:val="FDDA9486"/>
    <w:rsid w:val="FDEFAAE1"/>
    <w:rsid w:val="FDFD3B6E"/>
    <w:rsid w:val="FDFF7EE7"/>
    <w:rsid w:val="FDFFB81A"/>
    <w:rsid w:val="FE1C83E0"/>
    <w:rsid w:val="FEAF3702"/>
    <w:rsid w:val="FEBE1880"/>
    <w:rsid w:val="FF374B60"/>
    <w:rsid w:val="FF3EC02A"/>
    <w:rsid w:val="FF3F59ED"/>
    <w:rsid w:val="FF47C2E9"/>
    <w:rsid w:val="FF682E5B"/>
    <w:rsid w:val="FF6F3B93"/>
    <w:rsid w:val="FF7C22A5"/>
    <w:rsid w:val="FF7FEB66"/>
    <w:rsid w:val="FFBC0275"/>
    <w:rsid w:val="FFC74F63"/>
    <w:rsid w:val="FFE57668"/>
    <w:rsid w:val="FFFE4487"/>
    <w:rsid w:val="FFFF1E5F"/>
    <w:rsid w:val="FFFF7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2">
    <w:name w:val="Body Text"/>
    <w:basedOn w:val="1"/>
    <w:next w:val="3"/>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1"/>
    <w:next w:val="4"/>
    <w:link w:val="319"/>
    <w:autoRedefine/>
    <w:qFormat/>
    <w:uiPriority w:val="0"/>
    <w:pPr>
      <w:ind w:firstLine="420"/>
    </w:pPr>
    <w:rPr>
      <w:rFonts w:hAnsi="Calibri" w:cs="Times New Roman"/>
      <w:snapToGrid/>
      <w:szCs w:val="20"/>
    </w:rPr>
  </w:style>
  <w:style w:type="paragraph" w:styleId="4">
    <w:name w:val="toc 6"/>
    <w:basedOn w:val="1"/>
    <w:next w:val="1"/>
    <w:autoRedefine/>
    <w:qFormat/>
    <w:uiPriority w:val="0"/>
    <w:pPr>
      <w:ind w:left="2100" w:leftChars="1000"/>
    </w:pPr>
  </w:style>
  <w:style w:type="paragraph" w:styleId="8">
    <w:name w:val="Normal Indent"/>
    <w:basedOn w:val="1"/>
    <w:next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autoRedefine/>
    <w:qFormat/>
    <w:uiPriority w:val="0"/>
    <w:pPr>
      <w:ind w:left="2520" w:leftChars="1200"/>
    </w:pPr>
  </w:style>
  <w:style w:type="paragraph" w:styleId="16">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8"/>
    <w:autoRedefine/>
    <w:qFormat/>
    <w:uiPriority w:val="0"/>
    <w:rPr>
      <w:b/>
      <w:sz w:val="28"/>
      <w:szCs w:val="20"/>
    </w:rPr>
  </w:style>
  <w:style w:type="paragraph" w:styleId="20">
    <w:name w:val="index 5"/>
    <w:basedOn w:val="1"/>
    <w:next w:val="1"/>
    <w:autoRedefine/>
    <w:qFormat/>
    <w:uiPriority w:val="0"/>
    <w:pPr>
      <w:adjustRightInd/>
      <w:ind w:left="800" w:leftChars="800" w:firstLine="200" w:firstLineChars="200"/>
    </w:pPr>
  </w:style>
  <w:style w:type="paragraph" w:styleId="21">
    <w:name w:val="Document Map"/>
    <w:basedOn w:val="1"/>
    <w:link w:val="201"/>
    <w:autoRedefine/>
    <w:qFormat/>
    <w:uiPriority w:val="0"/>
    <w:pPr>
      <w:shd w:val="clear" w:color="auto" w:fill="000080"/>
    </w:pPr>
  </w:style>
  <w:style w:type="paragraph" w:styleId="22">
    <w:name w:val="annotation text"/>
    <w:basedOn w:val="1"/>
    <w:link w:val="342"/>
    <w:autoRedefine/>
    <w:qFormat/>
    <w:uiPriority w:val="99"/>
    <w:pPr>
      <w:jc w:val="left"/>
    </w:pPr>
  </w:style>
  <w:style w:type="paragraph" w:styleId="23">
    <w:name w:val="Salutation"/>
    <w:basedOn w:val="1"/>
    <w:next w:val="1"/>
    <w:link w:val="296"/>
    <w:autoRedefine/>
    <w:qFormat/>
    <w:uiPriority w:val="0"/>
    <w:rPr>
      <w:rFonts w:ascii="仿宋_GB2312" w:eastAsia="仿宋_GB2312"/>
      <w:sz w:val="28"/>
      <w:szCs w:val="20"/>
    </w:rPr>
  </w:style>
  <w:style w:type="paragraph" w:styleId="24">
    <w:name w:val="Body Text 3"/>
    <w:basedOn w:val="1"/>
    <w:link w:val="328"/>
    <w:autoRedefine/>
    <w:qFormat/>
    <w:uiPriority w:val="0"/>
    <w:pPr>
      <w:jc w:val="center"/>
    </w:pPr>
    <w:rPr>
      <w:szCs w:val="20"/>
    </w:rPr>
  </w:style>
  <w:style w:type="paragraph" w:styleId="25">
    <w:name w:val="List Bullet 3"/>
    <w:basedOn w:val="1"/>
    <w:autoRedefine/>
    <w:qFormat/>
    <w:uiPriority w:val="0"/>
    <w:pPr>
      <w:snapToGrid w:val="0"/>
      <w:spacing w:line="360" w:lineRule="auto"/>
      <w:ind w:left="360" w:right="238" w:hanging="360"/>
      <w:contextualSpacing/>
    </w:pPr>
    <w:rPr>
      <w:sz w:val="24"/>
    </w:rPr>
  </w:style>
  <w:style w:type="paragraph" w:styleId="26">
    <w:name w:val="Body Text Indent"/>
    <w:basedOn w:val="1"/>
    <w:next w:val="1"/>
    <w:link w:val="263"/>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0"/>
    <w:autoRedefine/>
    <w:qFormat/>
    <w:uiPriority w:val="0"/>
    <w:pPr>
      <w:ind w:left="100" w:leftChars="2500"/>
    </w:pPr>
    <w:rPr>
      <w:rFonts w:ascii="宋体"/>
      <w:sz w:val="24"/>
      <w:szCs w:val="21"/>
      <w:lang w:val="zh-CN"/>
    </w:rPr>
  </w:style>
  <w:style w:type="paragraph" w:styleId="38">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0"/>
    <w:autoRedefine/>
    <w:qFormat/>
    <w:uiPriority w:val="0"/>
    <w:rPr>
      <w:lang w:val="zh-CN"/>
    </w:rPr>
  </w:style>
  <w:style w:type="paragraph" w:styleId="40">
    <w:name w:val="Balloon Text"/>
    <w:basedOn w:val="1"/>
    <w:link w:val="187"/>
    <w:autoRedefine/>
    <w:qFormat/>
    <w:uiPriority w:val="0"/>
    <w:rPr>
      <w:sz w:val="18"/>
      <w:szCs w:val="18"/>
    </w:rPr>
  </w:style>
  <w:style w:type="paragraph" w:styleId="41">
    <w:name w:val="footer"/>
    <w:basedOn w:val="1"/>
    <w:link w:val="381"/>
    <w:autoRedefine/>
    <w:qFormat/>
    <w:uiPriority w:val="99"/>
    <w:pPr>
      <w:tabs>
        <w:tab w:val="center" w:pos="4153"/>
        <w:tab w:val="right" w:pos="8306"/>
      </w:tabs>
      <w:snapToGrid w:val="0"/>
      <w:jc w:val="left"/>
    </w:pPr>
    <w:rPr>
      <w:sz w:val="18"/>
      <w:szCs w:val="18"/>
    </w:rPr>
  </w:style>
  <w:style w:type="paragraph" w:styleId="42">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8"/>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0"/>
    <w:autoRedefine/>
    <w:qFormat/>
    <w:uiPriority w:val="0"/>
    <w:pPr>
      <w:spacing w:after="120" w:line="480" w:lineRule="auto"/>
    </w:pPr>
  </w:style>
  <w:style w:type="paragraph" w:styleId="57">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5"/>
    <w:autoRedefine/>
    <w:qFormat/>
    <w:uiPriority w:val="0"/>
    <w:rPr>
      <w:b/>
      <w:bCs/>
    </w:rPr>
  </w:style>
  <w:style w:type="paragraph" w:styleId="61">
    <w:name w:val="Body Text First Indent 2"/>
    <w:basedOn w:val="26"/>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next w:val="80"/>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0"/>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_29dca83e-cfa0-4d29-9006-28a1b752e563"/>
    <w:autoRedefine/>
    <w:qFormat/>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8"/>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11"/>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6"/>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7"/>
    <w:autoRedefine/>
    <w:qFormat/>
    <w:uiPriority w:val="0"/>
    <w:rPr>
      <w:rFonts w:ascii="宋体"/>
      <w:kern w:val="2"/>
      <w:sz w:val="24"/>
      <w:szCs w:val="21"/>
      <w:lang w:val="zh-CN"/>
    </w:rPr>
  </w:style>
  <w:style w:type="character" w:customStyle="1" w:styleId="181">
    <w:name w:val="标题 9 Char"/>
    <w:link w:val="14"/>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qFormat/>
    <w:uiPriority w:val="99"/>
    <w:rPr>
      <w:rFonts w:ascii="Times New Roman" w:hAnsi="Times New Roman" w:eastAsia="宋体" w:cs="Times New Roman"/>
      <w:szCs w:val="24"/>
    </w:rPr>
  </w:style>
  <w:style w:type="character" w:customStyle="1" w:styleId="187">
    <w:name w:val="批注框文本 Char"/>
    <w:link w:val="40"/>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8"/>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7"/>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21"/>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1"/>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9"/>
    <w:link w:val="221"/>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autoRedefine/>
    <w:qFormat/>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9"/>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Char3"/>
    <w:link w:val="26"/>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qFormat/>
    <w:uiPriority w:val="99"/>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Char"/>
    <w:link w:val="5"/>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59"/>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Char"/>
    <w:link w:val="10"/>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3"/>
    <w:autoRedefine/>
    <w:qFormat/>
    <w:uiPriority w:val="0"/>
    <w:rPr>
      <w:rFonts w:ascii="仿宋_GB2312" w:eastAsia="仿宋_GB2312"/>
      <w:kern w:val="2"/>
      <w:sz w:val="28"/>
    </w:rPr>
  </w:style>
  <w:style w:type="character" w:customStyle="1" w:styleId="297">
    <w:name w:val="文本正文 Char Char"/>
    <w:autoRedefine/>
    <w:qFormat/>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Char"/>
    <w:link w:val="57"/>
    <w:autoRedefine/>
    <w:qFormat/>
    <w:uiPriority w:val="0"/>
    <w:rPr>
      <w:rFonts w:ascii="黑体" w:hAnsi="Courier New" w:eastAsia="黑体"/>
    </w:rPr>
  </w:style>
  <w:style w:type="character" w:customStyle="1" w:styleId="300">
    <w:name w:val="正文文本 2 Char1"/>
    <w:link w:val="56"/>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9"/>
    <w:link w:val="411"/>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12"/>
    <w:autoRedefine/>
    <w:qFormat/>
    <w:uiPriority w:val="0"/>
    <w:rPr>
      <w:b/>
      <w:bCs/>
      <w:kern w:val="2"/>
      <w:sz w:val="24"/>
      <w:szCs w:val="24"/>
    </w:rPr>
  </w:style>
  <w:style w:type="character" w:customStyle="1" w:styleId="306">
    <w:name w:val="正文文本缩进 2 Char"/>
    <w:link w:val="38"/>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Char"/>
    <w:link w:val="51"/>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首行缩进 Char"/>
    <w:link w:val="3"/>
    <w:autoRedefine/>
    <w:qFormat/>
    <w:uiPriority w:val="0"/>
    <w:rPr>
      <w:rFonts w:ascii="宋体"/>
      <w:kern w:val="2"/>
      <w:sz w:val="24"/>
      <w:lang w:val="zh-CN"/>
    </w:rPr>
  </w:style>
  <w:style w:type="character" w:customStyle="1" w:styleId="320">
    <w:name w:val="h3 Char"/>
    <w:autoRedefine/>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Char2"/>
    <w:link w:val="9"/>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Char"/>
    <w:link w:val="24"/>
    <w:autoRedefine/>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Char1"/>
    <w:link w:val="22"/>
    <w:autoRedefine/>
    <w:qFormat/>
    <w:uiPriority w:val="99"/>
    <w:rPr>
      <w:kern w:val="2"/>
      <w:sz w:val="21"/>
      <w:szCs w:val="24"/>
    </w:rPr>
  </w:style>
  <w:style w:type="character" w:customStyle="1" w:styleId="343">
    <w:name w:val="签名 Char"/>
    <w:link w:val="43"/>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3"/>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3"/>
    <w:autoRedefine/>
    <w:qFormat/>
    <w:uiPriority w:val="0"/>
    <w:rPr>
      <w:kern w:val="2"/>
      <w:sz w:val="24"/>
    </w:rPr>
  </w:style>
  <w:style w:type="character" w:customStyle="1" w:styleId="374">
    <w:name w:val="日期 Char1"/>
    <w:autoRedefine/>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autoRedefine/>
    <w:qFormat/>
    <w:uiPriority w:val="0"/>
    <w:rPr>
      <w:rFonts w:eastAsia="宋体"/>
      <w:kern w:val="2"/>
      <w:sz w:val="18"/>
      <w:lang w:val="en-US" w:eastAsia="zh-CN" w:bidi="ar-SA"/>
    </w:rPr>
  </w:style>
  <w:style w:type="character" w:customStyle="1" w:styleId="381">
    <w:name w:val="页脚 Char2"/>
    <w:link w:val="41"/>
    <w:autoRedefine/>
    <w:qFormat/>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Char2"/>
    <w:link w:val="42"/>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156"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8"/>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9"/>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312"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6"/>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spacing w:before="0" w:after="0"/>
      <w:outlineLvl w:val="5"/>
    </w:pPr>
  </w:style>
  <w:style w:type="paragraph" w:customStyle="1" w:styleId="472">
    <w:name w:val="5级标题"/>
    <w:basedOn w:val="473"/>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autoRedefine/>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11"/>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autoRedefine/>
    <w:qFormat/>
    <w:uiPriority w:val="0"/>
    <w:rPr>
      <w:rFonts w:ascii="仿宋_GB2312" w:eastAsia="仿宋_GB2312"/>
      <w:b/>
      <w:sz w:val="32"/>
      <w:szCs w:val="32"/>
    </w:rPr>
  </w:style>
  <w:style w:type="paragraph" w:customStyle="1" w:styleId="490">
    <w:name w:val="TOC 标题1"/>
    <w:basedOn w:val="5"/>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7"/>
    <w:next w:val="1"/>
    <w:autoRedefine/>
    <w:qFormat/>
    <w:uiPriority w:val="0"/>
    <w:pPr>
      <w:spacing w:line="240" w:lineRule="auto"/>
    </w:pPr>
    <w:rPr>
      <w:sz w:val="28"/>
      <w:szCs w:val="28"/>
    </w:rPr>
  </w:style>
  <w:style w:type="paragraph" w:customStyle="1" w:styleId="495">
    <w:name w:val="FA正文"/>
    <w:basedOn w:val="1"/>
    <w:autoRedefine/>
    <w:qFormat/>
    <w:uiPriority w:val="0"/>
    <w:pPr>
      <w:spacing w:line="360" w:lineRule="auto"/>
      <w:ind w:firstLine="480" w:firstLineChars="200"/>
    </w:pPr>
    <w:rPr>
      <w:rFonts w:hAnsi="宋体"/>
      <w:sz w:val="24"/>
      <w:szCs w:val="20"/>
    </w:rPr>
  </w:style>
  <w:style w:type="paragraph" w:customStyle="1" w:styleId="496">
    <w:name w:val="MM Topic 5"/>
    <w:basedOn w:val="10"/>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8"/>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9"/>
    <w:autoRedefine/>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autoRedefine/>
    <w:qFormat/>
    <w:uiPriority w:val="0"/>
    <w:rPr>
      <w:rFonts w:ascii="宋体" w:eastAsia="宋体" w:cs="Times New Roman"/>
      <w:color w:val="auto"/>
    </w:rPr>
  </w:style>
  <w:style w:type="paragraph" w:customStyle="1" w:styleId="548">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autoRedefine/>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8">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8"/>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autoRedefine/>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2">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autoRedefine/>
    <w:qFormat/>
    <w:uiPriority w:val="0"/>
    <w:pPr>
      <w:adjustRightInd/>
      <w:spacing w:before="156"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autoRedefine/>
    <w:qFormat/>
    <w:uiPriority w:val="0"/>
    <w:rPr>
      <w:rFonts w:ascii="仿宋_GB2312" w:eastAsia="仿宋_GB2312"/>
      <w:b/>
      <w:sz w:val="32"/>
      <w:szCs w:val="32"/>
    </w:rPr>
  </w:style>
  <w:style w:type="paragraph" w:customStyle="1" w:styleId="58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autoRedefine/>
    <w:qFormat/>
    <w:uiPriority w:val="0"/>
    <w:pPr>
      <w:adjustRightInd/>
    </w:pPr>
    <w:rPr>
      <w:sz w:val="18"/>
      <w:szCs w:val="20"/>
    </w:rPr>
  </w:style>
  <w:style w:type="paragraph" w:customStyle="1" w:styleId="593">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8">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autoRedefine/>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autoRedefine/>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7"/>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5"/>
    <w:autoRedefine/>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9"/>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autoRedefine/>
    <w:qFormat/>
    <w:uiPriority w:val="0"/>
    <w:pPr>
      <w:spacing w:after="156" w:afterLines="50"/>
      <w:jc w:val="left"/>
      <w:outlineLvl w:val="3"/>
    </w:pPr>
    <w:rPr>
      <w:sz w:val="24"/>
      <w:szCs w:val="24"/>
    </w:rPr>
  </w:style>
  <w:style w:type="paragraph" w:customStyle="1" w:styleId="64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autoRedefine/>
    <w:qFormat/>
    <w:uiPriority w:val="0"/>
    <w:pPr>
      <w:adjustRightInd/>
    </w:pPr>
    <w:rPr>
      <w:rFonts w:ascii="Tahoma" w:hAnsi="Tahoma"/>
      <w:sz w:val="24"/>
      <w:szCs w:val="20"/>
    </w:rPr>
  </w:style>
  <w:style w:type="paragraph" w:customStyle="1" w:styleId="652">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autoRedefine/>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spacing w:before="0" w:after="0"/>
      <w:ind w:left="1680"/>
      <w:outlineLvl w:val="2"/>
    </w:pPr>
  </w:style>
  <w:style w:type="paragraph" w:customStyle="1" w:styleId="656">
    <w:name w:val="章标题"/>
    <w:next w:val="638"/>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autoRedefine/>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autoRedefine/>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9"/>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autoRedefine/>
    <w:qFormat/>
    <w:uiPriority w:val="0"/>
    <w:pPr>
      <w:autoSpaceDE/>
      <w:autoSpaceDN/>
      <w:snapToGrid w:val="0"/>
      <w:ind w:firstLine="480" w:firstLineChars="200"/>
    </w:pPr>
    <w:rPr>
      <w:rFonts w:ascii="Times New Roman"/>
      <w:szCs w:val="24"/>
      <w:lang w:val="en-US"/>
    </w:rPr>
  </w:style>
  <w:style w:type="paragraph" w:customStyle="1" w:styleId="76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3"/>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8"/>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autoRedefine/>
    <w:qFormat/>
    <w:uiPriority w:val="0"/>
    <w:pPr>
      <w:tabs>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2"/>
    <w:autoRedefine/>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next w:val="34"/>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8"/>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21"/>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autoRedefine/>
    <w:qFormat/>
    <w:uiPriority w:val="0"/>
    <w:rPr>
      <w:b w:val="0"/>
      <w:sz w:val="20"/>
    </w:rPr>
  </w:style>
  <w:style w:type="paragraph" w:customStyle="1" w:styleId="892">
    <w:name w:val="正文首行缩进1"/>
    <w:basedOn w:val="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0"/>
    <w:next w:val="1"/>
    <w:autoRedefine/>
    <w:qFormat/>
    <w:uiPriority w:val="0"/>
    <w:pPr>
      <w:tabs>
        <w:tab w:val="left" w:pos="1080"/>
      </w:tabs>
      <w:ind w:left="1080" w:hanging="1080"/>
    </w:pPr>
  </w:style>
  <w:style w:type="paragraph" w:customStyle="1" w:styleId="895">
    <w:name w:val="数字标题1"/>
    <w:basedOn w:val="5"/>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1"/>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9"/>
    <w:autoRedefine/>
    <w:qFormat/>
    <w:uiPriority w:val="0"/>
    <w:rPr>
      <w:kern w:val="2"/>
      <w:sz w:val="21"/>
      <w:szCs w:val="24"/>
      <w:lang w:val="zh-CN"/>
    </w:rPr>
  </w:style>
  <w:style w:type="character" w:customStyle="1" w:styleId="931">
    <w:name w:val="无间隔 Char"/>
    <w:link w:val="481"/>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6"/>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table" w:customStyle="1" w:styleId="964">
    <w:name w:val="TableGrid1"/>
    <w:autoRedefine/>
    <w:qFormat/>
    <w:uiPriority w:val="0"/>
    <w:rPr>
      <w:kern w:val="0"/>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44554</Words>
  <Characters>47657</Characters>
  <Paragraphs>1943</Paragraphs>
  <TotalTime>15</TotalTime>
  <ScaleCrop>false</ScaleCrop>
  <LinksUpToDate>false</LinksUpToDate>
  <CharactersWithSpaces>55044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2021-08-02T08:22:00Z</dcterms:created>
  <dc:creator>玥</dc:creator>
  <cp:lastModifiedBy>Mr黄油is娄儿</cp:lastModifiedBy>
  <cp:lastPrinted>2023-09-12T23:23:00Z</cp:lastPrinted>
  <dcterms:modified xsi:type="dcterms:W3CDTF">2024-02-19T08:54:37Z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FC7FE7F6AFB148969001595D1782B431_13</vt:lpwstr>
  </property>
</Properties>
</file>