
<file path=[Content_Types].xml><?xml version="1.0" encoding="utf-8"?>
<Types xmlns="http://schemas.openxmlformats.org/package/2006/content-types">
  <Default Extension="xml" ContentType="application/xml"/>
  <Default Extension="doc" ContentType="application/msword"/>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00" w:lineRule="atLeast"/>
        <w:jc w:val="center"/>
        <w:textAlignment w:val="bottom"/>
        <w:rPr>
          <w:rFonts w:ascii="宋体" w:hAnsi="宋体" w:cs="Courier New"/>
          <w:b/>
          <w:bCs/>
          <w:color w:val="auto"/>
          <w:spacing w:val="120"/>
          <w:sz w:val="72"/>
          <w:szCs w:val="72"/>
        </w:rPr>
      </w:pPr>
      <w:r>
        <w:rPr>
          <w:rFonts w:hint="eastAsia" w:ascii="宋体" w:hAnsi="宋体" w:cs="Courier New"/>
          <w:b/>
          <w:bCs/>
          <w:color w:val="auto"/>
          <w:spacing w:val="120"/>
          <w:sz w:val="72"/>
          <w:szCs w:val="72"/>
        </w:rPr>
        <w:t>泰顺县</w:t>
      </w:r>
      <w:r>
        <w:rPr>
          <w:rFonts w:ascii="宋体" w:hAnsi="宋体" w:cs="Courier New"/>
          <w:b/>
          <w:bCs/>
          <w:color w:val="auto"/>
          <w:spacing w:val="120"/>
          <w:sz w:val="72"/>
          <w:szCs w:val="72"/>
        </w:rPr>
        <w:t>政府采购</w:t>
      </w:r>
    </w:p>
    <w:p>
      <w:pPr>
        <w:spacing w:line="400" w:lineRule="atLeast"/>
        <w:jc w:val="center"/>
        <w:rPr>
          <w:rFonts w:ascii="宋体" w:hAnsi="宋体" w:cs="Courier New"/>
          <w:b/>
          <w:color w:val="auto"/>
          <w:sz w:val="52"/>
        </w:rPr>
      </w:pPr>
    </w:p>
    <w:p>
      <w:pPr>
        <w:spacing w:line="400" w:lineRule="atLeast"/>
        <w:rPr>
          <w:rFonts w:ascii="宋体" w:hAnsi="宋体" w:cs="Courier New"/>
          <w:b/>
          <w:color w:val="auto"/>
          <w:sz w:val="52"/>
        </w:rPr>
      </w:pPr>
    </w:p>
    <w:p>
      <w:pPr>
        <w:autoSpaceDE w:val="0"/>
        <w:autoSpaceDN w:val="0"/>
        <w:spacing w:line="500" w:lineRule="atLeast"/>
        <w:textAlignment w:val="bottom"/>
        <w:rPr>
          <w:rFonts w:ascii="宋体" w:hAnsi="宋体" w:cs="Courier New"/>
          <w:b/>
          <w:bCs/>
          <w:color w:val="auto"/>
          <w:sz w:val="72"/>
          <w:szCs w:val="72"/>
        </w:rPr>
      </w:pPr>
    </w:p>
    <w:p>
      <w:pPr>
        <w:autoSpaceDE w:val="0"/>
        <w:autoSpaceDN w:val="0"/>
        <w:spacing w:line="500" w:lineRule="atLeast"/>
        <w:jc w:val="center"/>
        <w:textAlignment w:val="bottom"/>
        <w:rPr>
          <w:rFonts w:ascii="宋体" w:hAnsi="宋体" w:cs="Courier New"/>
          <w:b/>
          <w:bCs/>
          <w:color w:val="auto"/>
          <w:sz w:val="72"/>
          <w:szCs w:val="72"/>
        </w:rPr>
      </w:pPr>
    </w:p>
    <w:p>
      <w:pPr>
        <w:spacing w:line="900" w:lineRule="exact"/>
        <w:jc w:val="center"/>
        <w:rPr>
          <w:rFonts w:ascii="宋体" w:hAnsi="宋体" w:cs="宋体"/>
          <w:b/>
          <w:bCs/>
          <w:color w:val="auto"/>
          <w:spacing w:val="140"/>
          <w:sz w:val="72"/>
          <w:szCs w:val="72"/>
        </w:rPr>
      </w:pPr>
      <w:r>
        <w:rPr>
          <w:rFonts w:hint="eastAsia" w:ascii="宋体" w:hAnsi="宋体" w:cs="宋体"/>
          <w:b/>
          <w:bCs/>
          <w:color w:val="auto"/>
          <w:spacing w:val="140"/>
          <w:sz w:val="72"/>
          <w:szCs w:val="72"/>
        </w:rPr>
        <w:t>竞争性磋商文件</w:t>
      </w:r>
    </w:p>
    <w:p>
      <w:pPr>
        <w:jc w:val="center"/>
        <w:rPr>
          <w:rFonts w:ascii="宋体" w:hAnsi="宋体" w:cs="宋体"/>
          <w:b/>
          <w:color w:val="auto"/>
          <w:sz w:val="32"/>
          <w:szCs w:val="32"/>
        </w:rPr>
      </w:pPr>
      <w:r>
        <w:rPr>
          <w:rFonts w:hint="eastAsia" w:ascii="宋体" w:hAnsi="宋体" w:cs="宋体"/>
          <w:b/>
          <w:color w:val="auto"/>
          <w:sz w:val="32"/>
          <w:szCs w:val="32"/>
        </w:rPr>
        <w:t>（线上电子招投标）</w:t>
      </w:r>
    </w:p>
    <w:p>
      <w:pPr>
        <w:tabs>
          <w:tab w:val="left" w:pos="4860"/>
        </w:tabs>
        <w:spacing w:line="600" w:lineRule="exact"/>
        <w:ind w:right="1143"/>
        <w:jc w:val="left"/>
        <w:rPr>
          <w:rFonts w:ascii="宋体" w:hAnsi="宋体"/>
          <w:color w:val="auto"/>
          <w:spacing w:val="40"/>
          <w:sz w:val="30"/>
          <w:szCs w:val="30"/>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5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340" w:type="dxa"/>
            <w:vAlign w:val="center"/>
          </w:tcPr>
          <w:p>
            <w:pPr>
              <w:adjustRightInd w:val="0"/>
              <w:snapToGrid w:val="0"/>
              <w:spacing w:line="440" w:lineRule="exact"/>
              <w:jc w:val="left"/>
              <w:rPr>
                <w:rFonts w:ascii="宋体" w:hAnsi="宋体"/>
                <w:b/>
                <w:bCs/>
                <w:color w:val="auto"/>
                <w:sz w:val="30"/>
                <w:szCs w:val="30"/>
              </w:rPr>
            </w:pPr>
            <w:r>
              <w:rPr>
                <w:rFonts w:ascii="宋体" w:hAnsi="宋体"/>
                <w:b/>
                <w:bCs/>
                <w:color w:val="auto"/>
                <w:spacing w:val="40"/>
                <w:sz w:val="30"/>
                <w:szCs w:val="30"/>
              </w:rPr>
              <w:t>项目编号</w:t>
            </w:r>
          </w:p>
        </w:tc>
        <w:tc>
          <w:tcPr>
            <w:tcW w:w="5396" w:type="dxa"/>
            <w:vAlign w:val="center"/>
          </w:tcPr>
          <w:p>
            <w:pPr>
              <w:adjustRightInd w:val="0"/>
              <w:snapToGrid w:val="0"/>
              <w:spacing w:line="440" w:lineRule="exact"/>
              <w:jc w:val="left"/>
              <w:rPr>
                <w:rFonts w:ascii="宋体" w:hAnsi="宋体" w:eastAsia="宋体"/>
                <w:b/>
                <w:bCs/>
                <w:color w:val="auto"/>
                <w:spacing w:val="-20"/>
                <w:sz w:val="30"/>
                <w:szCs w:val="30"/>
              </w:rPr>
            </w:pPr>
            <w:r>
              <w:rPr>
                <w:rFonts w:hint="eastAsia" w:ascii="宋体" w:hAnsi="宋体" w:eastAsia="宋体"/>
                <w:b/>
                <w:bCs/>
                <w:color w:val="auto"/>
                <w:spacing w:val="-20"/>
                <w:sz w:val="30"/>
                <w:szCs w:val="30"/>
              </w:rPr>
              <w:t xml:space="preserve">TSCG202211016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left"/>
              <w:rPr>
                <w:rFonts w:ascii="宋体" w:hAnsi="宋体"/>
                <w:b/>
                <w:bCs/>
                <w:color w:val="auto"/>
                <w:sz w:val="30"/>
                <w:szCs w:val="30"/>
              </w:rPr>
            </w:pPr>
            <w:r>
              <w:rPr>
                <w:rFonts w:ascii="宋体" w:hAnsi="宋体"/>
                <w:b/>
                <w:bCs/>
                <w:color w:val="auto"/>
                <w:spacing w:val="40"/>
                <w:sz w:val="30"/>
                <w:szCs w:val="30"/>
              </w:rPr>
              <w:t>招标项目</w:t>
            </w:r>
          </w:p>
        </w:tc>
        <w:tc>
          <w:tcPr>
            <w:tcW w:w="5396" w:type="dxa"/>
            <w:vAlign w:val="center"/>
          </w:tcPr>
          <w:p>
            <w:pPr>
              <w:adjustRightInd w:val="0"/>
              <w:snapToGrid w:val="0"/>
              <w:spacing w:line="440" w:lineRule="exact"/>
              <w:jc w:val="left"/>
              <w:rPr>
                <w:rFonts w:ascii="宋体" w:hAnsi="宋体" w:eastAsia="宋体"/>
                <w:b/>
                <w:bCs/>
                <w:color w:val="auto"/>
                <w:sz w:val="30"/>
                <w:szCs w:val="30"/>
              </w:rPr>
            </w:pPr>
            <w:r>
              <w:rPr>
                <w:rFonts w:hint="eastAsia" w:ascii="宋体" w:hAnsi="宋体" w:eastAsia="宋体"/>
                <w:b/>
                <w:bCs/>
                <w:color w:val="auto"/>
                <w:sz w:val="30"/>
                <w:szCs w:val="30"/>
              </w:rPr>
              <w:t>泰顺县2022年-2023年度松树打孔注药防治松材线虫病服务项目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left"/>
              <w:rPr>
                <w:rFonts w:ascii="宋体" w:hAnsi="宋体"/>
                <w:b/>
                <w:bCs/>
                <w:color w:val="auto"/>
                <w:sz w:val="30"/>
                <w:szCs w:val="30"/>
              </w:rPr>
            </w:pPr>
            <w:r>
              <w:rPr>
                <w:rFonts w:ascii="宋体" w:hAnsi="宋体"/>
                <w:b/>
                <w:bCs/>
                <w:color w:val="auto"/>
                <w:spacing w:val="40"/>
                <w:sz w:val="30"/>
                <w:szCs w:val="30"/>
              </w:rPr>
              <w:t>招标方式</w:t>
            </w:r>
          </w:p>
        </w:tc>
        <w:tc>
          <w:tcPr>
            <w:tcW w:w="5396" w:type="dxa"/>
            <w:vAlign w:val="center"/>
          </w:tcPr>
          <w:p>
            <w:pPr>
              <w:adjustRightInd w:val="0"/>
              <w:snapToGrid w:val="0"/>
              <w:spacing w:line="440" w:lineRule="exact"/>
              <w:jc w:val="left"/>
              <w:rPr>
                <w:rFonts w:ascii="宋体" w:hAnsi="宋体"/>
                <w:b/>
                <w:bCs/>
                <w:color w:val="auto"/>
                <w:sz w:val="30"/>
                <w:szCs w:val="30"/>
              </w:rPr>
            </w:pPr>
            <w:r>
              <w:rPr>
                <w:rFonts w:hint="eastAsia" w:ascii="宋体" w:hAnsi="宋体"/>
                <w:b/>
                <w:bCs/>
                <w:color w:val="auto"/>
                <w:sz w:val="30"/>
                <w:szCs w:val="30"/>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left"/>
              <w:rPr>
                <w:rFonts w:ascii="宋体" w:hAnsi="宋体" w:eastAsia="宋体"/>
                <w:b/>
                <w:bCs/>
                <w:color w:val="auto"/>
                <w:spacing w:val="40"/>
                <w:sz w:val="30"/>
                <w:szCs w:val="30"/>
              </w:rPr>
            </w:pPr>
            <w:r>
              <w:rPr>
                <w:rFonts w:ascii="宋体" w:hAnsi="宋体"/>
                <w:b/>
                <w:bCs/>
                <w:color w:val="auto"/>
                <w:spacing w:val="40"/>
                <w:sz w:val="30"/>
                <w:szCs w:val="30"/>
              </w:rPr>
              <w:t>采购单位</w:t>
            </w:r>
          </w:p>
        </w:tc>
        <w:tc>
          <w:tcPr>
            <w:tcW w:w="5396" w:type="dxa"/>
            <w:vAlign w:val="center"/>
          </w:tcPr>
          <w:p>
            <w:pPr>
              <w:adjustRightInd w:val="0"/>
              <w:snapToGrid w:val="0"/>
              <w:spacing w:line="440" w:lineRule="exact"/>
              <w:jc w:val="left"/>
              <w:rPr>
                <w:rFonts w:ascii="宋体" w:hAnsi="宋体"/>
                <w:b/>
                <w:bCs/>
                <w:color w:val="auto"/>
                <w:sz w:val="30"/>
                <w:szCs w:val="30"/>
              </w:rPr>
            </w:pPr>
            <w:r>
              <w:rPr>
                <w:rFonts w:hint="eastAsia" w:ascii="宋体" w:hAnsi="宋体"/>
                <w:b/>
                <w:bCs/>
                <w:color w:val="auto"/>
                <w:sz w:val="30"/>
                <w:szCs w:val="30"/>
              </w:rPr>
              <w:t>泰顺县自然资源和规划局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left"/>
              <w:rPr>
                <w:rFonts w:ascii="宋体" w:hAnsi="宋体"/>
                <w:b/>
                <w:bCs/>
                <w:color w:val="auto"/>
                <w:spacing w:val="40"/>
                <w:sz w:val="30"/>
                <w:szCs w:val="30"/>
              </w:rPr>
            </w:pPr>
            <w:r>
              <w:rPr>
                <w:rFonts w:ascii="宋体" w:hAnsi="宋体"/>
                <w:b/>
                <w:bCs/>
                <w:color w:val="auto"/>
                <w:sz w:val="30"/>
                <w:szCs w:val="30"/>
              </w:rPr>
              <w:t>招标代理机构</w:t>
            </w:r>
          </w:p>
        </w:tc>
        <w:tc>
          <w:tcPr>
            <w:tcW w:w="5396" w:type="dxa"/>
            <w:vAlign w:val="center"/>
          </w:tcPr>
          <w:p>
            <w:pPr>
              <w:adjustRightInd w:val="0"/>
              <w:snapToGrid w:val="0"/>
              <w:spacing w:line="440" w:lineRule="exact"/>
              <w:jc w:val="left"/>
              <w:rPr>
                <w:rFonts w:ascii="宋体" w:hAnsi="宋体" w:eastAsia="宋体"/>
                <w:b/>
                <w:bCs/>
                <w:color w:val="auto"/>
                <w:sz w:val="30"/>
                <w:szCs w:val="30"/>
              </w:rPr>
            </w:pPr>
            <w:r>
              <w:rPr>
                <w:rFonts w:hint="eastAsia" w:ascii="宋体" w:hAnsi="宋体"/>
                <w:b/>
                <w:bCs/>
                <w:color w:val="auto"/>
                <w:sz w:val="30"/>
                <w:szCs w:val="30"/>
              </w:rPr>
              <w:t>浙江益诚工程咨询有限公司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left"/>
              <w:rPr>
                <w:rFonts w:ascii="宋体" w:hAnsi="宋体"/>
                <w:b/>
                <w:bCs/>
                <w:color w:val="auto"/>
                <w:spacing w:val="40"/>
                <w:sz w:val="30"/>
                <w:szCs w:val="30"/>
              </w:rPr>
            </w:pPr>
            <w:r>
              <w:rPr>
                <w:rFonts w:ascii="宋体" w:hAnsi="宋体"/>
                <w:b/>
                <w:bCs/>
                <w:color w:val="auto"/>
                <w:sz w:val="30"/>
                <w:szCs w:val="30"/>
              </w:rPr>
              <w:t>监督及备案机构</w:t>
            </w:r>
          </w:p>
        </w:tc>
        <w:tc>
          <w:tcPr>
            <w:tcW w:w="5396" w:type="dxa"/>
            <w:vAlign w:val="center"/>
          </w:tcPr>
          <w:p>
            <w:pPr>
              <w:adjustRightInd w:val="0"/>
              <w:snapToGrid w:val="0"/>
              <w:spacing w:line="440" w:lineRule="exact"/>
              <w:jc w:val="left"/>
              <w:rPr>
                <w:rFonts w:ascii="宋体" w:hAnsi="宋体"/>
                <w:b/>
                <w:bCs/>
                <w:color w:val="auto"/>
                <w:sz w:val="30"/>
                <w:szCs w:val="30"/>
              </w:rPr>
            </w:pPr>
            <w:r>
              <w:rPr>
                <w:rFonts w:ascii="宋体" w:hAnsi="宋体"/>
                <w:b/>
                <w:bCs/>
                <w:color w:val="auto"/>
                <w:sz w:val="30"/>
                <w:szCs w:val="30"/>
              </w:rPr>
              <w:t>泰顺县财政局</w:t>
            </w:r>
          </w:p>
        </w:tc>
      </w:tr>
    </w:tbl>
    <w:p>
      <w:pPr>
        <w:jc w:val="center"/>
        <w:rPr>
          <w:rFonts w:ascii="宋体" w:hAnsi="宋体"/>
          <w:bCs/>
          <w:color w:val="auto"/>
          <w:sz w:val="24"/>
        </w:rPr>
      </w:pPr>
    </w:p>
    <w:p>
      <w:pPr>
        <w:jc w:val="center"/>
        <w:rPr>
          <w:rFonts w:ascii="宋体" w:hAnsi="宋体"/>
          <w:bCs/>
          <w:color w:val="auto"/>
          <w:sz w:val="24"/>
        </w:rPr>
      </w:pPr>
    </w:p>
    <w:p>
      <w:pPr>
        <w:spacing w:line="400" w:lineRule="exact"/>
        <w:jc w:val="center"/>
        <w:rPr>
          <w:rFonts w:ascii="楷体" w:hAnsi="楷体" w:eastAsia="楷体" w:cs="楷体"/>
          <w:bCs/>
          <w:color w:val="auto"/>
          <w:sz w:val="44"/>
          <w:szCs w:val="44"/>
        </w:rPr>
      </w:pPr>
      <w:r>
        <w:rPr>
          <w:rFonts w:ascii="宋体" w:hAnsi="宋体"/>
          <w:b/>
          <w:bCs/>
          <w:color w:val="auto"/>
          <w:spacing w:val="40"/>
          <w:sz w:val="30"/>
          <w:szCs w:val="30"/>
        </w:rPr>
        <w:t>二〇二</w:t>
      </w:r>
      <w:r>
        <w:rPr>
          <w:rFonts w:hint="eastAsia" w:ascii="宋体" w:hAnsi="宋体"/>
          <w:b/>
          <w:bCs/>
          <w:color w:val="auto"/>
          <w:spacing w:val="40"/>
          <w:sz w:val="30"/>
          <w:szCs w:val="30"/>
        </w:rPr>
        <w:t>二</w:t>
      </w:r>
      <w:r>
        <w:rPr>
          <w:rFonts w:ascii="宋体" w:hAnsi="宋体"/>
          <w:b/>
          <w:bCs/>
          <w:color w:val="auto"/>
          <w:spacing w:val="40"/>
          <w:sz w:val="30"/>
          <w:szCs w:val="30"/>
        </w:rPr>
        <w:t>年</w:t>
      </w:r>
      <w:r>
        <w:rPr>
          <w:rFonts w:hint="eastAsia" w:ascii="宋体" w:hAnsi="宋体"/>
          <w:b/>
          <w:bCs/>
          <w:color w:val="auto"/>
          <w:spacing w:val="40"/>
          <w:sz w:val="30"/>
          <w:szCs w:val="30"/>
        </w:rPr>
        <w:t>十</w:t>
      </w:r>
      <w:r>
        <w:rPr>
          <w:rFonts w:hint="eastAsia" w:ascii="宋体" w:hAnsi="宋体"/>
          <w:b/>
          <w:bCs/>
          <w:color w:val="auto"/>
          <w:spacing w:val="40"/>
          <w:sz w:val="30"/>
          <w:szCs w:val="30"/>
          <w:lang w:eastAsia="zh-CN"/>
        </w:rPr>
        <w:t>二</w:t>
      </w:r>
      <w:r>
        <w:rPr>
          <w:rFonts w:hint="eastAsia" w:ascii="宋体" w:hAnsi="宋体"/>
          <w:b/>
          <w:bCs/>
          <w:color w:val="auto"/>
          <w:spacing w:val="40"/>
          <w:sz w:val="30"/>
          <w:szCs w:val="30"/>
        </w:rPr>
        <w:t>月</w:t>
      </w:r>
    </w:p>
    <w:p>
      <w:pPr>
        <w:spacing w:line="400" w:lineRule="exact"/>
        <w:jc w:val="center"/>
        <w:rPr>
          <w:rFonts w:ascii="楷体" w:hAnsi="楷体" w:eastAsia="楷体" w:cs="楷体"/>
          <w:bCs/>
          <w:color w:val="auto"/>
          <w:sz w:val="44"/>
          <w:szCs w:val="44"/>
        </w:rPr>
      </w:pPr>
    </w:p>
    <w:p>
      <w:pPr>
        <w:spacing w:line="400" w:lineRule="exact"/>
        <w:jc w:val="center"/>
        <w:rPr>
          <w:rFonts w:ascii="楷体" w:hAnsi="楷体" w:eastAsia="楷体" w:cs="楷体"/>
          <w:bCs/>
          <w:color w:val="auto"/>
          <w:sz w:val="44"/>
          <w:szCs w:val="44"/>
        </w:rPr>
      </w:pPr>
    </w:p>
    <w:p>
      <w:pPr>
        <w:spacing w:line="400" w:lineRule="exact"/>
        <w:jc w:val="center"/>
        <w:rPr>
          <w:rFonts w:ascii="楷体" w:hAnsi="楷体" w:eastAsia="楷体" w:cs="楷体"/>
          <w:bCs/>
          <w:color w:val="auto"/>
          <w:sz w:val="44"/>
          <w:szCs w:val="44"/>
        </w:rPr>
        <w:sectPr>
          <w:headerReference r:id="rId4" w:type="first"/>
          <w:footerReference r:id="rId6" w:type="first"/>
          <w:headerReference r:id="rId3" w:type="default"/>
          <w:footerReference r:id="rId5" w:type="default"/>
          <w:pgSz w:w="11906" w:h="16838"/>
          <w:pgMar w:top="1440" w:right="1106" w:bottom="1440" w:left="1622" w:header="720" w:footer="720" w:gutter="0"/>
          <w:pgNumType w:start="1"/>
          <w:cols w:space="720" w:num="1"/>
          <w:docGrid w:type="lines" w:linePitch="312" w:charSpace="0"/>
        </w:sectPr>
      </w:pPr>
    </w:p>
    <w:p>
      <w:pPr>
        <w:spacing w:line="400" w:lineRule="exact"/>
        <w:jc w:val="center"/>
        <w:rPr>
          <w:rFonts w:ascii="楷体" w:hAnsi="楷体" w:eastAsia="楷体" w:cs="楷体"/>
          <w:bCs/>
          <w:color w:val="auto"/>
          <w:sz w:val="44"/>
          <w:szCs w:val="44"/>
        </w:rPr>
      </w:pPr>
    </w:p>
    <w:p>
      <w:pPr>
        <w:spacing w:line="400" w:lineRule="exact"/>
        <w:jc w:val="center"/>
        <w:rPr>
          <w:rFonts w:ascii="楷体" w:hAnsi="楷体" w:eastAsia="楷体" w:cs="楷体"/>
          <w:bCs/>
          <w:color w:val="auto"/>
          <w:sz w:val="44"/>
          <w:szCs w:val="44"/>
        </w:rPr>
      </w:pPr>
      <w:r>
        <w:rPr>
          <w:rFonts w:hint="eastAsia" w:ascii="楷体" w:hAnsi="楷体" w:eastAsia="楷体" w:cs="楷体"/>
          <w:bCs/>
          <w:color w:val="auto"/>
          <w:sz w:val="44"/>
          <w:szCs w:val="44"/>
        </w:rPr>
        <w:t>招标文件目录</w:t>
      </w:r>
    </w:p>
    <w:p>
      <w:pPr>
        <w:pStyle w:val="21"/>
        <w:tabs>
          <w:tab w:val="right" w:leader="dot" w:pos="9628"/>
        </w:tabs>
        <w:spacing w:line="360" w:lineRule="auto"/>
        <w:ind w:left="840" w:firstLine="420"/>
        <w:rPr>
          <w:color w:val="auto"/>
          <w:sz w:val="28"/>
          <w:szCs w:val="28"/>
        </w:rPr>
      </w:pPr>
    </w:p>
    <w:p>
      <w:pPr>
        <w:pStyle w:val="21"/>
        <w:tabs>
          <w:tab w:val="right" w:leader="dot" w:pos="9628"/>
        </w:tabs>
        <w:spacing w:line="360" w:lineRule="auto"/>
        <w:ind w:left="840" w:firstLine="420"/>
        <w:rPr>
          <w:rFonts w:ascii="楷体" w:hAnsi="楷体" w:eastAsia="楷体" w:cs="楷体"/>
          <w:bCs w:val="0"/>
          <w:color w:val="auto"/>
          <w:sz w:val="28"/>
          <w:szCs w:val="28"/>
        </w:rPr>
      </w:pPr>
    </w:p>
    <w:p>
      <w:pPr>
        <w:pStyle w:val="21"/>
        <w:tabs>
          <w:tab w:val="right" w:leader="dot" w:pos="9628"/>
        </w:tabs>
        <w:spacing w:line="480" w:lineRule="auto"/>
        <w:ind w:left="839" w:firstLine="420"/>
        <w:rPr>
          <w:rFonts w:ascii="楷体" w:hAnsi="楷体" w:eastAsia="楷体" w:cs="楷体"/>
          <w:bCs w:val="0"/>
          <w:color w:val="auto"/>
          <w:sz w:val="28"/>
          <w:szCs w:val="28"/>
        </w:rPr>
      </w:pPr>
    </w:p>
    <w:p>
      <w:pPr>
        <w:pStyle w:val="21"/>
        <w:tabs>
          <w:tab w:val="right" w:leader="dot" w:pos="9628"/>
        </w:tabs>
        <w:spacing w:line="480" w:lineRule="auto"/>
        <w:ind w:left="839" w:firstLine="420"/>
        <w:rPr>
          <w:rFonts w:ascii="楷体" w:hAnsi="楷体" w:eastAsia="楷体" w:cs="楷体"/>
          <w:b w:val="0"/>
          <w:color w:val="auto"/>
          <w:sz w:val="28"/>
          <w:szCs w:val="28"/>
        </w:rPr>
      </w:pPr>
      <w:r>
        <w:rPr>
          <w:rFonts w:hint="eastAsia" w:ascii="楷体" w:hAnsi="楷体" w:eastAsia="楷体" w:cs="楷体"/>
          <w:b w:val="0"/>
          <w:color w:val="auto"/>
          <w:sz w:val="28"/>
          <w:szCs w:val="28"/>
        </w:rPr>
        <w:t>第一部分、投标邀请函（投标须知前附表）</w:t>
      </w:r>
    </w:p>
    <w:p>
      <w:pPr>
        <w:pStyle w:val="21"/>
        <w:tabs>
          <w:tab w:val="right" w:leader="dot" w:pos="9628"/>
        </w:tabs>
        <w:spacing w:line="480" w:lineRule="auto"/>
        <w:ind w:left="839" w:firstLine="420"/>
        <w:rPr>
          <w:rFonts w:ascii="楷体" w:hAnsi="楷体" w:eastAsia="楷体" w:cs="楷体"/>
          <w:b w:val="0"/>
          <w:color w:val="auto"/>
          <w:sz w:val="28"/>
          <w:szCs w:val="28"/>
        </w:rPr>
      </w:pPr>
      <w:r>
        <w:rPr>
          <w:rFonts w:hint="eastAsia" w:ascii="楷体" w:hAnsi="楷体" w:eastAsia="楷体" w:cs="楷体"/>
          <w:b w:val="0"/>
          <w:color w:val="auto"/>
          <w:sz w:val="28"/>
          <w:szCs w:val="28"/>
        </w:rPr>
        <w:t>第二部分、招标内容</w:t>
      </w:r>
    </w:p>
    <w:p>
      <w:pPr>
        <w:pStyle w:val="21"/>
        <w:tabs>
          <w:tab w:val="right" w:leader="dot" w:pos="9628"/>
        </w:tabs>
        <w:spacing w:line="480" w:lineRule="auto"/>
        <w:ind w:left="839" w:firstLine="420"/>
        <w:rPr>
          <w:rFonts w:ascii="楷体" w:hAnsi="楷体" w:eastAsia="楷体" w:cs="楷体"/>
          <w:b w:val="0"/>
          <w:color w:val="auto"/>
          <w:sz w:val="28"/>
          <w:szCs w:val="28"/>
        </w:rPr>
      </w:pPr>
      <w:r>
        <w:rPr>
          <w:rFonts w:hint="eastAsia" w:ascii="楷体" w:hAnsi="楷体" w:eastAsia="楷体" w:cs="楷体"/>
          <w:b w:val="0"/>
          <w:color w:val="auto"/>
          <w:sz w:val="28"/>
          <w:szCs w:val="28"/>
        </w:rPr>
        <w:t>第三部分、供应商须知</w:t>
      </w:r>
    </w:p>
    <w:p>
      <w:pPr>
        <w:pStyle w:val="21"/>
        <w:tabs>
          <w:tab w:val="right" w:leader="dot" w:pos="9628"/>
        </w:tabs>
        <w:spacing w:line="480" w:lineRule="auto"/>
        <w:ind w:left="839" w:firstLine="420"/>
        <w:rPr>
          <w:rFonts w:ascii="楷体" w:hAnsi="楷体" w:eastAsia="楷体" w:cs="楷体"/>
          <w:b w:val="0"/>
          <w:color w:val="auto"/>
          <w:sz w:val="28"/>
          <w:szCs w:val="28"/>
        </w:rPr>
      </w:pPr>
      <w:r>
        <w:rPr>
          <w:rFonts w:hint="eastAsia" w:ascii="楷体" w:hAnsi="楷体" w:eastAsia="楷体" w:cs="楷体"/>
          <w:b w:val="0"/>
          <w:color w:val="auto"/>
          <w:sz w:val="28"/>
          <w:szCs w:val="28"/>
        </w:rPr>
        <w:t>第四部分、合同格式</w:t>
      </w:r>
    </w:p>
    <w:p>
      <w:pPr>
        <w:pStyle w:val="21"/>
        <w:tabs>
          <w:tab w:val="right" w:leader="dot" w:pos="9628"/>
        </w:tabs>
        <w:spacing w:line="480" w:lineRule="auto"/>
        <w:ind w:left="839" w:firstLine="420"/>
        <w:rPr>
          <w:rFonts w:ascii="楷体" w:hAnsi="楷体" w:eastAsia="楷体" w:cs="楷体"/>
          <w:b w:val="0"/>
          <w:color w:val="auto"/>
          <w:sz w:val="28"/>
          <w:szCs w:val="28"/>
        </w:rPr>
      </w:pPr>
      <w:r>
        <w:rPr>
          <w:rFonts w:hint="eastAsia" w:ascii="楷体" w:hAnsi="楷体" w:eastAsia="楷体" w:cs="楷体"/>
          <w:b w:val="0"/>
          <w:color w:val="auto"/>
          <w:sz w:val="28"/>
          <w:szCs w:val="28"/>
        </w:rPr>
        <w:t>第五部分、附件：投标文件格式</w:t>
      </w:r>
    </w:p>
    <w:p>
      <w:pPr>
        <w:pStyle w:val="21"/>
        <w:tabs>
          <w:tab w:val="right" w:leader="dot" w:pos="9628"/>
        </w:tabs>
        <w:spacing w:line="480" w:lineRule="auto"/>
        <w:ind w:left="839" w:firstLine="420"/>
        <w:rPr>
          <w:rFonts w:ascii="楷体" w:hAnsi="楷体" w:eastAsia="楷体" w:cs="楷体"/>
          <w:b w:val="0"/>
          <w:color w:val="auto"/>
          <w:sz w:val="28"/>
          <w:szCs w:val="28"/>
        </w:rPr>
      </w:pPr>
      <w:r>
        <w:rPr>
          <w:rFonts w:hint="eastAsia" w:ascii="楷体" w:hAnsi="楷体" w:eastAsia="楷体" w:cs="楷体"/>
          <w:b w:val="0"/>
          <w:color w:val="auto"/>
          <w:sz w:val="28"/>
          <w:szCs w:val="28"/>
        </w:rPr>
        <w:t>第六部分、评标办法</w:t>
      </w:r>
    </w:p>
    <w:p>
      <w:pPr>
        <w:pStyle w:val="21"/>
        <w:tabs>
          <w:tab w:val="right" w:leader="dot" w:pos="9628"/>
        </w:tabs>
        <w:spacing w:line="360" w:lineRule="auto"/>
        <w:ind w:left="840" w:firstLine="420"/>
        <w:rPr>
          <w:rFonts w:ascii="楷体" w:hAnsi="楷体" w:eastAsia="楷体" w:cs="楷体"/>
          <w:bCs w:val="0"/>
          <w:color w:val="auto"/>
          <w:sz w:val="28"/>
          <w:szCs w:val="28"/>
        </w:rPr>
      </w:pPr>
    </w:p>
    <w:p>
      <w:pPr>
        <w:spacing w:line="400" w:lineRule="exact"/>
        <w:jc w:val="center"/>
        <w:rPr>
          <w:rFonts w:ascii="宋体" w:hAnsi="宋体"/>
          <w:b/>
          <w:bCs/>
          <w:color w:val="auto"/>
          <w:sz w:val="32"/>
          <w:szCs w:val="32"/>
        </w:rPr>
      </w:pPr>
    </w:p>
    <w:p>
      <w:pPr>
        <w:spacing w:line="400" w:lineRule="exact"/>
        <w:jc w:val="center"/>
        <w:rPr>
          <w:rFonts w:ascii="宋体" w:hAnsi="宋体"/>
          <w:b/>
          <w:bCs/>
          <w:color w:val="auto"/>
          <w:sz w:val="32"/>
          <w:szCs w:val="32"/>
        </w:rPr>
      </w:pPr>
    </w:p>
    <w:p>
      <w:pPr>
        <w:spacing w:line="400" w:lineRule="exact"/>
        <w:jc w:val="center"/>
        <w:rPr>
          <w:rFonts w:ascii="宋体" w:hAnsi="宋体"/>
          <w:b/>
          <w:bCs/>
          <w:color w:val="auto"/>
          <w:sz w:val="32"/>
          <w:szCs w:val="32"/>
        </w:rPr>
      </w:pPr>
    </w:p>
    <w:p>
      <w:pPr>
        <w:spacing w:line="400" w:lineRule="exact"/>
        <w:jc w:val="center"/>
        <w:rPr>
          <w:rFonts w:ascii="宋体" w:hAnsi="宋体"/>
          <w:b/>
          <w:bCs/>
          <w:color w:val="auto"/>
          <w:sz w:val="32"/>
          <w:szCs w:val="32"/>
        </w:rPr>
      </w:pPr>
    </w:p>
    <w:p>
      <w:pPr>
        <w:spacing w:line="400" w:lineRule="exact"/>
        <w:jc w:val="center"/>
        <w:rPr>
          <w:rFonts w:ascii="宋体" w:hAnsi="宋体"/>
          <w:b/>
          <w:bCs/>
          <w:color w:val="auto"/>
          <w:sz w:val="32"/>
          <w:szCs w:val="32"/>
        </w:rPr>
      </w:pPr>
    </w:p>
    <w:p>
      <w:pPr>
        <w:pStyle w:val="21"/>
        <w:tabs>
          <w:tab w:val="right" w:leader="dot" w:pos="9628"/>
        </w:tabs>
        <w:spacing w:line="480" w:lineRule="auto"/>
        <w:ind w:left="839" w:firstLine="420"/>
        <w:rPr>
          <w:rFonts w:hAnsi="宋体" w:cs="楷体"/>
          <w:color w:val="auto"/>
          <w:szCs w:val="21"/>
          <w:u w:val="single"/>
        </w:rPr>
      </w:pPr>
      <w:r>
        <w:rPr>
          <w:rFonts w:hint="eastAsia" w:hAnsi="宋体" w:cs="楷体"/>
          <w:color w:val="auto"/>
          <w:szCs w:val="21"/>
          <w:u w:val="single"/>
        </w:rPr>
        <w:t>注：招标文件中标注“▲”加粗的为招标的实质性要求和条件，不允许偏离，否则作无效标处理。供应商必须认真阅读和理解招标文件文件中的每一个条款及要求，因误读招标文件而造成的后果，采购单位及招标代理机构概不负责。</w:t>
      </w:r>
    </w:p>
    <w:p>
      <w:pPr>
        <w:rPr>
          <w:rFonts w:ascii="宋体"/>
          <w:b/>
          <w:bCs/>
          <w:color w:val="auto"/>
          <w:sz w:val="36"/>
          <w:szCs w:val="36"/>
          <w:lang w:val="zh-CN"/>
        </w:rPr>
      </w:pPr>
      <w:r>
        <w:rPr>
          <w:rFonts w:hint="eastAsia" w:ascii="宋体"/>
          <w:b/>
          <w:bCs/>
          <w:color w:val="auto"/>
          <w:sz w:val="36"/>
          <w:szCs w:val="36"/>
          <w:lang w:val="zh-CN"/>
        </w:rPr>
        <w:br w:type="page"/>
      </w:r>
    </w:p>
    <w:p>
      <w:pPr>
        <w:tabs>
          <w:tab w:val="left" w:pos="1080"/>
        </w:tabs>
        <w:autoSpaceDE w:val="0"/>
        <w:autoSpaceDN w:val="0"/>
        <w:adjustRightInd w:val="0"/>
        <w:spacing w:line="500" w:lineRule="atLeast"/>
        <w:jc w:val="center"/>
        <w:textAlignment w:val="baseline"/>
        <w:rPr>
          <w:rFonts w:ascii="宋体"/>
          <w:b/>
          <w:bCs/>
          <w:color w:val="auto"/>
          <w:sz w:val="32"/>
          <w:szCs w:val="32"/>
          <w:lang w:val="zh-CN"/>
        </w:rPr>
      </w:pPr>
      <w:r>
        <w:rPr>
          <w:rFonts w:hint="eastAsia" w:ascii="宋体"/>
          <w:b/>
          <w:bCs/>
          <w:color w:val="auto"/>
          <w:sz w:val="36"/>
          <w:szCs w:val="36"/>
          <w:lang w:val="zh-CN"/>
        </w:rPr>
        <w:t>第一部分</w:t>
      </w:r>
      <w:r>
        <w:rPr>
          <w:rFonts w:ascii="宋体"/>
          <w:b/>
          <w:bCs/>
          <w:color w:val="auto"/>
          <w:sz w:val="36"/>
          <w:szCs w:val="36"/>
          <w:lang w:val="zh-CN"/>
        </w:rPr>
        <w:t xml:space="preserve">   </w:t>
      </w:r>
      <w:r>
        <w:rPr>
          <w:rFonts w:hint="eastAsia" w:ascii="宋体"/>
          <w:b/>
          <w:bCs/>
          <w:color w:val="auto"/>
          <w:sz w:val="36"/>
          <w:szCs w:val="36"/>
          <w:lang w:val="zh-CN"/>
        </w:rPr>
        <w:t>投标邀请函（投标须知前附表）</w:t>
      </w:r>
    </w:p>
    <w:tbl>
      <w:tblPr>
        <w:tblStyle w:val="28"/>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5" w:hRule="atLeast"/>
          <w:jc w:val="center"/>
        </w:trPr>
        <w:tc>
          <w:tcPr>
            <w:tcW w:w="952" w:type="dxa"/>
            <w:tcBorders>
              <w:top w:val="single" w:color="auto" w:sz="12" w:space="0"/>
            </w:tcBorders>
            <w:vAlign w:val="center"/>
          </w:tcPr>
          <w:p>
            <w:pPr>
              <w:spacing w:line="400" w:lineRule="atLeast"/>
              <w:jc w:val="center"/>
              <w:rPr>
                <w:rFonts w:ascii="宋体" w:cs="Arial"/>
                <w:color w:val="auto"/>
                <w:sz w:val="22"/>
              </w:rPr>
            </w:pPr>
            <w:r>
              <w:rPr>
                <w:rFonts w:hint="eastAsia" w:ascii="宋体" w:cs="Arial"/>
                <w:color w:val="auto"/>
                <w:sz w:val="22"/>
              </w:rPr>
              <w:t>项号</w:t>
            </w:r>
          </w:p>
        </w:tc>
        <w:tc>
          <w:tcPr>
            <w:tcW w:w="1600" w:type="dxa"/>
            <w:tcBorders>
              <w:top w:val="single" w:color="auto" w:sz="12" w:space="0"/>
            </w:tcBorders>
            <w:vAlign w:val="center"/>
          </w:tcPr>
          <w:p>
            <w:pPr>
              <w:spacing w:line="400" w:lineRule="atLeast"/>
              <w:jc w:val="center"/>
              <w:rPr>
                <w:rFonts w:ascii="宋体" w:cs="Arial"/>
                <w:color w:val="auto"/>
                <w:sz w:val="22"/>
              </w:rPr>
            </w:pPr>
            <w:r>
              <w:rPr>
                <w:rFonts w:hint="eastAsia" w:ascii="宋体" w:cs="Arial"/>
                <w:color w:val="auto"/>
                <w:sz w:val="22"/>
              </w:rPr>
              <w:t>内容</w:t>
            </w:r>
          </w:p>
        </w:tc>
        <w:tc>
          <w:tcPr>
            <w:tcW w:w="7619" w:type="dxa"/>
            <w:tcBorders>
              <w:top w:val="single" w:color="auto" w:sz="12" w:space="0"/>
            </w:tcBorders>
            <w:vAlign w:val="center"/>
          </w:tcPr>
          <w:p>
            <w:pPr>
              <w:spacing w:line="400" w:lineRule="atLeast"/>
              <w:jc w:val="center"/>
              <w:rPr>
                <w:rFonts w:ascii="宋体" w:cs="Arial"/>
                <w:color w:val="auto"/>
                <w:sz w:val="22"/>
              </w:rPr>
            </w:pPr>
            <w:r>
              <w:rPr>
                <w:rFonts w:hint="eastAsia" w:ascii="宋体" w:cs="Arial"/>
                <w:color w:val="auto"/>
                <w:sz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rPr>
            </w:pPr>
          </w:p>
        </w:tc>
        <w:tc>
          <w:tcPr>
            <w:tcW w:w="1600" w:type="dxa"/>
            <w:vAlign w:val="center"/>
          </w:tcPr>
          <w:p>
            <w:pPr>
              <w:jc w:val="center"/>
              <w:rPr>
                <w:rFonts w:ascii="宋体" w:cs="Arial"/>
                <w:color w:val="auto"/>
                <w:sz w:val="22"/>
              </w:rPr>
            </w:pPr>
            <w:r>
              <w:rPr>
                <w:rFonts w:hint="eastAsia" w:ascii="宋体" w:cs="Arial"/>
                <w:color w:val="auto"/>
                <w:sz w:val="22"/>
              </w:rPr>
              <w:t>项目名称</w:t>
            </w:r>
          </w:p>
        </w:tc>
        <w:tc>
          <w:tcPr>
            <w:tcW w:w="7619" w:type="dxa"/>
            <w:vAlign w:val="center"/>
          </w:tcPr>
          <w:p>
            <w:pPr>
              <w:rPr>
                <w:rFonts w:hint="eastAsia" w:ascii="宋体" w:eastAsiaTheme="minorEastAsia"/>
                <w:color w:val="auto"/>
                <w:sz w:val="22"/>
                <w:lang w:eastAsia="zh-CN"/>
              </w:rPr>
            </w:pPr>
            <w:r>
              <w:rPr>
                <w:rFonts w:hint="eastAsia" w:ascii="宋体" w:hAnsi="宋体"/>
                <w:bCs/>
                <w:color w:val="auto"/>
                <w:sz w:val="22"/>
                <w:szCs w:val="22"/>
                <w:lang w:eastAsia="zh-CN"/>
              </w:rPr>
              <w:t>泰顺县2022年-2023年度松树打孔注药防治松材线虫病服务项目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color w:val="auto"/>
                <w:sz w:val="22"/>
              </w:rPr>
            </w:pPr>
            <w:r>
              <w:rPr>
                <w:rFonts w:ascii="宋体"/>
                <w:color w:val="auto"/>
                <w:sz w:val="22"/>
              </w:rPr>
              <w:t xml:space="preserve"> </w:t>
            </w:r>
          </w:p>
        </w:tc>
        <w:tc>
          <w:tcPr>
            <w:tcW w:w="1600" w:type="dxa"/>
            <w:vAlign w:val="center"/>
          </w:tcPr>
          <w:p>
            <w:pPr>
              <w:jc w:val="center"/>
              <w:rPr>
                <w:rFonts w:ascii="宋体"/>
                <w:color w:val="auto"/>
                <w:sz w:val="22"/>
              </w:rPr>
            </w:pPr>
            <w:r>
              <w:rPr>
                <w:rFonts w:hint="eastAsia" w:ascii="宋体"/>
                <w:color w:val="auto"/>
                <w:sz w:val="22"/>
              </w:rPr>
              <w:t>项目编号</w:t>
            </w:r>
          </w:p>
        </w:tc>
        <w:tc>
          <w:tcPr>
            <w:tcW w:w="7619" w:type="dxa"/>
            <w:vAlign w:val="center"/>
          </w:tcPr>
          <w:p>
            <w:pPr>
              <w:rPr>
                <w:rFonts w:ascii="宋体"/>
                <w:color w:val="auto"/>
                <w:sz w:val="22"/>
              </w:rPr>
            </w:pPr>
            <w:r>
              <w:rPr>
                <w:rFonts w:hint="eastAsia" w:ascii="宋体"/>
                <w:color w:val="auto"/>
                <w:sz w:val="22"/>
              </w:rPr>
              <w:t xml:space="preserve">TSCG202211016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rPr>
            </w:pPr>
          </w:p>
        </w:tc>
        <w:tc>
          <w:tcPr>
            <w:tcW w:w="1600" w:type="dxa"/>
            <w:vAlign w:val="center"/>
          </w:tcPr>
          <w:p>
            <w:pPr>
              <w:jc w:val="center"/>
              <w:rPr>
                <w:rFonts w:ascii="宋体" w:cs="Arial"/>
                <w:color w:val="auto"/>
                <w:sz w:val="22"/>
              </w:rPr>
            </w:pPr>
            <w:r>
              <w:rPr>
                <w:rFonts w:hint="eastAsia" w:ascii="宋体"/>
                <w:color w:val="auto"/>
                <w:sz w:val="22"/>
              </w:rPr>
              <w:t>资金来源</w:t>
            </w:r>
          </w:p>
        </w:tc>
        <w:tc>
          <w:tcPr>
            <w:tcW w:w="7619" w:type="dxa"/>
            <w:vAlign w:val="center"/>
          </w:tcPr>
          <w:p>
            <w:pPr>
              <w:rPr>
                <w:rFonts w:ascii="宋体" w:cs="Arial"/>
                <w:color w:val="auto"/>
                <w:sz w:val="22"/>
              </w:rPr>
            </w:pPr>
            <w:r>
              <w:rPr>
                <w:rFonts w:hint="eastAsia" w:ascii="宋体"/>
                <w:color w:val="auto"/>
                <w:sz w:val="22"/>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rPr>
            </w:pPr>
          </w:p>
        </w:tc>
        <w:tc>
          <w:tcPr>
            <w:tcW w:w="1600" w:type="dxa"/>
            <w:vAlign w:val="center"/>
          </w:tcPr>
          <w:p>
            <w:pPr>
              <w:jc w:val="center"/>
              <w:rPr>
                <w:rFonts w:ascii="宋体"/>
                <w:color w:val="auto"/>
                <w:sz w:val="22"/>
              </w:rPr>
            </w:pPr>
            <w:r>
              <w:rPr>
                <w:rFonts w:hint="eastAsia" w:ascii="宋体"/>
                <w:color w:val="auto"/>
                <w:sz w:val="22"/>
              </w:rPr>
              <w:t>采购方式</w:t>
            </w:r>
          </w:p>
        </w:tc>
        <w:tc>
          <w:tcPr>
            <w:tcW w:w="7619" w:type="dxa"/>
            <w:vAlign w:val="center"/>
          </w:tcPr>
          <w:p>
            <w:pPr>
              <w:rPr>
                <w:rFonts w:ascii="宋体"/>
                <w:color w:val="auto"/>
                <w:sz w:val="22"/>
              </w:rPr>
            </w:pPr>
            <w:r>
              <w:rPr>
                <w:rFonts w:hint="eastAsia" w:ascii="宋体"/>
                <w:color w:val="auto"/>
                <w:sz w:val="22"/>
              </w:rPr>
              <w:t>竞争性磋商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rPr>
            </w:pPr>
          </w:p>
        </w:tc>
        <w:tc>
          <w:tcPr>
            <w:tcW w:w="1600" w:type="dxa"/>
            <w:vAlign w:val="center"/>
          </w:tcPr>
          <w:p>
            <w:pPr>
              <w:jc w:val="center"/>
              <w:rPr>
                <w:rFonts w:ascii="宋体"/>
                <w:color w:val="auto"/>
                <w:sz w:val="22"/>
              </w:rPr>
            </w:pPr>
            <w:r>
              <w:rPr>
                <w:rFonts w:hint="eastAsia" w:ascii="宋体"/>
                <w:color w:val="auto"/>
                <w:sz w:val="22"/>
              </w:rPr>
              <w:t>采购预算</w:t>
            </w:r>
          </w:p>
          <w:p>
            <w:pPr>
              <w:jc w:val="center"/>
              <w:rPr>
                <w:rFonts w:ascii="宋体"/>
                <w:color w:val="auto"/>
                <w:sz w:val="22"/>
              </w:rPr>
            </w:pPr>
            <w:r>
              <w:rPr>
                <w:rFonts w:hint="eastAsia" w:ascii="宋体"/>
                <w:color w:val="auto"/>
                <w:sz w:val="22"/>
              </w:rPr>
              <w:t>（最高限价）</w:t>
            </w:r>
          </w:p>
        </w:tc>
        <w:tc>
          <w:tcPr>
            <w:tcW w:w="7619" w:type="dxa"/>
            <w:vAlign w:val="center"/>
          </w:tcPr>
          <w:p>
            <w:pPr>
              <w:rPr>
                <w:rFonts w:ascii="宋体"/>
                <w:color w:val="auto"/>
                <w:sz w:val="22"/>
              </w:rPr>
            </w:pPr>
            <w:r>
              <w:rPr>
                <w:rFonts w:hint="eastAsia" w:ascii="宋体" w:hAnsi="宋体"/>
                <w:bCs/>
                <w:color w:val="auto"/>
                <w:kern w:val="0"/>
                <w:sz w:val="22"/>
              </w:rPr>
              <w:t>196.44万元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rPr>
            </w:pPr>
          </w:p>
        </w:tc>
        <w:tc>
          <w:tcPr>
            <w:tcW w:w="1600" w:type="dxa"/>
            <w:vAlign w:val="center"/>
          </w:tcPr>
          <w:p>
            <w:pPr>
              <w:adjustRightInd w:val="0"/>
              <w:jc w:val="center"/>
              <w:rPr>
                <w:rFonts w:ascii="宋体"/>
                <w:color w:val="auto"/>
                <w:sz w:val="22"/>
              </w:rPr>
            </w:pPr>
            <w:r>
              <w:rPr>
                <w:rFonts w:hint="eastAsia" w:ascii="宋体"/>
                <w:color w:val="auto"/>
                <w:sz w:val="22"/>
              </w:rPr>
              <w:t>采购单位</w:t>
            </w:r>
          </w:p>
        </w:tc>
        <w:tc>
          <w:tcPr>
            <w:tcW w:w="7619" w:type="dxa"/>
            <w:vAlign w:val="center"/>
          </w:tcPr>
          <w:p>
            <w:pPr>
              <w:pStyle w:val="45"/>
              <w:rPr>
                <w:rFonts w:ascii="宋体" w:hAnsi="宋体" w:eastAsiaTheme="minorEastAsia" w:cstheme="minorBidi"/>
                <w:bCs/>
                <w:color w:val="auto"/>
                <w:sz w:val="22"/>
              </w:rPr>
            </w:pPr>
            <w:r>
              <w:rPr>
                <w:rFonts w:hint="eastAsia" w:ascii="宋体" w:hAnsi="宋体" w:eastAsiaTheme="minorEastAsia" w:cstheme="minorBidi"/>
                <w:bCs/>
                <w:color w:val="auto"/>
                <w:sz w:val="22"/>
              </w:rPr>
              <w:t>名    称：泰顺县自然资源和规划局</w:t>
            </w:r>
          </w:p>
          <w:p>
            <w:pPr>
              <w:pStyle w:val="45"/>
              <w:rPr>
                <w:rFonts w:ascii="宋体" w:hAnsi="宋体" w:cstheme="minorBidi"/>
                <w:bCs/>
                <w:color w:val="auto"/>
                <w:sz w:val="22"/>
              </w:rPr>
            </w:pPr>
            <w:r>
              <w:rPr>
                <w:rFonts w:hint="eastAsia" w:ascii="宋体" w:hAnsi="宋体" w:eastAsiaTheme="minorEastAsia" w:cstheme="minorBidi"/>
                <w:bCs/>
                <w:color w:val="auto"/>
                <w:sz w:val="22"/>
              </w:rPr>
              <w:t>项目联系人（询问）：</w:t>
            </w:r>
            <w:r>
              <w:rPr>
                <w:rFonts w:hint="eastAsia" w:ascii="宋体" w:hAnsi="宋体" w:cs="宋体"/>
                <w:color w:val="auto"/>
                <w:sz w:val="22"/>
              </w:rPr>
              <w:t>吴剑斌</w:t>
            </w:r>
          </w:p>
          <w:p>
            <w:pPr>
              <w:pStyle w:val="45"/>
              <w:rPr>
                <w:rFonts w:ascii="宋体" w:hAnsi="宋体" w:eastAsiaTheme="minorEastAsia" w:cstheme="minorBidi"/>
                <w:bCs/>
                <w:color w:val="auto"/>
                <w:sz w:val="22"/>
              </w:rPr>
            </w:pPr>
            <w:r>
              <w:rPr>
                <w:rFonts w:hint="eastAsia" w:ascii="宋体" w:hAnsi="宋体" w:eastAsiaTheme="minorEastAsia" w:cstheme="minorBidi"/>
                <w:bCs/>
                <w:color w:val="auto"/>
                <w:sz w:val="22"/>
              </w:rPr>
              <w:t>项目联系方式（询问）：0577-67569011</w:t>
            </w:r>
          </w:p>
          <w:p>
            <w:pPr>
              <w:pStyle w:val="45"/>
              <w:rPr>
                <w:rFonts w:ascii="宋体" w:hAnsi="宋体" w:eastAsiaTheme="minorEastAsia" w:cstheme="minorBidi"/>
                <w:bCs/>
                <w:color w:val="auto"/>
                <w:sz w:val="22"/>
              </w:rPr>
            </w:pPr>
            <w:r>
              <w:rPr>
                <w:rFonts w:hint="eastAsia" w:ascii="宋体" w:hAnsi="宋体" w:eastAsiaTheme="minorEastAsia" w:cstheme="minorBidi"/>
                <w:bCs/>
                <w:color w:val="auto"/>
                <w:sz w:val="22"/>
              </w:rPr>
              <w:t>质疑联系人：夏宏宇</w:t>
            </w:r>
          </w:p>
          <w:p>
            <w:pPr>
              <w:pStyle w:val="45"/>
              <w:rPr>
                <w:rFonts w:ascii="宋体" w:hAnsi="宋体" w:eastAsiaTheme="minorEastAsia" w:cstheme="minorBidi"/>
                <w:bCs/>
                <w:color w:val="auto"/>
                <w:sz w:val="22"/>
              </w:rPr>
            </w:pPr>
            <w:r>
              <w:rPr>
                <w:rFonts w:hint="eastAsia" w:ascii="宋体" w:hAnsi="宋体" w:eastAsiaTheme="minorEastAsia" w:cstheme="minorBidi"/>
                <w:bCs/>
                <w:color w:val="auto"/>
                <w:sz w:val="22"/>
              </w:rPr>
              <w:t>质疑联系方式：0577-67569011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right="105" w:hanging="420"/>
              <w:jc w:val="right"/>
              <w:rPr>
                <w:rFonts w:ascii="宋体"/>
                <w:color w:val="auto"/>
                <w:sz w:val="22"/>
              </w:rPr>
            </w:pPr>
            <w:r>
              <w:rPr>
                <w:rFonts w:ascii="宋体"/>
                <w:color w:val="auto"/>
                <w:sz w:val="22"/>
              </w:rPr>
              <w:t xml:space="preserve"> </w:t>
            </w:r>
          </w:p>
        </w:tc>
        <w:tc>
          <w:tcPr>
            <w:tcW w:w="1600" w:type="dxa"/>
            <w:vAlign w:val="center"/>
          </w:tcPr>
          <w:p>
            <w:pPr>
              <w:jc w:val="center"/>
              <w:rPr>
                <w:rFonts w:ascii="宋体"/>
                <w:color w:val="auto"/>
                <w:sz w:val="22"/>
              </w:rPr>
            </w:pPr>
            <w:r>
              <w:rPr>
                <w:rFonts w:hint="eastAsia" w:ascii="宋体"/>
                <w:color w:val="auto"/>
                <w:sz w:val="22"/>
              </w:rPr>
              <w:t>招标代理机构</w:t>
            </w:r>
          </w:p>
        </w:tc>
        <w:tc>
          <w:tcPr>
            <w:tcW w:w="7619" w:type="dxa"/>
            <w:vAlign w:val="center"/>
          </w:tcPr>
          <w:p>
            <w:pPr>
              <w:rPr>
                <w:rFonts w:ascii="宋体" w:hAnsi="宋体"/>
                <w:bCs/>
                <w:color w:val="auto"/>
                <w:sz w:val="22"/>
                <w:szCs w:val="22"/>
              </w:rPr>
            </w:pPr>
            <w:r>
              <w:rPr>
                <w:rFonts w:hint="eastAsia" w:ascii="宋体" w:hAnsi="宋体"/>
                <w:bCs/>
                <w:color w:val="auto"/>
                <w:sz w:val="22"/>
                <w:szCs w:val="22"/>
              </w:rPr>
              <w:t>名    称：浙江益诚工程咨询有限公司　　　　　　　　　　　　</w:t>
            </w:r>
          </w:p>
          <w:p>
            <w:pPr>
              <w:rPr>
                <w:rFonts w:ascii="宋体" w:hAnsi="宋体"/>
                <w:bCs/>
                <w:color w:val="auto"/>
                <w:sz w:val="22"/>
                <w:szCs w:val="22"/>
              </w:rPr>
            </w:pPr>
            <w:r>
              <w:rPr>
                <w:rFonts w:hint="eastAsia" w:ascii="宋体" w:hAnsi="宋体"/>
                <w:bCs/>
                <w:color w:val="auto"/>
                <w:sz w:val="22"/>
                <w:szCs w:val="22"/>
              </w:rPr>
              <w:t>项目联系人（询问）：张舒婷</w:t>
            </w:r>
          </w:p>
          <w:p>
            <w:pPr>
              <w:rPr>
                <w:rFonts w:ascii="宋体" w:hAnsi="宋体"/>
                <w:bCs/>
                <w:color w:val="auto"/>
                <w:sz w:val="22"/>
                <w:szCs w:val="22"/>
              </w:rPr>
            </w:pPr>
            <w:r>
              <w:rPr>
                <w:rFonts w:hint="eastAsia" w:ascii="宋体" w:hAnsi="宋体"/>
                <w:bCs/>
                <w:color w:val="auto"/>
                <w:sz w:val="22"/>
                <w:szCs w:val="22"/>
              </w:rPr>
              <w:t>项目联系方式（询问）：18757740004</w:t>
            </w:r>
          </w:p>
          <w:p>
            <w:pPr>
              <w:rPr>
                <w:rFonts w:ascii="宋体" w:hAnsi="宋体"/>
                <w:bCs/>
                <w:color w:val="auto"/>
                <w:sz w:val="22"/>
                <w:szCs w:val="22"/>
              </w:rPr>
            </w:pPr>
            <w:r>
              <w:rPr>
                <w:rFonts w:hint="eastAsia" w:ascii="宋体" w:hAnsi="宋体"/>
                <w:bCs/>
                <w:color w:val="auto"/>
                <w:sz w:val="22"/>
                <w:szCs w:val="22"/>
              </w:rPr>
              <w:t xml:space="preserve">质疑联系人：陈清清 </w:t>
            </w:r>
          </w:p>
          <w:p>
            <w:pPr>
              <w:rPr>
                <w:rFonts w:ascii="宋体" w:hAnsi="宋体"/>
                <w:bCs/>
                <w:color w:val="auto"/>
                <w:sz w:val="22"/>
                <w:szCs w:val="22"/>
              </w:rPr>
            </w:pPr>
            <w:r>
              <w:rPr>
                <w:rFonts w:hint="eastAsia" w:ascii="宋体" w:hAnsi="宋体"/>
                <w:bCs/>
                <w:color w:val="auto"/>
                <w:sz w:val="22"/>
                <w:szCs w:val="22"/>
              </w:rPr>
              <w:t>质疑联系方式：0577-67673919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right="105" w:hanging="420"/>
              <w:jc w:val="right"/>
              <w:rPr>
                <w:rFonts w:ascii="宋体"/>
                <w:color w:val="auto"/>
                <w:sz w:val="22"/>
              </w:rPr>
            </w:pPr>
          </w:p>
        </w:tc>
        <w:tc>
          <w:tcPr>
            <w:tcW w:w="1600" w:type="dxa"/>
            <w:vAlign w:val="center"/>
          </w:tcPr>
          <w:p>
            <w:pPr>
              <w:jc w:val="center"/>
              <w:rPr>
                <w:rFonts w:ascii="宋体"/>
                <w:color w:val="auto"/>
                <w:sz w:val="22"/>
              </w:rPr>
            </w:pPr>
            <w:r>
              <w:rPr>
                <w:rFonts w:hint="eastAsia" w:ascii="宋体"/>
                <w:color w:val="auto"/>
                <w:sz w:val="22"/>
              </w:rPr>
              <w:t>同级政府采购监督管理部门</w:t>
            </w:r>
          </w:p>
        </w:tc>
        <w:tc>
          <w:tcPr>
            <w:tcW w:w="7619" w:type="dxa"/>
            <w:vAlign w:val="center"/>
          </w:tcPr>
          <w:p>
            <w:pPr>
              <w:rPr>
                <w:rFonts w:ascii="宋体" w:hAnsi="宋体"/>
                <w:bCs/>
                <w:color w:val="auto"/>
                <w:sz w:val="22"/>
                <w:szCs w:val="22"/>
              </w:rPr>
            </w:pPr>
            <w:r>
              <w:rPr>
                <w:rFonts w:hint="eastAsia" w:ascii="宋体" w:hAnsi="宋体"/>
                <w:bCs/>
                <w:color w:val="auto"/>
                <w:sz w:val="22"/>
                <w:szCs w:val="22"/>
              </w:rPr>
              <w:t>名    称：泰顺县财政局</w:t>
            </w:r>
          </w:p>
          <w:p>
            <w:pPr>
              <w:rPr>
                <w:rFonts w:ascii="宋体" w:hAnsi="宋体"/>
                <w:bCs/>
                <w:color w:val="auto"/>
                <w:sz w:val="22"/>
                <w:szCs w:val="22"/>
              </w:rPr>
            </w:pPr>
            <w:r>
              <w:rPr>
                <w:rFonts w:hint="eastAsia" w:ascii="宋体" w:hAnsi="宋体"/>
                <w:bCs/>
                <w:color w:val="auto"/>
                <w:sz w:val="22"/>
                <w:szCs w:val="22"/>
              </w:rPr>
              <w:t>联 系 人：董青</w:t>
            </w:r>
          </w:p>
          <w:p>
            <w:pPr>
              <w:rPr>
                <w:rFonts w:ascii="宋体" w:hAnsi="宋体"/>
                <w:bCs/>
                <w:color w:val="auto"/>
                <w:sz w:val="22"/>
                <w:szCs w:val="22"/>
              </w:rPr>
            </w:pPr>
            <w:r>
              <w:rPr>
                <w:rFonts w:hint="eastAsia" w:ascii="宋体" w:hAnsi="宋体"/>
                <w:bCs/>
                <w:color w:val="auto"/>
                <w:sz w:val="22"/>
                <w:szCs w:val="22"/>
              </w:rPr>
              <w:t>联系电话：0577-67588502</w:t>
            </w:r>
          </w:p>
          <w:p>
            <w:pPr>
              <w:rPr>
                <w:rFonts w:ascii="宋体" w:hAnsi="宋体"/>
                <w:bCs/>
                <w:color w:val="auto"/>
                <w:sz w:val="22"/>
                <w:szCs w:val="22"/>
              </w:rPr>
            </w:pPr>
            <w:r>
              <w:rPr>
                <w:rFonts w:hint="eastAsia" w:ascii="宋体" w:hAnsi="宋体"/>
                <w:bCs/>
                <w:color w:val="auto"/>
                <w:sz w:val="22"/>
                <w:szCs w:val="22"/>
              </w:rPr>
              <w:t>联系地址：温州市泰顺县罗阳镇公园路48号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right="105" w:hanging="420"/>
              <w:jc w:val="right"/>
              <w:rPr>
                <w:rFonts w:ascii="宋体" w:eastAsia="Times New Roman"/>
                <w:color w:val="auto"/>
                <w:sz w:val="22"/>
              </w:rPr>
            </w:pPr>
          </w:p>
        </w:tc>
        <w:tc>
          <w:tcPr>
            <w:tcW w:w="1600" w:type="dxa"/>
            <w:vAlign w:val="center"/>
          </w:tcPr>
          <w:p>
            <w:pPr>
              <w:jc w:val="center"/>
              <w:rPr>
                <w:rFonts w:ascii="宋体" w:cs="Arial"/>
                <w:color w:val="auto"/>
                <w:sz w:val="22"/>
              </w:rPr>
            </w:pPr>
            <w:r>
              <w:rPr>
                <w:rFonts w:hint="eastAsia" w:ascii="宋体" w:cs="Arial"/>
                <w:color w:val="auto"/>
                <w:sz w:val="22"/>
              </w:rPr>
              <w:t>评标办法</w:t>
            </w:r>
          </w:p>
        </w:tc>
        <w:tc>
          <w:tcPr>
            <w:tcW w:w="7619" w:type="dxa"/>
            <w:vAlign w:val="center"/>
          </w:tcPr>
          <w:p>
            <w:pPr>
              <w:adjustRightInd w:val="0"/>
              <w:rPr>
                <w:rFonts w:ascii="宋体"/>
                <w:color w:val="auto"/>
                <w:sz w:val="22"/>
              </w:rPr>
            </w:pPr>
            <w:r>
              <w:rPr>
                <w:rFonts w:hint="eastAsia" w:ascii="宋体"/>
                <w:color w:val="auto"/>
                <w:sz w:val="22"/>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rPr>
            </w:pPr>
          </w:p>
        </w:tc>
        <w:tc>
          <w:tcPr>
            <w:tcW w:w="1600" w:type="dxa"/>
            <w:vAlign w:val="center"/>
          </w:tcPr>
          <w:p>
            <w:pPr>
              <w:jc w:val="center"/>
              <w:rPr>
                <w:rFonts w:ascii="宋体" w:cs="Arial"/>
                <w:color w:val="auto"/>
                <w:sz w:val="22"/>
              </w:rPr>
            </w:pPr>
            <w:r>
              <w:rPr>
                <w:rFonts w:hint="eastAsia" w:ascii="宋体" w:cs="Arial"/>
                <w:color w:val="auto"/>
                <w:sz w:val="22"/>
              </w:rPr>
              <w:t>招标内容</w:t>
            </w:r>
          </w:p>
        </w:tc>
        <w:tc>
          <w:tcPr>
            <w:tcW w:w="7619" w:type="dxa"/>
            <w:vAlign w:val="center"/>
          </w:tcPr>
          <w:p>
            <w:pPr>
              <w:adjustRightInd w:val="0"/>
              <w:rPr>
                <w:rFonts w:ascii="宋体"/>
                <w:color w:val="auto"/>
                <w:sz w:val="22"/>
              </w:rPr>
            </w:pPr>
            <w:r>
              <w:rPr>
                <w:rFonts w:hint="eastAsia" w:ascii="宋体"/>
                <w:color w:val="auto"/>
                <w:sz w:val="22"/>
              </w:rPr>
              <w:t>具体内容见竞争性磋商文件。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rPr>
            </w:pPr>
          </w:p>
        </w:tc>
        <w:tc>
          <w:tcPr>
            <w:tcW w:w="1600" w:type="dxa"/>
            <w:vAlign w:val="center"/>
          </w:tcPr>
          <w:p>
            <w:pPr>
              <w:jc w:val="center"/>
              <w:rPr>
                <w:rFonts w:ascii="宋体"/>
                <w:color w:val="auto"/>
                <w:sz w:val="22"/>
              </w:rPr>
            </w:pPr>
            <w:r>
              <w:rPr>
                <w:rFonts w:hint="eastAsia" w:ascii="宋体"/>
                <w:color w:val="auto"/>
                <w:sz w:val="22"/>
              </w:rPr>
              <w:t>投标供应商</w:t>
            </w:r>
          </w:p>
          <w:p>
            <w:pPr>
              <w:jc w:val="center"/>
              <w:rPr>
                <w:rFonts w:ascii="宋体"/>
                <w:color w:val="auto"/>
                <w:sz w:val="22"/>
              </w:rPr>
            </w:pPr>
            <w:r>
              <w:rPr>
                <w:rFonts w:hint="eastAsia" w:ascii="宋体"/>
                <w:color w:val="auto"/>
                <w:sz w:val="22"/>
              </w:rPr>
              <w:t>资格要求</w:t>
            </w:r>
          </w:p>
        </w:tc>
        <w:tc>
          <w:tcPr>
            <w:tcW w:w="7619" w:type="dxa"/>
            <w:vAlign w:val="center"/>
          </w:tcPr>
          <w:p>
            <w:pPr>
              <w:widowControl/>
              <w:spacing w:line="300" w:lineRule="auto"/>
              <w:rPr>
                <w:rFonts w:ascii="宋体" w:cs="宋体"/>
                <w:color w:val="auto"/>
                <w:kern w:val="28"/>
                <w:sz w:val="22"/>
              </w:rPr>
            </w:pPr>
            <w:r>
              <w:rPr>
                <w:rFonts w:hint="eastAsia" w:ascii="宋体" w:cs="宋体"/>
                <w:color w:val="auto"/>
                <w:kern w:val="28"/>
                <w:sz w:val="22"/>
              </w:rPr>
              <w:t>1、满足《中华人民共和国政府采购法》第二十二条规定；</w:t>
            </w:r>
          </w:p>
          <w:p>
            <w:pPr>
              <w:widowControl/>
              <w:spacing w:line="300" w:lineRule="auto"/>
              <w:rPr>
                <w:rFonts w:ascii="宋体" w:cs="宋体"/>
                <w:color w:val="auto"/>
                <w:kern w:val="28"/>
                <w:sz w:val="22"/>
              </w:rPr>
            </w:pPr>
            <w:r>
              <w:rPr>
                <w:rFonts w:hint="eastAsia" w:ascii="宋体" w:cs="宋体"/>
                <w:color w:val="auto"/>
                <w:kern w:val="28"/>
                <w:sz w:val="22"/>
              </w:rPr>
              <w:t>1.1具有独立承担民事责任的能力；</w:t>
            </w:r>
          </w:p>
          <w:p>
            <w:pPr>
              <w:widowControl/>
              <w:spacing w:line="300" w:lineRule="auto"/>
              <w:rPr>
                <w:rFonts w:ascii="宋体" w:cs="宋体"/>
                <w:color w:val="auto"/>
                <w:kern w:val="28"/>
                <w:sz w:val="22"/>
              </w:rPr>
            </w:pPr>
            <w:r>
              <w:rPr>
                <w:rFonts w:hint="eastAsia" w:ascii="宋体" w:cs="宋体"/>
                <w:color w:val="auto"/>
                <w:kern w:val="28"/>
                <w:sz w:val="22"/>
              </w:rPr>
              <w:t>1.2具有良好的商业信誉和健全的财务会计制度；</w:t>
            </w:r>
          </w:p>
          <w:p>
            <w:pPr>
              <w:widowControl/>
              <w:spacing w:line="300" w:lineRule="auto"/>
              <w:rPr>
                <w:rFonts w:ascii="宋体" w:cs="宋体"/>
                <w:color w:val="auto"/>
                <w:kern w:val="28"/>
                <w:sz w:val="22"/>
              </w:rPr>
            </w:pPr>
            <w:r>
              <w:rPr>
                <w:rFonts w:hint="eastAsia" w:ascii="宋体" w:cs="宋体"/>
                <w:color w:val="auto"/>
                <w:kern w:val="28"/>
                <w:sz w:val="22"/>
              </w:rPr>
              <w:t>1.3具有履行合同所必需的设备和专业技术能力；</w:t>
            </w:r>
          </w:p>
          <w:p>
            <w:pPr>
              <w:widowControl/>
              <w:spacing w:line="300" w:lineRule="auto"/>
              <w:rPr>
                <w:rFonts w:ascii="宋体" w:cs="宋体"/>
                <w:color w:val="auto"/>
                <w:kern w:val="28"/>
                <w:sz w:val="22"/>
              </w:rPr>
            </w:pPr>
            <w:r>
              <w:rPr>
                <w:rFonts w:hint="eastAsia" w:ascii="宋体" w:cs="宋体"/>
                <w:color w:val="auto"/>
                <w:kern w:val="28"/>
                <w:sz w:val="22"/>
              </w:rPr>
              <w:t>1.4有依法缴纳税收和社会保障资金的良好记录；</w:t>
            </w:r>
          </w:p>
          <w:p>
            <w:pPr>
              <w:widowControl/>
              <w:spacing w:line="300" w:lineRule="auto"/>
              <w:rPr>
                <w:rFonts w:ascii="宋体" w:cs="宋体"/>
                <w:color w:val="auto"/>
                <w:kern w:val="28"/>
                <w:sz w:val="22"/>
              </w:rPr>
            </w:pPr>
            <w:r>
              <w:rPr>
                <w:rFonts w:hint="eastAsia" w:ascii="宋体" w:cs="宋体"/>
                <w:color w:val="auto"/>
                <w:kern w:val="28"/>
                <w:sz w:val="22"/>
              </w:rPr>
              <w:t>1.5参加政府采购活动前三年内，在经营活动中没有重大违法记录；</w:t>
            </w:r>
          </w:p>
          <w:p>
            <w:pPr>
              <w:widowControl/>
              <w:spacing w:line="300" w:lineRule="auto"/>
              <w:rPr>
                <w:rFonts w:ascii="宋体" w:cs="宋体"/>
                <w:color w:val="auto"/>
                <w:kern w:val="28"/>
                <w:sz w:val="22"/>
              </w:rPr>
            </w:pPr>
            <w:r>
              <w:rPr>
                <w:rFonts w:hint="eastAsia" w:ascii="宋体" w:cs="宋体"/>
                <w:color w:val="auto"/>
                <w:kern w:val="28"/>
                <w:sz w:val="22"/>
              </w:rPr>
              <w:t>2、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widowControl/>
              <w:spacing w:line="300" w:lineRule="auto"/>
              <w:rPr>
                <w:rFonts w:ascii="宋体" w:cs="宋体"/>
                <w:color w:val="auto"/>
                <w:kern w:val="28"/>
                <w:sz w:val="22"/>
              </w:rPr>
            </w:pPr>
            <w:r>
              <w:rPr>
                <w:rFonts w:hint="eastAsia" w:ascii="宋体" w:cs="宋体"/>
                <w:color w:val="auto"/>
                <w:kern w:val="28"/>
                <w:sz w:val="22"/>
              </w:rPr>
              <w:t>3、本项目谢绝联合体投标，不允许转包和分包；</w:t>
            </w:r>
          </w:p>
          <w:p>
            <w:pPr>
              <w:widowControl/>
              <w:spacing w:line="300" w:lineRule="auto"/>
              <w:rPr>
                <w:rFonts w:ascii="宋体" w:cs="宋体"/>
                <w:color w:val="auto"/>
                <w:kern w:val="28"/>
                <w:sz w:val="22"/>
              </w:rPr>
            </w:pPr>
            <w:r>
              <w:rPr>
                <w:rFonts w:hint="eastAsia" w:ascii="宋体" w:cs="宋体"/>
                <w:color w:val="auto"/>
                <w:kern w:val="28"/>
                <w:sz w:val="22"/>
              </w:rPr>
              <w:t>4、法律、行政法规规定的其他条件。</w:t>
            </w:r>
          </w:p>
          <w:p>
            <w:pPr>
              <w:widowControl/>
              <w:spacing w:line="300" w:lineRule="auto"/>
              <w:rPr>
                <w:rFonts w:ascii="宋体" w:cs="宋体"/>
                <w:color w:val="auto"/>
                <w:kern w:val="28"/>
                <w:sz w:val="22"/>
              </w:rPr>
            </w:pPr>
            <w:r>
              <w:rPr>
                <w:rFonts w:hint="eastAsia" w:ascii="宋体" w:cs="宋体"/>
                <w:color w:val="auto"/>
                <w:kern w:val="28"/>
                <w:sz w:val="22"/>
              </w:rPr>
              <w:t>5、特定资格条件</w:t>
            </w:r>
          </w:p>
          <w:p>
            <w:pPr>
              <w:widowControl/>
              <w:spacing w:line="300" w:lineRule="auto"/>
              <w:ind w:firstLine="440" w:firstLineChars="200"/>
              <w:rPr>
                <w:rFonts w:ascii="宋体" w:cs="宋体"/>
                <w:b/>
                <w:color w:val="auto"/>
                <w:kern w:val="28"/>
                <w:sz w:val="22"/>
              </w:rPr>
            </w:pPr>
            <w:r>
              <w:rPr>
                <w:rFonts w:hint="eastAsia" w:ascii="宋体" w:hAnsi="宋体" w:eastAsia="宋体" w:cs="宋体"/>
                <w:bCs/>
                <w:color w:val="auto"/>
                <w:sz w:val="22"/>
              </w:rPr>
              <w:t>投标人在投标时必须提供农药产品三证复印件①有效的《农药标准备案证》、②《农药登记证》、③《农药生产许可证书》或《农药生产批准文件》且须加盖厂家公章，并提供厂家授权投标人进行本项目投标的授权书；且农药登记证中使用范围须体现出林业（如用于松树）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31"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rPr>
            </w:pPr>
          </w:p>
        </w:tc>
        <w:tc>
          <w:tcPr>
            <w:tcW w:w="1600" w:type="dxa"/>
            <w:vAlign w:val="center"/>
          </w:tcPr>
          <w:p>
            <w:pPr>
              <w:jc w:val="center"/>
              <w:rPr>
                <w:rFonts w:ascii="宋体"/>
                <w:color w:val="auto"/>
                <w:sz w:val="22"/>
              </w:rPr>
            </w:pPr>
            <w:r>
              <w:rPr>
                <w:rFonts w:hint="eastAsia" w:ascii="宋体"/>
                <w:color w:val="auto"/>
                <w:sz w:val="22"/>
              </w:rPr>
              <w:t>落实政府采购政策需满足的资格要求</w:t>
            </w:r>
          </w:p>
        </w:tc>
        <w:tc>
          <w:tcPr>
            <w:tcW w:w="7619" w:type="dxa"/>
            <w:vAlign w:val="center"/>
          </w:tcPr>
          <w:p>
            <w:pPr>
              <w:widowControl/>
              <w:rPr>
                <w:rFonts w:ascii="宋体" w:cs="宋体"/>
                <w:color w:val="auto"/>
                <w:kern w:val="28"/>
                <w:sz w:val="22"/>
              </w:rPr>
            </w:pPr>
            <w:r>
              <w:rPr>
                <w:rFonts w:hint="eastAsia" w:ascii="宋体" w:cs="宋体"/>
                <w:color w:val="auto"/>
                <w:kern w:val="28"/>
                <w:sz w:val="22"/>
              </w:rPr>
              <w:t>本项目专门面向中小企业/小微企业采购，供应商应为小、微型企业或者监狱企业或者残疾人福利性单位。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50"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rPr>
            </w:pPr>
          </w:p>
        </w:tc>
        <w:tc>
          <w:tcPr>
            <w:tcW w:w="1600" w:type="dxa"/>
            <w:vAlign w:val="center"/>
          </w:tcPr>
          <w:p>
            <w:pPr>
              <w:adjustRightInd w:val="0"/>
              <w:jc w:val="center"/>
              <w:rPr>
                <w:rFonts w:ascii="宋体"/>
                <w:color w:val="auto"/>
                <w:sz w:val="22"/>
              </w:rPr>
            </w:pPr>
            <w:r>
              <w:rPr>
                <w:rFonts w:hint="eastAsia" w:ascii="宋体"/>
                <w:color w:val="auto"/>
                <w:sz w:val="22"/>
              </w:rPr>
              <w:t>是否接受联合体投标</w:t>
            </w:r>
          </w:p>
        </w:tc>
        <w:tc>
          <w:tcPr>
            <w:tcW w:w="7619" w:type="dxa"/>
            <w:vAlign w:val="center"/>
          </w:tcPr>
          <w:p>
            <w:pPr>
              <w:adjustRightInd w:val="0"/>
              <w:rPr>
                <w:rFonts w:ascii="宋体"/>
                <w:color w:val="auto"/>
                <w:sz w:val="22"/>
              </w:rPr>
            </w:pPr>
            <w:r>
              <w:rPr>
                <w:rFonts w:ascii="宋体"/>
                <w:color w:val="auto"/>
                <w:sz w:val="22"/>
              </w:rPr>
              <w:fldChar w:fldCharType="begin"/>
            </w:r>
            <w:r>
              <w:rPr>
                <w:rFonts w:ascii="宋体"/>
                <w:color w:val="auto"/>
                <w:sz w:val="22"/>
              </w:rPr>
              <w:instrText xml:space="preserve"> eq \o\ac(</w:instrText>
            </w:r>
            <w:r>
              <w:rPr>
                <w:rFonts w:hint="eastAsia" w:ascii="宋体"/>
                <w:color w:val="auto"/>
                <w:sz w:val="22"/>
              </w:rPr>
              <w:instrText xml:space="preserve">□</w:instrText>
            </w:r>
            <w:r>
              <w:rPr>
                <w:rFonts w:hint="eastAsia" w:ascii="宋体"/>
                <w:color w:val="auto"/>
                <w:sz w:val="22"/>
                <w:lang w:eastAsia="zh-CN"/>
              </w:rPr>
              <w:instrText xml:space="preserve">,</w:instrText>
            </w:r>
            <w:r>
              <w:rPr>
                <w:rFonts w:hint="eastAsia" w:ascii="宋体"/>
                <w:color w:val="auto"/>
                <w:position w:val="2"/>
                <w:sz w:val="15"/>
                <w:lang w:eastAsia="zh-CN"/>
              </w:rPr>
              <w:instrText xml:space="preserve">√</w:instrText>
            </w:r>
            <w:r>
              <w:rPr>
                <w:rFonts w:ascii="宋体"/>
                <w:color w:val="auto"/>
                <w:sz w:val="22"/>
              </w:rPr>
              <w:instrText xml:space="preserve">)</w:instrText>
            </w:r>
            <w:r>
              <w:rPr>
                <w:rFonts w:ascii="宋体"/>
                <w:color w:val="auto"/>
                <w:sz w:val="22"/>
              </w:rPr>
              <w:fldChar w:fldCharType="end"/>
            </w:r>
            <w:r>
              <w:rPr>
                <w:rFonts w:hint="eastAsia" w:ascii="宋体"/>
                <w:color w:val="auto"/>
                <w:sz w:val="22"/>
              </w:rPr>
              <w:t>不接受</w:t>
            </w:r>
          </w:p>
          <w:p>
            <w:pPr>
              <w:adjustRightInd w:val="0"/>
              <w:rPr>
                <w:rFonts w:ascii="宋体"/>
                <w:color w:val="auto"/>
                <w:sz w:val="22"/>
              </w:rPr>
            </w:pPr>
            <w:r>
              <w:rPr>
                <w:rFonts w:ascii="宋体"/>
                <w:color w:val="auto"/>
                <w:sz w:val="22"/>
              </w:rPr>
              <w:fldChar w:fldCharType="begin"/>
            </w:r>
            <w:r>
              <w:rPr>
                <w:rFonts w:ascii="宋体"/>
                <w:color w:val="auto"/>
                <w:sz w:val="22"/>
              </w:rPr>
              <w:instrText xml:space="preserve"> eq \o\ac(</w:instrText>
            </w:r>
            <w:r>
              <w:rPr>
                <w:rFonts w:hint="eastAsia" w:ascii="宋体"/>
                <w:color w:val="auto"/>
                <w:sz w:val="22"/>
              </w:rPr>
              <w:instrText xml:space="preserve">□</w:instrText>
            </w:r>
            <w:r>
              <w:rPr>
                <w:rFonts w:ascii="宋体"/>
                <w:color w:val="auto"/>
                <w:sz w:val="22"/>
              </w:rPr>
              <w:instrText xml:space="preserve">)</w:instrText>
            </w:r>
            <w:r>
              <w:rPr>
                <w:rFonts w:ascii="宋体"/>
                <w:color w:val="auto"/>
                <w:sz w:val="22"/>
              </w:rPr>
              <w:fldChar w:fldCharType="end"/>
            </w:r>
            <w:r>
              <w:rPr>
                <w:rFonts w:hint="eastAsia" w:ascii="宋体"/>
                <w:color w:val="auto"/>
                <w:sz w:val="22"/>
              </w:rPr>
              <w:t>接受</w:t>
            </w:r>
            <w:r>
              <w:rPr>
                <w:rFonts w:ascii="宋体"/>
                <w:color w:val="auto"/>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9"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rPr>
            </w:pPr>
          </w:p>
        </w:tc>
        <w:tc>
          <w:tcPr>
            <w:tcW w:w="1600" w:type="dxa"/>
            <w:vAlign w:val="center"/>
          </w:tcPr>
          <w:p>
            <w:pPr>
              <w:adjustRightInd w:val="0"/>
              <w:jc w:val="center"/>
              <w:rPr>
                <w:rFonts w:ascii="宋体"/>
                <w:color w:val="auto"/>
                <w:sz w:val="22"/>
              </w:rPr>
            </w:pPr>
            <w:r>
              <w:rPr>
                <w:rFonts w:hint="eastAsia" w:ascii="宋体"/>
                <w:color w:val="auto"/>
                <w:sz w:val="22"/>
              </w:rPr>
              <w:t>踏勘现场</w:t>
            </w:r>
          </w:p>
        </w:tc>
        <w:tc>
          <w:tcPr>
            <w:tcW w:w="7619" w:type="dxa"/>
            <w:vAlign w:val="center"/>
          </w:tcPr>
          <w:p>
            <w:pPr>
              <w:adjustRightInd w:val="0"/>
              <w:rPr>
                <w:rFonts w:ascii="宋体"/>
                <w:color w:val="auto"/>
                <w:sz w:val="22"/>
              </w:rPr>
            </w:pPr>
            <w:r>
              <w:rPr>
                <w:rFonts w:ascii="宋体"/>
                <w:color w:val="auto"/>
                <w:sz w:val="22"/>
              </w:rPr>
              <w:fldChar w:fldCharType="begin"/>
            </w:r>
            <w:r>
              <w:rPr>
                <w:rFonts w:ascii="宋体"/>
                <w:color w:val="auto"/>
                <w:sz w:val="22"/>
              </w:rPr>
              <w:instrText xml:space="preserve"> eq \o\ac(</w:instrText>
            </w:r>
            <w:r>
              <w:rPr>
                <w:rFonts w:hint="eastAsia" w:ascii="宋体"/>
                <w:color w:val="auto"/>
                <w:sz w:val="22"/>
              </w:rPr>
              <w:instrText xml:space="preserve">□</w:instrText>
            </w:r>
            <w:r>
              <w:rPr>
                <w:rFonts w:ascii="宋体"/>
                <w:color w:val="auto"/>
                <w:sz w:val="22"/>
              </w:rPr>
              <w:instrText xml:space="preserve">,</w:instrText>
            </w:r>
            <w:r>
              <w:rPr>
                <w:rFonts w:hint="eastAsia" w:ascii="宋体"/>
                <w:color w:val="auto"/>
                <w:sz w:val="22"/>
              </w:rPr>
              <w:instrText xml:space="preserve">√</w:instrText>
            </w:r>
            <w:r>
              <w:rPr>
                <w:rFonts w:ascii="宋体"/>
                <w:color w:val="auto"/>
                <w:sz w:val="22"/>
              </w:rPr>
              <w:instrText xml:space="preserve">)</w:instrText>
            </w:r>
            <w:r>
              <w:rPr>
                <w:rFonts w:ascii="宋体"/>
                <w:color w:val="auto"/>
                <w:sz w:val="22"/>
              </w:rPr>
              <w:fldChar w:fldCharType="end"/>
            </w:r>
            <w:r>
              <w:rPr>
                <w:rFonts w:hint="eastAsia" w:ascii="宋体"/>
                <w:color w:val="auto"/>
                <w:sz w:val="22"/>
              </w:rPr>
              <w:t>不组织</w:t>
            </w:r>
          </w:p>
          <w:p>
            <w:pPr>
              <w:adjustRightInd w:val="0"/>
              <w:rPr>
                <w:rFonts w:ascii="宋体"/>
                <w:color w:val="auto"/>
                <w:sz w:val="22"/>
              </w:rPr>
            </w:pPr>
            <w:r>
              <w:rPr>
                <w:rFonts w:hint="eastAsia" w:ascii="宋体"/>
                <w:color w:val="auto"/>
                <w:sz w:val="22"/>
              </w:rPr>
              <w:t>□组织</w:t>
            </w:r>
            <w:r>
              <w:rPr>
                <w:rFonts w:ascii="宋体"/>
                <w:color w:val="auto"/>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rPr>
            </w:pPr>
          </w:p>
        </w:tc>
        <w:tc>
          <w:tcPr>
            <w:tcW w:w="1600" w:type="dxa"/>
            <w:vAlign w:val="center"/>
          </w:tcPr>
          <w:p>
            <w:pPr>
              <w:adjustRightInd w:val="0"/>
              <w:jc w:val="center"/>
              <w:rPr>
                <w:rFonts w:ascii="宋体"/>
                <w:color w:val="auto"/>
                <w:sz w:val="22"/>
              </w:rPr>
            </w:pPr>
            <w:r>
              <w:rPr>
                <w:rFonts w:hint="eastAsia" w:ascii="宋体"/>
                <w:color w:val="auto"/>
                <w:sz w:val="22"/>
              </w:rPr>
              <w:t>是否允许递交备选投标方案</w:t>
            </w:r>
          </w:p>
        </w:tc>
        <w:tc>
          <w:tcPr>
            <w:tcW w:w="7619" w:type="dxa"/>
            <w:vAlign w:val="center"/>
          </w:tcPr>
          <w:p>
            <w:pPr>
              <w:adjustRightInd w:val="0"/>
              <w:rPr>
                <w:rFonts w:ascii="宋体"/>
                <w:color w:val="auto"/>
                <w:sz w:val="22"/>
              </w:rPr>
            </w:pPr>
            <w:r>
              <w:rPr>
                <w:rFonts w:ascii="宋体"/>
                <w:color w:val="auto"/>
                <w:sz w:val="22"/>
              </w:rPr>
              <w:fldChar w:fldCharType="begin"/>
            </w:r>
            <w:r>
              <w:rPr>
                <w:rFonts w:ascii="宋体"/>
                <w:color w:val="auto"/>
                <w:sz w:val="22"/>
              </w:rPr>
              <w:instrText xml:space="preserve"> eq \o\ac(</w:instrText>
            </w:r>
            <w:r>
              <w:rPr>
                <w:rFonts w:hint="eastAsia" w:ascii="宋体"/>
                <w:color w:val="auto"/>
                <w:sz w:val="22"/>
              </w:rPr>
              <w:instrText xml:space="preserve">□</w:instrText>
            </w:r>
            <w:r>
              <w:rPr>
                <w:rFonts w:ascii="宋体"/>
                <w:color w:val="auto"/>
                <w:sz w:val="22"/>
              </w:rPr>
              <w:instrText xml:space="preserve">,</w:instrText>
            </w:r>
            <w:r>
              <w:rPr>
                <w:rFonts w:hint="eastAsia" w:ascii="宋体"/>
                <w:color w:val="auto"/>
                <w:sz w:val="22"/>
              </w:rPr>
              <w:instrText xml:space="preserve">√</w:instrText>
            </w:r>
            <w:r>
              <w:rPr>
                <w:rFonts w:ascii="宋体"/>
                <w:color w:val="auto"/>
                <w:sz w:val="22"/>
              </w:rPr>
              <w:instrText xml:space="preserve">)</w:instrText>
            </w:r>
            <w:r>
              <w:rPr>
                <w:rFonts w:ascii="宋体"/>
                <w:color w:val="auto"/>
                <w:sz w:val="22"/>
              </w:rPr>
              <w:fldChar w:fldCharType="end"/>
            </w:r>
            <w:r>
              <w:rPr>
                <w:rFonts w:ascii="宋体"/>
                <w:color w:val="auto"/>
                <w:sz w:val="22"/>
              </w:rPr>
              <w:t xml:space="preserve"> </w:t>
            </w:r>
            <w:r>
              <w:rPr>
                <w:rFonts w:hint="eastAsia" w:ascii="宋体"/>
                <w:color w:val="auto"/>
                <w:sz w:val="22"/>
              </w:rPr>
              <w:t>不允许</w:t>
            </w:r>
          </w:p>
          <w:p>
            <w:pPr>
              <w:adjustRightInd w:val="0"/>
              <w:rPr>
                <w:rFonts w:ascii="宋体" w:cs="??_GB2312"/>
                <w:color w:val="auto"/>
                <w:sz w:val="22"/>
              </w:rPr>
            </w:pPr>
            <w:r>
              <w:rPr>
                <w:rFonts w:hint="eastAsia" w:ascii="宋体"/>
                <w:color w:val="auto"/>
                <w:sz w:val="22"/>
              </w:rPr>
              <w:t>□</w:t>
            </w:r>
            <w:r>
              <w:rPr>
                <w:rFonts w:ascii="宋体"/>
                <w:color w:val="auto"/>
                <w:sz w:val="22"/>
              </w:rPr>
              <w:t xml:space="preserve"> </w:t>
            </w:r>
            <w:r>
              <w:rPr>
                <w:rFonts w:hint="eastAsia" w:ascii="宋体"/>
                <w:color w:val="auto"/>
                <w:sz w:val="22"/>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rPr>
            </w:pPr>
          </w:p>
        </w:tc>
        <w:tc>
          <w:tcPr>
            <w:tcW w:w="1600" w:type="dxa"/>
            <w:vAlign w:val="center"/>
          </w:tcPr>
          <w:p>
            <w:pPr>
              <w:adjustRightInd w:val="0"/>
              <w:jc w:val="center"/>
              <w:rPr>
                <w:rFonts w:ascii="宋体"/>
                <w:color w:val="auto"/>
                <w:sz w:val="22"/>
              </w:rPr>
            </w:pPr>
            <w:r>
              <w:rPr>
                <w:rFonts w:hint="eastAsia" w:ascii="宋体"/>
                <w:color w:val="auto"/>
                <w:sz w:val="22"/>
              </w:rPr>
              <w:t>投标货币</w:t>
            </w:r>
          </w:p>
        </w:tc>
        <w:tc>
          <w:tcPr>
            <w:tcW w:w="7619" w:type="dxa"/>
            <w:vAlign w:val="center"/>
          </w:tcPr>
          <w:p>
            <w:pPr>
              <w:adjustRightInd w:val="0"/>
              <w:rPr>
                <w:rFonts w:ascii="宋体"/>
                <w:color w:val="auto"/>
                <w:sz w:val="22"/>
              </w:rPr>
            </w:pPr>
            <w:r>
              <w:rPr>
                <w:rFonts w:hint="eastAsia" w:ascii="宋体"/>
                <w:color w:val="auto"/>
                <w:sz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rPr>
            </w:pPr>
          </w:p>
        </w:tc>
        <w:tc>
          <w:tcPr>
            <w:tcW w:w="1600" w:type="dxa"/>
            <w:vAlign w:val="center"/>
          </w:tcPr>
          <w:p>
            <w:pPr>
              <w:adjustRightInd w:val="0"/>
              <w:jc w:val="center"/>
              <w:rPr>
                <w:rFonts w:ascii="宋体"/>
                <w:color w:val="auto"/>
                <w:sz w:val="22"/>
              </w:rPr>
            </w:pPr>
            <w:r>
              <w:rPr>
                <w:rFonts w:hint="eastAsia" w:ascii="宋体"/>
                <w:color w:val="auto"/>
                <w:sz w:val="22"/>
              </w:rPr>
              <w:t>投标语言</w:t>
            </w:r>
          </w:p>
        </w:tc>
        <w:tc>
          <w:tcPr>
            <w:tcW w:w="7619" w:type="dxa"/>
            <w:vAlign w:val="center"/>
          </w:tcPr>
          <w:p>
            <w:pPr>
              <w:adjustRightInd w:val="0"/>
              <w:rPr>
                <w:rFonts w:ascii="宋体"/>
                <w:color w:val="auto"/>
                <w:sz w:val="22"/>
              </w:rPr>
            </w:pPr>
            <w:r>
              <w:rPr>
                <w:rFonts w:hint="eastAsia" w:ascii="宋体"/>
                <w:color w:val="auto"/>
                <w:sz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rPr>
            </w:pPr>
          </w:p>
        </w:tc>
        <w:tc>
          <w:tcPr>
            <w:tcW w:w="1600" w:type="dxa"/>
            <w:vAlign w:val="center"/>
          </w:tcPr>
          <w:p>
            <w:pPr>
              <w:jc w:val="center"/>
              <w:rPr>
                <w:rFonts w:ascii="宋体" w:cs="Arial"/>
                <w:color w:val="auto"/>
                <w:sz w:val="22"/>
              </w:rPr>
            </w:pPr>
            <w:r>
              <w:rPr>
                <w:rFonts w:hint="eastAsia"/>
                <w:b/>
                <w:bCs/>
                <w:color w:val="auto"/>
                <w:sz w:val="22"/>
                <w:szCs w:val="22"/>
                <w:lang w:val="zh-CN"/>
              </w:rPr>
              <w:t>投标文件</w:t>
            </w:r>
            <w:r>
              <w:rPr>
                <w:rFonts w:hint="eastAsia"/>
                <w:b/>
                <w:bCs/>
                <w:color w:val="auto"/>
                <w:sz w:val="22"/>
                <w:szCs w:val="22"/>
              </w:rPr>
              <w:t>说明</w:t>
            </w:r>
          </w:p>
        </w:tc>
        <w:tc>
          <w:tcPr>
            <w:tcW w:w="7619" w:type="dxa"/>
            <w:vAlign w:val="center"/>
          </w:tcPr>
          <w:p>
            <w:pPr>
              <w:autoSpaceDE w:val="0"/>
              <w:autoSpaceDN w:val="0"/>
              <w:adjustRightInd w:val="0"/>
              <w:jc w:val="left"/>
              <w:rPr>
                <w:rFonts w:ascii="宋体" w:hAnsi="宋体" w:eastAsia="宋体" w:cs="宋体"/>
                <w:color w:val="auto"/>
                <w:sz w:val="22"/>
                <w:lang w:val="zh-CN"/>
              </w:rPr>
            </w:pPr>
            <w:r>
              <w:rPr>
                <w:rFonts w:ascii="宋体" w:hAnsi="宋体" w:eastAsia="宋体" w:cs="宋体"/>
                <w:color w:val="auto"/>
                <w:sz w:val="22"/>
                <w:lang w:val="zh-CN"/>
              </w:rPr>
              <w:t>1、</w:t>
            </w:r>
            <w:r>
              <w:rPr>
                <w:rFonts w:ascii="宋体" w:hAnsi="宋体" w:eastAsia="宋体" w:cs="宋体"/>
                <w:b/>
                <w:bCs/>
                <w:color w:val="auto"/>
                <w:sz w:val="22"/>
                <w:lang w:val="zh-CN"/>
              </w:rPr>
              <w:t>投标文件组成：</w:t>
            </w:r>
            <w:r>
              <w:rPr>
                <w:rFonts w:ascii="宋体" w:hAnsi="宋体" w:eastAsia="宋体" w:cs="宋体"/>
                <w:color w:val="auto"/>
                <w:sz w:val="22"/>
                <w:lang w:val="zh-CN"/>
              </w:rPr>
              <w:t>《资格文件》及《商务技术文件》和《报价文件》。</w:t>
            </w:r>
          </w:p>
          <w:p>
            <w:pPr>
              <w:rPr>
                <w:rFonts w:ascii="宋体" w:hAnsi="宋体" w:eastAsia="宋体" w:cs="宋体"/>
                <w:color w:val="auto"/>
                <w:sz w:val="22"/>
              </w:rPr>
            </w:pPr>
            <w:r>
              <w:rPr>
                <w:rFonts w:ascii="宋体" w:hAnsi="宋体" w:eastAsia="宋体" w:cs="宋体"/>
                <w:color w:val="auto"/>
                <w:sz w:val="22"/>
              </w:rPr>
              <w:t>2、</w:t>
            </w:r>
            <w:r>
              <w:rPr>
                <w:rFonts w:ascii="宋体" w:hAnsi="宋体" w:eastAsia="宋体" w:cs="宋体"/>
                <w:b/>
                <w:bCs/>
                <w:color w:val="auto"/>
                <w:sz w:val="22"/>
              </w:rPr>
              <w:t>投标文件编制：</w:t>
            </w:r>
            <w:r>
              <w:rPr>
                <w:rFonts w:ascii="宋体" w:hAnsi="宋体" w:eastAsia="宋体" w:cs="宋体"/>
                <w:color w:val="auto"/>
                <w:sz w:val="22"/>
              </w:rPr>
              <w:t>供应商应先安装“政采云电子交易客户端”，并按照本采购文件和“政府采购云平台”的要求，通过“政采云电子交易客户端”编制并加密投标文件。</w:t>
            </w:r>
          </w:p>
          <w:p>
            <w:pPr>
              <w:rPr>
                <w:rFonts w:ascii="宋体" w:hAnsi="宋体" w:eastAsia="宋体" w:cs="宋体"/>
                <w:color w:val="auto"/>
                <w:sz w:val="22"/>
              </w:rPr>
            </w:pPr>
            <w:r>
              <w:rPr>
                <w:rFonts w:ascii="宋体" w:hAnsi="宋体" w:eastAsia="宋体" w:cs="宋体"/>
                <w:color w:val="auto"/>
                <w:sz w:val="22"/>
              </w:rPr>
              <w:t>3、</w:t>
            </w:r>
            <w:r>
              <w:rPr>
                <w:rFonts w:ascii="宋体" w:hAnsi="宋体" w:eastAsia="宋体" w:cs="宋体"/>
                <w:b/>
                <w:bCs/>
                <w:color w:val="auto"/>
                <w:sz w:val="22"/>
              </w:rPr>
              <w:t>投标文件的签章：</w:t>
            </w:r>
            <w:r>
              <w:rPr>
                <w:rFonts w:ascii="宋体" w:hAnsi="宋体" w:eastAsia="宋体" w:cs="宋体"/>
                <w:color w:val="auto"/>
                <w:sz w:val="22"/>
              </w:rPr>
              <w:t>电子签章。</w:t>
            </w:r>
          </w:p>
          <w:p>
            <w:pPr>
              <w:rPr>
                <w:rFonts w:ascii="宋体" w:hAnsi="宋体" w:eastAsia="宋体" w:cs="宋体"/>
                <w:color w:val="auto"/>
                <w:sz w:val="22"/>
              </w:rPr>
            </w:pPr>
            <w:r>
              <w:rPr>
                <w:rFonts w:ascii="宋体" w:hAnsi="宋体" w:eastAsia="宋体" w:cs="宋体"/>
                <w:color w:val="auto"/>
                <w:sz w:val="22"/>
              </w:rPr>
              <w:t>4、</w:t>
            </w:r>
            <w:r>
              <w:rPr>
                <w:rFonts w:ascii="宋体" w:hAnsi="宋体" w:eastAsia="宋体" w:cs="宋体"/>
                <w:b/>
                <w:bCs/>
                <w:color w:val="auto"/>
                <w:sz w:val="22"/>
              </w:rPr>
              <w:t>投标文件的形式：</w:t>
            </w:r>
            <w:r>
              <w:rPr>
                <w:rFonts w:ascii="Segoe UI Symbol" w:hAnsi="Segoe UI Symbol" w:eastAsia="宋体" w:cs="Segoe UI Symbol"/>
                <w:color w:val="auto"/>
                <w:sz w:val="22"/>
              </w:rPr>
              <w:t>☑</w:t>
            </w:r>
            <w:r>
              <w:rPr>
                <w:rFonts w:ascii="宋体" w:hAnsi="宋体" w:eastAsia="宋体" w:cs="宋体"/>
                <w:color w:val="auto"/>
                <w:sz w:val="22"/>
              </w:rPr>
              <w:t>电子投标文件（包括“电子加密投标文件”）；</w:t>
            </w:r>
          </w:p>
          <w:p>
            <w:pPr>
              <w:rPr>
                <w:rFonts w:ascii="宋体" w:hAnsi="宋体" w:eastAsia="宋体" w:cs="宋体"/>
                <w:color w:val="auto"/>
                <w:sz w:val="22"/>
              </w:rPr>
            </w:pPr>
            <w:r>
              <w:rPr>
                <w:rFonts w:ascii="宋体" w:hAnsi="宋体" w:eastAsia="宋体" w:cs="宋体"/>
                <w:color w:val="auto"/>
                <w:sz w:val="22"/>
              </w:rPr>
              <w:t>“电子加密投标文件”是指通过“政采云电子交易客户端”完成投标文件编制后生成并加密的数据电文形式的投标文件。</w:t>
            </w:r>
          </w:p>
          <w:p>
            <w:pPr>
              <w:autoSpaceDE w:val="0"/>
              <w:autoSpaceDN w:val="0"/>
              <w:adjustRightInd w:val="0"/>
              <w:jc w:val="left"/>
              <w:rPr>
                <w:rFonts w:ascii="宋体" w:hAnsi="宋体" w:eastAsia="宋体" w:cs="宋体"/>
                <w:color w:val="auto"/>
                <w:sz w:val="22"/>
              </w:rPr>
            </w:pPr>
            <w:r>
              <w:rPr>
                <w:rFonts w:ascii="宋体" w:hAnsi="宋体" w:eastAsia="宋体" w:cs="宋体"/>
                <w:color w:val="auto"/>
                <w:sz w:val="22"/>
              </w:rPr>
              <w:t>5、</w:t>
            </w:r>
            <w:r>
              <w:rPr>
                <w:rFonts w:ascii="宋体" w:hAnsi="宋体" w:eastAsia="宋体" w:cs="宋体"/>
                <w:b/>
                <w:bCs/>
                <w:color w:val="auto"/>
                <w:sz w:val="22"/>
              </w:rPr>
              <w:t>投标文件份数：</w:t>
            </w:r>
            <w:r>
              <w:rPr>
                <w:rFonts w:ascii="宋体" w:hAnsi="宋体" w:eastAsia="宋体" w:cs="宋体"/>
                <w:color w:val="auto"/>
                <w:sz w:val="22"/>
              </w:rPr>
              <w:t>“电子加密投标文件”：在线上传递交。</w:t>
            </w:r>
          </w:p>
          <w:p>
            <w:pPr>
              <w:rPr>
                <w:rFonts w:ascii="宋体" w:hAnsi="宋体" w:eastAsia="宋体" w:cs="宋体"/>
                <w:b/>
                <w:bCs/>
                <w:color w:val="auto"/>
                <w:sz w:val="22"/>
              </w:rPr>
            </w:pPr>
            <w:r>
              <w:rPr>
                <w:rFonts w:ascii="宋体" w:hAnsi="宋体" w:eastAsia="宋体" w:cs="宋体"/>
                <w:color w:val="auto"/>
                <w:sz w:val="22"/>
              </w:rPr>
              <w:t>6、</w:t>
            </w:r>
            <w:r>
              <w:rPr>
                <w:rFonts w:ascii="宋体" w:hAnsi="宋体" w:eastAsia="宋体" w:cs="宋体"/>
                <w:b/>
                <w:bCs/>
                <w:color w:val="auto"/>
                <w:sz w:val="22"/>
              </w:rPr>
              <w:t>投标文件的上传和递交：</w:t>
            </w:r>
          </w:p>
          <w:p>
            <w:pPr>
              <w:rPr>
                <w:rFonts w:ascii="宋体" w:hAnsi="宋体" w:eastAsia="宋体" w:cs="宋体"/>
                <w:color w:val="auto"/>
                <w:sz w:val="22"/>
              </w:rPr>
            </w:pPr>
            <w:r>
              <w:rPr>
                <w:rFonts w:ascii="宋体" w:hAnsi="宋体" w:eastAsia="宋体" w:cs="宋体"/>
                <w:color w:val="auto"/>
                <w:sz w:val="22"/>
              </w:rPr>
              <w:t>“电子加密投标文件”的上传、递交：</w:t>
            </w:r>
          </w:p>
          <w:p>
            <w:pPr>
              <w:rPr>
                <w:rFonts w:ascii="宋体" w:hAnsi="宋体" w:eastAsia="宋体" w:cs="宋体"/>
                <w:color w:val="auto"/>
                <w:sz w:val="22"/>
              </w:rPr>
            </w:pPr>
            <w:r>
              <w:rPr>
                <w:rFonts w:ascii="宋体" w:hAnsi="宋体" w:eastAsia="宋体" w:cs="宋体"/>
                <w:color w:val="auto"/>
                <w:sz w:val="22"/>
              </w:rPr>
              <w:t>a.供应商应在投标截止时间前将“电子加密投标文件”成功上传递交至“政府采购云平台”，否则投标无效。</w:t>
            </w:r>
          </w:p>
          <w:p>
            <w:pPr>
              <w:rPr>
                <w:rFonts w:ascii="宋体" w:hAnsi="宋体" w:eastAsia="宋体" w:cs="宋体"/>
                <w:color w:val="auto"/>
                <w:sz w:val="22"/>
              </w:rPr>
            </w:pPr>
            <w:r>
              <w:rPr>
                <w:rFonts w:ascii="宋体" w:hAnsi="宋体" w:eastAsia="宋体" w:cs="宋体"/>
                <w:color w:val="auto"/>
                <w:sz w:val="22"/>
              </w:rPr>
              <w:t>b.“电子加密投标文件”成功上传递交后，供应商可自行打印投标文件接收回执。</w:t>
            </w:r>
          </w:p>
          <w:p>
            <w:pPr>
              <w:rPr>
                <w:rFonts w:ascii="宋体" w:hAnsi="宋体" w:eastAsia="宋体" w:cs="宋体"/>
                <w:b/>
                <w:bCs/>
                <w:color w:val="auto"/>
                <w:sz w:val="22"/>
              </w:rPr>
            </w:pPr>
            <w:r>
              <w:rPr>
                <w:rFonts w:ascii="宋体" w:hAnsi="宋体" w:eastAsia="宋体" w:cs="宋体"/>
                <w:b/>
                <w:bCs/>
                <w:color w:val="auto"/>
                <w:sz w:val="22"/>
              </w:rPr>
              <w:t>7、电子加密投标文件的解密和异常情况处理：</w:t>
            </w:r>
          </w:p>
          <w:p>
            <w:pPr>
              <w:autoSpaceDE w:val="0"/>
              <w:autoSpaceDN w:val="0"/>
              <w:adjustRightInd w:val="0"/>
              <w:jc w:val="left"/>
              <w:rPr>
                <w:rFonts w:ascii="宋体" w:hAnsi="宋体" w:eastAsia="宋体" w:cs="宋体"/>
                <w:color w:val="auto"/>
                <w:sz w:val="22"/>
              </w:rPr>
            </w:pPr>
            <w:r>
              <w:rPr>
                <w:rFonts w:ascii="宋体" w:hAnsi="宋体" w:eastAsia="宋体" w:cs="宋体"/>
                <w:color w:val="auto"/>
                <w:sz w:val="22"/>
              </w:rPr>
              <w:t>（1）开标后，采购组织机构将向各供应商发出“电子加密投标文件”的解密通知，各供应商代表应当在接到解密通知后30分钟内自行完成“电子加密投标文件”的在线解密。</w:t>
            </w:r>
          </w:p>
          <w:p>
            <w:pPr>
              <w:autoSpaceDE w:val="0"/>
              <w:autoSpaceDN w:val="0"/>
              <w:adjustRightInd w:val="0"/>
              <w:jc w:val="left"/>
              <w:rPr>
                <w:rFonts w:ascii="宋体" w:hAnsi="宋体" w:eastAsia="宋体" w:cs="宋体"/>
                <w:color w:val="auto"/>
                <w:sz w:val="22"/>
              </w:rPr>
            </w:pPr>
            <w:r>
              <w:rPr>
                <w:rFonts w:ascii="宋体" w:hAnsi="宋体" w:eastAsia="宋体" w:cs="宋体"/>
                <w:color w:val="auto"/>
                <w:sz w:val="22"/>
              </w:rPr>
              <w:t>（2）通过“政府采购云平台”成功上传递交的“电子加密投标文件”无法按时解密，否则视为投标文件撤回。</w:t>
            </w:r>
          </w:p>
          <w:p>
            <w:pPr>
              <w:snapToGrid w:val="0"/>
              <w:rPr>
                <w:rFonts w:ascii="宋体" w:hAnsi="宋体" w:eastAsia="宋体" w:cs="宋体"/>
                <w:color w:val="auto"/>
                <w:sz w:val="22"/>
              </w:rPr>
            </w:pPr>
            <w:r>
              <w:rPr>
                <w:rFonts w:ascii="宋体" w:hAnsi="宋体" w:eastAsia="宋体" w:cs="宋体"/>
                <w:color w:val="auto"/>
                <w:sz w:val="22"/>
              </w:rPr>
              <w:t>（</w:t>
            </w:r>
            <w:r>
              <w:rPr>
                <w:rFonts w:hint="eastAsia" w:ascii="宋体" w:hAnsi="宋体" w:eastAsia="宋体" w:cs="宋体"/>
                <w:color w:val="auto"/>
                <w:sz w:val="22"/>
              </w:rPr>
              <w:t>3</w:t>
            </w:r>
            <w:r>
              <w:rPr>
                <w:rFonts w:ascii="宋体" w:hAnsi="宋体" w:eastAsia="宋体" w:cs="宋体"/>
                <w:color w:val="auto"/>
                <w:sz w:val="22"/>
              </w:rPr>
              <w:t>）投标截止后，在投标有效期内，供应商不能撤销投标文件。</w:t>
            </w:r>
          </w:p>
          <w:p>
            <w:pPr>
              <w:snapToGrid w:val="0"/>
              <w:rPr>
                <w:rFonts w:ascii="宋体" w:hAnsi="宋体" w:eastAsia="宋体" w:cs="宋体"/>
                <w:color w:val="auto"/>
                <w:sz w:val="22"/>
              </w:rPr>
            </w:pPr>
            <w:r>
              <w:rPr>
                <w:rFonts w:ascii="宋体" w:hAnsi="宋体" w:eastAsia="宋体" w:cs="宋体"/>
                <w:color w:val="auto"/>
                <w:sz w:val="22"/>
              </w:rPr>
              <w:t>8、投标截止后，在投标有效期内，供应商不能撤销投标文件</w:t>
            </w:r>
          </w:p>
          <w:p>
            <w:pPr>
              <w:snapToGrid w:val="0"/>
              <w:rPr>
                <w:rFonts w:ascii="宋体" w:hAnsi="宋体" w:eastAsia="宋体" w:cs="宋体"/>
                <w:color w:val="auto"/>
                <w:sz w:val="22"/>
              </w:rPr>
            </w:pPr>
            <w:r>
              <w:rPr>
                <w:rFonts w:ascii="宋体" w:hAnsi="宋体" w:eastAsia="宋体" w:cs="宋体"/>
                <w:color w:val="auto"/>
                <w:sz w:val="22"/>
              </w:rPr>
              <w:t>9、</w:t>
            </w:r>
            <w:r>
              <w:rPr>
                <w:rFonts w:hint="eastAsia" w:ascii="宋体" w:hAnsi="宋体"/>
                <w:color w:val="auto"/>
                <w:sz w:val="22"/>
              </w:rPr>
              <w:t>供应商放弃成交或拒绝与采购单位签订合同的</w:t>
            </w:r>
            <w:r>
              <w:rPr>
                <w:rFonts w:ascii="宋体"/>
                <w:color w:val="auto"/>
                <w:sz w:val="22"/>
              </w:rPr>
              <w:t>,</w:t>
            </w:r>
            <w:r>
              <w:rPr>
                <w:rFonts w:hint="eastAsia"/>
                <w:color w:val="auto"/>
              </w:rPr>
              <w:t>按相关法律进行处理</w:t>
            </w:r>
            <w:r>
              <w:rPr>
                <w:rFonts w:hint="eastAsia" w:ascii="宋体" w:hAnsi="宋体"/>
                <w:color w:val="auto"/>
                <w:sz w:val="22"/>
              </w:rPr>
              <w:t>，原则上重新开展政府采购活动。</w:t>
            </w:r>
          </w:p>
          <w:p>
            <w:pPr>
              <w:snapToGrid w:val="0"/>
              <w:rPr>
                <w:rFonts w:ascii="宋体" w:hAnsi="宋体" w:eastAsia="宋体" w:cs="宋体"/>
                <w:color w:val="auto"/>
                <w:sz w:val="22"/>
              </w:rPr>
            </w:pPr>
            <w:r>
              <w:rPr>
                <w:rFonts w:ascii="宋体" w:hAnsi="宋体" w:eastAsia="宋体" w:cs="宋体"/>
                <w:color w:val="auto"/>
                <w:sz w:val="22"/>
              </w:rPr>
              <w:t>10、存在下列行为的，招标代理机构将其失信行为上报政府采购主管部门，由主管部门按有关规定对其违法失信行为记录进行公开：</w:t>
            </w:r>
          </w:p>
          <w:p>
            <w:pPr>
              <w:snapToGrid w:val="0"/>
              <w:rPr>
                <w:rFonts w:ascii="宋体" w:hAnsi="宋体" w:eastAsia="宋体" w:cs="宋体"/>
                <w:color w:val="auto"/>
                <w:sz w:val="22"/>
              </w:rPr>
            </w:pPr>
            <w:r>
              <w:rPr>
                <w:rFonts w:ascii="宋体" w:hAnsi="宋体" w:eastAsia="宋体" w:cs="宋体"/>
                <w:color w:val="auto"/>
                <w:sz w:val="22"/>
              </w:rPr>
              <w:t>（1）中标或者成交后，拒绝签订政府采购合同的；</w:t>
            </w:r>
          </w:p>
          <w:p>
            <w:pPr>
              <w:snapToGrid w:val="0"/>
              <w:rPr>
                <w:color w:val="auto"/>
                <w:sz w:val="22"/>
                <w:szCs w:val="22"/>
              </w:rPr>
            </w:pPr>
            <w:r>
              <w:rPr>
                <w:rFonts w:hAnsi="宋体" w:eastAsia="宋体" w:cs="宋体"/>
                <w:color w:val="auto"/>
              </w:rPr>
              <w:t>（2）</w:t>
            </w:r>
            <w:r>
              <w:rPr>
                <w:rFonts w:ascii="宋体" w:hAnsi="宋体" w:eastAsia="宋体" w:cs="宋体"/>
                <w:color w:val="auto"/>
                <w:sz w:val="22"/>
              </w:rPr>
              <w:t>投标有效期内撤销投标文件的</w:t>
            </w:r>
            <w:r>
              <w:rPr>
                <w:rFonts w:hint="eastAsia" w:ascii="宋体" w:hAnsi="宋体" w:eastAsia="宋体" w:cs="宋体"/>
                <w:color w:val="auto"/>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rPr>
            </w:pPr>
          </w:p>
        </w:tc>
        <w:tc>
          <w:tcPr>
            <w:tcW w:w="1600" w:type="dxa"/>
            <w:vAlign w:val="center"/>
          </w:tcPr>
          <w:p>
            <w:pPr>
              <w:adjustRightInd w:val="0"/>
              <w:jc w:val="center"/>
              <w:rPr>
                <w:rFonts w:ascii="宋体"/>
                <w:color w:val="auto"/>
                <w:sz w:val="22"/>
              </w:rPr>
            </w:pPr>
            <w:r>
              <w:rPr>
                <w:rFonts w:hint="eastAsia" w:ascii="宋体"/>
                <w:color w:val="auto"/>
                <w:sz w:val="22"/>
              </w:rPr>
              <w:t>投标样品</w:t>
            </w:r>
          </w:p>
        </w:tc>
        <w:tc>
          <w:tcPr>
            <w:tcW w:w="7619" w:type="dxa"/>
            <w:vAlign w:val="center"/>
          </w:tcPr>
          <w:p>
            <w:pPr>
              <w:adjustRightInd w:val="0"/>
              <w:rPr>
                <w:rFonts w:ascii="宋体"/>
                <w:color w:val="auto"/>
                <w:sz w:val="22"/>
              </w:rPr>
            </w:pPr>
            <w:r>
              <w:rPr>
                <w:rFonts w:ascii="宋体"/>
                <w:color w:val="auto"/>
                <w:sz w:val="22"/>
              </w:rPr>
              <w:fldChar w:fldCharType="begin"/>
            </w:r>
            <w:r>
              <w:rPr>
                <w:rFonts w:ascii="宋体"/>
                <w:color w:val="auto"/>
                <w:sz w:val="22"/>
              </w:rPr>
              <w:instrText xml:space="preserve"> eq \o\ac(</w:instrText>
            </w:r>
            <w:r>
              <w:rPr>
                <w:rFonts w:hint="eastAsia" w:ascii="宋体"/>
                <w:color w:val="auto"/>
                <w:sz w:val="22"/>
              </w:rPr>
              <w:instrText xml:space="preserve">□</w:instrText>
            </w:r>
            <w:r>
              <w:rPr>
                <w:rFonts w:ascii="宋体"/>
                <w:color w:val="auto"/>
                <w:sz w:val="22"/>
              </w:rPr>
              <w:instrText xml:space="preserve">,</w:instrText>
            </w:r>
            <w:r>
              <w:rPr>
                <w:rFonts w:hint="eastAsia" w:ascii="宋体"/>
                <w:color w:val="auto"/>
                <w:sz w:val="22"/>
              </w:rPr>
              <w:instrText xml:space="preserve">√</w:instrText>
            </w:r>
            <w:r>
              <w:rPr>
                <w:rFonts w:ascii="宋体"/>
                <w:color w:val="auto"/>
                <w:sz w:val="22"/>
              </w:rPr>
              <w:instrText xml:space="preserve">)</w:instrText>
            </w:r>
            <w:r>
              <w:rPr>
                <w:rFonts w:ascii="宋体"/>
                <w:color w:val="auto"/>
                <w:sz w:val="22"/>
              </w:rPr>
              <w:fldChar w:fldCharType="end"/>
            </w:r>
            <w:r>
              <w:rPr>
                <w:rFonts w:hint="eastAsia" w:ascii="宋体"/>
                <w:color w:val="auto"/>
                <w:sz w:val="22"/>
              </w:rPr>
              <w:t>不需要</w:t>
            </w:r>
          </w:p>
          <w:p>
            <w:pPr>
              <w:adjustRightInd w:val="0"/>
              <w:rPr>
                <w:rFonts w:ascii="宋体"/>
                <w:color w:val="auto"/>
                <w:sz w:val="22"/>
              </w:rPr>
            </w:pPr>
            <w:r>
              <w:rPr>
                <w:rFonts w:hint="eastAsia" w:ascii="宋体"/>
                <w:color w:val="auto"/>
                <w:sz w:val="22"/>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rPr>
            </w:pPr>
          </w:p>
        </w:tc>
        <w:tc>
          <w:tcPr>
            <w:tcW w:w="1600" w:type="dxa"/>
            <w:vAlign w:val="center"/>
          </w:tcPr>
          <w:p>
            <w:pPr>
              <w:adjustRightInd w:val="0"/>
              <w:jc w:val="center"/>
              <w:rPr>
                <w:rFonts w:ascii="宋体"/>
                <w:color w:val="auto"/>
                <w:sz w:val="22"/>
              </w:rPr>
            </w:pPr>
            <w:r>
              <w:rPr>
                <w:rFonts w:hint="eastAsia" w:ascii="宋体"/>
                <w:color w:val="auto"/>
                <w:sz w:val="22"/>
              </w:rPr>
              <w:t>履约担保</w:t>
            </w:r>
          </w:p>
        </w:tc>
        <w:tc>
          <w:tcPr>
            <w:tcW w:w="7619" w:type="dxa"/>
            <w:vAlign w:val="center"/>
          </w:tcPr>
          <w:p>
            <w:pPr>
              <w:adjustRightInd w:val="0"/>
              <w:rPr>
                <w:rFonts w:ascii="宋体"/>
                <w:color w:val="auto"/>
                <w:sz w:val="22"/>
              </w:rPr>
            </w:pPr>
            <w:r>
              <w:rPr>
                <w:rFonts w:hint="eastAsia" w:ascii="宋体"/>
                <w:color w:val="auto"/>
                <w:sz w:val="22"/>
              </w:rPr>
              <w:t>□不需要</w:t>
            </w:r>
          </w:p>
          <w:p>
            <w:pPr>
              <w:adjustRightInd w:val="0"/>
              <w:rPr>
                <w:rFonts w:ascii="宋体"/>
                <w:color w:val="auto"/>
                <w:sz w:val="22"/>
              </w:rPr>
            </w:pPr>
            <w:r>
              <w:rPr>
                <w:rFonts w:ascii="宋体"/>
                <w:color w:val="auto"/>
                <w:sz w:val="22"/>
              </w:rPr>
              <w:fldChar w:fldCharType="begin"/>
            </w:r>
            <w:r>
              <w:rPr>
                <w:rFonts w:ascii="宋体"/>
                <w:color w:val="auto"/>
                <w:sz w:val="22"/>
              </w:rPr>
              <w:instrText xml:space="preserve"> eq \o\ac(</w:instrText>
            </w:r>
            <w:r>
              <w:rPr>
                <w:rFonts w:hint="eastAsia" w:ascii="宋体"/>
                <w:color w:val="auto"/>
                <w:sz w:val="22"/>
              </w:rPr>
              <w:instrText xml:space="preserve">□,</w:instrText>
            </w:r>
            <w:r>
              <w:rPr>
                <w:rFonts w:hint="eastAsia" w:ascii="宋体"/>
                <w:color w:val="auto"/>
                <w:position w:val="2"/>
                <w:sz w:val="15"/>
              </w:rPr>
              <w:instrText xml:space="preserve">√</w:instrText>
            </w:r>
            <w:r>
              <w:rPr>
                <w:rFonts w:ascii="宋体"/>
                <w:color w:val="auto"/>
                <w:sz w:val="22"/>
              </w:rPr>
              <w:instrText xml:space="preserve">)</w:instrText>
            </w:r>
            <w:r>
              <w:rPr>
                <w:rFonts w:ascii="宋体"/>
                <w:color w:val="auto"/>
                <w:sz w:val="22"/>
              </w:rPr>
              <w:fldChar w:fldCharType="end"/>
            </w:r>
            <w:r>
              <w:rPr>
                <w:rFonts w:hint="eastAsia" w:ascii="宋体"/>
                <w:color w:val="auto"/>
                <w:sz w:val="22"/>
              </w:rPr>
              <w:t>需要。合同签订后5个工作日内成交供应商应提供合同总金额1%的履约保函至采购单位。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rPr>
            </w:pPr>
          </w:p>
        </w:tc>
        <w:tc>
          <w:tcPr>
            <w:tcW w:w="1600" w:type="dxa"/>
            <w:vAlign w:val="center"/>
          </w:tcPr>
          <w:p>
            <w:pPr>
              <w:jc w:val="center"/>
              <w:rPr>
                <w:rFonts w:ascii="宋体" w:cs="Arial"/>
                <w:color w:val="auto"/>
                <w:sz w:val="22"/>
              </w:rPr>
            </w:pPr>
            <w:r>
              <w:rPr>
                <w:rFonts w:hint="eastAsia" w:ascii="宋体" w:cs="Arial"/>
                <w:color w:val="auto"/>
                <w:sz w:val="22"/>
              </w:rPr>
              <w:t>竞争性磋商文件获取方式</w:t>
            </w:r>
          </w:p>
        </w:tc>
        <w:tc>
          <w:tcPr>
            <w:tcW w:w="7619" w:type="dxa"/>
            <w:vAlign w:val="center"/>
          </w:tcPr>
          <w:p>
            <w:pPr>
              <w:adjustRightInd w:val="0"/>
              <w:spacing w:line="280" w:lineRule="exact"/>
              <w:jc w:val="left"/>
              <w:rPr>
                <w:rFonts w:ascii="宋体" w:hAnsi="宋体" w:eastAsia="宋体"/>
                <w:color w:val="auto"/>
                <w:sz w:val="22"/>
              </w:rPr>
            </w:pPr>
            <w:r>
              <w:rPr>
                <w:rFonts w:ascii="宋体" w:hAnsi="宋体" w:eastAsia="宋体"/>
                <w:color w:val="auto"/>
                <w:sz w:val="22"/>
              </w:rPr>
              <w:t>自本公告公布日起至投标文件递交截止时间前，均可获取招标文件，公告附件中的招标文件仅供阅读，招标文件合法获取方式如下：</w:t>
            </w:r>
          </w:p>
          <w:p>
            <w:pPr>
              <w:adjustRightInd w:val="0"/>
              <w:spacing w:line="280" w:lineRule="exact"/>
              <w:jc w:val="left"/>
              <w:rPr>
                <w:rFonts w:ascii="宋体" w:hAnsi="宋体" w:eastAsia="宋体"/>
                <w:color w:val="auto"/>
                <w:sz w:val="22"/>
              </w:rPr>
            </w:pPr>
            <w:r>
              <w:rPr>
                <w:rFonts w:ascii="宋体" w:hAnsi="宋体" w:eastAsia="宋体"/>
                <w:color w:val="auto"/>
                <w:sz w:val="22"/>
              </w:rPr>
              <w:t>①供应商登陆政采云账户（网址：http://www.zjzfcg.gov.cn/）找到本项目后点击获取采购文件；</w:t>
            </w:r>
          </w:p>
          <w:p>
            <w:pPr>
              <w:adjustRightInd w:val="0"/>
              <w:spacing w:line="280" w:lineRule="exact"/>
              <w:rPr>
                <w:rFonts w:ascii="宋体" w:cs="Arial"/>
                <w:color w:val="auto"/>
                <w:sz w:val="22"/>
              </w:rPr>
            </w:pPr>
            <w:r>
              <w:rPr>
                <w:rFonts w:ascii="宋体" w:hAnsi="宋体" w:eastAsia="宋体"/>
                <w:color w:val="auto"/>
                <w:sz w:val="22"/>
              </w:rPr>
              <w:t>②另本项目采购文件同时发布在泰顺县人民政府网-县公共资源交易平台（网址：http://www.ts.gov.cn/col/col1383420/index.html）。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rPr>
            </w:pPr>
          </w:p>
        </w:tc>
        <w:tc>
          <w:tcPr>
            <w:tcW w:w="1600" w:type="dxa"/>
            <w:vAlign w:val="center"/>
          </w:tcPr>
          <w:p>
            <w:pPr>
              <w:jc w:val="center"/>
              <w:rPr>
                <w:rFonts w:ascii="宋体" w:cs="Arial"/>
                <w:color w:val="auto"/>
                <w:sz w:val="22"/>
              </w:rPr>
            </w:pPr>
            <w:r>
              <w:rPr>
                <w:rFonts w:hint="eastAsia" w:ascii="宋体" w:cs="Arial"/>
                <w:color w:val="auto"/>
                <w:sz w:val="22"/>
              </w:rPr>
              <w:t>投标截止时间</w:t>
            </w:r>
          </w:p>
        </w:tc>
        <w:tc>
          <w:tcPr>
            <w:tcW w:w="7619" w:type="dxa"/>
            <w:vAlign w:val="center"/>
          </w:tcPr>
          <w:p>
            <w:pPr>
              <w:rPr>
                <w:rFonts w:ascii="宋体" w:cs="Arial"/>
                <w:color w:val="auto"/>
                <w:sz w:val="22"/>
              </w:rPr>
            </w:pPr>
            <w:r>
              <w:rPr>
                <w:rFonts w:hint="eastAsia" w:hAnsi="宋体" w:eastAsia="新宋体"/>
                <w:b/>
                <w:color w:val="auto"/>
                <w:sz w:val="22"/>
                <w:lang w:eastAsia="zh-CN"/>
              </w:rPr>
              <w:t>2022年12月13日09点00分</w:t>
            </w:r>
            <w:r>
              <w:rPr>
                <w:rFonts w:hint="eastAsia" w:ascii="新宋体" w:hAnsi="新宋体" w:eastAsia="新宋体"/>
                <w:color w:val="auto"/>
                <w:sz w:val="22"/>
              </w:rPr>
              <w:t>截</w:t>
            </w:r>
            <w:r>
              <w:rPr>
                <w:rFonts w:hint="eastAsia" w:ascii="宋体" w:cs="Arial"/>
                <w:color w:val="auto"/>
                <w:sz w:val="22"/>
              </w:rPr>
              <w:t>止</w:t>
            </w:r>
            <w:r>
              <w:rPr>
                <w:rFonts w:ascii="宋体" w:cs="Arial"/>
                <w:color w:val="auto"/>
                <w:sz w:val="22"/>
              </w:rPr>
              <w:t>(</w:t>
            </w:r>
            <w:r>
              <w:rPr>
                <w:rFonts w:hint="eastAsia" w:ascii="宋体" w:cs="Arial"/>
                <w:color w:val="auto"/>
                <w:sz w:val="22"/>
              </w:rPr>
              <w:t>北京时间</w:t>
            </w:r>
            <w:r>
              <w:rPr>
                <w:rFonts w:ascii="宋体" w:cs="Arial"/>
                <w:color w:val="auto"/>
                <w:sz w:val="22"/>
              </w:rPr>
              <w:t>)</w:t>
            </w:r>
            <w:r>
              <w:rPr>
                <w:rFonts w:hint="eastAsia" w:ascii="宋体" w:cs="Arial"/>
                <w:color w:val="auto"/>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8"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rPr>
            </w:pPr>
          </w:p>
        </w:tc>
        <w:tc>
          <w:tcPr>
            <w:tcW w:w="1600" w:type="dxa"/>
            <w:vAlign w:val="center"/>
          </w:tcPr>
          <w:p>
            <w:pPr>
              <w:jc w:val="center"/>
              <w:rPr>
                <w:rFonts w:ascii="宋体" w:cs="Arial"/>
                <w:color w:val="auto"/>
                <w:sz w:val="22"/>
              </w:rPr>
            </w:pPr>
            <w:r>
              <w:rPr>
                <w:rFonts w:hint="eastAsia" w:ascii="宋体"/>
                <w:color w:val="auto"/>
                <w:sz w:val="22"/>
              </w:rPr>
              <w:t>投标文件递交地点</w:t>
            </w:r>
          </w:p>
        </w:tc>
        <w:tc>
          <w:tcPr>
            <w:tcW w:w="7619" w:type="dxa"/>
            <w:vAlign w:val="center"/>
          </w:tcPr>
          <w:p>
            <w:pPr>
              <w:rPr>
                <w:rFonts w:ascii="宋体" w:cs="Arial"/>
                <w:color w:val="auto"/>
                <w:sz w:val="22"/>
              </w:rPr>
            </w:pPr>
            <w:r>
              <w:rPr>
                <w:rFonts w:hint="eastAsia" w:hAnsi="宋体"/>
                <w:color w:val="auto"/>
                <w:sz w:val="22"/>
                <w:szCs w:val="22"/>
              </w:rPr>
              <w:t>通过“政府采购云平台（www.zcygov.cn）”实行在线投标响应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8"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rPr>
            </w:pPr>
          </w:p>
        </w:tc>
        <w:tc>
          <w:tcPr>
            <w:tcW w:w="1600" w:type="dxa"/>
            <w:vAlign w:val="center"/>
          </w:tcPr>
          <w:p>
            <w:pPr>
              <w:tabs>
                <w:tab w:val="left" w:pos="1069"/>
                <w:tab w:val="left" w:pos="2352"/>
              </w:tabs>
              <w:jc w:val="center"/>
              <w:rPr>
                <w:rFonts w:ascii="宋体"/>
                <w:color w:val="auto"/>
                <w:sz w:val="22"/>
              </w:rPr>
            </w:pPr>
            <w:r>
              <w:rPr>
                <w:rFonts w:hint="eastAsia" w:ascii="宋体" w:hAnsi="宋体" w:cs="宋体"/>
                <w:color w:val="auto"/>
                <w:sz w:val="22"/>
              </w:rPr>
              <w:t>评审地点</w:t>
            </w:r>
          </w:p>
        </w:tc>
        <w:tc>
          <w:tcPr>
            <w:tcW w:w="7619" w:type="dxa"/>
            <w:vAlign w:val="center"/>
          </w:tcPr>
          <w:p>
            <w:pPr>
              <w:tabs>
                <w:tab w:val="left" w:pos="1069"/>
                <w:tab w:val="left" w:pos="2352"/>
              </w:tabs>
              <w:jc w:val="left"/>
              <w:rPr>
                <w:rFonts w:hint="eastAsia" w:hAnsi="宋体" w:eastAsiaTheme="minorEastAsia"/>
                <w:color w:val="auto"/>
                <w:sz w:val="22"/>
                <w:szCs w:val="22"/>
                <w:lang w:eastAsia="zh-CN"/>
              </w:rPr>
            </w:pPr>
            <w:r>
              <w:rPr>
                <w:rFonts w:hint="eastAsia" w:ascii="宋体" w:hAnsi="宋体" w:cs="宋体"/>
                <w:color w:val="auto"/>
                <w:sz w:val="22"/>
                <w:lang w:eastAsia="zh-CN"/>
              </w:rPr>
              <w:t>泰顺县行政审批服务中心一楼评标室（温州市泰顺县罗阳镇新城大道117号）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40"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rPr>
            </w:pPr>
          </w:p>
        </w:tc>
        <w:tc>
          <w:tcPr>
            <w:tcW w:w="1600" w:type="dxa"/>
            <w:vAlign w:val="center"/>
          </w:tcPr>
          <w:p>
            <w:pPr>
              <w:jc w:val="center"/>
              <w:rPr>
                <w:rFonts w:ascii="宋体" w:cs="Arial"/>
                <w:color w:val="auto"/>
                <w:sz w:val="22"/>
              </w:rPr>
            </w:pPr>
            <w:r>
              <w:rPr>
                <w:rFonts w:hint="eastAsia" w:ascii="宋体" w:cs="Arial"/>
                <w:color w:val="auto"/>
                <w:sz w:val="22"/>
              </w:rPr>
              <w:t>开标时间</w:t>
            </w:r>
          </w:p>
          <w:p>
            <w:pPr>
              <w:jc w:val="center"/>
              <w:rPr>
                <w:rFonts w:ascii="宋体" w:cs="Arial"/>
                <w:color w:val="auto"/>
                <w:sz w:val="22"/>
              </w:rPr>
            </w:pPr>
            <w:r>
              <w:rPr>
                <w:rFonts w:hint="eastAsia" w:ascii="宋体" w:cs="Arial"/>
                <w:color w:val="auto"/>
                <w:sz w:val="22"/>
              </w:rPr>
              <w:t>开标地点</w:t>
            </w:r>
          </w:p>
        </w:tc>
        <w:tc>
          <w:tcPr>
            <w:tcW w:w="7619" w:type="dxa"/>
            <w:vAlign w:val="center"/>
          </w:tcPr>
          <w:p>
            <w:pPr>
              <w:rPr>
                <w:rFonts w:ascii="宋体" w:cs="Arial"/>
                <w:color w:val="auto"/>
                <w:sz w:val="22"/>
              </w:rPr>
            </w:pPr>
            <w:r>
              <w:rPr>
                <w:rFonts w:hint="eastAsia" w:ascii="宋体" w:cs="Arial"/>
                <w:color w:val="auto"/>
                <w:sz w:val="22"/>
              </w:rPr>
              <w:t>开标时间：</w:t>
            </w:r>
            <w:r>
              <w:rPr>
                <w:rFonts w:hint="eastAsia" w:hAnsi="宋体"/>
                <w:b/>
                <w:color w:val="auto"/>
                <w:sz w:val="22"/>
                <w:lang w:eastAsia="zh-CN"/>
              </w:rPr>
              <w:t>2022年12月13日09点00分</w:t>
            </w:r>
            <w:r>
              <w:rPr>
                <w:rFonts w:hint="eastAsia" w:ascii="宋体" w:cs="Arial"/>
                <w:color w:val="auto"/>
                <w:sz w:val="22"/>
              </w:rPr>
              <w:t>时</w:t>
            </w:r>
            <w:r>
              <w:rPr>
                <w:rFonts w:ascii="宋体" w:cs="Arial"/>
                <w:color w:val="auto"/>
                <w:sz w:val="22"/>
              </w:rPr>
              <w:t>(</w:t>
            </w:r>
            <w:r>
              <w:rPr>
                <w:rFonts w:hint="eastAsia" w:ascii="宋体" w:cs="Arial"/>
                <w:color w:val="auto"/>
                <w:sz w:val="22"/>
              </w:rPr>
              <w:t>北京时间</w:t>
            </w:r>
            <w:r>
              <w:rPr>
                <w:rFonts w:ascii="宋体" w:cs="Arial"/>
                <w:color w:val="auto"/>
                <w:sz w:val="22"/>
              </w:rPr>
              <w:t>)</w:t>
            </w:r>
          </w:p>
          <w:p>
            <w:pPr>
              <w:rPr>
                <w:rFonts w:ascii="宋体"/>
                <w:color w:val="auto"/>
                <w:sz w:val="22"/>
              </w:rPr>
            </w:pPr>
            <w:r>
              <w:rPr>
                <w:rFonts w:hint="eastAsia" w:ascii="宋体"/>
                <w:color w:val="auto"/>
                <w:sz w:val="22"/>
              </w:rPr>
              <w:t>开标地点：“政府采购云平台（http://zfcg.czt.zj.gov.cn/）”在线开标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rPr>
            </w:pPr>
          </w:p>
        </w:tc>
        <w:tc>
          <w:tcPr>
            <w:tcW w:w="1600" w:type="dxa"/>
            <w:vAlign w:val="center"/>
          </w:tcPr>
          <w:p>
            <w:pPr>
              <w:jc w:val="center"/>
              <w:rPr>
                <w:rFonts w:ascii="宋体" w:cs="Arial"/>
                <w:color w:val="auto"/>
                <w:sz w:val="22"/>
              </w:rPr>
            </w:pPr>
            <w:r>
              <w:rPr>
                <w:rFonts w:hint="eastAsia" w:ascii="宋体" w:cs="Arial"/>
                <w:color w:val="auto"/>
                <w:sz w:val="22"/>
              </w:rPr>
              <w:t>开标程序</w:t>
            </w:r>
          </w:p>
        </w:tc>
        <w:tc>
          <w:tcPr>
            <w:tcW w:w="7619" w:type="dxa"/>
            <w:vAlign w:val="center"/>
          </w:tcPr>
          <w:p>
            <w:pPr>
              <w:rPr>
                <w:rFonts w:ascii="宋体"/>
                <w:color w:val="auto"/>
                <w:sz w:val="22"/>
              </w:rPr>
            </w:pPr>
            <w:r>
              <w:rPr>
                <w:rFonts w:hint="eastAsia" w:ascii="宋体"/>
                <w:color w:val="auto"/>
                <w:sz w:val="22"/>
              </w:rPr>
              <w:t>（一）开标准备</w:t>
            </w:r>
          </w:p>
          <w:p>
            <w:pPr>
              <w:rPr>
                <w:rFonts w:ascii="宋体"/>
                <w:color w:val="auto"/>
                <w:sz w:val="22"/>
              </w:rPr>
            </w:pPr>
            <w:r>
              <w:rPr>
                <w:rFonts w:hint="eastAsia" w:ascii="宋体"/>
                <w:color w:val="auto"/>
                <w:sz w:val="22"/>
              </w:rPr>
              <w:t>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pPr>
              <w:rPr>
                <w:rFonts w:ascii="宋体"/>
                <w:color w:val="auto"/>
                <w:sz w:val="22"/>
              </w:rPr>
            </w:pPr>
            <w:r>
              <w:rPr>
                <w:rFonts w:hint="eastAsia" w:ascii="宋体"/>
                <w:color w:val="auto"/>
                <w:sz w:val="22"/>
              </w:rPr>
              <w:t>2、若磋商供应商在规定时间内无法解密或解密失败，投标无效。</w:t>
            </w:r>
          </w:p>
          <w:p>
            <w:pPr>
              <w:rPr>
                <w:rFonts w:ascii="宋体"/>
                <w:color w:val="auto"/>
                <w:sz w:val="22"/>
              </w:rPr>
            </w:pPr>
            <w:r>
              <w:rPr>
                <w:rFonts w:hint="eastAsia" w:ascii="宋体"/>
                <w:color w:val="auto"/>
                <w:sz w:val="22"/>
              </w:rPr>
              <w:t>3、所有二次报价询标流程，均在线上完成，请各供应商务必不要离开电脑太久，并留意手机短信。（请提前检查“政采云”内，关于‘项目采购’的岗位权限是否已勾选上。如有问题，请致电400-881-7190）。</w:t>
            </w:r>
          </w:p>
          <w:p>
            <w:pPr>
              <w:rPr>
                <w:rFonts w:ascii="宋体"/>
                <w:color w:val="auto"/>
                <w:sz w:val="22"/>
              </w:rPr>
            </w:pPr>
            <w:r>
              <w:rPr>
                <w:rFonts w:hint="eastAsia" w:ascii="宋体"/>
                <w:color w:val="auto"/>
                <w:sz w:val="22"/>
              </w:rPr>
              <w:t>（二）电子招投标开标及评审程序</w:t>
            </w:r>
          </w:p>
          <w:p>
            <w:pPr>
              <w:rPr>
                <w:rFonts w:ascii="宋体"/>
                <w:color w:val="auto"/>
                <w:sz w:val="22"/>
              </w:rPr>
            </w:pPr>
            <w:r>
              <w:rPr>
                <w:rFonts w:hint="eastAsia" w:ascii="宋体"/>
                <w:color w:val="auto"/>
                <w:sz w:val="22"/>
              </w:rPr>
              <w:t>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pPr>
              <w:rPr>
                <w:rFonts w:ascii="宋体"/>
                <w:color w:val="auto"/>
                <w:sz w:val="22"/>
              </w:rPr>
            </w:pPr>
            <w:r>
              <w:rPr>
                <w:rFonts w:hint="eastAsia" w:ascii="宋体"/>
                <w:color w:val="auto"/>
                <w:sz w:val="22"/>
              </w:rPr>
              <w:t>2、投标文件解密结束，开启响应文件，磋商小组对资格和商务技术响应文件进行评审；</w:t>
            </w:r>
          </w:p>
          <w:p>
            <w:pPr>
              <w:rPr>
                <w:rFonts w:ascii="宋体"/>
                <w:color w:val="auto"/>
                <w:sz w:val="22"/>
              </w:rPr>
            </w:pPr>
            <w:r>
              <w:rPr>
                <w:rFonts w:hint="eastAsia" w:ascii="宋体"/>
                <w:color w:val="auto"/>
                <w:sz w:val="22"/>
              </w:rPr>
              <w:t>3、供应商按签到的前后顺序决定磋商的顺序，就价格、服务等认为需要磋商的内容进行磋商，供应商逐家回答磋商小组的提问，响应人作出最终承诺和最终报价。</w:t>
            </w:r>
          </w:p>
          <w:p>
            <w:pPr>
              <w:rPr>
                <w:rFonts w:ascii="宋体"/>
                <w:color w:val="auto"/>
                <w:sz w:val="22"/>
              </w:rPr>
            </w:pPr>
            <w:r>
              <w:rPr>
                <w:rFonts w:hint="eastAsia" w:ascii="宋体"/>
                <w:color w:val="auto"/>
                <w:sz w:val="22"/>
              </w:rPr>
              <w:t>4、在系统上公开资格和商务技术评审结果；</w:t>
            </w:r>
          </w:p>
          <w:p>
            <w:pPr>
              <w:rPr>
                <w:rFonts w:ascii="宋体"/>
                <w:color w:val="auto"/>
                <w:sz w:val="22"/>
              </w:rPr>
            </w:pPr>
            <w:r>
              <w:rPr>
                <w:rFonts w:hint="eastAsia" w:ascii="宋体"/>
                <w:color w:val="auto"/>
                <w:sz w:val="22"/>
              </w:rPr>
              <w:t>5.在系统上录入最终报价情况；</w:t>
            </w:r>
          </w:p>
          <w:p>
            <w:pPr>
              <w:rPr>
                <w:rFonts w:ascii="宋体"/>
                <w:color w:val="auto"/>
                <w:sz w:val="22"/>
              </w:rPr>
            </w:pPr>
            <w:r>
              <w:rPr>
                <w:rFonts w:hint="eastAsia" w:ascii="宋体"/>
                <w:color w:val="auto"/>
                <w:sz w:val="22"/>
              </w:rPr>
              <w:t>6.磋商小组对报价情况进行评审；</w:t>
            </w:r>
          </w:p>
          <w:p>
            <w:pPr>
              <w:rPr>
                <w:rFonts w:ascii="宋体"/>
                <w:color w:val="auto"/>
                <w:sz w:val="22"/>
              </w:rPr>
            </w:pPr>
            <w:r>
              <w:rPr>
                <w:rFonts w:hint="eastAsia" w:ascii="宋体"/>
                <w:color w:val="auto"/>
                <w:sz w:val="22"/>
              </w:rPr>
              <w:t>7.在系统上公布评审结果。</w:t>
            </w:r>
          </w:p>
          <w:p>
            <w:pPr>
              <w:rPr>
                <w:rFonts w:ascii="宋体"/>
                <w:color w:val="auto"/>
                <w:sz w:val="22"/>
              </w:rPr>
            </w:pPr>
            <w:r>
              <w:rPr>
                <w:rFonts w:hint="eastAsia" w:ascii="宋体"/>
                <w:b/>
                <w:bCs/>
                <w:color w:val="auto"/>
                <w:sz w:val="22"/>
              </w:rPr>
              <w:t>特别说明：政采云公司如对电子化开标及评审程序有调整的，按调整后的程序操作。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rPr>
            </w:pPr>
          </w:p>
        </w:tc>
        <w:tc>
          <w:tcPr>
            <w:tcW w:w="1600" w:type="dxa"/>
            <w:vAlign w:val="center"/>
          </w:tcPr>
          <w:p>
            <w:pPr>
              <w:jc w:val="center"/>
              <w:rPr>
                <w:rFonts w:ascii="宋体" w:cs="Arial"/>
                <w:color w:val="auto"/>
                <w:sz w:val="22"/>
              </w:rPr>
            </w:pPr>
            <w:r>
              <w:rPr>
                <w:rFonts w:hint="eastAsia" w:ascii="宋体" w:cs="Arial"/>
                <w:color w:val="auto"/>
                <w:sz w:val="22"/>
              </w:rPr>
              <w:t>评审小组的</w:t>
            </w:r>
          </w:p>
          <w:p>
            <w:pPr>
              <w:jc w:val="center"/>
              <w:rPr>
                <w:rFonts w:ascii="宋体" w:cs="Arial"/>
                <w:color w:val="auto"/>
                <w:sz w:val="22"/>
              </w:rPr>
            </w:pPr>
            <w:r>
              <w:rPr>
                <w:rFonts w:hint="eastAsia" w:ascii="宋体" w:cs="Arial"/>
                <w:color w:val="auto"/>
                <w:sz w:val="22"/>
              </w:rPr>
              <w:t>组建</w:t>
            </w:r>
          </w:p>
        </w:tc>
        <w:tc>
          <w:tcPr>
            <w:tcW w:w="7619" w:type="dxa"/>
            <w:vAlign w:val="center"/>
          </w:tcPr>
          <w:p>
            <w:pPr>
              <w:rPr>
                <w:rFonts w:ascii="宋体" w:cs="Arial"/>
                <w:color w:val="auto"/>
                <w:sz w:val="22"/>
              </w:rPr>
            </w:pPr>
            <w:r>
              <w:rPr>
                <w:rFonts w:hint="eastAsia" w:ascii="宋体" w:cs="Arial"/>
                <w:color w:val="auto"/>
                <w:sz w:val="22"/>
              </w:rPr>
              <w:t>评审小组构成：</w:t>
            </w:r>
            <w:r>
              <w:rPr>
                <w:rFonts w:ascii="宋体" w:cs="Arial"/>
                <w:color w:val="auto"/>
                <w:sz w:val="22"/>
              </w:rPr>
              <w:t xml:space="preserve"> </w:t>
            </w:r>
            <w:r>
              <w:rPr>
                <w:rFonts w:hint="eastAsia" w:ascii="宋体" w:cs="Arial"/>
                <w:color w:val="auto"/>
                <w:sz w:val="22"/>
              </w:rPr>
              <w:t>由采购单位代表以及有关技术、经济等方面的专家组成，成员为3人及以上单数，其中技术、经济类专家不得少于总人数的</w:t>
            </w:r>
            <w:r>
              <w:rPr>
                <w:rFonts w:ascii="宋体" w:cs="Arial"/>
                <w:color w:val="auto"/>
                <w:sz w:val="22"/>
              </w:rPr>
              <w:t>2/3</w:t>
            </w:r>
            <w:r>
              <w:rPr>
                <w:rFonts w:hint="eastAsia" w:ascii="宋体" w:cs="Arial"/>
                <w:color w:val="auto"/>
                <w:sz w:val="22"/>
              </w:rPr>
              <w:t>；评标专家确定方式：按相关规定从专家库中抽取。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37"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rPr>
            </w:pPr>
          </w:p>
        </w:tc>
        <w:tc>
          <w:tcPr>
            <w:tcW w:w="1600" w:type="dxa"/>
            <w:vAlign w:val="center"/>
          </w:tcPr>
          <w:p>
            <w:pPr>
              <w:adjustRightInd w:val="0"/>
              <w:jc w:val="center"/>
              <w:rPr>
                <w:rFonts w:ascii="宋体"/>
                <w:color w:val="auto"/>
                <w:sz w:val="22"/>
              </w:rPr>
            </w:pPr>
            <w:r>
              <w:rPr>
                <w:rFonts w:hint="eastAsia" w:ascii="宋体"/>
                <w:color w:val="auto"/>
                <w:sz w:val="22"/>
              </w:rPr>
              <w:t>政府采购</w:t>
            </w:r>
          </w:p>
          <w:p>
            <w:pPr>
              <w:adjustRightInd w:val="0"/>
              <w:jc w:val="center"/>
              <w:rPr>
                <w:rFonts w:ascii="宋体"/>
                <w:color w:val="auto"/>
                <w:sz w:val="22"/>
              </w:rPr>
            </w:pPr>
            <w:r>
              <w:rPr>
                <w:rFonts w:hint="eastAsia" w:ascii="宋体"/>
                <w:color w:val="auto"/>
                <w:sz w:val="22"/>
              </w:rPr>
              <w:t>扶持政策</w:t>
            </w:r>
          </w:p>
        </w:tc>
        <w:tc>
          <w:tcPr>
            <w:tcW w:w="7619" w:type="dxa"/>
            <w:vAlign w:val="center"/>
          </w:tcPr>
          <w:p>
            <w:pPr>
              <w:rPr>
                <w:rFonts w:ascii="宋体"/>
                <w:color w:val="auto"/>
                <w:sz w:val="22"/>
              </w:rPr>
            </w:pPr>
            <w:r>
              <w:rPr>
                <w:rFonts w:hint="eastAsia" w:ascii="宋体" w:cs="Arial"/>
                <w:color w:val="auto"/>
                <w:sz w:val="22"/>
              </w:rPr>
              <w:t>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rPr>
            </w:pPr>
          </w:p>
        </w:tc>
        <w:tc>
          <w:tcPr>
            <w:tcW w:w="1600" w:type="dxa"/>
            <w:vAlign w:val="center"/>
          </w:tcPr>
          <w:p>
            <w:pPr>
              <w:jc w:val="center"/>
              <w:rPr>
                <w:rFonts w:ascii="宋体" w:cs="Arial"/>
                <w:color w:val="auto"/>
                <w:sz w:val="22"/>
              </w:rPr>
            </w:pPr>
            <w:r>
              <w:rPr>
                <w:rFonts w:hint="eastAsia" w:ascii="宋体" w:cs="Arial"/>
                <w:color w:val="auto"/>
                <w:sz w:val="22"/>
              </w:rPr>
              <w:t>供应商信用查询</w:t>
            </w:r>
          </w:p>
        </w:tc>
        <w:tc>
          <w:tcPr>
            <w:tcW w:w="7619" w:type="dxa"/>
            <w:vAlign w:val="center"/>
          </w:tcPr>
          <w:p>
            <w:pPr>
              <w:rPr>
                <w:rFonts w:ascii="宋体" w:cs="Arial"/>
                <w:color w:val="auto"/>
                <w:sz w:val="22"/>
              </w:rPr>
            </w:pPr>
            <w:r>
              <w:rPr>
                <w:rFonts w:ascii="宋体" w:cs="Arial"/>
                <w:color w:val="auto"/>
                <w:sz w:val="22"/>
              </w:rPr>
              <w:t>1</w:t>
            </w:r>
            <w:r>
              <w:rPr>
                <w:rFonts w:hint="eastAsia" w:ascii="宋体" w:cs="Arial"/>
                <w:color w:val="auto"/>
                <w:sz w:val="22"/>
              </w:rPr>
              <w:t>、投标供应商信用信息查询的查询渠道：“信用中国”(</w:t>
            </w:r>
            <w:r>
              <w:rPr>
                <w:color w:val="auto"/>
              </w:rPr>
              <w:fldChar w:fldCharType="begin"/>
            </w:r>
            <w:r>
              <w:rPr>
                <w:color w:val="auto"/>
              </w:rPr>
              <w:instrText xml:space="preserve"> HYPERLINK "http://www.creditchina.gov.cn" </w:instrText>
            </w:r>
            <w:r>
              <w:rPr>
                <w:color w:val="auto"/>
              </w:rPr>
              <w:fldChar w:fldCharType="separate"/>
            </w:r>
            <w:r>
              <w:rPr>
                <w:rFonts w:hint="eastAsia" w:ascii="宋体" w:cs="Arial"/>
                <w:color w:val="auto"/>
                <w:sz w:val="22"/>
              </w:rPr>
              <w:t>www.creditchina.gov.cn</w:t>
            </w:r>
            <w:r>
              <w:rPr>
                <w:rFonts w:hint="eastAsia" w:ascii="宋体" w:cs="Arial"/>
                <w:color w:val="auto"/>
                <w:sz w:val="22"/>
              </w:rPr>
              <w:fldChar w:fldCharType="end"/>
            </w:r>
            <w:r>
              <w:rPr>
                <w:rFonts w:hint="eastAsia" w:ascii="宋体" w:cs="Arial"/>
                <w:color w:val="auto"/>
                <w:sz w:val="22"/>
              </w:rPr>
              <w:t>)；“中国政府采购网”（http://www.ccgp.gov.cn/）；</w:t>
            </w:r>
          </w:p>
          <w:p>
            <w:pPr>
              <w:rPr>
                <w:rFonts w:ascii="宋体" w:cs="Arial"/>
                <w:color w:val="auto"/>
                <w:sz w:val="22"/>
              </w:rPr>
            </w:pPr>
            <w:r>
              <w:rPr>
                <w:rFonts w:hint="eastAsia" w:ascii="宋体" w:cs="Arial"/>
                <w:color w:val="auto"/>
                <w:sz w:val="22"/>
              </w:rPr>
              <w:t>2、投标供应商信用信息查询截止时点：本项目投标截止时间。</w:t>
            </w:r>
          </w:p>
          <w:p>
            <w:pPr>
              <w:rPr>
                <w:rFonts w:ascii="宋体" w:cs="Arial"/>
                <w:color w:val="auto"/>
                <w:sz w:val="22"/>
              </w:rPr>
            </w:pPr>
            <w:r>
              <w:rPr>
                <w:rFonts w:ascii="宋体" w:cs="Arial"/>
                <w:color w:val="auto"/>
                <w:sz w:val="22"/>
              </w:rPr>
              <w:t>3</w:t>
            </w:r>
            <w:r>
              <w:rPr>
                <w:rFonts w:hint="eastAsia" w:ascii="宋体" w:cs="Arial"/>
                <w:color w:val="auto"/>
                <w:sz w:val="22"/>
              </w:rPr>
              <w:t>、投标供应商信用信息查询记录和证据留存的具体方式：网页截图打印；</w:t>
            </w:r>
          </w:p>
          <w:p>
            <w:pPr>
              <w:rPr>
                <w:rFonts w:ascii="宋体" w:cs="Arial"/>
                <w:color w:val="auto"/>
                <w:sz w:val="22"/>
              </w:rPr>
            </w:pPr>
            <w:r>
              <w:rPr>
                <w:rFonts w:ascii="宋体" w:cs="Arial"/>
                <w:color w:val="auto"/>
                <w:sz w:val="22"/>
              </w:rPr>
              <w:t>4</w:t>
            </w:r>
            <w:r>
              <w:rPr>
                <w:rFonts w:hint="eastAsia" w:ascii="宋体" w:cs="Arial"/>
                <w:color w:val="auto"/>
                <w:sz w:val="22"/>
              </w:rPr>
              <w:t>、信用信息的使用规则：“信用中国”具有负面记录或受惩黑名单的供应商，或“中国政府采购网”具有严重违法失信行为信息记录的供应商，其投标做无效投标处理；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rPr>
            </w:pPr>
          </w:p>
        </w:tc>
        <w:tc>
          <w:tcPr>
            <w:tcW w:w="1600" w:type="dxa"/>
            <w:vAlign w:val="center"/>
          </w:tcPr>
          <w:p>
            <w:pPr>
              <w:jc w:val="center"/>
              <w:rPr>
                <w:rFonts w:ascii="宋体" w:cs="Arial"/>
                <w:color w:val="auto"/>
                <w:sz w:val="22"/>
              </w:rPr>
            </w:pPr>
            <w:r>
              <w:rPr>
                <w:rFonts w:hint="eastAsia" w:ascii="宋体" w:cs="Arial"/>
                <w:color w:val="auto"/>
                <w:sz w:val="22"/>
              </w:rPr>
              <w:t>合同备案</w:t>
            </w:r>
          </w:p>
        </w:tc>
        <w:tc>
          <w:tcPr>
            <w:tcW w:w="7619" w:type="dxa"/>
            <w:vAlign w:val="center"/>
          </w:tcPr>
          <w:p>
            <w:pPr>
              <w:rPr>
                <w:rFonts w:ascii="宋体" w:eastAsia="宋体" w:cs="Arial"/>
                <w:color w:val="auto"/>
                <w:sz w:val="22"/>
                <w:szCs w:val="22"/>
              </w:rPr>
            </w:pPr>
            <w:r>
              <w:rPr>
                <w:rFonts w:hint="eastAsia" w:ascii="宋体" w:cs="Arial"/>
                <w:color w:val="auto"/>
                <w:sz w:val="22"/>
              </w:rPr>
              <w:t>1、中标供应商须在发出中标通知书之日起30日历天内与采购单位签订合同。</w:t>
            </w:r>
          </w:p>
          <w:p>
            <w:pPr>
              <w:rPr>
                <w:rFonts w:ascii="宋体" w:cs="Arial"/>
                <w:color w:val="auto"/>
                <w:sz w:val="22"/>
              </w:rPr>
            </w:pPr>
            <w:r>
              <w:rPr>
                <w:rFonts w:hint="eastAsia" w:ascii="宋体" w:cs="Arial"/>
                <w:color w:val="auto"/>
                <w:sz w:val="22"/>
              </w:rPr>
              <w:t>2、中标供应商与采购单位签订合同后，2日历天内将合同原件交代理机构备案。</w:t>
            </w:r>
            <w:r>
              <w:rPr>
                <w:rFonts w:hint="eastAsia" w:ascii="宋体" w:cs="Arial"/>
                <w:b/>
                <w:bCs/>
                <w:color w:val="auto"/>
                <w:sz w:val="22"/>
              </w:rPr>
              <w:t>合同原件扫描件电子版（邮件注明项目名称）发给泰顺县公共资源交易中心</w:t>
            </w:r>
          </w:p>
          <w:p>
            <w:pPr>
              <w:rPr>
                <w:rFonts w:ascii="宋体" w:cs="Arial"/>
                <w:color w:val="auto"/>
                <w:sz w:val="22"/>
              </w:rPr>
            </w:pPr>
            <w:r>
              <w:rPr>
                <w:rFonts w:hint="eastAsia" w:ascii="宋体" w:cs="Arial"/>
                <w:color w:val="auto"/>
                <w:sz w:val="22"/>
              </w:rPr>
              <w:t>3、本项目政府采购合同按规定在</w:t>
            </w:r>
            <w:r>
              <w:rPr>
                <w:rFonts w:hint="eastAsia"/>
                <w:color w:val="auto"/>
                <w:sz w:val="22"/>
              </w:rPr>
              <w:t>浙江政府采购网（http://www.zcygov.cn/）</w:t>
            </w:r>
            <w:r>
              <w:rPr>
                <w:rFonts w:hint="eastAsia" w:ascii="宋体" w:cs="Arial"/>
                <w:color w:val="auto"/>
                <w:sz w:val="22"/>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rPr>
            </w:pPr>
          </w:p>
        </w:tc>
        <w:tc>
          <w:tcPr>
            <w:tcW w:w="1600" w:type="dxa"/>
            <w:vAlign w:val="center"/>
          </w:tcPr>
          <w:p>
            <w:pPr>
              <w:jc w:val="center"/>
              <w:rPr>
                <w:rFonts w:ascii="宋体"/>
                <w:color w:val="auto"/>
                <w:sz w:val="22"/>
              </w:rPr>
            </w:pPr>
            <w:r>
              <w:rPr>
                <w:rFonts w:hint="eastAsia" w:ascii="宋体"/>
                <w:color w:val="auto"/>
                <w:sz w:val="22"/>
              </w:rPr>
              <w:t>合同履约管理</w:t>
            </w:r>
          </w:p>
        </w:tc>
        <w:tc>
          <w:tcPr>
            <w:tcW w:w="7619" w:type="dxa"/>
            <w:vAlign w:val="center"/>
          </w:tcPr>
          <w:p>
            <w:pPr>
              <w:rPr>
                <w:rFonts w:ascii="宋体" w:cs="Arial"/>
                <w:color w:val="auto"/>
                <w:sz w:val="22"/>
              </w:rPr>
            </w:pPr>
            <w:r>
              <w:rPr>
                <w:rFonts w:hint="eastAsia" w:ascii="宋体" w:cs="Arial"/>
                <w:color w:val="auto"/>
                <w:sz w:val="22"/>
              </w:rPr>
              <w:t>合同签订后，采购单位依法加强对合同履约进行管理，并在成交单位供货、项目验收等重要关节，如实填写《合同验收报告》（表附合同条款中），并及时向同级财政部门报告验收过程中遇到的问题。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rPr>
            </w:pPr>
          </w:p>
        </w:tc>
        <w:tc>
          <w:tcPr>
            <w:tcW w:w="1600" w:type="dxa"/>
            <w:vAlign w:val="center"/>
          </w:tcPr>
          <w:p>
            <w:pPr>
              <w:jc w:val="center"/>
              <w:rPr>
                <w:rFonts w:ascii="宋体"/>
                <w:color w:val="auto"/>
                <w:sz w:val="22"/>
              </w:rPr>
            </w:pPr>
            <w:r>
              <w:rPr>
                <w:rFonts w:hint="eastAsia" w:ascii="宋体"/>
                <w:color w:val="auto"/>
                <w:sz w:val="22"/>
              </w:rPr>
              <w:t>免责声明</w:t>
            </w:r>
          </w:p>
        </w:tc>
        <w:tc>
          <w:tcPr>
            <w:tcW w:w="7619" w:type="dxa"/>
            <w:vAlign w:val="center"/>
          </w:tcPr>
          <w:p>
            <w:pPr>
              <w:rPr>
                <w:rFonts w:ascii="宋体" w:cs="Arial"/>
                <w:color w:val="auto"/>
                <w:sz w:val="22"/>
              </w:rPr>
            </w:pPr>
            <w:r>
              <w:rPr>
                <w:rFonts w:ascii="宋体" w:cs="Arial"/>
                <w:color w:val="auto"/>
                <w:sz w:val="22"/>
              </w:rPr>
              <w:t>1</w:t>
            </w:r>
            <w:r>
              <w:rPr>
                <w:rFonts w:hint="eastAsia" w:ascii="宋体" w:cs="Arial"/>
                <w:color w:val="auto"/>
                <w:sz w:val="22"/>
              </w:rPr>
              <w:t>、投标供应商自行承担投标过程中产生的费用。无论何种因素导致采购项目延期开标、废标（流标）、投标供应商未成交、项目终止采购的，采购单位与代理机构均不承担供应商投标费用。</w:t>
            </w:r>
          </w:p>
          <w:p>
            <w:pPr>
              <w:rPr>
                <w:rFonts w:ascii="宋体" w:cs="Arial"/>
                <w:color w:val="auto"/>
                <w:sz w:val="22"/>
              </w:rPr>
            </w:pPr>
            <w:r>
              <w:rPr>
                <w:rFonts w:ascii="宋体" w:cs="Arial"/>
                <w:color w:val="auto"/>
                <w:sz w:val="22"/>
              </w:rPr>
              <w:t>2</w:t>
            </w:r>
            <w:r>
              <w:rPr>
                <w:rFonts w:hint="eastAsia" w:ascii="宋体" w:cs="Arial"/>
                <w:color w:val="auto"/>
                <w:sz w:val="22"/>
              </w:rPr>
              <w:t>、投标供应商在投标、合同履行过程中必须做好安全保障工作，不因项目实施而危及自身及第三方人员、财产安全。若发生任何安全事故，由成交供应商自行承担一切责任并赔偿损失。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rPr>
            </w:pPr>
          </w:p>
        </w:tc>
        <w:tc>
          <w:tcPr>
            <w:tcW w:w="1600" w:type="dxa"/>
            <w:vAlign w:val="center"/>
          </w:tcPr>
          <w:p>
            <w:pPr>
              <w:jc w:val="center"/>
              <w:rPr>
                <w:rFonts w:ascii="宋体" w:cs="Arial"/>
                <w:color w:val="auto"/>
                <w:sz w:val="22"/>
              </w:rPr>
            </w:pPr>
            <w:r>
              <w:rPr>
                <w:rFonts w:hint="eastAsia" w:ascii="宋体" w:cs="Arial"/>
                <w:color w:val="auto"/>
                <w:sz w:val="22"/>
              </w:rPr>
              <w:t>解释权</w:t>
            </w:r>
          </w:p>
        </w:tc>
        <w:tc>
          <w:tcPr>
            <w:tcW w:w="7619" w:type="dxa"/>
            <w:vAlign w:val="center"/>
          </w:tcPr>
          <w:p>
            <w:pPr>
              <w:rPr>
                <w:rFonts w:ascii="宋体" w:cs="Arial"/>
                <w:color w:val="auto"/>
                <w:sz w:val="22"/>
              </w:rPr>
            </w:pPr>
            <w:r>
              <w:rPr>
                <w:rFonts w:hint="eastAsia" w:ascii="宋体" w:cs="Arial"/>
                <w:color w:val="auto"/>
                <w:sz w:val="22"/>
              </w:rPr>
              <w:t>构成本竞争性磋商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响应文件格式的先后顺序解释；同一文件中就同一事项的约定不一致的，以逻辑顺序在后者为准；同一文件不同版本之间有不一致的，以形成时间在后者为准。按本款前述约定仍不能形成结论的，由招标代理机构或采购单位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auto"/>
                <w:sz w:val="22"/>
              </w:rPr>
            </w:pPr>
          </w:p>
        </w:tc>
        <w:tc>
          <w:tcPr>
            <w:tcW w:w="1600" w:type="dxa"/>
            <w:vAlign w:val="center"/>
          </w:tcPr>
          <w:p>
            <w:pPr>
              <w:jc w:val="center"/>
              <w:rPr>
                <w:rFonts w:ascii="宋体" w:cs="Arial"/>
                <w:color w:val="auto"/>
                <w:sz w:val="22"/>
              </w:rPr>
            </w:pPr>
            <w:r>
              <w:rPr>
                <w:rFonts w:hint="eastAsia" w:ascii="宋体" w:cs="Arial"/>
                <w:color w:val="auto"/>
                <w:sz w:val="22"/>
                <w:szCs w:val="22"/>
              </w:rPr>
              <w:t>注意事项</w:t>
            </w:r>
          </w:p>
        </w:tc>
        <w:tc>
          <w:tcPr>
            <w:tcW w:w="7619" w:type="dxa"/>
            <w:vAlign w:val="center"/>
          </w:tcPr>
          <w:p>
            <w:pPr>
              <w:rPr>
                <w:rFonts w:ascii="宋体" w:cs="Arial"/>
                <w:color w:val="auto"/>
                <w:sz w:val="22"/>
                <w:szCs w:val="22"/>
              </w:rPr>
            </w:pPr>
            <w:r>
              <w:rPr>
                <w:rFonts w:hint="eastAsia" w:ascii="宋体" w:cs="Arial"/>
                <w:color w:val="auto"/>
                <w:sz w:val="22"/>
                <w:szCs w:val="22"/>
              </w:rPr>
              <w:t>1、请务必确保投标文件制作客户端为最新版本，旧版本可能导致投标文件解密失败。</w:t>
            </w:r>
          </w:p>
          <w:p>
            <w:pPr>
              <w:rPr>
                <w:rFonts w:ascii="宋体" w:cs="Arial"/>
                <w:color w:val="auto"/>
                <w:sz w:val="22"/>
              </w:rPr>
            </w:pPr>
            <w:r>
              <w:rPr>
                <w:rFonts w:hint="eastAsia" w:ascii="宋体" w:cs="Arial"/>
                <w:color w:val="auto"/>
                <w:sz w:val="22"/>
                <w:szCs w:val="22"/>
              </w:rPr>
              <w:t>2、请务必确保投标文件制作时所用的 CA 锁与投标文件解密时的 CA 锁为同一把，否则可能导致投标文件解密失败。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bottom w:val="single" w:color="auto" w:sz="12" w:space="0"/>
            </w:tcBorders>
            <w:vAlign w:val="center"/>
          </w:tcPr>
          <w:p>
            <w:pPr>
              <w:widowControl/>
              <w:numPr>
                <w:ilvl w:val="0"/>
                <w:numId w:val="6"/>
              </w:numPr>
              <w:tabs>
                <w:tab w:val="left" w:pos="432"/>
              </w:tabs>
              <w:ind w:left="420" w:hanging="420"/>
              <w:jc w:val="right"/>
              <w:rPr>
                <w:rFonts w:ascii="宋体" w:eastAsia="Times New Roman"/>
                <w:color w:val="auto"/>
                <w:sz w:val="22"/>
              </w:rPr>
            </w:pPr>
          </w:p>
        </w:tc>
        <w:tc>
          <w:tcPr>
            <w:tcW w:w="1600" w:type="dxa"/>
            <w:tcBorders>
              <w:bottom w:val="single" w:color="auto" w:sz="12" w:space="0"/>
            </w:tcBorders>
            <w:vAlign w:val="center"/>
          </w:tcPr>
          <w:p>
            <w:pPr>
              <w:jc w:val="center"/>
              <w:rPr>
                <w:rFonts w:ascii="宋体" w:cs="Arial"/>
                <w:color w:val="auto"/>
                <w:sz w:val="22"/>
                <w:szCs w:val="22"/>
              </w:rPr>
            </w:pPr>
            <w:r>
              <w:rPr>
                <w:rStyle w:val="31"/>
                <w:rFonts w:hint="eastAsia" w:ascii="宋体" w:hAnsi="宋体" w:eastAsia="宋体" w:cs="宋体"/>
                <w:color w:val="auto"/>
                <w:sz w:val="22"/>
                <w:shd w:val="clear" w:color="auto" w:fill="FFFFFF"/>
              </w:rPr>
              <w:t>其他补充事宜</w:t>
            </w:r>
            <w:r>
              <w:rPr>
                <w:rFonts w:hint="eastAsia" w:ascii="宋体" w:hAnsi="宋体" w:eastAsia="宋体" w:cs="宋体"/>
                <w:color w:val="auto"/>
                <w:sz w:val="22"/>
                <w:shd w:val="clear" w:color="auto" w:fill="FFFFFF"/>
              </w:rPr>
              <w:t> </w:t>
            </w:r>
          </w:p>
        </w:tc>
        <w:tc>
          <w:tcPr>
            <w:tcW w:w="7619" w:type="dxa"/>
            <w:tcBorders>
              <w:bottom w:val="single" w:color="auto" w:sz="12" w:space="0"/>
            </w:tcBorders>
            <w:vAlign w:val="center"/>
          </w:tcPr>
          <w:p>
            <w:pPr>
              <w:rPr>
                <w:rFonts w:ascii="宋体" w:cs="Arial"/>
                <w:color w:val="auto"/>
                <w:sz w:val="22"/>
                <w:szCs w:val="22"/>
              </w:rPr>
            </w:pPr>
            <w:r>
              <w:rPr>
                <w:rFonts w:hint="eastAsia" w:ascii="宋体" w:cs="Arial"/>
                <w:color w:val="auto"/>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rPr>
                <w:rFonts w:ascii="宋体" w:cs="Arial"/>
                <w:color w:val="auto"/>
                <w:sz w:val="22"/>
                <w:szCs w:val="22"/>
              </w:rPr>
            </w:pPr>
            <w:r>
              <w:rPr>
                <w:rFonts w:hint="eastAsia" w:ascii="宋体" w:cs="Arial"/>
                <w:color w:val="auto"/>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tc>
      </w:tr>
    </w:tbl>
    <w:p>
      <w:pPr>
        <w:rPr>
          <w:rFonts w:ascii="宋体" w:hAnsi="Calibri"/>
          <w:b/>
          <w:bCs/>
          <w:color w:val="auto"/>
          <w:sz w:val="36"/>
          <w:szCs w:val="36"/>
          <w:lang w:val="zh-CN"/>
        </w:rPr>
      </w:pPr>
      <w:r>
        <w:rPr>
          <w:rFonts w:hint="eastAsia" w:ascii="宋体" w:hAnsi="Calibri"/>
          <w:b/>
          <w:bCs/>
          <w:color w:val="auto"/>
          <w:sz w:val="36"/>
          <w:szCs w:val="36"/>
          <w:lang w:val="zh-CN"/>
        </w:rPr>
        <w:br w:type="page"/>
      </w:r>
    </w:p>
    <w:p>
      <w:pPr>
        <w:jc w:val="center"/>
        <w:rPr>
          <w:rFonts w:ascii="宋体" w:hAnsi="Calibri"/>
          <w:color w:val="auto"/>
          <w:sz w:val="36"/>
          <w:szCs w:val="36"/>
          <w:lang w:val="zh-CN"/>
        </w:rPr>
      </w:pPr>
      <w:r>
        <w:rPr>
          <w:rFonts w:hint="eastAsia" w:ascii="宋体" w:hAnsi="Calibri"/>
          <w:b/>
          <w:bCs/>
          <w:color w:val="auto"/>
          <w:sz w:val="36"/>
          <w:szCs w:val="36"/>
          <w:lang w:val="zh-CN"/>
        </w:rPr>
        <w:t>第二部分 招标内容</w:t>
      </w:r>
    </w:p>
    <w:p>
      <w:pPr>
        <w:autoSpaceDE w:val="0"/>
        <w:autoSpaceDN w:val="0"/>
        <w:adjustRightInd w:val="0"/>
        <w:snapToGrid w:val="0"/>
        <w:spacing w:line="360" w:lineRule="auto"/>
        <w:textAlignment w:val="bottom"/>
        <w:rPr>
          <w:rFonts w:ascii="宋体"/>
          <w:b/>
          <w:bCs/>
          <w:color w:val="auto"/>
          <w:sz w:val="22"/>
        </w:rPr>
      </w:pPr>
      <w:r>
        <w:rPr>
          <w:rFonts w:hint="eastAsia" w:ascii="宋体"/>
          <w:b/>
          <w:bCs/>
          <w:color w:val="auto"/>
          <w:sz w:val="22"/>
        </w:rPr>
        <w:t>一、项目背景</w:t>
      </w:r>
    </w:p>
    <w:p>
      <w:pPr>
        <w:pStyle w:val="24"/>
        <w:widowControl/>
        <w:shd w:val="clear" w:color="auto" w:fill="FFFFFF"/>
        <w:spacing w:beforeAutospacing="0" w:afterAutospacing="0" w:line="360" w:lineRule="auto"/>
        <w:ind w:firstLine="420"/>
        <w:rPr>
          <w:rFonts w:cstheme="minorBidi"/>
          <w:color w:val="auto"/>
          <w:kern w:val="2"/>
          <w:sz w:val="22"/>
          <w:szCs w:val="22"/>
        </w:rPr>
      </w:pPr>
      <w:r>
        <w:rPr>
          <w:rFonts w:hint="eastAsia" w:cstheme="minorBidi"/>
          <w:color w:val="auto"/>
          <w:kern w:val="2"/>
          <w:sz w:val="22"/>
          <w:szCs w:val="22"/>
        </w:rPr>
        <w:t>1、我县是国家生态县、国家重点生态功能区，素有“九山半水半分田”之称。土地总面积265.20万亩，其中林地面积212.67万亩、占土地总面积的80.19%，活立木蓄积量729.89万立方米，森林覆盖率达76.94%，现有松林面积154.38万亩、占林地面积的72.59%，松林是我县森林资源的主要树种，在水土保持、森林景观、生态保护中起着重要作用。</w:t>
      </w:r>
    </w:p>
    <w:p>
      <w:pPr>
        <w:pStyle w:val="24"/>
        <w:widowControl/>
        <w:shd w:val="clear" w:color="auto" w:fill="FFFFFF"/>
        <w:spacing w:beforeAutospacing="0" w:afterAutospacing="0" w:line="360" w:lineRule="auto"/>
        <w:ind w:firstLine="420"/>
        <w:rPr>
          <w:rFonts w:cstheme="minorBidi"/>
          <w:color w:val="auto"/>
          <w:kern w:val="2"/>
          <w:sz w:val="22"/>
          <w:szCs w:val="22"/>
        </w:rPr>
      </w:pPr>
      <w:r>
        <w:rPr>
          <w:rFonts w:hint="eastAsia" w:cstheme="minorBidi"/>
          <w:color w:val="auto"/>
          <w:kern w:val="2"/>
          <w:sz w:val="22"/>
          <w:szCs w:val="22"/>
        </w:rPr>
        <w:t>2、本项目将根据国家林业和草原局颁布的《松材线虫病防治技术方案（2022年版）》和浙江省防控林业植物重大疫情指挥部办公室印发的《浙江省打孔注药防治松材线虫病实施方案（2022版）》文件规定，围绕“全面清理、彻底除害、强化管理、积极保护”的防治工作思路，坚持“政府主导、属地管理、部门尽责”原则，按照“全面清、常年清、清彻底”的防控理念，以疫木清理为核心，以疫木源头管理为根本，加强组织领导，加大财政投入，落实防治责任，规范监督管理，切实提高松材线虫病防治能力，全面完成防控任务,努力遏制松材线虫病传播蔓延速度，为森林生态建设提供重要保障。</w:t>
      </w:r>
    </w:p>
    <w:p>
      <w:pPr>
        <w:autoSpaceDE w:val="0"/>
        <w:autoSpaceDN w:val="0"/>
        <w:adjustRightInd w:val="0"/>
        <w:snapToGrid w:val="0"/>
        <w:spacing w:line="360" w:lineRule="auto"/>
        <w:textAlignment w:val="bottom"/>
        <w:rPr>
          <w:rFonts w:ascii="宋体"/>
          <w:b/>
          <w:bCs/>
          <w:color w:val="auto"/>
          <w:sz w:val="22"/>
        </w:rPr>
      </w:pPr>
      <w:r>
        <w:rPr>
          <w:rFonts w:hint="eastAsia" w:ascii="宋体"/>
          <w:b/>
          <w:bCs/>
          <w:color w:val="auto"/>
          <w:sz w:val="22"/>
        </w:rPr>
        <w:t>二、采购内容及要求</w:t>
      </w:r>
    </w:p>
    <w:p>
      <w:pPr>
        <w:pStyle w:val="23"/>
        <w:adjustRightInd w:val="0"/>
        <w:spacing w:after="120" w:line="430" w:lineRule="atLeast"/>
        <w:ind w:firstLine="420" w:firstLineChars="0"/>
        <w:rPr>
          <w:rFonts w:ascii="宋体" w:hAnsi="宋体" w:eastAsia="宋体" w:cs="宋体"/>
          <w:color w:val="auto"/>
          <w:sz w:val="22"/>
          <w:szCs w:val="22"/>
        </w:rPr>
      </w:pPr>
      <w:r>
        <w:rPr>
          <w:rFonts w:hint="eastAsia" w:ascii="宋体" w:hAnsi="宋体" w:eastAsia="宋体" w:cs="宋体"/>
          <w:b/>
          <w:bCs/>
          <w:color w:val="auto"/>
          <w:sz w:val="22"/>
          <w:szCs w:val="22"/>
        </w:rPr>
        <w:t>1、采购内容：</w:t>
      </w:r>
      <w:r>
        <w:rPr>
          <w:rFonts w:hint="eastAsia" w:ascii="宋体" w:hAnsi="宋体" w:eastAsia="宋体" w:cs="宋体"/>
          <w:color w:val="auto"/>
          <w:sz w:val="22"/>
          <w:szCs w:val="22"/>
        </w:rPr>
        <w:t>松树注射免疫剂及树干打孔注药。</w:t>
      </w:r>
    </w:p>
    <w:tbl>
      <w:tblPr>
        <w:tblStyle w:val="28"/>
        <w:tblW w:w="9894" w:type="dxa"/>
        <w:tblInd w:w="-106" w:type="dxa"/>
        <w:tblLayout w:type="fixed"/>
        <w:tblCellMar>
          <w:top w:w="0" w:type="dxa"/>
          <w:left w:w="108" w:type="dxa"/>
          <w:bottom w:w="0" w:type="dxa"/>
          <w:right w:w="108" w:type="dxa"/>
        </w:tblCellMar>
      </w:tblPr>
      <w:tblGrid>
        <w:gridCol w:w="760"/>
        <w:gridCol w:w="1439"/>
        <w:gridCol w:w="1417"/>
        <w:gridCol w:w="709"/>
        <w:gridCol w:w="992"/>
        <w:gridCol w:w="1276"/>
        <w:gridCol w:w="1276"/>
        <w:gridCol w:w="2025"/>
      </w:tblGrid>
      <w:tr>
        <w:tblPrEx>
          <w:tblCellMar>
            <w:top w:w="0" w:type="dxa"/>
            <w:left w:w="108" w:type="dxa"/>
            <w:bottom w:w="0" w:type="dxa"/>
            <w:right w:w="108" w:type="dxa"/>
          </w:tblCellMar>
        </w:tblPrEx>
        <w:trPr>
          <w:trHeight w:val="458" w:hRule="atLeast"/>
        </w:trPr>
        <w:tc>
          <w:tcPr>
            <w:tcW w:w="760" w:type="dxa"/>
            <w:tcBorders>
              <w:top w:val="single" w:color="auto" w:sz="4" w:space="0"/>
              <w:left w:val="single" w:color="auto" w:sz="4" w:space="0"/>
              <w:bottom w:val="single" w:color="auto" w:sz="4" w:space="0"/>
              <w:right w:val="single" w:color="auto" w:sz="4" w:space="0"/>
            </w:tcBorders>
            <w:vAlign w:val="center"/>
          </w:tcPr>
          <w:p>
            <w:pPr>
              <w:spacing w:beforeLines="50" w:afterLines="50" w:line="400" w:lineRule="exact"/>
              <w:jc w:val="center"/>
              <w:rPr>
                <w:rFonts w:ascii="宋体" w:hAnsi="宋体" w:eastAsia="宋体" w:cs="Times New Roman"/>
                <w:color w:val="auto"/>
                <w:sz w:val="22"/>
              </w:rPr>
            </w:pPr>
            <w:r>
              <w:rPr>
                <w:rFonts w:hint="eastAsia" w:ascii="宋体" w:hAnsi="宋体" w:eastAsia="宋体" w:cs="宋体"/>
                <w:color w:val="auto"/>
                <w:sz w:val="22"/>
                <w:szCs w:val="22"/>
              </w:rPr>
              <w:t>序号</w:t>
            </w:r>
          </w:p>
        </w:tc>
        <w:tc>
          <w:tcPr>
            <w:tcW w:w="1439" w:type="dxa"/>
            <w:tcBorders>
              <w:top w:val="single" w:color="auto" w:sz="4" w:space="0"/>
              <w:left w:val="nil"/>
              <w:bottom w:val="single" w:color="auto" w:sz="4" w:space="0"/>
              <w:right w:val="single" w:color="auto" w:sz="4" w:space="0"/>
            </w:tcBorders>
            <w:vAlign w:val="center"/>
          </w:tcPr>
          <w:p>
            <w:pPr>
              <w:spacing w:beforeLines="50" w:afterLines="50" w:line="400" w:lineRule="exact"/>
              <w:jc w:val="center"/>
              <w:rPr>
                <w:rFonts w:ascii="宋体" w:hAnsi="宋体" w:eastAsia="宋体" w:cs="Times New Roman"/>
                <w:color w:val="auto"/>
                <w:sz w:val="22"/>
              </w:rPr>
            </w:pPr>
            <w:r>
              <w:rPr>
                <w:rFonts w:hint="eastAsia" w:ascii="仿宋" w:hAnsi="仿宋" w:eastAsia="仿宋" w:cs="仿宋"/>
                <w:b/>
                <w:color w:val="auto"/>
                <w:sz w:val="24"/>
              </w:rPr>
              <w:t>采购内容</w:t>
            </w:r>
          </w:p>
        </w:tc>
        <w:tc>
          <w:tcPr>
            <w:tcW w:w="1417" w:type="dxa"/>
            <w:tcBorders>
              <w:top w:val="single" w:color="auto" w:sz="4" w:space="0"/>
              <w:left w:val="nil"/>
              <w:bottom w:val="single" w:color="auto" w:sz="4" w:space="0"/>
              <w:right w:val="single" w:color="auto" w:sz="4" w:space="0"/>
            </w:tcBorders>
            <w:vAlign w:val="center"/>
          </w:tcPr>
          <w:p>
            <w:pPr>
              <w:spacing w:beforeLines="50" w:afterLines="50" w:line="400" w:lineRule="exact"/>
              <w:jc w:val="center"/>
              <w:rPr>
                <w:rFonts w:ascii="宋体" w:hAnsi="宋体" w:eastAsia="宋体" w:cs="Times New Roman"/>
                <w:color w:val="auto"/>
                <w:sz w:val="22"/>
              </w:rPr>
            </w:pPr>
            <w:r>
              <w:rPr>
                <w:rFonts w:hint="eastAsia" w:ascii="宋体" w:hAnsi="宋体" w:eastAsia="宋体" w:cs="Times New Roman"/>
                <w:color w:val="auto"/>
                <w:sz w:val="22"/>
              </w:rPr>
              <w:t>服务项</w:t>
            </w:r>
          </w:p>
        </w:tc>
        <w:tc>
          <w:tcPr>
            <w:tcW w:w="709" w:type="dxa"/>
            <w:tcBorders>
              <w:top w:val="single" w:color="auto" w:sz="4" w:space="0"/>
              <w:left w:val="nil"/>
              <w:bottom w:val="single" w:color="auto" w:sz="4" w:space="0"/>
              <w:right w:val="single" w:color="auto" w:sz="4" w:space="0"/>
            </w:tcBorders>
            <w:vAlign w:val="center"/>
          </w:tcPr>
          <w:p>
            <w:pPr>
              <w:spacing w:beforeLines="50" w:afterLines="50" w:line="400" w:lineRule="exact"/>
              <w:jc w:val="center"/>
              <w:rPr>
                <w:rFonts w:ascii="宋体" w:hAnsi="宋体" w:eastAsia="宋体" w:cs="Times New Roman"/>
                <w:color w:val="auto"/>
                <w:sz w:val="22"/>
              </w:rPr>
            </w:pPr>
            <w:r>
              <w:rPr>
                <w:rFonts w:hint="eastAsia" w:ascii="仿宋" w:hAnsi="仿宋" w:eastAsia="仿宋" w:cs="仿宋"/>
                <w:b/>
                <w:color w:val="auto"/>
                <w:sz w:val="24"/>
              </w:rPr>
              <w:t>单位</w:t>
            </w:r>
          </w:p>
        </w:tc>
        <w:tc>
          <w:tcPr>
            <w:tcW w:w="992" w:type="dxa"/>
            <w:tcBorders>
              <w:top w:val="single" w:color="auto" w:sz="4" w:space="0"/>
              <w:left w:val="nil"/>
              <w:bottom w:val="single" w:color="auto" w:sz="4" w:space="0"/>
              <w:right w:val="single" w:color="auto" w:sz="4" w:space="0"/>
            </w:tcBorders>
            <w:vAlign w:val="center"/>
          </w:tcPr>
          <w:p>
            <w:pPr>
              <w:spacing w:beforeLines="50" w:afterLines="50" w:line="400" w:lineRule="exact"/>
              <w:jc w:val="center"/>
              <w:rPr>
                <w:rFonts w:ascii="宋体" w:hAnsi="宋体" w:eastAsia="宋体" w:cs="Times New Roman"/>
                <w:color w:val="auto"/>
                <w:sz w:val="22"/>
              </w:rPr>
            </w:pPr>
            <w:r>
              <w:rPr>
                <w:rFonts w:hint="eastAsia" w:ascii="宋体" w:hAnsi="宋体" w:eastAsia="宋体" w:cs="宋体"/>
                <w:color w:val="auto"/>
                <w:sz w:val="22"/>
                <w:szCs w:val="22"/>
              </w:rPr>
              <w:t>数量</w:t>
            </w:r>
          </w:p>
        </w:tc>
        <w:tc>
          <w:tcPr>
            <w:tcW w:w="1276" w:type="dxa"/>
            <w:tcBorders>
              <w:top w:val="single" w:color="auto" w:sz="4" w:space="0"/>
              <w:left w:val="nil"/>
              <w:bottom w:val="single" w:color="auto" w:sz="4" w:space="0"/>
              <w:right w:val="single" w:color="auto" w:sz="4" w:space="0"/>
            </w:tcBorders>
            <w:vAlign w:val="center"/>
          </w:tcPr>
          <w:p>
            <w:pPr>
              <w:spacing w:line="324" w:lineRule="auto"/>
              <w:jc w:val="center"/>
              <w:rPr>
                <w:rFonts w:hint="eastAsia" w:ascii="仿宋" w:hAnsi="仿宋" w:eastAsia="仿宋" w:cs="仿宋"/>
                <w:b/>
                <w:color w:val="auto"/>
                <w:kern w:val="0"/>
                <w:sz w:val="24"/>
              </w:rPr>
            </w:pPr>
            <w:r>
              <w:rPr>
                <w:rFonts w:hint="eastAsia" w:ascii="仿宋" w:hAnsi="仿宋" w:eastAsia="仿宋" w:cs="仿宋"/>
                <w:b/>
                <w:color w:val="auto"/>
                <w:kern w:val="0"/>
                <w:sz w:val="24"/>
              </w:rPr>
              <w:t>综合单价</w:t>
            </w:r>
          </w:p>
          <w:p>
            <w:pPr>
              <w:spacing w:beforeLines="50" w:afterLines="50" w:line="400" w:lineRule="exact"/>
              <w:jc w:val="center"/>
              <w:rPr>
                <w:rFonts w:ascii="宋体" w:hAnsi="宋体" w:eastAsia="宋体" w:cs="Times New Roman"/>
                <w:color w:val="auto"/>
                <w:sz w:val="22"/>
              </w:rPr>
            </w:pPr>
            <w:r>
              <w:rPr>
                <w:rFonts w:hint="eastAsia" w:ascii="仿宋" w:hAnsi="仿宋" w:eastAsia="仿宋" w:cs="仿宋"/>
                <w:b/>
                <w:color w:val="auto"/>
                <w:kern w:val="0"/>
                <w:sz w:val="24"/>
              </w:rPr>
              <w:t>最高限价</w:t>
            </w:r>
          </w:p>
        </w:tc>
        <w:tc>
          <w:tcPr>
            <w:tcW w:w="1276" w:type="dxa"/>
            <w:tcBorders>
              <w:top w:val="single" w:color="auto" w:sz="4" w:space="0"/>
              <w:left w:val="nil"/>
              <w:bottom w:val="single" w:color="auto" w:sz="4" w:space="0"/>
              <w:right w:val="single" w:color="auto" w:sz="4" w:space="0"/>
            </w:tcBorders>
            <w:vAlign w:val="center"/>
          </w:tcPr>
          <w:p>
            <w:pPr>
              <w:spacing w:beforeLines="50" w:afterLines="50" w:line="400" w:lineRule="exact"/>
              <w:jc w:val="center"/>
              <w:rPr>
                <w:rFonts w:ascii="宋体" w:hAnsi="宋体" w:eastAsia="宋体" w:cs="宋体"/>
                <w:color w:val="auto"/>
                <w:sz w:val="22"/>
                <w:szCs w:val="22"/>
              </w:rPr>
            </w:pPr>
            <w:r>
              <w:rPr>
                <w:rFonts w:hint="eastAsia" w:ascii="仿宋" w:hAnsi="仿宋" w:eastAsia="仿宋" w:cs="仿宋"/>
                <w:b/>
                <w:color w:val="auto"/>
                <w:sz w:val="24"/>
              </w:rPr>
              <w:t>预算金额</w:t>
            </w:r>
          </w:p>
        </w:tc>
        <w:tc>
          <w:tcPr>
            <w:tcW w:w="2025" w:type="dxa"/>
            <w:tcBorders>
              <w:top w:val="single" w:color="auto" w:sz="4" w:space="0"/>
              <w:left w:val="nil"/>
              <w:bottom w:val="single" w:color="auto" w:sz="4" w:space="0"/>
              <w:right w:val="single" w:color="auto" w:sz="4" w:space="0"/>
            </w:tcBorders>
            <w:vAlign w:val="center"/>
          </w:tcPr>
          <w:p>
            <w:pPr>
              <w:spacing w:beforeLines="50" w:afterLines="50" w:line="400" w:lineRule="exact"/>
              <w:jc w:val="center"/>
              <w:rPr>
                <w:rFonts w:ascii="宋体" w:hAnsi="宋体" w:eastAsia="宋体" w:cs="Times New Roman"/>
                <w:color w:val="auto"/>
                <w:sz w:val="22"/>
              </w:rPr>
            </w:pPr>
            <w:r>
              <w:rPr>
                <w:rFonts w:hint="eastAsia" w:ascii="宋体" w:hAnsi="宋体" w:eastAsia="宋体" w:cs="宋体"/>
                <w:color w:val="auto"/>
                <w:sz w:val="22"/>
                <w:szCs w:val="22"/>
              </w:rPr>
              <w:t>备注</w:t>
            </w:r>
          </w:p>
        </w:tc>
      </w:tr>
      <w:tr>
        <w:tblPrEx>
          <w:tblCellMar>
            <w:top w:w="0" w:type="dxa"/>
            <w:left w:w="108" w:type="dxa"/>
            <w:bottom w:w="0" w:type="dxa"/>
            <w:right w:w="108" w:type="dxa"/>
          </w:tblCellMar>
        </w:tblPrEx>
        <w:trPr>
          <w:trHeight w:val="1725" w:hRule="atLeast"/>
        </w:trPr>
        <w:tc>
          <w:tcPr>
            <w:tcW w:w="760" w:type="dxa"/>
            <w:vMerge w:val="restart"/>
            <w:tcBorders>
              <w:top w:val="single" w:color="auto" w:sz="4" w:space="0"/>
              <w:left w:val="single" w:color="auto" w:sz="4" w:space="0"/>
              <w:right w:val="single" w:color="auto" w:sz="4" w:space="0"/>
            </w:tcBorders>
            <w:vAlign w:val="center"/>
          </w:tcPr>
          <w:p>
            <w:pPr>
              <w:spacing w:line="400" w:lineRule="exact"/>
              <w:ind w:left="439" w:leftChars="52" w:hanging="330" w:hangingChars="150"/>
              <w:rPr>
                <w:rFonts w:ascii="宋体" w:hAnsi="宋体" w:eastAsia="宋体" w:cs="宋体"/>
                <w:color w:val="auto"/>
                <w:sz w:val="22"/>
              </w:rPr>
            </w:pPr>
            <w:r>
              <w:rPr>
                <w:rFonts w:ascii="宋体" w:hAnsi="宋体" w:eastAsia="宋体" w:cs="宋体"/>
                <w:color w:val="auto"/>
                <w:sz w:val="22"/>
                <w:szCs w:val="22"/>
              </w:rPr>
              <w:t>1</w:t>
            </w:r>
          </w:p>
          <w:p>
            <w:pPr>
              <w:spacing w:line="400" w:lineRule="exact"/>
              <w:ind w:left="439" w:leftChars="52" w:hanging="330" w:hangingChars="150"/>
              <w:rPr>
                <w:rFonts w:ascii="宋体" w:hAnsi="宋体" w:eastAsia="宋体" w:cs="宋体"/>
                <w:color w:val="auto"/>
                <w:sz w:val="22"/>
              </w:rPr>
            </w:pPr>
          </w:p>
        </w:tc>
        <w:tc>
          <w:tcPr>
            <w:tcW w:w="1439" w:type="dxa"/>
            <w:vMerge w:val="restart"/>
            <w:tcBorders>
              <w:top w:val="single" w:color="auto" w:sz="4" w:space="0"/>
              <w:left w:val="nil"/>
              <w:right w:val="single" w:color="auto" w:sz="4" w:space="0"/>
            </w:tcBorders>
            <w:vAlign w:val="center"/>
          </w:tcPr>
          <w:p>
            <w:pPr>
              <w:spacing w:line="400" w:lineRule="exact"/>
              <w:ind w:left="-2" w:leftChars="-1"/>
              <w:rPr>
                <w:rFonts w:ascii="宋体" w:hAnsi="宋体" w:eastAsia="宋体" w:cs="Times New Roman"/>
                <w:color w:val="auto"/>
                <w:sz w:val="22"/>
              </w:rPr>
            </w:pPr>
            <w:r>
              <w:rPr>
                <w:rFonts w:hint="eastAsia" w:ascii="宋体" w:hAnsi="宋体" w:eastAsia="宋体" w:cs="Times New Roman"/>
                <w:color w:val="auto"/>
                <w:sz w:val="22"/>
              </w:rPr>
              <w:t>泰顺县2022年-2023年度松树打孔注药防治松材线虫病服务项目</w:t>
            </w:r>
          </w:p>
        </w:tc>
        <w:tc>
          <w:tcPr>
            <w:tcW w:w="1417" w:type="dxa"/>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eastAsia="宋体" w:cs="Times New Roman"/>
                <w:color w:val="auto"/>
                <w:sz w:val="22"/>
              </w:rPr>
            </w:pPr>
            <w:r>
              <w:rPr>
                <w:rFonts w:hint="eastAsia" w:ascii="宋体" w:hAnsi="宋体" w:eastAsia="宋体" w:cs="Times New Roman"/>
                <w:color w:val="auto"/>
                <w:sz w:val="22"/>
              </w:rPr>
              <w:t>打孔注药服务（含药剂）</w:t>
            </w:r>
          </w:p>
        </w:tc>
        <w:tc>
          <w:tcPr>
            <w:tcW w:w="709" w:type="dxa"/>
            <w:tcBorders>
              <w:top w:val="single" w:color="auto" w:sz="4" w:space="0"/>
              <w:left w:val="nil"/>
              <w:bottom w:val="single" w:color="auto" w:sz="4" w:space="0"/>
              <w:right w:val="single" w:color="auto" w:sz="4" w:space="0"/>
            </w:tcBorders>
            <w:vAlign w:val="center"/>
          </w:tcPr>
          <w:p>
            <w:pPr>
              <w:spacing w:line="400" w:lineRule="exact"/>
              <w:ind w:left="439" w:leftChars="52" w:hanging="330" w:hangingChars="150"/>
              <w:jc w:val="center"/>
              <w:rPr>
                <w:rFonts w:ascii="宋体" w:hAnsi="宋体" w:eastAsia="宋体" w:cs="宋体"/>
                <w:color w:val="auto"/>
                <w:sz w:val="22"/>
              </w:rPr>
            </w:pPr>
            <w:r>
              <w:rPr>
                <w:rFonts w:hint="eastAsia" w:ascii="宋体" w:hAnsi="宋体" w:eastAsia="宋体" w:cs="宋体"/>
                <w:color w:val="auto"/>
                <w:sz w:val="22"/>
                <w:szCs w:val="22"/>
              </w:rPr>
              <w:t>支</w:t>
            </w:r>
          </w:p>
        </w:tc>
        <w:tc>
          <w:tcPr>
            <w:tcW w:w="992" w:type="dxa"/>
            <w:tcBorders>
              <w:top w:val="single" w:color="auto" w:sz="4" w:space="0"/>
              <w:left w:val="nil"/>
              <w:bottom w:val="single" w:color="auto" w:sz="4" w:space="0"/>
              <w:right w:val="single" w:color="auto" w:sz="4" w:space="0"/>
            </w:tcBorders>
            <w:vAlign w:val="center"/>
          </w:tcPr>
          <w:p>
            <w:pPr>
              <w:spacing w:line="400" w:lineRule="exact"/>
              <w:ind w:left="439" w:leftChars="52" w:hanging="330" w:hangingChars="150"/>
              <w:jc w:val="center"/>
              <w:rPr>
                <w:rFonts w:ascii="宋体" w:hAnsi="宋体" w:eastAsia="宋体" w:cs="宋体"/>
                <w:color w:val="auto"/>
                <w:sz w:val="22"/>
              </w:rPr>
            </w:pPr>
            <w:r>
              <w:rPr>
                <w:rFonts w:hint="eastAsia" w:ascii="宋体" w:hAnsi="宋体" w:eastAsia="宋体" w:cs="宋体"/>
                <w:color w:val="auto"/>
                <w:sz w:val="22"/>
              </w:rPr>
              <w:t>143000</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宋体" w:cs="宋体"/>
                <w:color w:val="auto"/>
                <w:sz w:val="22"/>
              </w:rPr>
            </w:pPr>
            <w:r>
              <w:rPr>
                <w:rFonts w:hint="eastAsia" w:ascii="宋体" w:hAnsi="宋体" w:eastAsia="宋体" w:cs="宋体"/>
                <w:color w:val="auto"/>
                <w:sz w:val="22"/>
              </w:rPr>
              <w:t>13.5</w:t>
            </w:r>
          </w:p>
        </w:tc>
        <w:tc>
          <w:tcPr>
            <w:tcW w:w="1276" w:type="dxa"/>
            <w:tcBorders>
              <w:top w:val="single" w:color="auto" w:sz="4" w:space="0"/>
              <w:left w:val="nil"/>
              <w:bottom w:val="single" w:color="auto" w:sz="4" w:space="0"/>
              <w:right w:val="single" w:color="auto" w:sz="4" w:space="0"/>
            </w:tcBorders>
            <w:vAlign w:val="center"/>
          </w:tcPr>
          <w:p>
            <w:pPr>
              <w:spacing w:line="400" w:lineRule="exact"/>
              <w:ind w:left="439" w:leftChars="52" w:hanging="330" w:hangingChars="150"/>
              <w:jc w:val="center"/>
              <w:rPr>
                <w:rFonts w:ascii="宋体" w:hAnsi="宋体" w:eastAsia="宋体" w:cs="宋体"/>
                <w:color w:val="auto"/>
                <w:sz w:val="22"/>
              </w:rPr>
            </w:pPr>
            <w:r>
              <w:rPr>
                <w:rFonts w:hint="eastAsia" w:ascii="宋体" w:hAnsi="宋体" w:eastAsia="宋体" w:cs="宋体"/>
                <w:color w:val="auto"/>
                <w:sz w:val="22"/>
              </w:rPr>
              <w:t>1930500</w:t>
            </w:r>
          </w:p>
        </w:tc>
        <w:tc>
          <w:tcPr>
            <w:tcW w:w="2025" w:type="dxa"/>
            <w:vMerge w:val="restart"/>
            <w:tcBorders>
              <w:top w:val="single" w:color="auto" w:sz="4" w:space="0"/>
              <w:left w:val="nil"/>
              <w:right w:val="single" w:color="auto" w:sz="4" w:space="0"/>
            </w:tcBorders>
            <w:vAlign w:val="center"/>
          </w:tcPr>
          <w:p>
            <w:pPr>
              <w:spacing w:line="400" w:lineRule="exact"/>
              <w:ind w:left="103" w:leftChars="49"/>
              <w:rPr>
                <w:rFonts w:hint="eastAsia" w:ascii="仿宋" w:hAnsi="仿宋" w:eastAsia="仿宋" w:cs="仿宋"/>
                <w:color w:val="auto"/>
                <w:sz w:val="24"/>
              </w:rPr>
            </w:pPr>
            <w:r>
              <w:rPr>
                <w:rFonts w:hint="eastAsia" w:ascii="仿宋" w:hAnsi="仿宋" w:eastAsia="仿宋" w:cs="仿宋"/>
                <w:color w:val="auto"/>
                <w:sz w:val="24"/>
              </w:rPr>
              <w:t>供应商报价不得超过预算金额或综合单价最高限价，否则作无效标处理。</w:t>
            </w:r>
          </w:p>
          <w:p>
            <w:pPr>
              <w:pStyle w:val="2"/>
              <w:rPr>
                <w:color w:val="auto"/>
              </w:rPr>
            </w:pPr>
            <w:r>
              <w:rPr>
                <w:rFonts w:hint="eastAsia" w:ascii="宋体" w:hAnsi="宋体" w:eastAsia="宋体" w:cs="Times New Roman"/>
                <w:b/>
                <w:bCs/>
                <w:color w:val="auto"/>
                <w:sz w:val="22"/>
              </w:rPr>
              <w:t>含完成本项目的所有费用。</w:t>
            </w:r>
          </w:p>
        </w:tc>
      </w:tr>
      <w:tr>
        <w:tblPrEx>
          <w:tblCellMar>
            <w:top w:w="0" w:type="dxa"/>
            <w:left w:w="108" w:type="dxa"/>
            <w:bottom w:w="0" w:type="dxa"/>
            <w:right w:w="108" w:type="dxa"/>
          </w:tblCellMar>
        </w:tblPrEx>
        <w:trPr>
          <w:trHeight w:val="1167" w:hRule="atLeast"/>
        </w:trPr>
        <w:tc>
          <w:tcPr>
            <w:tcW w:w="760" w:type="dxa"/>
            <w:vMerge w:val="continue"/>
            <w:tcBorders>
              <w:left w:val="single" w:color="auto" w:sz="4" w:space="0"/>
              <w:bottom w:val="single" w:color="auto" w:sz="4" w:space="0"/>
              <w:right w:val="single" w:color="auto" w:sz="4" w:space="0"/>
            </w:tcBorders>
            <w:vAlign w:val="center"/>
          </w:tcPr>
          <w:p>
            <w:pPr>
              <w:spacing w:line="400" w:lineRule="exact"/>
              <w:ind w:left="439" w:leftChars="52" w:hanging="330" w:hangingChars="150"/>
              <w:rPr>
                <w:rFonts w:ascii="宋体" w:hAnsi="宋体" w:eastAsia="宋体" w:cs="宋体"/>
                <w:color w:val="auto"/>
                <w:sz w:val="22"/>
                <w:szCs w:val="22"/>
              </w:rPr>
            </w:pPr>
          </w:p>
        </w:tc>
        <w:tc>
          <w:tcPr>
            <w:tcW w:w="1439" w:type="dxa"/>
            <w:vMerge w:val="continue"/>
            <w:tcBorders>
              <w:left w:val="nil"/>
              <w:bottom w:val="single" w:color="auto" w:sz="4" w:space="0"/>
              <w:right w:val="single" w:color="auto" w:sz="4" w:space="0"/>
            </w:tcBorders>
            <w:vAlign w:val="center"/>
          </w:tcPr>
          <w:p>
            <w:pPr>
              <w:spacing w:line="400" w:lineRule="exact"/>
              <w:ind w:left="-2" w:leftChars="-1"/>
              <w:rPr>
                <w:rFonts w:ascii="宋体" w:hAnsi="宋体" w:eastAsia="宋体" w:cs="宋体"/>
                <w:color w:val="auto"/>
                <w:sz w:val="22"/>
                <w:szCs w:val="22"/>
              </w:rPr>
            </w:pPr>
          </w:p>
        </w:tc>
        <w:tc>
          <w:tcPr>
            <w:tcW w:w="1417" w:type="dxa"/>
            <w:tcBorders>
              <w:top w:val="single" w:color="auto" w:sz="4" w:space="0"/>
              <w:left w:val="nil"/>
              <w:bottom w:val="single" w:color="auto" w:sz="4" w:space="0"/>
              <w:right w:val="single" w:color="auto" w:sz="4" w:space="0"/>
            </w:tcBorders>
            <w:vAlign w:val="center"/>
          </w:tcPr>
          <w:p>
            <w:pPr>
              <w:spacing w:line="400" w:lineRule="exact"/>
              <w:ind w:left="25" w:leftChars="12"/>
              <w:jc w:val="left"/>
              <w:rPr>
                <w:rFonts w:ascii="宋体" w:hAnsi="宋体" w:eastAsia="宋体" w:cs="宋体"/>
                <w:color w:val="auto"/>
                <w:sz w:val="22"/>
                <w:szCs w:val="22"/>
              </w:rPr>
            </w:pPr>
            <w:r>
              <w:rPr>
                <w:rFonts w:hint="eastAsia" w:ascii="宋体" w:hAnsi="宋体" w:eastAsia="宋体" w:cs="宋体"/>
                <w:color w:val="auto"/>
                <w:sz w:val="22"/>
                <w:szCs w:val="22"/>
              </w:rPr>
              <w:t>古松树1130株施工服务费</w:t>
            </w:r>
          </w:p>
        </w:tc>
        <w:tc>
          <w:tcPr>
            <w:tcW w:w="709"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宋体" w:cs="宋体"/>
                <w:color w:val="auto"/>
                <w:sz w:val="22"/>
              </w:rPr>
            </w:pPr>
            <w:r>
              <w:rPr>
                <w:rFonts w:hint="eastAsia" w:ascii="宋体" w:hAnsi="宋体" w:eastAsia="宋体" w:cs="宋体"/>
                <w:color w:val="auto"/>
                <w:sz w:val="22"/>
                <w:szCs w:val="22"/>
              </w:rPr>
              <w:t>/</w:t>
            </w:r>
          </w:p>
        </w:tc>
        <w:tc>
          <w:tcPr>
            <w:tcW w:w="99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宋体" w:cs="宋体"/>
                <w:color w:val="auto"/>
                <w:sz w:val="22"/>
              </w:rPr>
            </w:pPr>
            <w:r>
              <w:rPr>
                <w:rFonts w:hint="eastAsia" w:ascii="宋体" w:hAnsi="宋体" w:eastAsia="宋体" w:cs="宋体"/>
                <w:color w:val="auto"/>
                <w:sz w:val="22"/>
                <w:szCs w:val="22"/>
              </w:rPr>
              <w:t>/</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宋体" w:cs="宋体"/>
                <w:color w:val="auto"/>
                <w:sz w:val="22"/>
              </w:rPr>
            </w:pPr>
            <w:r>
              <w:rPr>
                <w:rFonts w:hint="eastAsia" w:ascii="宋体" w:hAnsi="宋体" w:eastAsia="宋体" w:cs="宋体"/>
                <w:color w:val="auto"/>
                <w:sz w:val="22"/>
              </w:rPr>
              <w:t>30</w:t>
            </w:r>
          </w:p>
        </w:tc>
        <w:tc>
          <w:tcPr>
            <w:tcW w:w="1276" w:type="dxa"/>
            <w:tcBorders>
              <w:top w:val="single" w:color="auto" w:sz="4" w:space="0"/>
              <w:left w:val="nil"/>
              <w:bottom w:val="single" w:color="auto" w:sz="4" w:space="0"/>
              <w:right w:val="single" w:color="auto" w:sz="4" w:space="0"/>
            </w:tcBorders>
            <w:vAlign w:val="center"/>
          </w:tcPr>
          <w:p>
            <w:pPr>
              <w:spacing w:line="400" w:lineRule="exact"/>
              <w:ind w:left="439" w:leftChars="52" w:hanging="330" w:hangingChars="150"/>
              <w:jc w:val="center"/>
              <w:rPr>
                <w:color w:val="auto"/>
                <w:sz w:val="22"/>
                <w:szCs w:val="22"/>
              </w:rPr>
            </w:pPr>
            <w:r>
              <w:rPr>
                <w:rFonts w:hint="eastAsia"/>
                <w:color w:val="auto"/>
                <w:sz w:val="22"/>
                <w:szCs w:val="22"/>
              </w:rPr>
              <w:t>33900</w:t>
            </w:r>
          </w:p>
        </w:tc>
        <w:tc>
          <w:tcPr>
            <w:tcW w:w="2025" w:type="dxa"/>
            <w:vMerge w:val="continue"/>
            <w:tcBorders>
              <w:left w:val="nil"/>
              <w:bottom w:val="single" w:color="auto" w:sz="4" w:space="0"/>
              <w:right w:val="single" w:color="auto" w:sz="4" w:space="0"/>
            </w:tcBorders>
            <w:vAlign w:val="center"/>
          </w:tcPr>
          <w:p>
            <w:pPr>
              <w:spacing w:line="400" w:lineRule="exact"/>
              <w:ind w:left="103" w:leftChars="49" w:firstLine="7" w:firstLineChars="3"/>
              <w:rPr>
                <w:rFonts w:ascii="宋体" w:hAnsi="宋体" w:eastAsia="宋体" w:cs="宋体"/>
                <w:b/>
                <w:bCs/>
                <w:color w:val="auto"/>
                <w:sz w:val="22"/>
                <w:szCs w:val="22"/>
              </w:rPr>
            </w:pPr>
          </w:p>
        </w:tc>
      </w:tr>
      <w:tr>
        <w:tblPrEx>
          <w:tblCellMar>
            <w:top w:w="0" w:type="dxa"/>
            <w:left w:w="108" w:type="dxa"/>
            <w:bottom w:w="0" w:type="dxa"/>
            <w:right w:w="108" w:type="dxa"/>
          </w:tblCellMar>
        </w:tblPrEx>
        <w:trPr>
          <w:trHeight w:val="1167" w:hRule="atLeast"/>
        </w:trPr>
        <w:tc>
          <w:tcPr>
            <w:tcW w:w="6593"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left="439" w:leftChars="52" w:hanging="330" w:hangingChars="150"/>
              <w:jc w:val="center"/>
              <w:rPr>
                <w:rFonts w:ascii="宋体" w:hAnsi="宋体" w:eastAsia="宋体" w:cs="宋体"/>
                <w:color w:val="auto"/>
                <w:sz w:val="22"/>
              </w:rPr>
            </w:pPr>
            <w:r>
              <w:rPr>
                <w:rFonts w:hint="eastAsia" w:ascii="宋体" w:hAnsi="宋体" w:eastAsia="宋体" w:cs="宋体"/>
                <w:color w:val="auto"/>
                <w:sz w:val="22"/>
                <w:szCs w:val="22"/>
              </w:rPr>
              <w:t>合  计</w:t>
            </w:r>
          </w:p>
        </w:tc>
        <w:tc>
          <w:tcPr>
            <w:tcW w:w="1276" w:type="dxa"/>
            <w:tcBorders>
              <w:top w:val="single" w:color="auto" w:sz="4" w:space="0"/>
              <w:left w:val="nil"/>
              <w:bottom w:val="single" w:color="auto" w:sz="4" w:space="0"/>
              <w:right w:val="single" w:color="auto" w:sz="4" w:space="0"/>
            </w:tcBorders>
            <w:vAlign w:val="center"/>
          </w:tcPr>
          <w:p>
            <w:pPr>
              <w:spacing w:line="400" w:lineRule="exact"/>
              <w:ind w:left="439" w:leftChars="52" w:hanging="330" w:hangingChars="150"/>
              <w:jc w:val="center"/>
              <w:rPr>
                <w:color w:val="auto"/>
                <w:sz w:val="22"/>
                <w:szCs w:val="22"/>
              </w:rPr>
            </w:pPr>
            <w:r>
              <w:rPr>
                <w:rFonts w:hint="eastAsia"/>
                <w:color w:val="auto"/>
                <w:sz w:val="22"/>
                <w:szCs w:val="22"/>
              </w:rPr>
              <w:t>1964400</w:t>
            </w:r>
          </w:p>
        </w:tc>
        <w:tc>
          <w:tcPr>
            <w:tcW w:w="2025" w:type="dxa"/>
            <w:tcBorders>
              <w:top w:val="single" w:color="auto" w:sz="4" w:space="0"/>
              <w:left w:val="nil"/>
              <w:bottom w:val="single" w:color="auto" w:sz="4" w:space="0"/>
              <w:right w:val="single" w:color="auto" w:sz="4" w:space="0"/>
            </w:tcBorders>
            <w:vAlign w:val="center"/>
          </w:tcPr>
          <w:p>
            <w:pPr>
              <w:spacing w:line="400" w:lineRule="exact"/>
              <w:ind w:left="103" w:leftChars="49" w:firstLine="7" w:firstLineChars="3"/>
              <w:rPr>
                <w:rFonts w:ascii="宋体" w:hAnsi="宋体" w:eastAsia="宋体" w:cs="宋体"/>
                <w:b/>
                <w:bCs/>
                <w:color w:val="auto"/>
                <w:sz w:val="22"/>
                <w:szCs w:val="22"/>
              </w:rPr>
            </w:pPr>
          </w:p>
        </w:tc>
      </w:tr>
      <w:tr>
        <w:tblPrEx>
          <w:tblCellMar>
            <w:top w:w="0" w:type="dxa"/>
            <w:left w:w="108" w:type="dxa"/>
            <w:bottom w:w="0" w:type="dxa"/>
            <w:right w:w="108" w:type="dxa"/>
          </w:tblCellMar>
        </w:tblPrEx>
        <w:trPr>
          <w:trHeight w:val="317" w:hRule="atLeast"/>
        </w:trPr>
        <w:tc>
          <w:tcPr>
            <w:tcW w:w="9894"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ind w:left="-2" w:leftChars="-1"/>
              <w:rPr>
                <w:rFonts w:ascii="宋体" w:hAnsi="宋体" w:eastAsia="宋体" w:cs="宋体"/>
                <w:color w:val="auto"/>
                <w:sz w:val="22"/>
                <w:szCs w:val="22"/>
              </w:rPr>
            </w:pPr>
            <w:r>
              <w:rPr>
                <w:rFonts w:hint="eastAsia" w:ascii="宋体" w:hAnsi="宋体" w:eastAsia="宋体" w:cs="宋体"/>
                <w:color w:val="auto"/>
                <w:sz w:val="22"/>
                <w:szCs w:val="22"/>
              </w:rPr>
              <w:t>备注：1、每支药剂须满足注射胸径20cm松树的有效成份和剂量</w:t>
            </w:r>
          </w:p>
          <w:p>
            <w:pPr>
              <w:spacing w:line="400" w:lineRule="exact"/>
              <w:ind w:left="-2" w:leftChars="-1"/>
              <w:rPr>
                <w:rFonts w:ascii="宋体" w:hAnsi="宋体" w:eastAsia="宋体" w:cs="宋体"/>
                <w:b/>
                <w:bCs/>
                <w:color w:val="auto"/>
                <w:sz w:val="22"/>
                <w:szCs w:val="22"/>
              </w:rPr>
            </w:pPr>
            <w:r>
              <w:rPr>
                <w:rFonts w:hint="eastAsia" w:ascii="宋体" w:hAnsi="宋体" w:eastAsia="宋体" w:cs="宋体"/>
                <w:b/>
                <w:bCs/>
                <w:color w:val="auto"/>
                <w:sz w:val="22"/>
                <w:szCs w:val="22"/>
              </w:rPr>
              <w:t xml:space="preserve"> ▲2、注射胸径20cm-50cm松树的剂量：胸径为20cm-25cm的，须注射1支；</w:t>
            </w:r>
          </w:p>
          <w:p>
            <w:pPr>
              <w:spacing w:line="400" w:lineRule="exact"/>
              <w:ind w:left="-2" w:leftChars="-1"/>
              <w:rPr>
                <w:rFonts w:ascii="宋体" w:hAnsi="宋体" w:eastAsia="宋体" w:cs="宋体"/>
                <w:b/>
                <w:bCs/>
                <w:color w:val="auto"/>
                <w:sz w:val="22"/>
                <w:szCs w:val="22"/>
              </w:rPr>
            </w:pPr>
            <w:r>
              <w:rPr>
                <w:rFonts w:hint="eastAsia" w:ascii="宋体" w:hAnsi="宋体" w:eastAsia="宋体" w:cs="宋体"/>
                <w:b/>
                <w:bCs/>
                <w:color w:val="auto"/>
                <w:sz w:val="22"/>
                <w:szCs w:val="22"/>
              </w:rPr>
              <w:t>胸径为25-30cm的，须注射2支；胸径为30-35cm的，须注射3支；</w:t>
            </w:r>
          </w:p>
          <w:p>
            <w:pPr>
              <w:spacing w:line="400" w:lineRule="exact"/>
              <w:ind w:left="-2" w:leftChars="-1"/>
              <w:rPr>
                <w:rFonts w:ascii="宋体" w:hAnsi="宋体" w:eastAsia="宋体" w:cs="宋体"/>
                <w:b/>
                <w:bCs/>
                <w:color w:val="auto"/>
                <w:sz w:val="22"/>
                <w:szCs w:val="22"/>
              </w:rPr>
            </w:pPr>
            <w:r>
              <w:rPr>
                <w:rFonts w:hint="eastAsia" w:ascii="宋体" w:hAnsi="宋体" w:eastAsia="宋体" w:cs="宋体"/>
                <w:b/>
                <w:bCs/>
                <w:color w:val="auto"/>
                <w:sz w:val="22"/>
                <w:szCs w:val="22"/>
              </w:rPr>
              <w:t>胸径为35-40cm的，须注射4支；胸径为40-45cm的，须注射5支；</w:t>
            </w:r>
          </w:p>
          <w:p>
            <w:pPr>
              <w:spacing w:line="400" w:lineRule="exact"/>
              <w:ind w:left="-2" w:leftChars="-1"/>
              <w:rPr>
                <w:rFonts w:ascii="宋体" w:hAnsi="宋体" w:eastAsia="宋体" w:cs="宋体"/>
                <w:b/>
                <w:bCs/>
                <w:color w:val="auto"/>
                <w:sz w:val="22"/>
                <w:szCs w:val="22"/>
              </w:rPr>
            </w:pPr>
            <w:r>
              <w:rPr>
                <w:rFonts w:hint="eastAsia" w:ascii="宋体" w:hAnsi="宋体" w:eastAsia="宋体" w:cs="宋体"/>
                <w:b/>
                <w:bCs/>
                <w:color w:val="auto"/>
                <w:sz w:val="22"/>
                <w:szCs w:val="22"/>
              </w:rPr>
              <w:t>胸径为45-50cm的，须注射6支。</w:t>
            </w:r>
          </w:p>
          <w:p>
            <w:pPr>
              <w:spacing w:line="400" w:lineRule="exact"/>
              <w:ind w:left="-2" w:leftChars="-1"/>
              <w:rPr>
                <w:rFonts w:ascii="宋体" w:hAnsi="宋体" w:eastAsia="宋体" w:cs="宋体"/>
                <w:b/>
                <w:bCs/>
                <w:color w:val="auto"/>
                <w:sz w:val="22"/>
                <w:szCs w:val="22"/>
              </w:rPr>
            </w:pPr>
            <w:r>
              <w:rPr>
                <w:rFonts w:hint="eastAsia" w:ascii="宋体" w:hAnsi="宋体" w:eastAsia="宋体" w:cs="宋体"/>
                <w:b/>
                <w:bCs/>
                <w:color w:val="auto"/>
                <w:sz w:val="22"/>
                <w:szCs w:val="22"/>
              </w:rPr>
              <w:t>▲以上采购数量为定额数量，采购单位将根据实际农药药量进行核算支付。</w:t>
            </w:r>
          </w:p>
        </w:tc>
      </w:tr>
    </w:tbl>
    <w:p>
      <w:pPr>
        <w:pStyle w:val="2"/>
        <w:numPr>
          <w:ilvl w:val="0"/>
          <w:numId w:val="7"/>
        </w:numPr>
        <w:spacing w:after="0" w:line="360" w:lineRule="auto"/>
        <w:ind w:firstLine="420"/>
        <w:rPr>
          <w:rFonts w:hint="eastAsia"/>
          <w:color w:val="auto"/>
          <w:sz w:val="22"/>
          <w:szCs w:val="22"/>
        </w:rPr>
      </w:pPr>
      <w:r>
        <w:rPr>
          <w:rFonts w:hint="eastAsia"/>
          <w:color w:val="auto"/>
          <w:sz w:val="22"/>
          <w:szCs w:val="22"/>
        </w:rPr>
        <w:t>技术参数：</w:t>
      </w:r>
    </w:p>
    <w:p>
      <w:pPr>
        <w:pStyle w:val="2"/>
        <w:spacing w:after="0" w:line="360" w:lineRule="auto"/>
        <w:ind w:left="420"/>
        <w:rPr>
          <w:rFonts w:hint="eastAsia"/>
          <w:color w:val="auto"/>
          <w:sz w:val="22"/>
          <w:szCs w:val="22"/>
        </w:rPr>
      </w:pPr>
      <w:r>
        <w:rPr>
          <w:rFonts w:hint="eastAsia"/>
          <w:color w:val="auto"/>
          <w:sz w:val="22"/>
          <w:szCs w:val="22"/>
        </w:rPr>
        <w:t xml:space="preserve"> 2.1甲氨基阿维菌素苯甲酸盐（甲维盐）含量≥3%，甲氨基阿维菌素苯甲酸盐（甲维盐）的有效成分不得低于2.5克/瓶。</w:t>
      </w:r>
    </w:p>
    <w:p>
      <w:pPr>
        <w:pStyle w:val="2"/>
        <w:spacing w:after="0" w:line="360" w:lineRule="auto"/>
        <w:rPr>
          <w:rFonts w:hint="eastAsia"/>
          <w:color w:val="auto"/>
          <w:sz w:val="22"/>
          <w:szCs w:val="22"/>
        </w:rPr>
      </w:pPr>
      <w:r>
        <w:rPr>
          <w:rFonts w:hint="eastAsia"/>
          <w:color w:val="auto"/>
          <w:sz w:val="22"/>
          <w:szCs w:val="22"/>
        </w:rPr>
        <w:t xml:space="preserve">     2.2产品规格：≥50毫升/瓶*100瓶/箱。</w:t>
      </w:r>
    </w:p>
    <w:p>
      <w:pPr>
        <w:ind w:firstLine="440" w:firstLineChars="200"/>
        <w:rPr>
          <w:rFonts w:hint="eastAsia"/>
          <w:color w:val="auto"/>
        </w:rPr>
      </w:pPr>
      <w:r>
        <w:rPr>
          <w:rFonts w:hint="eastAsia"/>
          <w:color w:val="auto"/>
          <w:sz w:val="22"/>
          <w:szCs w:val="22"/>
        </w:rPr>
        <w:t>2.3 投标人须对产品成分组成提供说明，提供质检报告和原产地证明（如有）等资料复印件加盖单位公章</w:t>
      </w:r>
      <w:r>
        <w:rPr>
          <w:rFonts w:hint="eastAsia" w:ascii="仿宋" w:hAnsi="仿宋" w:eastAsia="仿宋" w:cs="仿宋"/>
          <w:color w:val="auto"/>
          <w:sz w:val="24"/>
        </w:rPr>
        <w:t>。</w:t>
      </w:r>
    </w:p>
    <w:p>
      <w:pPr>
        <w:pStyle w:val="2"/>
        <w:numPr>
          <w:ilvl w:val="0"/>
          <w:numId w:val="7"/>
        </w:numPr>
        <w:spacing w:after="0" w:line="360" w:lineRule="auto"/>
        <w:ind w:firstLine="420"/>
        <w:rPr>
          <w:color w:val="auto"/>
          <w:sz w:val="22"/>
          <w:szCs w:val="22"/>
        </w:rPr>
      </w:pPr>
      <w:r>
        <w:rPr>
          <w:rFonts w:hint="eastAsia"/>
          <w:color w:val="auto"/>
          <w:sz w:val="22"/>
          <w:szCs w:val="22"/>
        </w:rPr>
        <w:t>范围：本项目为完成所有货物的供货及注射，服务范围为全县。</w:t>
      </w:r>
    </w:p>
    <w:p>
      <w:pPr>
        <w:pStyle w:val="2"/>
        <w:numPr>
          <w:ilvl w:val="0"/>
          <w:numId w:val="7"/>
        </w:numPr>
        <w:spacing w:after="0" w:line="360" w:lineRule="auto"/>
        <w:ind w:firstLine="420"/>
        <w:rPr>
          <w:color w:val="auto"/>
          <w:sz w:val="22"/>
          <w:szCs w:val="22"/>
        </w:rPr>
      </w:pPr>
      <w:r>
        <w:rPr>
          <w:rFonts w:hint="eastAsia"/>
          <w:color w:val="auto"/>
          <w:sz w:val="22"/>
          <w:szCs w:val="22"/>
        </w:rPr>
        <w:t>售后服务要求：按承诺实行，免费送货上门。遇突发事件需要组织应急时，接到通知后6小时内到达现场处理。</w:t>
      </w:r>
    </w:p>
    <w:p>
      <w:pPr>
        <w:pStyle w:val="2"/>
        <w:numPr>
          <w:ilvl w:val="0"/>
          <w:numId w:val="7"/>
        </w:numPr>
        <w:spacing w:after="0" w:line="360" w:lineRule="auto"/>
        <w:ind w:firstLine="420"/>
        <w:rPr>
          <w:color w:val="auto"/>
          <w:sz w:val="22"/>
          <w:szCs w:val="22"/>
        </w:rPr>
      </w:pPr>
      <w:r>
        <w:rPr>
          <w:rFonts w:hint="eastAsia"/>
          <w:color w:val="auto"/>
          <w:sz w:val="22"/>
          <w:szCs w:val="22"/>
        </w:rPr>
        <w:t>产品应符合质量标准，供应商需提供全新原厂合格产品，若产品在运输过程中损坏或遗漏须无偿调换同样产品。</w:t>
      </w:r>
    </w:p>
    <w:p>
      <w:pPr>
        <w:pStyle w:val="2"/>
        <w:numPr>
          <w:ilvl w:val="0"/>
          <w:numId w:val="7"/>
        </w:numPr>
        <w:spacing w:after="0" w:line="360" w:lineRule="auto"/>
        <w:ind w:firstLine="420"/>
        <w:rPr>
          <w:rFonts w:ascii="宋体"/>
          <w:b/>
          <w:color w:val="auto"/>
          <w:sz w:val="22"/>
          <w:lang w:val="zh-CN"/>
        </w:rPr>
      </w:pPr>
      <w:r>
        <w:rPr>
          <w:rFonts w:hint="eastAsia" w:ascii="宋体"/>
          <w:color w:val="auto"/>
          <w:sz w:val="22"/>
          <w:lang w:val="zh-CN"/>
        </w:rPr>
        <w:t>施用方式：打孔注药（建议施工</w:t>
      </w:r>
      <w:r>
        <w:rPr>
          <w:rFonts w:hint="eastAsia" w:ascii="宋体"/>
          <w:bCs/>
          <w:color w:val="auto"/>
          <w:sz w:val="22"/>
          <w:lang w:val="zh-CN"/>
        </w:rPr>
        <w:t>使用钻头型号：标准钻头6.5mm，材质：碳素钢S553）。 三、</w:t>
      </w:r>
      <w:r>
        <w:rPr>
          <w:rFonts w:hint="eastAsia" w:ascii="宋体" w:hAnsi="宋体" w:eastAsia="宋体" w:cs="宋体"/>
          <w:b/>
          <w:bCs/>
          <w:color w:val="auto"/>
          <w:sz w:val="22"/>
          <w:szCs w:val="22"/>
        </w:rPr>
        <w:t>有关标准/规范及实施注药作业要求</w:t>
      </w:r>
    </w:p>
    <w:p>
      <w:pPr>
        <w:spacing w:line="360" w:lineRule="auto"/>
        <w:ind w:firstLine="420"/>
        <w:rPr>
          <w:rFonts w:ascii="宋体" w:hAnsi="宋体" w:eastAsia="宋体" w:cs="宋体"/>
          <w:color w:val="auto"/>
          <w:sz w:val="22"/>
          <w:szCs w:val="22"/>
        </w:rPr>
      </w:pPr>
      <w:r>
        <w:rPr>
          <w:rFonts w:hint="eastAsia" w:ascii="宋体" w:hAnsi="宋体" w:eastAsia="宋体" w:cs="宋体"/>
          <w:color w:val="auto"/>
          <w:sz w:val="22"/>
          <w:szCs w:val="22"/>
        </w:rPr>
        <w:t>本项目实施应按照《松材线虫病防治技术方案（2022年版）》、《泰顺县松材线虫病疫情防控五年攻坚行动计划（2021―2025）》、《浙江省打孔注药防治松材线虫病实施方案（2022版）》等相关文件执行，在作业中应做到：</w:t>
      </w:r>
    </w:p>
    <w:p>
      <w:pPr>
        <w:numPr>
          <w:ilvl w:val="0"/>
          <w:numId w:val="8"/>
        </w:numPr>
        <w:spacing w:line="360" w:lineRule="auto"/>
        <w:ind w:firstLine="420"/>
        <w:rPr>
          <w:rFonts w:ascii="宋体" w:hAnsi="宋体" w:eastAsia="宋体" w:cs="宋体"/>
          <w:color w:val="auto"/>
          <w:sz w:val="22"/>
          <w:szCs w:val="22"/>
        </w:rPr>
      </w:pPr>
      <w:r>
        <w:rPr>
          <w:rFonts w:hint="eastAsia" w:ascii="宋体" w:hAnsi="宋体" w:eastAsia="宋体" w:cs="宋体"/>
          <w:color w:val="auto"/>
          <w:sz w:val="22"/>
          <w:szCs w:val="22"/>
        </w:rPr>
        <w:t>建立档案。实施注药的每株均应统一编号，并挂牌；每支药剂须满足注射胸径20CM松树有效成份（甲维盐≥2%）和剂量。建档服务于2023年2月底前完成，并以纸质2份和电子版的形式提交给甲方。</w:t>
      </w:r>
    </w:p>
    <w:p>
      <w:pPr>
        <w:numPr>
          <w:ilvl w:val="0"/>
          <w:numId w:val="8"/>
        </w:numPr>
        <w:spacing w:line="360" w:lineRule="auto"/>
        <w:ind w:firstLine="420"/>
        <w:rPr>
          <w:rFonts w:ascii="宋体" w:hAnsi="宋体" w:eastAsia="宋体" w:cs="宋体"/>
          <w:color w:val="auto"/>
          <w:sz w:val="22"/>
          <w:szCs w:val="22"/>
        </w:rPr>
      </w:pPr>
      <w:r>
        <w:rPr>
          <w:rFonts w:hint="eastAsia" w:ascii="宋体" w:hAnsi="宋体" w:eastAsia="宋体" w:cs="宋体"/>
          <w:color w:val="auto"/>
          <w:sz w:val="22"/>
          <w:szCs w:val="22"/>
        </w:rPr>
        <w:t>现场检查：注药1周内，逐一检查注药质量，回收药瓶、封闭注药孔。检查是否有遗漏注药，药液结晶、外流，瓶嘴被堵、尾气孔没有正常打开等情况。如果存在上述情况，要重新注药。</w:t>
      </w:r>
    </w:p>
    <w:p>
      <w:pPr>
        <w:numPr>
          <w:ilvl w:val="0"/>
          <w:numId w:val="8"/>
        </w:numPr>
        <w:spacing w:line="360" w:lineRule="auto"/>
        <w:ind w:firstLine="420"/>
        <w:rPr>
          <w:rFonts w:ascii="宋体" w:hAnsi="宋体" w:eastAsia="宋体" w:cs="宋体"/>
          <w:color w:val="auto"/>
          <w:sz w:val="22"/>
          <w:szCs w:val="22"/>
        </w:rPr>
      </w:pPr>
      <w:r>
        <w:rPr>
          <w:rFonts w:hint="eastAsia" w:ascii="宋体" w:hAnsi="宋体" w:eastAsia="宋体" w:cs="宋体"/>
          <w:color w:val="auto"/>
          <w:sz w:val="22"/>
          <w:szCs w:val="22"/>
        </w:rPr>
        <w:t>松树打孔注药技术要求</w:t>
      </w:r>
    </w:p>
    <w:p>
      <w:pPr>
        <w:spacing w:line="360" w:lineRule="auto"/>
        <w:ind w:firstLine="220" w:firstLineChars="100"/>
        <w:rPr>
          <w:rFonts w:ascii="宋体" w:hAnsi="宋体" w:eastAsia="宋体" w:cs="Times New Roman"/>
          <w:color w:val="auto"/>
          <w:sz w:val="22"/>
          <w:szCs w:val="22"/>
        </w:rPr>
      </w:pPr>
      <w:r>
        <w:rPr>
          <w:rFonts w:hint="eastAsia" w:ascii="宋体" w:hAnsi="宋体" w:eastAsia="宋体" w:cs="宋体"/>
          <w:color w:val="auto"/>
          <w:sz w:val="22"/>
          <w:szCs w:val="22"/>
        </w:rPr>
        <w:t>（</w:t>
      </w:r>
      <w:r>
        <w:rPr>
          <w:rFonts w:ascii="宋体" w:hAnsi="宋体" w:eastAsia="宋体" w:cs="宋体"/>
          <w:color w:val="auto"/>
          <w:sz w:val="22"/>
          <w:szCs w:val="22"/>
        </w:rPr>
        <w:t>1</w:t>
      </w:r>
      <w:r>
        <w:rPr>
          <w:rFonts w:hint="eastAsia" w:ascii="宋体" w:hAnsi="宋体" w:eastAsia="宋体" w:cs="宋体"/>
          <w:color w:val="auto"/>
          <w:sz w:val="22"/>
          <w:szCs w:val="22"/>
        </w:rPr>
        <w:t>）</w:t>
      </w:r>
      <w:r>
        <w:rPr>
          <w:rFonts w:ascii="宋体" w:hAnsi="宋体" w:eastAsia="宋体" w:cs="宋体"/>
          <w:color w:val="auto"/>
          <w:sz w:val="22"/>
          <w:szCs w:val="22"/>
        </w:rPr>
        <w:t xml:space="preserve"> </w:t>
      </w:r>
      <w:r>
        <w:rPr>
          <w:rFonts w:hint="eastAsia" w:ascii="宋体" w:hAnsi="宋体" w:eastAsia="宋体" w:cs="宋体"/>
          <w:color w:val="auto"/>
          <w:sz w:val="22"/>
          <w:szCs w:val="22"/>
        </w:rPr>
        <w:t>选择在表面光滑、无死节、无受伤部位进行钻孔。首次钻孔一般在松树根基距地面 50-80cm 的高度，多轮钻孔时可适当提高钻孔高度。在一棵松树上多轮注药时，新注药孔应在上一次钻孔部位的不同侧面或上方</w:t>
      </w:r>
      <w:r>
        <w:rPr>
          <w:rFonts w:ascii="宋体" w:hAnsi="宋体" w:eastAsia="宋体" w:cs="宋体"/>
          <w:color w:val="auto"/>
          <w:sz w:val="22"/>
          <w:szCs w:val="22"/>
        </w:rPr>
        <w:t>5-10</w:t>
      </w:r>
      <w:r>
        <w:rPr>
          <w:rFonts w:hint="eastAsia" w:ascii="宋体" w:hAnsi="宋体" w:eastAsia="宋体" w:cs="宋体"/>
          <w:color w:val="auto"/>
          <w:sz w:val="22"/>
          <w:szCs w:val="22"/>
        </w:rPr>
        <w:t>厘米处，并避免新孔和旧孔在同一条垂直线上。需要钻 2 个及以上注药孔的，钻孔位置应均匀分布于树干周围，相互间隔距离≥20 ㎝，且不在一个水平面上。沿松树干倾斜向下 45°左右方向钻孔，钻孔深度离韧皮≤5.0cm，孔径约≦</w:t>
      </w:r>
      <w:r>
        <w:rPr>
          <w:rFonts w:ascii="宋体" w:hAnsi="宋体" w:eastAsia="宋体" w:cs="宋体"/>
          <w:color w:val="auto"/>
          <w:sz w:val="22"/>
          <w:szCs w:val="22"/>
        </w:rPr>
        <w:t>0.7</w:t>
      </w:r>
      <w:r>
        <w:rPr>
          <w:rFonts w:hint="eastAsia" w:ascii="宋体" w:hAnsi="宋体" w:eastAsia="宋体" w:cs="宋体"/>
          <w:color w:val="auto"/>
          <w:sz w:val="22"/>
          <w:szCs w:val="22"/>
        </w:rPr>
        <w:t>厘米；注入孔的位置要避免设在死节、受伤部位及枝桠下部。</w:t>
      </w:r>
    </w:p>
    <w:p>
      <w:pPr>
        <w:spacing w:line="360" w:lineRule="auto"/>
        <w:rPr>
          <w:rFonts w:ascii="宋体" w:hAnsi="宋体" w:eastAsia="宋体" w:cs="Times New Roman"/>
          <w:color w:val="auto"/>
          <w:sz w:val="22"/>
          <w:szCs w:val="22"/>
        </w:rPr>
      </w:pPr>
      <w:r>
        <w:rPr>
          <w:rFonts w:ascii="宋体" w:hAnsi="宋体" w:eastAsia="宋体" w:cs="宋体"/>
          <w:color w:val="auto"/>
          <w:sz w:val="22"/>
          <w:szCs w:val="22"/>
        </w:rPr>
        <w:t xml:space="preserve">  </w:t>
      </w:r>
      <w:r>
        <w:rPr>
          <w:rFonts w:hint="eastAsia" w:ascii="宋体" w:hAnsi="宋体" w:eastAsia="宋体" w:cs="宋体"/>
          <w:color w:val="auto"/>
          <w:sz w:val="22"/>
          <w:szCs w:val="22"/>
        </w:rPr>
        <w:t>（</w:t>
      </w:r>
      <w:r>
        <w:rPr>
          <w:rFonts w:ascii="宋体" w:hAnsi="宋体" w:eastAsia="宋体" w:cs="宋体"/>
          <w:color w:val="auto"/>
          <w:sz w:val="22"/>
          <w:szCs w:val="22"/>
        </w:rPr>
        <w:t>2</w:t>
      </w:r>
      <w:r>
        <w:rPr>
          <w:rFonts w:hint="eastAsia" w:ascii="宋体" w:hAnsi="宋体" w:eastAsia="宋体" w:cs="宋体"/>
          <w:color w:val="auto"/>
          <w:sz w:val="22"/>
          <w:szCs w:val="22"/>
        </w:rPr>
        <w:t>）拧去注射瓶的瓶尖头部，将注射头插入注入孔，然后用针头打通容器瓶底部空气孔，开始注入药液。</w:t>
      </w:r>
    </w:p>
    <w:p>
      <w:pPr>
        <w:spacing w:line="360" w:lineRule="auto"/>
        <w:ind w:firstLine="220" w:firstLineChars="100"/>
        <w:rPr>
          <w:rFonts w:ascii="宋体" w:hAnsi="宋体" w:eastAsia="宋体" w:cs="Times New Roman"/>
          <w:color w:val="auto"/>
          <w:sz w:val="22"/>
          <w:szCs w:val="22"/>
        </w:rPr>
      </w:pPr>
      <w:r>
        <w:rPr>
          <w:rFonts w:hint="eastAsia" w:ascii="宋体" w:hAnsi="宋体" w:eastAsia="宋体" w:cs="宋体"/>
          <w:color w:val="auto"/>
          <w:sz w:val="22"/>
          <w:szCs w:val="22"/>
        </w:rPr>
        <w:t>（</w:t>
      </w:r>
      <w:r>
        <w:rPr>
          <w:rFonts w:ascii="宋体" w:hAnsi="宋体" w:eastAsia="宋体" w:cs="宋体"/>
          <w:color w:val="auto"/>
          <w:sz w:val="22"/>
          <w:szCs w:val="22"/>
        </w:rPr>
        <w:t>3</w:t>
      </w:r>
      <w:r>
        <w:rPr>
          <w:rFonts w:hint="eastAsia" w:ascii="宋体" w:hAnsi="宋体" w:eastAsia="宋体" w:cs="宋体"/>
          <w:color w:val="auto"/>
          <w:sz w:val="22"/>
          <w:szCs w:val="22"/>
        </w:rPr>
        <w:t>）施工结束后</w:t>
      </w:r>
      <w:r>
        <w:rPr>
          <w:rFonts w:ascii="宋体" w:hAnsi="宋体" w:eastAsia="宋体" w:cs="宋体"/>
          <w:color w:val="auto"/>
          <w:sz w:val="22"/>
          <w:szCs w:val="22"/>
        </w:rPr>
        <w:t>2</w:t>
      </w:r>
      <w:r>
        <w:rPr>
          <w:rFonts w:hint="eastAsia" w:ascii="宋体" w:hAnsi="宋体" w:eastAsia="宋体" w:cs="宋体"/>
          <w:color w:val="auto"/>
          <w:sz w:val="22"/>
          <w:szCs w:val="22"/>
        </w:rPr>
        <w:t>小时，需观察注入情况。注入速度，一般在</w:t>
      </w:r>
      <w:r>
        <w:rPr>
          <w:rFonts w:ascii="宋体" w:hAnsi="宋体" w:eastAsia="宋体" w:cs="宋体"/>
          <w:color w:val="auto"/>
          <w:sz w:val="22"/>
          <w:szCs w:val="22"/>
        </w:rPr>
        <w:t>2</w:t>
      </w:r>
      <w:r>
        <w:rPr>
          <w:rFonts w:hint="eastAsia" w:ascii="宋体" w:hAnsi="宋体" w:eastAsia="宋体" w:cs="宋体"/>
          <w:color w:val="auto"/>
          <w:sz w:val="22"/>
          <w:szCs w:val="22"/>
        </w:rPr>
        <w:t>小时以内可吸收完毕，如发现输液不畅或有堵塞的需换位再次打孔注入。</w:t>
      </w:r>
    </w:p>
    <w:p>
      <w:pPr>
        <w:spacing w:line="360" w:lineRule="auto"/>
        <w:rPr>
          <w:rFonts w:ascii="宋体" w:hAnsi="宋体" w:eastAsia="宋体" w:cs="Times New Roman"/>
          <w:color w:val="auto"/>
          <w:sz w:val="22"/>
          <w:szCs w:val="22"/>
        </w:rPr>
      </w:pPr>
      <w:r>
        <w:rPr>
          <w:rFonts w:ascii="宋体" w:hAnsi="宋体" w:eastAsia="宋体" w:cs="宋体"/>
          <w:color w:val="auto"/>
          <w:sz w:val="22"/>
          <w:szCs w:val="22"/>
        </w:rPr>
        <w:t xml:space="preserve">  </w:t>
      </w:r>
      <w:r>
        <w:rPr>
          <w:rFonts w:hint="eastAsia" w:ascii="宋体" w:hAnsi="宋体" w:eastAsia="宋体" w:cs="宋体"/>
          <w:color w:val="auto"/>
          <w:sz w:val="22"/>
          <w:szCs w:val="22"/>
        </w:rPr>
        <w:t>（</w:t>
      </w:r>
      <w:r>
        <w:rPr>
          <w:rFonts w:ascii="宋体" w:hAnsi="宋体" w:eastAsia="宋体" w:cs="宋体"/>
          <w:color w:val="auto"/>
          <w:sz w:val="22"/>
          <w:szCs w:val="22"/>
        </w:rPr>
        <w:t>4</w:t>
      </w:r>
      <w:r>
        <w:rPr>
          <w:rFonts w:hint="eastAsia" w:ascii="宋体" w:hAnsi="宋体" w:eastAsia="宋体" w:cs="宋体"/>
          <w:color w:val="auto"/>
          <w:sz w:val="22"/>
          <w:szCs w:val="22"/>
        </w:rPr>
        <w:t>）注入孔的事后处理，吸收完毕，需拔取空瓶，塞入木塞是，否则孔内会渗入雨水产生腐朽菌等引起损害。</w:t>
      </w:r>
    </w:p>
    <w:p>
      <w:pPr>
        <w:spacing w:line="360" w:lineRule="auto"/>
        <w:rPr>
          <w:rFonts w:ascii="宋体" w:hAnsi="宋体" w:eastAsia="宋体" w:cs="Times New Roman"/>
          <w:color w:val="auto"/>
          <w:sz w:val="22"/>
          <w:szCs w:val="22"/>
        </w:rPr>
      </w:pPr>
      <w:r>
        <w:rPr>
          <w:rFonts w:ascii="宋体" w:hAnsi="宋体" w:eastAsia="宋体" w:cs="宋体"/>
          <w:color w:val="auto"/>
          <w:sz w:val="22"/>
          <w:szCs w:val="22"/>
        </w:rPr>
        <w:t xml:space="preserve">  </w:t>
      </w:r>
      <w:r>
        <w:rPr>
          <w:rFonts w:hint="eastAsia" w:ascii="宋体" w:hAnsi="宋体" w:eastAsia="宋体" w:cs="宋体"/>
          <w:color w:val="auto"/>
          <w:sz w:val="22"/>
          <w:szCs w:val="22"/>
        </w:rPr>
        <w:t>（</w:t>
      </w:r>
      <w:r>
        <w:rPr>
          <w:rFonts w:ascii="宋体" w:hAnsi="宋体" w:eastAsia="宋体" w:cs="宋体"/>
          <w:color w:val="auto"/>
          <w:sz w:val="22"/>
          <w:szCs w:val="22"/>
        </w:rPr>
        <w:t>5</w:t>
      </w:r>
      <w:r>
        <w:rPr>
          <w:rFonts w:hint="eastAsia" w:ascii="宋体" w:hAnsi="宋体" w:eastAsia="宋体" w:cs="宋体"/>
          <w:color w:val="auto"/>
          <w:sz w:val="22"/>
          <w:szCs w:val="22"/>
        </w:rPr>
        <w:t>）注意木塞子的深度，否则不易自然愈合。</w:t>
      </w:r>
    </w:p>
    <w:p>
      <w:pPr>
        <w:spacing w:line="360" w:lineRule="auto"/>
        <w:rPr>
          <w:rFonts w:ascii="宋体" w:hAnsi="宋体" w:eastAsia="宋体" w:cs="Times New Roman"/>
          <w:color w:val="auto"/>
          <w:sz w:val="22"/>
          <w:szCs w:val="22"/>
        </w:rPr>
      </w:pPr>
      <w:r>
        <w:rPr>
          <w:rFonts w:ascii="宋体" w:hAnsi="宋体" w:eastAsia="宋体" w:cs="宋体"/>
          <w:color w:val="auto"/>
          <w:sz w:val="22"/>
          <w:szCs w:val="22"/>
        </w:rPr>
        <w:t xml:space="preserve">  </w:t>
      </w:r>
      <w:r>
        <w:rPr>
          <w:rFonts w:hint="eastAsia" w:ascii="宋体" w:hAnsi="宋体" w:eastAsia="宋体" w:cs="宋体"/>
          <w:color w:val="auto"/>
          <w:sz w:val="22"/>
          <w:szCs w:val="22"/>
        </w:rPr>
        <w:t>（</w:t>
      </w:r>
      <w:r>
        <w:rPr>
          <w:rFonts w:ascii="宋体" w:hAnsi="宋体" w:eastAsia="宋体" w:cs="宋体"/>
          <w:color w:val="auto"/>
          <w:sz w:val="22"/>
          <w:szCs w:val="22"/>
        </w:rPr>
        <w:t>6</w:t>
      </w:r>
      <w:r>
        <w:rPr>
          <w:rFonts w:hint="eastAsia" w:ascii="宋体" w:hAnsi="宋体" w:eastAsia="宋体" w:cs="宋体"/>
          <w:color w:val="auto"/>
          <w:sz w:val="22"/>
          <w:szCs w:val="22"/>
        </w:rPr>
        <w:t>）</w:t>
      </w:r>
      <w:r>
        <w:rPr>
          <w:rFonts w:ascii="宋体" w:hAnsi="宋体" w:eastAsia="宋体" w:cs="宋体"/>
          <w:color w:val="auto"/>
          <w:sz w:val="22"/>
          <w:szCs w:val="22"/>
        </w:rPr>
        <w:t xml:space="preserve"> </w:t>
      </w:r>
      <w:r>
        <w:rPr>
          <w:rFonts w:hint="eastAsia" w:ascii="宋体" w:hAnsi="宋体" w:eastAsia="宋体" w:cs="宋体"/>
          <w:color w:val="auto"/>
          <w:sz w:val="22"/>
          <w:szCs w:val="22"/>
        </w:rPr>
        <w:t>回收空药瓶用垃圾袋回收空药瓶，注意保护环境。</w:t>
      </w:r>
    </w:p>
    <w:p>
      <w:pPr>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（7） 未按以上松树打孔注药技术要求的，验收时发现打孔机斜向不规范、未拔取空瓶、未塞入木塞、用药过量、瓶留有药液等，发现一项扣300元。</w:t>
      </w:r>
    </w:p>
    <w:p>
      <w:pPr>
        <w:numPr>
          <w:ilvl w:val="0"/>
          <w:numId w:val="8"/>
        </w:numPr>
        <w:spacing w:line="360" w:lineRule="auto"/>
        <w:ind w:firstLine="420"/>
        <w:rPr>
          <w:rFonts w:ascii="宋体" w:hAnsi="宋体" w:eastAsia="宋体" w:cs="宋体"/>
          <w:color w:val="auto"/>
          <w:sz w:val="22"/>
          <w:szCs w:val="22"/>
        </w:rPr>
      </w:pPr>
      <w:r>
        <w:rPr>
          <w:rFonts w:hint="eastAsia" w:ascii="宋体" w:hAnsi="宋体" w:eastAsia="宋体" w:cs="宋体"/>
          <w:color w:val="auto"/>
          <w:sz w:val="22"/>
          <w:szCs w:val="22"/>
        </w:rPr>
        <w:t>注药现场采购人和中标方双方均派人对操作过程进行记录，包括树木所处地理位置、标号、胸径、树高、生长情况、注药量等，该记录经双方在场代表签字确认作为考核依据。</w:t>
      </w:r>
    </w:p>
    <w:p>
      <w:pPr>
        <w:numPr>
          <w:ilvl w:val="0"/>
          <w:numId w:val="8"/>
        </w:numPr>
        <w:spacing w:line="360" w:lineRule="auto"/>
        <w:ind w:firstLine="420"/>
        <w:rPr>
          <w:rFonts w:ascii="宋体" w:hAnsi="宋体" w:eastAsia="宋体" w:cs="宋体"/>
          <w:color w:val="auto"/>
          <w:sz w:val="22"/>
          <w:szCs w:val="22"/>
        </w:rPr>
      </w:pPr>
      <w:r>
        <w:rPr>
          <w:rFonts w:hint="eastAsia" w:ascii="宋体" w:hAnsi="宋体" w:eastAsia="宋体" w:cs="宋体"/>
          <w:color w:val="auto"/>
          <w:sz w:val="22"/>
          <w:szCs w:val="22"/>
        </w:rPr>
        <w:t>注药所用的专用机器设备、专用钻头和铝牌编码都由中标方免费提供。</w:t>
      </w:r>
    </w:p>
    <w:p>
      <w:pPr>
        <w:numPr>
          <w:ilvl w:val="0"/>
          <w:numId w:val="8"/>
        </w:numPr>
        <w:spacing w:line="360" w:lineRule="auto"/>
        <w:ind w:firstLine="420"/>
        <w:rPr>
          <w:rFonts w:ascii="宋体" w:hAnsi="宋体" w:eastAsia="宋体" w:cs="宋体"/>
          <w:color w:val="auto"/>
          <w:sz w:val="22"/>
          <w:szCs w:val="22"/>
        </w:rPr>
      </w:pPr>
      <w:r>
        <w:rPr>
          <w:rFonts w:hint="eastAsia" w:ascii="宋体" w:hAnsi="宋体" w:eastAsia="宋体" w:cs="宋体"/>
          <w:color w:val="auto"/>
          <w:sz w:val="22"/>
          <w:szCs w:val="22"/>
        </w:rPr>
        <w:t>安全标识设置</w:t>
      </w:r>
    </w:p>
    <w:p>
      <w:pPr>
        <w:spacing w:line="360" w:lineRule="auto"/>
        <w:ind w:firstLine="420"/>
        <w:rPr>
          <w:rFonts w:ascii="宋体" w:hAnsi="宋体" w:eastAsia="宋体" w:cs="宋体"/>
          <w:color w:val="auto"/>
          <w:sz w:val="22"/>
          <w:szCs w:val="22"/>
        </w:rPr>
      </w:pPr>
      <w:r>
        <w:rPr>
          <w:rFonts w:hint="eastAsia" w:ascii="宋体" w:hAnsi="宋体" w:eastAsia="宋体" w:cs="宋体"/>
          <w:color w:val="auto"/>
          <w:sz w:val="22"/>
          <w:szCs w:val="22"/>
        </w:rPr>
        <w:t>为了防止用药对人畜造成意外危害，在注药作业行政辖区提前7天做好注药公告并做好农药有毒警牌，注药期间，中标方工作人员必须遵守野外操作规范，在防治过程一切施工安全问题和农药安全问题由中标方自行负责，同时也包括，注药剂后可能对生态环境有负面影响，造成污染空气和水源等；还会破坏原有生物的生存环境，对寄生到有益生物（如蜜蜂）上导致死亡。</w:t>
      </w:r>
    </w:p>
    <w:p>
      <w:pPr>
        <w:numPr>
          <w:ilvl w:val="0"/>
          <w:numId w:val="8"/>
        </w:numPr>
        <w:spacing w:line="360" w:lineRule="auto"/>
        <w:ind w:firstLine="420"/>
        <w:rPr>
          <w:rFonts w:ascii="宋体" w:hAnsi="宋体" w:eastAsia="宋体" w:cs="宋体"/>
          <w:color w:val="auto"/>
          <w:sz w:val="22"/>
          <w:szCs w:val="22"/>
        </w:rPr>
      </w:pPr>
      <w:r>
        <w:rPr>
          <w:rFonts w:hint="eastAsia" w:ascii="宋体" w:hAnsi="宋体" w:eastAsia="宋体" w:cs="宋体"/>
          <w:color w:val="auto"/>
          <w:sz w:val="22"/>
          <w:szCs w:val="22"/>
        </w:rPr>
        <w:t>实施注药的每株松树登记挂牌后全部录入浙江数字森防系统</w:t>
      </w:r>
    </w:p>
    <w:p>
      <w:pPr>
        <w:pStyle w:val="44"/>
        <w:spacing w:line="360" w:lineRule="auto"/>
        <w:ind w:firstLine="420"/>
        <w:rPr>
          <w:rFonts w:ascii="宋体" w:hAnsi="宋体"/>
          <w:b w:val="0"/>
          <w:color w:val="auto"/>
          <w:kern w:val="2"/>
          <w:sz w:val="22"/>
          <w:szCs w:val="22"/>
        </w:rPr>
      </w:pPr>
      <w:r>
        <w:rPr>
          <w:rFonts w:hint="eastAsia" w:ascii="宋体" w:hAnsi="宋体"/>
          <w:b w:val="0"/>
          <w:color w:val="auto"/>
          <w:kern w:val="2"/>
          <w:sz w:val="22"/>
          <w:szCs w:val="22"/>
        </w:rPr>
        <w:t>（1）数据上传，“数字森防”上传：注药人员完成树干施药流程后，使用“数字森防”手机 APP 打孔注药模块，上传注药松树的定位、胸径、注药类型、注药瓶数及注药照片等数据；检查验收、防治效果评价数据须按要求同步上传至“数字森防</w:t>
      </w:r>
    </w:p>
    <w:p>
      <w:pPr>
        <w:pStyle w:val="44"/>
        <w:spacing w:line="360" w:lineRule="auto"/>
        <w:ind w:firstLine="420"/>
        <w:rPr>
          <w:rFonts w:ascii="宋体" w:hAnsi="宋体"/>
          <w:b w:val="0"/>
          <w:color w:val="auto"/>
          <w:kern w:val="2"/>
          <w:sz w:val="22"/>
          <w:szCs w:val="22"/>
        </w:rPr>
      </w:pPr>
      <w:r>
        <w:rPr>
          <w:rFonts w:hint="eastAsia" w:ascii="宋体" w:hAnsi="宋体"/>
          <w:b w:val="0"/>
          <w:color w:val="auto"/>
          <w:kern w:val="2"/>
          <w:sz w:val="22"/>
          <w:szCs w:val="22"/>
        </w:rPr>
        <w:t xml:space="preserve">（2）数据要求 </w:t>
      </w:r>
    </w:p>
    <w:p>
      <w:pPr>
        <w:pStyle w:val="44"/>
        <w:spacing w:line="360" w:lineRule="auto"/>
        <w:ind w:firstLine="420"/>
        <w:rPr>
          <w:rFonts w:ascii="宋体" w:hAnsi="宋体"/>
          <w:b w:val="0"/>
          <w:color w:val="auto"/>
          <w:kern w:val="2"/>
          <w:sz w:val="22"/>
          <w:szCs w:val="22"/>
        </w:rPr>
      </w:pPr>
      <w:r>
        <w:rPr>
          <w:rFonts w:hint="eastAsia" w:ascii="宋体" w:hAnsi="宋体"/>
          <w:b w:val="0"/>
          <w:color w:val="auto"/>
          <w:kern w:val="2"/>
          <w:sz w:val="22"/>
          <w:szCs w:val="22"/>
        </w:rPr>
        <w:t xml:space="preserve">定位要求：注药定位数据须为“数字森防”手机 APP 对应模块直接采集的真实、原始数据，采集位置须在目标点位 10 米内，如采集点位于高山远山信号不佳，可使用“数字森防”手机APP 对注药点位进行微调，不得使用定位模拟软件修改真实坐标。注药企业软件上传定位数据应统一转换为 WGS-84 坐标系。 </w:t>
      </w:r>
    </w:p>
    <w:p>
      <w:pPr>
        <w:pStyle w:val="44"/>
        <w:spacing w:line="360" w:lineRule="auto"/>
        <w:ind w:firstLine="420"/>
        <w:rPr>
          <w:rFonts w:ascii="宋体" w:hAnsi="宋体"/>
          <w:bCs/>
          <w:color w:val="auto"/>
          <w:sz w:val="22"/>
          <w:szCs w:val="22"/>
        </w:rPr>
      </w:pPr>
      <w:r>
        <w:rPr>
          <w:rFonts w:hint="eastAsia" w:ascii="宋体" w:hAnsi="宋体"/>
          <w:b w:val="0"/>
          <w:color w:val="auto"/>
          <w:kern w:val="2"/>
          <w:sz w:val="22"/>
          <w:szCs w:val="22"/>
        </w:rPr>
        <w:t>照片要求：照片数据须为“数字森防”手机 APP 打孔注药模块调用手机照相机直接在事件发生点位现场拍摄，照片清晰直观、上传大小在 1.2M 以上，不得翻拍电脑、平板等电子设备存储照片，不得使用模拟软件上传系统存储照片；照片应完整清晰显示松树上的注药标识标牌、全部或部分注药瓶数。</w:t>
      </w:r>
    </w:p>
    <w:p>
      <w:pPr>
        <w:numPr>
          <w:ilvl w:val="0"/>
          <w:numId w:val="8"/>
        </w:numPr>
        <w:spacing w:line="360" w:lineRule="auto"/>
        <w:ind w:firstLine="420"/>
        <w:rPr>
          <w:rFonts w:ascii="宋体" w:hAnsi="宋体" w:eastAsia="宋体" w:cs="宋体"/>
          <w:color w:val="auto"/>
          <w:sz w:val="22"/>
          <w:szCs w:val="22"/>
        </w:rPr>
      </w:pPr>
      <w:r>
        <w:rPr>
          <w:rFonts w:hint="eastAsia" w:ascii="宋体" w:hAnsi="宋体" w:eastAsia="宋体" w:cs="宋体"/>
          <w:color w:val="auto"/>
          <w:sz w:val="22"/>
          <w:szCs w:val="22"/>
        </w:rPr>
        <w:t>安全作业</w:t>
      </w:r>
    </w:p>
    <w:p>
      <w:pPr>
        <w:spacing w:line="360" w:lineRule="auto"/>
        <w:ind w:left="420"/>
        <w:rPr>
          <w:rFonts w:ascii="宋体" w:hAnsi="宋体" w:eastAsia="宋体" w:cs="宋体"/>
          <w:color w:val="auto"/>
          <w:sz w:val="22"/>
          <w:szCs w:val="22"/>
        </w:rPr>
      </w:pPr>
      <w:r>
        <w:rPr>
          <w:rFonts w:hint="eastAsia" w:ascii="宋体" w:hAnsi="宋体" w:eastAsia="宋体" w:cs="宋体"/>
          <w:color w:val="auto"/>
          <w:sz w:val="22"/>
          <w:szCs w:val="22"/>
        </w:rPr>
        <w:t>中标供应商在合同履行过程中必须做好安全保障工作，不因项目实施而危及自身及第三方人员、财产安全。若发生任何安全事故，由中标供应商自行承担一切责任并赔偿损失。</w:t>
      </w:r>
    </w:p>
    <w:p>
      <w:pPr>
        <w:pStyle w:val="2"/>
        <w:spacing w:after="0" w:line="360" w:lineRule="auto"/>
        <w:rPr>
          <w:rFonts w:ascii="宋体" w:hAnsi="宋体" w:eastAsia="宋体" w:cs="宋体"/>
          <w:b/>
          <w:bCs/>
          <w:color w:val="auto"/>
          <w:sz w:val="22"/>
          <w:szCs w:val="22"/>
        </w:rPr>
      </w:pPr>
      <w:r>
        <w:rPr>
          <w:rFonts w:hint="eastAsia" w:ascii="宋体" w:hAnsi="宋体" w:eastAsia="宋体" w:cs="宋体"/>
          <w:b/>
          <w:bCs/>
          <w:color w:val="auto"/>
          <w:sz w:val="22"/>
          <w:szCs w:val="22"/>
        </w:rPr>
        <w:t>四、商务条款：</w:t>
      </w:r>
    </w:p>
    <w:p>
      <w:pPr>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1、投标报价：投标供应商的报价应为承包完成本次投标需完成全部工作所发生的所有费用，并承担一切风险责任。投标报价包括完成该项目所需的货款、浙江数字森防打孔注药落地上图、备品备件费、专用工具、运输、装卸、注射费、税费以及与该货物有关的一切费用。投标供应商应结合本项目特点，市场行情及风险，投标供应商自身的技术，管理水平，竞争能力，确定最终报价。</w:t>
      </w:r>
    </w:p>
    <w:p>
      <w:pPr>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2、承诺交货期：每批次货物在接到采购人通知后3个日历天内交货。</w:t>
      </w:r>
    </w:p>
    <w:p>
      <w:pPr>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3、 注射使用地点：采购人指定地点。</w:t>
      </w:r>
    </w:p>
    <w:p>
      <w:pPr>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4、 注射完成时间：本项目须在2023年2月底前完成所有货物供货、注药服务。</w:t>
      </w:r>
    </w:p>
    <w:p>
      <w:pPr>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5、付款方式</w:t>
      </w:r>
    </w:p>
    <w:p>
      <w:pPr>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预付款：合同签订且具备施工条件，中标供应商提供发票后，采购人具备支付条件后七个工作日内向中标供应商支付合同价款的40%；</w:t>
      </w:r>
    </w:p>
    <w:p>
      <w:pPr>
        <w:spacing w:line="360" w:lineRule="auto"/>
        <w:ind w:firstLine="220" w:firstLineChars="100"/>
        <w:rPr>
          <w:rFonts w:ascii="宋体" w:hAnsi="宋体" w:eastAsia="宋体" w:cs="宋体"/>
          <w:b/>
          <w:bCs/>
          <w:color w:val="auto"/>
          <w:sz w:val="22"/>
          <w:szCs w:val="22"/>
        </w:rPr>
      </w:pPr>
      <w:r>
        <w:rPr>
          <w:rFonts w:hint="eastAsia" w:ascii="宋体" w:hAnsi="宋体" w:eastAsia="宋体" w:cs="宋体"/>
          <w:color w:val="auto"/>
          <w:sz w:val="22"/>
          <w:szCs w:val="22"/>
        </w:rPr>
        <w:t>在规定时间内完成全部货物供货及完成所有松树注药施工后，并通过验收，采购人向中标供应商支付至合同价款的60%（含40%预付款），剩余40%分两年支付，第一年在2023年12月底前支付，成活率在99%以上的支付20%，成活率低于99%按约定（合同第五条）罚扣金额；第二年在2024年12月底前支付，成活率在99%以上的支付20%，成活率低于99%按约定（合同第五条）罚扣金额。</w:t>
      </w:r>
    </w:p>
    <w:p>
      <w:pPr>
        <w:pStyle w:val="2"/>
        <w:spacing w:after="0" w:line="360" w:lineRule="auto"/>
        <w:rPr>
          <w:rFonts w:ascii="宋体" w:hAnsi="宋体" w:eastAsia="宋体" w:cs="宋体"/>
          <w:b/>
          <w:bCs/>
          <w:color w:val="auto"/>
          <w:sz w:val="22"/>
          <w:szCs w:val="22"/>
        </w:rPr>
      </w:pPr>
      <w:r>
        <w:rPr>
          <w:rFonts w:hint="eastAsia" w:ascii="宋体" w:hAnsi="宋体" w:eastAsia="宋体" w:cs="宋体"/>
          <w:b/>
          <w:bCs/>
          <w:color w:val="auto"/>
          <w:sz w:val="22"/>
          <w:szCs w:val="22"/>
        </w:rPr>
        <w:t>四、其他要求：</w:t>
      </w:r>
    </w:p>
    <w:p>
      <w:pPr>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1、到货</w:t>
      </w:r>
    </w:p>
    <w:p>
      <w:pPr>
        <w:spacing w:line="360" w:lineRule="auto"/>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供应商能根据农药售后的服务要求做到及时完成任务。8小时内药物、人员、药物专用器械到达业主指定场所。</w:t>
      </w:r>
    </w:p>
    <w:p>
      <w:pPr>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2、调试</w:t>
      </w:r>
    </w:p>
    <w:p>
      <w:pPr>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供应商具有专业人员进行药物调配工作。</w:t>
      </w:r>
    </w:p>
    <w:p>
      <w:pPr>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3、验收</w:t>
      </w:r>
    </w:p>
    <w:p>
      <w:pPr>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（1）本次项目供货须按照采购人要求进行分批分量供应，在接到采购人书面通知三天之内按</w:t>
      </w:r>
    </w:p>
    <w:p>
      <w:pPr>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通知中规定的货物数量要求直接装车送达至采购方指定地点。待中标供应商将货物运抵指定现场并注射后，由采购人组织验收。验收不合格的货物由中标方无条件负责调换，调换产生的所有费用完全由中标方承担。所有货物运抵现场的日期为交货日期。</w:t>
      </w:r>
    </w:p>
    <w:p>
      <w:pPr>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2）松树免疫剂注射后防治效果评价，连续2年，一年一次，在11月至12月进行评价。防治效果计算方法：松树死亡率（%）=死亡松树总株数/注射松树总株数×100%。当年防治效果，松材线虫病引起的松树死亡率≦1%为合格；松材线虫病引起的松树死亡率＞1%为不合格。第2年防治效果，2年累计死亡率≦1%为合格；2年累计死亡率＞1%为不合格。</w:t>
      </w:r>
    </w:p>
    <w:p>
      <w:pPr>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3）防治效果赔偿标准。每年年底甲乙双方对注药植株的死亡情况开展检查，记录死亡株数核算死亡率，或委托中介验收。名木古松树和不是古松树分开效果评价：一不是名木古松树，死亡株数超出以上要求的，每株死亡松树乙方赔偿甲方人民币伍佰元（￥：500元）。二是名木古松树，死亡每株松树乙方赔偿甲方人民币叁仟元（￥：3000元）。对松树死亡原因有异议的，可组织专家取样检测，未检出感染线虫的树，可不予赔偿。</w:t>
      </w:r>
    </w:p>
    <w:p>
      <w:pPr>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（4）防治效果赔偿计算方法。不是名木古松树成活率低99%赔偿金额=注射松树总株数×（99%-松树死亡率%）×500元/株。</w:t>
      </w:r>
    </w:p>
    <w:p>
      <w:pPr>
        <w:pStyle w:val="44"/>
        <w:spacing w:line="360" w:lineRule="auto"/>
        <w:ind w:firstLine="220" w:firstLineChars="100"/>
        <w:rPr>
          <w:rFonts w:ascii="宋体" w:hAnsi="宋体"/>
          <w:b w:val="0"/>
          <w:color w:val="auto"/>
          <w:kern w:val="2"/>
          <w:sz w:val="22"/>
          <w:szCs w:val="22"/>
        </w:rPr>
      </w:pPr>
      <w:r>
        <w:rPr>
          <w:rFonts w:hint="eastAsia" w:ascii="宋体" w:hAnsi="宋体"/>
          <w:b w:val="0"/>
          <w:color w:val="auto"/>
          <w:kern w:val="2"/>
          <w:sz w:val="22"/>
          <w:szCs w:val="22"/>
        </w:rPr>
        <w:t>（5）检查验收：确保</w:t>
      </w:r>
      <w:r>
        <w:rPr>
          <w:rFonts w:hint="eastAsia" w:ascii="仿宋" w:hAnsi="仿宋" w:eastAsia="仿宋" w:cs="仿宋"/>
          <w:bCs/>
          <w:color w:val="auto"/>
          <w:sz w:val="24"/>
          <w:szCs w:val="24"/>
        </w:rPr>
        <w:t>松树注射免疫剂注射后在48小时内完全吸收，验收</w:t>
      </w:r>
      <w:r>
        <w:rPr>
          <w:rFonts w:hint="eastAsia" w:ascii="宋体" w:hAnsi="宋体"/>
          <w:b w:val="0"/>
          <w:color w:val="auto"/>
          <w:kern w:val="2"/>
          <w:sz w:val="22"/>
          <w:szCs w:val="22"/>
        </w:rPr>
        <w:t>检查结合药瓶回收工作情况。</w:t>
      </w:r>
      <w:r>
        <w:rPr>
          <w:rFonts w:hint="eastAsia" w:ascii="仿宋" w:hAnsi="仿宋" w:eastAsia="仿宋" w:cs="仿宋"/>
          <w:bCs/>
          <w:color w:val="auto"/>
          <w:sz w:val="24"/>
          <w:szCs w:val="24"/>
        </w:rPr>
        <w:t>验收</w:t>
      </w:r>
      <w:r>
        <w:rPr>
          <w:rFonts w:hint="eastAsia" w:ascii="宋体" w:hAnsi="宋体"/>
          <w:b w:val="0"/>
          <w:color w:val="auto"/>
          <w:kern w:val="2"/>
          <w:sz w:val="22"/>
          <w:szCs w:val="22"/>
        </w:rPr>
        <w:t>检查率不得低于5%，抽样检查中未正常施药株数超过10%的，应当认定为不合格。具体按</w:t>
      </w:r>
      <w:r>
        <w:rPr>
          <w:rFonts w:hint="eastAsia" w:ascii="宋体" w:hAnsi="宋体"/>
          <w:b w:val="0"/>
          <w:color w:val="auto"/>
          <w:sz w:val="22"/>
          <w:szCs w:val="22"/>
        </w:rPr>
        <w:t>《浙江省打孔注药防治松材线虫病实施方案（2022版）》文件执行。</w:t>
      </w:r>
    </w:p>
    <w:p>
      <w:pPr>
        <w:spacing w:line="360" w:lineRule="exact"/>
        <w:ind w:firstLine="281" w:firstLineChars="100"/>
        <w:jc w:val="center"/>
        <w:rPr>
          <w:rFonts w:ascii="宋体" w:hAnsi="宋体" w:eastAsia="宋体" w:cs="Times New Roman"/>
          <w:b/>
          <w:bCs/>
          <w:color w:val="auto"/>
          <w:sz w:val="28"/>
          <w:szCs w:val="28"/>
        </w:rPr>
      </w:pPr>
      <w:r>
        <w:rPr>
          <w:rFonts w:hint="eastAsia" w:ascii="宋体" w:hAnsi="宋体" w:eastAsia="宋体" w:cs="宋体"/>
          <w:b/>
          <w:bCs/>
          <w:color w:val="auto"/>
          <w:sz w:val="28"/>
          <w:szCs w:val="28"/>
        </w:rPr>
        <w:t>附件</w:t>
      </w:r>
      <w:r>
        <w:rPr>
          <w:rFonts w:ascii="宋体" w:hAnsi="宋体" w:eastAsia="宋体" w:cs="宋体"/>
          <w:b/>
          <w:bCs/>
          <w:color w:val="auto"/>
          <w:sz w:val="28"/>
          <w:szCs w:val="28"/>
        </w:rPr>
        <w:t>1</w:t>
      </w:r>
      <w:r>
        <w:rPr>
          <w:rFonts w:hint="eastAsia" w:ascii="宋体" w:hAnsi="宋体" w:eastAsia="宋体" w:cs="宋体"/>
          <w:b/>
          <w:bCs/>
          <w:color w:val="auto"/>
          <w:sz w:val="28"/>
          <w:szCs w:val="28"/>
        </w:rPr>
        <w:t>：</w:t>
      </w:r>
      <w:r>
        <w:rPr>
          <w:rFonts w:ascii="宋体" w:hAnsi="宋体" w:eastAsia="宋体" w:cs="宋体"/>
          <w:b/>
          <w:bCs/>
          <w:color w:val="auto"/>
          <w:sz w:val="28"/>
          <w:szCs w:val="28"/>
        </w:rPr>
        <w:t>202</w:t>
      </w:r>
      <w:r>
        <w:rPr>
          <w:rFonts w:hint="eastAsia" w:ascii="宋体" w:hAnsi="宋体" w:eastAsia="宋体" w:cs="宋体"/>
          <w:b/>
          <w:bCs/>
          <w:color w:val="auto"/>
          <w:sz w:val="28"/>
          <w:szCs w:val="28"/>
        </w:rPr>
        <w:t>2-2023年免疫剂采购计划实施表</w:t>
      </w:r>
    </w:p>
    <w:p>
      <w:pPr>
        <w:pStyle w:val="44"/>
        <w:rPr>
          <w:rFonts w:ascii="宋体"/>
          <w:color w:val="auto"/>
        </w:rPr>
      </w:pPr>
    </w:p>
    <w:tbl>
      <w:tblPr>
        <w:tblStyle w:val="28"/>
        <w:tblW w:w="8513" w:type="dxa"/>
        <w:tblInd w:w="2" w:type="dxa"/>
        <w:tblLayout w:type="fixed"/>
        <w:tblCellMar>
          <w:top w:w="0" w:type="dxa"/>
          <w:left w:w="0" w:type="dxa"/>
          <w:bottom w:w="0" w:type="dxa"/>
          <w:right w:w="0" w:type="dxa"/>
        </w:tblCellMar>
      </w:tblPr>
      <w:tblGrid>
        <w:gridCol w:w="3127"/>
        <w:gridCol w:w="3443"/>
        <w:gridCol w:w="1943"/>
      </w:tblGrid>
      <w:tr>
        <w:tblPrEx>
          <w:tblCellMar>
            <w:top w:w="0" w:type="dxa"/>
            <w:left w:w="0" w:type="dxa"/>
            <w:bottom w:w="0" w:type="dxa"/>
            <w:right w:w="0" w:type="dxa"/>
          </w:tblCellMar>
        </w:tblPrEx>
        <w:trPr>
          <w:trHeight w:val="748" w:hRule="atLeast"/>
        </w:trPr>
        <w:tc>
          <w:tcPr>
            <w:tcW w:w="312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eastAsia="宋体" w:cs="Times New Roman"/>
                <w:color w:val="auto"/>
                <w:sz w:val="22"/>
              </w:rPr>
            </w:pPr>
            <w:r>
              <w:rPr>
                <w:rFonts w:hint="eastAsia" w:ascii="宋体" w:hAnsi="宋体" w:eastAsia="宋体" w:cs="宋体"/>
                <w:color w:val="auto"/>
                <w:kern w:val="0"/>
                <w:sz w:val="22"/>
                <w:szCs w:val="22"/>
              </w:rPr>
              <w:t>打孔注药实施地名</w:t>
            </w:r>
          </w:p>
        </w:tc>
        <w:tc>
          <w:tcPr>
            <w:tcW w:w="3443"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widowControl/>
              <w:jc w:val="center"/>
              <w:textAlignment w:val="center"/>
              <w:rPr>
                <w:rFonts w:ascii="宋体" w:hAnsi="宋体" w:eastAsia="宋体" w:cs="Times New Roman"/>
                <w:color w:val="auto"/>
                <w:sz w:val="22"/>
              </w:rPr>
            </w:pPr>
            <w:r>
              <w:rPr>
                <w:rFonts w:hint="eastAsia" w:ascii="宋体" w:hAnsi="宋体" w:eastAsia="宋体" w:cs="宋体"/>
                <w:color w:val="auto"/>
                <w:kern w:val="0"/>
                <w:sz w:val="22"/>
                <w:szCs w:val="22"/>
              </w:rPr>
              <w:t>计划支数</w:t>
            </w:r>
          </w:p>
        </w:tc>
        <w:tc>
          <w:tcPr>
            <w:tcW w:w="19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Times New Roman"/>
                <w:color w:val="auto"/>
                <w:sz w:val="22"/>
              </w:rPr>
            </w:pPr>
            <w:r>
              <w:rPr>
                <w:rFonts w:hint="eastAsia" w:ascii="宋体" w:hAnsi="宋体" w:eastAsia="宋体" w:cs="Times New Roman"/>
                <w:color w:val="auto"/>
                <w:sz w:val="22"/>
              </w:rPr>
              <w:t>备注</w:t>
            </w:r>
          </w:p>
        </w:tc>
      </w:tr>
      <w:tr>
        <w:tblPrEx>
          <w:tblCellMar>
            <w:top w:w="0" w:type="dxa"/>
            <w:left w:w="0" w:type="dxa"/>
            <w:bottom w:w="0" w:type="dxa"/>
            <w:right w:w="0" w:type="dxa"/>
          </w:tblCellMar>
        </w:tblPrEx>
        <w:trPr>
          <w:trHeight w:val="830" w:hRule="atLeast"/>
        </w:trPr>
        <w:tc>
          <w:tcPr>
            <w:tcW w:w="312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Times New Roman"/>
                <w:color w:val="auto"/>
                <w:sz w:val="22"/>
              </w:rPr>
            </w:pPr>
            <w:r>
              <w:rPr>
                <w:rFonts w:hint="eastAsia" w:ascii="宋体" w:hAnsi="宋体" w:eastAsia="宋体" w:cs="Times New Roman"/>
                <w:color w:val="auto"/>
                <w:sz w:val="22"/>
              </w:rPr>
              <w:t>2022年泰顺县松树注射免疫剂片林</w:t>
            </w:r>
          </w:p>
        </w:tc>
        <w:tc>
          <w:tcPr>
            <w:tcW w:w="3443" w:type="dxa"/>
            <w:tcBorders>
              <w:top w:val="single" w:color="000000" w:sz="4" w:space="0"/>
              <w:left w:val="single" w:color="000000" w:sz="4" w:space="0"/>
              <w:bottom w:val="single" w:color="000000" w:sz="4" w:space="0"/>
              <w:right w:val="single" w:color="auto" w:sz="4" w:space="0"/>
            </w:tcBorders>
            <w:noWrap/>
            <w:tcMar>
              <w:top w:w="10" w:type="dxa"/>
              <w:left w:w="10" w:type="dxa"/>
              <w:right w:w="10" w:type="dxa"/>
            </w:tcMar>
            <w:vAlign w:val="center"/>
          </w:tcPr>
          <w:p>
            <w:pPr>
              <w:widowControl/>
              <w:jc w:val="center"/>
              <w:textAlignment w:val="center"/>
              <w:rPr>
                <w:rFonts w:ascii="宋体" w:hAnsi="宋体" w:eastAsia="宋体" w:cs="Times New Roman"/>
                <w:color w:val="auto"/>
                <w:sz w:val="22"/>
              </w:rPr>
            </w:pPr>
            <w:r>
              <w:rPr>
                <w:rFonts w:hint="eastAsia" w:ascii="宋体" w:hAnsi="宋体" w:eastAsia="宋体" w:cs="Times New Roman"/>
                <w:color w:val="auto"/>
                <w:sz w:val="22"/>
              </w:rPr>
              <w:t>128800</w:t>
            </w:r>
          </w:p>
        </w:tc>
        <w:tc>
          <w:tcPr>
            <w:tcW w:w="19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Times New Roman"/>
                <w:color w:val="auto"/>
                <w:sz w:val="22"/>
              </w:rPr>
            </w:pPr>
            <w:r>
              <w:rPr>
                <w:rFonts w:hint="eastAsia" w:ascii="宋体" w:hAnsi="宋体" w:eastAsia="宋体" w:cs="Times New Roman"/>
                <w:color w:val="auto"/>
                <w:sz w:val="22"/>
              </w:rPr>
              <w:t>具体详见：《2022年泰顺县打孔注药防治松材线虫病项目作业设计》</w:t>
            </w:r>
          </w:p>
        </w:tc>
      </w:tr>
      <w:tr>
        <w:tblPrEx>
          <w:tblCellMar>
            <w:top w:w="0" w:type="dxa"/>
            <w:left w:w="0" w:type="dxa"/>
            <w:bottom w:w="0" w:type="dxa"/>
            <w:right w:w="0" w:type="dxa"/>
          </w:tblCellMar>
        </w:tblPrEx>
        <w:trPr>
          <w:trHeight w:val="454" w:hRule="atLeast"/>
        </w:trPr>
        <w:tc>
          <w:tcPr>
            <w:tcW w:w="312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2022年泰顺县古树松树注射免疫剂</w:t>
            </w:r>
          </w:p>
        </w:tc>
        <w:tc>
          <w:tcPr>
            <w:tcW w:w="3443" w:type="dxa"/>
            <w:tcBorders>
              <w:top w:val="single" w:color="000000" w:sz="4" w:space="0"/>
              <w:left w:val="single" w:color="000000" w:sz="4" w:space="0"/>
              <w:bottom w:val="single" w:color="000000" w:sz="4" w:space="0"/>
              <w:right w:val="single" w:color="auto" w:sz="4" w:space="0"/>
            </w:tcBorders>
            <w:noWrap/>
            <w:tcMar>
              <w:top w:w="10" w:type="dxa"/>
              <w:left w:w="10" w:type="dxa"/>
              <w:right w:w="10" w:type="dxa"/>
            </w:tcMar>
            <w:vAlign w:val="center"/>
          </w:tcPr>
          <w:p>
            <w:pPr>
              <w:widowControl/>
              <w:jc w:val="center"/>
              <w:textAlignment w:val="center"/>
              <w:rPr>
                <w:rFonts w:ascii="宋体" w:hAnsi="宋体" w:eastAsia="宋体" w:cs="Times New Roman"/>
                <w:color w:val="auto"/>
                <w:sz w:val="22"/>
              </w:rPr>
            </w:pPr>
            <w:r>
              <w:rPr>
                <w:rFonts w:hint="eastAsia" w:ascii="宋体" w:hAnsi="宋体" w:eastAsia="宋体" w:cs="Times New Roman"/>
                <w:color w:val="auto"/>
                <w:sz w:val="22"/>
              </w:rPr>
              <w:t>14200</w:t>
            </w:r>
          </w:p>
        </w:tc>
        <w:tc>
          <w:tcPr>
            <w:tcW w:w="1943" w:type="dxa"/>
            <w:tcBorders>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Times New Roman"/>
                <w:color w:val="auto"/>
                <w:sz w:val="22"/>
              </w:rPr>
            </w:pPr>
            <w:r>
              <w:rPr>
                <w:rFonts w:hint="eastAsia" w:ascii="宋体" w:hAnsi="宋体" w:eastAsia="宋体" w:cs="Times New Roman"/>
                <w:color w:val="auto"/>
                <w:sz w:val="22"/>
              </w:rPr>
              <w:t>具体详见：《2022年泰顺县打孔注药防治松材线虫病项目作业设计》</w:t>
            </w:r>
          </w:p>
        </w:tc>
      </w:tr>
      <w:tr>
        <w:tblPrEx>
          <w:tblCellMar>
            <w:top w:w="0" w:type="dxa"/>
            <w:left w:w="0" w:type="dxa"/>
            <w:bottom w:w="0" w:type="dxa"/>
            <w:right w:w="0" w:type="dxa"/>
          </w:tblCellMar>
        </w:tblPrEx>
        <w:trPr>
          <w:trHeight w:val="454" w:hRule="atLeast"/>
        </w:trPr>
        <w:tc>
          <w:tcPr>
            <w:tcW w:w="312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合计</w:t>
            </w:r>
          </w:p>
        </w:tc>
        <w:tc>
          <w:tcPr>
            <w:tcW w:w="3443" w:type="dxa"/>
            <w:tcBorders>
              <w:top w:val="single" w:color="000000" w:sz="4" w:space="0"/>
              <w:left w:val="single" w:color="000000" w:sz="4" w:space="0"/>
              <w:bottom w:val="single" w:color="000000" w:sz="4" w:space="0"/>
              <w:right w:val="single" w:color="auto" w:sz="4" w:space="0"/>
            </w:tcBorders>
            <w:noWrap/>
            <w:tcMar>
              <w:top w:w="10" w:type="dxa"/>
              <w:left w:w="10" w:type="dxa"/>
              <w:right w:w="10" w:type="dxa"/>
            </w:tcMar>
            <w:vAlign w:val="center"/>
          </w:tcPr>
          <w:p>
            <w:pPr>
              <w:widowControl/>
              <w:jc w:val="center"/>
              <w:textAlignment w:val="center"/>
              <w:rPr>
                <w:rFonts w:ascii="宋体" w:hAnsi="宋体" w:eastAsia="宋体" w:cs="Times New Roman"/>
                <w:color w:val="auto"/>
                <w:sz w:val="22"/>
              </w:rPr>
            </w:pPr>
            <w:r>
              <w:rPr>
                <w:rFonts w:hint="eastAsia" w:ascii="宋体" w:hAnsi="宋体" w:eastAsia="宋体" w:cs="Times New Roman"/>
                <w:color w:val="auto"/>
                <w:sz w:val="22"/>
              </w:rPr>
              <w:t>143000</w:t>
            </w:r>
          </w:p>
        </w:tc>
        <w:tc>
          <w:tcPr>
            <w:tcW w:w="1943" w:type="dxa"/>
            <w:tcBorders>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Times New Roman"/>
                <w:color w:val="auto"/>
                <w:sz w:val="22"/>
              </w:rPr>
            </w:pPr>
          </w:p>
        </w:tc>
      </w:tr>
      <w:tr>
        <w:tblPrEx>
          <w:tblCellMar>
            <w:top w:w="0" w:type="dxa"/>
            <w:left w:w="0" w:type="dxa"/>
            <w:bottom w:w="0" w:type="dxa"/>
            <w:right w:w="0" w:type="dxa"/>
          </w:tblCellMar>
        </w:tblPrEx>
        <w:trPr>
          <w:trHeight w:val="454" w:hRule="atLeast"/>
        </w:trPr>
        <w:tc>
          <w:tcPr>
            <w:tcW w:w="8513" w:type="dxa"/>
            <w:gridSpan w:val="3"/>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eastAsia="宋体" w:cs="Times New Roman"/>
                <w:color w:val="auto"/>
                <w:kern w:val="0"/>
                <w:sz w:val="22"/>
              </w:rPr>
            </w:pPr>
            <w:r>
              <w:rPr>
                <w:rFonts w:hint="eastAsia" w:ascii="宋体" w:hAnsi="宋体" w:eastAsia="宋体" w:cs="宋体"/>
                <w:color w:val="auto"/>
                <w:sz w:val="22"/>
                <w:szCs w:val="22"/>
              </w:rPr>
              <w:t>注：上表采购的为计划支数，在服务合同期，采购单位将根据实际农药药量进行核算支付。</w:t>
            </w:r>
          </w:p>
        </w:tc>
      </w:tr>
    </w:tbl>
    <w:p>
      <w:pPr>
        <w:rPr>
          <w:rFonts w:ascii="宋体" w:hAnsi="宋体" w:eastAsia="宋体" w:cs="Times New Roman"/>
          <w:color w:val="auto"/>
        </w:rPr>
      </w:pPr>
      <w:r>
        <w:rPr>
          <w:rFonts w:hint="eastAsia" w:ascii="宋体" w:hAnsi="宋体" w:eastAsia="宋体" w:cs="宋体"/>
          <w:b/>
          <w:bCs/>
          <w:color w:val="auto"/>
          <w:sz w:val="28"/>
          <w:szCs w:val="28"/>
        </w:rPr>
        <w:t>附：</w:t>
      </w:r>
      <w:r>
        <w:rPr>
          <w:rFonts w:hint="eastAsia" w:ascii="宋体" w:hAnsi="宋体" w:eastAsia="宋体" w:cs="Times New Roman"/>
          <w:color w:val="auto"/>
          <w:sz w:val="22"/>
        </w:rPr>
        <w:t>2022年泰顺县打孔注药防治松材线虫病项目作业设计文本</w:t>
      </w:r>
    </w:p>
    <w:p>
      <w:pPr>
        <w:rPr>
          <w:rFonts w:ascii="宋体"/>
          <w:b/>
          <w:bCs/>
          <w:color w:val="auto"/>
          <w:sz w:val="36"/>
          <w:szCs w:val="36"/>
          <w:lang w:val="zh-CN"/>
        </w:rPr>
      </w:pPr>
      <w:r>
        <w:rPr>
          <w:rFonts w:hint="eastAsia" w:ascii="宋体"/>
          <w:b/>
          <w:bCs/>
          <w:color w:val="auto"/>
          <w:sz w:val="36"/>
          <w:szCs w:val="36"/>
          <w:lang w:val="zh-CN"/>
        </w:rPr>
        <w:br w:type="page"/>
      </w:r>
    </w:p>
    <w:p>
      <w:pPr>
        <w:adjustRightInd w:val="0"/>
        <w:spacing w:line="400" w:lineRule="atLeast"/>
        <w:ind w:firstLine="708" w:firstLineChars="196"/>
        <w:jc w:val="center"/>
        <w:rPr>
          <w:rFonts w:ascii="宋体" w:cs="??_GB2312"/>
          <w:b/>
          <w:color w:val="auto"/>
          <w:sz w:val="32"/>
          <w:szCs w:val="32"/>
          <w:lang w:val="zh-CN"/>
        </w:rPr>
      </w:pPr>
      <w:r>
        <w:rPr>
          <w:rFonts w:hint="eastAsia" w:ascii="宋体"/>
          <w:b/>
          <w:bCs/>
          <w:color w:val="auto"/>
          <w:sz w:val="36"/>
          <w:szCs w:val="36"/>
          <w:lang w:val="zh-CN"/>
        </w:rPr>
        <w:t>第三部分   供应商须知</w:t>
      </w:r>
    </w:p>
    <w:p>
      <w:pPr>
        <w:autoSpaceDE w:val="0"/>
        <w:autoSpaceDN w:val="0"/>
        <w:adjustRightInd w:val="0"/>
        <w:spacing w:line="450" w:lineRule="atLeast"/>
        <w:rPr>
          <w:rFonts w:ascii="宋体" w:cs="??_GB2312"/>
          <w:b/>
          <w:color w:val="auto"/>
          <w:sz w:val="22"/>
          <w:lang w:val="zh-CN"/>
        </w:rPr>
      </w:pPr>
      <w:r>
        <w:rPr>
          <w:rFonts w:hint="eastAsia" w:ascii="宋体" w:hAnsi="宋体" w:cs="??_GB2312"/>
          <w:b/>
          <w:color w:val="auto"/>
          <w:sz w:val="22"/>
          <w:lang w:val="zh-CN"/>
        </w:rPr>
        <w:t>一、说明</w:t>
      </w:r>
    </w:p>
    <w:p>
      <w:pPr>
        <w:adjustRightInd w:val="0"/>
        <w:spacing w:line="400" w:lineRule="atLeast"/>
        <w:ind w:firstLine="431" w:firstLineChars="196"/>
        <w:rPr>
          <w:rFonts w:ascii="宋体"/>
          <w:color w:val="auto"/>
          <w:sz w:val="22"/>
        </w:rPr>
      </w:pPr>
      <w:r>
        <w:rPr>
          <w:rFonts w:hint="eastAsia" w:ascii="宋体"/>
          <w:color w:val="auto"/>
          <w:sz w:val="22"/>
        </w:rPr>
        <w:t>1、</w:t>
      </w:r>
      <w:r>
        <w:rPr>
          <w:rFonts w:hint="eastAsia" w:ascii="宋体"/>
          <w:color w:val="auto"/>
          <w:sz w:val="22"/>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w:t>
      </w:r>
      <w:r>
        <w:rPr>
          <w:rFonts w:ascii="宋体"/>
          <w:color w:val="auto"/>
          <w:sz w:val="22"/>
          <w:lang w:val="zh-CN"/>
        </w:rPr>
        <w:t>2015</w:t>
      </w:r>
      <w:r>
        <w:rPr>
          <w:rFonts w:hint="eastAsia" w:ascii="宋体"/>
          <w:color w:val="auto"/>
          <w:sz w:val="22"/>
          <w:lang w:val="zh-CN"/>
        </w:rPr>
        <w:t>〕</w:t>
      </w:r>
      <w:r>
        <w:rPr>
          <w:rFonts w:ascii="宋体"/>
          <w:color w:val="auto"/>
          <w:sz w:val="22"/>
          <w:lang w:val="zh-CN"/>
        </w:rPr>
        <w:t>124</w:t>
      </w:r>
      <w:r>
        <w:rPr>
          <w:rFonts w:hint="eastAsia" w:ascii="宋体"/>
          <w:color w:val="auto"/>
          <w:sz w:val="22"/>
          <w:lang w:val="zh-CN"/>
        </w:rPr>
        <w:t>号）及相关法律规章组织和实施。</w:t>
      </w:r>
    </w:p>
    <w:p>
      <w:pPr>
        <w:adjustRightInd w:val="0"/>
        <w:spacing w:line="400" w:lineRule="atLeast"/>
        <w:ind w:firstLine="431" w:firstLineChars="196"/>
        <w:rPr>
          <w:rFonts w:ascii="宋体"/>
          <w:color w:val="auto"/>
          <w:sz w:val="22"/>
        </w:rPr>
      </w:pPr>
      <w:r>
        <w:rPr>
          <w:rFonts w:hint="eastAsia" w:ascii="宋体"/>
          <w:color w:val="auto"/>
          <w:sz w:val="22"/>
        </w:rPr>
        <w:t>2、供应商必须对全部内容进行投标报价，只对部分内容进行报价的供应商将按无效投标处理。</w:t>
      </w:r>
    </w:p>
    <w:p>
      <w:pPr>
        <w:adjustRightInd w:val="0"/>
        <w:spacing w:line="400" w:lineRule="atLeast"/>
        <w:ind w:firstLine="431" w:firstLineChars="196"/>
        <w:rPr>
          <w:rFonts w:ascii="宋体"/>
          <w:color w:val="auto"/>
          <w:sz w:val="22"/>
        </w:rPr>
      </w:pPr>
      <w:r>
        <w:rPr>
          <w:rFonts w:hint="eastAsia" w:ascii="宋体"/>
          <w:color w:val="auto"/>
          <w:sz w:val="22"/>
        </w:rPr>
        <w:t>3、无论投标过程中的作法和结果如何，供应商自行承担投标活动中所发生的全部费用；采购单位有权选择供应商的供货和服务范围。</w:t>
      </w:r>
    </w:p>
    <w:p>
      <w:pPr>
        <w:adjustRightInd w:val="0"/>
        <w:spacing w:line="400" w:lineRule="atLeast"/>
        <w:ind w:firstLine="431" w:firstLineChars="196"/>
        <w:rPr>
          <w:rFonts w:ascii="宋体"/>
          <w:color w:val="auto"/>
          <w:sz w:val="22"/>
          <w:szCs w:val="22"/>
        </w:rPr>
      </w:pPr>
      <w:r>
        <w:rPr>
          <w:rFonts w:ascii="宋体"/>
          <w:color w:val="auto"/>
          <w:sz w:val="22"/>
          <w:szCs w:val="22"/>
        </w:rPr>
        <w:t>4</w:t>
      </w:r>
      <w:r>
        <w:rPr>
          <w:rFonts w:hint="eastAsia" w:ascii="宋体"/>
          <w:color w:val="auto"/>
          <w:sz w:val="22"/>
          <w:szCs w:val="22"/>
        </w:rPr>
        <w:t>、本次采购采用《资格文件》及《商务技术文件》和《报价文件》分别评审，评标委员会首先评审供应商《商务技术文件》，《商务技术文件》无效的供应商不进入《报价文件》评审。要求供应商资格文件》及《商务技术文件》中不得含产品报价，否则做无效投标处理。</w:t>
      </w:r>
    </w:p>
    <w:p>
      <w:pPr>
        <w:adjustRightInd w:val="0"/>
        <w:spacing w:line="400" w:lineRule="atLeast"/>
        <w:ind w:firstLine="431" w:firstLineChars="196"/>
        <w:rPr>
          <w:rFonts w:ascii="宋体"/>
          <w:color w:val="auto"/>
          <w:sz w:val="22"/>
        </w:rPr>
      </w:pPr>
      <w:r>
        <w:rPr>
          <w:rFonts w:hint="eastAsia" w:ascii="宋体"/>
          <w:color w:val="auto"/>
          <w:sz w:val="22"/>
        </w:rPr>
        <w:t>5、知识产权</w:t>
      </w:r>
    </w:p>
    <w:p>
      <w:pPr>
        <w:adjustRightInd w:val="0"/>
        <w:spacing w:line="400" w:lineRule="atLeast"/>
        <w:ind w:firstLine="431" w:firstLineChars="196"/>
        <w:rPr>
          <w:rFonts w:ascii="宋体"/>
          <w:color w:val="auto"/>
          <w:sz w:val="22"/>
        </w:rPr>
      </w:pPr>
      <w:r>
        <w:rPr>
          <w:rFonts w:ascii="宋体"/>
          <w:color w:val="auto"/>
          <w:sz w:val="22"/>
        </w:rPr>
        <w:t>5.1</w:t>
      </w:r>
      <w:r>
        <w:rPr>
          <w:rFonts w:hint="eastAsia" w:ascii="宋体"/>
          <w:color w:val="auto"/>
          <w:sz w:val="22"/>
        </w:rPr>
        <w:t>供应商应保证，采购单位在中华人民共和国使用货物和服务的任何一部分时，免受第三方提出侵犯其专利权、商标权或其它知识产权的起诉。</w:t>
      </w:r>
    </w:p>
    <w:p>
      <w:pPr>
        <w:adjustRightInd w:val="0"/>
        <w:spacing w:line="400" w:lineRule="atLeast"/>
        <w:ind w:firstLine="431" w:firstLineChars="196"/>
        <w:rPr>
          <w:rFonts w:ascii="宋体"/>
          <w:color w:val="auto"/>
          <w:sz w:val="22"/>
        </w:rPr>
      </w:pPr>
      <w:r>
        <w:rPr>
          <w:rFonts w:ascii="宋体"/>
          <w:color w:val="auto"/>
          <w:sz w:val="22"/>
        </w:rPr>
        <w:t>5.2</w:t>
      </w:r>
      <w:r>
        <w:rPr>
          <w:rFonts w:hint="eastAsia" w:ascii="宋体"/>
          <w:color w:val="auto"/>
          <w:sz w:val="22"/>
        </w:rPr>
        <w:t>投标供应商应对采购单位在使用该产品时所涉及到的专利权负责，不损害采购单位的利益。</w:t>
      </w:r>
    </w:p>
    <w:p>
      <w:pPr>
        <w:adjustRightInd w:val="0"/>
        <w:spacing w:line="400" w:lineRule="atLeast"/>
        <w:ind w:firstLine="431" w:firstLineChars="196"/>
        <w:rPr>
          <w:rFonts w:ascii="宋体"/>
          <w:color w:val="auto"/>
          <w:sz w:val="22"/>
        </w:rPr>
      </w:pPr>
      <w:r>
        <w:rPr>
          <w:rFonts w:ascii="宋体"/>
          <w:color w:val="auto"/>
          <w:sz w:val="22"/>
        </w:rPr>
        <w:t>5.3</w:t>
      </w:r>
      <w:r>
        <w:rPr>
          <w:rFonts w:hint="eastAsia" w:ascii="宋体"/>
          <w:color w:val="auto"/>
          <w:sz w:val="22"/>
        </w:rPr>
        <w:t>报价应包括所有应支付的对专利权和版权、设计或其他知识产权而需要向其他方支付的版税。</w:t>
      </w:r>
    </w:p>
    <w:p>
      <w:pPr>
        <w:adjustRightInd w:val="0"/>
        <w:spacing w:line="400" w:lineRule="atLeast"/>
        <w:ind w:firstLine="431" w:firstLineChars="196"/>
        <w:rPr>
          <w:rFonts w:ascii="宋体"/>
          <w:color w:val="auto"/>
          <w:sz w:val="22"/>
        </w:rPr>
      </w:pPr>
      <w:r>
        <w:rPr>
          <w:rFonts w:ascii="宋体"/>
          <w:color w:val="auto"/>
          <w:sz w:val="22"/>
        </w:rPr>
        <w:t>5.4</w:t>
      </w:r>
      <w:r>
        <w:rPr>
          <w:rFonts w:hint="eastAsia" w:ascii="宋体"/>
          <w:color w:val="auto"/>
          <w:sz w:val="22"/>
        </w:rPr>
        <w:t>投标供应商提供得货物中如使用其他公司的相关专利，应在标书中出示相关授权，如未出示但使用了其他公司的专利，导致供应商中标而引起相关诉讼，由投标供应商承担。</w:t>
      </w:r>
    </w:p>
    <w:p>
      <w:pPr>
        <w:adjustRightInd w:val="0"/>
        <w:spacing w:line="400" w:lineRule="atLeast"/>
        <w:ind w:firstLine="431" w:firstLineChars="196"/>
        <w:rPr>
          <w:rFonts w:ascii="宋体" w:cs="??_GB2312"/>
          <w:color w:val="auto"/>
          <w:sz w:val="22"/>
          <w:lang w:val="zh-CN"/>
        </w:rPr>
      </w:pPr>
      <w:r>
        <w:rPr>
          <w:rFonts w:hint="eastAsia" w:ascii="宋体" w:hAnsi="宋体" w:cs="??_GB2312"/>
          <w:color w:val="auto"/>
          <w:sz w:val="22"/>
        </w:rPr>
        <w:t>6、</w:t>
      </w:r>
      <w:r>
        <w:rPr>
          <w:rFonts w:hint="eastAsia" w:ascii="宋体" w:hAnsi="宋体" w:cs="??_GB2312"/>
          <w:color w:val="auto"/>
          <w:sz w:val="22"/>
          <w:lang w:val="zh-CN"/>
        </w:rPr>
        <w:t>单位负责人为同一人或者存在直接控股、管理关系的不同供应商，不得参加同一合同项下的政府采购活动。如在评标过程中发现供应商间存在上述关系，评委可以对存在上述关系的供应商做无效投标处理。</w:t>
      </w:r>
    </w:p>
    <w:p>
      <w:pPr>
        <w:adjustRightInd w:val="0"/>
        <w:spacing w:line="400" w:lineRule="atLeast"/>
        <w:ind w:firstLine="431" w:firstLineChars="196"/>
        <w:rPr>
          <w:rFonts w:ascii="宋体" w:cs="仿宋_GB2312"/>
          <w:color w:val="auto"/>
          <w:sz w:val="22"/>
          <w:szCs w:val="22"/>
          <w:lang w:val="zh-CN"/>
        </w:rPr>
      </w:pPr>
      <w:r>
        <w:rPr>
          <w:rFonts w:hint="eastAsia" w:ascii="宋体" w:hAnsi="宋体" w:cs="??_GB2312"/>
          <w:color w:val="auto"/>
          <w:sz w:val="22"/>
        </w:rPr>
        <w:t>7、</w:t>
      </w:r>
      <w:r>
        <w:rPr>
          <w:rFonts w:hint="eastAsia" w:ascii="宋体" w:hAnsi="宋体" w:cs="仿宋_GB2312"/>
          <w:color w:val="auto"/>
          <w:sz w:val="22"/>
          <w:szCs w:val="22"/>
          <w:lang w:val="zh-CN"/>
        </w:rPr>
        <w:t>本项目投标文件签章须采用供应商正式公章，不得以投标专用章或业务章、合同章等代替。</w:t>
      </w:r>
    </w:p>
    <w:p>
      <w:pPr>
        <w:adjustRightInd w:val="0"/>
        <w:spacing w:line="400" w:lineRule="atLeast"/>
        <w:ind w:firstLine="431" w:firstLineChars="196"/>
        <w:rPr>
          <w:rFonts w:ascii="宋体" w:cs="仿宋_GB2312"/>
          <w:color w:val="auto"/>
          <w:sz w:val="22"/>
          <w:szCs w:val="22"/>
          <w:lang w:val="zh-CN"/>
        </w:rPr>
      </w:pPr>
      <w:r>
        <w:rPr>
          <w:rFonts w:hint="eastAsia" w:ascii="宋体" w:hAnsi="宋体" w:cs="??_GB2312"/>
          <w:color w:val="auto"/>
          <w:sz w:val="22"/>
        </w:rPr>
        <w:t>8</w:t>
      </w:r>
      <w:r>
        <w:rPr>
          <w:rFonts w:hint="eastAsia" w:ascii="宋体" w:hAnsi="宋体" w:cs="??_GB2312"/>
          <w:color w:val="auto"/>
          <w:sz w:val="22"/>
          <w:lang w:val="zh-CN"/>
        </w:rPr>
        <w:t>、</w:t>
      </w:r>
      <w:r>
        <w:rPr>
          <w:rFonts w:hint="eastAsia" w:ascii="宋体" w:hAnsi="宋体" w:cs="仿宋_GB2312"/>
          <w:color w:val="auto"/>
          <w:sz w:val="22"/>
          <w:szCs w:val="22"/>
          <w:lang w:val="zh-CN"/>
        </w:rPr>
        <w:t>为采购项目提供整体设计、规范编制或者项目管理、监理、检测等服务的供应商，不得再参加该采购项目的其他采购活动。</w:t>
      </w:r>
    </w:p>
    <w:p>
      <w:pPr>
        <w:autoSpaceDE w:val="0"/>
        <w:autoSpaceDN w:val="0"/>
        <w:adjustRightInd w:val="0"/>
        <w:spacing w:line="400" w:lineRule="atLeast"/>
        <w:ind w:firstLine="442" w:firstLineChars="200"/>
        <w:textAlignment w:val="bottom"/>
        <w:rPr>
          <w:rFonts w:ascii="宋体"/>
          <w:b/>
          <w:color w:val="auto"/>
          <w:sz w:val="22"/>
        </w:rPr>
      </w:pPr>
      <w:r>
        <w:rPr>
          <w:rFonts w:hint="eastAsia" w:ascii="宋体" w:hAnsi="宋体"/>
          <w:b/>
          <w:color w:val="auto"/>
          <w:sz w:val="22"/>
        </w:rPr>
        <w:t>▲9、供应商须具有良好的商业信誉：</w:t>
      </w:r>
    </w:p>
    <w:p>
      <w:pPr>
        <w:autoSpaceDE w:val="0"/>
        <w:autoSpaceDN w:val="0"/>
        <w:adjustRightInd w:val="0"/>
        <w:spacing w:line="400" w:lineRule="atLeast"/>
        <w:ind w:firstLine="442" w:firstLineChars="200"/>
        <w:textAlignment w:val="bottom"/>
        <w:rPr>
          <w:rFonts w:ascii="宋体"/>
          <w:b/>
          <w:color w:val="auto"/>
          <w:sz w:val="22"/>
        </w:rPr>
      </w:pPr>
      <w:r>
        <w:rPr>
          <w:rFonts w:hint="eastAsia" w:ascii="宋体" w:hAnsi="宋体"/>
          <w:b/>
          <w:color w:val="auto"/>
          <w:sz w:val="22"/>
        </w:rPr>
        <w:t>9.1供应商在全国企业信用信息公示系统网：（</w:t>
      </w:r>
      <w:r>
        <w:rPr>
          <w:rFonts w:ascii="宋体" w:hAnsi="宋体"/>
          <w:b/>
          <w:color w:val="auto"/>
          <w:sz w:val="22"/>
        </w:rPr>
        <w:t>http://gsxt.saic.gov.cn/</w:t>
      </w:r>
      <w:r>
        <w:rPr>
          <w:rFonts w:hint="eastAsia" w:ascii="宋体" w:hAnsi="宋体"/>
          <w:b/>
          <w:color w:val="auto"/>
          <w:sz w:val="22"/>
        </w:rPr>
        <w:t>）无严重违法企业记录。</w:t>
      </w:r>
    </w:p>
    <w:p>
      <w:pPr>
        <w:autoSpaceDE w:val="0"/>
        <w:autoSpaceDN w:val="0"/>
        <w:adjustRightInd w:val="0"/>
        <w:spacing w:line="400" w:lineRule="atLeast"/>
        <w:ind w:firstLine="442" w:firstLineChars="200"/>
        <w:textAlignment w:val="bottom"/>
        <w:rPr>
          <w:rFonts w:ascii="宋体"/>
          <w:b/>
          <w:color w:val="auto"/>
          <w:sz w:val="22"/>
        </w:rPr>
      </w:pPr>
      <w:r>
        <w:rPr>
          <w:rFonts w:hint="eastAsia" w:ascii="宋体" w:hAnsi="宋体"/>
          <w:b/>
          <w:color w:val="auto"/>
          <w:sz w:val="22"/>
        </w:rPr>
        <w:t>9.2供应商在中国执行信息公开网（</w:t>
      </w:r>
      <w:r>
        <w:rPr>
          <w:rFonts w:ascii="宋体" w:hAnsi="宋体"/>
          <w:b/>
          <w:color w:val="auto"/>
          <w:sz w:val="22"/>
        </w:rPr>
        <w:t>http://shixin.court.gov.cn/</w:t>
      </w:r>
      <w:r>
        <w:rPr>
          <w:rFonts w:hint="eastAsia" w:ascii="宋体" w:hAnsi="宋体"/>
          <w:b/>
          <w:color w:val="auto"/>
          <w:sz w:val="22"/>
        </w:rPr>
        <w:t>）无失信信息记录。</w:t>
      </w:r>
    </w:p>
    <w:p>
      <w:pPr>
        <w:autoSpaceDE w:val="0"/>
        <w:autoSpaceDN w:val="0"/>
        <w:adjustRightInd w:val="0"/>
        <w:spacing w:line="400" w:lineRule="atLeast"/>
        <w:ind w:firstLine="442" w:firstLineChars="200"/>
        <w:textAlignment w:val="bottom"/>
        <w:rPr>
          <w:rFonts w:ascii="宋体"/>
          <w:b/>
          <w:color w:val="auto"/>
          <w:sz w:val="22"/>
        </w:rPr>
      </w:pPr>
      <w:r>
        <w:rPr>
          <w:rFonts w:hint="eastAsia" w:ascii="宋体" w:hAnsi="宋体"/>
          <w:b/>
          <w:color w:val="auto"/>
          <w:sz w:val="22"/>
        </w:rPr>
        <w:t>9.3供应商在中国政府采购网（</w:t>
      </w:r>
      <w:r>
        <w:rPr>
          <w:rFonts w:ascii="宋体" w:hAnsi="宋体"/>
          <w:b/>
          <w:color w:val="auto"/>
          <w:sz w:val="22"/>
        </w:rPr>
        <w:t>http://www.ccgp.gov.cn/cr/list</w:t>
      </w:r>
      <w:r>
        <w:rPr>
          <w:rFonts w:hint="eastAsia" w:ascii="宋体" w:hAnsi="宋体"/>
          <w:b/>
          <w:color w:val="auto"/>
          <w:sz w:val="22"/>
        </w:rPr>
        <w:t>）无严重违法行为记录。</w:t>
      </w:r>
    </w:p>
    <w:p>
      <w:pPr>
        <w:widowControl/>
        <w:snapToGrid w:val="0"/>
        <w:spacing w:line="400" w:lineRule="atLeast"/>
        <w:ind w:firstLine="442" w:firstLineChars="200"/>
        <w:jc w:val="left"/>
        <w:rPr>
          <w:rFonts w:ascii="宋体"/>
          <w:b/>
          <w:color w:val="auto"/>
          <w:sz w:val="22"/>
        </w:rPr>
      </w:pPr>
      <w:r>
        <w:rPr>
          <w:rFonts w:hint="eastAsia" w:ascii="宋体" w:hAnsi="宋体"/>
          <w:b/>
          <w:color w:val="auto"/>
          <w:sz w:val="22"/>
        </w:rPr>
        <w:t>9.4未被各级财政部门列入政府采购黑名单或被各级财政部门禁止参加政府采购项目投标。如供应商有上述情形并参与本项目投标的，一经查实，其投标做无效投标处理。</w:t>
      </w:r>
    </w:p>
    <w:p>
      <w:pPr>
        <w:widowControl/>
        <w:snapToGrid w:val="0"/>
        <w:spacing w:line="400" w:lineRule="atLeast"/>
        <w:ind w:firstLine="442" w:firstLineChars="200"/>
        <w:jc w:val="left"/>
        <w:rPr>
          <w:rFonts w:ascii="宋体"/>
          <w:b/>
          <w:color w:val="auto"/>
          <w:sz w:val="22"/>
        </w:rPr>
      </w:pPr>
      <w:r>
        <w:rPr>
          <w:rFonts w:hint="eastAsia" w:ascii="宋体" w:hAnsi="宋体" w:eastAsia="宋体" w:cs="宋体"/>
          <w:b/>
          <w:color w:val="auto"/>
          <w:sz w:val="22"/>
        </w:rPr>
        <w:t>▲</w:t>
      </w:r>
      <w:r>
        <w:rPr>
          <w:rFonts w:hint="eastAsia" w:ascii="宋体" w:hAnsi="宋体"/>
          <w:b/>
          <w:color w:val="auto"/>
          <w:sz w:val="22"/>
        </w:rPr>
        <w:t>10、中标/成交供应商必须通过浙江政府采购网（</w:t>
      </w:r>
      <w:r>
        <w:rPr>
          <w:color w:val="auto"/>
        </w:rPr>
        <w:fldChar w:fldCharType="begin"/>
      </w:r>
      <w:r>
        <w:rPr>
          <w:color w:val="auto"/>
        </w:rPr>
        <w:instrText xml:space="preserve"> HYPERLINK "http://www.zjzfcg.gov.cn" </w:instrText>
      </w:r>
      <w:r>
        <w:rPr>
          <w:color w:val="auto"/>
        </w:rPr>
        <w:fldChar w:fldCharType="separate"/>
      </w:r>
      <w:r>
        <w:rPr>
          <w:rFonts w:ascii="宋体" w:hAnsi="宋体"/>
          <w:b/>
          <w:color w:val="auto"/>
          <w:sz w:val="22"/>
        </w:rPr>
        <w:t>www.zjzfcg.gov.cn</w:t>
      </w:r>
      <w:r>
        <w:rPr>
          <w:rFonts w:ascii="宋体" w:hAnsi="宋体"/>
          <w:b/>
          <w:color w:val="auto"/>
          <w:sz w:val="22"/>
        </w:rPr>
        <w:fldChar w:fldCharType="end"/>
      </w:r>
      <w:r>
        <w:rPr>
          <w:rFonts w:hint="eastAsia" w:ascii="宋体" w:hAnsi="宋体"/>
          <w:b/>
          <w:color w:val="auto"/>
          <w:sz w:val="22"/>
        </w:rPr>
        <w:t>）或各地分网站，向注册所在地或组织采购活动的采购代理机构（包括集中采购机构和社会中介采购代理机构）、采购单位等进行注册申请，按规定审核后，登记加入</w:t>
      </w:r>
      <w:r>
        <w:rPr>
          <w:rFonts w:hint="eastAsia" w:ascii="宋体"/>
          <w:b/>
          <w:color w:val="auto"/>
          <w:sz w:val="22"/>
        </w:rPr>
        <w:t>“</w:t>
      </w:r>
      <w:r>
        <w:rPr>
          <w:rFonts w:hint="eastAsia" w:ascii="宋体" w:hAnsi="宋体"/>
          <w:b/>
          <w:color w:val="auto"/>
          <w:sz w:val="22"/>
        </w:rPr>
        <w:t>浙江省政府采购供应商库</w:t>
      </w:r>
      <w:r>
        <w:rPr>
          <w:rFonts w:hint="eastAsia" w:ascii="宋体"/>
          <w:b/>
          <w:color w:val="auto"/>
          <w:sz w:val="22"/>
        </w:rPr>
        <w:t>”</w:t>
      </w:r>
      <w:r>
        <w:rPr>
          <w:rFonts w:hint="eastAsia" w:ascii="宋体" w:hAnsi="宋体"/>
          <w:b/>
          <w:color w:val="auto"/>
          <w:sz w:val="22"/>
        </w:rPr>
        <w:t>。</w:t>
      </w:r>
    </w:p>
    <w:p>
      <w:pPr>
        <w:widowControl/>
        <w:snapToGrid w:val="0"/>
        <w:spacing w:line="380" w:lineRule="exact"/>
        <w:ind w:firstLine="442" w:firstLineChars="200"/>
        <w:rPr>
          <w:rFonts w:ascii="宋体" w:hAnsi="宋体"/>
          <w:color w:val="auto"/>
          <w:sz w:val="22"/>
        </w:rPr>
      </w:pPr>
      <w:r>
        <w:rPr>
          <w:rFonts w:hint="eastAsia" w:ascii="宋体" w:hAnsi="宋体"/>
          <w:b/>
          <w:color w:val="auto"/>
          <w:sz w:val="22"/>
        </w:rPr>
        <w:t>▲</w:t>
      </w:r>
      <w:r>
        <w:rPr>
          <w:rFonts w:hint="eastAsia" w:ascii="宋体" w:hAnsi="宋体"/>
          <w:b/>
          <w:bCs/>
          <w:color w:val="auto"/>
          <w:sz w:val="22"/>
        </w:rPr>
        <w:t>11、本项目采用资格后审，符合资格要求的供应商均可在本公告附件下载竞争性磋商文件，并按竞争性磋商文件规定的时间、地点递交响应文件（竞争性磋商文件下载网址：</w:t>
      </w:r>
      <w:r>
        <w:rPr>
          <w:rFonts w:hint="eastAsia" w:hAnsi="宋体"/>
          <w:b/>
          <w:bCs/>
          <w:color w:val="auto"/>
          <w:sz w:val="22"/>
        </w:rPr>
        <w:t>浙江政府采购网（</w:t>
      </w:r>
      <w:r>
        <w:rPr>
          <w:rFonts w:hint="eastAsia"/>
          <w:b/>
          <w:bCs/>
          <w:color w:val="auto"/>
        </w:rPr>
        <w:t>http://www.zcygov.cn/</w:t>
      </w:r>
      <w:r>
        <w:rPr>
          <w:rFonts w:hint="eastAsia" w:hAnsi="宋体"/>
          <w:b/>
          <w:bCs/>
          <w:color w:val="auto"/>
          <w:sz w:val="22"/>
        </w:rPr>
        <w:t>）或</w:t>
      </w:r>
      <w:r>
        <w:rPr>
          <w:rFonts w:hint="eastAsia" w:ascii="宋体" w:hAnsi="宋体"/>
          <w:b/>
          <w:bCs/>
          <w:color w:val="auto"/>
          <w:sz w:val="22"/>
        </w:rPr>
        <w:t>泰顺县人民政府网 县公共资源交易中心（http://www.ts.gov.cn/col/col1383420/index.html）</w:t>
      </w:r>
      <w:r>
        <w:rPr>
          <w:rFonts w:ascii="宋体" w:hAnsi="宋体"/>
          <w:b/>
          <w:bCs/>
          <w:color w:val="auto"/>
          <w:sz w:val="22"/>
        </w:rPr>
        <w:t>,</w:t>
      </w:r>
      <w:r>
        <w:rPr>
          <w:rFonts w:hint="eastAsia" w:ascii="宋体" w:hAnsi="宋体"/>
          <w:b/>
          <w:bCs/>
          <w:color w:val="auto"/>
          <w:sz w:val="22"/>
        </w:rPr>
        <w:t>竞争性磋商文件如有补充更正均见</w:t>
      </w:r>
      <w:r>
        <w:rPr>
          <w:rFonts w:hint="eastAsia" w:hAnsi="宋体"/>
          <w:b/>
          <w:bCs/>
          <w:color w:val="auto"/>
          <w:sz w:val="22"/>
        </w:rPr>
        <w:t>浙江政府采购网（</w:t>
      </w:r>
      <w:r>
        <w:rPr>
          <w:rFonts w:hint="eastAsia"/>
          <w:b/>
          <w:bCs/>
          <w:color w:val="auto"/>
        </w:rPr>
        <w:t>http://www.zcygov.cn/</w:t>
      </w:r>
      <w:r>
        <w:rPr>
          <w:rFonts w:hint="eastAsia" w:ascii="宋体" w:hAnsi="宋体"/>
          <w:b/>
          <w:bCs/>
          <w:color w:val="auto"/>
          <w:sz w:val="22"/>
        </w:rPr>
        <w:t>）</w:t>
      </w:r>
      <w:r>
        <w:rPr>
          <w:rFonts w:hint="eastAsia" w:hAnsi="宋体"/>
          <w:b/>
          <w:bCs/>
          <w:color w:val="auto"/>
          <w:sz w:val="22"/>
        </w:rPr>
        <w:t>或</w:t>
      </w:r>
      <w:bookmarkStart w:id="0" w:name="_Hlk518910530"/>
      <w:r>
        <w:rPr>
          <w:rFonts w:hint="eastAsia" w:ascii="宋体" w:hAnsi="宋体"/>
          <w:b/>
          <w:bCs/>
          <w:color w:val="auto"/>
          <w:sz w:val="22"/>
        </w:rPr>
        <w:t>泰顺县人民政府网 县公共资源交易中心（http://www.ts.gov.cn/col/col1383420/index.html）。</w:t>
      </w:r>
      <w:bookmarkEnd w:id="0"/>
      <w:r>
        <w:rPr>
          <w:rFonts w:hint="eastAsia" w:ascii="宋体" w:hAnsi="宋体"/>
          <w:b/>
          <w:bCs/>
          <w:color w:val="auto"/>
          <w:sz w:val="22"/>
        </w:rPr>
        <w:t>供应商须在投标截止前自行查看是否有补充、更正文件，并按补充、更正文件要求投标，否则责任自负。</w:t>
      </w:r>
    </w:p>
    <w:p>
      <w:pPr>
        <w:autoSpaceDE w:val="0"/>
        <w:autoSpaceDN w:val="0"/>
        <w:adjustRightInd w:val="0"/>
        <w:spacing w:line="400" w:lineRule="atLeast"/>
        <w:ind w:firstLine="440" w:firstLineChars="200"/>
        <w:rPr>
          <w:rFonts w:ascii="宋体" w:hAnsi="宋体" w:cs="??_GB2312"/>
          <w:color w:val="auto"/>
          <w:sz w:val="22"/>
          <w:lang w:val="zh-CN"/>
        </w:rPr>
      </w:pPr>
      <w:r>
        <w:rPr>
          <w:rFonts w:hint="eastAsia" w:ascii="宋体" w:hAnsi="宋体" w:cs="??_GB2312"/>
          <w:color w:val="auto"/>
          <w:sz w:val="22"/>
        </w:rPr>
        <w:t>12</w:t>
      </w:r>
      <w:r>
        <w:rPr>
          <w:rFonts w:hint="eastAsia" w:ascii="宋体" w:hAnsi="宋体" w:cs="??_GB2312"/>
          <w:color w:val="auto"/>
          <w:sz w:val="22"/>
          <w:lang w:val="zh-CN"/>
        </w:rPr>
        <w:t>、本项目采用竞争性磋商采购方式进行采购，在磋商过程中，竞争性磋商小组可以根据竞争性磋商文件和磋商情况实质性变动采购需求中的技术、服务要求以及合同草案条款，但不得变动竞争性磋商文件中的其他内容。已提交响应文件的供应商，在提交最后报价之前，可以根据磋商情况退出磋商，其磋商保证金予以无息退还。</w:t>
      </w:r>
    </w:p>
    <w:p>
      <w:pPr>
        <w:autoSpaceDE w:val="0"/>
        <w:autoSpaceDN w:val="0"/>
        <w:adjustRightInd w:val="0"/>
        <w:spacing w:line="400" w:lineRule="atLeast"/>
        <w:rPr>
          <w:rFonts w:ascii="宋体" w:cs="??_GB2312"/>
          <w:b/>
          <w:color w:val="auto"/>
          <w:sz w:val="22"/>
          <w:lang w:val="zh-CN"/>
        </w:rPr>
      </w:pPr>
      <w:r>
        <w:rPr>
          <w:rFonts w:hint="eastAsia" w:ascii="宋体" w:hAnsi="宋体" w:cs="??_GB2312"/>
          <w:b/>
          <w:color w:val="auto"/>
          <w:sz w:val="22"/>
          <w:lang w:val="zh-CN"/>
        </w:rPr>
        <w:t>二、竞争性磋商文件</w:t>
      </w:r>
    </w:p>
    <w:p>
      <w:pPr>
        <w:spacing w:line="400" w:lineRule="atLeast"/>
        <w:ind w:firstLine="420"/>
        <w:rPr>
          <w:rFonts w:ascii="宋体"/>
          <w:color w:val="auto"/>
          <w:sz w:val="22"/>
        </w:rPr>
      </w:pPr>
      <w:r>
        <w:rPr>
          <w:rFonts w:ascii="宋体" w:hAnsi="宋体" w:cs="??_GB2312"/>
          <w:color w:val="auto"/>
          <w:sz w:val="22"/>
          <w:lang w:val="zh-CN"/>
        </w:rPr>
        <w:t>1</w:t>
      </w:r>
      <w:r>
        <w:rPr>
          <w:rFonts w:hint="eastAsia" w:ascii="宋体" w:hAnsi="宋体" w:cs="??_GB2312"/>
          <w:color w:val="auto"/>
          <w:sz w:val="22"/>
          <w:lang w:val="zh-CN"/>
        </w:rPr>
        <w:t>、竞争性磋商文件</w:t>
      </w:r>
    </w:p>
    <w:p>
      <w:pPr>
        <w:autoSpaceDE w:val="0"/>
        <w:autoSpaceDN w:val="0"/>
        <w:adjustRightInd w:val="0"/>
        <w:spacing w:line="400" w:lineRule="atLeast"/>
        <w:ind w:firstLine="420"/>
        <w:rPr>
          <w:rFonts w:ascii="宋体" w:cs="??_GB2312"/>
          <w:color w:val="auto"/>
          <w:sz w:val="22"/>
          <w:lang w:val="zh-CN"/>
        </w:rPr>
      </w:pPr>
      <w:r>
        <w:rPr>
          <w:rFonts w:ascii="宋体" w:hAnsi="宋体" w:cs="??_GB2312"/>
          <w:color w:val="auto"/>
          <w:sz w:val="22"/>
          <w:lang w:val="zh-CN"/>
        </w:rPr>
        <w:t>1.1</w:t>
      </w:r>
      <w:r>
        <w:rPr>
          <w:rFonts w:hint="eastAsia" w:ascii="宋体" w:hAnsi="宋体" w:cs="??_GB2312"/>
          <w:color w:val="auto"/>
          <w:sz w:val="22"/>
          <w:lang w:val="zh-CN"/>
        </w:rPr>
        <w:t>竞争性磋商文件的发放</w:t>
      </w:r>
    </w:p>
    <w:p>
      <w:pPr>
        <w:autoSpaceDE w:val="0"/>
        <w:autoSpaceDN w:val="0"/>
        <w:adjustRightInd w:val="0"/>
        <w:spacing w:line="400" w:lineRule="atLeast"/>
        <w:ind w:firstLine="770" w:firstLineChars="350"/>
        <w:rPr>
          <w:rFonts w:ascii="宋体" w:cs="??_GB2312"/>
          <w:color w:val="auto"/>
          <w:sz w:val="22"/>
          <w:lang w:val="zh-CN"/>
        </w:rPr>
      </w:pPr>
      <w:r>
        <w:rPr>
          <w:rFonts w:hint="eastAsia" w:ascii="宋体" w:hAnsi="宋体" w:cs="??_GB2312"/>
          <w:color w:val="auto"/>
          <w:sz w:val="22"/>
          <w:lang w:val="zh-CN"/>
        </w:rPr>
        <w:t>本项目直接</w:t>
      </w:r>
      <w:r>
        <w:rPr>
          <w:rFonts w:ascii="宋体" w:hAnsi="宋体" w:cs="??_GB2312"/>
          <w:color w:val="auto"/>
          <w:sz w:val="22"/>
          <w:lang w:val="zh-CN"/>
        </w:rPr>
        <w:t>在</w:t>
      </w:r>
      <w:r>
        <w:rPr>
          <w:rFonts w:hint="eastAsia" w:ascii="宋体" w:hAnsi="宋体" w:cs="??_GB2312"/>
          <w:color w:val="auto"/>
          <w:sz w:val="22"/>
          <w:lang w:val="zh-CN"/>
        </w:rPr>
        <w:t>上</w:t>
      </w:r>
      <w:r>
        <w:rPr>
          <w:rFonts w:hint="eastAsia" w:ascii="宋体" w:hAnsi="宋体" w:cs="??_GB2312"/>
          <w:color w:val="auto"/>
          <w:sz w:val="22"/>
        </w:rPr>
        <w:t>下载</w:t>
      </w:r>
      <w:r>
        <w:rPr>
          <w:rFonts w:hint="eastAsia" w:ascii="宋体" w:hAnsi="宋体" w:cs="??_GB2312"/>
          <w:color w:val="auto"/>
          <w:sz w:val="22"/>
          <w:lang w:val="zh-CN"/>
        </w:rPr>
        <w:t>竞争性磋商文件。</w:t>
      </w:r>
    </w:p>
    <w:p>
      <w:pPr>
        <w:autoSpaceDE w:val="0"/>
        <w:autoSpaceDN w:val="0"/>
        <w:adjustRightInd w:val="0"/>
        <w:spacing w:line="400" w:lineRule="atLeast"/>
        <w:ind w:firstLine="431" w:firstLineChars="196"/>
        <w:textAlignment w:val="bottom"/>
        <w:outlineLvl w:val="1"/>
        <w:rPr>
          <w:rFonts w:ascii="宋体"/>
          <w:color w:val="auto"/>
          <w:sz w:val="22"/>
        </w:rPr>
      </w:pPr>
      <w:r>
        <w:rPr>
          <w:rFonts w:ascii="宋体" w:hAnsi="宋体" w:cs="??_GB2312"/>
          <w:color w:val="auto"/>
          <w:sz w:val="22"/>
          <w:lang w:val="zh-CN"/>
        </w:rPr>
        <w:t>1.2</w:t>
      </w:r>
      <w:r>
        <w:rPr>
          <w:rFonts w:hint="eastAsia" w:ascii="宋体" w:hAnsi="宋体"/>
          <w:color w:val="auto"/>
          <w:sz w:val="22"/>
        </w:rPr>
        <w:t>竞争性磋商文件约束力</w:t>
      </w:r>
    </w:p>
    <w:p>
      <w:pPr>
        <w:autoSpaceDE w:val="0"/>
        <w:autoSpaceDN w:val="0"/>
        <w:adjustRightInd w:val="0"/>
        <w:spacing w:line="400" w:lineRule="atLeast"/>
        <w:ind w:firstLine="442" w:firstLineChars="200"/>
        <w:rPr>
          <w:rFonts w:ascii="宋体" w:cs="??_GB2312"/>
          <w:b/>
          <w:color w:val="auto"/>
          <w:sz w:val="22"/>
          <w:lang w:val="zh-CN"/>
        </w:rPr>
      </w:pPr>
      <w:r>
        <w:rPr>
          <w:rFonts w:hint="eastAsia" w:ascii="宋体" w:hAnsi="宋体" w:cs="??_GB2312"/>
          <w:b/>
          <w:color w:val="auto"/>
          <w:sz w:val="22"/>
          <w:lang w:val="zh-CN"/>
        </w:rPr>
        <w:t>供应商</w:t>
      </w:r>
      <w:r>
        <w:rPr>
          <w:rFonts w:hint="eastAsia" w:ascii="宋体" w:hAnsi="宋体"/>
          <w:b/>
          <w:color w:val="auto"/>
          <w:sz w:val="22"/>
        </w:rPr>
        <w:t>一旦网上成功报名和下载了本项目竞争性磋商文件，在质疑期内未提出质疑，并参加投标，即被认为接受了本竞争性磋商文件中所有条款和规定。</w:t>
      </w:r>
    </w:p>
    <w:p>
      <w:pPr>
        <w:autoSpaceDE w:val="0"/>
        <w:autoSpaceDN w:val="0"/>
        <w:adjustRightInd w:val="0"/>
        <w:spacing w:line="400" w:lineRule="atLeast"/>
        <w:ind w:firstLine="440" w:firstLineChars="200"/>
        <w:rPr>
          <w:rFonts w:ascii="宋体" w:cs="??_GB2312"/>
          <w:color w:val="auto"/>
          <w:sz w:val="22"/>
          <w:lang w:val="zh-CN"/>
        </w:rPr>
      </w:pPr>
      <w:r>
        <w:rPr>
          <w:rFonts w:ascii="宋体" w:hAnsi="宋体" w:cs="??_GB2312"/>
          <w:color w:val="auto"/>
          <w:sz w:val="22"/>
          <w:lang w:val="zh-CN"/>
        </w:rPr>
        <w:t>2</w:t>
      </w:r>
      <w:r>
        <w:rPr>
          <w:rFonts w:hint="eastAsia" w:ascii="宋体" w:hAnsi="宋体" w:cs="??_GB2312"/>
          <w:color w:val="auto"/>
          <w:sz w:val="22"/>
          <w:lang w:val="zh-CN"/>
        </w:rPr>
        <w:t>、竞争性磋商文件的澄清</w:t>
      </w:r>
    </w:p>
    <w:p>
      <w:pPr>
        <w:autoSpaceDE w:val="0"/>
        <w:autoSpaceDN w:val="0"/>
        <w:adjustRightInd w:val="0"/>
        <w:spacing w:line="400" w:lineRule="atLeast"/>
        <w:ind w:firstLine="440" w:firstLineChars="200"/>
        <w:rPr>
          <w:rFonts w:ascii="宋体" w:cs="??_GB2312"/>
          <w:color w:val="auto"/>
          <w:sz w:val="22"/>
          <w:lang w:val="zh-CN"/>
        </w:rPr>
      </w:pPr>
      <w:r>
        <w:rPr>
          <w:rFonts w:hint="eastAsia" w:ascii="宋体" w:hAnsi="宋体" w:cs="??_GB2312"/>
          <w:color w:val="auto"/>
          <w:sz w:val="22"/>
          <w:lang w:val="zh-CN"/>
        </w:rPr>
        <w:t>供应商对竞争性磋商文件如有疑点要求澄清，或认为有必要与采购单位进行技术交流，可用书面形式（包括信函、传真，下同）通知采购机构，但通知应在竞争性磋商文件规定的质疑期前使采购单位或其代理机构收到，采购单位或其代理机构将用书面形式予以答复。如有必要，可将不说明来源的答复发给各有关供应商或并将此答复通知放至相关网站公示。逾期的质疑不予接受。</w:t>
      </w:r>
    </w:p>
    <w:p>
      <w:pPr>
        <w:autoSpaceDE w:val="0"/>
        <w:autoSpaceDN w:val="0"/>
        <w:adjustRightInd w:val="0"/>
        <w:spacing w:line="400" w:lineRule="atLeast"/>
        <w:ind w:firstLine="440" w:firstLineChars="200"/>
        <w:rPr>
          <w:rFonts w:ascii="宋体" w:cs="??_GB2312"/>
          <w:color w:val="auto"/>
          <w:sz w:val="22"/>
          <w:lang w:val="zh-CN"/>
        </w:rPr>
      </w:pPr>
      <w:r>
        <w:rPr>
          <w:rFonts w:ascii="宋体" w:hAnsi="宋体" w:cs="??_GB2312"/>
          <w:color w:val="auto"/>
          <w:sz w:val="22"/>
          <w:lang w:val="zh-CN"/>
        </w:rPr>
        <w:t>3</w:t>
      </w:r>
      <w:r>
        <w:rPr>
          <w:rFonts w:hint="eastAsia" w:ascii="宋体" w:hAnsi="宋体" w:cs="??_GB2312"/>
          <w:color w:val="auto"/>
          <w:sz w:val="22"/>
          <w:lang w:val="zh-CN"/>
        </w:rPr>
        <w:t>、竞争性磋商文件的修改</w:t>
      </w:r>
    </w:p>
    <w:p>
      <w:pPr>
        <w:autoSpaceDE w:val="0"/>
        <w:autoSpaceDN w:val="0"/>
        <w:adjustRightInd w:val="0"/>
        <w:spacing w:line="400" w:lineRule="atLeast"/>
        <w:ind w:firstLine="440" w:firstLineChars="200"/>
        <w:rPr>
          <w:rFonts w:ascii="宋体" w:cs="??_GB2312"/>
          <w:color w:val="auto"/>
          <w:sz w:val="22"/>
          <w:lang w:val="zh-CN"/>
        </w:rPr>
      </w:pPr>
      <w:r>
        <w:rPr>
          <w:rFonts w:ascii="宋体" w:hAnsi="宋体" w:cs="??_GB2312"/>
          <w:color w:val="auto"/>
          <w:sz w:val="22"/>
          <w:lang w:val="zh-CN"/>
        </w:rPr>
        <w:t>3.1</w:t>
      </w:r>
      <w:r>
        <w:rPr>
          <w:rFonts w:hint="eastAsia" w:ascii="宋体" w:hAnsi="宋体" w:cs="??_GB2312"/>
          <w:color w:val="auto"/>
          <w:sz w:val="22"/>
          <w:lang w:val="zh-CN"/>
        </w:rPr>
        <w:t>在投标截止时间前，采购单位或采购机构有权修改竞争性磋商文件，并以书面形式通知供应商。补充文件作为竞争性磋商文件的补充和组成部分，对所有供应商均有约束力。</w:t>
      </w:r>
    </w:p>
    <w:p>
      <w:pPr>
        <w:autoSpaceDE w:val="0"/>
        <w:autoSpaceDN w:val="0"/>
        <w:adjustRightInd w:val="0"/>
        <w:spacing w:line="400" w:lineRule="atLeast"/>
        <w:ind w:firstLine="440" w:firstLineChars="200"/>
        <w:rPr>
          <w:rFonts w:ascii="宋体" w:cs="??_GB2312"/>
          <w:b/>
          <w:color w:val="auto"/>
          <w:sz w:val="22"/>
          <w:lang w:val="zh-CN"/>
        </w:rPr>
      </w:pPr>
      <w:r>
        <w:rPr>
          <w:rFonts w:ascii="宋体" w:hAnsi="宋体" w:cs="??_GB2312"/>
          <w:color w:val="auto"/>
          <w:sz w:val="22"/>
          <w:lang w:val="zh-CN"/>
        </w:rPr>
        <w:t>3.2</w:t>
      </w:r>
      <w:r>
        <w:rPr>
          <w:rFonts w:hint="eastAsia" w:ascii="宋体" w:hAnsi="宋体" w:cs="??_GB2312"/>
          <w:color w:val="auto"/>
          <w:sz w:val="22"/>
          <w:lang w:val="zh-CN"/>
        </w:rPr>
        <w:t>为使供应商有足够的时间按竞争性磋商文件要求修正响应文件，采购单位按相关规定推迟投标截止时间和开标时间，并将此变更通知放至相关网站公示。</w:t>
      </w:r>
    </w:p>
    <w:p>
      <w:pPr>
        <w:autoSpaceDE w:val="0"/>
        <w:autoSpaceDN w:val="0"/>
        <w:adjustRightInd w:val="0"/>
        <w:spacing w:line="400" w:lineRule="atLeast"/>
        <w:rPr>
          <w:rFonts w:ascii="宋体" w:cs="??_GB2312"/>
          <w:b/>
          <w:color w:val="auto"/>
          <w:sz w:val="22"/>
          <w:lang w:val="zh-CN"/>
        </w:rPr>
      </w:pPr>
      <w:r>
        <w:rPr>
          <w:rFonts w:hint="eastAsia" w:ascii="宋体" w:hAnsi="宋体" w:cs="??_GB2312"/>
          <w:b/>
          <w:color w:val="auto"/>
          <w:sz w:val="22"/>
        </w:rPr>
        <w:t>三</w:t>
      </w:r>
      <w:r>
        <w:rPr>
          <w:rFonts w:hint="eastAsia" w:ascii="宋体" w:hAnsi="宋体" w:cs="??_GB2312"/>
          <w:b/>
          <w:color w:val="auto"/>
          <w:sz w:val="22"/>
          <w:lang w:val="zh-CN"/>
        </w:rPr>
        <w:t>、响应文件</w:t>
      </w:r>
    </w:p>
    <w:p>
      <w:pPr>
        <w:autoSpaceDE w:val="0"/>
        <w:autoSpaceDN w:val="0"/>
        <w:adjustRightInd w:val="0"/>
        <w:spacing w:line="400" w:lineRule="atLeast"/>
        <w:ind w:firstLine="440" w:firstLineChars="200"/>
        <w:rPr>
          <w:rFonts w:ascii="宋体" w:cs="??_GB2312"/>
          <w:color w:val="auto"/>
          <w:sz w:val="22"/>
          <w:lang w:val="zh-CN"/>
        </w:rPr>
      </w:pPr>
      <w:r>
        <w:rPr>
          <w:rFonts w:ascii="宋体" w:hAnsi="宋体" w:cs="??_GB2312"/>
          <w:color w:val="auto"/>
          <w:sz w:val="22"/>
          <w:lang w:val="zh-CN"/>
        </w:rPr>
        <w:t>1</w:t>
      </w:r>
      <w:r>
        <w:rPr>
          <w:rFonts w:hint="eastAsia" w:ascii="宋体" w:hAnsi="宋体" w:cs="??_GB2312"/>
          <w:color w:val="auto"/>
          <w:sz w:val="22"/>
          <w:lang w:val="zh-CN"/>
        </w:rPr>
        <w:t>、响应文件</w:t>
      </w:r>
    </w:p>
    <w:p>
      <w:pPr>
        <w:autoSpaceDE w:val="0"/>
        <w:autoSpaceDN w:val="0"/>
        <w:adjustRightInd w:val="0"/>
        <w:snapToGrid w:val="0"/>
        <w:spacing w:line="400" w:lineRule="atLeast"/>
        <w:ind w:firstLine="480" w:firstLineChars="200"/>
        <w:textAlignment w:val="bottom"/>
        <w:rPr>
          <w:rFonts w:ascii="宋体" w:cs="Arial"/>
          <w:color w:val="auto"/>
          <w:sz w:val="22"/>
          <w:szCs w:val="22"/>
        </w:rPr>
      </w:pPr>
      <w:r>
        <w:rPr>
          <w:rFonts w:ascii="宋体"/>
          <w:color w:val="auto"/>
          <w:sz w:val="24"/>
        </w:rPr>
        <w:t>1</w:t>
      </w:r>
      <w:r>
        <w:rPr>
          <w:rFonts w:ascii="宋体" w:cs="Arial"/>
          <w:color w:val="auto"/>
          <w:sz w:val="22"/>
          <w:szCs w:val="22"/>
        </w:rPr>
        <w:t xml:space="preserve">.1 </w:t>
      </w:r>
      <w:r>
        <w:rPr>
          <w:rFonts w:hint="eastAsia" w:ascii="宋体" w:cs="Arial"/>
          <w:color w:val="auto"/>
          <w:sz w:val="22"/>
          <w:szCs w:val="22"/>
        </w:rPr>
        <w:t>供应商提交的投标文件以及供应商与采购单位就有关投标的所有来往函电均应使用中文。供应商可以提交用其它语言印制的资料，但必须译成中文，在有差异和矛盾时以中文为准。</w:t>
      </w:r>
    </w:p>
    <w:p>
      <w:pPr>
        <w:autoSpaceDE w:val="0"/>
        <w:autoSpaceDN w:val="0"/>
        <w:adjustRightInd w:val="0"/>
        <w:snapToGrid w:val="0"/>
        <w:spacing w:line="400" w:lineRule="atLeast"/>
        <w:ind w:firstLine="440" w:firstLineChars="200"/>
        <w:textAlignment w:val="bottom"/>
        <w:rPr>
          <w:rFonts w:ascii="宋体" w:cs="Arial"/>
          <w:color w:val="auto"/>
          <w:sz w:val="22"/>
          <w:szCs w:val="22"/>
        </w:rPr>
      </w:pPr>
      <w:r>
        <w:rPr>
          <w:rFonts w:ascii="宋体" w:cs="Arial"/>
          <w:color w:val="auto"/>
          <w:sz w:val="22"/>
          <w:szCs w:val="22"/>
          <w:lang w:val="zh-CN"/>
        </w:rPr>
        <w:t>1.</w:t>
      </w:r>
      <w:r>
        <w:rPr>
          <w:rFonts w:ascii="宋体" w:cs="Arial"/>
          <w:color w:val="auto"/>
          <w:sz w:val="22"/>
          <w:szCs w:val="22"/>
        </w:rPr>
        <w:t xml:space="preserve">2 </w:t>
      </w:r>
      <w:r>
        <w:rPr>
          <w:rFonts w:hint="eastAsia" w:ascii="宋体" w:cs="Arial"/>
          <w:color w:val="auto"/>
          <w:sz w:val="22"/>
          <w:szCs w:val="22"/>
        </w:rPr>
        <w:t>供应商提交的投标文件报价均采用人民币报价。</w:t>
      </w:r>
    </w:p>
    <w:p>
      <w:pPr>
        <w:autoSpaceDE w:val="0"/>
        <w:autoSpaceDN w:val="0"/>
        <w:adjustRightInd w:val="0"/>
        <w:snapToGrid w:val="0"/>
        <w:spacing w:line="400" w:lineRule="atLeast"/>
        <w:ind w:firstLine="440" w:firstLineChars="200"/>
        <w:textAlignment w:val="bottom"/>
        <w:rPr>
          <w:rFonts w:ascii="宋体" w:cs="Arial"/>
          <w:color w:val="auto"/>
          <w:sz w:val="22"/>
          <w:szCs w:val="22"/>
        </w:rPr>
      </w:pPr>
      <w:r>
        <w:rPr>
          <w:rFonts w:ascii="宋体" w:cs="Arial"/>
          <w:color w:val="auto"/>
          <w:sz w:val="22"/>
          <w:szCs w:val="22"/>
          <w:lang w:val="zh-CN"/>
        </w:rPr>
        <w:t>1.</w:t>
      </w:r>
      <w:r>
        <w:rPr>
          <w:rFonts w:ascii="宋体" w:cs="Arial"/>
          <w:color w:val="auto"/>
          <w:sz w:val="22"/>
          <w:szCs w:val="22"/>
        </w:rPr>
        <w:t xml:space="preserve">3 </w:t>
      </w:r>
      <w:r>
        <w:rPr>
          <w:rFonts w:hint="eastAsia" w:ascii="宋体" w:cs="Arial"/>
          <w:color w:val="auto"/>
          <w:sz w:val="22"/>
          <w:szCs w:val="22"/>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pPr>
        <w:autoSpaceDE w:val="0"/>
        <w:autoSpaceDN w:val="0"/>
        <w:adjustRightInd w:val="0"/>
        <w:snapToGrid w:val="0"/>
        <w:spacing w:line="400" w:lineRule="atLeast"/>
        <w:ind w:firstLine="440" w:firstLineChars="200"/>
        <w:textAlignment w:val="bottom"/>
        <w:rPr>
          <w:rFonts w:ascii="宋体" w:cs="Arial"/>
          <w:color w:val="auto"/>
          <w:sz w:val="22"/>
          <w:szCs w:val="22"/>
        </w:rPr>
      </w:pPr>
      <w:r>
        <w:rPr>
          <w:rFonts w:ascii="宋体" w:cs="Arial"/>
          <w:color w:val="auto"/>
          <w:sz w:val="22"/>
          <w:szCs w:val="22"/>
          <w:lang w:val="zh-CN"/>
        </w:rPr>
        <w:t>1.</w:t>
      </w:r>
      <w:r>
        <w:rPr>
          <w:rFonts w:ascii="宋体" w:cs="Arial"/>
          <w:color w:val="auto"/>
          <w:sz w:val="22"/>
          <w:szCs w:val="22"/>
        </w:rPr>
        <w:t xml:space="preserve">4 </w:t>
      </w:r>
      <w:r>
        <w:rPr>
          <w:rFonts w:hint="eastAsia" w:ascii="宋体" w:cs="Arial"/>
          <w:color w:val="auto"/>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00" w:lineRule="atLeast"/>
        <w:ind w:firstLine="440" w:firstLineChars="200"/>
        <w:rPr>
          <w:rFonts w:ascii="宋体"/>
          <w:color w:val="auto"/>
          <w:sz w:val="22"/>
          <w:lang w:val="zh-CN"/>
        </w:rPr>
      </w:pPr>
      <w:r>
        <w:rPr>
          <w:rFonts w:ascii="宋体" w:cs="仿宋_GB2312"/>
          <w:color w:val="auto"/>
          <w:sz w:val="22"/>
          <w:szCs w:val="22"/>
          <w:lang w:val="zh-CN"/>
        </w:rPr>
        <w:t>1.</w:t>
      </w:r>
      <w:r>
        <w:rPr>
          <w:rFonts w:ascii="宋体" w:cs="仿宋_GB2312"/>
          <w:color w:val="auto"/>
          <w:sz w:val="22"/>
          <w:szCs w:val="22"/>
        </w:rPr>
        <w:t xml:space="preserve">5 </w:t>
      </w:r>
      <w:r>
        <w:rPr>
          <w:rFonts w:hint="eastAsia" w:ascii="宋体" w:cs="仿宋_GB2312"/>
          <w:color w:val="auto"/>
          <w:sz w:val="22"/>
          <w:szCs w:val="22"/>
          <w:lang w:val="zh-CN"/>
        </w:rPr>
        <w:t>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pacing w:line="400" w:lineRule="atLeast"/>
        <w:ind w:firstLine="440" w:firstLineChars="200"/>
        <w:rPr>
          <w:rFonts w:ascii="宋体" w:cs="??_GB2312"/>
          <w:b/>
          <w:color w:val="auto"/>
          <w:sz w:val="22"/>
          <w:lang w:val="zh-CN"/>
        </w:rPr>
      </w:pPr>
      <w:r>
        <w:rPr>
          <w:rFonts w:ascii="宋体" w:hAnsi="宋体" w:cs="??_GB2312"/>
          <w:color w:val="auto"/>
          <w:sz w:val="22"/>
          <w:lang w:val="zh-CN"/>
        </w:rPr>
        <w:t>2</w:t>
      </w:r>
      <w:r>
        <w:rPr>
          <w:rFonts w:hint="eastAsia" w:ascii="宋体" w:hAnsi="宋体" w:cs="??_GB2312"/>
          <w:color w:val="auto"/>
          <w:sz w:val="22"/>
          <w:lang w:val="zh-CN"/>
        </w:rPr>
        <w:t>、响应文件的组成</w:t>
      </w:r>
    </w:p>
    <w:p>
      <w:pPr>
        <w:autoSpaceDE w:val="0"/>
        <w:autoSpaceDN w:val="0"/>
        <w:adjustRightInd w:val="0"/>
        <w:snapToGrid w:val="0"/>
        <w:spacing w:line="400" w:lineRule="atLeast"/>
        <w:ind w:firstLine="442" w:firstLineChars="200"/>
        <w:rPr>
          <w:rFonts w:ascii="宋体"/>
          <w:b/>
          <w:bCs/>
          <w:color w:val="auto"/>
          <w:sz w:val="22"/>
          <w:lang w:val="zh-CN"/>
        </w:rPr>
      </w:pPr>
      <w:bookmarkStart w:id="1" w:name="_Toc132124596"/>
      <w:bookmarkStart w:id="2" w:name="_Toc132655778"/>
      <w:bookmarkStart w:id="3" w:name="_Toc132125153"/>
      <w:bookmarkStart w:id="4" w:name="_Toc132123840"/>
      <w:bookmarkStart w:id="5" w:name="_Toc493530208"/>
      <w:bookmarkStart w:id="6" w:name="_Toc132126156"/>
      <w:bookmarkStart w:id="7" w:name="_Toc132125039"/>
      <w:bookmarkStart w:id="8" w:name="_Toc132122418"/>
      <w:bookmarkStart w:id="9" w:name="_Toc132123441"/>
      <w:bookmarkStart w:id="10" w:name="_Toc132123883"/>
      <w:bookmarkStart w:id="11" w:name="_Toc132123549"/>
      <w:bookmarkStart w:id="12" w:name="_Toc132122121"/>
      <w:bookmarkStart w:id="13" w:name="_Toc132125985"/>
      <w:bookmarkStart w:id="14" w:name="_Toc132125576"/>
      <w:bookmarkStart w:id="15" w:name="_Toc132125097"/>
      <w:bookmarkStart w:id="16" w:name="_Toc132123636"/>
      <w:r>
        <w:rPr>
          <w:rFonts w:hint="eastAsia" w:ascii="宋体" w:hAnsi="宋体" w:cs="Arial"/>
          <w:b/>
          <w:color w:val="auto"/>
          <w:sz w:val="22"/>
        </w:rPr>
        <w:t>▲</w:t>
      </w:r>
      <w:r>
        <w:rPr>
          <w:rFonts w:hint="eastAsia" w:ascii="宋体"/>
          <w:b/>
          <w:bCs/>
          <w:color w:val="auto"/>
          <w:sz w:val="22"/>
        </w:rPr>
        <w:t>投标文件由《资格文件》、《商务技术文件》、《报价文件》三部分组成。《资格文件》和《商务技术文件》不得含报价，否则投标将被拒绝。</w:t>
      </w:r>
    </w:p>
    <w:p>
      <w:pPr>
        <w:autoSpaceDE w:val="0"/>
        <w:autoSpaceDN w:val="0"/>
        <w:adjustRightInd w:val="0"/>
        <w:snapToGrid w:val="0"/>
        <w:spacing w:line="400" w:lineRule="atLeast"/>
        <w:ind w:firstLine="440" w:firstLineChars="200"/>
        <w:rPr>
          <w:rFonts w:ascii="宋体" w:hAnsi="宋体" w:eastAsia="宋体" w:cs="宋体"/>
          <w:b/>
          <w:bCs/>
          <w:color w:val="auto"/>
          <w:sz w:val="22"/>
          <w:szCs w:val="22"/>
          <w:lang w:val="zh-CN"/>
        </w:rPr>
      </w:pPr>
      <w:bookmarkStart w:id="17" w:name="_Hlk519085152"/>
      <w:r>
        <w:rPr>
          <w:rFonts w:hint="eastAsia" w:ascii="宋体" w:hAnsi="宋体" w:eastAsia="宋体" w:cs="宋体"/>
          <w:color w:val="auto"/>
          <w:sz w:val="22"/>
          <w:szCs w:val="22"/>
          <w:lang w:val="zh-CN"/>
        </w:rPr>
        <w:t>2.1</w:t>
      </w:r>
      <w:r>
        <w:rPr>
          <w:rFonts w:hint="eastAsia" w:ascii="宋体" w:hAnsi="宋体" w:eastAsia="宋体" w:cs="宋体"/>
          <w:b/>
          <w:bCs/>
          <w:color w:val="auto"/>
          <w:sz w:val="22"/>
          <w:szCs w:val="22"/>
        </w:rPr>
        <w:t>《报价文件》</w:t>
      </w:r>
      <w:r>
        <w:rPr>
          <w:rFonts w:hint="eastAsia" w:ascii="宋体" w:hAnsi="宋体" w:eastAsia="宋体" w:cs="宋体"/>
          <w:b/>
          <w:bCs/>
          <w:color w:val="auto"/>
          <w:sz w:val="22"/>
          <w:szCs w:val="22"/>
          <w:lang w:val="zh-CN"/>
        </w:rPr>
        <w:t>组成</w:t>
      </w:r>
    </w:p>
    <w:tbl>
      <w:tblPr>
        <w:tblStyle w:val="2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autoSpaceDE w:val="0"/>
              <w:autoSpaceDN w:val="0"/>
              <w:adjustRightInd w:val="0"/>
              <w:snapToGrid w:val="0"/>
              <w:spacing w:line="400" w:lineRule="atLeast"/>
              <w:rPr>
                <w:rFonts w:ascii="宋体" w:hAnsi="宋体" w:eastAsia="宋体" w:cs="宋体"/>
                <w:color w:val="auto"/>
                <w:sz w:val="22"/>
                <w:szCs w:val="22"/>
                <w:lang w:val="zh-CN"/>
              </w:rPr>
            </w:pPr>
            <w:r>
              <w:rPr>
                <w:rFonts w:hint="eastAsia" w:ascii="宋体" w:hAnsi="宋体" w:eastAsia="宋体" w:cs="宋体"/>
                <w:color w:val="auto"/>
                <w:sz w:val="22"/>
                <w:szCs w:val="22"/>
                <w:lang w:val="zh-CN"/>
              </w:rPr>
              <w:t>序号</w:t>
            </w:r>
          </w:p>
        </w:tc>
        <w:tc>
          <w:tcPr>
            <w:tcW w:w="8386" w:type="dxa"/>
          </w:tcPr>
          <w:p>
            <w:pPr>
              <w:autoSpaceDE w:val="0"/>
              <w:autoSpaceDN w:val="0"/>
              <w:adjustRightInd w:val="0"/>
              <w:snapToGrid w:val="0"/>
              <w:spacing w:line="400" w:lineRule="atLeast"/>
              <w:rPr>
                <w:rFonts w:ascii="宋体" w:hAnsi="宋体" w:eastAsia="宋体" w:cs="宋体"/>
                <w:color w:val="auto"/>
                <w:sz w:val="22"/>
                <w:szCs w:val="22"/>
                <w:lang w:val="zh-CN"/>
              </w:rPr>
            </w:pPr>
            <w:r>
              <w:rPr>
                <w:rFonts w:hint="eastAsia" w:ascii="宋体" w:hAnsi="宋体" w:eastAsia="宋体" w:cs="宋体"/>
                <w:color w:val="auto"/>
                <w:sz w:val="22"/>
                <w:szCs w:val="22"/>
              </w:rPr>
              <w:t>内容（</w:t>
            </w:r>
            <w:r>
              <w:rPr>
                <w:rFonts w:hint="eastAsia" w:ascii="宋体" w:hAnsi="宋体" w:eastAsia="宋体" w:cs="宋体"/>
                <w:b/>
                <w:bCs/>
                <w:color w:val="auto"/>
                <w:sz w:val="22"/>
                <w:szCs w:val="22"/>
              </w:rPr>
              <w:t>▲序号1项供应商必须提供，否则不能通过符合性审查的，责任自负</w:t>
            </w:r>
            <w:r>
              <w:rPr>
                <w:rFonts w:hint="eastAsia" w:ascii="宋体" w:hAnsi="宋体" w:eastAsia="宋体" w:cs="宋体"/>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1.</w:t>
            </w:r>
          </w:p>
        </w:tc>
        <w:tc>
          <w:tcPr>
            <w:tcW w:w="8386" w:type="dxa"/>
          </w:tcPr>
          <w:p>
            <w:pPr>
              <w:autoSpaceDE w:val="0"/>
              <w:autoSpaceDN w:val="0"/>
              <w:adjustRightInd w:val="0"/>
              <w:spacing w:line="400" w:lineRule="atLeast"/>
              <w:textAlignment w:val="bottom"/>
              <w:rPr>
                <w:rFonts w:ascii="宋体" w:hAnsi="宋体" w:eastAsia="宋体" w:cs="宋体"/>
                <w:color w:val="auto"/>
                <w:sz w:val="22"/>
                <w:szCs w:val="22"/>
              </w:rPr>
            </w:pPr>
            <w:r>
              <w:rPr>
                <w:rFonts w:hint="eastAsia" w:ascii="宋体" w:hAnsi="宋体" w:eastAsia="宋体" w:cs="宋体"/>
                <w:color w:val="auto"/>
                <w:sz w:val="22"/>
                <w:szCs w:val="22"/>
              </w:rPr>
              <w:t>投标报价一览表（见附件一）</w:t>
            </w:r>
          </w:p>
        </w:tc>
      </w:tr>
    </w:tbl>
    <w:p>
      <w:pPr>
        <w:autoSpaceDE w:val="0"/>
        <w:autoSpaceDN w:val="0"/>
        <w:adjustRightInd w:val="0"/>
        <w:snapToGrid w:val="0"/>
        <w:spacing w:line="400" w:lineRule="atLeast"/>
        <w:ind w:firstLine="440" w:firstLineChars="200"/>
        <w:textAlignment w:val="bottom"/>
        <w:rPr>
          <w:rFonts w:ascii="宋体" w:hAnsi="宋体" w:eastAsia="宋体" w:cs="宋体"/>
          <w:color w:val="auto"/>
          <w:sz w:val="22"/>
          <w:szCs w:val="22"/>
        </w:rPr>
      </w:pPr>
      <w:r>
        <w:rPr>
          <w:rFonts w:hint="eastAsia" w:ascii="宋体" w:hAnsi="宋体" w:eastAsia="宋体" w:cs="宋体"/>
          <w:color w:val="auto"/>
          <w:sz w:val="22"/>
          <w:szCs w:val="22"/>
        </w:rPr>
        <w:t>2.2</w:t>
      </w:r>
      <w:r>
        <w:rPr>
          <w:rFonts w:hint="eastAsia" w:ascii="宋体" w:hAnsi="宋体" w:eastAsia="宋体" w:cs="宋体"/>
          <w:b/>
          <w:bCs/>
          <w:color w:val="auto"/>
          <w:sz w:val="22"/>
          <w:szCs w:val="22"/>
        </w:rPr>
        <w:t>《资格文件》组成</w:t>
      </w:r>
    </w:p>
    <w:tbl>
      <w:tblPr>
        <w:tblStyle w:val="2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序号</w:t>
            </w: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资信部分</w:t>
            </w:r>
            <w:r>
              <w:rPr>
                <w:rFonts w:hint="eastAsia" w:ascii="宋体" w:hAnsi="宋体" w:eastAsia="宋体" w:cs="宋体"/>
                <w:b/>
                <w:bCs/>
                <w:color w:val="auto"/>
                <w:sz w:val="22"/>
                <w:szCs w:val="22"/>
              </w:rPr>
              <w:t>（▲序号1-9项供应商必须提供，否则不能通过资格审查的，责任自负）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9"/>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供应商特定资格条件证明（如有）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9"/>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color w:val="auto"/>
                <w:sz w:val="22"/>
                <w:szCs w:val="22"/>
              </w:rPr>
            </w:pPr>
            <w:r>
              <w:rPr>
                <w:rFonts w:hint="eastAsia" w:ascii="宋体"/>
                <w:color w:val="auto"/>
                <w:sz w:val="22"/>
              </w:rPr>
              <w:t>落实政府采购政策需满足的资格要求</w:t>
            </w:r>
            <w:r>
              <w:rPr>
                <w:rFonts w:hint="eastAsia" w:ascii="宋体" w:hAnsi="宋体" w:eastAsia="宋体" w:cs="宋体"/>
                <w:color w:val="auto"/>
                <w:sz w:val="22"/>
                <w:szCs w:val="22"/>
              </w:rPr>
              <w:t>（《中小企业声明函》）（见附件二）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9"/>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供应商的营业执照、税务登记证（如为多证合一仅需提供营业执照）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34" w:type="dxa"/>
            <w:tcBorders>
              <w:top w:val="single" w:color="auto" w:sz="4" w:space="0"/>
              <w:left w:val="single" w:color="auto" w:sz="4" w:space="0"/>
              <w:bottom w:val="single" w:color="auto" w:sz="4" w:space="0"/>
              <w:right w:val="single" w:color="auto" w:sz="4" w:space="0"/>
            </w:tcBorders>
          </w:tcPr>
          <w:p>
            <w:pPr>
              <w:numPr>
                <w:ilvl w:val="0"/>
                <w:numId w:val="9"/>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近一年供应商财务报表（新成立单位，应提供情况说明）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9"/>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具有履行合同所必需的设备和专业技术能力的承诺函（见附件三）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9"/>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依法缴纳税收和社会保障资金的承诺函（见附件四）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9"/>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参加政府采购活动前3年内在经营活动中没有重大违法记录的声明函（见附件五）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9"/>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供应商“信用中国”(www.creditchina.gov.cn)；“中国政府采购网”（http://www.ccgp.gov.cn/）信用记录网页截图（招标公告发布之日至投标截止时间前均可）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tcBorders>
              <w:top w:val="single" w:color="auto" w:sz="4" w:space="0"/>
              <w:left w:val="single" w:color="auto" w:sz="4" w:space="0"/>
              <w:bottom w:val="single" w:color="auto" w:sz="4" w:space="0"/>
              <w:right w:val="single" w:color="auto" w:sz="4" w:space="0"/>
            </w:tcBorders>
          </w:tcPr>
          <w:p>
            <w:pPr>
              <w:numPr>
                <w:ilvl w:val="0"/>
                <w:numId w:val="9"/>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法定代表人身份证明书（见附件六（一））或法定代表人授权书（见附件六（二））</w:t>
            </w:r>
          </w:p>
        </w:tc>
      </w:tr>
    </w:tbl>
    <w:p>
      <w:pPr>
        <w:autoSpaceDE w:val="0"/>
        <w:autoSpaceDN w:val="0"/>
        <w:adjustRightInd w:val="0"/>
        <w:snapToGrid w:val="0"/>
        <w:spacing w:line="400" w:lineRule="atLeast"/>
        <w:ind w:firstLine="440" w:firstLineChars="200"/>
        <w:textAlignment w:val="bottom"/>
        <w:rPr>
          <w:rFonts w:ascii="宋体" w:hAnsi="宋体" w:eastAsia="宋体" w:cs="宋体"/>
          <w:color w:val="auto"/>
          <w:sz w:val="22"/>
          <w:szCs w:val="22"/>
        </w:rPr>
      </w:pPr>
      <w:r>
        <w:rPr>
          <w:rFonts w:hint="eastAsia" w:ascii="宋体" w:hAnsi="宋体" w:eastAsia="宋体" w:cs="宋体"/>
          <w:color w:val="auto"/>
          <w:sz w:val="22"/>
          <w:szCs w:val="22"/>
        </w:rPr>
        <w:t>2.3</w:t>
      </w:r>
      <w:r>
        <w:rPr>
          <w:rFonts w:hint="eastAsia" w:ascii="宋体" w:hAnsi="宋体" w:eastAsia="宋体" w:cs="宋体"/>
          <w:b/>
          <w:bCs/>
          <w:color w:val="auto"/>
          <w:sz w:val="22"/>
          <w:szCs w:val="22"/>
        </w:rPr>
        <w:t>《商务技术文件》组成</w:t>
      </w:r>
    </w:p>
    <w:bookmarkEnd w:id="17"/>
    <w:tbl>
      <w:tblPr>
        <w:tblStyle w:val="2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技术部分</w:t>
            </w:r>
            <w:r>
              <w:rPr>
                <w:rFonts w:hint="eastAsia" w:ascii="宋体" w:hAnsi="宋体" w:eastAsia="宋体" w:cs="宋体"/>
                <w:b/>
                <w:bCs/>
                <w:color w:val="auto"/>
                <w:sz w:val="22"/>
                <w:szCs w:val="22"/>
              </w:rPr>
              <w:t>（▲序号1-5项供应商必须提供，否则不能通过符合性审查的，责任自负）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0"/>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投标函（见附件七）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0"/>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供应商参与政府采购活动投标资格声明（见附件八）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0"/>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法定代表人诚信投标承诺书（见附件九）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0"/>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商务偏离表（见附件十（一））、技术偏离表（见附件十（二））（如有偏离须明确列出，如不存在偏离则填写无）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0"/>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投标产品配置清单（见附件十一）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0"/>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0"/>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距离采购单位最近的服务机构的详细介绍（如负责人，电话，地址，技术力量配备等）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0"/>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根据招标文件中的采购内容与技术要求、评标细则，需要提供的其它文件和资料。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0"/>
              </w:numPr>
              <w:autoSpaceDE w:val="0"/>
              <w:autoSpaceDN w:val="0"/>
              <w:adjustRightInd w:val="0"/>
              <w:snapToGrid w:val="0"/>
              <w:spacing w:line="400" w:lineRule="atLeast"/>
              <w:rPr>
                <w:rFonts w:ascii="宋体" w:hAnsi="宋体" w:eastAsia="宋体" w:cs="宋体"/>
                <w:color w:val="auto"/>
                <w:sz w:val="22"/>
                <w:szCs w:val="22"/>
              </w:rPr>
            </w:pPr>
          </w:p>
        </w:tc>
        <w:tc>
          <w:tcPr>
            <w:tcW w:w="838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rPr>
                <w:rFonts w:ascii="宋体" w:hAnsi="宋体" w:eastAsia="宋体" w:cs="宋体"/>
                <w:color w:val="auto"/>
                <w:sz w:val="22"/>
                <w:szCs w:val="22"/>
              </w:rPr>
            </w:pPr>
            <w:r>
              <w:rPr>
                <w:rFonts w:hint="eastAsia" w:ascii="宋体" w:hAnsi="宋体" w:eastAsia="宋体" w:cs="宋体"/>
                <w:color w:val="auto"/>
                <w:sz w:val="22"/>
                <w:szCs w:val="22"/>
              </w:rPr>
              <w:t>其它供应商须说明的资料（如有则提供）</w:t>
            </w:r>
          </w:p>
        </w:tc>
      </w:tr>
    </w:tbl>
    <w:p>
      <w:pPr>
        <w:autoSpaceDE w:val="0"/>
        <w:autoSpaceDN w:val="0"/>
        <w:adjustRightInd w:val="0"/>
        <w:spacing w:line="400" w:lineRule="exact"/>
        <w:ind w:firstLine="440" w:firstLineChars="200"/>
        <w:textAlignment w:val="bottom"/>
        <w:rPr>
          <w:rFonts w:ascii="宋体" w:cs="Arial"/>
          <w:color w:val="auto"/>
          <w:sz w:val="22"/>
        </w:rPr>
      </w:pPr>
      <w:r>
        <w:rPr>
          <w:rFonts w:ascii="宋体" w:hAnsi="宋体" w:cs="Arial"/>
          <w:color w:val="auto"/>
          <w:sz w:val="22"/>
        </w:rPr>
        <w:t>3</w:t>
      </w:r>
      <w:r>
        <w:rPr>
          <w:rFonts w:hint="eastAsia" w:ascii="宋体" w:hAnsi="宋体" w:cs="Arial"/>
          <w:color w:val="auto"/>
          <w:sz w:val="22"/>
        </w:rPr>
        <w:t>、投标内容填写说明</w:t>
      </w:r>
    </w:p>
    <w:p>
      <w:pPr>
        <w:autoSpaceDE w:val="0"/>
        <w:autoSpaceDN w:val="0"/>
        <w:adjustRightInd w:val="0"/>
        <w:spacing w:line="400" w:lineRule="exact"/>
        <w:ind w:firstLine="440" w:firstLineChars="200"/>
        <w:textAlignment w:val="bottom"/>
        <w:rPr>
          <w:rFonts w:ascii="宋体" w:cs="Arial"/>
          <w:color w:val="auto"/>
          <w:sz w:val="22"/>
        </w:rPr>
      </w:pPr>
      <w:r>
        <w:rPr>
          <w:rFonts w:ascii="宋体" w:hAnsi="宋体" w:cs="Arial"/>
          <w:color w:val="auto"/>
          <w:sz w:val="22"/>
        </w:rPr>
        <w:t>3.1</w:t>
      </w:r>
      <w:r>
        <w:rPr>
          <w:rFonts w:hint="eastAsia" w:ascii="宋体" w:hAnsi="宋体" w:cs="Arial"/>
          <w:color w:val="auto"/>
          <w:sz w:val="22"/>
        </w:rPr>
        <w:t>响应文件格式</w:t>
      </w:r>
    </w:p>
    <w:p>
      <w:pPr>
        <w:autoSpaceDE w:val="0"/>
        <w:autoSpaceDN w:val="0"/>
        <w:adjustRightInd w:val="0"/>
        <w:spacing w:line="400" w:lineRule="exact"/>
        <w:ind w:firstLine="440" w:firstLineChars="200"/>
        <w:textAlignment w:val="bottom"/>
        <w:rPr>
          <w:rFonts w:ascii="宋体" w:cs="Arial"/>
          <w:color w:val="auto"/>
          <w:sz w:val="22"/>
        </w:rPr>
      </w:pPr>
      <w:r>
        <w:rPr>
          <w:rFonts w:hint="eastAsia" w:ascii="宋体" w:hAnsi="宋体" w:cs="Arial"/>
          <w:color w:val="auto"/>
          <w:sz w:val="22"/>
        </w:rPr>
        <w:t>供应商应按照第</w:t>
      </w:r>
      <w:r>
        <w:rPr>
          <w:rFonts w:ascii="宋体" w:hAnsi="宋体" w:cs="Arial"/>
          <w:color w:val="auto"/>
          <w:sz w:val="22"/>
        </w:rPr>
        <w:t>2</w:t>
      </w:r>
      <w:r>
        <w:rPr>
          <w:rFonts w:hint="eastAsia" w:ascii="宋体" w:hAnsi="宋体" w:cs="Arial"/>
          <w:color w:val="auto"/>
          <w:sz w:val="22"/>
        </w:rPr>
        <w:t>条所列出的内容及格式逐一按顺序组成响应文件</w:t>
      </w:r>
    </w:p>
    <w:p>
      <w:pPr>
        <w:autoSpaceDE w:val="0"/>
        <w:autoSpaceDN w:val="0"/>
        <w:adjustRightInd w:val="0"/>
        <w:snapToGrid w:val="0"/>
        <w:spacing w:line="400" w:lineRule="exact"/>
        <w:ind w:firstLine="420"/>
        <w:textAlignment w:val="bottom"/>
        <w:rPr>
          <w:rFonts w:ascii="宋体"/>
          <w:color w:val="auto"/>
          <w:sz w:val="22"/>
        </w:rPr>
      </w:pPr>
      <w:r>
        <w:rPr>
          <w:rFonts w:ascii="宋体" w:hAnsi="宋体"/>
          <w:color w:val="auto"/>
          <w:sz w:val="22"/>
        </w:rPr>
        <w:t>4</w:t>
      </w:r>
      <w:r>
        <w:rPr>
          <w:rFonts w:hint="eastAsia" w:ascii="宋体" w:hAnsi="宋体"/>
          <w:color w:val="auto"/>
          <w:sz w:val="22"/>
        </w:rPr>
        <w:t>、投标报价</w:t>
      </w:r>
    </w:p>
    <w:p>
      <w:pPr>
        <w:autoSpaceDE w:val="0"/>
        <w:autoSpaceDN w:val="0"/>
        <w:adjustRightInd w:val="0"/>
        <w:spacing w:line="400" w:lineRule="exact"/>
        <w:ind w:firstLine="440" w:firstLineChars="200"/>
        <w:textAlignment w:val="bottom"/>
        <w:rPr>
          <w:rFonts w:ascii="宋体"/>
          <w:color w:val="auto"/>
          <w:sz w:val="22"/>
        </w:rPr>
      </w:pPr>
      <w:r>
        <w:rPr>
          <w:rFonts w:ascii="宋体" w:hAnsi="宋体"/>
          <w:color w:val="auto"/>
          <w:sz w:val="22"/>
        </w:rPr>
        <w:t>4.1</w:t>
      </w:r>
      <w:r>
        <w:rPr>
          <w:rFonts w:hint="eastAsia" w:ascii="宋体" w:hAnsi="宋体"/>
          <w:color w:val="auto"/>
          <w:sz w:val="22"/>
        </w:rPr>
        <w:t>供应商应按竞争性磋商文件中《投标报价一览表》填写报价总价。</w:t>
      </w:r>
    </w:p>
    <w:p>
      <w:pPr>
        <w:autoSpaceDE w:val="0"/>
        <w:autoSpaceDN w:val="0"/>
        <w:adjustRightInd w:val="0"/>
        <w:snapToGrid w:val="0"/>
        <w:spacing w:line="400" w:lineRule="atLeast"/>
        <w:ind w:firstLine="450"/>
        <w:textAlignment w:val="bottom"/>
        <w:rPr>
          <w:rFonts w:ascii="宋体" w:cs="Arial"/>
          <w:color w:val="auto"/>
          <w:sz w:val="22"/>
          <w:u w:val="single"/>
        </w:rPr>
      </w:pPr>
      <w:r>
        <w:rPr>
          <w:rFonts w:ascii="宋体" w:hAnsi="宋体"/>
          <w:color w:val="auto"/>
          <w:sz w:val="22"/>
        </w:rPr>
        <w:t>4.2</w:t>
      </w:r>
      <w:r>
        <w:rPr>
          <w:rFonts w:hint="eastAsia" w:ascii="宋体" w:cs="Arial"/>
          <w:color w:val="auto"/>
          <w:sz w:val="22"/>
          <w:szCs w:val="22"/>
        </w:rPr>
        <w:t>本次招标只允许有一个报价，有选择的报价将不予接受。</w:t>
      </w:r>
      <w:r>
        <w:rPr>
          <w:rFonts w:hint="eastAsia" w:ascii="宋体" w:hAnsi="宋体"/>
          <w:color w:val="auto"/>
          <w:sz w:val="22"/>
        </w:rPr>
        <w:t>报价为合同约定的全部费用。供应商应在各自技术和商务占优势的基础上并充分考虑本项目的重要性，提供对采购单位最优惠的报价。</w:t>
      </w:r>
    </w:p>
    <w:p>
      <w:pPr>
        <w:autoSpaceDE w:val="0"/>
        <w:autoSpaceDN w:val="0"/>
        <w:adjustRightInd w:val="0"/>
        <w:spacing w:line="400" w:lineRule="exact"/>
        <w:ind w:firstLine="440" w:firstLineChars="200"/>
        <w:textAlignment w:val="bottom"/>
        <w:rPr>
          <w:rFonts w:ascii="宋体"/>
          <w:color w:val="auto"/>
          <w:sz w:val="22"/>
        </w:rPr>
      </w:pPr>
      <w:r>
        <w:rPr>
          <w:rFonts w:ascii="宋体" w:hAnsi="宋体"/>
          <w:color w:val="auto"/>
          <w:sz w:val="22"/>
        </w:rPr>
        <w:t>5</w:t>
      </w:r>
      <w:r>
        <w:rPr>
          <w:rFonts w:hint="eastAsia" w:ascii="宋体" w:hAnsi="宋体"/>
          <w:color w:val="auto"/>
          <w:sz w:val="22"/>
        </w:rPr>
        <w:t>、采购单位要求分类报价是为了方便评标，但在任何情况下不限制采购单位以其认为最合适的条款签订合同的权利。</w:t>
      </w:r>
    </w:p>
    <w:p>
      <w:pPr>
        <w:autoSpaceDE w:val="0"/>
        <w:autoSpaceDN w:val="0"/>
        <w:adjustRightInd w:val="0"/>
        <w:spacing w:line="400" w:lineRule="exact"/>
        <w:ind w:firstLine="440" w:firstLineChars="200"/>
        <w:textAlignment w:val="bottom"/>
        <w:rPr>
          <w:rFonts w:ascii="宋体"/>
          <w:color w:val="auto"/>
          <w:sz w:val="22"/>
        </w:rPr>
      </w:pPr>
      <w:r>
        <w:rPr>
          <w:rFonts w:hint="eastAsia" w:ascii="宋体" w:hAnsi="宋体"/>
          <w:color w:val="auto"/>
          <w:sz w:val="22"/>
        </w:rPr>
        <w:t>6、响应文件的有效期</w:t>
      </w:r>
    </w:p>
    <w:p>
      <w:pPr>
        <w:autoSpaceDE w:val="0"/>
        <w:autoSpaceDN w:val="0"/>
        <w:adjustRightInd w:val="0"/>
        <w:spacing w:line="400" w:lineRule="exact"/>
        <w:ind w:firstLine="440" w:firstLineChars="200"/>
        <w:textAlignment w:val="bottom"/>
        <w:rPr>
          <w:rFonts w:ascii="宋体"/>
          <w:color w:val="auto"/>
          <w:sz w:val="22"/>
        </w:rPr>
      </w:pPr>
      <w:r>
        <w:rPr>
          <w:rFonts w:hint="eastAsia" w:ascii="宋体" w:hAnsi="宋体"/>
          <w:color w:val="auto"/>
          <w:sz w:val="22"/>
        </w:rPr>
        <w:t>6</w:t>
      </w:r>
      <w:r>
        <w:rPr>
          <w:rFonts w:ascii="宋体" w:hAnsi="宋体"/>
          <w:color w:val="auto"/>
          <w:sz w:val="22"/>
        </w:rPr>
        <w:t>.1</w:t>
      </w:r>
      <w:r>
        <w:rPr>
          <w:rFonts w:hint="eastAsia" w:ascii="宋体" w:hAnsi="宋体"/>
          <w:color w:val="auto"/>
          <w:sz w:val="22"/>
        </w:rPr>
        <w:t>自报价截止时间起</w:t>
      </w:r>
      <w:r>
        <w:rPr>
          <w:rFonts w:ascii="宋体" w:hAnsi="宋体"/>
          <w:color w:val="auto"/>
          <w:sz w:val="22"/>
        </w:rPr>
        <w:t>90</w:t>
      </w:r>
      <w:r>
        <w:rPr>
          <w:rFonts w:hint="eastAsia" w:ascii="宋体" w:hAnsi="宋体"/>
          <w:color w:val="auto"/>
          <w:sz w:val="22"/>
        </w:rPr>
        <w:t>天内，响应文件应保持有效。有效期短于这个规定期限的报价将被拒绝。</w:t>
      </w:r>
    </w:p>
    <w:p>
      <w:pPr>
        <w:autoSpaceDE w:val="0"/>
        <w:autoSpaceDN w:val="0"/>
        <w:adjustRightInd w:val="0"/>
        <w:spacing w:line="400" w:lineRule="exact"/>
        <w:ind w:firstLine="440" w:firstLineChars="200"/>
        <w:textAlignment w:val="bottom"/>
        <w:rPr>
          <w:rFonts w:ascii="宋体"/>
          <w:color w:val="auto"/>
          <w:sz w:val="22"/>
        </w:rPr>
      </w:pPr>
      <w:r>
        <w:rPr>
          <w:rFonts w:hint="eastAsia" w:ascii="宋体" w:hAnsi="宋体"/>
          <w:color w:val="auto"/>
          <w:sz w:val="22"/>
        </w:rPr>
        <w:t>6</w:t>
      </w:r>
      <w:r>
        <w:rPr>
          <w:rFonts w:ascii="宋体" w:hAnsi="宋体"/>
          <w:color w:val="auto"/>
          <w:sz w:val="22"/>
        </w:rPr>
        <w:t>.2</w:t>
      </w:r>
      <w:r>
        <w:rPr>
          <w:rFonts w:hint="eastAsia" w:ascii="宋体" w:hAnsi="宋体"/>
          <w:color w:val="auto"/>
          <w:sz w:val="22"/>
        </w:rPr>
        <w:t>在特殊情况下，采购单位可与供应商协商延长响应文件的有效期，这种要求和答复均应以书面形式进行。</w:t>
      </w:r>
    </w:p>
    <w:p>
      <w:pPr>
        <w:autoSpaceDE w:val="0"/>
        <w:autoSpaceDN w:val="0"/>
        <w:adjustRightInd w:val="0"/>
        <w:spacing w:line="400" w:lineRule="exact"/>
        <w:ind w:firstLine="440" w:firstLineChars="200"/>
        <w:textAlignment w:val="bottom"/>
        <w:rPr>
          <w:rFonts w:ascii="宋体"/>
          <w:color w:val="auto"/>
          <w:sz w:val="22"/>
        </w:rPr>
      </w:pPr>
      <w:r>
        <w:rPr>
          <w:rFonts w:hint="eastAsia" w:ascii="宋体" w:hAnsi="宋体"/>
          <w:color w:val="auto"/>
          <w:sz w:val="22"/>
        </w:rPr>
        <w:t>6</w:t>
      </w:r>
      <w:r>
        <w:rPr>
          <w:rFonts w:ascii="宋体" w:hAnsi="宋体"/>
          <w:color w:val="auto"/>
          <w:sz w:val="22"/>
        </w:rPr>
        <w:t>.3</w:t>
      </w:r>
      <w:r>
        <w:rPr>
          <w:rFonts w:hint="eastAsia" w:ascii="宋体" w:hAnsi="宋体"/>
          <w:color w:val="auto"/>
          <w:sz w:val="22"/>
        </w:rPr>
        <w:t>供应商可拒绝接受延期要求。同意延长有效期的供应商不能修改响应文件。</w:t>
      </w:r>
    </w:p>
    <w:p>
      <w:pPr>
        <w:autoSpaceDE w:val="0"/>
        <w:autoSpaceDN w:val="0"/>
        <w:adjustRightInd w:val="0"/>
        <w:spacing w:line="400" w:lineRule="exact"/>
        <w:ind w:firstLine="440" w:firstLineChars="200"/>
        <w:textAlignment w:val="bottom"/>
        <w:rPr>
          <w:rFonts w:ascii="宋体"/>
          <w:color w:val="auto"/>
          <w:sz w:val="22"/>
        </w:rPr>
      </w:pPr>
      <w:r>
        <w:rPr>
          <w:rFonts w:hint="eastAsia" w:ascii="宋体" w:hAnsi="宋体"/>
          <w:color w:val="auto"/>
          <w:sz w:val="22"/>
        </w:rPr>
        <w:t>7、响应文件的签署和份数</w:t>
      </w:r>
    </w:p>
    <w:p>
      <w:pPr>
        <w:autoSpaceDE w:val="0"/>
        <w:autoSpaceDN w:val="0"/>
        <w:adjustRightInd w:val="0"/>
        <w:spacing w:line="400" w:lineRule="exact"/>
        <w:ind w:firstLine="440" w:firstLineChars="200"/>
        <w:textAlignment w:val="bottom"/>
        <w:rPr>
          <w:rFonts w:ascii="宋体"/>
          <w:color w:val="auto"/>
          <w:sz w:val="22"/>
        </w:rPr>
      </w:pPr>
      <w:r>
        <w:rPr>
          <w:rFonts w:hint="eastAsia" w:ascii="宋体" w:hAnsi="宋体"/>
          <w:color w:val="auto"/>
          <w:sz w:val="22"/>
        </w:rPr>
        <w:t>响应文件须由供应商盖章并由法定代表人或法定代表人授权代表签署，供应商应写全称。</w:t>
      </w:r>
    </w:p>
    <w:p>
      <w:pPr>
        <w:autoSpaceDE w:val="0"/>
        <w:autoSpaceDN w:val="0"/>
        <w:adjustRightInd w:val="0"/>
        <w:spacing w:line="400" w:lineRule="exact"/>
        <w:ind w:firstLine="440" w:firstLineChars="200"/>
        <w:textAlignment w:val="bottom"/>
        <w:rPr>
          <w:rFonts w:hAnsi="宋体"/>
          <w:b/>
          <w:bCs/>
          <w:color w:val="auto"/>
          <w:sz w:val="22"/>
          <w:u w:val="single"/>
        </w:rPr>
      </w:pPr>
      <w:r>
        <w:rPr>
          <w:rFonts w:hint="eastAsia" w:hAnsi="宋体"/>
          <w:color w:val="auto"/>
          <w:sz w:val="22"/>
        </w:rPr>
        <w:t>7.1响应文件的份数：“电子加密投标文件”：在线上传递交。</w:t>
      </w:r>
    </w:p>
    <w:p>
      <w:pPr>
        <w:autoSpaceDE w:val="0"/>
        <w:autoSpaceDN w:val="0"/>
        <w:adjustRightInd w:val="0"/>
        <w:spacing w:line="400" w:lineRule="exact"/>
        <w:ind w:firstLine="442" w:firstLineChars="200"/>
        <w:textAlignment w:val="bottom"/>
        <w:rPr>
          <w:rFonts w:hAnsi="宋体"/>
          <w:b/>
          <w:bCs/>
          <w:color w:val="auto"/>
          <w:sz w:val="22"/>
        </w:rPr>
      </w:pPr>
      <w:bookmarkStart w:id="18" w:name="_Toc493530206"/>
      <w:r>
        <w:rPr>
          <w:rFonts w:hint="eastAsia" w:hAnsi="宋体"/>
          <w:b/>
          <w:bCs/>
          <w:color w:val="auto"/>
          <w:sz w:val="22"/>
        </w:rPr>
        <w:t>四、响应文件的密封与递交</w:t>
      </w:r>
      <w:bookmarkEnd w:id="18"/>
    </w:p>
    <w:p>
      <w:pPr>
        <w:pStyle w:val="64"/>
        <w:adjustRightInd w:val="0"/>
        <w:snapToGrid w:val="0"/>
        <w:spacing w:line="400" w:lineRule="atLeast"/>
        <w:outlineLvl w:val="0"/>
        <w:rPr>
          <w:rFonts w:hAnsi="宋体" w:cs="Arial"/>
          <w:b/>
          <w:bCs/>
          <w:color w:val="auto"/>
          <w:sz w:val="22"/>
          <w:szCs w:val="22"/>
        </w:rPr>
      </w:pPr>
      <w:bookmarkStart w:id="19" w:name="_Toc132125096"/>
      <w:bookmarkStart w:id="20" w:name="_Toc132125575"/>
      <w:bookmarkStart w:id="21" w:name="_Toc132125038"/>
      <w:bookmarkStart w:id="22" w:name="_Toc132123635"/>
      <w:bookmarkStart w:id="23" w:name="_Toc132123882"/>
      <w:bookmarkStart w:id="24" w:name="_Toc132125984"/>
      <w:bookmarkStart w:id="25" w:name="_Toc132122417"/>
      <w:bookmarkStart w:id="26" w:name="_Toc132124595"/>
      <w:bookmarkStart w:id="27" w:name="_Toc132126155"/>
      <w:bookmarkStart w:id="28" w:name="_Toc132123839"/>
      <w:bookmarkStart w:id="29" w:name="_Toc132122120"/>
      <w:bookmarkStart w:id="30" w:name="_Toc132125152"/>
      <w:bookmarkStart w:id="31" w:name="_Toc132655777"/>
      <w:bookmarkStart w:id="32" w:name="_Toc493530207"/>
      <w:bookmarkStart w:id="33" w:name="_Toc132123440"/>
      <w:bookmarkStart w:id="34" w:name="_Toc132123548"/>
      <w:r>
        <w:rPr>
          <w:rFonts w:hint="eastAsia" w:hAnsi="宋体" w:cs="Arial"/>
          <w:b/>
          <w:bCs/>
          <w:color w:val="auto"/>
          <w:sz w:val="22"/>
          <w:szCs w:val="22"/>
        </w:rPr>
        <w:t>投标文件的递交</w:t>
      </w:r>
    </w:p>
    <w:p>
      <w:pPr>
        <w:pStyle w:val="64"/>
        <w:adjustRightInd w:val="0"/>
        <w:snapToGrid w:val="0"/>
        <w:spacing w:line="400" w:lineRule="atLeast"/>
        <w:ind w:firstLine="431" w:firstLineChars="196"/>
        <w:rPr>
          <w:rFonts w:hAnsi="宋体"/>
          <w:color w:val="auto"/>
          <w:sz w:val="22"/>
          <w:szCs w:val="22"/>
        </w:rPr>
      </w:pPr>
      <w:r>
        <w:rPr>
          <w:rFonts w:hint="eastAsia" w:hAnsi="宋体"/>
          <w:color w:val="auto"/>
          <w:sz w:val="22"/>
          <w:szCs w:val="22"/>
        </w:rPr>
        <w:t>1、投标文件的上传、递交：见《前附表》。</w:t>
      </w:r>
    </w:p>
    <w:p>
      <w:pPr>
        <w:pStyle w:val="64"/>
        <w:adjustRightInd w:val="0"/>
        <w:snapToGrid w:val="0"/>
        <w:spacing w:line="400" w:lineRule="atLeast"/>
        <w:ind w:firstLine="431" w:firstLineChars="196"/>
        <w:rPr>
          <w:rFonts w:hAnsi="宋体"/>
          <w:color w:val="auto"/>
          <w:sz w:val="22"/>
          <w:szCs w:val="22"/>
        </w:rPr>
      </w:pPr>
      <w:r>
        <w:rPr>
          <w:rFonts w:hint="eastAsia" w:hAnsi="宋体"/>
          <w:color w:val="auto"/>
          <w:sz w:val="22"/>
          <w:szCs w:val="22"/>
        </w:rPr>
        <w:t>2、“电子加密投标文件”解密和异常情况处理：见《前附表》。</w:t>
      </w:r>
    </w:p>
    <w:p>
      <w:pPr>
        <w:pStyle w:val="64"/>
        <w:adjustRightInd w:val="0"/>
        <w:snapToGrid w:val="0"/>
        <w:spacing w:line="400" w:lineRule="atLeast"/>
        <w:ind w:firstLine="431" w:firstLineChars="196"/>
        <w:rPr>
          <w:rFonts w:hAnsi="宋体"/>
          <w:color w:val="auto"/>
          <w:sz w:val="22"/>
          <w:szCs w:val="22"/>
        </w:rPr>
      </w:pPr>
      <w:r>
        <w:rPr>
          <w:rFonts w:hint="eastAsia" w:hAnsi="宋体"/>
          <w:color w:val="auto"/>
          <w:sz w:val="22"/>
          <w:szCs w:val="22"/>
        </w:rPr>
        <w:t>3、投标文件的补充、修改或撤回</w:t>
      </w:r>
    </w:p>
    <w:p>
      <w:pPr>
        <w:pStyle w:val="64"/>
        <w:adjustRightInd w:val="0"/>
        <w:snapToGrid w:val="0"/>
        <w:spacing w:line="400" w:lineRule="atLeast"/>
        <w:ind w:firstLine="431" w:firstLineChars="196"/>
        <w:rPr>
          <w:rFonts w:hAnsi="宋体"/>
          <w:color w:val="auto"/>
          <w:sz w:val="22"/>
          <w:szCs w:val="22"/>
        </w:rPr>
      </w:pPr>
      <w:r>
        <w:rPr>
          <w:rFonts w:hint="eastAsia" w:hAnsi="宋体"/>
          <w:color w:val="auto"/>
          <w:sz w:val="22"/>
          <w:szCs w:val="22"/>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64"/>
        <w:adjustRightInd w:val="0"/>
        <w:snapToGrid w:val="0"/>
        <w:spacing w:line="400" w:lineRule="atLeast"/>
        <w:ind w:firstLine="431" w:firstLineChars="196"/>
        <w:rPr>
          <w:rFonts w:hAnsi="宋体"/>
          <w:color w:val="auto"/>
          <w:sz w:val="22"/>
          <w:szCs w:val="22"/>
        </w:rPr>
      </w:pPr>
      <w:r>
        <w:rPr>
          <w:rFonts w:hint="eastAsia" w:hAnsi="宋体"/>
          <w:color w:val="auto"/>
          <w:sz w:val="22"/>
          <w:szCs w:val="22"/>
        </w:rPr>
        <w:t>3.2投标截止时间后，供应商不得撤回、修改《投标文件》。</w:t>
      </w:r>
    </w:p>
    <w:p>
      <w:pPr>
        <w:pStyle w:val="64"/>
        <w:adjustRightInd w:val="0"/>
        <w:snapToGrid w:val="0"/>
        <w:spacing w:line="400" w:lineRule="atLeast"/>
        <w:ind w:firstLine="431" w:firstLineChars="196"/>
        <w:rPr>
          <w:rFonts w:hAnsi="宋体"/>
          <w:color w:val="auto"/>
          <w:sz w:val="22"/>
          <w:szCs w:val="22"/>
        </w:rPr>
      </w:pPr>
      <w:r>
        <w:rPr>
          <w:rFonts w:hint="eastAsia" w:hAnsi="宋体"/>
          <w:color w:val="auto"/>
          <w:sz w:val="22"/>
          <w:szCs w:val="22"/>
        </w:rPr>
        <w:t>4、投标文件的备选方案</w:t>
      </w:r>
    </w:p>
    <w:p>
      <w:pPr>
        <w:pStyle w:val="64"/>
        <w:adjustRightInd w:val="0"/>
        <w:snapToGrid w:val="0"/>
        <w:spacing w:line="400" w:lineRule="atLeast"/>
        <w:ind w:firstLine="431" w:firstLineChars="196"/>
        <w:rPr>
          <w:rFonts w:hAnsi="宋体"/>
          <w:color w:val="auto"/>
          <w:sz w:val="22"/>
          <w:szCs w:val="22"/>
        </w:rPr>
      </w:pPr>
      <w:r>
        <w:rPr>
          <w:rFonts w:hint="eastAsia" w:hAnsi="宋体"/>
          <w:color w:val="auto"/>
          <w:sz w:val="22"/>
          <w:szCs w:val="22"/>
        </w:rPr>
        <w:t>4.1供应商不得递交任何的投标备选（替代）方案，否则其投标文件将作无效标处理。</w:t>
      </w:r>
    </w:p>
    <w:p>
      <w:pPr>
        <w:pStyle w:val="64"/>
        <w:adjustRightInd w:val="0"/>
        <w:snapToGrid w:val="0"/>
        <w:spacing w:line="400" w:lineRule="atLeast"/>
        <w:ind w:firstLine="431" w:firstLineChars="196"/>
        <w:rPr>
          <w:rFonts w:hAnsi="宋体"/>
          <w:color w:val="auto"/>
          <w:sz w:val="22"/>
          <w:szCs w:val="22"/>
        </w:rPr>
      </w:pPr>
      <w:r>
        <w:rPr>
          <w:rFonts w:hint="eastAsia" w:hAnsi="宋体"/>
          <w:color w:val="auto"/>
          <w:sz w:val="22"/>
          <w:szCs w:val="22"/>
        </w:rPr>
        <w:t>5、投标截止期</w:t>
      </w:r>
    </w:p>
    <w:p>
      <w:pPr>
        <w:pStyle w:val="64"/>
        <w:adjustRightInd w:val="0"/>
        <w:snapToGrid w:val="0"/>
        <w:spacing w:line="400" w:lineRule="atLeast"/>
        <w:ind w:firstLine="431" w:firstLineChars="196"/>
        <w:rPr>
          <w:rFonts w:hAnsi="宋体"/>
          <w:color w:val="auto"/>
          <w:sz w:val="22"/>
          <w:szCs w:val="22"/>
        </w:rPr>
      </w:pPr>
      <w:r>
        <w:rPr>
          <w:rFonts w:hint="eastAsia" w:hAnsi="宋体"/>
          <w:color w:val="auto"/>
          <w:sz w:val="22"/>
          <w:szCs w:val="22"/>
        </w:rPr>
        <w:t>5.1供应商应按前附表中规定的时间、地点将投标文件递交给采购单位，采购单位将拒绝接受逾期送达的投标文件。</w:t>
      </w:r>
    </w:p>
    <w:p>
      <w:pPr>
        <w:pStyle w:val="64"/>
        <w:adjustRightInd w:val="0"/>
        <w:snapToGrid w:val="0"/>
        <w:spacing w:line="400" w:lineRule="atLeast"/>
        <w:ind w:firstLine="431" w:firstLineChars="196"/>
        <w:rPr>
          <w:rFonts w:hAnsi="宋体"/>
          <w:color w:val="auto"/>
          <w:sz w:val="22"/>
          <w:szCs w:val="22"/>
        </w:rPr>
      </w:pPr>
      <w:r>
        <w:rPr>
          <w:rFonts w:hint="eastAsia" w:hAnsi="宋体"/>
          <w:color w:val="auto"/>
          <w:sz w:val="22"/>
          <w:szCs w:val="22"/>
        </w:rPr>
        <w:t>5.2采购单位可以按本须知规定以补充通知的方式，酌情延长递交投标文件的截止日期。在上述情况下，采购单位与供应商以前在投标截止期方面的全部权利、责任和义务，将适用于延长至新的投标截止期。</w:t>
      </w:r>
    </w:p>
    <w:p>
      <w:pPr>
        <w:pStyle w:val="15"/>
        <w:adjustRightInd w:val="0"/>
        <w:snapToGrid w:val="0"/>
        <w:spacing w:line="400" w:lineRule="exact"/>
        <w:outlineLvl w:val="0"/>
        <w:rPr>
          <w:rFonts w:hAnsi="宋体"/>
          <w:b/>
          <w:color w:val="auto"/>
          <w:sz w:val="22"/>
        </w:rPr>
      </w:pPr>
      <w:r>
        <w:rPr>
          <w:rFonts w:hint="eastAsia" w:hAnsi="宋体"/>
          <w:b/>
          <w:color w:val="auto"/>
          <w:sz w:val="22"/>
        </w:rPr>
        <w:t>五、开标和评标</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pStyle w:val="64"/>
        <w:adjustRightInd w:val="0"/>
        <w:snapToGrid w:val="0"/>
        <w:spacing w:line="400" w:lineRule="atLeast"/>
        <w:ind w:firstLine="431" w:firstLineChars="196"/>
        <w:rPr>
          <w:rFonts w:hAnsi="宋体"/>
          <w:color w:val="auto"/>
          <w:sz w:val="22"/>
          <w:szCs w:val="22"/>
        </w:rPr>
      </w:pPr>
      <w:r>
        <w:rPr>
          <w:rFonts w:hint="eastAsia" w:hAnsi="宋体"/>
          <w:color w:val="auto"/>
          <w:sz w:val="22"/>
          <w:szCs w:val="22"/>
        </w:rPr>
        <w:t>1、开标</w:t>
      </w:r>
    </w:p>
    <w:p>
      <w:pPr>
        <w:pStyle w:val="64"/>
        <w:adjustRightInd w:val="0"/>
        <w:snapToGrid w:val="0"/>
        <w:spacing w:line="400" w:lineRule="atLeast"/>
        <w:ind w:firstLine="433" w:firstLineChars="196"/>
        <w:rPr>
          <w:rFonts w:hAnsi="宋体"/>
          <w:b/>
          <w:bCs/>
          <w:color w:val="auto"/>
          <w:sz w:val="22"/>
          <w:szCs w:val="22"/>
        </w:rPr>
      </w:pPr>
      <w:r>
        <w:rPr>
          <w:rFonts w:hint="eastAsia" w:hAnsi="宋体"/>
          <w:b/>
          <w:bCs/>
          <w:color w:val="auto"/>
          <w:sz w:val="22"/>
          <w:szCs w:val="22"/>
        </w:rPr>
        <w:t>（一）开标形式</w:t>
      </w:r>
    </w:p>
    <w:p>
      <w:pPr>
        <w:snapToGrid w:val="0"/>
        <w:spacing w:line="440" w:lineRule="exact"/>
        <w:ind w:firstLine="440" w:firstLineChars="200"/>
        <w:jc w:val="left"/>
        <w:rPr>
          <w:rFonts w:ascii="宋体" w:hAnsi="宋体" w:cs="Arial"/>
          <w:b/>
          <w:color w:val="auto"/>
          <w:kern w:val="0"/>
          <w:sz w:val="22"/>
        </w:rPr>
      </w:pPr>
      <w:r>
        <w:rPr>
          <w:rFonts w:hint="eastAsia" w:ascii="宋体" w:hAnsi="宋体"/>
          <w:color w:val="auto"/>
          <w:sz w:val="22"/>
          <w:szCs w:val="22"/>
        </w:rPr>
        <w:t>1.1采</w:t>
      </w:r>
      <w:r>
        <w:rPr>
          <w:rFonts w:hint="eastAsia" w:hAnsi="宋体"/>
          <w:color w:val="auto"/>
          <w:sz w:val="22"/>
          <w:szCs w:val="22"/>
        </w:rPr>
        <w:t>购组织机构将按照采购文件规定的时间通过“政府采购云平台”组织开标、开启投标文件、磋商，所有供应商均应当准时在线参加。</w:t>
      </w:r>
    </w:p>
    <w:p>
      <w:pPr>
        <w:pStyle w:val="64"/>
        <w:adjustRightInd w:val="0"/>
        <w:snapToGrid w:val="0"/>
        <w:spacing w:line="400" w:lineRule="atLeast"/>
        <w:ind w:firstLine="433" w:firstLineChars="196"/>
        <w:rPr>
          <w:rFonts w:hAnsi="宋体"/>
          <w:b/>
          <w:bCs/>
          <w:color w:val="auto"/>
          <w:sz w:val="22"/>
          <w:szCs w:val="22"/>
        </w:rPr>
      </w:pPr>
      <w:r>
        <w:rPr>
          <w:rFonts w:hint="eastAsia" w:hAnsi="宋体"/>
          <w:b/>
          <w:bCs/>
          <w:color w:val="auto"/>
          <w:sz w:val="22"/>
          <w:szCs w:val="22"/>
        </w:rPr>
        <w:t>（二）开标准备</w:t>
      </w:r>
    </w:p>
    <w:p>
      <w:pPr>
        <w:pStyle w:val="64"/>
        <w:adjustRightInd w:val="0"/>
        <w:snapToGrid w:val="0"/>
        <w:spacing w:line="400" w:lineRule="atLeast"/>
        <w:ind w:firstLine="431" w:firstLineChars="196"/>
        <w:rPr>
          <w:rFonts w:hAnsi="宋体"/>
          <w:color w:val="auto"/>
          <w:sz w:val="22"/>
          <w:szCs w:val="22"/>
        </w:rPr>
      </w:pPr>
      <w:r>
        <w:rPr>
          <w:rFonts w:hint="eastAsia" w:hAnsi="宋体"/>
          <w:color w:val="auto"/>
          <w:sz w:val="22"/>
          <w:szCs w:val="22"/>
        </w:rPr>
        <w:t>2.1开标的准备工作由采购组织机构负责落实；</w:t>
      </w:r>
    </w:p>
    <w:p>
      <w:pPr>
        <w:widowControl/>
        <w:snapToGrid w:val="0"/>
        <w:spacing w:line="420" w:lineRule="exact"/>
        <w:ind w:firstLine="440" w:firstLineChars="200"/>
        <w:jc w:val="left"/>
        <w:rPr>
          <w:color w:val="auto"/>
          <w:sz w:val="22"/>
        </w:rPr>
      </w:pPr>
      <w:r>
        <w:rPr>
          <w:rFonts w:hint="eastAsia" w:ascii="宋体" w:hAnsi="宋体"/>
          <w:color w:val="auto"/>
          <w:sz w:val="22"/>
          <w:szCs w:val="22"/>
        </w:rPr>
        <w:t>2.2</w:t>
      </w:r>
      <w:r>
        <w:rPr>
          <w:rFonts w:hint="eastAsia" w:hAnsi="宋体"/>
          <w:color w:val="auto"/>
          <w:sz w:val="22"/>
          <w:szCs w:val="22"/>
        </w:rPr>
        <w:t>采购组织机构将按照采购文件规定的时间通过“政府采购云平台”组织开标、开启投标文件、磋商，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r>
        <w:rPr>
          <w:rFonts w:hint="eastAsia"/>
          <w:color w:val="auto"/>
          <w:sz w:val="22"/>
        </w:rPr>
        <w:t>如有需要，采购代理机构将邀请各磋商供应商代表现场出席磋商会议。磋商会议现场谢绝无关人员进入。</w:t>
      </w:r>
    </w:p>
    <w:p>
      <w:pPr>
        <w:pStyle w:val="64"/>
        <w:adjustRightInd w:val="0"/>
        <w:snapToGrid w:val="0"/>
        <w:spacing w:line="400" w:lineRule="atLeast"/>
        <w:ind w:firstLine="431" w:firstLineChars="196"/>
        <w:rPr>
          <w:rFonts w:hAnsi="宋体"/>
          <w:color w:val="auto"/>
          <w:sz w:val="22"/>
          <w:szCs w:val="22"/>
        </w:rPr>
      </w:pPr>
      <w:r>
        <w:rPr>
          <w:rFonts w:hint="eastAsia" w:hAnsi="宋体"/>
          <w:color w:val="auto"/>
          <w:sz w:val="22"/>
          <w:szCs w:val="22"/>
        </w:rPr>
        <w:t>2.3所有二次报价询标流程，均在线上完成，请各供应商务必不要离开电脑太久，并留意手机短信。（请提前检查“政采云”内，关于‘项目采购’的岗位权限是否已勾选上。如有问题，请致电400-881-7190）</w:t>
      </w:r>
    </w:p>
    <w:p>
      <w:pPr>
        <w:snapToGrid w:val="0"/>
        <w:spacing w:line="440" w:lineRule="exact"/>
        <w:ind w:firstLine="440" w:firstLineChars="200"/>
        <w:jc w:val="left"/>
        <w:rPr>
          <w:rFonts w:ascii="宋体" w:hAnsi="宋体"/>
          <w:bCs/>
          <w:color w:val="auto"/>
          <w:sz w:val="22"/>
        </w:rPr>
      </w:pPr>
      <w:r>
        <w:rPr>
          <w:rFonts w:hint="eastAsia" w:ascii="宋体" w:hAnsi="宋体"/>
          <w:bCs/>
          <w:color w:val="auto"/>
          <w:sz w:val="22"/>
        </w:rPr>
        <w:t>（三）电子招投标开标及评审程序</w:t>
      </w:r>
    </w:p>
    <w:p>
      <w:pPr>
        <w:spacing w:line="440" w:lineRule="exact"/>
        <w:ind w:firstLine="440" w:firstLineChars="200"/>
        <w:rPr>
          <w:rFonts w:ascii="宋体" w:hAnsi="宋体" w:cs="宋体"/>
          <w:color w:val="auto"/>
          <w:sz w:val="22"/>
        </w:rPr>
      </w:pPr>
      <w:r>
        <w:rPr>
          <w:rFonts w:hint="eastAsia" w:ascii="宋体" w:hAnsi="宋体"/>
          <w:bCs/>
          <w:color w:val="auto"/>
          <w:sz w:val="22"/>
        </w:rPr>
        <w:t>3.1磋商会由采购代理机构主持，磋商响应截止时间后，供应商登录政采云平台，用“项目采购-开标评标”功能对电子响应文件进行在线解密，</w:t>
      </w:r>
      <w:r>
        <w:rPr>
          <w:rFonts w:hint="eastAsia" w:ascii="宋体" w:hAnsi="宋体" w:cs="宋体"/>
          <w:color w:val="auto"/>
          <w:sz w:val="22"/>
        </w:rPr>
        <w:t>各供应商代表在收到解密通知后30分钟内自行完成“电子加密投标文件”的在线解密。</w:t>
      </w:r>
    </w:p>
    <w:p>
      <w:pPr>
        <w:spacing w:line="440" w:lineRule="exact"/>
        <w:ind w:firstLine="440" w:firstLineChars="200"/>
        <w:jc w:val="left"/>
        <w:rPr>
          <w:rFonts w:ascii="宋体" w:hAnsi="宋体"/>
          <w:bCs/>
          <w:color w:val="auto"/>
          <w:sz w:val="22"/>
        </w:rPr>
      </w:pPr>
      <w:r>
        <w:rPr>
          <w:rFonts w:hint="eastAsia" w:ascii="宋体" w:hAnsi="宋体" w:cs="Arial"/>
          <w:color w:val="auto"/>
          <w:kern w:val="0"/>
          <w:sz w:val="22"/>
        </w:rPr>
        <w:t>3.2投标文件解密结束，</w:t>
      </w:r>
      <w:r>
        <w:rPr>
          <w:rFonts w:hint="eastAsia" w:ascii="宋体" w:hAnsi="宋体"/>
          <w:bCs/>
          <w:color w:val="auto"/>
          <w:sz w:val="22"/>
        </w:rPr>
        <w:t>开启响应文件，磋商小组对资格和商务技术响应文件进行评审；</w:t>
      </w:r>
    </w:p>
    <w:p>
      <w:pPr>
        <w:spacing w:line="440" w:lineRule="exact"/>
        <w:ind w:firstLine="440" w:firstLineChars="200"/>
        <w:rPr>
          <w:rFonts w:ascii="宋体" w:hAnsi="宋体"/>
          <w:bCs/>
          <w:color w:val="auto"/>
          <w:sz w:val="22"/>
        </w:rPr>
      </w:pPr>
      <w:r>
        <w:rPr>
          <w:rFonts w:hint="eastAsia" w:ascii="宋体" w:hAnsi="宋体"/>
          <w:bCs/>
          <w:color w:val="auto"/>
          <w:sz w:val="22"/>
        </w:rPr>
        <w:t>3.3供应商按签到的前后顺序决定磋商的顺序，就价格、服务等认为需要磋商的内容进行磋商，</w:t>
      </w:r>
      <w:r>
        <w:rPr>
          <w:rFonts w:hint="eastAsia" w:ascii="宋体" w:hAnsi="宋体" w:cs="宋体"/>
          <w:color w:val="auto"/>
          <w:sz w:val="22"/>
        </w:rPr>
        <w:t>供应商逐家回答磋商小组的提问，</w:t>
      </w:r>
      <w:r>
        <w:rPr>
          <w:rFonts w:hint="eastAsia" w:ascii="宋体" w:hAnsi="宋体"/>
          <w:bCs/>
          <w:color w:val="auto"/>
          <w:sz w:val="22"/>
        </w:rPr>
        <w:t>响应人作出最终承诺和最终报价。</w:t>
      </w:r>
    </w:p>
    <w:p>
      <w:pPr>
        <w:snapToGrid w:val="0"/>
        <w:spacing w:line="440" w:lineRule="exact"/>
        <w:ind w:firstLine="440" w:firstLineChars="200"/>
        <w:jc w:val="left"/>
        <w:rPr>
          <w:rFonts w:ascii="宋体" w:hAnsi="宋体"/>
          <w:bCs/>
          <w:color w:val="auto"/>
          <w:sz w:val="22"/>
        </w:rPr>
      </w:pPr>
      <w:r>
        <w:rPr>
          <w:rFonts w:hint="eastAsia" w:ascii="宋体" w:hAnsi="宋体"/>
          <w:bCs/>
          <w:color w:val="auto"/>
          <w:sz w:val="22"/>
        </w:rPr>
        <w:t>3.4在系统上公开资格和商务技术评审结果；</w:t>
      </w:r>
    </w:p>
    <w:p>
      <w:pPr>
        <w:snapToGrid w:val="0"/>
        <w:spacing w:line="440" w:lineRule="exact"/>
        <w:ind w:firstLine="440" w:firstLineChars="200"/>
        <w:jc w:val="left"/>
        <w:rPr>
          <w:rFonts w:ascii="宋体" w:hAnsi="宋体"/>
          <w:bCs/>
          <w:color w:val="auto"/>
          <w:sz w:val="22"/>
        </w:rPr>
      </w:pPr>
      <w:r>
        <w:rPr>
          <w:rFonts w:hint="eastAsia" w:ascii="宋体" w:hAnsi="宋体"/>
          <w:bCs/>
          <w:color w:val="auto"/>
          <w:sz w:val="22"/>
        </w:rPr>
        <w:t>3.5在系统上录入最终报价情况；</w:t>
      </w:r>
    </w:p>
    <w:p>
      <w:pPr>
        <w:snapToGrid w:val="0"/>
        <w:spacing w:line="440" w:lineRule="exact"/>
        <w:ind w:firstLine="440" w:firstLineChars="200"/>
        <w:jc w:val="left"/>
        <w:rPr>
          <w:rFonts w:ascii="宋体" w:hAnsi="宋体"/>
          <w:bCs/>
          <w:color w:val="auto"/>
          <w:sz w:val="22"/>
        </w:rPr>
      </w:pPr>
      <w:r>
        <w:rPr>
          <w:rFonts w:hint="eastAsia" w:ascii="宋体" w:hAnsi="宋体"/>
          <w:bCs/>
          <w:color w:val="auto"/>
          <w:sz w:val="22"/>
        </w:rPr>
        <w:t>3.6磋商小组对报价情况进行评审；</w:t>
      </w:r>
    </w:p>
    <w:p>
      <w:pPr>
        <w:snapToGrid w:val="0"/>
        <w:spacing w:line="440" w:lineRule="exact"/>
        <w:ind w:firstLine="440" w:firstLineChars="200"/>
        <w:jc w:val="left"/>
        <w:rPr>
          <w:color w:val="auto"/>
          <w:sz w:val="22"/>
        </w:rPr>
      </w:pPr>
      <w:r>
        <w:rPr>
          <w:rFonts w:hint="eastAsia" w:ascii="宋体" w:hAnsi="宋体"/>
          <w:bCs/>
          <w:color w:val="auto"/>
          <w:sz w:val="22"/>
        </w:rPr>
        <w:t>3.7在系统上公布评审结果。</w:t>
      </w:r>
    </w:p>
    <w:p>
      <w:pPr>
        <w:pStyle w:val="15"/>
        <w:adjustRightInd w:val="0"/>
        <w:spacing w:line="400" w:lineRule="exact"/>
        <w:ind w:firstLine="442" w:firstLineChars="200"/>
        <w:rPr>
          <w:rFonts w:hAnsi="宋体" w:cs="宋体"/>
          <w:b/>
          <w:bCs/>
          <w:color w:val="auto"/>
          <w:sz w:val="22"/>
          <w:szCs w:val="22"/>
        </w:rPr>
      </w:pPr>
      <w:r>
        <w:rPr>
          <w:rFonts w:hint="eastAsia" w:hAnsi="宋体" w:cs="宋体"/>
          <w:b/>
          <w:bCs/>
          <w:color w:val="auto"/>
          <w:sz w:val="22"/>
          <w:szCs w:val="22"/>
        </w:rPr>
        <w:t>特别说明：政采云公司如对电子化开标及评审程序有调整的，按调整后的程序操作。</w:t>
      </w:r>
    </w:p>
    <w:p>
      <w:pPr>
        <w:pStyle w:val="15"/>
        <w:adjustRightInd w:val="0"/>
        <w:spacing w:line="400" w:lineRule="exact"/>
        <w:ind w:firstLine="440" w:firstLineChars="200"/>
        <w:rPr>
          <w:rFonts w:hAnsi="宋体" w:cs="Arial"/>
          <w:b/>
          <w:bCs/>
          <w:color w:val="auto"/>
          <w:sz w:val="22"/>
        </w:rPr>
      </w:pPr>
      <w:r>
        <w:rPr>
          <w:rFonts w:hAnsi="宋体" w:cs="Arial"/>
          <w:color w:val="auto"/>
          <w:sz w:val="22"/>
        </w:rPr>
        <w:t>2</w:t>
      </w:r>
      <w:r>
        <w:rPr>
          <w:rFonts w:hint="eastAsia" w:hAnsi="宋体" w:cs="Arial"/>
          <w:color w:val="auto"/>
          <w:sz w:val="22"/>
        </w:rPr>
        <w:t>、评标</w:t>
      </w:r>
    </w:p>
    <w:p>
      <w:pPr>
        <w:pStyle w:val="15"/>
        <w:adjustRightInd w:val="0"/>
        <w:spacing w:line="400" w:lineRule="exact"/>
        <w:ind w:firstLine="440" w:firstLineChars="200"/>
        <w:rPr>
          <w:rFonts w:hAnsi="宋体" w:cs="Arial"/>
          <w:b/>
          <w:bCs/>
          <w:color w:val="auto"/>
          <w:sz w:val="22"/>
        </w:rPr>
      </w:pPr>
      <w:r>
        <w:rPr>
          <w:rFonts w:hAnsi="宋体" w:cs="Arial"/>
          <w:color w:val="auto"/>
          <w:sz w:val="22"/>
        </w:rPr>
        <w:t>2.1</w:t>
      </w:r>
      <w:r>
        <w:rPr>
          <w:rFonts w:hint="eastAsia" w:hAnsi="宋体" w:cs="Arial"/>
          <w:color w:val="auto"/>
          <w:sz w:val="22"/>
        </w:rPr>
        <w:t xml:space="preserve"> 评标由采购单位依法组建的竞争性磋商小组负责</w:t>
      </w:r>
      <w:r>
        <w:rPr>
          <w:rFonts w:hint="eastAsia" w:hAnsi="宋体"/>
          <w:color w:val="auto"/>
          <w:sz w:val="22"/>
        </w:rPr>
        <w:t>，并独立履行下列职责：</w:t>
      </w:r>
    </w:p>
    <w:p>
      <w:pPr>
        <w:spacing w:line="400" w:lineRule="exact"/>
        <w:ind w:firstLine="431" w:firstLineChars="196"/>
        <w:rPr>
          <w:rFonts w:ascii="宋体"/>
          <w:color w:val="auto"/>
          <w:sz w:val="22"/>
        </w:rPr>
      </w:pPr>
      <w:bookmarkStart w:id="35" w:name="_Toc2500_WPSOffice_Level3"/>
      <w:r>
        <w:rPr>
          <w:rFonts w:ascii="宋体" w:hAnsi="宋体"/>
          <w:color w:val="auto"/>
          <w:sz w:val="22"/>
        </w:rPr>
        <w:t>1</w:t>
      </w:r>
      <w:r>
        <w:rPr>
          <w:rFonts w:hint="eastAsia" w:ascii="宋体" w:hAnsi="宋体"/>
          <w:color w:val="auto"/>
          <w:sz w:val="22"/>
        </w:rPr>
        <w:t>）审查投标（响应）文件是否符合竞争性磋商文件要求，并作出评价；</w:t>
      </w:r>
      <w:bookmarkEnd w:id="35"/>
    </w:p>
    <w:p>
      <w:pPr>
        <w:spacing w:line="400" w:lineRule="exact"/>
        <w:ind w:firstLine="440" w:firstLineChars="200"/>
        <w:rPr>
          <w:rFonts w:ascii="宋体"/>
          <w:color w:val="auto"/>
          <w:sz w:val="22"/>
        </w:rPr>
      </w:pPr>
      <w:bookmarkStart w:id="36" w:name="_Toc20806_WPSOffice_Level3"/>
      <w:r>
        <w:rPr>
          <w:rFonts w:ascii="宋体" w:hAnsi="宋体"/>
          <w:color w:val="auto"/>
          <w:sz w:val="22"/>
        </w:rPr>
        <w:t>2</w:t>
      </w:r>
      <w:r>
        <w:rPr>
          <w:rFonts w:hint="eastAsia" w:ascii="宋体" w:hAnsi="宋体"/>
          <w:color w:val="auto"/>
          <w:sz w:val="22"/>
        </w:rPr>
        <w:t>）要求供应商对投标（响应）文件有关事项作出解释或者澄清；</w:t>
      </w:r>
      <w:bookmarkEnd w:id="36"/>
    </w:p>
    <w:p>
      <w:pPr>
        <w:spacing w:line="400" w:lineRule="exact"/>
        <w:ind w:firstLine="440" w:firstLineChars="200"/>
        <w:rPr>
          <w:rFonts w:ascii="宋体"/>
          <w:color w:val="auto"/>
          <w:sz w:val="22"/>
        </w:rPr>
      </w:pPr>
      <w:bookmarkStart w:id="37" w:name="_Toc12689_WPSOffice_Level3"/>
      <w:r>
        <w:rPr>
          <w:rFonts w:ascii="宋体" w:hAnsi="宋体"/>
          <w:color w:val="auto"/>
          <w:sz w:val="22"/>
        </w:rPr>
        <w:t>3</w:t>
      </w:r>
      <w:r>
        <w:rPr>
          <w:rFonts w:hint="eastAsia" w:ascii="宋体" w:hAnsi="宋体"/>
          <w:color w:val="auto"/>
          <w:sz w:val="22"/>
        </w:rPr>
        <w:t>）按照竞争性磋商文件确定的评标办法直接确定中标（成交）供应商；</w:t>
      </w:r>
      <w:bookmarkEnd w:id="37"/>
    </w:p>
    <w:p>
      <w:pPr>
        <w:pStyle w:val="15"/>
        <w:adjustRightInd w:val="0"/>
        <w:spacing w:line="400" w:lineRule="exact"/>
        <w:ind w:firstLine="431" w:firstLineChars="196"/>
        <w:rPr>
          <w:rFonts w:hAnsi="宋体"/>
          <w:b/>
          <w:bCs/>
          <w:color w:val="auto"/>
          <w:sz w:val="22"/>
        </w:rPr>
      </w:pPr>
      <w:bookmarkStart w:id="38" w:name="_Toc20017_WPSOffice_Level3"/>
      <w:r>
        <w:rPr>
          <w:rFonts w:hAnsi="宋体"/>
          <w:color w:val="auto"/>
          <w:sz w:val="22"/>
        </w:rPr>
        <w:t>4</w:t>
      </w:r>
      <w:r>
        <w:rPr>
          <w:rFonts w:hint="eastAsia" w:hAnsi="宋体"/>
          <w:color w:val="auto"/>
          <w:sz w:val="22"/>
        </w:rPr>
        <w:t>）向采购单位或者有关部门报告非法干预评标工作的行为。</w:t>
      </w:r>
      <w:bookmarkEnd w:id="38"/>
    </w:p>
    <w:p>
      <w:pPr>
        <w:spacing w:line="400" w:lineRule="exact"/>
        <w:ind w:firstLine="431" w:firstLineChars="196"/>
        <w:rPr>
          <w:rFonts w:ascii="宋体" w:hAnsi="宋体"/>
          <w:color w:val="auto"/>
          <w:sz w:val="22"/>
        </w:rPr>
      </w:pPr>
      <w:r>
        <w:rPr>
          <w:rFonts w:ascii="宋体" w:hAnsi="宋体"/>
          <w:color w:val="auto"/>
          <w:sz w:val="22"/>
        </w:rPr>
        <w:t>2.2</w:t>
      </w:r>
      <w:r>
        <w:rPr>
          <w:rFonts w:hint="eastAsia" w:ascii="宋体" w:hAnsi="宋体"/>
          <w:color w:val="auto"/>
          <w:sz w:val="22"/>
        </w:rPr>
        <w:t xml:space="preserve"> 评标应当遵循下列工作程序：</w:t>
      </w:r>
    </w:p>
    <w:p>
      <w:pPr>
        <w:spacing w:line="400" w:lineRule="exact"/>
        <w:ind w:firstLine="431" w:firstLineChars="196"/>
        <w:rPr>
          <w:rFonts w:ascii="宋体"/>
          <w:color w:val="auto"/>
          <w:sz w:val="22"/>
        </w:rPr>
      </w:pPr>
      <w:r>
        <w:rPr>
          <w:rFonts w:ascii="宋体" w:hAnsi="宋体"/>
          <w:color w:val="auto"/>
          <w:sz w:val="22"/>
        </w:rPr>
        <w:t>1</w:t>
      </w:r>
      <w:r>
        <w:rPr>
          <w:rFonts w:hint="eastAsia" w:ascii="宋体" w:hAnsi="宋体"/>
          <w:color w:val="auto"/>
          <w:sz w:val="22"/>
        </w:rPr>
        <w:t>）投标（响应）文件初审。初审分为资格性检查和符合性检查。</w:t>
      </w:r>
    </w:p>
    <w:p>
      <w:pPr>
        <w:spacing w:line="400" w:lineRule="exact"/>
        <w:ind w:firstLine="440" w:firstLineChars="200"/>
        <w:rPr>
          <w:rFonts w:ascii="宋体"/>
          <w:color w:val="auto"/>
          <w:sz w:val="22"/>
        </w:rPr>
      </w:pPr>
      <w:r>
        <w:rPr>
          <w:rFonts w:hint="eastAsia" w:ascii="宋体" w:hAnsi="宋体"/>
          <w:color w:val="auto"/>
          <w:sz w:val="22"/>
        </w:rPr>
        <w:t>（</w:t>
      </w:r>
      <w:r>
        <w:rPr>
          <w:rFonts w:ascii="宋体" w:hAnsi="宋体"/>
          <w:color w:val="auto"/>
          <w:sz w:val="22"/>
        </w:rPr>
        <w:t>1)</w:t>
      </w:r>
      <w:r>
        <w:rPr>
          <w:rFonts w:hint="eastAsia" w:ascii="宋体" w:hAnsi="宋体"/>
          <w:color w:val="auto"/>
          <w:sz w:val="22"/>
        </w:rPr>
        <w:t>资格性检查。由采购单位代表或招标代理机构对供应商资格进行审查。依据法律法规和竞争性磋商文件的规定，对投标（响应）文件中的资格证明文件等进行审查，以确定供应商是否具备投标资格。</w:t>
      </w:r>
    </w:p>
    <w:p>
      <w:pPr>
        <w:spacing w:line="400" w:lineRule="exact"/>
        <w:ind w:firstLine="440" w:firstLineChars="200"/>
        <w:rPr>
          <w:rFonts w:ascii="宋体"/>
          <w:color w:val="auto"/>
          <w:sz w:val="22"/>
        </w:rPr>
      </w:pPr>
      <w:r>
        <w:rPr>
          <w:rFonts w:hint="eastAsia" w:ascii="宋体" w:hAnsi="宋体"/>
          <w:color w:val="auto"/>
          <w:sz w:val="22"/>
        </w:rPr>
        <w:t>（</w:t>
      </w:r>
      <w:r>
        <w:rPr>
          <w:rFonts w:ascii="宋体" w:hAnsi="宋体"/>
          <w:color w:val="auto"/>
          <w:sz w:val="22"/>
        </w:rPr>
        <w:t>2)</w:t>
      </w:r>
      <w:r>
        <w:rPr>
          <w:rFonts w:hint="eastAsia" w:ascii="宋体" w:hAnsi="宋体"/>
          <w:color w:val="auto"/>
          <w:sz w:val="22"/>
        </w:rPr>
        <w:t>符合性检查。竞争性磋商小组依据竞争性磋商文件的规定，从投标（响应）文件的有效性、完整性和对竞争性磋商文件的响应程度进行审查，以确定是否对竞争性磋商文件的实质性要求作出响应。</w:t>
      </w:r>
    </w:p>
    <w:p>
      <w:pPr>
        <w:spacing w:line="400" w:lineRule="exact"/>
        <w:ind w:firstLine="440"/>
        <w:rPr>
          <w:rFonts w:ascii="宋体"/>
          <w:color w:val="auto"/>
          <w:sz w:val="22"/>
        </w:rPr>
      </w:pPr>
      <w:r>
        <w:rPr>
          <w:rFonts w:ascii="宋体" w:hAnsi="宋体"/>
          <w:color w:val="auto"/>
          <w:sz w:val="22"/>
        </w:rPr>
        <w:t>2</w:t>
      </w:r>
      <w:r>
        <w:rPr>
          <w:rFonts w:hint="eastAsia" w:ascii="宋体" w:hAnsi="宋体"/>
          <w:color w:val="auto"/>
          <w:sz w:val="22"/>
        </w:rPr>
        <w:t>）</w:t>
      </w:r>
      <w:r>
        <w:rPr>
          <w:rFonts w:hint="eastAsia" w:ascii="宋体" w:hAnsi="宋体" w:cs="Arial"/>
          <w:color w:val="auto"/>
          <w:sz w:val="22"/>
        </w:rPr>
        <w:t>竞争性磋商小组可以根据供应商投标（响应）文件情况，经采购单位确认，调整竞争性磋商文件及采购方案，在统一采购要求的基础上，要求所有有效供应商重新修正投标（响应）文件及进行多轮次报价。</w:t>
      </w:r>
    </w:p>
    <w:p>
      <w:pPr>
        <w:spacing w:line="400" w:lineRule="exact"/>
        <w:ind w:firstLine="440"/>
        <w:rPr>
          <w:rFonts w:ascii="宋体"/>
          <w:color w:val="auto"/>
          <w:sz w:val="22"/>
        </w:rPr>
      </w:pPr>
      <w:r>
        <w:rPr>
          <w:rFonts w:ascii="宋体" w:hAnsi="宋体"/>
          <w:color w:val="auto"/>
          <w:sz w:val="22"/>
        </w:rPr>
        <w:t>3</w:t>
      </w:r>
      <w:r>
        <w:rPr>
          <w:rFonts w:hint="eastAsia" w:ascii="宋体" w:hAnsi="宋体"/>
          <w:color w:val="auto"/>
          <w:sz w:val="22"/>
        </w:rPr>
        <w:t>）比较与评价。按竞争性磋商文件中规定的评标方法和标准，对资格性检查和符合性检查合格的投标（响应）文件进行商务和技术评估，综合比较与评价。</w:t>
      </w:r>
    </w:p>
    <w:p>
      <w:pPr>
        <w:spacing w:line="400" w:lineRule="exact"/>
        <w:ind w:firstLine="440"/>
        <w:rPr>
          <w:rFonts w:ascii="宋体"/>
          <w:color w:val="auto"/>
          <w:sz w:val="22"/>
        </w:rPr>
      </w:pPr>
      <w:r>
        <w:rPr>
          <w:rFonts w:ascii="宋体" w:hAnsi="宋体"/>
          <w:color w:val="auto"/>
          <w:sz w:val="22"/>
        </w:rPr>
        <w:t>4</w:t>
      </w:r>
      <w:r>
        <w:rPr>
          <w:rFonts w:hint="eastAsia" w:ascii="宋体" w:hAnsi="宋体"/>
          <w:color w:val="auto"/>
          <w:sz w:val="22"/>
        </w:rPr>
        <w:t>）推荐中标（成交）供应商候选人名单，并根据采购单位的授权确定中标（成交）供应商。</w:t>
      </w:r>
    </w:p>
    <w:p>
      <w:pPr>
        <w:pStyle w:val="15"/>
        <w:adjustRightInd w:val="0"/>
        <w:snapToGrid w:val="0"/>
        <w:spacing w:line="400" w:lineRule="exact"/>
        <w:ind w:firstLine="435" w:firstLineChars="197"/>
        <w:rPr>
          <w:rFonts w:hAnsi="宋体" w:cs="Arial"/>
          <w:b/>
          <w:bCs/>
          <w:color w:val="auto"/>
          <w:sz w:val="22"/>
        </w:rPr>
      </w:pPr>
      <w:r>
        <w:rPr>
          <w:rFonts w:hint="eastAsia" w:hAnsi="宋体"/>
          <w:b/>
          <w:bCs/>
          <w:color w:val="auto"/>
          <w:sz w:val="22"/>
        </w:rPr>
        <w:t>▲</w:t>
      </w:r>
      <w:r>
        <w:rPr>
          <w:rFonts w:hAnsi="宋体"/>
          <w:b/>
          <w:bCs/>
          <w:color w:val="auto"/>
          <w:sz w:val="22"/>
        </w:rPr>
        <w:t xml:space="preserve">2.3 </w:t>
      </w:r>
      <w:r>
        <w:rPr>
          <w:rFonts w:hint="eastAsia" w:hAnsi="宋体" w:cs="Arial"/>
          <w:b/>
          <w:bCs/>
          <w:color w:val="auto"/>
          <w:sz w:val="22"/>
        </w:rPr>
        <w:t>供应商存在下列情况之一的，报价无效</w:t>
      </w:r>
      <w:r>
        <w:rPr>
          <w:rFonts w:hAnsi="宋体" w:cs="Arial"/>
          <w:b/>
          <w:bCs/>
          <w:color w:val="auto"/>
          <w:sz w:val="22"/>
        </w:rPr>
        <w:t>:</w:t>
      </w:r>
    </w:p>
    <w:p>
      <w:pPr>
        <w:pStyle w:val="15"/>
        <w:adjustRightInd w:val="0"/>
        <w:snapToGrid w:val="0"/>
        <w:spacing w:line="400" w:lineRule="exact"/>
        <w:ind w:firstLine="435" w:firstLineChars="197"/>
        <w:rPr>
          <w:rFonts w:hAnsi="宋体" w:cs="Arial"/>
          <w:b/>
          <w:bCs/>
          <w:color w:val="auto"/>
          <w:sz w:val="22"/>
        </w:rPr>
      </w:pPr>
      <w:r>
        <w:rPr>
          <w:rFonts w:hAnsi="宋体" w:cs="Arial"/>
          <w:b/>
          <w:bCs/>
          <w:color w:val="auto"/>
          <w:sz w:val="22"/>
        </w:rPr>
        <w:t>1</w:t>
      </w:r>
      <w:r>
        <w:rPr>
          <w:rFonts w:hint="eastAsia" w:hAnsi="宋体" w:cs="Arial"/>
          <w:b/>
          <w:bCs/>
          <w:color w:val="auto"/>
          <w:sz w:val="22"/>
        </w:rPr>
        <w:t>）响应文件未按竞争性磋商文件要求签署、盖章的；</w:t>
      </w:r>
    </w:p>
    <w:p>
      <w:pPr>
        <w:pStyle w:val="15"/>
        <w:adjustRightInd w:val="0"/>
        <w:snapToGrid w:val="0"/>
        <w:spacing w:line="400" w:lineRule="exact"/>
        <w:ind w:firstLine="435" w:firstLineChars="197"/>
        <w:rPr>
          <w:rFonts w:hAnsi="宋体" w:cs="Arial"/>
          <w:b/>
          <w:bCs/>
          <w:color w:val="auto"/>
          <w:sz w:val="22"/>
        </w:rPr>
      </w:pPr>
      <w:r>
        <w:rPr>
          <w:rFonts w:hint="eastAsia" w:hAnsi="宋体" w:cs="Arial"/>
          <w:b/>
          <w:bCs/>
          <w:color w:val="auto"/>
          <w:sz w:val="22"/>
        </w:rPr>
        <w:t>2）不具备竞争性磋商文件中规定的资格要求的；</w:t>
      </w:r>
    </w:p>
    <w:p>
      <w:pPr>
        <w:pStyle w:val="15"/>
        <w:adjustRightInd w:val="0"/>
        <w:snapToGrid w:val="0"/>
        <w:spacing w:line="400" w:lineRule="exact"/>
        <w:ind w:firstLine="435" w:firstLineChars="197"/>
        <w:rPr>
          <w:rFonts w:hAnsi="宋体" w:cs="Arial"/>
          <w:b/>
          <w:bCs/>
          <w:color w:val="auto"/>
          <w:sz w:val="22"/>
        </w:rPr>
      </w:pPr>
      <w:r>
        <w:rPr>
          <w:rFonts w:hint="eastAsia" w:hAnsi="宋体" w:cs="Arial"/>
          <w:b/>
          <w:bCs/>
          <w:color w:val="auto"/>
          <w:sz w:val="22"/>
        </w:rPr>
        <w:t>3）最终报价超过竞争性磋商文件中规定的预算金额或者最高限价的；</w:t>
      </w:r>
    </w:p>
    <w:p>
      <w:pPr>
        <w:pStyle w:val="15"/>
        <w:adjustRightInd w:val="0"/>
        <w:snapToGrid w:val="0"/>
        <w:spacing w:line="400" w:lineRule="exact"/>
        <w:ind w:firstLine="435" w:firstLineChars="197"/>
        <w:rPr>
          <w:rFonts w:hAnsi="宋体" w:cs="Arial"/>
          <w:b/>
          <w:bCs/>
          <w:color w:val="auto"/>
          <w:sz w:val="22"/>
        </w:rPr>
      </w:pPr>
      <w:r>
        <w:rPr>
          <w:rFonts w:hint="eastAsia" w:hAnsi="宋体" w:cs="Arial"/>
          <w:b/>
          <w:bCs/>
          <w:color w:val="auto"/>
          <w:sz w:val="22"/>
        </w:rPr>
        <w:t>4）响应文件含有采购单位不能接受的附加条件的（包括竞争性磋商文件中明确要求不得偏离的招标要求，存在负偏离的）</w:t>
      </w:r>
      <w:r>
        <w:rPr>
          <w:rFonts w:hAnsi="宋体" w:cs="Arial"/>
          <w:b/>
          <w:bCs/>
          <w:color w:val="auto"/>
          <w:sz w:val="22"/>
        </w:rPr>
        <w:t>;</w:t>
      </w:r>
    </w:p>
    <w:p>
      <w:pPr>
        <w:pStyle w:val="15"/>
        <w:adjustRightInd w:val="0"/>
        <w:snapToGrid w:val="0"/>
        <w:spacing w:line="400" w:lineRule="exact"/>
        <w:ind w:firstLine="435" w:firstLineChars="197"/>
        <w:rPr>
          <w:rFonts w:hAnsi="宋体" w:cs="Arial"/>
          <w:b/>
          <w:bCs/>
          <w:color w:val="auto"/>
          <w:sz w:val="22"/>
        </w:rPr>
      </w:pPr>
      <w:r>
        <w:rPr>
          <w:rFonts w:hint="eastAsia" w:hAnsi="宋体" w:cs="Arial"/>
          <w:b/>
          <w:bCs/>
          <w:color w:val="auto"/>
          <w:sz w:val="22"/>
        </w:rPr>
        <w:t>5）对关键条文的偏离、保留或反对，例如关于付款方式、完工期（服务期）、免费质保期、适用法律法规、标准、税费等其他内容；</w:t>
      </w:r>
    </w:p>
    <w:p>
      <w:pPr>
        <w:pStyle w:val="15"/>
        <w:adjustRightInd w:val="0"/>
        <w:snapToGrid w:val="0"/>
        <w:spacing w:line="400" w:lineRule="exact"/>
        <w:ind w:firstLine="435" w:firstLineChars="197"/>
        <w:rPr>
          <w:rFonts w:hAnsi="宋体" w:cs="Arial"/>
          <w:b/>
          <w:bCs/>
          <w:color w:val="auto"/>
          <w:sz w:val="22"/>
        </w:rPr>
      </w:pPr>
      <w:r>
        <w:rPr>
          <w:rFonts w:hint="eastAsia" w:hAnsi="宋体" w:cs="Arial"/>
          <w:b/>
          <w:bCs/>
          <w:color w:val="auto"/>
          <w:sz w:val="22"/>
        </w:rPr>
        <w:t>6）存在串标、抬标或弄虚作假情况的；</w:t>
      </w:r>
    </w:p>
    <w:p>
      <w:pPr>
        <w:pStyle w:val="15"/>
        <w:adjustRightInd w:val="0"/>
        <w:snapToGrid w:val="0"/>
        <w:spacing w:line="400" w:lineRule="exact"/>
        <w:ind w:firstLine="435" w:firstLineChars="197"/>
        <w:rPr>
          <w:rFonts w:hAnsi="宋体" w:cs="Arial"/>
          <w:b/>
          <w:bCs/>
          <w:color w:val="auto"/>
          <w:sz w:val="22"/>
        </w:rPr>
      </w:pPr>
      <w:r>
        <w:rPr>
          <w:rFonts w:hint="eastAsia" w:hAnsi="宋体" w:cs="Arial"/>
          <w:b/>
          <w:bCs/>
          <w:color w:val="auto"/>
          <w:sz w:val="22"/>
        </w:rPr>
        <w:t>7）法律、法规和竞争性磋商文件规定的其他无效情形（或出现重大偏差）。</w:t>
      </w:r>
    </w:p>
    <w:p>
      <w:pPr>
        <w:pStyle w:val="15"/>
        <w:adjustRightInd w:val="0"/>
        <w:snapToGrid w:val="0"/>
        <w:spacing w:line="400" w:lineRule="exact"/>
        <w:ind w:firstLine="435" w:firstLineChars="197"/>
        <w:rPr>
          <w:rFonts w:hAnsi="宋体" w:cs="Arial"/>
          <w:b/>
          <w:bCs/>
          <w:color w:val="auto"/>
          <w:sz w:val="22"/>
        </w:rPr>
      </w:pPr>
      <w:r>
        <w:rPr>
          <w:rFonts w:hint="eastAsia" w:hAnsi="宋体"/>
          <w:b/>
          <w:bCs/>
          <w:color w:val="auto"/>
          <w:sz w:val="22"/>
        </w:rPr>
        <w:t>▲</w:t>
      </w:r>
      <w:r>
        <w:rPr>
          <w:rFonts w:hAnsi="宋体"/>
          <w:b/>
          <w:bCs/>
          <w:color w:val="auto"/>
          <w:sz w:val="22"/>
        </w:rPr>
        <w:t xml:space="preserve">2.4 </w:t>
      </w:r>
      <w:r>
        <w:rPr>
          <w:rFonts w:hint="eastAsia" w:hAnsi="宋体" w:cs="Arial"/>
          <w:b/>
          <w:bCs/>
          <w:color w:val="auto"/>
          <w:sz w:val="22"/>
        </w:rPr>
        <w:t>竞争性磋商评审小组发现响应文件有下列情形之一的属于重大偏差</w:t>
      </w:r>
      <w:r>
        <w:rPr>
          <w:rFonts w:hAnsi="宋体" w:cs="Arial"/>
          <w:b/>
          <w:bCs/>
          <w:color w:val="auto"/>
          <w:sz w:val="22"/>
        </w:rPr>
        <w:t>(</w:t>
      </w:r>
      <w:r>
        <w:rPr>
          <w:rFonts w:hint="eastAsia" w:hAnsi="宋体" w:cs="Arial"/>
          <w:b/>
          <w:bCs/>
          <w:color w:val="auto"/>
          <w:sz w:val="22"/>
        </w:rPr>
        <w:t>竞争性磋商评审小组按少数服从多数原则认定</w:t>
      </w:r>
      <w:r>
        <w:rPr>
          <w:rFonts w:hAnsi="宋体" w:cs="Arial"/>
          <w:b/>
          <w:bCs/>
          <w:color w:val="auto"/>
          <w:sz w:val="22"/>
        </w:rPr>
        <w:t>),</w:t>
      </w:r>
      <w:r>
        <w:rPr>
          <w:rFonts w:hint="eastAsia" w:hAnsi="宋体" w:cs="Arial"/>
          <w:b/>
          <w:bCs/>
          <w:color w:val="auto"/>
          <w:sz w:val="22"/>
        </w:rPr>
        <w:t>按照无效投标处理：</w:t>
      </w:r>
    </w:p>
    <w:p>
      <w:pPr>
        <w:pStyle w:val="15"/>
        <w:adjustRightInd w:val="0"/>
        <w:snapToGrid w:val="0"/>
        <w:spacing w:line="400" w:lineRule="exact"/>
        <w:ind w:firstLine="435" w:firstLineChars="197"/>
        <w:rPr>
          <w:rFonts w:hAnsi="宋体" w:cs="Arial"/>
          <w:b/>
          <w:bCs/>
          <w:color w:val="auto"/>
          <w:sz w:val="22"/>
        </w:rPr>
      </w:pPr>
      <w:r>
        <w:rPr>
          <w:rFonts w:hAnsi="宋体" w:cs="Arial"/>
          <w:b/>
          <w:bCs/>
          <w:color w:val="auto"/>
          <w:sz w:val="22"/>
        </w:rPr>
        <w:t>1</w:t>
      </w:r>
      <w:r>
        <w:rPr>
          <w:rFonts w:hint="eastAsia" w:hAnsi="宋体" w:cs="Arial"/>
          <w:b/>
          <w:bCs/>
          <w:color w:val="auto"/>
          <w:sz w:val="22"/>
        </w:rPr>
        <w:t>）未按竞争性磋商文件要求编制或字迹模糊、辨认不清的响应文件；</w:t>
      </w:r>
    </w:p>
    <w:p>
      <w:pPr>
        <w:pStyle w:val="15"/>
        <w:adjustRightInd w:val="0"/>
        <w:snapToGrid w:val="0"/>
        <w:spacing w:line="400" w:lineRule="exact"/>
        <w:ind w:firstLine="435" w:firstLineChars="197"/>
        <w:rPr>
          <w:rFonts w:hAnsi="宋体" w:cs="Arial"/>
          <w:b/>
          <w:bCs/>
          <w:color w:val="auto"/>
          <w:sz w:val="22"/>
        </w:rPr>
      </w:pPr>
      <w:r>
        <w:rPr>
          <w:rFonts w:hAnsi="宋体" w:cs="Arial"/>
          <w:b/>
          <w:bCs/>
          <w:color w:val="auto"/>
          <w:sz w:val="22"/>
        </w:rPr>
        <w:t>2</w:t>
      </w:r>
      <w:r>
        <w:rPr>
          <w:rFonts w:hint="eastAsia" w:hAnsi="宋体" w:cs="Arial"/>
          <w:b/>
          <w:bCs/>
          <w:color w:val="auto"/>
          <w:sz w:val="22"/>
        </w:rPr>
        <w:t>）除</w:t>
      </w:r>
      <w:r>
        <w:rPr>
          <w:rFonts w:hAnsi="宋体" w:cs="Arial"/>
          <w:b/>
          <w:bCs/>
          <w:color w:val="auto"/>
          <w:sz w:val="22"/>
        </w:rPr>
        <w:t>2.3</w:t>
      </w:r>
      <w:r>
        <w:rPr>
          <w:rFonts w:hint="eastAsia" w:hAnsi="宋体" w:cs="Arial"/>
          <w:b/>
          <w:bCs/>
          <w:color w:val="auto"/>
          <w:sz w:val="22"/>
        </w:rPr>
        <w:t>条款以外，出现其它明显不符合采购要求的响应文件；</w:t>
      </w:r>
    </w:p>
    <w:p>
      <w:pPr>
        <w:pStyle w:val="15"/>
        <w:adjustRightInd w:val="0"/>
        <w:snapToGrid w:val="0"/>
        <w:spacing w:line="400" w:lineRule="exact"/>
        <w:ind w:firstLine="435" w:firstLineChars="197"/>
        <w:rPr>
          <w:rFonts w:hAnsi="宋体" w:cs="Arial"/>
          <w:b/>
          <w:bCs/>
          <w:color w:val="auto"/>
          <w:sz w:val="22"/>
        </w:rPr>
      </w:pPr>
      <w:r>
        <w:rPr>
          <w:rFonts w:hAnsi="宋体" w:cs="Arial"/>
          <w:b/>
          <w:bCs/>
          <w:color w:val="auto"/>
          <w:sz w:val="22"/>
        </w:rPr>
        <w:t>3</w:t>
      </w:r>
      <w:r>
        <w:rPr>
          <w:rFonts w:hint="eastAsia" w:hAnsi="宋体" w:cs="Arial"/>
          <w:b/>
          <w:bCs/>
          <w:color w:val="auto"/>
          <w:sz w:val="22"/>
        </w:rPr>
        <w:t>）除</w:t>
      </w:r>
      <w:r>
        <w:rPr>
          <w:rFonts w:hAnsi="宋体" w:cs="Arial"/>
          <w:b/>
          <w:bCs/>
          <w:color w:val="auto"/>
          <w:sz w:val="22"/>
        </w:rPr>
        <w:t>2.3</w:t>
      </w:r>
      <w:r>
        <w:rPr>
          <w:rFonts w:hint="eastAsia" w:hAnsi="宋体" w:cs="Arial"/>
          <w:b/>
          <w:bCs/>
          <w:color w:val="auto"/>
          <w:sz w:val="22"/>
        </w:rPr>
        <w:t>条款以外，出现其它不符合竞争性磋商文件中规定的实质性要求的响应文件，是否为偏离实质性要求由竞争性磋商评审小组认定。</w:t>
      </w:r>
    </w:p>
    <w:p>
      <w:pPr>
        <w:pStyle w:val="15"/>
        <w:adjustRightInd w:val="0"/>
        <w:snapToGrid w:val="0"/>
        <w:spacing w:line="400" w:lineRule="exact"/>
        <w:ind w:firstLine="435" w:firstLineChars="197"/>
        <w:rPr>
          <w:rFonts w:hAnsi="宋体"/>
          <w:b/>
          <w:bCs/>
          <w:color w:val="auto"/>
          <w:sz w:val="22"/>
        </w:rPr>
      </w:pPr>
      <w:r>
        <w:rPr>
          <w:rFonts w:hint="eastAsia" w:hAnsi="宋体"/>
          <w:b/>
          <w:bCs/>
          <w:color w:val="auto"/>
          <w:sz w:val="22"/>
        </w:rPr>
        <w:t>▲</w:t>
      </w:r>
      <w:r>
        <w:rPr>
          <w:rFonts w:hAnsi="宋体" w:cs="Arial"/>
          <w:b/>
          <w:bCs/>
          <w:color w:val="auto"/>
          <w:sz w:val="22"/>
        </w:rPr>
        <w:t>2.5</w:t>
      </w:r>
      <w:r>
        <w:rPr>
          <w:rFonts w:hAnsi="宋体"/>
          <w:b/>
          <w:bCs/>
          <w:color w:val="auto"/>
          <w:sz w:val="22"/>
        </w:rPr>
        <w:t xml:space="preserve"> </w:t>
      </w:r>
      <w:r>
        <w:rPr>
          <w:rFonts w:hint="eastAsia" w:hAnsi="宋体"/>
          <w:b/>
          <w:bCs/>
          <w:color w:val="auto"/>
          <w:sz w:val="22"/>
        </w:rPr>
        <w:t>竞争性磋商评审小组认为供应商的最终报价明显低于其他有效供应商的最终报价，有可能影响采购质量或者不能诚信履约的，应当要求其在评标现场合理的时间内提供书面说明，必要时提交相关证明材料；供应商不能证明其报价合理性的，竞争性磋商评审小组应当将其作为无效投标处理。</w:t>
      </w:r>
    </w:p>
    <w:p>
      <w:pPr>
        <w:pStyle w:val="15"/>
        <w:adjustRightInd w:val="0"/>
        <w:snapToGrid w:val="0"/>
        <w:spacing w:line="400" w:lineRule="exact"/>
        <w:ind w:firstLine="433" w:firstLineChars="197"/>
        <w:rPr>
          <w:rFonts w:hAnsi="宋体"/>
          <w:bCs/>
          <w:color w:val="auto"/>
          <w:sz w:val="22"/>
        </w:rPr>
      </w:pPr>
      <w:r>
        <w:rPr>
          <w:rFonts w:hAnsi="宋体" w:cs="Arial"/>
          <w:bCs/>
          <w:color w:val="auto"/>
          <w:sz w:val="22"/>
        </w:rPr>
        <w:t xml:space="preserve">2.6 </w:t>
      </w:r>
      <w:r>
        <w:rPr>
          <w:rFonts w:hint="eastAsia" w:hAnsi="宋体" w:cs="Arial"/>
          <w:bCs/>
          <w:color w:val="auto"/>
          <w:sz w:val="22"/>
        </w:rPr>
        <w:t>竞争性磋商评审小组</w:t>
      </w:r>
      <w:r>
        <w:rPr>
          <w:rFonts w:hint="eastAsia" w:hAnsi="宋体"/>
          <w:bCs/>
          <w:color w:val="auto"/>
          <w:sz w:val="22"/>
        </w:rPr>
        <w:t>在评标中，不得改变竞争性磋商文件中规定的评标标准、方法和成交条件。</w:t>
      </w:r>
    </w:p>
    <w:p>
      <w:pPr>
        <w:pStyle w:val="15"/>
        <w:adjustRightInd w:val="0"/>
        <w:snapToGrid w:val="0"/>
        <w:spacing w:line="400" w:lineRule="exact"/>
        <w:ind w:firstLine="433" w:firstLineChars="197"/>
        <w:rPr>
          <w:rFonts w:hAnsi="宋体"/>
          <w:bCs/>
          <w:color w:val="auto"/>
          <w:sz w:val="22"/>
        </w:rPr>
      </w:pPr>
      <w:r>
        <w:rPr>
          <w:rFonts w:hAnsi="宋体"/>
          <w:bCs/>
          <w:color w:val="auto"/>
          <w:sz w:val="22"/>
        </w:rPr>
        <w:t xml:space="preserve">2.7 </w:t>
      </w:r>
      <w:r>
        <w:rPr>
          <w:rFonts w:hint="eastAsia" w:hAnsi="宋体"/>
          <w:bCs/>
          <w:color w:val="auto"/>
          <w:sz w:val="22"/>
        </w:rPr>
        <w:t>评标时如遇到竞争性磋商文件未规定的特殊情况，由竞争性磋商评审小组按少数服从多数原则集体决定处理。</w:t>
      </w:r>
    </w:p>
    <w:p>
      <w:pPr>
        <w:pStyle w:val="15"/>
        <w:adjustRightInd w:val="0"/>
        <w:snapToGrid w:val="0"/>
        <w:spacing w:line="400" w:lineRule="exact"/>
        <w:ind w:firstLine="433" w:firstLineChars="197"/>
        <w:rPr>
          <w:rFonts w:hAnsi="宋体"/>
          <w:bCs/>
          <w:color w:val="auto"/>
          <w:sz w:val="22"/>
        </w:rPr>
      </w:pPr>
      <w:r>
        <w:rPr>
          <w:rFonts w:hAnsi="宋体"/>
          <w:bCs/>
          <w:color w:val="auto"/>
          <w:sz w:val="22"/>
        </w:rPr>
        <w:t>2.8</w:t>
      </w:r>
      <w:r>
        <w:rPr>
          <w:rFonts w:hint="eastAsia" w:hAnsi="宋体"/>
          <w:bCs/>
          <w:color w:val="auto"/>
          <w:sz w:val="22"/>
        </w:rPr>
        <w:t>竞争性磋商评审小组对未成交的供应商不作解释。同时根据政府采购法实施条例第四十条规定，本项目不对供应商公布详细的评审情况，不公布具体评标细则中小项得分。</w:t>
      </w:r>
    </w:p>
    <w:p>
      <w:pPr>
        <w:pStyle w:val="15"/>
        <w:adjustRightInd w:val="0"/>
        <w:spacing w:line="380" w:lineRule="exact"/>
        <w:ind w:firstLine="442" w:firstLineChars="200"/>
        <w:rPr>
          <w:rFonts w:hAnsi="宋体"/>
          <w:b/>
          <w:bCs/>
          <w:color w:val="auto"/>
          <w:sz w:val="22"/>
        </w:rPr>
      </w:pPr>
      <w:r>
        <w:rPr>
          <w:rFonts w:hint="eastAsia" w:hAnsi="宋体" w:eastAsia="宋体" w:cs="宋体"/>
          <w:b/>
          <w:bCs/>
          <w:color w:val="auto"/>
          <w:sz w:val="22"/>
        </w:rPr>
        <w:t>▲</w:t>
      </w:r>
      <w:r>
        <w:rPr>
          <w:rFonts w:hAnsi="宋体"/>
          <w:b/>
          <w:bCs/>
          <w:color w:val="auto"/>
          <w:sz w:val="22"/>
        </w:rPr>
        <w:t>2.9</w:t>
      </w:r>
      <w:r>
        <w:rPr>
          <w:rFonts w:hint="eastAsia" w:hAnsi="宋体"/>
          <w:b/>
          <w:bCs/>
          <w:color w:val="auto"/>
          <w:sz w:val="22"/>
        </w:rPr>
        <w:t>、</w:t>
      </w:r>
      <w:r>
        <w:rPr>
          <w:rFonts w:hint="eastAsia" w:hAnsi="宋体" w:cs="Arial"/>
          <w:b/>
          <w:color w:val="auto"/>
          <w:sz w:val="22"/>
        </w:rPr>
        <w:t>投标截止时有效投标供应商不足三家的，不予开标或评标；评审过程中有效投标供应商不足三家，可以按财政部《关于政府采购竞争性磋商采购方式管理暂行办法有关问题的补充通知【财库〔</w:t>
      </w:r>
      <w:r>
        <w:rPr>
          <w:rFonts w:hAnsi="宋体" w:cs="Arial"/>
          <w:b/>
          <w:color w:val="auto"/>
          <w:sz w:val="22"/>
        </w:rPr>
        <w:t>2015</w:t>
      </w:r>
      <w:r>
        <w:rPr>
          <w:rFonts w:hint="eastAsia" w:hAnsi="宋体" w:cs="Arial"/>
          <w:b/>
          <w:color w:val="auto"/>
          <w:sz w:val="22"/>
        </w:rPr>
        <w:t>〕</w:t>
      </w:r>
      <w:r>
        <w:rPr>
          <w:rFonts w:hAnsi="宋体" w:cs="Arial"/>
          <w:b/>
          <w:color w:val="auto"/>
          <w:sz w:val="22"/>
        </w:rPr>
        <w:t>124</w:t>
      </w:r>
      <w:r>
        <w:rPr>
          <w:rFonts w:hint="eastAsia" w:hAnsi="宋体" w:cs="Arial"/>
          <w:b/>
          <w:color w:val="auto"/>
          <w:sz w:val="22"/>
        </w:rPr>
        <w:t>号】》文件规定执行。</w:t>
      </w:r>
    </w:p>
    <w:p>
      <w:pPr>
        <w:pStyle w:val="15"/>
        <w:adjustRightInd w:val="0"/>
        <w:snapToGrid w:val="0"/>
        <w:spacing w:line="400" w:lineRule="exact"/>
        <w:ind w:firstLine="433" w:firstLineChars="197"/>
        <w:rPr>
          <w:rFonts w:hAnsi="宋体" w:cs="Arial"/>
          <w:color w:val="auto"/>
          <w:sz w:val="22"/>
        </w:rPr>
      </w:pPr>
      <w:r>
        <w:rPr>
          <w:rFonts w:hAnsi="宋体" w:cs="Arial"/>
          <w:color w:val="auto"/>
          <w:sz w:val="22"/>
        </w:rPr>
        <w:t>3</w:t>
      </w:r>
      <w:r>
        <w:rPr>
          <w:rFonts w:hint="eastAsia" w:hAnsi="宋体" w:cs="Arial"/>
          <w:color w:val="auto"/>
          <w:sz w:val="22"/>
        </w:rPr>
        <w:t>、响应文件的澄清</w:t>
      </w:r>
    </w:p>
    <w:p>
      <w:pPr>
        <w:adjustRightInd w:val="0"/>
        <w:snapToGrid w:val="0"/>
        <w:spacing w:line="400" w:lineRule="exact"/>
        <w:ind w:firstLine="433" w:firstLineChars="197"/>
        <w:rPr>
          <w:rFonts w:ascii="宋体" w:cs="Arial"/>
          <w:color w:val="auto"/>
          <w:sz w:val="22"/>
        </w:rPr>
      </w:pPr>
      <w:r>
        <w:rPr>
          <w:rFonts w:hint="eastAsia" w:ascii="宋体" w:hAnsi="宋体" w:cs="Arial"/>
          <w:color w:val="auto"/>
          <w:sz w:val="22"/>
        </w:rPr>
        <w:t>为有利于对响应文件的比较和评议，必要时采购单位及竞争性磋商评审小组可要求供应商对响应文件及合同条款进行澄清，并做出书面答复。书面答复须有授权代表签字并作为报价内容的一部分。</w:t>
      </w:r>
    </w:p>
    <w:p>
      <w:pPr>
        <w:adjustRightInd w:val="0"/>
        <w:snapToGrid w:val="0"/>
        <w:spacing w:line="400" w:lineRule="exact"/>
        <w:ind w:left="414" w:leftChars="197"/>
        <w:rPr>
          <w:rFonts w:ascii="宋体" w:hAnsi="宋体" w:cs="Arial"/>
          <w:b/>
          <w:bCs/>
          <w:color w:val="auto"/>
          <w:sz w:val="22"/>
        </w:rPr>
      </w:pPr>
      <w:r>
        <w:rPr>
          <w:rFonts w:hint="eastAsia" w:ascii="宋体" w:hAnsi="宋体" w:eastAsia="宋体" w:cs="宋体"/>
          <w:b/>
          <w:bCs/>
          <w:color w:val="auto"/>
          <w:sz w:val="22"/>
        </w:rPr>
        <w:t>▲</w:t>
      </w:r>
      <w:r>
        <w:rPr>
          <w:rFonts w:ascii="宋体" w:hAnsi="宋体" w:cs="Arial"/>
          <w:b/>
          <w:bCs/>
          <w:color w:val="auto"/>
          <w:sz w:val="22"/>
        </w:rPr>
        <w:t>4</w:t>
      </w:r>
      <w:r>
        <w:rPr>
          <w:rFonts w:hint="eastAsia" w:ascii="宋体" w:hAnsi="宋体" w:cs="Arial"/>
          <w:b/>
          <w:bCs/>
          <w:color w:val="auto"/>
          <w:sz w:val="22"/>
        </w:rPr>
        <w:t>、有下列情形之一的，视为供应商相互串通投标：</w:t>
      </w:r>
    </w:p>
    <w:p>
      <w:pPr>
        <w:adjustRightInd w:val="0"/>
        <w:snapToGrid w:val="0"/>
        <w:spacing w:line="400" w:lineRule="exact"/>
        <w:ind w:left="414" w:leftChars="197"/>
        <w:rPr>
          <w:rFonts w:ascii="宋体" w:hAnsi="宋体" w:cs="Arial"/>
          <w:b/>
          <w:bCs/>
          <w:color w:val="auto"/>
          <w:sz w:val="22"/>
        </w:rPr>
      </w:pPr>
      <w:r>
        <w:rPr>
          <w:rFonts w:ascii="宋体" w:hAnsi="宋体" w:cs="Arial"/>
          <w:b/>
          <w:bCs/>
          <w:color w:val="auto"/>
          <w:sz w:val="22"/>
        </w:rPr>
        <w:t>4.1</w:t>
      </w:r>
      <w:r>
        <w:rPr>
          <w:rFonts w:hint="eastAsia" w:ascii="宋体" w:hAnsi="宋体" w:cs="Arial"/>
          <w:b/>
          <w:bCs/>
          <w:color w:val="auto"/>
          <w:sz w:val="22"/>
        </w:rPr>
        <w:t>不同供应商的响应文件由同一单位或者个人编制；</w:t>
      </w:r>
    </w:p>
    <w:p>
      <w:pPr>
        <w:adjustRightInd w:val="0"/>
        <w:snapToGrid w:val="0"/>
        <w:spacing w:line="400" w:lineRule="exact"/>
        <w:ind w:left="414" w:leftChars="197"/>
        <w:rPr>
          <w:rFonts w:ascii="宋体" w:hAnsi="宋体" w:cs="Arial"/>
          <w:b/>
          <w:bCs/>
          <w:color w:val="auto"/>
          <w:sz w:val="22"/>
        </w:rPr>
      </w:pPr>
      <w:r>
        <w:rPr>
          <w:rFonts w:ascii="宋体" w:hAnsi="宋体" w:cs="Arial"/>
          <w:b/>
          <w:bCs/>
          <w:color w:val="auto"/>
          <w:sz w:val="22"/>
        </w:rPr>
        <w:t>4.2</w:t>
      </w:r>
      <w:r>
        <w:rPr>
          <w:rFonts w:hint="eastAsia" w:ascii="宋体" w:hAnsi="宋体" w:cs="Arial"/>
          <w:b/>
          <w:bCs/>
          <w:color w:val="auto"/>
          <w:sz w:val="22"/>
        </w:rPr>
        <w:t>不同供应商委托同一单位或者个人办理投标事宜；</w:t>
      </w:r>
    </w:p>
    <w:p>
      <w:pPr>
        <w:adjustRightInd w:val="0"/>
        <w:snapToGrid w:val="0"/>
        <w:spacing w:line="400" w:lineRule="exact"/>
        <w:ind w:left="414" w:leftChars="197"/>
        <w:rPr>
          <w:rFonts w:ascii="宋体" w:hAnsi="宋体" w:cs="Arial"/>
          <w:b/>
          <w:bCs/>
          <w:color w:val="auto"/>
          <w:sz w:val="22"/>
        </w:rPr>
      </w:pPr>
      <w:r>
        <w:rPr>
          <w:rFonts w:ascii="宋体" w:hAnsi="宋体" w:cs="Arial"/>
          <w:b/>
          <w:bCs/>
          <w:color w:val="auto"/>
          <w:sz w:val="22"/>
        </w:rPr>
        <w:t>4.3</w:t>
      </w:r>
      <w:r>
        <w:rPr>
          <w:rFonts w:hint="eastAsia" w:ascii="宋体" w:hAnsi="宋体" w:cs="Arial"/>
          <w:b/>
          <w:bCs/>
          <w:color w:val="auto"/>
          <w:sz w:val="22"/>
        </w:rPr>
        <w:t>不同供应商的响应文件载明的项目管理成员为同一人；</w:t>
      </w:r>
    </w:p>
    <w:p>
      <w:pPr>
        <w:adjustRightInd w:val="0"/>
        <w:snapToGrid w:val="0"/>
        <w:spacing w:line="400" w:lineRule="exact"/>
        <w:ind w:left="414" w:leftChars="197"/>
        <w:rPr>
          <w:rFonts w:ascii="宋体" w:hAnsi="宋体" w:cs="Arial"/>
          <w:b/>
          <w:bCs/>
          <w:color w:val="auto"/>
          <w:sz w:val="22"/>
        </w:rPr>
      </w:pPr>
      <w:r>
        <w:rPr>
          <w:rFonts w:ascii="宋体" w:hAnsi="宋体" w:cs="Arial"/>
          <w:b/>
          <w:bCs/>
          <w:color w:val="auto"/>
          <w:sz w:val="22"/>
        </w:rPr>
        <w:t>4.4</w:t>
      </w:r>
      <w:r>
        <w:rPr>
          <w:rFonts w:hint="eastAsia" w:ascii="宋体" w:hAnsi="宋体" w:cs="Arial"/>
          <w:b/>
          <w:bCs/>
          <w:color w:val="auto"/>
          <w:sz w:val="22"/>
        </w:rPr>
        <w:t>不同供应商的响应文件异常一致或者投标报价呈规律性差异；</w:t>
      </w:r>
    </w:p>
    <w:p>
      <w:pPr>
        <w:adjustRightInd w:val="0"/>
        <w:snapToGrid w:val="0"/>
        <w:spacing w:line="400" w:lineRule="exact"/>
        <w:ind w:left="414" w:leftChars="197"/>
        <w:rPr>
          <w:rFonts w:ascii="宋体" w:hAnsi="宋体" w:cs="Arial"/>
          <w:b/>
          <w:bCs/>
          <w:color w:val="auto"/>
          <w:sz w:val="22"/>
        </w:rPr>
      </w:pPr>
      <w:r>
        <w:rPr>
          <w:rFonts w:ascii="宋体" w:hAnsi="宋体" w:cs="Arial"/>
          <w:b/>
          <w:bCs/>
          <w:color w:val="auto"/>
          <w:sz w:val="22"/>
        </w:rPr>
        <w:t>4.5</w:t>
      </w:r>
      <w:r>
        <w:rPr>
          <w:rFonts w:hint="eastAsia" w:ascii="宋体" w:hAnsi="宋体" w:cs="Arial"/>
          <w:b/>
          <w:bCs/>
          <w:color w:val="auto"/>
          <w:sz w:val="22"/>
        </w:rPr>
        <w:t>不同供应商的响应文件相互混装；</w:t>
      </w:r>
    </w:p>
    <w:p>
      <w:pPr>
        <w:adjustRightInd w:val="0"/>
        <w:snapToGrid w:val="0"/>
        <w:spacing w:line="400" w:lineRule="exact"/>
        <w:ind w:left="13" w:leftChars="6" w:firstLine="400" w:firstLineChars="181"/>
        <w:rPr>
          <w:rFonts w:ascii="宋体" w:hAnsi="宋体" w:cs="Arial"/>
          <w:b/>
          <w:bCs/>
          <w:color w:val="auto"/>
          <w:sz w:val="22"/>
        </w:rPr>
      </w:pPr>
      <w:r>
        <w:rPr>
          <w:rFonts w:ascii="宋体" w:hAnsi="宋体" w:cs="Arial"/>
          <w:b/>
          <w:bCs/>
          <w:color w:val="auto"/>
          <w:sz w:val="22"/>
        </w:rPr>
        <w:t>4.</w:t>
      </w:r>
      <w:r>
        <w:rPr>
          <w:rFonts w:hint="eastAsia" w:ascii="宋体" w:hAnsi="宋体" w:cs="Arial"/>
          <w:b/>
          <w:bCs/>
          <w:color w:val="auto"/>
          <w:sz w:val="22"/>
        </w:rPr>
        <w:t>6经竞争性磋商评审小组认定供应商进行串通投标的，竞争性磋商评审小组可以对相关供应商做出无效报价处理，并上报政府采购管理部门进行进一步处理。</w:t>
      </w:r>
    </w:p>
    <w:p>
      <w:pPr>
        <w:pStyle w:val="15"/>
        <w:adjustRightInd w:val="0"/>
        <w:snapToGrid w:val="0"/>
        <w:spacing w:line="400" w:lineRule="exact"/>
        <w:ind w:firstLine="433" w:firstLineChars="197"/>
        <w:rPr>
          <w:rFonts w:hAnsi="宋体" w:cs="Arial"/>
          <w:bCs/>
          <w:color w:val="auto"/>
          <w:sz w:val="22"/>
        </w:rPr>
      </w:pPr>
      <w:r>
        <w:rPr>
          <w:rFonts w:hAnsi="宋体" w:cs="Arial"/>
          <w:bCs/>
          <w:color w:val="auto"/>
          <w:sz w:val="22"/>
        </w:rPr>
        <w:t>5</w:t>
      </w:r>
      <w:r>
        <w:rPr>
          <w:rFonts w:hint="eastAsia" w:hAnsi="宋体" w:cs="Arial"/>
          <w:bCs/>
          <w:color w:val="auto"/>
          <w:sz w:val="22"/>
        </w:rPr>
        <w:t>、评标原则</w:t>
      </w:r>
    </w:p>
    <w:p>
      <w:pPr>
        <w:pStyle w:val="15"/>
        <w:adjustRightInd w:val="0"/>
        <w:spacing w:line="400" w:lineRule="exact"/>
        <w:ind w:firstLine="440" w:firstLineChars="200"/>
        <w:rPr>
          <w:rFonts w:hAnsi="宋体" w:cs="Arial"/>
          <w:bCs/>
          <w:color w:val="auto"/>
          <w:sz w:val="22"/>
        </w:rPr>
      </w:pPr>
      <w:r>
        <w:rPr>
          <w:rFonts w:hint="eastAsia" w:hAnsi="宋体" w:cs="Arial"/>
          <w:bCs/>
          <w:color w:val="auto"/>
          <w:sz w:val="22"/>
        </w:rPr>
        <w:t>评标办法具体见本竞争性磋商文件第六部分。</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Pr>
        <w:pStyle w:val="15"/>
        <w:adjustRightInd w:val="0"/>
        <w:snapToGrid w:val="0"/>
        <w:spacing w:line="400" w:lineRule="exact"/>
        <w:outlineLvl w:val="0"/>
        <w:rPr>
          <w:rFonts w:hAnsi="宋体"/>
          <w:b/>
          <w:color w:val="auto"/>
          <w:sz w:val="22"/>
        </w:rPr>
      </w:pPr>
      <w:r>
        <w:rPr>
          <w:rFonts w:hint="eastAsia" w:hAnsi="宋体"/>
          <w:b/>
          <w:color w:val="auto"/>
          <w:sz w:val="22"/>
        </w:rPr>
        <w:t>六、授予合同</w:t>
      </w:r>
    </w:p>
    <w:p>
      <w:pPr>
        <w:pStyle w:val="15"/>
        <w:adjustRightInd w:val="0"/>
        <w:snapToGrid w:val="0"/>
        <w:spacing w:line="400" w:lineRule="exact"/>
        <w:ind w:firstLine="433" w:firstLineChars="197"/>
        <w:rPr>
          <w:rFonts w:hAnsi="宋体"/>
          <w:bCs/>
          <w:color w:val="auto"/>
          <w:sz w:val="22"/>
        </w:rPr>
      </w:pPr>
      <w:r>
        <w:rPr>
          <w:rFonts w:hAnsi="宋体"/>
          <w:bCs/>
          <w:color w:val="auto"/>
          <w:sz w:val="22"/>
        </w:rPr>
        <w:t>1</w:t>
      </w:r>
      <w:r>
        <w:rPr>
          <w:rFonts w:hint="eastAsia" w:hAnsi="宋体"/>
          <w:bCs/>
          <w:color w:val="auto"/>
          <w:sz w:val="22"/>
        </w:rPr>
        <w:t>、决标</w:t>
      </w:r>
    </w:p>
    <w:p>
      <w:pPr>
        <w:pStyle w:val="15"/>
        <w:adjustRightInd w:val="0"/>
        <w:snapToGrid w:val="0"/>
        <w:spacing w:line="400" w:lineRule="exact"/>
        <w:ind w:firstLine="433" w:firstLineChars="197"/>
        <w:rPr>
          <w:rFonts w:hAnsi="宋体"/>
          <w:bCs/>
          <w:color w:val="auto"/>
          <w:sz w:val="22"/>
        </w:rPr>
      </w:pPr>
      <w:r>
        <w:rPr>
          <w:rFonts w:hint="eastAsia" w:hAnsi="宋体"/>
          <w:bCs/>
          <w:color w:val="auto"/>
          <w:sz w:val="22"/>
        </w:rPr>
        <w:t>评标结束后，竞争性磋商评审小组按照竞争性磋商文件确定的评标办法推荐成交供应商。</w:t>
      </w:r>
    </w:p>
    <w:p>
      <w:pPr>
        <w:pStyle w:val="15"/>
        <w:adjustRightInd w:val="0"/>
        <w:snapToGrid w:val="0"/>
        <w:spacing w:line="400" w:lineRule="exact"/>
        <w:ind w:firstLine="433" w:firstLineChars="197"/>
        <w:rPr>
          <w:rFonts w:hAnsi="宋体"/>
          <w:bCs/>
          <w:color w:val="auto"/>
          <w:sz w:val="22"/>
        </w:rPr>
      </w:pPr>
      <w:r>
        <w:rPr>
          <w:rFonts w:hAnsi="宋体"/>
          <w:bCs/>
          <w:color w:val="auto"/>
          <w:sz w:val="22"/>
        </w:rPr>
        <w:t>2</w:t>
      </w:r>
      <w:r>
        <w:rPr>
          <w:rFonts w:hint="eastAsia" w:hAnsi="宋体"/>
          <w:bCs/>
          <w:color w:val="auto"/>
          <w:sz w:val="22"/>
        </w:rPr>
        <w:t>、成交通知书</w:t>
      </w:r>
    </w:p>
    <w:p>
      <w:pPr>
        <w:pStyle w:val="15"/>
        <w:adjustRightInd w:val="0"/>
        <w:snapToGrid w:val="0"/>
        <w:spacing w:line="400" w:lineRule="exact"/>
        <w:ind w:firstLine="433" w:firstLineChars="197"/>
        <w:rPr>
          <w:rFonts w:hAnsi="宋体"/>
          <w:b/>
          <w:bCs/>
          <w:color w:val="auto"/>
          <w:sz w:val="22"/>
        </w:rPr>
      </w:pPr>
      <w:bookmarkStart w:id="39" w:name="_Toc764_WPSOffice_Level3"/>
      <w:r>
        <w:rPr>
          <w:rFonts w:hAnsi="宋体"/>
          <w:color w:val="auto"/>
          <w:sz w:val="22"/>
        </w:rPr>
        <w:t>2</w:t>
      </w:r>
      <w:r>
        <w:rPr>
          <w:rFonts w:hint="eastAsia" w:hAnsi="宋体"/>
          <w:color w:val="auto"/>
          <w:sz w:val="22"/>
        </w:rPr>
        <w:t>.</w:t>
      </w:r>
      <w:bookmarkEnd w:id="39"/>
      <w:r>
        <w:rPr>
          <w:rFonts w:hint="eastAsia" w:hAnsi="宋体"/>
          <w:color w:val="auto"/>
          <w:sz w:val="22"/>
        </w:rPr>
        <w:t>中标（成交）通知书</w:t>
      </w:r>
    </w:p>
    <w:p>
      <w:pPr>
        <w:spacing w:line="400" w:lineRule="exact"/>
        <w:ind w:firstLine="433" w:firstLineChars="197"/>
        <w:rPr>
          <w:rFonts w:ascii="宋体"/>
          <w:color w:val="auto"/>
          <w:sz w:val="22"/>
        </w:rPr>
      </w:pPr>
      <w:r>
        <w:rPr>
          <w:rFonts w:ascii="宋体" w:hAnsi="宋体"/>
          <w:color w:val="auto"/>
          <w:sz w:val="22"/>
        </w:rPr>
        <w:t>2.1</w:t>
      </w:r>
      <w:r>
        <w:rPr>
          <w:rFonts w:hint="eastAsia" w:ascii="宋体" w:hAnsi="宋体"/>
          <w:color w:val="auto"/>
          <w:sz w:val="22"/>
        </w:rPr>
        <w:t>采购单位依法确认中标（成交）供应商后，代理机构在浙江省政府采购网上公示中标（成交）供应商名单，公示期限为</w:t>
      </w:r>
      <w:r>
        <w:rPr>
          <w:rFonts w:ascii="宋体" w:hAnsi="宋体"/>
          <w:color w:val="auto"/>
          <w:sz w:val="22"/>
        </w:rPr>
        <w:t>1</w:t>
      </w:r>
      <w:r>
        <w:rPr>
          <w:rFonts w:hint="eastAsia" w:ascii="宋体" w:hAnsi="宋体"/>
          <w:color w:val="auto"/>
          <w:sz w:val="22"/>
        </w:rPr>
        <w:t>个工作日。同时向中标（成交）供应商发出中标（成交）通知书。</w:t>
      </w:r>
    </w:p>
    <w:p>
      <w:pPr>
        <w:adjustRightInd w:val="0"/>
        <w:snapToGrid w:val="0"/>
        <w:spacing w:line="400" w:lineRule="exact"/>
        <w:ind w:firstLine="433" w:firstLineChars="197"/>
        <w:rPr>
          <w:rFonts w:ascii="宋体"/>
          <w:color w:val="auto"/>
          <w:sz w:val="22"/>
        </w:rPr>
      </w:pPr>
      <w:r>
        <w:rPr>
          <w:rFonts w:ascii="宋体" w:hAnsi="宋体"/>
          <w:color w:val="auto"/>
          <w:sz w:val="22"/>
        </w:rPr>
        <w:t>2.2</w:t>
      </w:r>
      <w:r>
        <w:rPr>
          <w:rFonts w:hint="eastAsia" w:ascii="宋体" w:hAnsi="宋体"/>
          <w:color w:val="auto"/>
          <w:sz w:val="22"/>
        </w:rPr>
        <w:t>中标（成交）通知书对采购单位和中标（成交）供应商具有法律约束力。中标（成交）通知书发出后，采购单位改变中标结果或者中标（成交）供应商放弃中标的，应当承担法律责任。</w:t>
      </w:r>
    </w:p>
    <w:p>
      <w:pPr>
        <w:adjustRightInd w:val="0"/>
        <w:snapToGrid w:val="0"/>
        <w:spacing w:line="400" w:lineRule="exact"/>
        <w:ind w:firstLine="433" w:firstLineChars="197"/>
        <w:rPr>
          <w:rFonts w:ascii="宋体"/>
          <w:color w:val="auto"/>
          <w:sz w:val="22"/>
        </w:rPr>
      </w:pPr>
      <w:r>
        <w:rPr>
          <w:rFonts w:hint="eastAsia" w:ascii="宋体" w:hAnsi="宋体"/>
          <w:color w:val="auto"/>
          <w:sz w:val="22"/>
        </w:rPr>
        <w:t>3、成交无效</w:t>
      </w:r>
    </w:p>
    <w:p>
      <w:pPr>
        <w:adjustRightInd w:val="0"/>
        <w:snapToGrid w:val="0"/>
        <w:spacing w:line="400" w:lineRule="exact"/>
        <w:ind w:firstLine="433" w:firstLineChars="197"/>
        <w:rPr>
          <w:rFonts w:ascii="宋体" w:hAnsi="宋体"/>
          <w:color w:val="auto"/>
          <w:sz w:val="22"/>
        </w:rPr>
      </w:pPr>
      <w:r>
        <w:rPr>
          <w:rFonts w:hint="eastAsia" w:ascii="宋体" w:hAnsi="宋体"/>
          <w:color w:val="auto"/>
          <w:sz w:val="22"/>
        </w:rPr>
        <w:t>3.1发现中标（成交）供应商资格无效或中标（成交）供应商放弃成交或拒绝与采购单位签订合同的,按相关法律进行处理，原则上重新开展政府采购活动。</w:t>
      </w:r>
    </w:p>
    <w:p>
      <w:pPr>
        <w:adjustRightInd w:val="0"/>
        <w:snapToGrid w:val="0"/>
        <w:spacing w:line="400" w:lineRule="exact"/>
        <w:ind w:firstLine="433" w:firstLineChars="197"/>
        <w:rPr>
          <w:rFonts w:ascii="宋体"/>
          <w:color w:val="auto"/>
          <w:sz w:val="22"/>
        </w:rPr>
      </w:pPr>
      <w:r>
        <w:rPr>
          <w:rFonts w:hint="eastAsia" w:ascii="宋体" w:hAnsi="宋体"/>
          <w:color w:val="auto"/>
          <w:sz w:val="22"/>
        </w:rPr>
        <w:t>3.2有《中华人民共和国政府采购法实施条例》第七十一条、第七十二条、第七十三条、第七十四条规定的违法行为之一，由政府采购监管部门依法处理。</w:t>
      </w:r>
    </w:p>
    <w:p>
      <w:pPr>
        <w:pStyle w:val="15"/>
        <w:adjustRightInd w:val="0"/>
        <w:snapToGrid w:val="0"/>
        <w:spacing w:line="400" w:lineRule="exact"/>
        <w:ind w:firstLine="433" w:firstLineChars="197"/>
        <w:rPr>
          <w:rFonts w:hAnsi="宋体"/>
          <w:bCs/>
          <w:color w:val="auto"/>
          <w:sz w:val="22"/>
        </w:rPr>
      </w:pPr>
      <w:r>
        <w:rPr>
          <w:rFonts w:hAnsi="宋体"/>
          <w:bCs/>
          <w:color w:val="auto"/>
          <w:sz w:val="22"/>
        </w:rPr>
        <w:t>4</w:t>
      </w:r>
      <w:r>
        <w:rPr>
          <w:rFonts w:hint="eastAsia" w:hAnsi="宋体"/>
          <w:bCs/>
          <w:color w:val="auto"/>
          <w:sz w:val="22"/>
        </w:rPr>
        <w:t>、签订合同</w:t>
      </w:r>
    </w:p>
    <w:p>
      <w:pPr>
        <w:adjustRightInd w:val="0"/>
        <w:snapToGrid w:val="0"/>
        <w:spacing w:line="400" w:lineRule="exact"/>
        <w:ind w:firstLine="433" w:firstLineChars="197"/>
        <w:rPr>
          <w:rFonts w:ascii="宋体"/>
          <w:color w:val="auto"/>
          <w:sz w:val="22"/>
        </w:rPr>
      </w:pPr>
      <w:r>
        <w:rPr>
          <w:rFonts w:ascii="宋体" w:hAnsi="宋体"/>
          <w:color w:val="auto"/>
          <w:sz w:val="22"/>
        </w:rPr>
        <w:t xml:space="preserve">4.1 </w:t>
      </w:r>
      <w:r>
        <w:rPr>
          <w:rFonts w:hint="eastAsia" w:ascii="宋体" w:hAnsi="宋体"/>
          <w:color w:val="auto"/>
          <w:sz w:val="22"/>
        </w:rPr>
        <w:t>成交供应商须主动联系采购单位或采购机构领取成交通知书。成交供应商应当在成交通知书发出之日起</w:t>
      </w:r>
      <w:r>
        <w:rPr>
          <w:rFonts w:ascii="宋体" w:hAnsi="宋体"/>
          <w:color w:val="auto"/>
          <w:sz w:val="22"/>
        </w:rPr>
        <w:t>30</w:t>
      </w:r>
      <w:r>
        <w:rPr>
          <w:rFonts w:hint="eastAsia" w:ascii="宋体" w:hAnsi="宋体"/>
          <w:color w:val="auto"/>
          <w:sz w:val="22"/>
        </w:rPr>
        <w:t>日内与采购单位签订合同。成交供应商未经采购单位许可，在规定时间内未到采购单位处与采购单位签订合同，则视为拒签合同。</w:t>
      </w:r>
    </w:p>
    <w:p>
      <w:pPr>
        <w:adjustRightInd w:val="0"/>
        <w:snapToGrid w:val="0"/>
        <w:spacing w:line="400" w:lineRule="exact"/>
        <w:ind w:firstLine="433" w:firstLineChars="197"/>
        <w:rPr>
          <w:rFonts w:ascii="宋体"/>
          <w:color w:val="auto"/>
          <w:sz w:val="22"/>
        </w:rPr>
      </w:pPr>
      <w:r>
        <w:rPr>
          <w:rFonts w:ascii="宋体" w:hAnsi="宋体"/>
          <w:color w:val="auto"/>
          <w:sz w:val="22"/>
        </w:rPr>
        <w:t xml:space="preserve">4.2 </w:t>
      </w:r>
      <w:r>
        <w:rPr>
          <w:rFonts w:hint="eastAsia" w:ascii="宋体" w:hAnsi="宋体"/>
          <w:color w:val="auto"/>
          <w:sz w:val="22"/>
        </w:rPr>
        <w:t>竞争性磋商文件、成交供应商的响应文件及投标修改文件、评标过程中有关澄清文件及经双方签字的询标纪要（承诺）和成交通知书均作为合同附件。</w:t>
      </w:r>
    </w:p>
    <w:p>
      <w:pPr>
        <w:adjustRightInd w:val="0"/>
        <w:snapToGrid w:val="0"/>
        <w:spacing w:line="400" w:lineRule="exact"/>
        <w:ind w:firstLine="433" w:firstLineChars="197"/>
        <w:rPr>
          <w:rFonts w:ascii="宋体"/>
          <w:color w:val="auto"/>
          <w:sz w:val="22"/>
        </w:rPr>
      </w:pPr>
      <w:r>
        <w:rPr>
          <w:rFonts w:ascii="宋体" w:hAnsi="宋体"/>
          <w:color w:val="auto"/>
          <w:sz w:val="22"/>
        </w:rPr>
        <w:t xml:space="preserve">4.3 </w:t>
      </w:r>
      <w:r>
        <w:rPr>
          <w:rFonts w:hint="eastAsia" w:ascii="宋体" w:hAnsi="宋体"/>
          <w:color w:val="auto"/>
          <w:sz w:val="22"/>
        </w:rPr>
        <w:t>拒签合同的责任</w:t>
      </w:r>
    </w:p>
    <w:p>
      <w:pPr>
        <w:pStyle w:val="15"/>
        <w:adjustRightInd w:val="0"/>
        <w:snapToGrid w:val="0"/>
        <w:spacing w:line="400" w:lineRule="exact"/>
        <w:ind w:firstLine="433" w:firstLineChars="197"/>
        <w:rPr>
          <w:rFonts w:hAnsi="宋体"/>
          <w:bCs/>
          <w:color w:val="auto"/>
          <w:sz w:val="22"/>
        </w:rPr>
      </w:pPr>
      <w:r>
        <w:rPr>
          <w:rFonts w:hint="eastAsia" w:hAnsi="宋体"/>
          <w:bCs/>
          <w:color w:val="auto"/>
          <w:sz w:val="22"/>
        </w:rPr>
        <w:t>成交供应商在规定时间内（</w:t>
      </w:r>
      <w:r>
        <w:rPr>
          <w:rFonts w:hAnsi="宋体"/>
          <w:bCs/>
          <w:color w:val="auto"/>
          <w:sz w:val="22"/>
        </w:rPr>
        <w:t>30</w:t>
      </w:r>
      <w:r>
        <w:rPr>
          <w:rFonts w:hint="eastAsia" w:hAnsi="宋体"/>
          <w:bCs/>
          <w:color w:val="auto"/>
          <w:sz w:val="22"/>
        </w:rPr>
        <w:t>日历天）借故否认已经承诺的条件、拒签合同，以违约处理，并赔偿采购单位由此造成的直接经济损失；采购单位重新组织采购的，所需费用由原成交供应商承担。</w:t>
      </w:r>
    </w:p>
    <w:p>
      <w:pPr>
        <w:pStyle w:val="15"/>
        <w:adjustRightInd w:val="0"/>
        <w:snapToGrid w:val="0"/>
        <w:spacing w:line="400" w:lineRule="exact"/>
        <w:ind w:firstLine="433" w:firstLineChars="197"/>
        <w:rPr>
          <w:rFonts w:hAnsi="宋体"/>
          <w:bCs/>
          <w:color w:val="auto"/>
          <w:sz w:val="22"/>
        </w:rPr>
      </w:pPr>
      <w:r>
        <w:rPr>
          <w:rFonts w:hAnsi="宋体"/>
          <w:bCs/>
          <w:color w:val="auto"/>
          <w:sz w:val="22"/>
        </w:rPr>
        <w:t>5</w:t>
      </w:r>
      <w:r>
        <w:rPr>
          <w:rFonts w:hint="eastAsia" w:hAnsi="宋体"/>
          <w:bCs/>
          <w:color w:val="auto"/>
          <w:sz w:val="22"/>
        </w:rPr>
        <w:t>、履约保证金</w:t>
      </w:r>
    </w:p>
    <w:p>
      <w:pPr>
        <w:pStyle w:val="15"/>
        <w:adjustRightInd w:val="0"/>
        <w:spacing w:line="400" w:lineRule="exact"/>
        <w:ind w:firstLine="450"/>
        <w:rPr>
          <w:color w:val="auto"/>
          <w:sz w:val="22"/>
        </w:rPr>
      </w:pPr>
      <w:r>
        <w:rPr>
          <w:rFonts w:hint="eastAsia"/>
          <w:color w:val="auto"/>
          <w:sz w:val="22"/>
        </w:rPr>
        <w:t>合同签订后5个工作日内成交供应商应提供合同总金额1%的履约保证金至采购单位指定账户。</w:t>
      </w:r>
    </w:p>
    <w:p>
      <w:pPr>
        <w:pStyle w:val="15"/>
        <w:adjustRightInd w:val="0"/>
        <w:spacing w:line="400" w:lineRule="exact"/>
        <w:ind w:firstLine="450"/>
        <w:rPr>
          <w:rFonts w:hAnsi="宋体" w:cs="Arial"/>
          <w:bCs/>
          <w:color w:val="auto"/>
          <w:sz w:val="22"/>
        </w:rPr>
      </w:pPr>
      <w:r>
        <w:rPr>
          <w:rFonts w:hAnsi="宋体" w:cs="Arial"/>
          <w:bCs/>
          <w:color w:val="auto"/>
          <w:sz w:val="22"/>
        </w:rPr>
        <w:t>6</w:t>
      </w:r>
      <w:r>
        <w:rPr>
          <w:rFonts w:hint="eastAsia" w:hAnsi="宋体" w:cs="Arial"/>
          <w:bCs/>
          <w:color w:val="auto"/>
          <w:sz w:val="22"/>
        </w:rPr>
        <w:t>、招标代理服务咨询费</w:t>
      </w:r>
    </w:p>
    <w:p>
      <w:pPr>
        <w:spacing w:line="400" w:lineRule="exact"/>
        <w:ind w:firstLine="440" w:firstLineChars="200"/>
        <w:rPr>
          <w:rFonts w:ascii="宋体" w:hAnsi="宋体" w:cs="宋体"/>
          <w:color w:val="auto"/>
          <w:sz w:val="22"/>
        </w:rPr>
      </w:pPr>
      <w:r>
        <w:rPr>
          <w:rFonts w:hint="eastAsia" w:ascii="宋体" w:hAnsi="宋体" w:cs="宋体"/>
          <w:color w:val="auto"/>
          <w:sz w:val="22"/>
        </w:rPr>
        <w:t>招标代理费向中标（成交）供应商收取，服务费以中标（成交）价计算，按照《国家计委关于印发&lt;招标代理服务收费管理暂行办法&gt;的通知》（计价格[2002]1980号）货物类标准收取。</w:t>
      </w:r>
    </w:p>
    <w:p>
      <w:pPr>
        <w:autoSpaceDE w:val="0"/>
        <w:autoSpaceDN w:val="0"/>
        <w:adjustRightInd w:val="0"/>
        <w:snapToGrid w:val="0"/>
        <w:spacing w:line="400" w:lineRule="atLeast"/>
        <w:ind w:firstLine="462" w:firstLineChars="210"/>
        <w:textAlignment w:val="bottom"/>
        <w:rPr>
          <w:rFonts w:ascii="宋体"/>
          <w:color w:val="auto"/>
          <w:sz w:val="22"/>
        </w:rPr>
      </w:pPr>
      <w:r>
        <w:rPr>
          <w:rFonts w:hint="eastAsia" w:ascii="宋体" w:hAnsi="宋体"/>
          <w:color w:val="auto"/>
          <w:sz w:val="22"/>
        </w:rPr>
        <w:t>招标代理服务咨询费汇入以下帐号：</w:t>
      </w:r>
    </w:p>
    <w:p>
      <w:pPr>
        <w:autoSpaceDE w:val="0"/>
        <w:autoSpaceDN w:val="0"/>
        <w:adjustRightInd w:val="0"/>
        <w:snapToGrid w:val="0"/>
        <w:spacing w:line="400" w:lineRule="atLeast"/>
        <w:ind w:firstLine="462" w:firstLineChars="210"/>
        <w:textAlignment w:val="bottom"/>
        <w:rPr>
          <w:rFonts w:ascii="宋体" w:eastAsia="宋体"/>
          <w:color w:val="auto"/>
          <w:sz w:val="22"/>
        </w:rPr>
      </w:pPr>
      <w:r>
        <w:rPr>
          <w:rFonts w:hint="eastAsia" w:ascii="宋体" w:hAnsi="宋体"/>
          <w:color w:val="auto"/>
          <w:sz w:val="22"/>
        </w:rPr>
        <w:t>开户银行：浙江泰顺农村商业银行股份有限公司关山支行</w:t>
      </w:r>
    </w:p>
    <w:p>
      <w:pPr>
        <w:autoSpaceDE w:val="0"/>
        <w:autoSpaceDN w:val="0"/>
        <w:adjustRightInd w:val="0"/>
        <w:snapToGrid w:val="0"/>
        <w:spacing w:line="400" w:lineRule="atLeast"/>
        <w:ind w:firstLine="462" w:firstLineChars="210"/>
        <w:textAlignment w:val="bottom"/>
        <w:rPr>
          <w:rFonts w:ascii="宋体" w:hAnsi="宋体" w:eastAsia="宋体"/>
          <w:color w:val="auto"/>
          <w:sz w:val="22"/>
        </w:rPr>
      </w:pPr>
      <w:r>
        <w:rPr>
          <w:rFonts w:hint="eastAsia" w:ascii="宋体" w:hAnsi="宋体"/>
          <w:color w:val="auto"/>
          <w:sz w:val="22"/>
        </w:rPr>
        <w:t>开户名称：浙江益诚工程咨询有限公司温州分公司</w:t>
      </w:r>
    </w:p>
    <w:p>
      <w:pPr>
        <w:autoSpaceDE w:val="0"/>
        <w:autoSpaceDN w:val="0"/>
        <w:adjustRightInd w:val="0"/>
        <w:snapToGrid w:val="0"/>
        <w:spacing w:line="400" w:lineRule="atLeast"/>
        <w:ind w:firstLine="462" w:firstLineChars="210"/>
        <w:textAlignment w:val="bottom"/>
        <w:rPr>
          <w:rFonts w:ascii="宋体" w:eastAsia="宋体"/>
          <w:color w:val="auto"/>
          <w:sz w:val="22"/>
        </w:rPr>
      </w:pPr>
      <w:r>
        <w:rPr>
          <w:rFonts w:hint="eastAsia" w:ascii="宋体" w:hAnsi="宋体"/>
          <w:color w:val="auto"/>
          <w:sz w:val="22"/>
        </w:rPr>
        <w:t>开户帐号：</w:t>
      </w:r>
      <w:r>
        <w:rPr>
          <w:rFonts w:hint="eastAsia" w:ascii="宋体"/>
          <w:color w:val="auto"/>
          <w:sz w:val="22"/>
        </w:rPr>
        <w:t>201000244279811</w:t>
      </w:r>
    </w:p>
    <w:p>
      <w:pPr>
        <w:adjustRightInd w:val="0"/>
        <w:snapToGrid w:val="0"/>
        <w:spacing w:line="400" w:lineRule="exact"/>
        <w:jc w:val="left"/>
        <w:rPr>
          <w:rFonts w:ascii="宋体" w:hAnsi="宋体" w:cs="宋体"/>
          <w:b/>
          <w:bCs/>
          <w:color w:val="auto"/>
          <w:sz w:val="22"/>
        </w:rPr>
      </w:pPr>
      <w:r>
        <w:rPr>
          <w:rFonts w:hint="eastAsia" w:ascii="宋体" w:hAnsi="宋体" w:cs="宋体"/>
          <w:b/>
          <w:bCs/>
          <w:color w:val="auto"/>
          <w:sz w:val="22"/>
        </w:rPr>
        <w:t>七、投诉质疑</w:t>
      </w:r>
    </w:p>
    <w:p>
      <w:pPr>
        <w:pStyle w:val="65"/>
        <w:snapToGrid w:val="0"/>
        <w:spacing w:before="0" w:line="400" w:lineRule="exact"/>
        <w:ind w:firstLine="440"/>
        <w:rPr>
          <w:rFonts w:ascii="宋体" w:hAnsi="宋体" w:cs="宋体"/>
          <w:color w:val="auto"/>
          <w:sz w:val="22"/>
          <w:szCs w:val="22"/>
        </w:rPr>
      </w:pPr>
      <w:r>
        <w:rPr>
          <w:rFonts w:hint="eastAsia" w:ascii="宋体" w:hAnsi="宋体" w:cs="宋体"/>
          <w:color w:val="auto"/>
          <w:sz w:val="22"/>
          <w:szCs w:val="22"/>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pPr>
        <w:pStyle w:val="65"/>
        <w:spacing w:before="0" w:line="400" w:lineRule="exact"/>
        <w:ind w:firstLine="442"/>
        <w:rPr>
          <w:rFonts w:ascii="宋体" w:hAnsi="宋体" w:cs="宋体"/>
          <w:b/>
          <w:color w:val="auto"/>
          <w:sz w:val="22"/>
          <w:szCs w:val="22"/>
        </w:rPr>
      </w:pPr>
      <w:r>
        <w:rPr>
          <w:rFonts w:hint="eastAsia" w:ascii="宋体" w:hAnsi="宋体" w:cs="宋体"/>
          <w:b/>
          <w:color w:val="auto"/>
          <w:sz w:val="22"/>
          <w:szCs w:val="22"/>
        </w:rPr>
        <w:t>1、供应商询问</w:t>
      </w:r>
    </w:p>
    <w:p>
      <w:pPr>
        <w:pStyle w:val="15"/>
        <w:spacing w:line="400" w:lineRule="exact"/>
        <w:ind w:firstLine="495" w:firstLineChars="225"/>
        <w:rPr>
          <w:rFonts w:hAnsi="宋体" w:cs="宋体"/>
          <w:color w:val="auto"/>
          <w:sz w:val="22"/>
          <w:szCs w:val="22"/>
        </w:rPr>
      </w:pPr>
      <w:r>
        <w:rPr>
          <w:rFonts w:hint="eastAsia" w:hAnsi="宋体" w:cs="宋体"/>
          <w:color w:val="auto"/>
          <w:sz w:val="22"/>
          <w:szCs w:val="22"/>
          <w:lang w:val="zh-CN"/>
        </w:rPr>
        <w:t>供应商对政府采购活动事项有疑问的，可以向招标代理机构提出询问，招标代理机构将对供应商依法提出的询问作出答复，但答复的内容不得涉及商业秘密。</w:t>
      </w:r>
    </w:p>
    <w:p>
      <w:pPr>
        <w:pStyle w:val="65"/>
        <w:spacing w:before="0" w:line="400" w:lineRule="exact"/>
        <w:ind w:firstLine="442"/>
        <w:rPr>
          <w:rFonts w:ascii="宋体" w:hAnsi="宋体" w:cs="宋体"/>
          <w:b/>
          <w:color w:val="auto"/>
          <w:sz w:val="22"/>
          <w:szCs w:val="22"/>
        </w:rPr>
      </w:pPr>
      <w:r>
        <w:rPr>
          <w:rFonts w:hint="eastAsia" w:ascii="宋体" w:hAnsi="宋体" w:cs="宋体"/>
          <w:b/>
          <w:color w:val="auto"/>
          <w:sz w:val="22"/>
          <w:szCs w:val="22"/>
        </w:rPr>
        <w:t>2、供应商质疑</w:t>
      </w:r>
    </w:p>
    <w:p>
      <w:pPr>
        <w:pStyle w:val="15"/>
        <w:spacing w:line="400" w:lineRule="exact"/>
        <w:ind w:firstLine="420"/>
        <w:rPr>
          <w:rFonts w:hAnsi="宋体" w:cs="宋体"/>
          <w:color w:val="auto"/>
          <w:sz w:val="22"/>
          <w:szCs w:val="22"/>
          <w:lang w:val="zh-CN"/>
        </w:rPr>
      </w:pPr>
      <w:r>
        <w:rPr>
          <w:rFonts w:hint="eastAsia" w:hAnsi="宋体" w:cs="宋体"/>
          <w:color w:val="auto"/>
          <w:sz w:val="22"/>
          <w:szCs w:val="22"/>
        </w:rPr>
        <w:t>2.1供应商认为竞争性磋商文件、采购过程和中标、成交结果使自己的权益受到损害的，可以在知道或者应知其权益受到损害之日起七个工作日内，以书面形式向采购单位、采购代理机构提出质疑，</w:t>
      </w:r>
      <w:r>
        <w:rPr>
          <w:rFonts w:hint="eastAsia" w:hAnsi="宋体" w:cs="宋体"/>
          <w:color w:val="auto"/>
          <w:sz w:val="22"/>
          <w:szCs w:val="22"/>
          <w:lang w:val="zh-CN"/>
        </w:rPr>
        <w:t>否则，不予受理：</w:t>
      </w:r>
    </w:p>
    <w:p>
      <w:pPr>
        <w:pStyle w:val="15"/>
        <w:spacing w:line="400" w:lineRule="exact"/>
        <w:ind w:firstLine="420"/>
        <w:rPr>
          <w:rFonts w:hAnsi="宋体" w:cs="宋体"/>
          <w:color w:val="auto"/>
          <w:sz w:val="22"/>
          <w:szCs w:val="22"/>
        </w:rPr>
      </w:pPr>
      <w:r>
        <w:rPr>
          <w:rFonts w:hint="eastAsia" w:hAnsi="宋体" w:cs="宋体"/>
          <w:color w:val="auto"/>
          <w:sz w:val="22"/>
          <w:szCs w:val="22"/>
        </w:rPr>
        <w:t>（1）供应商如认为招标公告信息使自身的合法权益受到损害的，应于自招标公告发布之日起七个工作内以书面形式向招标代理机构提出质疑；</w:t>
      </w:r>
    </w:p>
    <w:p>
      <w:pPr>
        <w:pStyle w:val="15"/>
        <w:spacing w:line="400" w:lineRule="exact"/>
        <w:rPr>
          <w:rFonts w:hAnsi="宋体" w:cs="宋体"/>
          <w:color w:val="auto"/>
          <w:sz w:val="22"/>
          <w:szCs w:val="22"/>
        </w:rPr>
      </w:pPr>
      <w:r>
        <w:rPr>
          <w:rFonts w:hint="eastAsia" w:hAnsi="宋体" w:cs="宋体"/>
          <w:color w:val="auto"/>
          <w:sz w:val="22"/>
          <w:szCs w:val="22"/>
        </w:rPr>
        <w:t xml:space="preserve">   （2）</w:t>
      </w:r>
      <w:r>
        <w:rPr>
          <w:rFonts w:hint="eastAsia" w:hAnsi="宋体" w:cs="宋体"/>
          <w:color w:val="auto"/>
          <w:sz w:val="22"/>
          <w:szCs w:val="22"/>
          <w:lang w:val="zh-CN"/>
        </w:rPr>
        <w:t>对竞争性磋商文件提出质疑的，质疑期限为供应商获得竞争性磋商文件之日或者竞争性磋商文件公告期限届满之日起计算。</w:t>
      </w:r>
    </w:p>
    <w:p>
      <w:pPr>
        <w:autoSpaceDE w:val="0"/>
        <w:autoSpaceDN w:val="0"/>
        <w:spacing w:line="400" w:lineRule="exact"/>
        <w:jc w:val="left"/>
        <w:rPr>
          <w:rFonts w:ascii="宋体" w:hAnsi="宋体" w:cs="宋体"/>
          <w:color w:val="auto"/>
          <w:kern w:val="0"/>
          <w:sz w:val="22"/>
          <w:lang w:val="zh-CN"/>
        </w:rPr>
      </w:pPr>
      <w:r>
        <w:rPr>
          <w:rFonts w:hint="eastAsia" w:ascii="宋体" w:hAnsi="宋体" w:cs="宋体"/>
          <w:color w:val="auto"/>
          <w:sz w:val="22"/>
        </w:rPr>
        <w:t xml:space="preserve">   （3）</w:t>
      </w:r>
      <w:r>
        <w:rPr>
          <w:rFonts w:hint="eastAsia" w:ascii="宋体" w:hAnsi="宋体" w:cs="宋体"/>
          <w:color w:val="auto"/>
          <w:kern w:val="0"/>
          <w:sz w:val="22"/>
          <w:lang w:val="zh-CN"/>
        </w:rPr>
        <w:t>对采购过程提出质疑的，质疑期限为各采购程序环节结束之日起计算。</w:t>
      </w:r>
    </w:p>
    <w:p>
      <w:pPr>
        <w:pStyle w:val="15"/>
        <w:spacing w:line="400" w:lineRule="exact"/>
        <w:rPr>
          <w:rFonts w:hAnsi="宋体" w:cs="宋体"/>
          <w:color w:val="auto"/>
          <w:sz w:val="22"/>
          <w:szCs w:val="22"/>
        </w:rPr>
      </w:pPr>
      <w:r>
        <w:rPr>
          <w:rFonts w:hint="eastAsia" w:hAnsi="宋体" w:cs="宋体"/>
          <w:color w:val="auto"/>
          <w:sz w:val="22"/>
          <w:szCs w:val="22"/>
          <w:lang w:val="zh-CN"/>
        </w:rPr>
        <w:t xml:space="preserve">   （4）对采购结果提出质疑的，质疑期限自采购结果公告（包括公示、预公告、结果变更公告等）期限届满之日起计算。</w:t>
      </w:r>
    </w:p>
    <w:p>
      <w:pPr>
        <w:pStyle w:val="15"/>
        <w:spacing w:line="400" w:lineRule="exact"/>
        <w:ind w:firstLine="495" w:firstLineChars="225"/>
        <w:rPr>
          <w:rFonts w:hAnsi="宋体" w:cs="宋体"/>
          <w:color w:val="auto"/>
          <w:sz w:val="22"/>
          <w:szCs w:val="22"/>
        </w:rPr>
      </w:pPr>
      <w:r>
        <w:rPr>
          <w:rFonts w:hint="eastAsia" w:hAnsi="宋体" w:cs="宋体"/>
          <w:color w:val="auto"/>
          <w:sz w:val="22"/>
          <w:szCs w:val="22"/>
        </w:rPr>
        <w:t>2.2供应商提交的质疑书需一式三份，由法定代表人签字（或盖章）并加盖单位公章。质疑书至少应包括下列主要内容：</w:t>
      </w:r>
    </w:p>
    <w:p>
      <w:pPr>
        <w:pStyle w:val="15"/>
        <w:spacing w:line="400" w:lineRule="exact"/>
        <w:ind w:firstLine="495" w:firstLineChars="225"/>
        <w:rPr>
          <w:rFonts w:hAnsi="宋体" w:cs="宋体"/>
          <w:color w:val="auto"/>
          <w:sz w:val="22"/>
          <w:szCs w:val="22"/>
        </w:rPr>
      </w:pPr>
      <w:r>
        <w:rPr>
          <w:rFonts w:hint="eastAsia" w:hAnsi="宋体" w:cs="宋体"/>
          <w:color w:val="auto"/>
          <w:sz w:val="22"/>
          <w:szCs w:val="22"/>
        </w:rPr>
        <w:t>（1）供应商的名称、地址、邮政编码、联系人、联系电话；</w:t>
      </w:r>
    </w:p>
    <w:p>
      <w:pPr>
        <w:pStyle w:val="15"/>
        <w:spacing w:line="400" w:lineRule="exact"/>
        <w:ind w:firstLine="495" w:firstLineChars="225"/>
        <w:rPr>
          <w:rFonts w:hAnsi="宋体" w:cs="宋体"/>
          <w:color w:val="auto"/>
          <w:sz w:val="22"/>
          <w:szCs w:val="22"/>
        </w:rPr>
      </w:pPr>
      <w:r>
        <w:rPr>
          <w:rFonts w:hint="eastAsia" w:hAnsi="宋体" w:cs="宋体"/>
          <w:color w:val="auto"/>
          <w:sz w:val="22"/>
          <w:szCs w:val="22"/>
        </w:rPr>
        <w:t>（2）质疑项目的名称、编号；</w:t>
      </w:r>
    </w:p>
    <w:p>
      <w:pPr>
        <w:pStyle w:val="15"/>
        <w:spacing w:line="400" w:lineRule="exact"/>
        <w:ind w:firstLine="495" w:firstLineChars="225"/>
        <w:rPr>
          <w:rFonts w:hAnsi="宋体" w:cs="宋体"/>
          <w:color w:val="auto"/>
          <w:sz w:val="22"/>
          <w:szCs w:val="22"/>
        </w:rPr>
      </w:pPr>
      <w:r>
        <w:rPr>
          <w:rFonts w:hint="eastAsia" w:hAnsi="宋体" w:cs="宋体"/>
          <w:color w:val="auto"/>
          <w:sz w:val="22"/>
          <w:szCs w:val="22"/>
        </w:rPr>
        <w:t>（3）具体、明确的质疑事项和与质疑事项相关的请求；</w:t>
      </w:r>
    </w:p>
    <w:p>
      <w:pPr>
        <w:pStyle w:val="15"/>
        <w:spacing w:line="400" w:lineRule="exact"/>
        <w:ind w:firstLine="495" w:firstLineChars="225"/>
        <w:rPr>
          <w:rFonts w:hAnsi="宋体" w:cs="宋体"/>
          <w:color w:val="auto"/>
          <w:sz w:val="22"/>
          <w:szCs w:val="22"/>
        </w:rPr>
      </w:pPr>
      <w:r>
        <w:rPr>
          <w:rFonts w:hint="eastAsia" w:hAnsi="宋体" w:cs="宋体"/>
          <w:color w:val="auto"/>
          <w:sz w:val="22"/>
          <w:szCs w:val="22"/>
        </w:rPr>
        <w:t>（4）事实依据；</w:t>
      </w:r>
    </w:p>
    <w:p>
      <w:pPr>
        <w:pStyle w:val="15"/>
        <w:spacing w:line="400" w:lineRule="exact"/>
        <w:ind w:firstLine="495" w:firstLineChars="225"/>
        <w:rPr>
          <w:rFonts w:hAnsi="宋体" w:cs="宋体"/>
          <w:color w:val="auto"/>
          <w:sz w:val="22"/>
          <w:szCs w:val="22"/>
        </w:rPr>
      </w:pPr>
      <w:r>
        <w:rPr>
          <w:rFonts w:hint="eastAsia" w:hAnsi="宋体" w:cs="宋体"/>
          <w:color w:val="auto"/>
          <w:sz w:val="22"/>
          <w:szCs w:val="22"/>
        </w:rPr>
        <w:t>（5）必要的法律依据；</w:t>
      </w:r>
    </w:p>
    <w:p>
      <w:pPr>
        <w:pStyle w:val="15"/>
        <w:spacing w:line="400" w:lineRule="exact"/>
        <w:ind w:firstLine="495" w:firstLineChars="225"/>
        <w:rPr>
          <w:rFonts w:hAnsi="宋体" w:cs="宋体"/>
          <w:color w:val="auto"/>
          <w:sz w:val="22"/>
          <w:szCs w:val="22"/>
        </w:rPr>
      </w:pPr>
      <w:r>
        <w:rPr>
          <w:rFonts w:hint="eastAsia" w:hAnsi="宋体" w:cs="宋体"/>
          <w:color w:val="auto"/>
          <w:sz w:val="22"/>
          <w:szCs w:val="22"/>
        </w:rPr>
        <w:t>（6）提出质疑的日期。</w:t>
      </w:r>
    </w:p>
    <w:p>
      <w:pPr>
        <w:pStyle w:val="15"/>
        <w:spacing w:line="400" w:lineRule="exact"/>
        <w:ind w:firstLine="495" w:firstLineChars="225"/>
        <w:rPr>
          <w:rFonts w:hAnsi="宋体" w:cs="宋体"/>
          <w:color w:val="auto"/>
          <w:sz w:val="22"/>
          <w:szCs w:val="22"/>
        </w:rPr>
      </w:pPr>
      <w:r>
        <w:rPr>
          <w:rFonts w:hint="eastAsia" w:hAnsi="宋体" w:cs="宋体"/>
          <w:color w:val="auto"/>
          <w:sz w:val="22"/>
          <w:szCs w:val="22"/>
        </w:rPr>
        <w:t>供应商为自然人的，应当由本人签字；供应商为法人或其他组织的，应当由法定代表人、主要负责人，或者其授权代表签字或者盖章，并加盖公章。</w:t>
      </w:r>
    </w:p>
    <w:p>
      <w:pPr>
        <w:pStyle w:val="15"/>
        <w:spacing w:line="400" w:lineRule="exact"/>
        <w:ind w:firstLine="495" w:firstLineChars="225"/>
        <w:rPr>
          <w:rFonts w:hAnsi="宋体" w:cs="宋体"/>
          <w:color w:val="auto"/>
          <w:sz w:val="22"/>
          <w:szCs w:val="22"/>
        </w:rPr>
      </w:pPr>
      <w:r>
        <w:rPr>
          <w:rFonts w:hint="eastAsia" w:hAnsi="宋体" w:cs="宋体"/>
          <w:color w:val="auto"/>
          <w:sz w:val="22"/>
          <w:szCs w:val="22"/>
        </w:rPr>
        <w:t>2.3采购单位、采购代理机构应当在收到供应商的书面质疑后七个工作日内作出答复，并以书面形式通知质疑供应商和其他有关供应商，但答复的内容不得涉及商业秘密。</w:t>
      </w:r>
    </w:p>
    <w:p>
      <w:pPr>
        <w:pStyle w:val="15"/>
        <w:spacing w:line="400" w:lineRule="exact"/>
        <w:ind w:firstLine="495" w:firstLineChars="225"/>
        <w:rPr>
          <w:rFonts w:hAnsi="宋体" w:cs="宋体"/>
          <w:color w:val="auto"/>
          <w:sz w:val="22"/>
          <w:szCs w:val="22"/>
        </w:rPr>
      </w:pPr>
      <w:r>
        <w:rPr>
          <w:rFonts w:hint="eastAsia" w:hAnsi="宋体" w:cs="宋体"/>
          <w:color w:val="auto"/>
          <w:sz w:val="22"/>
          <w:szCs w:val="22"/>
        </w:rPr>
        <w:t>2.4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65"/>
        <w:spacing w:before="0" w:line="400" w:lineRule="exact"/>
        <w:ind w:firstLine="0" w:firstLineChars="0"/>
        <w:rPr>
          <w:rFonts w:ascii="宋体" w:hAnsi="宋体" w:cs="宋体"/>
          <w:b/>
          <w:color w:val="auto"/>
          <w:sz w:val="22"/>
          <w:szCs w:val="22"/>
        </w:rPr>
      </w:pPr>
      <w:r>
        <w:rPr>
          <w:rFonts w:hint="eastAsia" w:ascii="宋体" w:hAnsi="宋体" w:cs="宋体"/>
          <w:b/>
          <w:color w:val="auto"/>
          <w:sz w:val="22"/>
          <w:szCs w:val="22"/>
        </w:rPr>
        <w:t>3、供应商投诉</w:t>
      </w:r>
    </w:p>
    <w:p>
      <w:pPr>
        <w:pStyle w:val="15"/>
        <w:spacing w:line="400" w:lineRule="exact"/>
        <w:ind w:firstLine="495" w:firstLineChars="225"/>
        <w:rPr>
          <w:rFonts w:hAnsi="宋体" w:cs="宋体"/>
          <w:color w:val="auto"/>
          <w:sz w:val="22"/>
          <w:szCs w:val="22"/>
        </w:rPr>
      </w:pPr>
      <w:r>
        <w:rPr>
          <w:rFonts w:hint="eastAsia" w:hAnsi="宋体" w:cs="宋体"/>
          <w:color w:val="auto"/>
          <w:sz w:val="22"/>
          <w:szCs w:val="22"/>
        </w:rPr>
        <w:t>3.1供应商投诉应当提交投诉书和必要的证明材料。供应商投诉的事项不得超出已质疑事项的范围（基于质疑答复内容提出的投诉事项除外）。</w:t>
      </w:r>
    </w:p>
    <w:p>
      <w:pPr>
        <w:pStyle w:val="15"/>
        <w:spacing w:line="400" w:lineRule="exact"/>
        <w:ind w:firstLine="495" w:firstLineChars="225"/>
        <w:rPr>
          <w:rFonts w:hAnsi="宋体" w:cs="宋体"/>
          <w:color w:val="auto"/>
          <w:sz w:val="22"/>
          <w:szCs w:val="22"/>
        </w:rPr>
      </w:pPr>
      <w:r>
        <w:rPr>
          <w:rFonts w:hint="eastAsia" w:hAnsi="宋体" w:cs="宋体"/>
          <w:color w:val="auto"/>
          <w:sz w:val="22"/>
          <w:szCs w:val="22"/>
        </w:rPr>
        <w:t>3.2质疑供应商对采购单位、采购代理机构的答复不满意或者采购单位、采购代理机构未在规定的时间内作出答复的，可以在答复期满后十五个工作日内向同级财政部门提出投诉。</w:t>
      </w:r>
    </w:p>
    <w:p>
      <w:pPr>
        <w:pStyle w:val="27"/>
        <w:ind w:firstLine="400"/>
        <w:rPr>
          <w:color w:val="auto"/>
        </w:rPr>
      </w:pPr>
    </w:p>
    <w:p>
      <w:pPr>
        <w:pStyle w:val="27"/>
        <w:ind w:firstLine="400"/>
        <w:rPr>
          <w:color w:val="auto"/>
        </w:rPr>
      </w:pPr>
      <w:r>
        <w:rPr>
          <w:rFonts w:hint="eastAsia"/>
          <w:color w:val="auto"/>
        </w:rPr>
        <w:t>质疑函范本：</w:t>
      </w:r>
    </w:p>
    <w:p>
      <w:pPr>
        <w:pStyle w:val="27"/>
        <w:ind w:firstLine="400"/>
        <w:rPr>
          <w:color w:val="auto"/>
        </w:rPr>
      </w:pPr>
      <w:r>
        <w:rPr>
          <w:color w:val="auto"/>
        </w:rPr>
        <w:drawing>
          <wp:inline distT="0" distB="0" distL="114300" distR="114300">
            <wp:extent cx="922020" cy="82677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5" cstate="print"/>
                    <a:stretch>
                      <a:fillRect/>
                    </a:stretch>
                  </pic:blipFill>
                  <pic:spPr>
                    <a:xfrm>
                      <a:off x="0" y="0"/>
                      <a:ext cx="922020" cy="826770"/>
                    </a:xfrm>
                    <a:prstGeom prst="rect">
                      <a:avLst/>
                    </a:prstGeom>
                    <a:noFill/>
                    <a:ln>
                      <a:noFill/>
                    </a:ln>
                  </pic:spPr>
                </pic:pic>
              </a:graphicData>
            </a:graphic>
          </wp:inline>
        </w:drawing>
      </w:r>
    </w:p>
    <w:p>
      <w:pPr>
        <w:pStyle w:val="27"/>
        <w:ind w:firstLine="400"/>
        <w:rPr>
          <w:color w:val="auto"/>
        </w:rPr>
      </w:pPr>
      <w:r>
        <w:rPr>
          <w:rFonts w:hint="eastAsia"/>
          <w:color w:val="auto"/>
        </w:rPr>
        <w:t>投诉书范本：</w:t>
      </w:r>
      <w:r>
        <w:rPr>
          <w:rFonts w:hint="eastAsia"/>
          <w:color w:val="auto"/>
        </w:rPr>
        <w:object>
          <v:shape id="_x0000_i1025" o:spt="75" type="#_x0000_t75" style="height:65.6pt;width:72.7pt;" o:ole="t" filled="f" o:preferrelative="t" stroked="f" coordsize="21600,21600">
            <v:path/>
            <v:fill on="f" focussize="0,0"/>
            <v:stroke on="f" joinstyle="miter"/>
            <v:imagedata r:id="rId17" o:title=""/>
            <o:lock v:ext="edit" aspectratio="t"/>
            <w10:wrap type="none"/>
            <w10:anchorlock/>
          </v:shape>
          <o:OLEObject Type="Embed" ProgID="Word.Document.8" ShapeID="_x0000_i1025" DrawAspect="Icon" ObjectID="_1468075725" r:id="rId16">
            <o:LockedField>false</o:LockedField>
          </o:OLEObject>
        </w:object>
      </w:r>
    </w:p>
    <w:p>
      <w:pPr>
        <w:tabs>
          <w:tab w:val="left" w:pos="1080"/>
        </w:tabs>
        <w:autoSpaceDE w:val="0"/>
        <w:autoSpaceDN w:val="0"/>
        <w:adjustRightInd w:val="0"/>
        <w:spacing w:line="500" w:lineRule="atLeast"/>
        <w:jc w:val="center"/>
        <w:textAlignment w:val="baseline"/>
        <w:rPr>
          <w:rFonts w:ascii="宋体"/>
          <w:b/>
          <w:bCs/>
          <w:color w:val="auto"/>
          <w:sz w:val="36"/>
          <w:szCs w:val="36"/>
          <w:lang w:val="zh-CN"/>
        </w:rPr>
      </w:pPr>
    </w:p>
    <w:p>
      <w:pPr>
        <w:rPr>
          <w:rFonts w:ascii="宋体"/>
          <w:b/>
          <w:bCs/>
          <w:color w:val="auto"/>
          <w:sz w:val="36"/>
          <w:szCs w:val="36"/>
          <w:lang w:val="zh-CN"/>
        </w:rPr>
      </w:pPr>
      <w:r>
        <w:rPr>
          <w:rFonts w:hint="eastAsia" w:ascii="宋体"/>
          <w:b/>
          <w:bCs/>
          <w:color w:val="auto"/>
          <w:sz w:val="36"/>
          <w:szCs w:val="36"/>
          <w:lang w:val="zh-CN"/>
        </w:rPr>
        <w:br w:type="page"/>
      </w:r>
    </w:p>
    <w:p>
      <w:pPr>
        <w:pStyle w:val="58"/>
        <w:snapToGrid w:val="0"/>
        <w:spacing w:line="360" w:lineRule="auto"/>
        <w:ind w:firstLine="0" w:firstLineChars="0"/>
        <w:rPr>
          <w:rFonts w:cs="宋体"/>
          <w:b/>
          <w:bCs/>
          <w:color w:val="auto"/>
          <w:sz w:val="22"/>
        </w:rPr>
      </w:pPr>
      <w:bookmarkStart w:id="40" w:name="_Toc221356954"/>
      <w:bookmarkStart w:id="41" w:name="_Toc262105506"/>
      <w:bookmarkStart w:id="42" w:name="_Toc246261268"/>
      <w:bookmarkStart w:id="43" w:name="_Toc222114882"/>
      <w:bookmarkStart w:id="44" w:name="_Toc245191317"/>
      <w:bookmarkStart w:id="45" w:name="_Toc221374629"/>
      <w:bookmarkStart w:id="46" w:name="_Toc249758867"/>
      <w:bookmarkStart w:id="47" w:name="_Toc221423622"/>
      <w:bookmarkStart w:id="48" w:name="_Toc245722284"/>
      <w:bookmarkStart w:id="49" w:name="_Toc249758715"/>
      <w:bookmarkStart w:id="50" w:name="_Toc223716001"/>
      <w:bookmarkStart w:id="51" w:name="_Toc239145357"/>
      <w:bookmarkStart w:id="52" w:name="_Toc241404205"/>
      <w:bookmarkStart w:id="53" w:name="_Toc262049421"/>
      <w:bookmarkStart w:id="54" w:name="_Toc434501364"/>
      <w:bookmarkStart w:id="55" w:name="_Toc221356890"/>
      <w:r>
        <w:rPr>
          <w:rFonts w:hint="eastAsia" w:cs="宋体"/>
          <w:b/>
          <w:bCs/>
          <w:color w:val="auto"/>
          <w:sz w:val="22"/>
        </w:rPr>
        <w:t>八、信贷政策</w:t>
      </w:r>
    </w:p>
    <w:p>
      <w:pPr>
        <w:keepNext/>
        <w:spacing w:line="360" w:lineRule="auto"/>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1、温州市财政局关于温州市政府采购支持中小企业信用融资的通知（温财采〔2020〕3号）</w:t>
      </w:r>
    </w:p>
    <w:p>
      <w:pPr>
        <w:keepNext/>
        <w:spacing w:line="360" w:lineRule="auto"/>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2、融资合作银行名单及意向银行选择表：</w:t>
      </w:r>
    </w:p>
    <w:tbl>
      <w:tblPr>
        <w:tblStyle w:val="28"/>
        <w:tblW w:w="9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4712"/>
        <w:gridCol w:w="1019"/>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941" w:type="dxa"/>
            <w:gridSpan w:val="4"/>
            <w:vAlign w:val="center"/>
          </w:tcPr>
          <w:p>
            <w:pPr>
              <w:jc w:val="center"/>
              <w:rPr>
                <w:rFonts w:ascii="宋体" w:hAnsi="宋体" w:eastAsia="宋体"/>
                <w:bCs/>
                <w:color w:val="auto"/>
                <w:sz w:val="22"/>
                <w:szCs w:val="22"/>
              </w:rPr>
            </w:pPr>
            <w:r>
              <w:rPr>
                <w:rFonts w:hint="eastAsia" w:ascii="宋体" w:hAnsi="宋体" w:eastAsia="宋体"/>
                <w:bCs/>
                <w:color w:val="auto"/>
                <w:sz w:val="22"/>
                <w:szCs w:val="22"/>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484" w:type="dxa"/>
            <w:vAlign w:val="center"/>
          </w:tcPr>
          <w:p>
            <w:pPr>
              <w:jc w:val="center"/>
              <w:rPr>
                <w:rFonts w:ascii="宋体" w:hAnsi="宋体" w:eastAsia="宋体" w:cs="宋体"/>
                <w:bCs/>
                <w:color w:val="auto"/>
                <w:sz w:val="22"/>
                <w:szCs w:val="22"/>
              </w:rPr>
            </w:pPr>
            <w:r>
              <w:rPr>
                <w:rFonts w:hint="eastAsia" w:ascii="宋体" w:hAnsi="宋体" w:eastAsia="宋体" w:cs="宋体"/>
                <w:bCs/>
                <w:color w:val="auto"/>
                <w:sz w:val="22"/>
                <w:szCs w:val="22"/>
              </w:rPr>
              <w:t>银行名称</w:t>
            </w:r>
          </w:p>
        </w:tc>
        <w:tc>
          <w:tcPr>
            <w:tcW w:w="4712" w:type="dxa"/>
            <w:vAlign w:val="center"/>
          </w:tcPr>
          <w:p>
            <w:pPr>
              <w:jc w:val="center"/>
              <w:rPr>
                <w:rFonts w:ascii="宋体" w:hAnsi="宋体" w:eastAsia="宋体" w:cs="宋体"/>
                <w:bCs/>
                <w:color w:val="auto"/>
                <w:sz w:val="22"/>
                <w:szCs w:val="22"/>
              </w:rPr>
            </w:pPr>
            <w:r>
              <w:rPr>
                <w:rFonts w:hint="eastAsia" w:ascii="宋体" w:hAnsi="宋体" w:eastAsia="宋体" w:cs="宋体"/>
                <w:bCs/>
                <w:color w:val="auto"/>
                <w:sz w:val="22"/>
                <w:szCs w:val="22"/>
              </w:rPr>
              <w:t>产品特点（不超过120字）</w:t>
            </w:r>
          </w:p>
        </w:tc>
        <w:tc>
          <w:tcPr>
            <w:tcW w:w="1019" w:type="dxa"/>
            <w:vAlign w:val="center"/>
          </w:tcPr>
          <w:p>
            <w:pPr>
              <w:jc w:val="center"/>
              <w:rPr>
                <w:rFonts w:ascii="宋体" w:hAnsi="宋体" w:eastAsia="宋体" w:cs="宋体"/>
                <w:bCs/>
                <w:color w:val="auto"/>
                <w:sz w:val="22"/>
                <w:szCs w:val="22"/>
              </w:rPr>
            </w:pPr>
            <w:r>
              <w:rPr>
                <w:rFonts w:hint="eastAsia" w:ascii="宋体" w:hAnsi="宋体" w:eastAsia="宋体" w:cs="宋体"/>
                <w:bCs/>
                <w:color w:val="auto"/>
                <w:sz w:val="22"/>
                <w:szCs w:val="22"/>
              </w:rPr>
              <w:t>经办人</w:t>
            </w:r>
          </w:p>
        </w:tc>
        <w:tc>
          <w:tcPr>
            <w:tcW w:w="1725" w:type="dxa"/>
            <w:vAlign w:val="center"/>
          </w:tcPr>
          <w:p>
            <w:pPr>
              <w:jc w:val="center"/>
              <w:rPr>
                <w:rFonts w:ascii="宋体" w:hAnsi="宋体" w:eastAsia="宋体" w:cs="宋体"/>
                <w:bCs/>
                <w:color w:val="auto"/>
                <w:sz w:val="22"/>
                <w:szCs w:val="22"/>
              </w:rPr>
            </w:pPr>
            <w:r>
              <w:rPr>
                <w:rFonts w:hint="eastAsia" w:ascii="宋体" w:hAnsi="宋体" w:eastAsia="宋体" w:cs="宋体"/>
                <w:bCs/>
                <w:color w:val="auto"/>
                <w:sz w:val="22"/>
                <w:szCs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2484" w:type="dxa"/>
            <w:vAlign w:val="center"/>
          </w:tcPr>
          <w:p>
            <w:pPr>
              <w:spacing w:line="360" w:lineRule="auto"/>
              <w:rPr>
                <w:rFonts w:ascii="宋体" w:hAnsi="宋体" w:eastAsia="宋体" w:cs="宋体"/>
                <w:bCs/>
                <w:color w:val="auto"/>
                <w:sz w:val="22"/>
                <w:szCs w:val="22"/>
              </w:rPr>
            </w:pPr>
            <w:r>
              <w:rPr>
                <w:rFonts w:hint="eastAsia" w:ascii="宋体" w:hAnsi="宋体" w:eastAsia="宋体" w:cs="宋体"/>
                <w:bCs/>
                <w:color w:val="auto"/>
                <w:sz w:val="22"/>
                <w:szCs w:val="22"/>
              </w:rPr>
              <w:t>中国工商银行股份有限公司温州分行</w:t>
            </w:r>
          </w:p>
        </w:tc>
        <w:tc>
          <w:tcPr>
            <w:tcW w:w="4712" w:type="dxa"/>
          </w:tcPr>
          <w:p>
            <w:pPr>
              <w:rPr>
                <w:rFonts w:ascii="宋体" w:hAnsi="宋体" w:eastAsia="宋体"/>
                <w:bCs/>
                <w:color w:val="auto"/>
                <w:sz w:val="22"/>
                <w:szCs w:val="22"/>
              </w:rPr>
            </w:pPr>
            <w:r>
              <w:rPr>
                <w:rFonts w:hint="eastAsia" w:ascii="宋体" w:hAnsi="宋体" w:eastAsia="宋体"/>
                <w:bCs/>
                <w:color w:val="auto"/>
                <w:sz w:val="22"/>
                <w:szCs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19" w:type="dxa"/>
            <w:vAlign w:val="center"/>
          </w:tcPr>
          <w:p>
            <w:pPr>
              <w:spacing w:line="360" w:lineRule="auto"/>
              <w:rPr>
                <w:rFonts w:ascii="宋体" w:hAnsi="宋体" w:eastAsia="宋体" w:cs="宋体"/>
                <w:bCs/>
                <w:color w:val="auto"/>
                <w:sz w:val="22"/>
                <w:szCs w:val="22"/>
              </w:rPr>
            </w:pPr>
            <w:r>
              <w:rPr>
                <w:rFonts w:hint="eastAsia" w:ascii="宋体" w:hAnsi="宋体" w:eastAsia="宋体" w:cs="宋体"/>
                <w:bCs/>
                <w:color w:val="auto"/>
                <w:sz w:val="22"/>
                <w:szCs w:val="22"/>
              </w:rPr>
              <w:t>王经理</w:t>
            </w:r>
          </w:p>
        </w:tc>
        <w:tc>
          <w:tcPr>
            <w:tcW w:w="1725" w:type="dxa"/>
            <w:vAlign w:val="center"/>
          </w:tcPr>
          <w:p>
            <w:pPr>
              <w:rPr>
                <w:rFonts w:ascii="宋体" w:hAnsi="宋体" w:eastAsia="宋体"/>
                <w:bCs/>
                <w:color w:val="auto"/>
                <w:sz w:val="22"/>
                <w:szCs w:val="22"/>
              </w:rPr>
            </w:pPr>
            <w:r>
              <w:rPr>
                <w:rFonts w:hint="eastAsia" w:ascii="宋体" w:hAnsi="宋体" w:eastAsia="宋体"/>
                <w:bCs/>
                <w:color w:val="auto"/>
                <w:sz w:val="22"/>
                <w:szCs w:val="22"/>
              </w:rPr>
              <w:t>0577-88186626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2484" w:type="dxa"/>
            <w:vAlign w:val="center"/>
          </w:tcPr>
          <w:p>
            <w:pPr>
              <w:rPr>
                <w:rFonts w:ascii="宋体" w:hAnsi="宋体" w:eastAsia="宋体"/>
                <w:bCs/>
                <w:color w:val="auto"/>
                <w:sz w:val="22"/>
                <w:szCs w:val="22"/>
              </w:rPr>
            </w:pPr>
            <w:r>
              <w:rPr>
                <w:rFonts w:hint="eastAsia" w:ascii="宋体" w:hAnsi="宋体" w:eastAsia="宋体" w:cs="宋体"/>
                <w:bCs/>
                <w:color w:val="auto"/>
                <w:sz w:val="22"/>
                <w:szCs w:val="22"/>
              </w:rPr>
              <w:t>中国建设银行股份有限公司温州分行</w:t>
            </w:r>
          </w:p>
        </w:tc>
        <w:tc>
          <w:tcPr>
            <w:tcW w:w="4712" w:type="dxa"/>
          </w:tcPr>
          <w:p>
            <w:pPr>
              <w:rPr>
                <w:rFonts w:ascii="宋体" w:hAnsi="宋体" w:eastAsia="宋体"/>
                <w:bCs/>
                <w:color w:val="auto"/>
                <w:sz w:val="22"/>
                <w:szCs w:val="22"/>
              </w:rPr>
            </w:pPr>
            <w:r>
              <w:rPr>
                <w:rFonts w:hint="eastAsia" w:ascii="宋体" w:hAnsi="宋体" w:eastAsia="宋体"/>
                <w:bCs/>
                <w:color w:val="auto"/>
                <w:sz w:val="22"/>
                <w:szCs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19" w:type="dxa"/>
            <w:vAlign w:val="center"/>
          </w:tcPr>
          <w:p>
            <w:pPr>
              <w:rPr>
                <w:rFonts w:ascii="宋体" w:hAnsi="宋体" w:eastAsia="宋体" w:cs="宋体"/>
                <w:bCs/>
                <w:color w:val="auto"/>
                <w:sz w:val="22"/>
                <w:szCs w:val="22"/>
              </w:rPr>
            </w:pPr>
            <w:r>
              <w:rPr>
                <w:rFonts w:hint="eastAsia" w:ascii="宋体" w:hAnsi="宋体" w:eastAsia="宋体" w:cs="宋体"/>
                <w:bCs/>
                <w:color w:val="auto"/>
                <w:sz w:val="22"/>
                <w:szCs w:val="22"/>
              </w:rPr>
              <w:t>张经理</w:t>
            </w:r>
          </w:p>
        </w:tc>
        <w:tc>
          <w:tcPr>
            <w:tcW w:w="1725" w:type="dxa"/>
            <w:vAlign w:val="center"/>
          </w:tcPr>
          <w:p>
            <w:pPr>
              <w:rPr>
                <w:rFonts w:ascii="宋体" w:hAnsi="宋体" w:eastAsia="宋体" w:cs="宋体"/>
                <w:bCs/>
                <w:color w:val="auto"/>
                <w:sz w:val="22"/>
                <w:szCs w:val="22"/>
              </w:rPr>
            </w:pPr>
            <w:r>
              <w:rPr>
                <w:rFonts w:hint="eastAsia" w:ascii="宋体" w:hAnsi="宋体" w:eastAsia="宋体" w:cs="宋体"/>
                <w:bCs/>
                <w:color w:val="auto"/>
                <w:sz w:val="22"/>
                <w:szCs w:val="22"/>
              </w:rPr>
              <w:t>0577-88093286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2484" w:type="dxa"/>
            <w:vAlign w:val="center"/>
          </w:tcPr>
          <w:p>
            <w:pPr>
              <w:spacing w:line="360" w:lineRule="auto"/>
              <w:rPr>
                <w:rFonts w:ascii="宋体" w:hAnsi="宋体" w:eastAsia="宋体" w:cs="宋体"/>
                <w:bCs/>
                <w:color w:val="auto"/>
                <w:sz w:val="22"/>
                <w:szCs w:val="22"/>
              </w:rPr>
            </w:pPr>
            <w:r>
              <w:rPr>
                <w:rFonts w:hint="eastAsia" w:ascii="宋体" w:hAnsi="宋体" w:eastAsia="宋体" w:cs="宋体"/>
                <w:bCs/>
                <w:color w:val="auto"/>
                <w:sz w:val="22"/>
                <w:szCs w:val="22"/>
              </w:rPr>
              <w:t>中国邮政储蓄银行股份有限公司温州市分行</w:t>
            </w:r>
          </w:p>
        </w:tc>
        <w:tc>
          <w:tcPr>
            <w:tcW w:w="4712" w:type="dxa"/>
            <w:vAlign w:val="center"/>
          </w:tcPr>
          <w:p>
            <w:pPr>
              <w:rPr>
                <w:rFonts w:ascii="宋体" w:hAnsi="宋体" w:eastAsia="宋体"/>
                <w:bCs/>
                <w:color w:val="auto"/>
                <w:sz w:val="22"/>
                <w:szCs w:val="22"/>
              </w:rPr>
            </w:pPr>
            <w:r>
              <w:rPr>
                <w:rFonts w:hint="eastAsia" w:ascii="宋体" w:hAnsi="宋体" w:eastAsia="宋体"/>
                <w:bCs/>
                <w:color w:val="auto"/>
                <w:sz w:val="22"/>
                <w:szCs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19" w:type="dxa"/>
            <w:vAlign w:val="center"/>
          </w:tcPr>
          <w:p>
            <w:pPr>
              <w:rPr>
                <w:rFonts w:ascii="宋体" w:hAnsi="宋体" w:eastAsia="宋体"/>
                <w:bCs/>
                <w:color w:val="auto"/>
                <w:sz w:val="22"/>
                <w:szCs w:val="22"/>
              </w:rPr>
            </w:pPr>
            <w:r>
              <w:rPr>
                <w:rFonts w:hint="eastAsia" w:ascii="宋体" w:hAnsi="宋体" w:eastAsia="宋体"/>
                <w:bCs/>
                <w:color w:val="auto"/>
                <w:sz w:val="22"/>
                <w:szCs w:val="22"/>
              </w:rPr>
              <w:t>郑经理</w:t>
            </w:r>
          </w:p>
        </w:tc>
        <w:tc>
          <w:tcPr>
            <w:tcW w:w="1725" w:type="dxa"/>
            <w:vAlign w:val="center"/>
          </w:tcPr>
          <w:p>
            <w:pPr>
              <w:rPr>
                <w:rFonts w:ascii="宋体" w:hAnsi="宋体" w:eastAsia="宋体"/>
                <w:bCs/>
                <w:color w:val="auto"/>
                <w:sz w:val="22"/>
                <w:szCs w:val="22"/>
              </w:rPr>
            </w:pPr>
            <w:r>
              <w:rPr>
                <w:rFonts w:hint="eastAsia" w:ascii="宋体" w:hAnsi="宋体" w:eastAsia="宋体"/>
                <w:bCs/>
                <w:color w:val="auto"/>
                <w:sz w:val="22"/>
                <w:szCs w:val="22"/>
              </w:rPr>
              <w:t>0577-88193910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2484" w:type="dxa"/>
            <w:vAlign w:val="center"/>
          </w:tcPr>
          <w:p>
            <w:pPr>
              <w:spacing w:line="360" w:lineRule="auto"/>
              <w:rPr>
                <w:rFonts w:ascii="宋体" w:hAnsi="宋体" w:eastAsia="宋体" w:cs="宋体"/>
                <w:bCs/>
                <w:color w:val="auto"/>
                <w:sz w:val="22"/>
                <w:szCs w:val="22"/>
              </w:rPr>
            </w:pPr>
            <w:r>
              <w:rPr>
                <w:rFonts w:hint="eastAsia" w:ascii="宋体" w:hAnsi="宋体" w:eastAsia="宋体" w:cs="宋体"/>
                <w:bCs/>
                <w:color w:val="auto"/>
                <w:sz w:val="22"/>
                <w:szCs w:val="22"/>
              </w:rPr>
              <w:t>中国民生银行股份有限公司温州分行</w:t>
            </w:r>
          </w:p>
        </w:tc>
        <w:tc>
          <w:tcPr>
            <w:tcW w:w="4712" w:type="dxa"/>
          </w:tcPr>
          <w:p>
            <w:pPr>
              <w:jc w:val="left"/>
              <w:rPr>
                <w:rFonts w:ascii="宋体" w:hAnsi="宋体" w:eastAsia="宋体"/>
                <w:bCs/>
                <w:color w:val="auto"/>
                <w:sz w:val="22"/>
                <w:szCs w:val="22"/>
              </w:rPr>
            </w:pPr>
            <w:r>
              <w:rPr>
                <w:rFonts w:hint="eastAsia" w:ascii="宋体" w:hAnsi="宋体" w:eastAsia="宋体" w:cs="宋体"/>
                <w:bCs/>
                <w:color w:val="auto"/>
                <w:sz w:val="22"/>
                <w:szCs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19" w:type="dxa"/>
            <w:vAlign w:val="center"/>
          </w:tcPr>
          <w:p>
            <w:pPr>
              <w:rPr>
                <w:rFonts w:ascii="宋体" w:hAnsi="宋体" w:eastAsia="宋体"/>
                <w:bCs/>
                <w:color w:val="auto"/>
                <w:sz w:val="22"/>
                <w:szCs w:val="22"/>
              </w:rPr>
            </w:pPr>
            <w:r>
              <w:rPr>
                <w:rFonts w:hint="eastAsia" w:ascii="宋体" w:hAnsi="宋体" w:eastAsia="宋体"/>
                <w:bCs/>
                <w:color w:val="auto"/>
                <w:sz w:val="22"/>
                <w:szCs w:val="22"/>
              </w:rPr>
              <w:t>项经理</w:t>
            </w:r>
          </w:p>
        </w:tc>
        <w:tc>
          <w:tcPr>
            <w:tcW w:w="1725" w:type="dxa"/>
            <w:vAlign w:val="center"/>
          </w:tcPr>
          <w:p>
            <w:pPr>
              <w:rPr>
                <w:rFonts w:ascii="宋体" w:hAnsi="宋体" w:eastAsia="宋体"/>
                <w:bCs/>
                <w:color w:val="auto"/>
                <w:sz w:val="22"/>
                <w:szCs w:val="22"/>
              </w:rPr>
            </w:pPr>
            <w:r>
              <w:rPr>
                <w:rFonts w:hint="eastAsia" w:ascii="宋体" w:hAnsi="宋体" w:eastAsia="宋体"/>
                <w:bCs/>
                <w:color w:val="auto"/>
                <w:sz w:val="22"/>
                <w:szCs w:val="22"/>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2484" w:type="dxa"/>
            <w:vAlign w:val="center"/>
          </w:tcPr>
          <w:p>
            <w:pPr>
              <w:spacing w:line="360" w:lineRule="auto"/>
              <w:rPr>
                <w:rFonts w:ascii="宋体" w:hAnsi="宋体" w:eastAsia="宋体" w:cs="宋体"/>
                <w:bCs/>
                <w:color w:val="auto"/>
                <w:sz w:val="22"/>
                <w:szCs w:val="22"/>
              </w:rPr>
            </w:pPr>
            <w:r>
              <w:rPr>
                <w:rFonts w:hint="eastAsia" w:ascii="宋体" w:hAnsi="宋体" w:eastAsia="宋体" w:cs="宋体"/>
                <w:bCs/>
                <w:color w:val="auto"/>
                <w:sz w:val="22"/>
                <w:szCs w:val="22"/>
              </w:rPr>
              <w:t>宁波银行股份有限公司温州分行</w:t>
            </w:r>
          </w:p>
        </w:tc>
        <w:tc>
          <w:tcPr>
            <w:tcW w:w="4712" w:type="dxa"/>
          </w:tcPr>
          <w:p>
            <w:pPr>
              <w:rPr>
                <w:rFonts w:ascii="宋体" w:hAnsi="宋体" w:eastAsia="宋体"/>
                <w:bCs/>
                <w:color w:val="auto"/>
                <w:sz w:val="22"/>
                <w:szCs w:val="22"/>
              </w:rPr>
            </w:pPr>
            <w:r>
              <w:rPr>
                <w:rFonts w:ascii="宋体" w:hAnsi="宋体" w:eastAsia="宋体" w:cs="宋体"/>
                <w:bCs/>
                <w:color w:val="auto"/>
                <w:sz w:val="22"/>
                <w:szCs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Pr>
                <w:rFonts w:hint="eastAsia" w:ascii="宋体" w:hAnsi="宋体" w:eastAsia="宋体" w:cs="宋体"/>
                <w:bCs/>
                <w:color w:val="auto"/>
                <w:sz w:val="22"/>
                <w:szCs w:val="22"/>
              </w:rPr>
              <w:t>，最大金额不超过</w:t>
            </w:r>
            <w:r>
              <w:rPr>
                <w:rFonts w:ascii="宋体" w:hAnsi="宋体" w:eastAsia="宋体" w:cs="宋体"/>
                <w:bCs/>
                <w:color w:val="auto"/>
                <w:sz w:val="22"/>
                <w:szCs w:val="22"/>
              </w:rPr>
              <w:t>2000</w:t>
            </w:r>
            <w:r>
              <w:rPr>
                <w:rFonts w:hint="eastAsia" w:ascii="宋体" w:hAnsi="宋体" w:eastAsia="宋体" w:cs="宋体"/>
                <w:bCs/>
                <w:color w:val="auto"/>
                <w:sz w:val="22"/>
                <w:szCs w:val="22"/>
              </w:rPr>
              <w:t>万元。</w:t>
            </w:r>
          </w:p>
        </w:tc>
        <w:tc>
          <w:tcPr>
            <w:tcW w:w="1019" w:type="dxa"/>
            <w:vAlign w:val="center"/>
          </w:tcPr>
          <w:p>
            <w:pPr>
              <w:rPr>
                <w:rFonts w:ascii="宋体" w:hAnsi="宋体" w:eastAsia="宋体"/>
                <w:bCs/>
                <w:color w:val="auto"/>
                <w:sz w:val="22"/>
                <w:szCs w:val="22"/>
              </w:rPr>
            </w:pPr>
            <w:r>
              <w:rPr>
                <w:rFonts w:hint="eastAsia" w:ascii="宋体" w:hAnsi="宋体" w:eastAsia="宋体"/>
                <w:bCs/>
                <w:color w:val="auto"/>
                <w:sz w:val="22"/>
                <w:szCs w:val="22"/>
              </w:rPr>
              <w:t>陈经理</w:t>
            </w:r>
          </w:p>
        </w:tc>
        <w:tc>
          <w:tcPr>
            <w:tcW w:w="1725" w:type="dxa"/>
            <w:vAlign w:val="center"/>
          </w:tcPr>
          <w:p>
            <w:pPr>
              <w:rPr>
                <w:rFonts w:ascii="宋体" w:hAnsi="宋体" w:eastAsia="宋体"/>
                <w:bCs/>
                <w:color w:val="auto"/>
                <w:sz w:val="22"/>
                <w:szCs w:val="22"/>
              </w:rPr>
            </w:pPr>
            <w:r>
              <w:rPr>
                <w:rFonts w:ascii="宋体" w:hAnsi="宋体" w:eastAsia="宋体"/>
                <w:bCs/>
                <w:color w:val="auto"/>
                <w:sz w:val="22"/>
                <w:szCs w:val="22"/>
              </w:rPr>
              <w:t>0577－88007377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2484" w:type="dxa"/>
            <w:vAlign w:val="center"/>
          </w:tcPr>
          <w:p>
            <w:pPr>
              <w:spacing w:line="360" w:lineRule="auto"/>
              <w:rPr>
                <w:rFonts w:ascii="宋体" w:hAnsi="宋体" w:eastAsia="宋体" w:cs="宋体"/>
                <w:bCs/>
                <w:color w:val="auto"/>
                <w:sz w:val="22"/>
                <w:szCs w:val="22"/>
              </w:rPr>
            </w:pPr>
            <w:r>
              <w:rPr>
                <w:rFonts w:hint="eastAsia" w:ascii="宋体" w:hAnsi="宋体" w:eastAsia="宋体" w:cs="宋体"/>
                <w:bCs/>
                <w:color w:val="auto"/>
                <w:sz w:val="22"/>
                <w:szCs w:val="22"/>
              </w:rPr>
              <w:t>杭州银行股份有限公司温州分行</w:t>
            </w:r>
          </w:p>
        </w:tc>
        <w:tc>
          <w:tcPr>
            <w:tcW w:w="4712" w:type="dxa"/>
          </w:tcPr>
          <w:p>
            <w:pPr>
              <w:rPr>
                <w:rFonts w:ascii="宋体" w:hAnsi="宋体" w:eastAsia="宋体"/>
                <w:bCs/>
                <w:color w:val="auto"/>
                <w:sz w:val="22"/>
                <w:szCs w:val="22"/>
              </w:rPr>
            </w:pPr>
            <w:r>
              <w:rPr>
                <w:rFonts w:ascii="宋体" w:hAnsi="宋体" w:eastAsia="宋体"/>
                <w:bCs/>
                <w:color w:val="auto"/>
                <w:sz w:val="22"/>
                <w:szCs w:val="22"/>
              </w:rPr>
              <w:t>门槛低：</w:t>
            </w:r>
            <w:r>
              <w:rPr>
                <w:rFonts w:hint="eastAsia" w:ascii="宋体" w:hAnsi="宋体" w:eastAsia="宋体"/>
                <w:bCs/>
                <w:color w:val="auto"/>
                <w:sz w:val="22"/>
                <w:szCs w:val="22"/>
              </w:rPr>
              <w:t>纯</w:t>
            </w:r>
            <w:r>
              <w:rPr>
                <w:rFonts w:ascii="宋体" w:hAnsi="宋体" w:eastAsia="宋体"/>
                <w:bCs/>
                <w:color w:val="auto"/>
                <w:sz w:val="22"/>
                <w:szCs w:val="22"/>
              </w:rPr>
              <w:t>信用，</w:t>
            </w:r>
            <w:r>
              <w:rPr>
                <w:rFonts w:hint="eastAsia" w:ascii="宋体" w:hAnsi="宋体" w:eastAsia="宋体"/>
                <w:bCs/>
                <w:color w:val="auto"/>
                <w:sz w:val="22"/>
                <w:szCs w:val="22"/>
              </w:rPr>
              <w:t>平台</w:t>
            </w:r>
            <w:r>
              <w:rPr>
                <w:rFonts w:ascii="宋体" w:hAnsi="宋体" w:eastAsia="宋体"/>
                <w:bCs/>
                <w:color w:val="auto"/>
                <w:sz w:val="22"/>
                <w:szCs w:val="22"/>
              </w:rPr>
              <w:t>注册入库并取得采购合同即可申请</w:t>
            </w:r>
          </w:p>
          <w:p>
            <w:pPr>
              <w:rPr>
                <w:rFonts w:ascii="宋体" w:hAnsi="宋体" w:eastAsia="宋体"/>
                <w:bCs/>
                <w:color w:val="auto"/>
                <w:sz w:val="22"/>
                <w:szCs w:val="22"/>
              </w:rPr>
            </w:pPr>
            <w:r>
              <w:rPr>
                <w:rFonts w:hint="eastAsia" w:ascii="宋体" w:hAnsi="宋体" w:eastAsia="宋体"/>
                <w:bCs/>
                <w:color w:val="auto"/>
                <w:sz w:val="22"/>
                <w:szCs w:val="22"/>
              </w:rPr>
              <w:t>手续简</w:t>
            </w:r>
            <w:r>
              <w:rPr>
                <w:rFonts w:ascii="宋体" w:hAnsi="宋体" w:eastAsia="宋体"/>
                <w:bCs/>
                <w:color w:val="auto"/>
                <w:sz w:val="22"/>
                <w:szCs w:val="22"/>
              </w:rPr>
              <w:t>：</w:t>
            </w:r>
            <w:r>
              <w:rPr>
                <w:rFonts w:hint="eastAsia" w:ascii="宋体" w:hAnsi="宋体" w:eastAsia="宋体"/>
                <w:bCs/>
                <w:color w:val="auto"/>
                <w:sz w:val="22"/>
                <w:szCs w:val="22"/>
              </w:rPr>
              <w:t>线上申请</w:t>
            </w:r>
            <w:r>
              <w:rPr>
                <w:rFonts w:ascii="宋体" w:hAnsi="宋体" w:eastAsia="宋体"/>
                <w:bCs/>
                <w:color w:val="auto"/>
                <w:sz w:val="22"/>
                <w:szCs w:val="22"/>
              </w:rPr>
              <w:t>+</w:t>
            </w:r>
            <w:r>
              <w:rPr>
                <w:rFonts w:hint="eastAsia" w:ascii="宋体" w:hAnsi="宋体" w:eastAsia="宋体"/>
                <w:bCs/>
                <w:color w:val="auto"/>
                <w:sz w:val="22"/>
                <w:szCs w:val="22"/>
              </w:rPr>
              <w:t>线上</w:t>
            </w:r>
            <w:r>
              <w:rPr>
                <w:rFonts w:ascii="宋体" w:hAnsi="宋体" w:eastAsia="宋体"/>
                <w:bCs/>
                <w:color w:val="auto"/>
                <w:sz w:val="22"/>
                <w:szCs w:val="22"/>
              </w:rPr>
              <w:t>签约，</w:t>
            </w:r>
            <w:r>
              <w:rPr>
                <w:rFonts w:hint="eastAsia" w:ascii="宋体" w:hAnsi="宋体" w:eastAsia="宋体"/>
                <w:bCs/>
                <w:color w:val="auto"/>
                <w:sz w:val="22"/>
                <w:szCs w:val="22"/>
              </w:rPr>
              <w:t>足不</w:t>
            </w:r>
            <w:r>
              <w:rPr>
                <w:rFonts w:ascii="宋体" w:hAnsi="宋体" w:eastAsia="宋体"/>
                <w:bCs/>
                <w:color w:val="auto"/>
                <w:sz w:val="22"/>
                <w:szCs w:val="22"/>
              </w:rPr>
              <w:t>出</w:t>
            </w:r>
            <w:r>
              <w:rPr>
                <w:rFonts w:hint="eastAsia" w:ascii="宋体" w:hAnsi="宋体" w:eastAsia="宋体"/>
                <w:bCs/>
                <w:color w:val="auto"/>
                <w:sz w:val="22"/>
                <w:szCs w:val="22"/>
              </w:rPr>
              <w:t>户</w:t>
            </w:r>
          </w:p>
          <w:p>
            <w:pPr>
              <w:rPr>
                <w:rFonts w:ascii="宋体" w:hAnsi="宋体" w:eastAsia="宋体"/>
                <w:bCs/>
                <w:color w:val="auto"/>
                <w:sz w:val="22"/>
                <w:szCs w:val="22"/>
              </w:rPr>
            </w:pPr>
            <w:r>
              <w:rPr>
                <w:rFonts w:hint="eastAsia" w:ascii="宋体" w:hAnsi="宋体" w:eastAsia="宋体"/>
                <w:bCs/>
                <w:color w:val="auto"/>
                <w:sz w:val="22"/>
                <w:szCs w:val="22"/>
              </w:rPr>
              <w:t>利率</w:t>
            </w:r>
            <w:r>
              <w:rPr>
                <w:rFonts w:ascii="宋体" w:hAnsi="宋体" w:eastAsia="宋体"/>
                <w:bCs/>
                <w:color w:val="auto"/>
                <w:sz w:val="22"/>
                <w:szCs w:val="22"/>
              </w:rPr>
              <w:t>优：</w:t>
            </w:r>
            <w:r>
              <w:rPr>
                <w:rFonts w:hint="eastAsia" w:ascii="宋体" w:hAnsi="宋体" w:eastAsia="宋体"/>
                <w:bCs/>
                <w:color w:val="auto"/>
                <w:sz w:val="22"/>
                <w:szCs w:val="22"/>
              </w:rPr>
              <w:t>按</w:t>
            </w:r>
            <w:r>
              <w:rPr>
                <w:rFonts w:ascii="宋体" w:hAnsi="宋体" w:eastAsia="宋体"/>
                <w:bCs/>
                <w:color w:val="auto"/>
                <w:sz w:val="22"/>
                <w:szCs w:val="22"/>
              </w:rPr>
              <w:t>优于一般中小企业</w:t>
            </w:r>
            <w:r>
              <w:rPr>
                <w:rFonts w:hint="eastAsia" w:ascii="宋体" w:hAnsi="宋体" w:eastAsia="宋体"/>
                <w:bCs/>
                <w:color w:val="auto"/>
                <w:sz w:val="22"/>
                <w:szCs w:val="22"/>
              </w:rPr>
              <w:t>贷款</w:t>
            </w:r>
            <w:r>
              <w:rPr>
                <w:rFonts w:ascii="宋体" w:hAnsi="宋体" w:eastAsia="宋体"/>
                <w:bCs/>
                <w:color w:val="auto"/>
                <w:sz w:val="22"/>
                <w:szCs w:val="22"/>
              </w:rPr>
              <w:t>利率执行</w:t>
            </w:r>
          </w:p>
          <w:p>
            <w:pPr>
              <w:rPr>
                <w:rFonts w:ascii="宋体" w:hAnsi="宋体" w:eastAsia="宋体"/>
                <w:bCs/>
                <w:color w:val="auto"/>
                <w:sz w:val="22"/>
                <w:szCs w:val="22"/>
              </w:rPr>
            </w:pPr>
            <w:r>
              <w:rPr>
                <w:rFonts w:hint="eastAsia" w:ascii="宋体" w:hAnsi="宋体" w:eastAsia="宋体"/>
                <w:bCs/>
                <w:color w:val="auto"/>
                <w:sz w:val="22"/>
                <w:szCs w:val="22"/>
              </w:rPr>
              <w:t>额度高</w:t>
            </w:r>
            <w:r>
              <w:rPr>
                <w:rFonts w:ascii="宋体" w:hAnsi="宋体" w:eastAsia="宋体"/>
                <w:bCs/>
                <w:color w:val="auto"/>
                <w:sz w:val="22"/>
                <w:szCs w:val="22"/>
              </w:rPr>
              <w:t>：</w:t>
            </w:r>
            <w:r>
              <w:rPr>
                <w:rFonts w:hint="eastAsia" w:ascii="宋体" w:hAnsi="宋体" w:eastAsia="宋体"/>
                <w:bCs/>
                <w:color w:val="auto"/>
                <w:sz w:val="22"/>
                <w:szCs w:val="22"/>
              </w:rPr>
              <w:t>最高为</w:t>
            </w:r>
            <w:r>
              <w:rPr>
                <w:rFonts w:ascii="宋体" w:hAnsi="宋体" w:eastAsia="宋体"/>
                <w:bCs/>
                <w:color w:val="auto"/>
                <w:sz w:val="22"/>
                <w:szCs w:val="22"/>
              </w:rPr>
              <w:t>合同金额的80%</w:t>
            </w:r>
          </w:p>
        </w:tc>
        <w:tc>
          <w:tcPr>
            <w:tcW w:w="1019" w:type="dxa"/>
            <w:vAlign w:val="center"/>
          </w:tcPr>
          <w:p>
            <w:pPr>
              <w:rPr>
                <w:rFonts w:ascii="宋体" w:hAnsi="宋体" w:eastAsia="宋体"/>
                <w:bCs/>
                <w:color w:val="auto"/>
                <w:sz w:val="22"/>
                <w:szCs w:val="22"/>
              </w:rPr>
            </w:pPr>
            <w:r>
              <w:rPr>
                <w:rFonts w:ascii="宋体" w:hAnsi="宋体" w:eastAsia="宋体"/>
                <w:bCs/>
                <w:color w:val="auto"/>
                <w:sz w:val="22"/>
                <w:szCs w:val="22"/>
              </w:rPr>
              <w:t>叶</w:t>
            </w:r>
            <w:r>
              <w:rPr>
                <w:rFonts w:hint="eastAsia" w:ascii="宋体" w:hAnsi="宋体" w:eastAsia="宋体"/>
                <w:bCs/>
                <w:color w:val="auto"/>
                <w:sz w:val="22"/>
                <w:szCs w:val="22"/>
              </w:rPr>
              <w:t>经理</w:t>
            </w:r>
          </w:p>
        </w:tc>
        <w:tc>
          <w:tcPr>
            <w:tcW w:w="1725" w:type="dxa"/>
            <w:vAlign w:val="center"/>
          </w:tcPr>
          <w:p>
            <w:pPr>
              <w:rPr>
                <w:rFonts w:ascii="宋体" w:hAnsi="宋体" w:eastAsia="宋体"/>
                <w:bCs/>
                <w:color w:val="auto"/>
                <w:sz w:val="22"/>
                <w:szCs w:val="22"/>
              </w:rPr>
            </w:pPr>
            <w:r>
              <w:rPr>
                <w:rFonts w:hint="eastAsia" w:ascii="宋体" w:hAnsi="宋体" w:eastAsia="宋体"/>
                <w:bCs/>
                <w:color w:val="auto"/>
                <w:sz w:val="22"/>
                <w:szCs w:val="22"/>
              </w:rPr>
              <w:t>0577-</w:t>
            </w:r>
            <w:r>
              <w:rPr>
                <w:rFonts w:ascii="宋体" w:hAnsi="宋体" w:eastAsia="宋体"/>
                <w:bCs/>
                <w:color w:val="auto"/>
                <w:sz w:val="22"/>
                <w:szCs w:val="22"/>
              </w:rPr>
              <w:t>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2484" w:type="dxa"/>
            <w:vAlign w:val="center"/>
          </w:tcPr>
          <w:p>
            <w:pPr>
              <w:spacing w:line="360" w:lineRule="auto"/>
              <w:rPr>
                <w:rFonts w:ascii="宋体" w:hAnsi="宋体" w:eastAsia="宋体" w:cs="宋体"/>
                <w:bCs/>
                <w:color w:val="auto"/>
                <w:sz w:val="22"/>
                <w:szCs w:val="22"/>
              </w:rPr>
            </w:pPr>
            <w:r>
              <w:rPr>
                <w:rFonts w:hint="eastAsia" w:ascii="宋体" w:hAnsi="宋体" w:eastAsia="宋体" w:cs="宋体"/>
                <w:bCs/>
                <w:color w:val="auto"/>
                <w:sz w:val="22"/>
                <w:szCs w:val="22"/>
              </w:rPr>
              <w:t>招商银行股份有限公司温州分行</w:t>
            </w:r>
          </w:p>
        </w:tc>
        <w:tc>
          <w:tcPr>
            <w:tcW w:w="4712" w:type="dxa"/>
          </w:tcPr>
          <w:p>
            <w:pPr>
              <w:rPr>
                <w:rFonts w:ascii="宋体" w:hAnsi="宋体" w:eastAsia="宋体"/>
                <w:bCs/>
                <w:color w:val="auto"/>
                <w:sz w:val="22"/>
                <w:szCs w:val="22"/>
              </w:rPr>
            </w:pPr>
            <w:r>
              <w:rPr>
                <w:rFonts w:hint="eastAsia" w:ascii="宋体" w:hAnsi="宋体" w:eastAsia="宋体"/>
                <w:bCs/>
                <w:color w:val="auto"/>
                <w:sz w:val="22"/>
                <w:szCs w:val="22"/>
              </w:rPr>
              <w:t>政采贷是招商银行针对政府采购招投标中标供应商，以政府采购合同项下未来应收账款为第一还款来源的融资业务，无需抵质押物。额度最高可达2</w:t>
            </w:r>
            <w:r>
              <w:rPr>
                <w:rFonts w:ascii="宋体" w:hAnsi="宋体" w:eastAsia="宋体"/>
                <w:bCs/>
                <w:color w:val="auto"/>
                <w:sz w:val="22"/>
                <w:szCs w:val="22"/>
              </w:rPr>
              <w:t>000</w:t>
            </w:r>
            <w:r>
              <w:rPr>
                <w:rFonts w:hint="eastAsia" w:ascii="宋体" w:hAnsi="宋体" w:eastAsia="宋体"/>
                <w:bCs/>
                <w:color w:val="auto"/>
                <w:sz w:val="22"/>
                <w:szCs w:val="22"/>
              </w:rPr>
              <w:t>万，同时可开通自助贷款直通功能，自助贷款额度最高可达1</w:t>
            </w:r>
            <w:r>
              <w:rPr>
                <w:rFonts w:ascii="宋体" w:hAnsi="宋体" w:eastAsia="宋体"/>
                <w:bCs/>
                <w:color w:val="auto"/>
                <w:sz w:val="22"/>
                <w:szCs w:val="22"/>
              </w:rPr>
              <w:t>000</w:t>
            </w:r>
            <w:r>
              <w:rPr>
                <w:rFonts w:hint="eastAsia" w:ascii="宋体" w:hAnsi="宋体" w:eastAsia="宋体"/>
                <w:bCs/>
                <w:color w:val="auto"/>
                <w:sz w:val="22"/>
                <w:szCs w:val="22"/>
              </w:rPr>
              <w:t>万，支持线上申请、随借随还。</w:t>
            </w:r>
          </w:p>
        </w:tc>
        <w:tc>
          <w:tcPr>
            <w:tcW w:w="1019" w:type="dxa"/>
            <w:vAlign w:val="center"/>
          </w:tcPr>
          <w:p>
            <w:pPr>
              <w:rPr>
                <w:rFonts w:ascii="宋体" w:hAnsi="宋体" w:eastAsia="宋体"/>
                <w:bCs/>
                <w:color w:val="auto"/>
                <w:sz w:val="22"/>
                <w:szCs w:val="22"/>
              </w:rPr>
            </w:pPr>
            <w:r>
              <w:rPr>
                <w:rFonts w:hint="eastAsia" w:ascii="宋体" w:hAnsi="宋体" w:eastAsia="宋体"/>
                <w:bCs/>
                <w:color w:val="auto"/>
                <w:sz w:val="22"/>
                <w:szCs w:val="22"/>
              </w:rPr>
              <w:t>陈经理</w:t>
            </w:r>
          </w:p>
        </w:tc>
        <w:tc>
          <w:tcPr>
            <w:tcW w:w="1725" w:type="dxa"/>
            <w:vAlign w:val="center"/>
          </w:tcPr>
          <w:p>
            <w:pPr>
              <w:rPr>
                <w:rFonts w:ascii="宋体" w:hAnsi="宋体" w:eastAsia="宋体"/>
                <w:bCs/>
                <w:color w:val="auto"/>
                <w:sz w:val="22"/>
                <w:szCs w:val="22"/>
              </w:rPr>
            </w:pPr>
            <w:r>
              <w:rPr>
                <w:rFonts w:hint="eastAsia" w:ascii="宋体" w:hAnsi="宋体" w:eastAsia="宋体"/>
                <w:bCs/>
                <w:color w:val="auto"/>
                <w:sz w:val="22"/>
                <w:szCs w:val="22"/>
              </w:rPr>
              <w:t>0577-8</w:t>
            </w:r>
            <w:r>
              <w:rPr>
                <w:rFonts w:ascii="宋体" w:hAnsi="宋体" w:eastAsia="宋体"/>
                <w:bCs/>
                <w:color w:val="auto"/>
                <w:sz w:val="22"/>
                <w:szCs w:val="22"/>
              </w:rPr>
              <w:t>8056876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2484" w:type="dxa"/>
            <w:vAlign w:val="center"/>
          </w:tcPr>
          <w:p>
            <w:pPr>
              <w:spacing w:line="360" w:lineRule="auto"/>
              <w:rPr>
                <w:rFonts w:ascii="宋体" w:hAnsi="宋体" w:eastAsia="宋体" w:cs="宋体"/>
                <w:bCs/>
                <w:color w:val="auto"/>
                <w:sz w:val="22"/>
                <w:szCs w:val="22"/>
              </w:rPr>
            </w:pPr>
            <w:r>
              <w:rPr>
                <w:rFonts w:hint="eastAsia" w:ascii="宋体" w:hAnsi="宋体" w:eastAsia="宋体" w:cs="宋体"/>
                <w:bCs/>
                <w:color w:val="auto"/>
                <w:sz w:val="22"/>
                <w:szCs w:val="22"/>
              </w:rPr>
              <w:t>兴业银行股份有限公司温州分行</w:t>
            </w:r>
          </w:p>
        </w:tc>
        <w:tc>
          <w:tcPr>
            <w:tcW w:w="4712" w:type="dxa"/>
            <w:vAlign w:val="center"/>
          </w:tcPr>
          <w:p>
            <w:pPr>
              <w:rPr>
                <w:rFonts w:ascii="宋体" w:hAnsi="宋体" w:eastAsia="宋体" w:cs="宋体"/>
                <w:bCs/>
                <w:color w:val="auto"/>
                <w:sz w:val="22"/>
                <w:szCs w:val="22"/>
              </w:rPr>
            </w:pPr>
            <w:r>
              <w:rPr>
                <w:rFonts w:hint="eastAsia" w:ascii="宋体" w:hAnsi="宋体" w:eastAsia="宋体" w:cs="宋体"/>
                <w:bCs/>
                <w:color w:val="auto"/>
                <w:sz w:val="22"/>
                <w:szCs w:val="22"/>
              </w:rPr>
              <w:t>融资担保方式及融资金额：1、采取信用免抵押的企业，最高融资金额196.44万元；2、采取政府采购中标应收帐款质押的，最高融资金额不超过1000万元，单笔提款金额不超过采购合同金额的70%。融资利率：在本单位一般性中小企业信用贷款利率基础上下浮10%。</w:t>
            </w:r>
          </w:p>
        </w:tc>
        <w:tc>
          <w:tcPr>
            <w:tcW w:w="1019" w:type="dxa"/>
            <w:vAlign w:val="center"/>
          </w:tcPr>
          <w:p>
            <w:pPr>
              <w:rPr>
                <w:rFonts w:ascii="宋体" w:hAnsi="宋体" w:eastAsia="宋体"/>
                <w:bCs/>
                <w:color w:val="auto"/>
                <w:sz w:val="22"/>
                <w:szCs w:val="22"/>
              </w:rPr>
            </w:pPr>
            <w:r>
              <w:rPr>
                <w:rFonts w:hint="eastAsia" w:ascii="宋体" w:hAnsi="宋体" w:eastAsia="宋体"/>
                <w:bCs/>
                <w:color w:val="auto"/>
                <w:sz w:val="22"/>
                <w:szCs w:val="22"/>
              </w:rPr>
              <w:t>张经理</w:t>
            </w:r>
          </w:p>
          <w:p>
            <w:pPr>
              <w:rPr>
                <w:rFonts w:ascii="宋体" w:hAnsi="宋体" w:eastAsia="宋体"/>
                <w:bCs/>
                <w:color w:val="auto"/>
                <w:sz w:val="22"/>
                <w:szCs w:val="22"/>
              </w:rPr>
            </w:pPr>
            <w:r>
              <w:rPr>
                <w:rFonts w:hint="eastAsia" w:ascii="宋体" w:hAnsi="宋体" w:eastAsia="宋体"/>
                <w:bCs/>
                <w:color w:val="auto"/>
                <w:sz w:val="22"/>
                <w:szCs w:val="22"/>
              </w:rPr>
              <w:t>陈经理</w:t>
            </w:r>
          </w:p>
        </w:tc>
        <w:tc>
          <w:tcPr>
            <w:tcW w:w="1725" w:type="dxa"/>
            <w:vAlign w:val="center"/>
          </w:tcPr>
          <w:p>
            <w:pPr>
              <w:spacing w:line="360" w:lineRule="auto"/>
              <w:rPr>
                <w:rFonts w:ascii="宋体" w:hAnsi="宋体" w:eastAsia="宋体"/>
                <w:bCs/>
                <w:color w:val="auto"/>
                <w:sz w:val="22"/>
                <w:szCs w:val="22"/>
              </w:rPr>
            </w:pPr>
            <w:r>
              <w:rPr>
                <w:rFonts w:hint="eastAsia" w:ascii="宋体" w:hAnsi="宋体" w:eastAsia="宋体"/>
                <w:bCs/>
                <w:color w:val="auto"/>
                <w:sz w:val="22"/>
                <w:szCs w:val="22"/>
              </w:rPr>
              <w:t>0577-</w:t>
            </w:r>
            <w:r>
              <w:rPr>
                <w:rFonts w:ascii="宋体" w:hAnsi="宋体" w:eastAsia="宋体"/>
                <w:bCs/>
                <w:color w:val="auto"/>
                <w:sz w:val="22"/>
                <w:szCs w:val="22"/>
              </w:rPr>
              <w:t>88369368</w:t>
            </w:r>
            <w:r>
              <w:rPr>
                <w:rFonts w:hint="eastAsia" w:ascii="宋体" w:hAnsi="宋体" w:eastAsia="宋体"/>
                <w:bCs/>
                <w:color w:val="auto"/>
                <w:sz w:val="22"/>
                <w:szCs w:val="22"/>
              </w:rPr>
              <w:t>/13857713118</w:t>
            </w:r>
          </w:p>
          <w:p>
            <w:pPr>
              <w:spacing w:line="360" w:lineRule="auto"/>
              <w:rPr>
                <w:rFonts w:ascii="宋体" w:hAnsi="宋体" w:eastAsia="宋体"/>
                <w:bCs/>
                <w:color w:val="auto"/>
                <w:sz w:val="22"/>
                <w:szCs w:val="22"/>
              </w:rPr>
            </w:pPr>
            <w:r>
              <w:rPr>
                <w:rFonts w:hint="eastAsia" w:ascii="宋体" w:hAnsi="宋体" w:eastAsia="宋体"/>
                <w:bCs/>
                <w:color w:val="auto"/>
                <w:sz w:val="22"/>
                <w:szCs w:val="22"/>
              </w:rPr>
              <w:t>0577-56969696-1146506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2484" w:type="dxa"/>
            <w:vAlign w:val="center"/>
          </w:tcPr>
          <w:p>
            <w:pPr>
              <w:spacing w:line="360" w:lineRule="auto"/>
              <w:rPr>
                <w:rFonts w:ascii="宋体" w:hAnsi="宋体" w:eastAsia="宋体" w:cs="宋体"/>
                <w:bCs/>
                <w:color w:val="auto"/>
                <w:sz w:val="22"/>
                <w:szCs w:val="22"/>
              </w:rPr>
            </w:pPr>
            <w:r>
              <w:rPr>
                <w:rFonts w:hint="eastAsia" w:ascii="宋体" w:hAnsi="宋体" w:eastAsia="宋体" w:cs="宋体"/>
                <w:bCs/>
                <w:color w:val="auto"/>
                <w:sz w:val="22"/>
                <w:szCs w:val="22"/>
              </w:rPr>
              <w:t>温州银行股份有限公司温州分行</w:t>
            </w:r>
          </w:p>
        </w:tc>
        <w:tc>
          <w:tcPr>
            <w:tcW w:w="4712" w:type="dxa"/>
          </w:tcPr>
          <w:p>
            <w:pPr>
              <w:rPr>
                <w:rFonts w:ascii="宋体" w:hAnsi="宋体" w:eastAsia="宋体" w:cs="宋体"/>
                <w:bCs/>
                <w:color w:val="auto"/>
                <w:sz w:val="22"/>
                <w:szCs w:val="22"/>
              </w:rPr>
            </w:pPr>
            <w:r>
              <w:rPr>
                <w:rFonts w:hint="eastAsia" w:ascii="宋体" w:hAnsi="宋体" w:eastAsia="宋体" w:cs="宋体"/>
                <w:bCs/>
                <w:color w:val="auto"/>
                <w:sz w:val="22"/>
                <w:szCs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19" w:type="dxa"/>
            <w:vAlign w:val="center"/>
          </w:tcPr>
          <w:p>
            <w:pPr>
              <w:rPr>
                <w:rFonts w:ascii="宋体" w:hAnsi="宋体" w:eastAsia="宋体" w:cs="宋体"/>
                <w:bCs/>
                <w:color w:val="auto"/>
                <w:sz w:val="22"/>
                <w:szCs w:val="22"/>
              </w:rPr>
            </w:pPr>
            <w:r>
              <w:rPr>
                <w:rFonts w:hint="eastAsia" w:ascii="宋体" w:hAnsi="宋体" w:eastAsia="宋体" w:cs="宋体"/>
                <w:bCs/>
                <w:color w:val="auto"/>
                <w:sz w:val="22"/>
                <w:szCs w:val="22"/>
              </w:rPr>
              <w:t>陈经理</w:t>
            </w:r>
          </w:p>
        </w:tc>
        <w:tc>
          <w:tcPr>
            <w:tcW w:w="1725" w:type="dxa"/>
            <w:vAlign w:val="center"/>
          </w:tcPr>
          <w:p>
            <w:pPr>
              <w:rPr>
                <w:rFonts w:ascii="宋体" w:hAnsi="宋体" w:eastAsia="宋体"/>
                <w:bCs/>
                <w:color w:val="auto"/>
                <w:sz w:val="22"/>
                <w:szCs w:val="22"/>
              </w:rPr>
            </w:pPr>
            <w:r>
              <w:rPr>
                <w:rFonts w:hint="eastAsia" w:ascii="宋体" w:hAnsi="宋体" w:eastAsia="宋体"/>
                <w:bCs/>
                <w:color w:val="auto"/>
                <w:sz w:val="22"/>
                <w:szCs w:val="22"/>
              </w:rPr>
              <w:t>13736355866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jc w:val="center"/>
        </w:trPr>
        <w:tc>
          <w:tcPr>
            <w:tcW w:w="2484" w:type="dxa"/>
            <w:vAlign w:val="center"/>
          </w:tcPr>
          <w:p>
            <w:pPr>
              <w:spacing w:line="360" w:lineRule="auto"/>
              <w:rPr>
                <w:rFonts w:ascii="宋体" w:hAnsi="宋体" w:eastAsia="宋体" w:cs="宋体"/>
                <w:bCs/>
                <w:color w:val="auto"/>
                <w:sz w:val="22"/>
                <w:szCs w:val="22"/>
              </w:rPr>
            </w:pPr>
            <w:r>
              <w:rPr>
                <w:rFonts w:hint="eastAsia" w:ascii="宋体" w:hAnsi="宋体" w:eastAsia="宋体" w:cs="宋体"/>
                <w:bCs/>
                <w:color w:val="auto"/>
                <w:sz w:val="22"/>
                <w:szCs w:val="22"/>
              </w:rPr>
              <w:t>温州银行股份有限公司鹿城分行</w:t>
            </w:r>
          </w:p>
        </w:tc>
        <w:tc>
          <w:tcPr>
            <w:tcW w:w="4712" w:type="dxa"/>
          </w:tcPr>
          <w:p>
            <w:pPr>
              <w:rPr>
                <w:rFonts w:ascii="宋体" w:hAnsi="宋体" w:eastAsia="宋体"/>
                <w:bCs/>
                <w:color w:val="auto"/>
                <w:sz w:val="22"/>
                <w:szCs w:val="22"/>
              </w:rPr>
            </w:pPr>
            <w:r>
              <w:rPr>
                <w:rFonts w:hint="eastAsia" w:ascii="宋体" w:hAnsi="宋体" w:eastAsia="宋体"/>
                <w:bCs/>
                <w:color w:val="auto"/>
                <w:sz w:val="22"/>
                <w:szCs w:val="22"/>
              </w:rPr>
              <w:t>政采</w:t>
            </w:r>
            <w:r>
              <w:rPr>
                <w:rFonts w:ascii="宋体" w:hAnsi="宋体" w:eastAsia="宋体"/>
                <w:bCs/>
                <w:color w:val="auto"/>
                <w:sz w:val="22"/>
                <w:szCs w:val="22"/>
              </w:rPr>
              <w:t>订单贷：</w:t>
            </w:r>
            <w:r>
              <w:rPr>
                <w:rFonts w:hint="eastAsia" w:ascii="宋体" w:hAnsi="宋体" w:eastAsia="宋体"/>
                <w:bCs/>
                <w:color w:val="auto"/>
                <w:sz w:val="22"/>
                <w:szCs w:val="22"/>
              </w:rPr>
              <w:t>1、面向政府采购项目供应商，满足供应商资金周转需求，凭中标通知书即可申请，2、秒知额高，最高可贷500万元，单笔业务金额可贷中标金额的80%，</w:t>
            </w:r>
          </w:p>
          <w:p>
            <w:pPr>
              <w:ind w:left="5"/>
              <w:rPr>
                <w:rFonts w:ascii="宋体" w:hAnsi="宋体" w:eastAsia="宋体"/>
                <w:bCs/>
                <w:color w:val="auto"/>
                <w:sz w:val="22"/>
                <w:szCs w:val="22"/>
              </w:rPr>
            </w:pPr>
            <w:r>
              <w:rPr>
                <w:rFonts w:hint="eastAsia" w:ascii="宋体" w:hAnsi="宋体" w:eastAsia="宋体"/>
                <w:bCs/>
                <w:color w:val="auto"/>
                <w:sz w:val="22"/>
                <w:szCs w:val="22"/>
              </w:rPr>
              <w:t>最长期限可贷1年。信保贷：1、额度最高可达500万元</w:t>
            </w:r>
          </w:p>
          <w:p>
            <w:pPr>
              <w:rPr>
                <w:rFonts w:ascii="宋体" w:hAnsi="宋体" w:eastAsia="宋体"/>
                <w:bCs/>
                <w:color w:val="auto"/>
                <w:sz w:val="22"/>
                <w:szCs w:val="22"/>
              </w:rPr>
            </w:pPr>
            <w:r>
              <w:rPr>
                <w:rFonts w:hint="eastAsia" w:ascii="宋体" w:hAnsi="宋体" w:eastAsia="宋体"/>
                <w:bCs/>
                <w:color w:val="auto"/>
                <w:sz w:val="22"/>
                <w:szCs w:val="22"/>
              </w:rPr>
              <w:t>2、担保灵活，信用贷款3、贷款年利率至少可享受本单位一般性中小企业信用贷款利率基础上下浮10%</w:t>
            </w:r>
          </w:p>
        </w:tc>
        <w:tc>
          <w:tcPr>
            <w:tcW w:w="1019" w:type="dxa"/>
            <w:vAlign w:val="center"/>
          </w:tcPr>
          <w:p>
            <w:pPr>
              <w:rPr>
                <w:rFonts w:ascii="宋体" w:hAnsi="宋体" w:eastAsia="宋体"/>
                <w:bCs/>
                <w:color w:val="auto"/>
                <w:sz w:val="22"/>
                <w:szCs w:val="22"/>
              </w:rPr>
            </w:pPr>
            <w:r>
              <w:rPr>
                <w:rFonts w:hint="eastAsia" w:ascii="宋体" w:hAnsi="宋体" w:eastAsia="宋体"/>
                <w:bCs/>
                <w:color w:val="auto"/>
                <w:sz w:val="22"/>
                <w:szCs w:val="22"/>
              </w:rPr>
              <w:t>戴经理</w:t>
            </w:r>
          </w:p>
        </w:tc>
        <w:tc>
          <w:tcPr>
            <w:tcW w:w="1725" w:type="dxa"/>
            <w:vAlign w:val="center"/>
          </w:tcPr>
          <w:p>
            <w:pPr>
              <w:rPr>
                <w:rFonts w:ascii="宋体" w:hAnsi="宋体" w:eastAsia="宋体"/>
                <w:bCs/>
                <w:color w:val="auto"/>
                <w:sz w:val="22"/>
                <w:szCs w:val="22"/>
              </w:rPr>
            </w:pPr>
            <w:r>
              <w:rPr>
                <w:rFonts w:hint="eastAsia" w:ascii="宋体" w:hAnsi="宋体" w:eastAsia="宋体"/>
                <w:bCs/>
                <w:color w:val="auto"/>
                <w:sz w:val="22"/>
                <w:szCs w:val="22"/>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2484" w:type="dxa"/>
            <w:vAlign w:val="center"/>
          </w:tcPr>
          <w:p>
            <w:pPr>
              <w:spacing w:line="360" w:lineRule="auto"/>
              <w:rPr>
                <w:rFonts w:ascii="宋体" w:hAnsi="宋体" w:eastAsia="宋体" w:cs="宋体"/>
                <w:bCs/>
                <w:color w:val="auto"/>
                <w:sz w:val="22"/>
                <w:szCs w:val="22"/>
              </w:rPr>
            </w:pPr>
            <w:r>
              <w:rPr>
                <w:rFonts w:hint="eastAsia" w:ascii="宋体" w:hAnsi="宋体" w:eastAsia="宋体" w:cs="宋体"/>
                <w:bCs/>
                <w:color w:val="auto"/>
                <w:sz w:val="22"/>
                <w:szCs w:val="22"/>
              </w:rPr>
              <w:t>交通银行股份有限公司温州分行</w:t>
            </w:r>
          </w:p>
        </w:tc>
        <w:tc>
          <w:tcPr>
            <w:tcW w:w="4712" w:type="dxa"/>
          </w:tcPr>
          <w:p>
            <w:pPr>
              <w:autoSpaceDE w:val="0"/>
              <w:autoSpaceDN w:val="0"/>
              <w:adjustRightInd w:val="0"/>
              <w:jc w:val="left"/>
              <w:rPr>
                <w:rFonts w:ascii="宋体" w:hAnsi="宋体" w:eastAsia="宋体" w:cs="宋体"/>
                <w:bCs/>
                <w:color w:val="auto"/>
                <w:sz w:val="22"/>
                <w:szCs w:val="22"/>
              </w:rPr>
            </w:pPr>
            <w:r>
              <w:rPr>
                <w:rFonts w:hint="eastAsia" w:ascii="宋体" w:hAnsi="宋体" w:eastAsia="宋体" w:cs="宋体"/>
                <w:bCs/>
                <w:color w:val="auto"/>
                <w:sz w:val="22"/>
                <w:szCs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19" w:type="dxa"/>
            <w:vAlign w:val="center"/>
          </w:tcPr>
          <w:p>
            <w:pPr>
              <w:rPr>
                <w:rFonts w:ascii="宋体" w:hAnsi="宋体" w:eastAsia="宋体"/>
                <w:bCs/>
                <w:color w:val="auto"/>
                <w:sz w:val="22"/>
                <w:szCs w:val="22"/>
              </w:rPr>
            </w:pPr>
            <w:r>
              <w:rPr>
                <w:rFonts w:hint="eastAsia" w:ascii="宋体" w:hAnsi="宋体" w:eastAsia="宋体"/>
                <w:bCs/>
                <w:color w:val="auto"/>
                <w:sz w:val="22"/>
                <w:szCs w:val="22"/>
              </w:rPr>
              <w:t>缪经理</w:t>
            </w:r>
          </w:p>
        </w:tc>
        <w:tc>
          <w:tcPr>
            <w:tcW w:w="1725" w:type="dxa"/>
            <w:vAlign w:val="center"/>
          </w:tcPr>
          <w:p>
            <w:pPr>
              <w:rPr>
                <w:rFonts w:ascii="宋体" w:hAnsi="宋体" w:eastAsia="宋体"/>
                <w:bCs/>
                <w:color w:val="auto"/>
                <w:sz w:val="22"/>
                <w:szCs w:val="22"/>
              </w:rPr>
            </w:pPr>
            <w:r>
              <w:rPr>
                <w:rFonts w:hint="eastAsia" w:ascii="宋体" w:hAnsi="宋体" w:eastAsia="宋体"/>
                <w:bCs/>
                <w:color w:val="auto"/>
                <w:sz w:val="22"/>
                <w:szCs w:val="22"/>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84" w:type="dxa"/>
            <w:vAlign w:val="center"/>
          </w:tcPr>
          <w:p>
            <w:pPr>
              <w:spacing w:line="360" w:lineRule="auto"/>
              <w:rPr>
                <w:rFonts w:ascii="宋体" w:hAnsi="宋体" w:eastAsia="宋体" w:cs="宋体"/>
                <w:bCs/>
                <w:color w:val="auto"/>
                <w:sz w:val="22"/>
                <w:szCs w:val="22"/>
              </w:rPr>
            </w:pPr>
            <w:r>
              <w:rPr>
                <w:rFonts w:hint="eastAsia" w:ascii="宋体" w:hAnsi="宋体" w:eastAsia="宋体" w:cs="宋体"/>
                <w:bCs/>
                <w:color w:val="auto"/>
                <w:sz w:val="22"/>
                <w:szCs w:val="22"/>
              </w:rPr>
              <w:t>上海浦东发展银行股份有限公司温州分行</w:t>
            </w:r>
          </w:p>
        </w:tc>
        <w:tc>
          <w:tcPr>
            <w:tcW w:w="4712" w:type="dxa"/>
          </w:tcPr>
          <w:p>
            <w:pPr>
              <w:jc w:val="left"/>
              <w:rPr>
                <w:rFonts w:ascii="宋体" w:hAnsi="宋体" w:eastAsia="宋体" w:cs="宋体"/>
                <w:bCs/>
                <w:color w:val="auto"/>
                <w:sz w:val="22"/>
                <w:szCs w:val="22"/>
              </w:rPr>
            </w:pPr>
            <w:r>
              <w:rPr>
                <w:rFonts w:hint="eastAsia" w:ascii="宋体" w:hAnsi="宋体" w:eastAsia="宋体" w:cs="宋体"/>
                <w:bCs/>
                <w:color w:val="auto"/>
                <w:sz w:val="22"/>
                <w:szCs w:val="22"/>
              </w:rPr>
              <w:t>政采e贷：是浦发银行面向温州地区经营状况良好的小微企业政府采购项目供应商所提供的专属政府采购订单融资产品。产品特点：纯信用、免担保、门槛低、授信快、在线贷、秒放款</w:t>
            </w:r>
          </w:p>
          <w:p>
            <w:pPr>
              <w:shd w:val="clear" w:color="auto" w:fill="FFFFFF"/>
              <w:jc w:val="left"/>
              <w:rPr>
                <w:rFonts w:ascii="宋体" w:hAnsi="宋体" w:eastAsia="宋体"/>
                <w:bCs/>
                <w:color w:val="auto"/>
                <w:sz w:val="22"/>
                <w:szCs w:val="22"/>
              </w:rPr>
            </w:pPr>
            <w:r>
              <w:rPr>
                <w:rFonts w:hint="eastAsia" w:ascii="宋体" w:hAnsi="宋体" w:eastAsia="宋体" w:cs="宋体"/>
                <w:bCs/>
                <w:color w:val="auto"/>
                <w:sz w:val="22"/>
                <w:szCs w:val="22"/>
              </w:rPr>
              <w:t>所需材料：企业基础证件、相关中标文件（中标通知书、采购合同等）、其他必要文件</w:t>
            </w:r>
          </w:p>
        </w:tc>
        <w:tc>
          <w:tcPr>
            <w:tcW w:w="1019" w:type="dxa"/>
            <w:vAlign w:val="center"/>
          </w:tcPr>
          <w:p>
            <w:pPr>
              <w:rPr>
                <w:rFonts w:ascii="宋体" w:hAnsi="宋体" w:eastAsia="宋体" w:cs="宋体"/>
                <w:bCs/>
                <w:color w:val="auto"/>
                <w:sz w:val="22"/>
                <w:szCs w:val="22"/>
              </w:rPr>
            </w:pPr>
            <w:r>
              <w:rPr>
                <w:rFonts w:hint="eastAsia" w:ascii="宋体" w:hAnsi="宋体" w:eastAsia="宋体" w:cs="宋体"/>
                <w:bCs/>
                <w:color w:val="auto"/>
                <w:sz w:val="22"/>
                <w:szCs w:val="22"/>
              </w:rPr>
              <w:t>叶经理</w:t>
            </w:r>
          </w:p>
        </w:tc>
        <w:tc>
          <w:tcPr>
            <w:tcW w:w="1725" w:type="dxa"/>
            <w:vAlign w:val="center"/>
          </w:tcPr>
          <w:p>
            <w:pPr>
              <w:rPr>
                <w:rFonts w:ascii="宋体" w:hAnsi="宋体" w:eastAsia="宋体"/>
                <w:bCs/>
                <w:color w:val="auto"/>
                <w:sz w:val="22"/>
                <w:szCs w:val="22"/>
              </w:rPr>
            </w:pPr>
            <w:r>
              <w:rPr>
                <w:rFonts w:hint="eastAsia" w:ascii="宋体" w:hAnsi="宋体" w:eastAsia="宋体"/>
                <w:bCs/>
                <w:color w:val="auto"/>
                <w:sz w:val="22"/>
                <w:szCs w:val="22"/>
              </w:rPr>
              <w:t>0577-55570829</w:t>
            </w:r>
          </w:p>
        </w:tc>
      </w:tr>
    </w:tbl>
    <w:p>
      <w:pPr>
        <w:jc w:val="center"/>
        <w:rPr>
          <w:rFonts w:eastAsia="宋体"/>
          <w:color w:val="auto"/>
          <w:sz w:val="36"/>
          <w:szCs w:val="36"/>
        </w:rPr>
      </w:pPr>
    </w:p>
    <w:p>
      <w:pPr>
        <w:jc w:val="center"/>
        <w:rPr>
          <w:rFonts w:eastAsia="宋体"/>
          <w:color w:val="auto"/>
          <w:sz w:val="36"/>
          <w:szCs w:val="36"/>
        </w:rPr>
      </w:pPr>
    </w:p>
    <w:p>
      <w:pPr>
        <w:rPr>
          <w:rFonts w:eastAsia="宋体"/>
          <w:color w:val="auto"/>
          <w:sz w:val="28"/>
          <w:szCs w:val="36"/>
        </w:rPr>
      </w:pPr>
      <w:r>
        <w:rPr>
          <w:rFonts w:hint="eastAsia" w:eastAsia="宋体"/>
          <w:color w:val="auto"/>
          <w:sz w:val="28"/>
          <w:szCs w:val="36"/>
        </w:rPr>
        <w:br w:type="page"/>
      </w:r>
    </w:p>
    <w:p>
      <w:pPr>
        <w:jc w:val="center"/>
        <w:rPr>
          <w:rFonts w:eastAsia="宋体"/>
          <w:color w:val="auto"/>
          <w:sz w:val="28"/>
          <w:szCs w:val="36"/>
        </w:rPr>
      </w:pPr>
      <w:r>
        <w:rPr>
          <w:rFonts w:hint="eastAsia" w:eastAsia="宋体"/>
          <w:color w:val="auto"/>
          <w:sz w:val="28"/>
          <w:szCs w:val="36"/>
        </w:rPr>
        <w:t>温州市政府采购信用融资意向银行选择表</w:t>
      </w:r>
    </w:p>
    <w:p>
      <w:pPr>
        <w:jc w:val="center"/>
        <w:rPr>
          <w:rFonts w:eastAsia="宋体"/>
          <w:color w:val="auto"/>
          <w:sz w:val="28"/>
          <w:szCs w:val="36"/>
        </w:rPr>
      </w:pPr>
      <w:r>
        <w:rPr>
          <w:rFonts w:hint="eastAsia" w:eastAsia="宋体"/>
          <w:color w:val="auto"/>
          <w:sz w:val="24"/>
          <w:szCs w:val="32"/>
        </w:rPr>
        <w:t>（温州市供应商填写）</w:t>
      </w:r>
    </w:p>
    <w:tbl>
      <w:tblPr>
        <w:tblStyle w:val="28"/>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2571"/>
        <w:gridCol w:w="1607"/>
        <w:gridCol w:w="965"/>
        <w:gridCol w:w="1767"/>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91" w:type="dxa"/>
            <w:vAlign w:val="center"/>
          </w:tcPr>
          <w:p>
            <w:pPr>
              <w:spacing w:line="360" w:lineRule="auto"/>
              <w:jc w:val="center"/>
              <w:rPr>
                <w:rFonts w:ascii="宋体" w:eastAsia="宋体" w:cs="宋体"/>
                <w:color w:val="auto"/>
                <w:sz w:val="22"/>
                <w:szCs w:val="28"/>
              </w:rPr>
            </w:pPr>
            <w:r>
              <w:rPr>
                <w:rFonts w:hint="eastAsia" w:ascii="宋体" w:eastAsia="宋体" w:cs="宋体"/>
                <w:color w:val="auto"/>
                <w:sz w:val="22"/>
                <w:szCs w:val="28"/>
              </w:rPr>
              <w:t>企业名称</w:t>
            </w:r>
          </w:p>
        </w:tc>
        <w:tc>
          <w:tcPr>
            <w:tcW w:w="7770" w:type="dxa"/>
            <w:gridSpan w:val="5"/>
            <w:vAlign w:val="center"/>
          </w:tcPr>
          <w:p>
            <w:pPr>
              <w:spacing w:line="360" w:lineRule="auto"/>
              <w:jc w:val="center"/>
              <w:rPr>
                <w:rFonts w:ascii="宋体" w:eastAsia="宋体" w:cs="宋体"/>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91" w:type="dxa"/>
            <w:vAlign w:val="center"/>
          </w:tcPr>
          <w:p>
            <w:pPr>
              <w:spacing w:line="360" w:lineRule="auto"/>
              <w:jc w:val="center"/>
              <w:rPr>
                <w:rFonts w:ascii="宋体" w:eastAsia="宋体" w:cs="宋体"/>
                <w:color w:val="auto"/>
                <w:sz w:val="22"/>
                <w:szCs w:val="28"/>
              </w:rPr>
            </w:pPr>
            <w:r>
              <w:rPr>
                <w:rFonts w:hint="eastAsia" w:ascii="宋体" w:eastAsia="宋体" w:cs="宋体"/>
                <w:color w:val="auto"/>
                <w:sz w:val="22"/>
                <w:szCs w:val="28"/>
              </w:rPr>
              <w:t>企业注册地</w:t>
            </w:r>
          </w:p>
        </w:tc>
        <w:tc>
          <w:tcPr>
            <w:tcW w:w="4178" w:type="dxa"/>
            <w:gridSpan w:val="2"/>
            <w:vAlign w:val="center"/>
          </w:tcPr>
          <w:p>
            <w:pPr>
              <w:spacing w:line="360" w:lineRule="auto"/>
              <w:jc w:val="center"/>
              <w:rPr>
                <w:rFonts w:ascii="宋体" w:eastAsia="宋体" w:cs="宋体"/>
                <w:color w:val="auto"/>
                <w:sz w:val="22"/>
                <w:szCs w:val="28"/>
              </w:rPr>
            </w:pPr>
          </w:p>
        </w:tc>
        <w:tc>
          <w:tcPr>
            <w:tcW w:w="2732" w:type="dxa"/>
            <w:gridSpan w:val="2"/>
            <w:vAlign w:val="center"/>
          </w:tcPr>
          <w:p>
            <w:pPr>
              <w:spacing w:line="360" w:lineRule="auto"/>
              <w:jc w:val="center"/>
              <w:rPr>
                <w:rFonts w:ascii="宋体" w:eastAsia="宋体" w:cs="宋体"/>
                <w:color w:val="auto"/>
                <w:sz w:val="22"/>
                <w:szCs w:val="28"/>
              </w:rPr>
            </w:pPr>
            <w:r>
              <w:rPr>
                <w:rFonts w:hint="eastAsia" w:ascii="宋体" w:eastAsia="宋体" w:cs="宋体"/>
                <w:color w:val="auto"/>
                <w:sz w:val="22"/>
                <w:szCs w:val="28"/>
              </w:rPr>
              <w:t>是否有融资意向</w:t>
            </w:r>
          </w:p>
        </w:tc>
        <w:tc>
          <w:tcPr>
            <w:tcW w:w="860" w:type="dxa"/>
            <w:vAlign w:val="center"/>
          </w:tcPr>
          <w:p>
            <w:pPr>
              <w:spacing w:line="360" w:lineRule="auto"/>
              <w:jc w:val="center"/>
              <w:rPr>
                <w:rFonts w:ascii="宋体" w:eastAsia="宋体" w:cs="宋体"/>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91" w:type="dxa"/>
            <w:vAlign w:val="center"/>
          </w:tcPr>
          <w:p>
            <w:pPr>
              <w:spacing w:line="360" w:lineRule="auto"/>
              <w:jc w:val="center"/>
              <w:rPr>
                <w:rFonts w:ascii="宋体" w:eastAsia="宋体" w:cs="宋体"/>
                <w:color w:val="auto"/>
                <w:sz w:val="22"/>
                <w:szCs w:val="28"/>
              </w:rPr>
            </w:pPr>
            <w:r>
              <w:rPr>
                <w:rFonts w:hint="eastAsia" w:ascii="宋体" w:eastAsia="宋体" w:cs="宋体"/>
                <w:color w:val="auto"/>
                <w:sz w:val="22"/>
                <w:szCs w:val="28"/>
              </w:rPr>
              <w:t>融资联系人</w:t>
            </w:r>
          </w:p>
        </w:tc>
        <w:tc>
          <w:tcPr>
            <w:tcW w:w="2571" w:type="dxa"/>
            <w:vAlign w:val="center"/>
          </w:tcPr>
          <w:p>
            <w:pPr>
              <w:spacing w:line="360" w:lineRule="auto"/>
              <w:jc w:val="center"/>
              <w:rPr>
                <w:rFonts w:ascii="宋体" w:eastAsia="宋体" w:cs="宋体"/>
                <w:color w:val="auto"/>
                <w:sz w:val="22"/>
                <w:szCs w:val="28"/>
              </w:rPr>
            </w:pPr>
          </w:p>
        </w:tc>
        <w:tc>
          <w:tcPr>
            <w:tcW w:w="2571" w:type="dxa"/>
            <w:gridSpan w:val="2"/>
            <w:vAlign w:val="center"/>
          </w:tcPr>
          <w:p>
            <w:pPr>
              <w:spacing w:line="360" w:lineRule="auto"/>
              <w:jc w:val="center"/>
              <w:rPr>
                <w:rFonts w:ascii="宋体" w:eastAsia="宋体" w:cs="宋体"/>
                <w:color w:val="auto"/>
                <w:sz w:val="22"/>
                <w:szCs w:val="28"/>
              </w:rPr>
            </w:pPr>
            <w:r>
              <w:rPr>
                <w:rFonts w:hint="eastAsia" w:ascii="宋体" w:eastAsia="宋体" w:cs="宋体"/>
                <w:color w:val="auto"/>
                <w:sz w:val="22"/>
                <w:szCs w:val="28"/>
              </w:rPr>
              <w:t>联系方式</w:t>
            </w:r>
          </w:p>
        </w:tc>
        <w:tc>
          <w:tcPr>
            <w:tcW w:w="2628" w:type="dxa"/>
            <w:gridSpan w:val="2"/>
            <w:vAlign w:val="center"/>
          </w:tcPr>
          <w:p>
            <w:pPr>
              <w:spacing w:line="360" w:lineRule="auto"/>
              <w:jc w:val="center"/>
              <w:rPr>
                <w:rFonts w:ascii="宋体" w:eastAsia="宋体" w:cs="宋体"/>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34" w:type="dxa"/>
            <w:gridSpan w:val="4"/>
            <w:vAlign w:val="center"/>
          </w:tcPr>
          <w:p>
            <w:pPr>
              <w:spacing w:line="360" w:lineRule="auto"/>
              <w:jc w:val="center"/>
              <w:rPr>
                <w:rFonts w:ascii="宋体" w:eastAsia="宋体" w:cs="宋体"/>
                <w:color w:val="auto"/>
                <w:sz w:val="24"/>
                <w:szCs w:val="30"/>
              </w:rPr>
            </w:pPr>
            <w:r>
              <w:rPr>
                <w:rFonts w:hint="eastAsia" w:ascii="宋体" w:eastAsia="宋体" w:cs="宋体"/>
                <w:color w:val="auto"/>
                <w:sz w:val="24"/>
                <w:szCs w:val="30"/>
              </w:rPr>
              <w:t>温州市政府采购信用融资合作银行</w:t>
            </w:r>
          </w:p>
        </w:tc>
        <w:tc>
          <w:tcPr>
            <w:tcW w:w="2628" w:type="dxa"/>
            <w:gridSpan w:val="2"/>
          </w:tcPr>
          <w:p>
            <w:pPr>
              <w:spacing w:line="360" w:lineRule="auto"/>
              <w:jc w:val="center"/>
              <w:rPr>
                <w:rFonts w:ascii="宋体" w:eastAsia="宋体" w:cs="宋体"/>
                <w:color w:val="auto"/>
                <w:sz w:val="24"/>
                <w:szCs w:val="30"/>
              </w:rPr>
            </w:pPr>
            <w:r>
              <w:rPr>
                <w:rFonts w:hint="eastAsia" w:ascii="宋体" w:eastAsia="宋体" w:cs="宋体"/>
                <w:color w:val="auto"/>
                <w:sz w:val="24"/>
                <w:szCs w:val="30"/>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color w:val="auto"/>
                <w:sz w:val="24"/>
                <w:szCs w:val="30"/>
              </w:rPr>
            </w:pPr>
            <w:r>
              <w:rPr>
                <w:rFonts w:hint="eastAsia" w:ascii="宋体" w:eastAsia="宋体" w:cs="宋体"/>
                <w:color w:val="auto"/>
                <w:sz w:val="24"/>
                <w:szCs w:val="30"/>
              </w:rPr>
              <w:t>温州银行股份有限公司温州分行</w:t>
            </w:r>
          </w:p>
        </w:tc>
        <w:tc>
          <w:tcPr>
            <w:tcW w:w="2628" w:type="dxa"/>
            <w:gridSpan w:val="2"/>
          </w:tcPr>
          <w:p>
            <w:pPr>
              <w:spacing w:line="360" w:lineRule="auto"/>
              <w:jc w:val="left"/>
              <w:rPr>
                <w:rFonts w:ascii="宋体" w:eastAsia="宋体" w:cs="宋体"/>
                <w:color w:val="auto"/>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color w:val="auto"/>
                <w:sz w:val="24"/>
                <w:szCs w:val="30"/>
              </w:rPr>
            </w:pPr>
            <w:r>
              <w:rPr>
                <w:rFonts w:hint="eastAsia" w:ascii="宋体" w:eastAsia="宋体" w:cs="宋体"/>
                <w:color w:val="auto"/>
                <w:sz w:val="24"/>
                <w:szCs w:val="30"/>
              </w:rPr>
              <w:t>温州银行股份有限公司鹿城分行</w:t>
            </w:r>
          </w:p>
        </w:tc>
        <w:tc>
          <w:tcPr>
            <w:tcW w:w="2628" w:type="dxa"/>
            <w:gridSpan w:val="2"/>
          </w:tcPr>
          <w:p>
            <w:pPr>
              <w:spacing w:line="360" w:lineRule="auto"/>
              <w:jc w:val="left"/>
              <w:rPr>
                <w:rFonts w:ascii="宋体" w:eastAsia="宋体" w:cs="宋体"/>
                <w:color w:val="auto"/>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color w:val="auto"/>
                <w:sz w:val="24"/>
                <w:szCs w:val="30"/>
              </w:rPr>
            </w:pPr>
            <w:r>
              <w:rPr>
                <w:rFonts w:hint="eastAsia" w:ascii="宋体" w:eastAsia="宋体" w:cs="宋体"/>
                <w:color w:val="auto"/>
                <w:sz w:val="24"/>
                <w:szCs w:val="30"/>
              </w:rPr>
              <w:t>中国工商银行股份有限公司温州分行</w:t>
            </w:r>
          </w:p>
        </w:tc>
        <w:tc>
          <w:tcPr>
            <w:tcW w:w="2628" w:type="dxa"/>
            <w:gridSpan w:val="2"/>
          </w:tcPr>
          <w:p>
            <w:pPr>
              <w:spacing w:line="360" w:lineRule="auto"/>
              <w:jc w:val="left"/>
              <w:rPr>
                <w:rFonts w:ascii="宋体" w:eastAsia="宋体" w:cs="宋体"/>
                <w:color w:val="auto"/>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color w:val="auto"/>
                <w:sz w:val="24"/>
                <w:szCs w:val="30"/>
              </w:rPr>
            </w:pPr>
            <w:r>
              <w:rPr>
                <w:rFonts w:hint="eastAsia" w:ascii="宋体" w:eastAsia="宋体" w:cs="宋体"/>
                <w:color w:val="auto"/>
                <w:sz w:val="24"/>
                <w:szCs w:val="30"/>
              </w:rPr>
              <w:t>中国建设银行股份有限公司温州分行</w:t>
            </w:r>
          </w:p>
        </w:tc>
        <w:tc>
          <w:tcPr>
            <w:tcW w:w="2628" w:type="dxa"/>
            <w:gridSpan w:val="2"/>
          </w:tcPr>
          <w:p>
            <w:pPr>
              <w:spacing w:line="360" w:lineRule="auto"/>
              <w:rPr>
                <w:rFonts w:ascii="宋体" w:eastAsia="宋体" w:cs="宋体"/>
                <w:color w:val="auto"/>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color w:val="auto"/>
                <w:sz w:val="24"/>
                <w:szCs w:val="30"/>
              </w:rPr>
            </w:pPr>
            <w:r>
              <w:rPr>
                <w:rFonts w:hint="eastAsia" w:ascii="宋体" w:eastAsia="宋体" w:cs="宋体"/>
                <w:color w:val="auto"/>
                <w:sz w:val="24"/>
                <w:szCs w:val="30"/>
              </w:rPr>
              <w:t>中国邮政储蓄银行股份有限公司温州市分行</w:t>
            </w:r>
          </w:p>
        </w:tc>
        <w:tc>
          <w:tcPr>
            <w:tcW w:w="2628" w:type="dxa"/>
            <w:gridSpan w:val="2"/>
          </w:tcPr>
          <w:p>
            <w:pPr>
              <w:spacing w:line="360" w:lineRule="auto"/>
              <w:jc w:val="left"/>
              <w:rPr>
                <w:rFonts w:ascii="宋体" w:eastAsia="宋体" w:cs="宋体"/>
                <w:color w:val="auto"/>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color w:val="auto"/>
                <w:sz w:val="24"/>
                <w:szCs w:val="30"/>
              </w:rPr>
            </w:pPr>
            <w:r>
              <w:rPr>
                <w:rFonts w:hint="eastAsia" w:ascii="宋体" w:eastAsia="宋体" w:cs="宋体"/>
                <w:color w:val="auto"/>
                <w:sz w:val="24"/>
                <w:szCs w:val="30"/>
              </w:rPr>
              <w:t>中国民生银行股份有限公司温州分行</w:t>
            </w:r>
          </w:p>
        </w:tc>
        <w:tc>
          <w:tcPr>
            <w:tcW w:w="2628" w:type="dxa"/>
            <w:gridSpan w:val="2"/>
          </w:tcPr>
          <w:p>
            <w:pPr>
              <w:spacing w:line="360" w:lineRule="auto"/>
              <w:jc w:val="left"/>
              <w:rPr>
                <w:rFonts w:ascii="宋体" w:eastAsia="宋体" w:cs="宋体"/>
                <w:color w:val="auto"/>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color w:val="auto"/>
                <w:sz w:val="24"/>
                <w:szCs w:val="30"/>
              </w:rPr>
            </w:pPr>
            <w:r>
              <w:rPr>
                <w:rFonts w:hint="eastAsia" w:ascii="宋体" w:eastAsia="宋体" w:cs="宋体"/>
                <w:color w:val="auto"/>
                <w:sz w:val="24"/>
                <w:szCs w:val="30"/>
              </w:rPr>
              <w:t>宁波银行股份有限公司温州分行</w:t>
            </w:r>
          </w:p>
        </w:tc>
        <w:tc>
          <w:tcPr>
            <w:tcW w:w="2628" w:type="dxa"/>
            <w:gridSpan w:val="2"/>
          </w:tcPr>
          <w:p>
            <w:pPr>
              <w:spacing w:line="360" w:lineRule="auto"/>
              <w:jc w:val="left"/>
              <w:rPr>
                <w:rFonts w:ascii="宋体" w:eastAsia="宋体" w:cs="宋体"/>
                <w:color w:val="auto"/>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color w:val="auto"/>
                <w:sz w:val="24"/>
                <w:szCs w:val="30"/>
              </w:rPr>
            </w:pPr>
            <w:r>
              <w:rPr>
                <w:rFonts w:hint="eastAsia" w:ascii="宋体" w:eastAsia="宋体" w:cs="宋体"/>
                <w:color w:val="auto"/>
                <w:sz w:val="24"/>
                <w:szCs w:val="30"/>
              </w:rPr>
              <w:t>杭州银行股份有限公司温州分行</w:t>
            </w:r>
          </w:p>
        </w:tc>
        <w:tc>
          <w:tcPr>
            <w:tcW w:w="2628" w:type="dxa"/>
            <w:gridSpan w:val="2"/>
          </w:tcPr>
          <w:p>
            <w:pPr>
              <w:spacing w:line="360" w:lineRule="auto"/>
              <w:jc w:val="left"/>
              <w:rPr>
                <w:rFonts w:ascii="宋体" w:eastAsia="宋体" w:cs="宋体"/>
                <w:color w:val="auto"/>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color w:val="auto"/>
                <w:sz w:val="24"/>
                <w:szCs w:val="30"/>
              </w:rPr>
            </w:pPr>
            <w:r>
              <w:rPr>
                <w:rFonts w:hint="eastAsia" w:ascii="宋体" w:eastAsia="宋体" w:cs="宋体"/>
                <w:color w:val="auto"/>
                <w:sz w:val="24"/>
                <w:szCs w:val="30"/>
              </w:rPr>
              <w:t>招商银行股份有限公司温州分行</w:t>
            </w:r>
          </w:p>
        </w:tc>
        <w:tc>
          <w:tcPr>
            <w:tcW w:w="2628" w:type="dxa"/>
            <w:gridSpan w:val="2"/>
          </w:tcPr>
          <w:p>
            <w:pPr>
              <w:spacing w:line="360" w:lineRule="auto"/>
              <w:jc w:val="left"/>
              <w:rPr>
                <w:rFonts w:ascii="宋体" w:eastAsia="宋体" w:cs="宋体"/>
                <w:color w:val="auto"/>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color w:val="auto"/>
                <w:sz w:val="24"/>
                <w:szCs w:val="30"/>
              </w:rPr>
            </w:pPr>
            <w:r>
              <w:rPr>
                <w:rFonts w:hint="eastAsia" w:ascii="宋体" w:eastAsia="宋体" w:cs="宋体"/>
                <w:color w:val="auto"/>
                <w:sz w:val="24"/>
                <w:szCs w:val="30"/>
              </w:rPr>
              <w:t>兴业银行股份有限公司温州分行</w:t>
            </w:r>
          </w:p>
        </w:tc>
        <w:tc>
          <w:tcPr>
            <w:tcW w:w="2628" w:type="dxa"/>
            <w:gridSpan w:val="2"/>
          </w:tcPr>
          <w:p>
            <w:pPr>
              <w:spacing w:line="360" w:lineRule="auto"/>
              <w:jc w:val="left"/>
              <w:rPr>
                <w:rFonts w:ascii="宋体" w:eastAsia="宋体" w:cs="宋体"/>
                <w:color w:val="auto"/>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color w:val="auto"/>
                <w:sz w:val="24"/>
                <w:szCs w:val="30"/>
              </w:rPr>
            </w:pPr>
            <w:r>
              <w:rPr>
                <w:rFonts w:hint="eastAsia" w:ascii="宋体" w:eastAsia="宋体" w:cs="宋体"/>
                <w:color w:val="auto"/>
                <w:sz w:val="24"/>
                <w:szCs w:val="30"/>
              </w:rPr>
              <w:t>交通银行股份有限公司温州分行</w:t>
            </w:r>
          </w:p>
        </w:tc>
        <w:tc>
          <w:tcPr>
            <w:tcW w:w="2628" w:type="dxa"/>
            <w:gridSpan w:val="2"/>
          </w:tcPr>
          <w:p>
            <w:pPr>
              <w:spacing w:line="360" w:lineRule="auto"/>
              <w:jc w:val="left"/>
              <w:rPr>
                <w:rFonts w:ascii="宋体" w:eastAsia="宋体" w:cs="宋体"/>
                <w:color w:val="auto"/>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color w:val="auto"/>
                <w:sz w:val="24"/>
                <w:szCs w:val="30"/>
              </w:rPr>
            </w:pPr>
            <w:r>
              <w:rPr>
                <w:rFonts w:hint="eastAsia" w:ascii="宋体" w:eastAsia="宋体" w:cs="宋体"/>
                <w:color w:val="auto"/>
                <w:sz w:val="24"/>
                <w:szCs w:val="30"/>
              </w:rPr>
              <w:t>上海浦东发展银行股份有限公司温州分行</w:t>
            </w:r>
          </w:p>
        </w:tc>
        <w:tc>
          <w:tcPr>
            <w:tcW w:w="2628" w:type="dxa"/>
            <w:gridSpan w:val="2"/>
          </w:tcPr>
          <w:p>
            <w:pPr>
              <w:spacing w:line="360" w:lineRule="auto"/>
              <w:jc w:val="left"/>
              <w:rPr>
                <w:rFonts w:ascii="宋体" w:eastAsia="宋体" w:cs="宋体"/>
                <w:color w:val="auto"/>
                <w:sz w:val="24"/>
                <w:szCs w:val="30"/>
              </w:rPr>
            </w:pPr>
          </w:p>
        </w:tc>
      </w:tr>
    </w:tbl>
    <w:p>
      <w:pPr>
        <w:spacing w:line="276" w:lineRule="auto"/>
        <w:rPr>
          <w:rFonts w:ascii="宋体" w:eastAsia="宋体"/>
          <w:color w:val="auto"/>
        </w:rPr>
      </w:pPr>
      <w:r>
        <w:rPr>
          <w:rFonts w:hint="eastAsia" w:ascii="宋体" w:eastAsia="宋体"/>
          <w:color w:val="auto"/>
        </w:rPr>
        <w:t>注：1、本表填写对象为注册地在温州市域内的供应商。</w:t>
      </w:r>
    </w:p>
    <w:p>
      <w:pPr>
        <w:rPr>
          <w:rFonts w:ascii="宋体"/>
          <w:color w:val="auto"/>
          <w:sz w:val="36"/>
          <w:szCs w:val="36"/>
          <w:lang w:val="zh-CN"/>
        </w:rPr>
      </w:pPr>
      <w:r>
        <w:rPr>
          <w:rFonts w:hint="eastAsia" w:ascii="宋体"/>
          <w:color w:val="auto"/>
        </w:rPr>
        <w:t>2、财政部门根据企业自行选择，将本表及企业相关信息推送至相对应的融资意向银行经办人。</w:t>
      </w:r>
      <w:r>
        <w:rPr>
          <w:rFonts w:hint="eastAsia" w:ascii="宋体"/>
          <w:color w:val="auto"/>
          <w:sz w:val="36"/>
          <w:szCs w:val="36"/>
          <w:lang w:val="zh-CN"/>
        </w:rPr>
        <w:br w:type="page"/>
      </w:r>
    </w:p>
    <w:p>
      <w:pPr>
        <w:pStyle w:val="25"/>
        <w:spacing w:line="400" w:lineRule="exact"/>
        <w:ind w:firstLine="210"/>
        <w:rPr>
          <w:rFonts w:ascii="宋体" w:hAnsi="Times New Roman"/>
          <w:color w:val="auto"/>
          <w:kern w:val="2"/>
          <w:sz w:val="36"/>
          <w:szCs w:val="36"/>
        </w:rPr>
      </w:pPr>
      <w:r>
        <w:rPr>
          <w:rFonts w:hint="eastAsia" w:ascii="宋体" w:hAnsi="Times New Roman"/>
          <w:color w:val="auto"/>
          <w:kern w:val="2"/>
          <w:sz w:val="36"/>
          <w:szCs w:val="36"/>
          <w:lang w:val="zh-CN"/>
        </w:rPr>
        <w:t xml:space="preserve">第四部分   </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hint="eastAsia" w:ascii="宋体" w:hAnsi="Times New Roman"/>
          <w:color w:val="auto"/>
          <w:kern w:val="2"/>
          <w:sz w:val="36"/>
          <w:szCs w:val="36"/>
        </w:rPr>
        <w:t>合同格式（参考格式）</w:t>
      </w:r>
    </w:p>
    <w:p>
      <w:pPr>
        <w:spacing w:line="360" w:lineRule="auto"/>
        <w:rPr>
          <w:rFonts w:ascii="宋体" w:hAnsi="宋体" w:eastAsia="宋体" w:cs="宋体"/>
          <w:color w:val="auto"/>
          <w:sz w:val="22"/>
          <w:szCs w:val="22"/>
        </w:rPr>
      </w:pPr>
      <w:bookmarkStart w:id="56" w:name="_Hlk519085278"/>
      <w:r>
        <w:rPr>
          <w:rFonts w:hint="eastAsia" w:ascii="宋体" w:hAnsi="宋体" w:eastAsia="宋体" w:cs="宋体"/>
          <w:color w:val="auto"/>
          <w:sz w:val="22"/>
        </w:rPr>
        <w:t>甲</w:t>
      </w:r>
      <w:r>
        <w:rPr>
          <w:rFonts w:hint="eastAsia" w:ascii="宋体" w:hAnsi="宋体" w:eastAsia="宋体" w:cs="宋体"/>
          <w:color w:val="auto"/>
          <w:sz w:val="22"/>
          <w:szCs w:val="22"/>
        </w:rPr>
        <w:t>方：</w:t>
      </w:r>
    </w:p>
    <w:p>
      <w:pPr>
        <w:spacing w:line="360" w:lineRule="auto"/>
        <w:rPr>
          <w:rFonts w:ascii="宋体" w:hAnsi="宋体" w:eastAsia="宋体" w:cs="宋体"/>
          <w:color w:val="auto"/>
          <w:sz w:val="22"/>
          <w:szCs w:val="22"/>
        </w:rPr>
      </w:pPr>
      <w:r>
        <w:rPr>
          <w:rFonts w:hint="eastAsia" w:ascii="宋体" w:hAnsi="宋体" w:eastAsia="宋体" w:cs="宋体"/>
          <w:color w:val="auto"/>
          <w:sz w:val="22"/>
          <w:szCs w:val="22"/>
        </w:rPr>
        <w:t>乙方：本次中标（成交）供应商</w:t>
      </w:r>
    </w:p>
    <w:p>
      <w:pPr>
        <w:spacing w:line="360" w:lineRule="auto"/>
        <w:rPr>
          <w:rFonts w:ascii="宋体" w:hAnsi="宋体" w:eastAsia="宋体" w:cs="宋体"/>
          <w:color w:val="auto"/>
          <w:sz w:val="22"/>
          <w:szCs w:val="22"/>
        </w:rPr>
      </w:pPr>
      <w:r>
        <w:rPr>
          <w:rFonts w:hint="eastAsia" w:ascii="宋体" w:hAnsi="宋体" w:eastAsia="宋体" w:cs="宋体"/>
          <w:color w:val="auto"/>
          <w:sz w:val="22"/>
          <w:szCs w:val="22"/>
        </w:rPr>
        <w:t>为了保护各方合法权益，根据《中华人民共和国政府采购法》、《中华人民共和国合同法》等相关法律法规的规定并严格遵循</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 xml:space="preserve"> [项目编号</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]采购文件中的相关规定，签订本合同，并共同遵守。</w:t>
      </w:r>
    </w:p>
    <w:p>
      <w:pPr>
        <w:spacing w:line="360" w:lineRule="auto"/>
        <w:ind w:firstLine="420"/>
        <w:rPr>
          <w:rFonts w:ascii="宋体" w:hAnsi="宋体" w:eastAsia="宋体" w:cs="宋体"/>
          <w:color w:val="auto"/>
          <w:sz w:val="22"/>
          <w:szCs w:val="22"/>
        </w:rPr>
      </w:pPr>
      <w:r>
        <w:rPr>
          <w:rFonts w:hint="eastAsia" w:ascii="宋体" w:hAnsi="宋体" w:eastAsia="宋体" w:cs="宋体"/>
          <w:color w:val="auto"/>
          <w:sz w:val="22"/>
          <w:szCs w:val="22"/>
        </w:rPr>
        <w:t>一、采购产品名称、型号、规格、数量、单价及总金额</w:t>
      </w:r>
    </w:p>
    <w:tbl>
      <w:tblPr>
        <w:tblStyle w:val="28"/>
        <w:tblW w:w="9464" w:type="dxa"/>
        <w:tblInd w:w="0" w:type="dxa"/>
        <w:tblLayout w:type="fixed"/>
        <w:tblCellMar>
          <w:top w:w="0" w:type="dxa"/>
          <w:left w:w="108" w:type="dxa"/>
          <w:bottom w:w="0" w:type="dxa"/>
          <w:right w:w="108" w:type="dxa"/>
        </w:tblCellMar>
      </w:tblPr>
      <w:tblGrid>
        <w:gridCol w:w="1558"/>
        <w:gridCol w:w="1322"/>
        <w:gridCol w:w="772"/>
        <w:gridCol w:w="1142"/>
        <w:gridCol w:w="1268"/>
        <w:gridCol w:w="992"/>
        <w:gridCol w:w="992"/>
        <w:gridCol w:w="1418"/>
      </w:tblGrid>
      <w:tr>
        <w:tblPrEx>
          <w:tblCellMar>
            <w:top w:w="0" w:type="dxa"/>
            <w:left w:w="108" w:type="dxa"/>
            <w:bottom w:w="0" w:type="dxa"/>
            <w:right w:w="108" w:type="dxa"/>
          </w:tblCellMar>
        </w:tblPrEx>
        <w:trPr>
          <w:trHeight w:val="600" w:hRule="atLeast"/>
        </w:trPr>
        <w:tc>
          <w:tcPr>
            <w:tcW w:w="155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eastAsia="宋体" w:cs="宋体"/>
                <w:color w:val="auto"/>
                <w:sz w:val="22"/>
                <w:szCs w:val="22"/>
              </w:rPr>
            </w:pPr>
            <w:r>
              <w:rPr>
                <w:rFonts w:hint="eastAsia" w:ascii="宋体" w:hAnsi="宋体" w:eastAsia="宋体" w:cs="宋体"/>
                <w:color w:val="auto"/>
                <w:sz w:val="22"/>
                <w:szCs w:val="22"/>
              </w:rPr>
              <w:t>项目名称</w:t>
            </w:r>
          </w:p>
        </w:tc>
        <w:tc>
          <w:tcPr>
            <w:tcW w:w="2094" w:type="dxa"/>
            <w:gridSpan w:val="2"/>
            <w:tcBorders>
              <w:top w:val="single" w:color="000000" w:sz="4" w:space="0"/>
              <w:left w:val="nil"/>
              <w:bottom w:val="single" w:color="000000" w:sz="4" w:space="0"/>
              <w:right w:val="single" w:color="000000" w:sz="4" w:space="0"/>
            </w:tcBorders>
            <w:noWrap/>
            <w:vAlign w:val="center"/>
          </w:tcPr>
          <w:p>
            <w:pPr>
              <w:spacing w:line="360" w:lineRule="auto"/>
              <w:jc w:val="center"/>
              <w:rPr>
                <w:rFonts w:ascii="宋体" w:hAnsi="宋体" w:eastAsia="宋体" w:cs="宋体"/>
                <w:color w:val="auto"/>
                <w:sz w:val="22"/>
                <w:szCs w:val="22"/>
              </w:rPr>
            </w:pPr>
            <w:r>
              <w:rPr>
                <w:rFonts w:hint="eastAsia" w:ascii="仿宋" w:hAnsi="仿宋" w:eastAsia="仿宋" w:cs="仿宋"/>
                <w:b/>
                <w:color w:val="auto"/>
                <w:sz w:val="24"/>
              </w:rPr>
              <w:t>采购明细</w:t>
            </w:r>
          </w:p>
        </w:tc>
        <w:tc>
          <w:tcPr>
            <w:tcW w:w="1142" w:type="dxa"/>
            <w:tcBorders>
              <w:top w:val="single" w:color="000000" w:sz="4" w:space="0"/>
              <w:left w:val="nil"/>
              <w:bottom w:val="single" w:color="000000" w:sz="4" w:space="0"/>
              <w:right w:val="single" w:color="000000" w:sz="4" w:space="0"/>
            </w:tcBorders>
            <w:noWrap/>
            <w:vAlign w:val="center"/>
          </w:tcPr>
          <w:p>
            <w:pPr>
              <w:spacing w:line="360" w:lineRule="auto"/>
              <w:jc w:val="center"/>
              <w:rPr>
                <w:rFonts w:ascii="宋体" w:hAnsi="宋体" w:eastAsia="宋体" w:cs="宋体"/>
                <w:color w:val="auto"/>
                <w:sz w:val="22"/>
                <w:szCs w:val="22"/>
              </w:rPr>
            </w:pPr>
            <w:r>
              <w:rPr>
                <w:rFonts w:hint="eastAsia" w:ascii="宋体" w:hAnsi="宋体" w:eastAsia="宋体" w:cs="宋体"/>
                <w:color w:val="auto"/>
                <w:sz w:val="22"/>
                <w:szCs w:val="22"/>
              </w:rPr>
              <w:t>计量单位</w:t>
            </w:r>
          </w:p>
        </w:tc>
        <w:tc>
          <w:tcPr>
            <w:tcW w:w="1268" w:type="dxa"/>
            <w:tcBorders>
              <w:top w:val="single" w:color="000000" w:sz="4" w:space="0"/>
              <w:left w:val="nil"/>
              <w:bottom w:val="single" w:color="000000" w:sz="4" w:space="0"/>
              <w:right w:val="single" w:color="000000" w:sz="4" w:space="0"/>
            </w:tcBorders>
            <w:noWrap/>
            <w:vAlign w:val="center"/>
          </w:tcPr>
          <w:p>
            <w:pPr>
              <w:spacing w:line="360" w:lineRule="auto"/>
              <w:jc w:val="center"/>
              <w:rPr>
                <w:rFonts w:ascii="宋体" w:hAnsi="宋体" w:eastAsia="宋体" w:cs="宋体"/>
                <w:color w:val="auto"/>
                <w:sz w:val="22"/>
                <w:szCs w:val="22"/>
              </w:rPr>
            </w:pPr>
            <w:r>
              <w:rPr>
                <w:rFonts w:hint="eastAsia" w:ascii="宋体" w:hAnsi="宋体" w:eastAsia="宋体" w:cs="宋体"/>
                <w:color w:val="auto"/>
                <w:sz w:val="22"/>
                <w:szCs w:val="22"/>
              </w:rPr>
              <w:t>数量</w:t>
            </w:r>
          </w:p>
        </w:tc>
        <w:tc>
          <w:tcPr>
            <w:tcW w:w="992" w:type="dxa"/>
            <w:tcBorders>
              <w:top w:val="single" w:color="000000" w:sz="4" w:space="0"/>
              <w:left w:val="nil"/>
              <w:bottom w:val="single" w:color="000000" w:sz="4" w:space="0"/>
              <w:right w:val="single" w:color="000000" w:sz="4" w:space="0"/>
            </w:tcBorders>
            <w:noWrap/>
            <w:vAlign w:val="center"/>
          </w:tcPr>
          <w:p>
            <w:pPr>
              <w:spacing w:line="360" w:lineRule="auto"/>
              <w:jc w:val="center"/>
              <w:rPr>
                <w:rFonts w:ascii="宋体" w:hAnsi="宋体" w:eastAsia="宋体" w:cs="宋体"/>
                <w:color w:val="auto"/>
                <w:sz w:val="22"/>
                <w:szCs w:val="22"/>
              </w:rPr>
            </w:pPr>
            <w:r>
              <w:rPr>
                <w:rFonts w:hint="eastAsia" w:ascii="宋体" w:hAnsi="宋体" w:eastAsia="宋体" w:cs="宋体"/>
                <w:color w:val="auto"/>
                <w:sz w:val="22"/>
                <w:szCs w:val="22"/>
              </w:rPr>
              <w:t>单价(元)/支</w:t>
            </w:r>
          </w:p>
        </w:tc>
        <w:tc>
          <w:tcPr>
            <w:tcW w:w="992" w:type="dxa"/>
            <w:tcBorders>
              <w:top w:val="single" w:color="000000" w:sz="4" w:space="0"/>
              <w:left w:val="nil"/>
              <w:bottom w:val="single" w:color="000000" w:sz="4" w:space="0"/>
              <w:right w:val="single" w:color="000000" w:sz="4" w:space="0"/>
            </w:tcBorders>
            <w:noWrap/>
            <w:vAlign w:val="center"/>
          </w:tcPr>
          <w:p>
            <w:pPr>
              <w:spacing w:line="360" w:lineRule="auto"/>
              <w:jc w:val="center"/>
              <w:rPr>
                <w:rFonts w:ascii="宋体" w:hAnsi="宋体" w:eastAsia="宋体" w:cs="宋体"/>
                <w:color w:val="auto"/>
                <w:sz w:val="22"/>
                <w:szCs w:val="22"/>
              </w:rPr>
            </w:pPr>
            <w:r>
              <w:rPr>
                <w:rFonts w:hint="eastAsia" w:ascii="宋体" w:hAnsi="宋体" w:eastAsia="宋体" w:cs="宋体"/>
                <w:color w:val="auto"/>
                <w:sz w:val="22"/>
                <w:szCs w:val="22"/>
              </w:rPr>
              <w:t>总金额(元)</w:t>
            </w:r>
          </w:p>
        </w:tc>
        <w:tc>
          <w:tcPr>
            <w:tcW w:w="1418" w:type="dxa"/>
            <w:tcBorders>
              <w:top w:val="single" w:color="000000" w:sz="4" w:space="0"/>
              <w:left w:val="nil"/>
              <w:bottom w:val="single" w:color="000000" w:sz="4" w:space="0"/>
              <w:right w:val="single" w:color="000000" w:sz="4" w:space="0"/>
            </w:tcBorders>
            <w:noWrap/>
            <w:vAlign w:val="center"/>
          </w:tcPr>
          <w:p>
            <w:pPr>
              <w:spacing w:line="360" w:lineRule="auto"/>
              <w:jc w:val="center"/>
              <w:rPr>
                <w:rFonts w:ascii="宋体" w:hAnsi="宋体" w:eastAsia="宋体" w:cs="宋体"/>
                <w:color w:val="auto"/>
                <w:sz w:val="22"/>
                <w:szCs w:val="22"/>
              </w:rPr>
            </w:pPr>
            <w:r>
              <w:rPr>
                <w:rFonts w:hint="eastAsia" w:ascii="宋体" w:hAnsi="宋体" w:eastAsia="宋体" w:cs="宋体"/>
                <w:color w:val="auto"/>
                <w:sz w:val="22"/>
                <w:szCs w:val="22"/>
              </w:rPr>
              <w:t>备注</w:t>
            </w:r>
          </w:p>
        </w:tc>
      </w:tr>
      <w:tr>
        <w:tblPrEx>
          <w:tblCellMar>
            <w:top w:w="0" w:type="dxa"/>
            <w:left w:w="108" w:type="dxa"/>
            <w:bottom w:w="0" w:type="dxa"/>
            <w:right w:w="108" w:type="dxa"/>
          </w:tblCellMar>
        </w:tblPrEx>
        <w:trPr>
          <w:trHeight w:val="1792" w:hRule="atLeast"/>
        </w:trPr>
        <w:tc>
          <w:tcPr>
            <w:tcW w:w="1558" w:type="dxa"/>
            <w:vMerge w:val="restart"/>
            <w:tcBorders>
              <w:top w:val="nil"/>
              <w:left w:val="single" w:color="000000" w:sz="4" w:space="0"/>
              <w:right w:val="single" w:color="000000" w:sz="4" w:space="0"/>
            </w:tcBorders>
            <w:noWrap/>
            <w:vAlign w:val="center"/>
          </w:tcPr>
          <w:p>
            <w:pPr>
              <w:spacing w:line="300" w:lineRule="exact"/>
              <w:jc w:val="center"/>
              <w:rPr>
                <w:rFonts w:ascii="宋体" w:hAnsi="宋体" w:eastAsia="宋体" w:cs="宋体"/>
                <w:color w:val="auto"/>
                <w:sz w:val="22"/>
                <w:szCs w:val="22"/>
              </w:rPr>
            </w:pPr>
            <w:r>
              <w:rPr>
                <w:rFonts w:hint="eastAsia" w:ascii="宋体" w:hAnsi="宋体" w:eastAsia="宋体" w:cs="宋体"/>
                <w:color w:val="auto"/>
                <w:sz w:val="22"/>
                <w:szCs w:val="22"/>
              </w:rPr>
              <w:t>泰顺县打孔注药防治松材线虫病项目</w:t>
            </w:r>
          </w:p>
        </w:tc>
        <w:tc>
          <w:tcPr>
            <w:tcW w:w="2094" w:type="dxa"/>
            <w:gridSpan w:val="2"/>
            <w:tcBorders>
              <w:top w:val="nil"/>
              <w:left w:val="nil"/>
              <w:bottom w:val="single" w:color="auto" w:sz="4" w:space="0"/>
              <w:right w:val="single" w:color="000000" w:sz="4" w:space="0"/>
            </w:tcBorders>
            <w:noWrap/>
            <w:vAlign w:val="center"/>
          </w:tcPr>
          <w:p>
            <w:pPr>
              <w:spacing w:line="400" w:lineRule="exact"/>
              <w:jc w:val="left"/>
              <w:rPr>
                <w:rFonts w:ascii="宋体" w:hAnsi="宋体" w:eastAsia="宋体" w:cs="Times New Roman"/>
                <w:color w:val="auto"/>
                <w:sz w:val="22"/>
              </w:rPr>
            </w:pPr>
            <w:r>
              <w:rPr>
                <w:rFonts w:hint="eastAsia" w:ascii="宋体" w:hAnsi="宋体" w:eastAsia="宋体" w:cs="Times New Roman"/>
                <w:color w:val="auto"/>
                <w:sz w:val="22"/>
              </w:rPr>
              <w:t>打孔注药服务（含药剂）</w:t>
            </w:r>
          </w:p>
        </w:tc>
        <w:tc>
          <w:tcPr>
            <w:tcW w:w="1142" w:type="dxa"/>
            <w:tcBorders>
              <w:top w:val="nil"/>
              <w:left w:val="nil"/>
              <w:bottom w:val="single" w:color="auto" w:sz="4" w:space="0"/>
              <w:right w:val="single" w:color="000000" w:sz="4" w:space="0"/>
            </w:tcBorders>
            <w:noWrap/>
            <w:vAlign w:val="center"/>
          </w:tcPr>
          <w:p>
            <w:pPr>
              <w:spacing w:line="300" w:lineRule="exact"/>
              <w:jc w:val="center"/>
              <w:rPr>
                <w:rFonts w:ascii="宋体" w:hAnsi="宋体" w:eastAsia="宋体" w:cs="宋体"/>
                <w:color w:val="auto"/>
                <w:sz w:val="22"/>
                <w:szCs w:val="22"/>
              </w:rPr>
            </w:pPr>
            <w:r>
              <w:rPr>
                <w:rFonts w:hint="eastAsia" w:ascii="宋体" w:hAnsi="宋体" w:eastAsia="宋体" w:cs="宋体"/>
                <w:color w:val="auto"/>
                <w:sz w:val="22"/>
                <w:szCs w:val="22"/>
              </w:rPr>
              <w:t>支</w:t>
            </w:r>
          </w:p>
        </w:tc>
        <w:tc>
          <w:tcPr>
            <w:tcW w:w="1268" w:type="dxa"/>
            <w:tcBorders>
              <w:top w:val="nil"/>
              <w:left w:val="nil"/>
              <w:bottom w:val="single" w:color="auto" w:sz="4" w:space="0"/>
              <w:right w:val="single" w:color="000000" w:sz="4" w:space="0"/>
            </w:tcBorders>
            <w:noWrap/>
            <w:vAlign w:val="center"/>
          </w:tcPr>
          <w:p>
            <w:pPr>
              <w:spacing w:line="300" w:lineRule="exact"/>
              <w:jc w:val="center"/>
              <w:rPr>
                <w:rFonts w:ascii="宋体" w:hAnsi="宋体" w:eastAsia="宋体" w:cs="宋体"/>
                <w:color w:val="auto"/>
                <w:sz w:val="22"/>
                <w:szCs w:val="22"/>
              </w:rPr>
            </w:pPr>
            <w:r>
              <w:rPr>
                <w:rFonts w:hint="eastAsia" w:ascii="宋体" w:hAnsi="宋体" w:eastAsia="宋体" w:cs="宋体"/>
                <w:color w:val="auto"/>
                <w:sz w:val="22"/>
                <w:szCs w:val="22"/>
              </w:rPr>
              <w:t>143000</w:t>
            </w:r>
          </w:p>
        </w:tc>
        <w:tc>
          <w:tcPr>
            <w:tcW w:w="992" w:type="dxa"/>
            <w:tcBorders>
              <w:top w:val="nil"/>
              <w:left w:val="nil"/>
              <w:bottom w:val="single" w:color="auto" w:sz="4" w:space="0"/>
              <w:right w:val="single" w:color="000000" w:sz="4" w:space="0"/>
            </w:tcBorders>
            <w:noWrap/>
            <w:vAlign w:val="center"/>
          </w:tcPr>
          <w:p>
            <w:pPr>
              <w:spacing w:line="300" w:lineRule="exact"/>
              <w:jc w:val="center"/>
              <w:rPr>
                <w:rFonts w:ascii="宋体" w:hAnsi="宋体" w:eastAsia="宋体" w:cs="宋体"/>
                <w:color w:val="auto"/>
                <w:sz w:val="22"/>
                <w:szCs w:val="22"/>
              </w:rPr>
            </w:pPr>
          </w:p>
        </w:tc>
        <w:tc>
          <w:tcPr>
            <w:tcW w:w="992" w:type="dxa"/>
            <w:tcBorders>
              <w:top w:val="nil"/>
              <w:left w:val="nil"/>
              <w:right w:val="single" w:color="000000" w:sz="4" w:space="0"/>
            </w:tcBorders>
            <w:noWrap/>
            <w:vAlign w:val="center"/>
          </w:tcPr>
          <w:p>
            <w:pPr>
              <w:spacing w:line="300" w:lineRule="exact"/>
              <w:jc w:val="center"/>
              <w:rPr>
                <w:rFonts w:ascii="宋体" w:hAnsi="宋体" w:eastAsia="宋体" w:cs="宋体"/>
                <w:color w:val="auto"/>
                <w:sz w:val="22"/>
                <w:szCs w:val="22"/>
              </w:rPr>
            </w:pPr>
          </w:p>
        </w:tc>
        <w:tc>
          <w:tcPr>
            <w:tcW w:w="1418" w:type="dxa"/>
            <w:tcBorders>
              <w:top w:val="nil"/>
              <w:left w:val="nil"/>
              <w:right w:val="single" w:color="000000" w:sz="4" w:space="0"/>
            </w:tcBorders>
            <w:noWrap/>
            <w:vAlign w:val="center"/>
          </w:tcPr>
          <w:p>
            <w:pPr>
              <w:spacing w:line="300" w:lineRule="exact"/>
              <w:jc w:val="center"/>
              <w:rPr>
                <w:rFonts w:ascii="宋体" w:hAnsi="宋体" w:eastAsia="宋体" w:cs="宋体"/>
                <w:color w:val="auto"/>
                <w:sz w:val="22"/>
                <w:szCs w:val="22"/>
              </w:rPr>
            </w:pPr>
            <w:r>
              <w:rPr>
                <w:rFonts w:hint="eastAsia" w:ascii="宋体" w:hAnsi="宋体" w:eastAsia="宋体" w:cs="宋体"/>
                <w:color w:val="auto"/>
                <w:sz w:val="22"/>
                <w:szCs w:val="22"/>
              </w:rPr>
              <w:t>2022年或2023年全新贷物。含施工作业服务费用。</w:t>
            </w:r>
          </w:p>
        </w:tc>
      </w:tr>
      <w:tr>
        <w:tblPrEx>
          <w:tblCellMar>
            <w:top w:w="0" w:type="dxa"/>
            <w:left w:w="108" w:type="dxa"/>
            <w:bottom w:w="0" w:type="dxa"/>
            <w:right w:w="108" w:type="dxa"/>
          </w:tblCellMar>
        </w:tblPrEx>
        <w:trPr>
          <w:trHeight w:val="1406" w:hRule="atLeast"/>
        </w:trPr>
        <w:tc>
          <w:tcPr>
            <w:tcW w:w="1558" w:type="dxa"/>
            <w:vMerge w:val="continue"/>
            <w:tcBorders>
              <w:left w:val="single" w:color="000000" w:sz="4" w:space="0"/>
              <w:right w:val="single" w:color="000000" w:sz="4" w:space="0"/>
            </w:tcBorders>
            <w:noWrap/>
            <w:vAlign w:val="center"/>
          </w:tcPr>
          <w:p>
            <w:pPr>
              <w:spacing w:line="300" w:lineRule="exact"/>
              <w:jc w:val="center"/>
              <w:rPr>
                <w:rFonts w:ascii="宋体" w:hAnsi="宋体" w:eastAsia="宋体" w:cs="宋体"/>
                <w:color w:val="auto"/>
                <w:sz w:val="22"/>
                <w:szCs w:val="22"/>
              </w:rPr>
            </w:pPr>
          </w:p>
        </w:tc>
        <w:tc>
          <w:tcPr>
            <w:tcW w:w="2094" w:type="dxa"/>
            <w:gridSpan w:val="2"/>
            <w:tcBorders>
              <w:top w:val="single" w:color="auto" w:sz="4" w:space="0"/>
              <w:left w:val="nil"/>
              <w:right w:val="single" w:color="000000" w:sz="4" w:space="0"/>
            </w:tcBorders>
            <w:noWrap/>
            <w:vAlign w:val="center"/>
          </w:tcPr>
          <w:p>
            <w:pPr>
              <w:spacing w:line="300" w:lineRule="exact"/>
              <w:jc w:val="center"/>
              <w:rPr>
                <w:rFonts w:ascii="宋体" w:hAnsi="宋体" w:eastAsia="宋体" w:cs="宋体"/>
                <w:color w:val="auto"/>
                <w:sz w:val="22"/>
                <w:szCs w:val="22"/>
              </w:rPr>
            </w:pPr>
            <w:r>
              <w:rPr>
                <w:rFonts w:hint="eastAsia" w:ascii="宋体" w:hAnsi="宋体" w:eastAsia="宋体" w:cs="宋体"/>
                <w:color w:val="auto"/>
                <w:sz w:val="22"/>
                <w:szCs w:val="22"/>
              </w:rPr>
              <w:t>古松树1130株施工服务费</w:t>
            </w:r>
          </w:p>
        </w:tc>
        <w:tc>
          <w:tcPr>
            <w:tcW w:w="1142" w:type="dxa"/>
            <w:tcBorders>
              <w:top w:val="single" w:color="auto" w:sz="4" w:space="0"/>
              <w:left w:val="nil"/>
              <w:bottom w:val="single" w:color="auto" w:sz="4" w:space="0"/>
              <w:right w:val="single" w:color="000000" w:sz="4" w:space="0"/>
            </w:tcBorders>
            <w:noWrap/>
            <w:vAlign w:val="center"/>
          </w:tcPr>
          <w:p>
            <w:pPr>
              <w:spacing w:line="300" w:lineRule="exact"/>
              <w:jc w:val="center"/>
              <w:rPr>
                <w:rFonts w:ascii="宋体" w:hAnsi="宋体" w:eastAsia="宋体" w:cs="宋体"/>
                <w:color w:val="auto"/>
                <w:sz w:val="22"/>
                <w:szCs w:val="22"/>
              </w:rPr>
            </w:pPr>
            <w:r>
              <w:rPr>
                <w:rFonts w:hint="eastAsia" w:ascii="宋体" w:hAnsi="宋体" w:eastAsia="宋体" w:cs="宋体"/>
                <w:color w:val="auto"/>
                <w:sz w:val="22"/>
                <w:szCs w:val="22"/>
              </w:rPr>
              <w:t>项</w:t>
            </w:r>
          </w:p>
        </w:tc>
        <w:tc>
          <w:tcPr>
            <w:tcW w:w="1268" w:type="dxa"/>
            <w:tcBorders>
              <w:top w:val="single" w:color="auto" w:sz="4" w:space="0"/>
              <w:left w:val="nil"/>
              <w:bottom w:val="single" w:color="auto" w:sz="4" w:space="0"/>
              <w:right w:val="single" w:color="000000" w:sz="4" w:space="0"/>
            </w:tcBorders>
            <w:noWrap/>
            <w:vAlign w:val="center"/>
          </w:tcPr>
          <w:p>
            <w:pPr>
              <w:spacing w:line="300" w:lineRule="exact"/>
              <w:jc w:val="center"/>
              <w:rPr>
                <w:rFonts w:ascii="宋体" w:hAnsi="宋体" w:eastAsia="宋体" w:cs="宋体"/>
                <w:color w:val="auto"/>
                <w:sz w:val="22"/>
                <w:szCs w:val="22"/>
              </w:rPr>
            </w:pPr>
            <w:r>
              <w:rPr>
                <w:rFonts w:hint="eastAsia" w:ascii="宋体" w:hAnsi="宋体" w:eastAsia="宋体" w:cs="宋体"/>
                <w:color w:val="auto"/>
                <w:sz w:val="22"/>
                <w:szCs w:val="22"/>
              </w:rPr>
              <w:t>1</w:t>
            </w:r>
          </w:p>
        </w:tc>
        <w:tc>
          <w:tcPr>
            <w:tcW w:w="992" w:type="dxa"/>
            <w:tcBorders>
              <w:top w:val="single" w:color="auto" w:sz="4" w:space="0"/>
              <w:left w:val="nil"/>
              <w:bottom w:val="single" w:color="auto" w:sz="4" w:space="0"/>
              <w:right w:val="single" w:color="000000" w:sz="4" w:space="0"/>
            </w:tcBorders>
            <w:noWrap/>
            <w:vAlign w:val="center"/>
          </w:tcPr>
          <w:p>
            <w:pPr>
              <w:spacing w:line="300" w:lineRule="exact"/>
              <w:jc w:val="center"/>
              <w:rPr>
                <w:rFonts w:ascii="宋体" w:hAnsi="宋体" w:eastAsia="宋体" w:cs="宋体"/>
                <w:color w:val="auto"/>
                <w:sz w:val="22"/>
                <w:szCs w:val="22"/>
              </w:rPr>
            </w:pPr>
            <w:r>
              <w:rPr>
                <w:rFonts w:hint="eastAsia" w:ascii="宋体" w:hAnsi="宋体" w:eastAsia="宋体" w:cs="宋体"/>
                <w:color w:val="auto"/>
                <w:sz w:val="22"/>
                <w:szCs w:val="22"/>
              </w:rPr>
              <w:t>-</w:t>
            </w:r>
          </w:p>
        </w:tc>
        <w:tc>
          <w:tcPr>
            <w:tcW w:w="992" w:type="dxa"/>
            <w:tcBorders>
              <w:top w:val="single" w:color="auto" w:sz="4" w:space="0"/>
              <w:left w:val="nil"/>
              <w:bottom w:val="single" w:color="auto" w:sz="4" w:space="0"/>
              <w:right w:val="single" w:color="000000" w:sz="4" w:space="0"/>
            </w:tcBorders>
            <w:noWrap/>
            <w:vAlign w:val="center"/>
          </w:tcPr>
          <w:p>
            <w:pPr>
              <w:spacing w:line="300" w:lineRule="exact"/>
              <w:jc w:val="center"/>
              <w:rPr>
                <w:rFonts w:ascii="宋体" w:hAnsi="宋体" w:eastAsia="宋体" w:cs="宋体"/>
                <w:color w:val="auto"/>
                <w:sz w:val="22"/>
                <w:szCs w:val="22"/>
              </w:rPr>
            </w:pPr>
          </w:p>
        </w:tc>
        <w:tc>
          <w:tcPr>
            <w:tcW w:w="1418" w:type="dxa"/>
            <w:tcBorders>
              <w:top w:val="single" w:color="auto" w:sz="4" w:space="0"/>
              <w:left w:val="nil"/>
              <w:right w:val="single" w:color="000000" w:sz="4" w:space="0"/>
            </w:tcBorders>
            <w:noWrap/>
            <w:vAlign w:val="center"/>
          </w:tcPr>
          <w:p>
            <w:pPr>
              <w:spacing w:line="300" w:lineRule="exact"/>
              <w:jc w:val="center"/>
              <w:rPr>
                <w:rFonts w:ascii="宋体" w:hAnsi="宋体" w:eastAsia="宋体" w:cs="宋体"/>
                <w:color w:val="auto"/>
                <w:sz w:val="22"/>
                <w:szCs w:val="22"/>
              </w:rPr>
            </w:pPr>
          </w:p>
        </w:tc>
      </w:tr>
      <w:tr>
        <w:tblPrEx>
          <w:tblCellMar>
            <w:top w:w="0" w:type="dxa"/>
            <w:left w:w="108" w:type="dxa"/>
            <w:bottom w:w="0" w:type="dxa"/>
            <w:right w:w="108" w:type="dxa"/>
          </w:tblCellMar>
        </w:tblPrEx>
        <w:trPr>
          <w:trHeight w:val="645" w:hRule="atLeast"/>
        </w:trPr>
        <w:tc>
          <w:tcPr>
            <w:tcW w:w="1558" w:type="dxa"/>
            <w:tcBorders>
              <w:top w:val="single" w:color="auto"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宋体"/>
                <w:color w:val="auto"/>
                <w:sz w:val="22"/>
                <w:szCs w:val="22"/>
              </w:rPr>
            </w:pPr>
            <w:r>
              <w:rPr>
                <w:rFonts w:hint="eastAsia" w:ascii="宋体" w:hAnsi="宋体" w:eastAsia="宋体" w:cs="宋体"/>
                <w:color w:val="auto"/>
                <w:sz w:val="22"/>
                <w:szCs w:val="22"/>
              </w:rPr>
              <w:t>合计</w:t>
            </w:r>
          </w:p>
        </w:tc>
        <w:tc>
          <w:tcPr>
            <w:tcW w:w="7906" w:type="dxa"/>
            <w:gridSpan w:val="7"/>
            <w:tcBorders>
              <w:top w:val="single" w:color="auto" w:sz="4" w:space="0"/>
              <w:left w:val="nil"/>
              <w:bottom w:val="single" w:color="000000" w:sz="4" w:space="0"/>
              <w:right w:val="single" w:color="000000" w:sz="4" w:space="0"/>
            </w:tcBorders>
            <w:noWrap/>
            <w:vAlign w:val="center"/>
          </w:tcPr>
          <w:p>
            <w:pPr>
              <w:spacing w:line="360" w:lineRule="auto"/>
              <w:rPr>
                <w:rFonts w:ascii="宋体" w:hAnsi="宋体" w:eastAsia="宋体" w:cs="宋体"/>
                <w:color w:val="auto"/>
                <w:sz w:val="22"/>
                <w:szCs w:val="22"/>
              </w:rPr>
            </w:pPr>
            <w:r>
              <w:rPr>
                <w:rFonts w:hint="eastAsia" w:ascii="宋体" w:hAnsi="宋体" w:eastAsia="宋体" w:cs="宋体"/>
                <w:color w:val="auto"/>
                <w:sz w:val="22"/>
                <w:szCs w:val="22"/>
              </w:rPr>
              <w:t>实际支付：       元。</w:t>
            </w:r>
          </w:p>
        </w:tc>
      </w:tr>
      <w:tr>
        <w:tblPrEx>
          <w:tblCellMar>
            <w:top w:w="0" w:type="dxa"/>
            <w:left w:w="108" w:type="dxa"/>
            <w:bottom w:w="0" w:type="dxa"/>
            <w:right w:w="108" w:type="dxa"/>
          </w:tblCellMar>
        </w:tblPrEx>
        <w:trPr>
          <w:trHeight w:val="584" w:hRule="atLeast"/>
        </w:trPr>
        <w:tc>
          <w:tcPr>
            <w:tcW w:w="2880"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宋体"/>
                <w:color w:val="auto"/>
                <w:sz w:val="22"/>
                <w:szCs w:val="22"/>
              </w:rPr>
            </w:pPr>
            <w:r>
              <w:rPr>
                <w:rFonts w:hint="eastAsia" w:ascii="宋体" w:hAnsi="宋体" w:eastAsia="宋体" w:cs="宋体"/>
                <w:color w:val="auto"/>
                <w:sz w:val="22"/>
                <w:szCs w:val="22"/>
              </w:rPr>
              <w:t>合计人民币金额（大写）</w:t>
            </w:r>
          </w:p>
        </w:tc>
        <w:tc>
          <w:tcPr>
            <w:tcW w:w="6584" w:type="dxa"/>
            <w:gridSpan w:val="6"/>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宋体"/>
                <w:color w:val="auto"/>
                <w:sz w:val="22"/>
                <w:szCs w:val="22"/>
              </w:rPr>
            </w:pPr>
            <w:r>
              <w:rPr>
                <w:rFonts w:hint="eastAsia" w:ascii="宋体" w:hAnsi="宋体" w:eastAsia="宋体" w:cs="宋体"/>
                <w:color w:val="auto"/>
                <w:sz w:val="22"/>
                <w:szCs w:val="22"/>
              </w:rPr>
              <w:t xml:space="preserve"> </w:t>
            </w:r>
          </w:p>
        </w:tc>
      </w:tr>
    </w:tbl>
    <w:p>
      <w:pPr>
        <w:spacing w:line="360" w:lineRule="auto"/>
        <w:ind w:firstLine="440" w:firstLineChars="200"/>
        <w:rPr>
          <w:rFonts w:ascii="宋体" w:hAnsi="宋体" w:eastAsia="宋体" w:cs="宋体"/>
          <w:color w:val="auto"/>
          <w:sz w:val="22"/>
          <w:szCs w:val="22"/>
        </w:rPr>
      </w:pPr>
      <w:r>
        <w:rPr>
          <w:rFonts w:ascii="宋体" w:hAnsi="宋体" w:eastAsia="宋体" w:cs="宋体"/>
          <w:color w:val="auto"/>
          <w:sz w:val="22"/>
          <w:szCs w:val="22"/>
        </w:rPr>
        <w:t>1、本合同价格已包含了货款、</w:t>
      </w:r>
      <w:r>
        <w:rPr>
          <w:rFonts w:hint="eastAsia" w:ascii="宋体" w:hAnsi="宋体" w:eastAsia="宋体" w:cs="宋体"/>
          <w:color w:val="auto"/>
          <w:sz w:val="22"/>
          <w:szCs w:val="22"/>
        </w:rPr>
        <w:t>浙江数字森防打孔注药落地上图、</w:t>
      </w:r>
      <w:r>
        <w:rPr>
          <w:rFonts w:ascii="宋体" w:hAnsi="宋体" w:eastAsia="宋体" w:cs="宋体"/>
          <w:color w:val="auto"/>
          <w:sz w:val="22"/>
          <w:szCs w:val="22"/>
        </w:rPr>
        <w:t>备品备件费、专用工具、运输、装卸、注射费、税费以及与该</w:t>
      </w:r>
      <w:r>
        <w:rPr>
          <w:rFonts w:hint="eastAsia" w:ascii="宋体" w:hAnsi="宋体" w:eastAsia="宋体" w:cs="宋体"/>
          <w:color w:val="auto"/>
          <w:sz w:val="22"/>
          <w:szCs w:val="22"/>
        </w:rPr>
        <w:t>服务</w:t>
      </w:r>
      <w:r>
        <w:rPr>
          <w:rFonts w:ascii="宋体" w:hAnsi="宋体" w:eastAsia="宋体" w:cs="宋体"/>
          <w:color w:val="auto"/>
          <w:sz w:val="22"/>
          <w:szCs w:val="22"/>
        </w:rPr>
        <w:t>有关的一切费用。</w:t>
      </w:r>
    </w:p>
    <w:p>
      <w:pPr>
        <w:spacing w:line="360" w:lineRule="auto"/>
        <w:ind w:firstLine="440" w:firstLineChars="200"/>
        <w:rPr>
          <w:rFonts w:ascii="宋体" w:hAnsi="宋体" w:eastAsia="宋体" w:cs="宋体"/>
          <w:color w:val="auto"/>
          <w:sz w:val="22"/>
          <w:szCs w:val="22"/>
        </w:rPr>
      </w:pPr>
      <w:r>
        <w:rPr>
          <w:rFonts w:ascii="宋体" w:hAnsi="宋体" w:eastAsia="宋体" w:cs="宋体"/>
          <w:color w:val="auto"/>
          <w:sz w:val="22"/>
          <w:szCs w:val="22"/>
        </w:rPr>
        <w:t>2、在合同有效期内，成交综合单价不变，甲方可以根据实际情况，对采购的松树注射免疫剂数量和规格作适当的调整，最终承包价款以乙方实际提供的松树注射免疫剂规格和数量并依据成交综合单价按实结算。</w:t>
      </w:r>
    </w:p>
    <w:p>
      <w:pPr>
        <w:spacing w:line="360" w:lineRule="auto"/>
        <w:ind w:firstLine="440" w:firstLineChars="200"/>
        <w:rPr>
          <w:rFonts w:ascii="宋体" w:hAnsi="宋体" w:eastAsia="宋体" w:cs="宋体"/>
          <w:color w:val="auto"/>
          <w:sz w:val="22"/>
          <w:szCs w:val="22"/>
        </w:rPr>
      </w:pPr>
      <w:r>
        <w:rPr>
          <w:rFonts w:ascii="宋体" w:hAnsi="宋体" w:eastAsia="宋体" w:cs="宋体"/>
          <w:color w:val="auto"/>
          <w:sz w:val="22"/>
          <w:szCs w:val="22"/>
        </w:rPr>
        <w:t>3、合同签订后，按甲方要求分期分批供货，每次供货接甲方通知后</w:t>
      </w:r>
      <w:r>
        <w:rPr>
          <w:rFonts w:hint="eastAsia" w:ascii="宋体" w:hAnsi="宋体" w:eastAsia="宋体" w:cs="宋体"/>
          <w:color w:val="auto"/>
          <w:sz w:val="22"/>
          <w:szCs w:val="22"/>
        </w:rPr>
        <w:t>3</w:t>
      </w:r>
      <w:r>
        <w:rPr>
          <w:rFonts w:ascii="宋体" w:hAnsi="宋体" w:eastAsia="宋体" w:cs="宋体"/>
          <w:color w:val="auto"/>
          <w:sz w:val="22"/>
          <w:szCs w:val="22"/>
        </w:rPr>
        <w:t>天内，将所需松树注射免疫剂规格、数量、按时送到指定地点。</w:t>
      </w:r>
    </w:p>
    <w:p>
      <w:pPr>
        <w:spacing w:line="360" w:lineRule="auto"/>
        <w:ind w:firstLine="440" w:firstLineChars="200"/>
        <w:rPr>
          <w:rFonts w:ascii="宋体" w:hAnsi="宋体" w:eastAsia="宋体" w:cs="宋体"/>
          <w:color w:val="auto"/>
          <w:sz w:val="22"/>
          <w:szCs w:val="22"/>
        </w:rPr>
      </w:pPr>
      <w:r>
        <w:rPr>
          <w:rFonts w:ascii="宋体" w:hAnsi="宋体" w:eastAsia="宋体" w:cs="宋体"/>
          <w:color w:val="auto"/>
          <w:sz w:val="22"/>
          <w:szCs w:val="22"/>
        </w:rPr>
        <w:t>4、乙方如果不能按时提供所需松树注射免疫剂规格和数量，甲方有权从市场上采购所需松树注射免疫剂规格和数量，这其中差价由乙方支付。</w:t>
      </w:r>
    </w:p>
    <w:p>
      <w:pPr>
        <w:spacing w:line="360" w:lineRule="auto"/>
        <w:ind w:firstLine="440" w:firstLineChars="200"/>
        <w:rPr>
          <w:rFonts w:ascii="宋体" w:hAnsi="宋体" w:eastAsia="宋体" w:cs="宋体"/>
          <w:color w:val="auto"/>
          <w:sz w:val="22"/>
          <w:szCs w:val="22"/>
        </w:rPr>
      </w:pPr>
      <w:r>
        <w:rPr>
          <w:rFonts w:ascii="宋体" w:hAnsi="宋体" w:eastAsia="宋体" w:cs="宋体"/>
          <w:color w:val="auto"/>
          <w:sz w:val="22"/>
          <w:szCs w:val="22"/>
        </w:rPr>
        <w:t>5、乙方如提供的松树注射免疫剂达不到规格要求的，由甲方确定综合单价，由此产生的一切损失由乙方自行承担。</w:t>
      </w:r>
    </w:p>
    <w:p>
      <w:pPr>
        <w:spacing w:line="360" w:lineRule="auto"/>
        <w:ind w:firstLine="420"/>
        <w:rPr>
          <w:rFonts w:ascii="宋体" w:hAnsi="宋体" w:eastAsia="宋体" w:cs="宋体"/>
          <w:color w:val="auto"/>
          <w:sz w:val="22"/>
          <w:szCs w:val="22"/>
        </w:rPr>
      </w:pPr>
      <w:r>
        <w:rPr>
          <w:rFonts w:ascii="宋体" w:hAnsi="宋体" w:eastAsia="宋体" w:cs="宋体"/>
          <w:color w:val="auto"/>
          <w:sz w:val="22"/>
          <w:szCs w:val="22"/>
        </w:rPr>
        <w:t>二、交(提)货时间、地点、方式：乙方于合同签订后</w:t>
      </w:r>
      <w:r>
        <w:rPr>
          <w:rFonts w:hint="eastAsia" w:ascii="宋体" w:hAnsi="宋体" w:eastAsia="宋体" w:cs="宋体"/>
          <w:color w:val="auto"/>
          <w:sz w:val="22"/>
          <w:szCs w:val="22"/>
        </w:rPr>
        <w:t>3</w:t>
      </w:r>
      <w:r>
        <w:rPr>
          <w:rFonts w:ascii="宋体" w:hAnsi="宋体" w:eastAsia="宋体" w:cs="宋体"/>
          <w:color w:val="auto"/>
          <w:sz w:val="22"/>
          <w:szCs w:val="22"/>
        </w:rPr>
        <w:t>个</w:t>
      </w:r>
      <w:r>
        <w:rPr>
          <w:rFonts w:hint="eastAsia" w:ascii="宋体" w:hAnsi="宋体" w:eastAsia="宋体" w:cs="宋体"/>
          <w:color w:val="auto"/>
          <w:sz w:val="22"/>
          <w:szCs w:val="22"/>
        </w:rPr>
        <w:t>日历天</w:t>
      </w:r>
      <w:r>
        <w:rPr>
          <w:rFonts w:ascii="宋体" w:hAnsi="宋体" w:eastAsia="宋体" w:cs="宋体"/>
          <w:color w:val="auto"/>
          <w:sz w:val="22"/>
          <w:szCs w:val="22"/>
        </w:rPr>
        <w:t>内将货物送至</w:t>
      </w:r>
      <w:r>
        <w:rPr>
          <w:rFonts w:hint="eastAsia" w:ascii="宋体" w:hAnsi="宋体" w:eastAsia="宋体" w:cs="宋体"/>
          <w:color w:val="auto"/>
          <w:sz w:val="22"/>
          <w:szCs w:val="22"/>
        </w:rPr>
        <w:t>甲方</w:t>
      </w:r>
      <w:r>
        <w:rPr>
          <w:rFonts w:ascii="宋体" w:hAnsi="宋体" w:eastAsia="宋体" w:cs="宋体"/>
          <w:color w:val="auto"/>
          <w:sz w:val="22"/>
          <w:szCs w:val="22"/>
        </w:rPr>
        <w:t>指定地点，交由甲方指定人核对接收。</w:t>
      </w:r>
    </w:p>
    <w:p>
      <w:pPr>
        <w:spacing w:line="360" w:lineRule="auto"/>
        <w:ind w:left="315" w:leftChars="150"/>
        <w:rPr>
          <w:rFonts w:ascii="宋体" w:hAnsi="宋体" w:eastAsia="宋体" w:cs="宋体"/>
          <w:color w:val="auto"/>
          <w:sz w:val="22"/>
          <w:szCs w:val="22"/>
        </w:rPr>
      </w:pPr>
      <w:r>
        <w:rPr>
          <w:rFonts w:ascii="宋体" w:hAnsi="宋体" w:eastAsia="宋体" w:cs="宋体"/>
          <w:color w:val="auto"/>
          <w:sz w:val="22"/>
          <w:szCs w:val="22"/>
        </w:rPr>
        <w:t>1、乙方应在交货前向甲方提供交货计划：</w:t>
      </w:r>
    </w:p>
    <w:p>
      <w:pPr>
        <w:spacing w:line="360" w:lineRule="auto"/>
        <w:ind w:left="315" w:leftChars="150"/>
        <w:rPr>
          <w:rFonts w:ascii="宋体" w:hAnsi="宋体" w:eastAsia="宋体" w:cs="宋体"/>
          <w:color w:val="auto"/>
          <w:sz w:val="22"/>
          <w:szCs w:val="22"/>
        </w:rPr>
      </w:pPr>
      <w:r>
        <w:rPr>
          <w:rFonts w:ascii="宋体" w:hAnsi="宋体" w:eastAsia="宋体" w:cs="宋体"/>
          <w:color w:val="auto"/>
          <w:sz w:val="22"/>
          <w:szCs w:val="22"/>
        </w:rPr>
        <w:t>2、运输、保险和装卸的费用由乙方承担。</w:t>
      </w:r>
    </w:p>
    <w:p>
      <w:pPr>
        <w:spacing w:line="360" w:lineRule="auto"/>
        <w:ind w:left="315" w:leftChars="150"/>
        <w:rPr>
          <w:rFonts w:ascii="宋体" w:hAnsi="宋体" w:eastAsia="宋体" w:cs="宋体"/>
          <w:color w:val="auto"/>
          <w:sz w:val="22"/>
          <w:szCs w:val="22"/>
        </w:rPr>
      </w:pPr>
      <w:r>
        <w:rPr>
          <w:rFonts w:ascii="宋体" w:hAnsi="宋体" w:eastAsia="宋体" w:cs="宋体"/>
          <w:color w:val="auto"/>
          <w:sz w:val="22"/>
          <w:szCs w:val="22"/>
        </w:rPr>
        <w:t>3、乙方需提供产品主要成份提供说明，并提供产品合格证、质检报告和进关单以及相关其他证明材料。</w:t>
      </w:r>
    </w:p>
    <w:p>
      <w:pPr>
        <w:spacing w:line="360" w:lineRule="auto"/>
        <w:ind w:firstLine="420"/>
        <w:rPr>
          <w:rFonts w:ascii="宋体" w:hAnsi="宋体" w:eastAsia="宋体" w:cs="宋体"/>
          <w:color w:val="auto"/>
          <w:sz w:val="22"/>
          <w:szCs w:val="22"/>
        </w:rPr>
      </w:pPr>
      <w:r>
        <w:rPr>
          <w:rFonts w:ascii="宋体" w:hAnsi="宋体" w:eastAsia="宋体" w:cs="宋体"/>
          <w:color w:val="auto"/>
          <w:sz w:val="22"/>
          <w:szCs w:val="22"/>
        </w:rPr>
        <w:t>三、注射要求：</w:t>
      </w:r>
    </w:p>
    <w:p>
      <w:pPr>
        <w:spacing w:line="360" w:lineRule="auto"/>
        <w:ind w:firstLine="440" w:firstLineChars="200"/>
        <w:rPr>
          <w:rFonts w:ascii="宋体" w:hAnsi="宋体" w:eastAsia="宋体" w:cs="宋体"/>
          <w:color w:val="auto"/>
          <w:sz w:val="22"/>
          <w:szCs w:val="22"/>
        </w:rPr>
      </w:pPr>
      <w:r>
        <w:rPr>
          <w:rFonts w:ascii="宋体" w:hAnsi="宋体" w:eastAsia="宋体" w:cs="宋体"/>
          <w:color w:val="auto"/>
          <w:sz w:val="22"/>
          <w:szCs w:val="22"/>
        </w:rPr>
        <w:t>1</w:t>
      </w:r>
      <w:r>
        <w:rPr>
          <w:rFonts w:hint="eastAsia" w:ascii="宋体" w:hAnsi="宋体" w:eastAsia="宋体" w:cs="宋体"/>
          <w:color w:val="auto"/>
          <w:sz w:val="22"/>
          <w:szCs w:val="22"/>
        </w:rPr>
        <w:t>、</w:t>
      </w:r>
      <w:r>
        <w:rPr>
          <w:rFonts w:ascii="宋体" w:hAnsi="宋体" w:eastAsia="宋体" w:cs="宋体"/>
          <w:color w:val="auto"/>
          <w:sz w:val="22"/>
          <w:szCs w:val="22"/>
        </w:rPr>
        <w:t>乙方必须按时完成注药工作。应派专业技术人员负责注药工作，并提供注药设备及附属材料，打孔钻头孔径0.65厘米。注药所用的专用机器设备等均由乙方免费提供。</w:t>
      </w:r>
    </w:p>
    <w:p>
      <w:pPr>
        <w:spacing w:line="400" w:lineRule="exact"/>
        <w:ind w:firstLine="420"/>
        <w:rPr>
          <w:rFonts w:ascii="宋体" w:hAnsi="宋体" w:eastAsia="宋体" w:cs="宋体"/>
          <w:color w:val="auto"/>
          <w:sz w:val="22"/>
          <w:szCs w:val="22"/>
        </w:rPr>
      </w:pPr>
      <w:r>
        <w:rPr>
          <w:rFonts w:ascii="宋体" w:hAnsi="宋体" w:eastAsia="宋体" w:cs="宋体"/>
          <w:color w:val="auto"/>
          <w:sz w:val="22"/>
          <w:szCs w:val="22"/>
        </w:rPr>
        <w:t>2</w:t>
      </w:r>
      <w:r>
        <w:rPr>
          <w:rFonts w:hint="eastAsia" w:ascii="宋体" w:hAnsi="宋体" w:eastAsia="宋体" w:cs="宋体"/>
          <w:color w:val="auto"/>
          <w:sz w:val="22"/>
          <w:szCs w:val="22"/>
        </w:rPr>
        <w:t>、建档服务于2023年2月底前完成，并以纸质2份和电子版的形式提交给甲方。在</w:t>
      </w:r>
      <w:r>
        <w:rPr>
          <w:rFonts w:ascii="宋体" w:hAnsi="宋体" w:eastAsia="宋体" w:cs="宋体"/>
          <w:color w:val="auto"/>
          <w:sz w:val="22"/>
          <w:szCs w:val="22"/>
        </w:rPr>
        <w:t>实施注药的每株均应统一编号，并挂牌；量取注药树木的胸径，依据胸径大小科学配备药剂使用数量，避免过度用药，</w:t>
      </w:r>
      <w:r>
        <w:rPr>
          <w:rFonts w:hint="eastAsia" w:ascii="宋体" w:hAnsi="宋体" w:eastAsia="宋体" w:cs="宋体"/>
          <w:color w:val="auto"/>
          <w:sz w:val="22"/>
          <w:szCs w:val="22"/>
        </w:rPr>
        <w:t>注射胸径20cm-50cm松树的剂量：</w:t>
      </w:r>
      <w:r>
        <w:rPr>
          <w:rFonts w:ascii="宋体" w:hAnsi="宋体" w:eastAsia="宋体" w:cs="宋体"/>
          <w:color w:val="auto"/>
          <w:sz w:val="22"/>
          <w:szCs w:val="22"/>
        </w:rPr>
        <w:t>20公分胸襟以下</w:t>
      </w:r>
      <w:r>
        <w:rPr>
          <w:rFonts w:hint="eastAsia" w:ascii="宋体" w:hAnsi="宋体" w:eastAsia="宋体" w:cs="宋体"/>
          <w:color w:val="auto"/>
          <w:sz w:val="22"/>
          <w:szCs w:val="22"/>
        </w:rPr>
        <w:t>须注射1支；胸径为20cm-25cm的，须注射1支；胸径为25-30cm的，须注射2支；胸径为30-35cm的，须注射3支；胸径为35-40cm的，须注射4支；胸径为40-45cm的，须注射5支；胸径为45-50cm的，须注射6支。</w:t>
      </w:r>
      <w:r>
        <w:rPr>
          <w:rFonts w:ascii="宋体" w:hAnsi="宋体" w:eastAsia="宋体" w:cs="宋体"/>
          <w:color w:val="auto"/>
          <w:sz w:val="22"/>
          <w:szCs w:val="22"/>
        </w:rPr>
        <w:t>注药1周内，逐一检查注药质量，回收药瓶、封闭注药孔，发现有渗漏、注药受阻等不符质量要求的，要重新注药。</w:t>
      </w:r>
    </w:p>
    <w:p>
      <w:pPr>
        <w:spacing w:line="360" w:lineRule="auto"/>
        <w:ind w:firstLine="440" w:firstLineChars="200"/>
        <w:rPr>
          <w:rFonts w:ascii="宋体" w:hAnsi="宋体" w:eastAsia="宋体" w:cs="宋体"/>
          <w:color w:val="auto"/>
          <w:sz w:val="22"/>
          <w:szCs w:val="22"/>
        </w:rPr>
      </w:pPr>
      <w:r>
        <w:rPr>
          <w:rFonts w:ascii="宋体" w:hAnsi="宋体" w:eastAsia="宋体" w:cs="宋体"/>
          <w:color w:val="auto"/>
          <w:sz w:val="22"/>
          <w:szCs w:val="22"/>
        </w:rPr>
        <w:t>3</w:t>
      </w:r>
      <w:r>
        <w:rPr>
          <w:rFonts w:hint="eastAsia" w:ascii="宋体" w:hAnsi="宋体" w:eastAsia="宋体" w:cs="宋体"/>
          <w:color w:val="auto"/>
          <w:sz w:val="22"/>
          <w:szCs w:val="22"/>
        </w:rPr>
        <w:t>、</w:t>
      </w:r>
      <w:r>
        <w:rPr>
          <w:rFonts w:ascii="宋体" w:hAnsi="宋体" w:eastAsia="宋体" w:cs="宋体"/>
          <w:color w:val="auto"/>
          <w:sz w:val="22"/>
          <w:szCs w:val="22"/>
        </w:rPr>
        <w:t>注药</w:t>
      </w:r>
      <w:r>
        <w:rPr>
          <w:rFonts w:hint="eastAsia" w:ascii="宋体" w:hAnsi="宋体" w:eastAsia="宋体" w:cs="宋体"/>
          <w:color w:val="auto"/>
          <w:sz w:val="22"/>
          <w:szCs w:val="22"/>
        </w:rPr>
        <w:t>严格按照浙江数字森防系统实施，甲方随机抽查</w:t>
      </w:r>
      <w:r>
        <w:rPr>
          <w:rFonts w:ascii="宋体" w:hAnsi="宋体" w:eastAsia="宋体" w:cs="宋体"/>
          <w:color w:val="auto"/>
          <w:sz w:val="22"/>
          <w:szCs w:val="22"/>
        </w:rPr>
        <w:t>乙方</w:t>
      </w:r>
      <w:r>
        <w:rPr>
          <w:rFonts w:hint="eastAsia" w:ascii="宋体" w:hAnsi="宋体" w:eastAsia="宋体" w:cs="宋体"/>
          <w:color w:val="auto"/>
          <w:sz w:val="22"/>
          <w:szCs w:val="22"/>
        </w:rPr>
        <w:t>操作过程</w:t>
      </w:r>
      <w:r>
        <w:rPr>
          <w:rFonts w:ascii="宋体" w:hAnsi="宋体" w:eastAsia="宋体" w:cs="宋体"/>
          <w:color w:val="auto"/>
          <w:sz w:val="22"/>
          <w:szCs w:val="22"/>
        </w:rPr>
        <w:t>详尽的记录，包括树木所处地理位置、标号、胸径、株高、生长情况、注药量等，该记录</w:t>
      </w:r>
      <w:r>
        <w:rPr>
          <w:rFonts w:hint="eastAsia" w:ascii="宋体" w:hAnsi="宋体" w:eastAsia="宋体" w:cs="宋体"/>
          <w:color w:val="auto"/>
          <w:sz w:val="22"/>
          <w:szCs w:val="22"/>
        </w:rPr>
        <w:t>双方在场代表签字后生效，生效后</w:t>
      </w:r>
      <w:r>
        <w:rPr>
          <w:rFonts w:ascii="宋体" w:hAnsi="宋体" w:eastAsia="宋体" w:cs="宋体"/>
          <w:color w:val="auto"/>
          <w:sz w:val="22"/>
          <w:szCs w:val="22"/>
        </w:rPr>
        <w:t>自动成为本合同的组成部分，是最终核算的依据。</w:t>
      </w:r>
    </w:p>
    <w:p>
      <w:pPr>
        <w:spacing w:line="360" w:lineRule="auto"/>
        <w:ind w:firstLine="420"/>
        <w:rPr>
          <w:rFonts w:ascii="宋体" w:hAnsi="宋体" w:eastAsia="宋体" w:cs="宋体"/>
          <w:color w:val="auto"/>
          <w:sz w:val="22"/>
          <w:szCs w:val="22"/>
        </w:rPr>
      </w:pPr>
      <w:r>
        <w:rPr>
          <w:rFonts w:ascii="宋体" w:hAnsi="宋体" w:eastAsia="宋体" w:cs="宋体"/>
          <w:color w:val="auto"/>
          <w:sz w:val="22"/>
          <w:szCs w:val="22"/>
        </w:rPr>
        <w:t>四、验收标准：按照</w:t>
      </w:r>
      <w:r>
        <w:rPr>
          <w:rFonts w:hint="eastAsia" w:ascii="宋体" w:hAnsi="宋体" w:eastAsia="宋体" w:cs="宋体"/>
          <w:color w:val="auto"/>
          <w:sz w:val="22"/>
          <w:szCs w:val="22"/>
        </w:rPr>
        <w:t>《浙江省打孔注药防治松材线虫病实施方案（2022版）》</w:t>
      </w:r>
      <w:r>
        <w:rPr>
          <w:rFonts w:ascii="宋体" w:hAnsi="宋体" w:eastAsia="宋体" w:cs="宋体"/>
          <w:color w:val="auto"/>
          <w:sz w:val="22"/>
          <w:szCs w:val="22"/>
        </w:rPr>
        <w:t>文件要求执行。</w:t>
      </w:r>
    </w:p>
    <w:p>
      <w:pPr>
        <w:spacing w:line="360" w:lineRule="auto"/>
        <w:ind w:firstLine="420"/>
        <w:rPr>
          <w:rFonts w:ascii="宋体" w:hAnsi="宋体" w:eastAsia="宋体" w:cs="宋体"/>
          <w:color w:val="auto"/>
          <w:sz w:val="22"/>
          <w:szCs w:val="22"/>
        </w:rPr>
      </w:pPr>
      <w:r>
        <w:rPr>
          <w:rFonts w:ascii="宋体" w:hAnsi="宋体" w:eastAsia="宋体" w:cs="宋体"/>
          <w:color w:val="auto"/>
          <w:sz w:val="22"/>
          <w:szCs w:val="22"/>
        </w:rPr>
        <w:t>五、质量标准</w:t>
      </w:r>
      <w:r>
        <w:rPr>
          <w:rFonts w:hint="eastAsia" w:ascii="宋体" w:hAnsi="宋体" w:eastAsia="宋体" w:cs="宋体"/>
          <w:color w:val="auto"/>
          <w:sz w:val="22"/>
          <w:szCs w:val="22"/>
        </w:rPr>
        <w:t>、</w:t>
      </w:r>
      <w:r>
        <w:rPr>
          <w:rFonts w:ascii="宋体" w:hAnsi="宋体" w:eastAsia="宋体" w:cs="宋体"/>
          <w:color w:val="auto"/>
          <w:sz w:val="22"/>
          <w:szCs w:val="22"/>
        </w:rPr>
        <w:t>保证</w:t>
      </w:r>
      <w:r>
        <w:rPr>
          <w:rFonts w:hint="eastAsia" w:ascii="宋体" w:hAnsi="宋体" w:eastAsia="宋体" w:cs="宋体"/>
          <w:color w:val="auto"/>
          <w:sz w:val="22"/>
          <w:szCs w:val="22"/>
        </w:rPr>
        <w:t>和赔偿</w:t>
      </w:r>
      <w:r>
        <w:rPr>
          <w:rFonts w:ascii="宋体" w:hAnsi="宋体" w:eastAsia="宋体" w:cs="宋体"/>
          <w:color w:val="auto"/>
          <w:sz w:val="22"/>
          <w:szCs w:val="22"/>
        </w:rPr>
        <w:t>：</w:t>
      </w:r>
    </w:p>
    <w:p>
      <w:pPr>
        <w:spacing w:line="360" w:lineRule="auto"/>
        <w:rPr>
          <w:rFonts w:ascii="宋体" w:hAnsi="宋体" w:eastAsia="宋体" w:cs="宋体"/>
          <w:color w:val="auto"/>
          <w:sz w:val="22"/>
          <w:szCs w:val="22"/>
        </w:rPr>
      </w:pPr>
      <w:r>
        <w:rPr>
          <w:rFonts w:ascii="宋体" w:hAnsi="宋体" w:eastAsia="宋体" w:cs="宋体"/>
          <w:color w:val="auto"/>
          <w:sz w:val="22"/>
          <w:szCs w:val="22"/>
        </w:rPr>
        <w:t xml:space="preserve">    1、乙方保证提供的松树注射免疫剂皆为符合采购文件和合同规定的规格。</w:t>
      </w:r>
    </w:p>
    <w:p>
      <w:pPr>
        <w:spacing w:line="360" w:lineRule="auto"/>
        <w:rPr>
          <w:rFonts w:ascii="宋体" w:hAnsi="宋体" w:eastAsia="宋体" w:cs="宋体"/>
          <w:color w:val="auto"/>
          <w:sz w:val="22"/>
          <w:szCs w:val="22"/>
        </w:rPr>
      </w:pPr>
      <w:r>
        <w:rPr>
          <w:rFonts w:hint="eastAsia" w:ascii="宋体" w:hAnsi="宋体" w:eastAsia="宋体" w:cs="宋体"/>
          <w:color w:val="auto"/>
          <w:sz w:val="22"/>
          <w:szCs w:val="22"/>
        </w:rPr>
        <w:t xml:space="preserve">    </w:t>
      </w:r>
      <w:r>
        <w:rPr>
          <w:rFonts w:ascii="宋体" w:hAnsi="宋体" w:eastAsia="宋体" w:cs="宋体"/>
          <w:color w:val="auto"/>
          <w:sz w:val="22"/>
          <w:szCs w:val="22"/>
        </w:rPr>
        <w:t>2、乙方保证每次根据甲方的要求，按时，按量，按规格提供松树注射免疫剂。</w:t>
      </w:r>
    </w:p>
    <w:p>
      <w:pPr>
        <w:spacing w:line="360" w:lineRule="auto"/>
        <w:ind w:firstLine="420"/>
        <w:rPr>
          <w:rFonts w:ascii="宋体" w:hAnsi="宋体" w:eastAsia="宋体" w:cs="宋体"/>
          <w:color w:val="auto"/>
          <w:sz w:val="22"/>
          <w:szCs w:val="22"/>
        </w:rPr>
      </w:pPr>
      <w:r>
        <w:rPr>
          <w:rFonts w:hint="eastAsia" w:ascii="宋体" w:hAnsi="宋体" w:eastAsia="宋体" w:cs="宋体"/>
          <w:color w:val="auto"/>
          <w:sz w:val="22"/>
          <w:szCs w:val="22"/>
        </w:rPr>
        <w:t>3、乙方未按实施方案对松树打孔注药技术要求的，验收时发现打孔机斜向不规范、未拔取空瓶、未塞入木塞、瓶留有药液等，发现一项扣300元。</w:t>
      </w:r>
    </w:p>
    <w:p>
      <w:pPr>
        <w:spacing w:line="360" w:lineRule="auto"/>
        <w:rPr>
          <w:rFonts w:ascii="宋体" w:hAnsi="宋体" w:eastAsia="宋体" w:cs="宋体"/>
          <w:color w:val="auto"/>
          <w:sz w:val="22"/>
          <w:szCs w:val="22"/>
        </w:rPr>
      </w:pPr>
      <w:r>
        <w:rPr>
          <w:rFonts w:ascii="宋体" w:hAnsi="宋体" w:eastAsia="宋体" w:cs="宋体"/>
          <w:color w:val="auto"/>
          <w:sz w:val="22"/>
          <w:szCs w:val="22"/>
        </w:rPr>
        <w:t xml:space="preserve">   </w:t>
      </w:r>
      <w:r>
        <w:rPr>
          <w:rFonts w:hint="eastAsia" w:ascii="宋体" w:hAnsi="宋体" w:eastAsia="宋体" w:cs="宋体"/>
          <w:color w:val="auto"/>
          <w:sz w:val="22"/>
          <w:szCs w:val="22"/>
        </w:rPr>
        <w:t>4、松树免疫剂注射后防治效果评价，连续2年，一年一次，在11月至12月进行评价。防治效果计算方法：松树死亡率（%）=死亡松树总株数/注射松树总株数×100%。当年防治效果松材线虫病引起的松树死亡率≦1%为合格；死亡率＞1%为不合格。第2年防治效果2年累计死亡率≦1%为合格；2年累计死亡率＞1%为不合格。</w:t>
      </w:r>
    </w:p>
    <w:p>
      <w:pPr>
        <w:spacing w:line="360" w:lineRule="auto"/>
        <w:ind w:firstLine="420"/>
        <w:rPr>
          <w:rFonts w:ascii="宋体" w:hAnsi="宋体" w:eastAsia="宋体" w:cs="宋体"/>
          <w:color w:val="auto"/>
          <w:sz w:val="22"/>
          <w:szCs w:val="22"/>
        </w:rPr>
      </w:pPr>
      <w:r>
        <w:rPr>
          <w:rFonts w:hint="eastAsia" w:ascii="宋体" w:hAnsi="宋体" w:eastAsia="宋体" w:cs="宋体"/>
          <w:color w:val="auto"/>
          <w:sz w:val="22"/>
          <w:szCs w:val="22"/>
        </w:rPr>
        <w:t>（1）防治效果赔偿标准。每年年底甲乙双方对注药植株的死亡情况开展检查，记录死亡株数核算死亡率，或委托中介验收。名木古松树和不是古松树分开效果评价：一不是名木古松树，死亡株数超出以上要求的，每株死亡松树乙方赔偿甲方人民币伍佰元（￥：500元）。二是名木古松树，死亡每株松树乙方赔偿甲方人民币叁仟元（￥：3000元）。对松树死亡原因有异议的，可组织专家取样检测，未检出感染线虫的树，可不予赔偿。</w:t>
      </w:r>
    </w:p>
    <w:p>
      <w:pPr>
        <w:spacing w:line="360" w:lineRule="auto"/>
        <w:ind w:firstLine="420"/>
        <w:rPr>
          <w:rFonts w:ascii="宋体" w:hAnsi="宋体" w:eastAsia="宋体" w:cs="宋体"/>
          <w:color w:val="auto"/>
          <w:sz w:val="22"/>
          <w:szCs w:val="22"/>
        </w:rPr>
      </w:pPr>
      <w:r>
        <w:rPr>
          <w:rFonts w:hint="eastAsia" w:ascii="宋体" w:hAnsi="宋体" w:eastAsia="宋体" w:cs="宋体"/>
          <w:color w:val="auto"/>
          <w:sz w:val="22"/>
          <w:szCs w:val="22"/>
        </w:rPr>
        <w:t>（2）防治效果赔偿计算方法。不是名木古松树成活率低99%赔偿金额=注射松树总株数×（99%-松树死亡率%）×500元/株。</w:t>
      </w:r>
    </w:p>
    <w:p>
      <w:pPr>
        <w:pStyle w:val="44"/>
        <w:spacing w:line="360" w:lineRule="auto"/>
        <w:ind w:firstLine="221" w:firstLineChars="100"/>
        <w:rPr>
          <w:rFonts w:ascii="仿宋" w:hAnsi="仿宋" w:eastAsia="仿宋" w:cs="仿宋"/>
          <w:bCs/>
          <w:color w:val="auto"/>
          <w:sz w:val="24"/>
          <w:szCs w:val="24"/>
        </w:rPr>
      </w:pPr>
      <w:r>
        <w:rPr>
          <w:rFonts w:hint="eastAsia" w:ascii="宋体" w:hAnsi="宋体"/>
          <w:color w:val="auto"/>
          <w:sz w:val="22"/>
          <w:szCs w:val="22"/>
        </w:rPr>
        <w:t>5、检查验收：</w:t>
      </w:r>
      <w:r>
        <w:rPr>
          <w:rFonts w:hint="eastAsia" w:ascii="仿宋" w:hAnsi="仿宋" w:eastAsia="仿宋" w:cs="仿宋"/>
          <w:bCs/>
          <w:color w:val="auto"/>
          <w:sz w:val="24"/>
          <w:szCs w:val="24"/>
        </w:rPr>
        <w:t>确保松树注射免疫剂注射后在48小时内完全吸收，发现药剂有问题未完全吸收60瓶以上的，甲方有权利对剩余药剂全部退回，乙方赔偿甲方项目总价款的50%，并终止合同。验收</w:t>
      </w:r>
      <w:r>
        <w:rPr>
          <w:rFonts w:hint="eastAsia" w:ascii="宋体" w:hAnsi="宋体"/>
          <w:b w:val="0"/>
          <w:color w:val="auto"/>
          <w:kern w:val="2"/>
          <w:sz w:val="22"/>
          <w:szCs w:val="22"/>
        </w:rPr>
        <w:t>检查结合药瓶回收工作情况。</w:t>
      </w:r>
      <w:r>
        <w:rPr>
          <w:rFonts w:hint="eastAsia" w:ascii="仿宋" w:hAnsi="仿宋" w:eastAsia="仿宋" w:cs="仿宋"/>
          <w:bCs/>
          <w:color w:val="auto"/>
          <w:sz w:val="24"/>
          <w:szCs w:val="24"/>
        </w:rPr>
        <w:t>验收</w:t>
      </w:r>
      <w:r>
        <w:rPr>
          <w:rFonts w:hint="eastAsia" w:ascii="宋体" w:hAnsi="宋体"/>
          <w:b w:val="0"/>
          <w:color w:val="auto"/>
          <w:kern w:val="2"/>
          <w:sz w:val="22"/>
          <w:szCs w:val="22"/>
        </w:rPr>
        <w:t>检查率不得低于5%，抽样检查中未正常施药株数超过10%的，应当认定为不合格。具体按</w:t>
      </w:r>
      <w:r>
        <w:rPr>
          <w:rFonts w:hint="eastAsia" w:ascii="宋体" w:hAnsi="宋体"/>
          <w:b w:val="0"/>
          <w:color w:val="auto"/>
          <w:sz w:val="22"/>
          <w:szCs w:val="22"/>
        </w:rPr>
        <w:t>《浙江省打孔注药防治松材线虫病实施方案（2022版）》文件执行。</w:t>
      </w:r>
    </w:p>
    <w:p>
      <w:pPr>
        <w:spacing w:line="360" w:lineRule="auto"/>
        <w:ind w:firstLine="420"/>
        <w:rPr>
          <w:rFonts w:ascii="宋体" w:hAnsi="宋体" w:eastAsia="宋体" w:cs="宋体"/>
          <w:color w:val="auto"/>
          <w:sz w:val="22"/>
          <w:szCs w:val="22"/>
        </w:rPr>
      </w:pPr>
      <w:r>
        <w:rPr>
          <w:rFonts w:hint="eastAsia" w:ascii="宋体" w:hAnsi="宋体" w:eastAsia="宋体" w:cs="宋体"/>
          <w:color w:val="auto"/>
          <w:sz w:val="22"/>
          <w:szCs w:val="22"/>
        </w:rPr>
        <w:t>六、松树注射免疫剂及树干打孔注药服务时间要求：自合同签订之日起至2023年2月底完成。</w:t>
      </w:r>
    </w:p>
    <w:p>
      <w:pPr>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七、结算方式及期限：</w:t>
      </w:r>
    </w:p>
    <w:p>
      <w:pPr>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预付款：合同签订且具备施工条件，中标供应商提供发票后，采购人具备支付条件后七个工作日内向中标供应商支付合同价款的40%；</w:t>
      </w:r>
    </w:p>
    <w:p>
      <w:pPr>
        <w:spacing w:line="360" w:lineRule="auto"/>
        <w:ind w:firstLine="220" w:firstLineChars="100"/>
        <w:rPr>
          <w:rFonts w:ascii="宋体" w:hAnsi="宋体" w:eastAsia="宋体" w:cs="宋体"/>
          <w:b/>
          <w:bCs/>
          <w:color w:val="auto"/>
          <w:sz w:val="22"/>
          <w:szCs w:val="22"/>
        </w:rPr>
      </w:pPr>
      <w:r>
        <w:rPr>
          <w:rFonts w:hint="eastAsia" w:ascii="宋体" w:hAnsi="宋体" w:eastAsia="宋体" w:cs="宋体"/>
          <w:color w:val="auto"/>
          <w:sz w:val="22"/>
          <w:szCs w:val="22"/>
        </w:rPr>
        <w:t>在规定时间内完成全部货物供货及完成所有松树注药施工后，并通过验收，采购人向中标供应商支付至合同价款的60%（含40%预付款），剩余40%分两年支付，第一年在2023年12月底前支付，成活率在99%以上的支付20%，成活率低于99%按约定（合同第五条）罚扣金额；第二年在2024年12月底前支付，成活率在99%以上的支付20%，成活率低于99%按约定（合同第五条）罚扣金额。</w:t>
      </w:r>
    </w:p>
    <w:p>
      <w:pPr>
        <w:spacing w:line="360" w:lineRule="auto"/>
        <w:ind w:firstLine="420"/>
        <w:rPr>
          <w:rFonts w:ascii="宋体" w:hAnsi="宋体" w:eastAsia="宋体" w:cs="宋体"/>
          <w:color w:val="auto"/>
          <w:sz w:val="22"/>
          <w:szCs w:val="22"/>
        </w:rPr>
      </w:pPr>
      <w:r>
        <w:rPr>
          <w:rFonts w:hint="eastAsia" w:ascii="宋体" w:hAnsi="宋体" w:eastAsia="宋体" w:cs="宋体"/>
          <w:color w:val="auto"/>
          <w:sz w:val="22"/>
          <w:szCs w:val="22"/>
        </w:rPr>
        <w:t>八、乙方在注药作业行政辖区提前7天做好注药公告并做好农药有毒警牌，注药期间，乙方工作人员必须遵守野外操作规范，在防治过程一切施工安全问题和农药安全问题由乙方自行负责，同时也包括，注药剂后可能对生态环境有负面影响，造成污染空气和水源等；还会破坏原有生物的生存环境，对寄生到有益生物（如蜜蜂）上导致死亡。</w:t>
      </w:r>
    </w:p>
    <w:p>
      <w:pPr>
        <w:spacing w:line="360" w:lineRule="auto"/>
        <w:ind w:firstLine="420"/>
        <w:rPr>
          <w:rFonts w:ascii="宋体" w:hAnsi="宋体" w:eastAsia="宋体" w:cs="宋体"/>
          <w:color w:val="auto"/>
          <w:sz w:val="22"/>
          <w:szCs w:val="22"/>
        </w:rPr>
      </w:pPr>
      <w:r>
        <w:rPr>
          <w:rFonts w:hint="eastAsia" w:ascii="宋体" w:hAnsi="宋体" w:eastAsia="宋体" w:cs="宋体"/>
          <w:color w:val="auto"/>
          <w:sz w:val="22"/>
          <w:szCs w:val="22"/>
        </w:rPr>
        <w:t>九</w:t>
      </w:r>
      <w:r>
        <w:rPr>
          <w:rFonts w:ascii="宋体" w:hAnsi="宋体" w:eastAsia="宋体" w:cs="宋体"/>
          <w:color w:val="auto"/>
          <w:sz w:val="22"/>
          <w:szCs w:val="22"/>
        </w:rPr>
        <w:t>、违约责任：</w:t>
      </w:r>
    </w:p>
    <w:p>
      <w:pPr>
        <w:spacing w:line="360" w:lineRule="auto"/>
        <w:rPr>
          <w:rFonts w:ascii="宋体" w:hAnsi="宋体" w:eastAsia="宋体" w:cs="宋体"/>
          <w:color w:val="auto"/>
          <w:sz w:val="22"/>
          <w:szCs w:val="22"/>
        </w:rPr>
      </w:pPr>
      <w:r>
        <w:rPr>
          <w:rFonts w:ascii="宋体" w:hAnsi="宋体" w:eastAsia="宋体" w:cs="宋体"/>
          <w:color w:val="auto"/>
          <w:sz w:val="22"/>
          <w:szCs w:val="22"/>
        </w:rPr>
        <w:t xml:space="preserve">    1、如果乙方未按照合同规定的要求交付合同货物和提供服务，或乙方在收到甲方要求更换有缺陷的货物通知后七日内或在乙方签署货损证明后七日内没有补足或更换货物、或交货仍不符合要求；或乙方未能履行合同规定的任何其他义务时，甲方有权并直接向乙方发出违约通知书，乙方应按照甲方选择的下列一种或多种方式承担赔偿责任：</w:t>
      </w:r>
    </w:p>
    <w:p>
      <w:pPr>
        <w:spacing w:line="360" w:lineRule="auto"/>
        <w:rPr>
          <w:rFonts w:ascii="宋体" w:hAnsi="宋体" w:eastAsia="宋体" w:cs="宋体"/>
          <w:color w:val="auto"/>
          <w:sz w:val="22"/>
          <w:szCs w:val="22"/>
        </w:rPr>
      </w:pPr>
      <w:r>
        <w:rPr>
          <w:rFonts w:ascii="宋体" w:hAnsi="宋体" w:eastAsia="宋体" w:cs="宋体"/>
          <w:color w:val="auto"/>
          <w:sz w:val="22"/>
          <w:szCs w:val="22"/>
        </w:rPr>
        <w:t xml:space="preserve">   </w:t>
      </w:r>
      <w:r>
        <w:rPr>
          <w:rFonts w:hint="eastAsia" w:ascii="宋体" w:hAnsi="宋体" w:eastAsia="宋体" w:cs="宋体"/>
          <w:color w:val="auto"/>
          <w:sz w:val="22"/>
          <w:szCs w:val="22"/>
        </w:rPr>
        <w:t>（</w:t>
      </w:r>
      <w:r>
        <w:rPr>
          <w:rFonts w:ascii="宋体" w:hAnsi="宋体" w:eastAsia="宋体" w:cs="宋体"/>
          <w:color w:val="auto"/>
          <w:sz w:val="22"/>
          <w:szCs w:val="22"/>
        </w:rPr>
        <w:t>1)在甲方同意延长的期限内交付全部货物、提供服务并承担由此给甲方造成的一切损失。</w:t>
      </w:r>
    </w:p>
    <w:p>
      <w:pPr>
        <w:spacing w:line="360" w:lineRule="auto"/>
        <w:rPr>
          <w:rFonts w:ascii="宋体" w:hAnsi="宋体" w:eastAsia="宋体" w:cs="宋体"/>
          <w:color w:val="auto"/>
          <w:sz w:val="22"/>
          <w:szCs w:val="22"/>
        </w:rPr>
      </w:pPr>
      <w:r>
        <w:rPr>
          <w:rFonts w:ascii="宋体" w:hAnsi="宋体" w:eastAsia="宋体" w:cs="宋体"/>
          <w:color w:val="auto"/>
          <w:sz w:val="22"/>
          <w:szCs w:val="22"/>
        </w:rPr>
        <w:t xml:space="preserve">   </w:t>
      </w:r>
      <w:r>
        <w:rPr>
          <w:rFonts w:hint="eastAsia" w:ascii="宋体" w:hAnsi="宋体" w:eastAsia="宋体" w:cs="宋体"/>
          <w:color w:val="auto"/>
          <w:sz w:val="22"/>
          <w:szCs w:val="22"/>
        </w:rPr>
        <w:t>（</w:t>
      </w:r>
      <w:r>
        <w:rPr>
          <w:rFonts w:ascii="宋体" w:hAnsi="宋体" w:eastAsia="宋体" w:cs="宋体"/>
          <w:color w:val="auto"/>
          <w:sz w:val="22"/>
          <w:szCs w:val="22"/>
        </w:rPr>
        <w:t>2)根据货物低劣程度、损坏程度以及使甲方所遭受的损失，经双方商定降低货物的价格或赔偿甲方所遭受的损失。</w:t>
      </w:r>
    </w:p>
    <w:p>
      <w:pPr>
        <w:spacing w:line="360" w:lineRule="auto"/>
        <w:rPr>
          <w:rFonts w:ascii="宋体" w:hAnsi="宋体" w:eastAsia="宋体" w:cs="宋体"/>
          <w:color w:val="auto"/>
          <w:sz w:val="22"/>
          <w:szCs w:val="22"/>
        </w:rPr>
      </w:pPr>
      <w:r>
        <w:rPr>
          <w:rFonts w:ascii="宋体" w:hAnsi="宋体" w:eastAsia="宋体" w:cs="宋体"/>
          <w:color w:val="auto"/>
          <w:sz w:val="22"/>
          <w:szCs w:val="22"/>
        </w:rPr>
        <w:t xml:space="preserve">   </w:t>
      </w:r>
      <w:r>
        <w:rPr>
          <w:rFonts w:hint="eastAsia" w:ascii="宋体" w:hAnsi="宋体" w:eastAsia="宋体" w:cs="宋体"/>
          <w:color w:val="auto"/>
          <w:sz w:val="22"/>
          <w:szCs w:val="22"/>
        </w:rPr>
        <w:t>（</w:t>
      </w:r>
      <w:r>
        <w:rPr>
          <w:rFonts w:ascii="宋体" w:hAnsi="宋体" w:eastAsia="宋体" w:cs="宋体"/>
          <w:color w:val="auto"/>
          <w:sz w:val="22"/>
          <w:szCs w:val="22"/>
        </w:rPr>
        <w:t>3)乙方同意退货，并按合同规定的同种货币将甲方所退货物的全部价款退还给甲方，并承担由此发生的一切损失和费用。</w:t>
      </w:r>
    </w:p>
    <w:p>
      <w:pPr>
        <w:spacing w:line="360" w:lineRule="auto"/>
        <w:rPr>
          <w:rFonts w:ascii="宋体" w:hAnsi="宋体" w:eastAsia="宋体" w:cs="宋体"/>
          <w:color w:val="auto"/>
          <w:sz w:val="22"/>
          <w:szCs w:val="22"/>
        </w:rPr>
      </w:pPr>
      <w:r>
        <w:rPr>
          <w:rFonts w:ascii="宋体" w:hAnsi="宋体" w:eastAsia="宋体" w:cs="宋体"/>
          <w:color w:val="auto"/>
          <w:sz w:val="22"/>
          <w:szCs w:val="22"/>
        </w:rPr>
        <w:t xml:space="preserve">   </w:t>
      </w:r>
      <w:r>
        <w:rPr>
          <w:rFonts w:hint="eastAsia" w:ascii="宋体" w:hAnsi="宋体" w:eastAsia="宋体" w:cs="宋体"/>
          <w:color w:val="auto"/>
          <w:sz w:val="22"/>
          <w:szCs w:val="22"/>
        </w:rPr>
        <w:t>（</w:t>
      </w:r>
      <w:r>
        <w:rPr>
          <w:rFonts w:ascii="宋体" w:hAnsi="宋体" w:eastAsia="宋体" w:cs="宋体"/>
          <w:color w:val="auto"/>
          <w:sz w:val="22"/>
          <w:szCs w:val="22"/>
        </w:rPr>
        <w:t>4)甲方有权部分或全部解除合同并要求乙方赔偿由此造成的损失。此时甲方可采取必要的补救措施，相关费用由乙方承担。</w:t>
      </w:r>
    </w:p>
    <w:p>
      <w:pPr>
        <w:spacing w:line="360" w:lineRule="auto"/>
        <w:ind w:firstLine="420"/>
        <w:rPr>
          <w:rFonts w:ascii="宋体" w:hAnsi="宋体" w:eastAsia="宋体" w:cs="宋体"/>
          <w:color w:val="auto"/>
          <w:sz w:val="22"/>
          <w:szCs w:val="22"/>
        </w:rPr>
      </w:pPr>
      <w:r>
        <w:rPr>
          <w:rFonts w:ascii="宋体" w:hAnsi="宋体" w:eastAsia="宋体" w:cs="宋体"/>
          <w:color w:val="auto"/>
          <w:sz w:val="22"/>
          <w:szCs w:val="22"/>
        </w:rPr>
        <w:t>2、如果乙方在收到甲方的违约通知书后七日内未作答复也没有按照甲方选择的方式承担违约责任，则甲方有权从尚未支付的合同价款中扣回索</w:t>
      </w:r>
      <w:r>
        <w:rPr>
          <w:rFonts w:hint="eastAsia" w:ascii="宋体" w:hAnsi="宋体" w:eastAsia="宋体" w:cs="宋体"/>
          <w:color w:val="auto"/>
          <w:sz w:val="22"/>
          <w:szCs w:val="22"/>
        </w:rPr>
        <w:t>赔</w:t>
      </w:r>
      <w:r>
        <w:rPr>
          <w:rFonts w:ascii="宋体" w:hAnsi="宋体" w:eastAsia="宋体" w:cs="宋体"/>
          <w:color w:val="auto"/>
          <w:sz w:val="22"/>
          <w:szCs w:val="22"/>
        </w:rPr>
        <w:t>金额。如果这些金额不足以补偿，甲方有权向乙方提出不足部分的赔偿要求。</w:t>
      </w:r>
    </w:p>
    <w:p>
      <w:pPr>
        <w:spacing w:line="360" w:lineRule="auto"/>
        <w:rPr>
          <w:rFonts w:ascii="宋体" w:hAnsi="宋体" w:eastAsia="宋体" w:cs="宋体"/>
          <w:color w:val="auto"/>
          <w:sz w:val="22"/>
          <w:szCs w:val="22"/>
        </w:rPr>
      </w:pPr>
      <w:r>
        <w:rPr>
          <w:rFonts w:ascii="宋体" w:hAnsi="宋体" w:eastAsia="宋体" w:cs="宋体"/>
          <w:color w:val="auto"/>
          <w:sz w:val="22"/>
          <w:szCs w:val="22"/>
        </w:rPr>
        <w:t xml:space="preserve">    3、如乙方延期交货或甲方延期付款，每逾期一日，违约方应按本批合同金额1%向对方支付违约金，但该违约金累计不超过本批合同金额的5%，逾期超过5日，守约方有权解除合同，并要求违约方赔偿由此造成的损失。</w:t>
      </w:r>
    </w:p>
    <w:p>
      <w:pPr>
        <w:spacing w:line="360" w:lineRule="auto"/>
        <w:rPr>
          <w:rFonts w:ascii="宋体" w:hAnsi="宋体" w:eastAsia="宋体" w:cs="宋体"/>
          <w:color w:val="auto"/>
          <w:sz w:val="22"/>
          <w:szCs w:val="22"/>
        </w:rPr>
      </w:pPr>
      <w:r>
        <w:rPr>
          <w:rFonts w:ascii="宋体" w:hAnsi="宋体" w:eastAsia="宋体" w:cs="宋体"/>
          <w:color w:val="auto"/>
          <w:sz w:val="22"/>
          <w:szCs w:val="22"/>
        </w:rPr>
        <w:t xml:space="preserve">    4、乙方如采用达不到规格要求的松树注射免疫剂，甲方一律不计价承认。</w:t>
      </w:r>
    </w:p>
    <w:p>
      <w:pPr>
        <w:spacing w:line="360" w:lineRule="auto"/>
        <w:rPr>
          <w:rFonts w:ascii="宋体" w:hAnsi="宋体" w:eastAsia="宋体" w:cs="宋体"/>
          <w:color w:val="auto"/>
          <w:sz w:val="22"/>
          <w:szCs w:val="22"/>
        </w:rPr>
      </w:pPr>
      <w:r>
        <w:rPr>
          <w:rFonts w:ascii="宋体" w:hAnsi="宋体" w:eastAsia="宋体" w:cs="宋体"/>
          <w:color w:val="auto"/>
          <w:sz w:val="22"/>
          <w:szCs w:val="22"/>
        </w:rPr>
        <w:t xml:space="preserve">    5、如任何一方无故解除合同或有其他违约行为，应向对方支付合同金额5%的违约金。</w:t>
      </w:r>
    </w:p>
    <w:p>
      <w:pPr>
        <w:spacing w:line="360" w:lineRule="auto"/>
        <w:ind w:firstLine="420"/>
        <w:rPr>
          <w:rFonts w:ascii="宋体" w:hAnsi="宋体" w:eastAsia="宋体" w:cs="宋体"/>
          <w:color w:val="auto"/>
          <w:sz w:val="22"/>
          <w:szCs w:val="22"/>
        </w:rPr>
      </w:pPr>
      <w:r>
        <w:rPr>
          <w:rFonts w:hint="eastAsia" w:ascii="宋体" w:hAnsi="宋体" w:eastAsia="宋体" w:cs="宋体"/>
          <w:color w:val="auto"/>
          <w:sz w:val="22"/>
          <w:szCs w:val="22"/>
        </w:rPr>
        <w:t>十</w:t>
      </w:r>
      <w:r>
        <w:rPr>
          <w:rFonts w:ascii="宋体" w:hAnsi="宋体" w:eastAsia="宋体" w:cs="宋体"/>
          <w:color w:val="auto"/>
          <w:sz w:val="22"/>
          <w:szCs w:val="22"/>
        </w:rPr>
        <w:t>、因本合同而引起的纠纷采用以下方式解决：</w:t>
      </w:r>
    </w:p>
    <w:p>
      <w:pPr>
        <w:spacing w:line="360" w:lineRule="auto"/>
        <w:rPr>
          <w:rFonts w:ascii="宋体" w:hAnsi="宋体" w:eastAsia="宋体" w:cs="宋体"/>
          <w:color w:val="auto"/>
          <w:sz w:val="22"/>
          <w:szCs w:val="22"/>
        </w:rPr>
      </w:pPr>
      <w:r>
        <w:rPr>
          <w:rFonts w:ascii="宋体" w:hAnsi="宋体" w:eastAsia="宋体" w:cs="宋体"/>
          <w:color w:val="auto"/>
          <w:sz w:val="22"/>
          <w:szCs w:val="22"/>
        </w:rPr>
        <w:t xml:space="preserve">    1、双方协商解决：</w:t>
      </w:r>
    </w:p>
    <w:p>
      <w:pPr>
        <w:spacing w:line="360" w:lineRule="auto"/>
        <w:rPr>
          <w:rFonts w:ascii="宋体" w:hAnsi="宋体" w:eastAsia="宋体" w:cs="宋体"/>
          <w:color w:val="auto"/>
          <w:sz w:val="22"/>
          <w:szCs w:val="22"/>
        </w:rPr>
      </w:pPr>
      <w:r>
        <w:rPr>
          <w:rFonts w:hint="eastAsia" w:ascii="宋体" w:hAnsi="宋体" w:eastAsia="宋体" w:cs="宋体"/>
          <w:color w:val="auto"/>
          <w:sz w:val="22"/>
          <w:szCs w:val="22"/>
        </w:rPr>
        <w:t xml:space="preserve">    </w:t>
      </w:r>
      <w:r>
        <w:rPr>
          <w:rFonts w:ascii="宋体" w:hAnsi="宋体" w:eastAsia="宋体" w:cs="宋体"/>
          <w:color w:val="auto"/>
          <w:sz w:val="22"/>
          <w:szCs w:val="22"/>
        </w:rPr>
        <w:t>2、向中国有管辖权的人民法院提起诉讼。</w:t>
      </w:r>
    </w:p>
    <w:p>
      <w:pPr>
        <w:spacing w:line="360" w:lineRule="auto"/>
        <w:ind w:firstLine="420"/>
        <w:rPr>
          <w:rFonts w:ascii="宋体" w:hAnsi="宋体" w:eastAsia="宋体" w:cs="宋体"/>
          <w:color w:val="auto"/>
          <w:sz w:val="22"/>
          <w:szCs w:val="22"/>
        </w:rPr>
      </w:pPr>
      <w:r>
        <w:rPr>
          <w:rFonts w:hint="eastAsia" w:ascii="宋体" w:hAnsi="宋体" w:eastAsia="宋体" w:cs="宋体"/>
          <w:color w:val="auto"/>
          <w:sz w:val="22"/>
          <w:szCs w:val="22"/>
        </w:rPr>
        <w:t>十一</w:t>
      </w:r>
      <w:r>
        <w:rPr>
          <w:rFonts w:ascii="宋体" w:hAnsi="宋体" w:eastAsia="宋体" w:cs="宋体"/>
          <w:color w:val="auto"/>
          <w:sz w:val="22"/>
          <w:szCs w:val="22"/>
        </w:rPr>
        <w:t>、其他约定事项：</w:t>
      </w:r>
    </w:p>
    <w:p>
      <w:pPr>
        <w:spacing w:line="360" w:lineRule="auto"/>
        <w:rPr>
          <w:rFonts w:ascii="宋体" w:hAnsi="宋体" w:eastAsia="宋体" w:cs="宋体"/>
          <w:color w:val="auto"/>
          <w:sz w:val="22"/>
          <w:szCs w:val="22"/>
        </w:rPr>
      </w:pPr>
      <w:r>
        <w:rPr>
          <w:rFonts w:ascii="宋体" w:hAnsi="宋体" w:eastAsia="宋体" w:cs="宋体"/>
          <w:color w:val="auto"/>
          <w:sz w:val="22"/>
          <w:szCs w:val="22"/>
        </w:rPr>
        <w:t xml:space="preserve">    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spacing w:line="360" w:lineRule="auto"/>
        <w:rPr>
          <w:rFonts w:ascii="宋体" w:hAnsi="宋体" w:eastAsia="宋体" w:cs="宋体"/>
          <w:color w:val="auto"/>
          <w:sz w:val="22"/>
          <w:szCs w:val="22"/>
        </w:rPr>
      </w:pPr>
      <w:r>
        <w:rPr>
          <w:rFonts w:ascii="宋体" w:hAnsi="宋体" w:eastAsia="宋体" w:cs="宋体"/>
          <w:color w:val="auto"/>
          <w:sz w:val="22"/>
          <w:szCs w:val="22"/>
        </w:rPr>
        <w:t xml:space="preserve">    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spacing w:line="360" w:lineRule="auto"/>
        <w:rPr>
          <w:rFonts w:ascii="宋体" w:hAnsi="宋体" w:eastAsia="宋体" w:cs="宋体"/>
          <w:color w:val="auto"/>
          <w:sz w:val="22"/>
          <w:szCs w:val="22"/>
        </w:rPr>
      </w:pPr>
      <w:r>
        <w:rPr>
          <w:rFonts w:ascii="宋体" w:hAnsi="宋体" w:eastAsia="宋体" w:cs="宋体"/>
          <w:color w:val="auto"/>
          <w:sz w:val="22"/>
          <w:szCs w:val="22"/>
        </w:rPr>
        <w:t xml:space="preserve">    3、松树注射免疫剂到场后，经验收合格签证认可后，乙方供货服务完成</w:t>
      </w:r>
      <w:r>
        <w:rPr>
          <w:rFonts w:hint="eastAsia" w:ascii="宋体" w:hAnsi="宋体" w:eastAsia="宋体" w:cs="宋体"/>
          <w:color w:val="auto"/>
          <w:sz w:val="22"/>
          <w:szCs w:val="22"/>
        </w:rPr>
        <w:t>。</w:t>
      </w:r>
    </w:p>
    <w:p>
      <w:pPr>
        <w:spacing w:line="360" w:lineRule="auto"/>
        <w:rPr>
          <w:rFonts w:ascii="宋体" w:hAnsi="宋体" w:eastAsia="宋体" w:cs="宋体"/>
          <w:color w:val="auto"/>
          <w:sz w:val="22"/>
          <w:szCs w:val="22"/>
        </w:rPr>
      </w:pPr>
      <w:r>
        <w:rPr>
          <w:rFonts w:ascii="宋体" w:hAnsi="宋体" w:eastAsia="宋体" w:cs="宋体"/>
          <w:color w:val="auto"/>
          <w:sz w:val="22"/>
          <w:szCs w:val="22"/>
        </w:rPr>
        <w:t xml:space="preserve">    4、本项目(</w:t>
      </w:r>
      <w:r>
        <w:rPr>
          <w:rFonts w:hint="eastAsia" w:ascii="宋体" w:hAnsi="宋体" w:eastAsia="宋体" w:cs="宋体"/>
          <w:color w:val="auto"/>
          <w:sz w:val="22"/>
          <w:szCs w:val="22"/>
        </w:rPr>
        <w:t>项目编号：</w:t>
      </w:r>
      <w:r>
        <w:rPr>
          <w:rFonts w:hint="eastAsia" w:ascii="宋体" w:hAnsi="宋体" w:eastAsia="宋体" w:cs="宋体"/>
          <w:color w:val="auto"/>
          <w:sz w:val="22"/>
          <w:szCs w:val="22"/>
          <w:u w:val="single"/>
        </w:rPr>
        <w:t xml:space="preserve">            </w:t>
      </w:r>
      <w:r>
        <w:rPr>
          <w:rFonts w:ascii="宋体" w:hAnsi="宋体" w:eastAsia="宋体" w:cs="宋体"/>
          <w:color w:val="auto"/>
          <w:sz w:val="22"/>
          <w:szCs w:val="22"/>
        </w:rPr>
        <w:t>)采购文件以及报价文件、询标记录是本合同不可分割的组成部分，本合同未尽事宜从其规定。</w:t>
      </w:r>
    </w:p>
    <w:p>
      <w:pPr>
        <w:spacing w:line="360" w:lineRule="auto"/>
        <w:rPr>
          <w:rFonts w:ascii="宋体" w:hAnsi="宋体" w:eastAsia="宋体" w:cs="宋体"/>
          <w:color w:val="auto"/>
          <w:sz w:val="22"/>
          <w:szCs w:val="22"/>
        </w:rPr>
      </w:pPr>
      <w:r>
        <w:rPr>
          <w:rFonts w:ascii="宋体" w:hAnsi="宋体" w:eastAsia="宋体" w:cs="宋体"/>
          <w:color w:val="auto"/>
          <w:sz w:val="22"/>
          <w:szCs w:val="22"/>
        </w:rPr>
        <w:t xml:space="preserve">    5、本合同一式</w:t>
      </w:r>
      <w:r>
        <w:rPr>
          <w:rFonts w:hint="eastAsia" w:ascii="宋体" w:hAnsi="宋体" w:eastAsia="宋体" w:cs="宋体"/>
          <w:color w:val="auto"/>
          <w:sz w:val="22"/>
          <w:szCs w:val="22"/>
        </w:rPr>
        <w:t>陆份</w:t>
      </w:r>
      <w:r>
        <w:rPr>
          <w:rFonts w:ascii="宋体" w:hAnsi="宋体" w:eastAsia="宋体" w:cs="宋体"/>
          <w:color w:val="auto"/>
          <w:sz w:val="22"/>
          <w:szCs w:val="22"/>
        </w:rPr>
        <w:t>，乙方、甲方各两</w:t>
      </w:r>
      <w:r>
        <w:rPr>
          <w:rFonts w:hint="eastAsia" w:ascii="宋体" w:hAnsi="宋体" w:eastAsia="宋体" w:cs="宋体"/>
          <w:color w:val="auto"/>
          <w:sz w:val="22"/>
          <w:szCs w:val="22"/>
        </w:rPr>
        <w:t>份</w:t>
      </w:r>
      <w:r>
        <w:rPr>
          <w:rFonts w:ascii="宋体" w:hAnsi="宋体" w:eastAsia="宋体" w:cs="宋体"/>
          <w:color w:val="auto"/>
          <w:sz w:val="22"/>
          <w:szCs w:val="22"/>
        </w:rPr>
        <w:t>，采购代理机构</w:t>
      </w:r>
      <w:r>
        <w:rPr>
          <w:rFonts w:hint="eastAsia" w:ascii="宋体" w:hAnsi="宋体" w:eastAsia="宋体" w:cs="宋体"/>
          <w:color w:val="auto"/>
          <w:sz w:val="22"/>
          <w:szCs w:val="22"/>
        </w:rPr>
        <w:t>一份，泰顺县公共资源交易中心一份</w:t>
      </w:r>
      <w:r>
        <w:rPr>
          <w:rFonts w:ascii="宋体" w:hAnsi="宋体" w:eastAsia="宋体" w:cs="宋体"/>
          <w:color w:val="auto"/>
          <w:sz w:val="22"/>
          <w:szCs w:val="22"/>
        </w:rPr>
        <w:t>，由乙方在合同生效后三日内向采购代理机构上报。</w:t>
      </w:r>
    </w:p>
    <w:p>
      <w:pPr>
        <w:spacing w:line="360" w:lineRule="auto"/>
        <w:rPr>
          <w:rFonts w:ascii="宋体" w:hAnsi="宋体" w:eastAsia="宋体" w:cs="宋体"/>
          <w:color w:val="auto"/>
          <w:sz w:val="22"/>
          <w:szCs w:val="22"/>
        </w:rPr>
      </w:pPr>
      <w:r>
        <w:rPr>
          <w:rFonts w:ascii="宋体" w:hAnsi="宋体" w:eastAsia="宋体" w:cs="宋体"/>
          <w:color w:val="auto"/>
          <w:sz w:val="22"/>
          <w:szCs w:val="22"/>
        </w:rPr>
        <w:t xml:space="preserve">    6、本合同经供需双方签字、盖章后生效。</w:t>
      </w:r>
    </w:p>
    <w:p>
      <w:pPr>
        <w:spacing w:line="360" w:lineRule="auto"/>
        <w:rPr>
          <w:rFonts w:ascii="宋体" w:hAnsi="宋体" w:eastAsia="宋体" w:cs="宋体"/>
          <w:color w:val="auto"/>
          <w:sz w:val="22"/>
          <w:szCs w:val="22"/>
        </w:rPr>
      </w:pPr>
      <w:r>
        <w:rPr>
          <w:rFonts w:hint="eastAsia" w:ascii="宋体" w:hAnsi="宋体" w:eastAsia="宋体" w:cs="宋体"/>
          <w:color w:val="auto"/>
          <w:sz w:val="22"/>
          <w:szCs w:val="22"/>
        </w:rPr>
        <w:t>甲方（签章）：                               乙方（签章）：</w:t>
      </w:r>
    </w:p>
    <w:p>
      <w:pPr>
        <w:spacing w:line="360" w:lineRule="auto"/>
        <w:rPr>
          <w:rFonts w:ascii="宋体" w:hAnsi="宋体" w:eastAsia="宋体" w:cs="宋体"/>
          <w:color w:val="auto"/>
          <w:sz w:val="22"/>
          <w:szCs w:val="22"/>
        </w:rPr>
      </w:pPr>
    </w:p>
    <w:p>
      <w:pPr>
        <w:spacing w:line="360" w:lineRule="auto"/>
        <w:rPr>
          <w:rFonts w:ascii="宋体" w:hAnsi="宋体" w:eastAsia="宋体" w:cs="宋体"/>
          <w:color w:val="auto"/>
          <w:sz w:val="22"/>
          <w:szCs w:val="22"/>
        </w:rPr>
      </w:pPr>
      <w:r>
        <w:rPr>
          <w:rFonts w:hint="eastAsia" w:ascii="宋体" w:hAnsi="宋体" w:eastAsia="宋体" w:cs="宋体"/>
          <w:color w:val="auto"/>
          <w:sz w:val="22"/>
          <w:szCs w:val="22"/>
        </w:rPr>
        <w:t>法人或授权人签字：                          法人或授权人签字：</w:t>
      </w:r>
    </w:p>
    <w:p>
      <w:pPr>
        <w:spacing w:line="360" w:lineRule="auto"/>
        <w:rPr>
          <w:rFonts w:ascii="宋体" w:hAnsi="宋体" w:eastAsia="宋体" w:cs="宋体"/>
          <w:color w:val="auto"/>
          <w:sz w:val="22"/>
          <w:szCs w:val="22"/>
        </w:rPr>
      </w:pPr>
    </w:p>
    <w:p>
      <w:pPr>
        <w:spacing w:line="360" w:lineRule="auto"/>
        <w:rPr>
          <w:rFonts w:ascii="宋体" w:hAnsi="宋体" w:eastAsia="宋体" w:cs="宋体"/>
          <w:color w:val="auto"/>
          <w:sz w:val="22"/>
          <w:szCs w:val="22"/>
        </w:rPr>
      </w:pPr>
      <w:r>
        <w:rPr>
          <w:rFonts w:hint="eastAsia" w:ascii="宋体" w:hAnsi="宋体" w:eastAsia="宋体" w:cs="宋体"/>
          <w:color w:val="auto"/>
          <w:sz w:val="22"/>
          <w:szCs w:val="22"/>
        </w:rPr>
        <w:t xml:space="preserve">地址：                                       地  址：  </w:t>
      </w:r>
    </w:p>
    <w:p>
      <w:pPr>
        <w:spacing w:line="360" w:lineRule="auto"/>
        <w:rPr>
          <w:rFonts w:ascii="宋体" w:hAnsi="宋体" w:eastAsia="宋体" w:cs="宋体"/>
          <w:color w:val="auto"/>
          <w:sz w:val="22"/>
          <w:szCs w:val="22"/>
        </w:rPr>
      </w:pPr>
      <w:r>
        <w:rPr>
          <w:rFonts w:hint="eastAsia" w:ascii="宋体" w:hAnsi="宋体" w:eastAsia="宋体" w:cs="宋体"/>
          <w:color w:val="auto"/>
          <w:sz w:val="22"/>
          <w:szCs w:val="22"/>
        </w:rPr>
        <w:t xml:space="preserve"> </w:t>
      </w:r>
    </w:p>
    <w:p>
      <w:pPr>
        <w:spacing w:line="360" w:lineRule="auto"/>
        <w:rPr>
          <w:rFonts w:ascii="宋体" w:hAnsi="宋体" w:eastAsia="宋体" w:cs="宋体"/>
          <w:color w:val="auto"/>
          <w:sz w:val="22"/>
          <w:szCs w:val="22"/>
        </w:rPr>
      </w:pPr>
      <w:r>
        <w:rPr>
          <w:rFonts w:hint="eastAsia" w:ascii="宋体" w:hAnsi="宋体" w:eastAsia="宋体" w:cs="宋体"/>
          <w:color w:val="auto"/>
          <w:sz w:val="22"/>
          <w:szCs w:val="22"/>
        </w:rPr>
        <w:t xml:space="preserve">电话：                                   　  电  话：  </w:t>
      </w:r>
    </w:p>
    <w:p>
      <w:pPr>
        <w:spacing w:line="360" w:lineRule="auto"/>
        <w:rPr>
          <w:rFonts w:ascii="宋体" w:hAnsi="宋体" w:eastAsia="宋体" w:cs="宋体"/>
          <w:color w:val="auto"/>
          <w:sz w:val="22"/>
          <w:szCs w:val="22"/>
        </w:rPr>
      </w:pPr>
    </w:p>
    <w:p>
      <w:pPr>
        <w:spacing w:line="360" w:lineRule="auto"/>
        <w:rPr>
          <w:rFonts w:ascii="宋体" w:hAnsi="宋体" w:eastAsia="宋体" w:cs="宋体"/>
          <w:color w:val="auto"/>
          <w:sz w:val="22"/>
          <w:szCs w:val="22"/>
        </w:rPr>
      </w:pPr>
      <w:r>
        <w:rPr>
          <w:rFonts w:hint="eastAsia" w:ascii="宋体" w:hAnsi="宋体" w:eastAsia="宋体" w:cs="宋体"/>
          <w:color w:val="auto"/>
          <w:sz w:val="22"/>
          <w:szCs w:val="22"/>
        </w:rPr>
        <w:t>合同签订日期：2023年    月   日            合同签订日期：2023年    月   日</w:t>
      </w:r>
    </w:p>
    <w:p>
      <w:pPr>
        <w:spacing w:line="360" w:lineRule="auto"/>
        <w:rPr>
          <w:b/>
          <w:bCs/>
          <w:color w:val="auto"/>
          <w:sz w:val="36"/>
          <w:szCs w:val="36"/>
        </w:rPr>
      </w:pPr>
      <w:r>
        <w:rPr>
          <w:rFonts w:ascii="宋体" w:hAnsi="宋体" w:eastAsia="宋体" w:cs="宋体"/>
          <w:color w:val="auto"/>
          <w:sz w:val="22"/>
          <w:szCs w:val="22"/>
        </w:rPr>
        <w:t xml:space="preserve">   </w:t>
      </w:r>
      <w:r>
        <w:rPr>
          <w:rFonts w:hint="eastAsia" w:ascii="宋体" w:hAnsi="宋体" w:eastAsia="宋体" w:cs="宋体"/>
          <w:color w:val="auto"/>
          <w:sz w:val="22"/>
          <w:szCs w:val="22"/>
        </w:rPr>
        <w:t>注：以上合同条款供采购人及成交供应商作为商务参考，具体签订时，采购人可根据自身项目情况与成交供应商协商另行修改拟定相关合同具体条款。</w:t>
      </w:r>
    </w:p>
    <w:p>
      <w:pPr>
        <w:rPr>
          <w:color w:val="auto"/>
        </w:rPr>
      </w:pPr>
    </w:p>
    <w:p>
      <w:pPr>
        <w:rPr>
          <w:b/>
          <w:bCs/>
          <w:color w:val="auto"/>
          <w:sz w:val="36"/>
          <w:szCs w:val="36"/>
        </w:rPr>
      </w:pPr>
      <w:r>
        <w:rPr>
          <w:rFonts w:hint="eastAsia"/>
          <w:b/>
          <w:bCs/>
          <w:color w:val="auto"/>
          <w:sz w:val="36"/>
          <w:szCs w:val="36"/>
        </w:rPr>
        <w:br w:type="page"/>
      </w:r>
    </w:p>
    <w:p>
      <w:pPr>
        <w:pStyle w:val="15"/>
        <w:adjustRightInd w:val="0"/>
        <w:snapToGrid w:val="0"/>
        <w:spacing w:line="400" w:lineRule="exact"/>
        <w:jc w:val="center"/>
        <w:rPr>
          <w:rFonts w:hAnsi="Times New Roman"/>
          <w:b/>
          <w:bCs/>
          <w:color w:val="auto"/>
          <w:sz w:val="36"/>
          <w:szCs w:val="36"/>
        </w:rPr>
      </w:pPr>
      <w:r>
        <w:rPr>
          <w:rFonts w:hint="eastAsia" w:hAnsi="Times New Roman"/>
          <w:b/>
          <w:bCs/>
          <w:color w:val="auto"/>
          <w:sz w:val="36"/>
          <w:szCs w:val="36"/>
        </w:rPr>
        <w:t>第五部分 投标文件格式</w:t>
      </w:r>
    </w:p>
    <w:p>
      <w:pPr>
        <w:pStyle w:val="15"/>
        <w:adjustRightInd w:val="0"/>
        <w:snapToGrid w:val="0"/>
        <w:spacing w:line="400" w:lineRule="exact"/>
        <w:jc w:val="center"/>
        <w:rPr>
          <w:rFonts w:hAnsi="Times New Roman"/>
          <w:color w:val="auto"/>
          <w:sz w:val="28"/>
          <w:szCs w:val="28"/>
        </w:rPr>
      </w:pPr>
      <w:r>
        <w:rPr>
          <w:rFonts w:hint="eastAsia" w:hAnsi="Times New Roman"/>
          <w:color w:val="auto"/>
          <w:sz w:val="28"/>
          <w:szCs w:val="28"/>
        </w:rPr>
        <w:t>（未提供格式的由投标供应商自拟）</w:t>
      </w:r>
    </w:p>
    <w:bookmarkEnd w:id="56"/>
    <w:p>
      <w:pPr>
        <w:pStyle w:val="15"/>
        <w:adjustRightInd w:val="0"/>
        <w:snapToGrid w:val="0"/>
        <w:spacing w:line="340" w:lineRule="atLeast"/>
        <w:rPr>
          <w:rFonts w:hAnsi="宋体"/>
          <w:color w:val="auto"/>
          <w:sz w:val="32"/>
          <w:szCs w:val="32"/>
        </w:rPr>
      </w:pPr>
      <w:r>
        <w:rPr>
          <w:rFonts w:hint="eastAsia" w:hAnsi="宋体"/>
          <w:b/>
          <w:bCs/>
          <w:color w:val="auto"/>
          <w:sz w:val="32"/>
          <w:szCs w:val="32"/>
        </w:rPr>
        <w:t>附件一</w:t>
      </w:r>
      <w:r>
        <w:rPr>
          <w:rFonts w:hint="eastAsia" w:hAnsi="宋体"/>
          <w:color w:val="auto"/>
          <w:sz w:val="32"/>
          <w:szCs w:val="32"/>
        </w:rPr>
        <w:t xml:space="preserve">      </w:t>
      </w:r>
    </w:p>
    <w:p>
      <w:pPr>
        <w:jc w:val="center"/>
        <w:rPr>
          <w:rFonts w:ascii="宋体"/>
          <w:color w:val="auto"/>
          <w:sz w:val="36"/>
          <w:szCs w:val="36"/>
          <w:lang w:val="zh-CN"/>
        </w:rPr>
      </w:pPr>
      <w:r>
        <w:rPr>
          <w:rFonts w:hint="eastAsia" w:ascii="宋体"/>
          <w:color w:val="auto"/>
          <w:sz w:val="36"/>
          <w:szCs w:val="36"/>
          <w:lang w:val="zh-CN"/>
        </w:rPr>
        <w:t>投标报价一览表</w:t>
      </w:r>
    </w:p>
    <w:p>
      <w:pPr>
        <w:autoSpaceDE w:val="0"/>
        <w:autoSpaceDN w:val="0"/>
        <w:adjustRightInd w:val="0"/>
        <w:spacing w:line="400" w:lineRule="exact"/>
        <w:rPr>
          <w:color w:val="auto"/>
          <w:sz w:val="22"/>
        </w:rPr>
      </w:pPr>
      <w:r>
        <w:rPr>
          <w:rFonts w:hint="eastAsia"/>
          <w:color w:val="auto"/>
          <w:sz w:val="22"/>
        </w:rPr>
        <w:t xml:space="preserve">项目名称：                                                    </w:t>
      </w:r>
    </w:p>
    <w:p>
      <w:pPr>
        <w:autoSpaceDE w:val="0"/>
        <w:autoSpaceDN w:val="0"/>
        <w:adjustRightInd w:val="0"/>
        <w:spacing w:line="400" w:lineRule="exact"/>
        <w:rPr>
          <w:color w:val="auto"/>
          <w:sz w:val="22"/>
        </w:rPr>
      </w:pPr>
      <w:r>
        <w:rPr>
          <w:rFonts w:hint="eastAsia"/>
          <w:color w:val="auto"/>
          <w:sz w:val="22"/>
        </w:rPr>
        <w:t>项目编号：</w:t>
      </w:r>
    </w:p>
    <w:tbl>
      <w:tblPr>
        <w:tblStyle w:val="28"/>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1038"/>
        <w:gridCol w:w="1275"/>
        <w:gridCol w:w="618"/>
        <w:gridCol w:w="467"/>
        <w:gridCol w:w="1822"/>
        <w:gridCol w:w="2893"/>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522" w:type="dxa"/>
            <w:vAlign w:val="center"/>
          </w:tcPr>
          <w:p>
            <w:pPr>
              <w:widowControl/>
              <w:jc w:val="center"/>
              <w:rPr>
                <w:rFonts w:ascii="宋体" w:hAnsi="宋体" w:cs="宋体"/>
                <w:b/>
                <w:bCs/>
                <w:color w:val="auto"/>
                <w:kern w:val="0"/>
                <w:sz w:val="22"/>
              </w:rPr>
            </w:pPr>
            <w:r>
              <w:rPr>
                <w:rFonts w:ascii="宋体" w:hAnsi="宋体" w:cs="宋体"/>
                <w:b/>
                <w:bCs/>
                <w:color w:val="auto"/>
                <w:kern w:val="0"/>
                <w:sz w:val="22"/>
              </w:rPr>
              <w:t>序号</w:t>
            </w:r>
          </w:p>
        </w:tc>
        <w:tc>
          <w:tcPr>
            <w:tcW w:w="1038" w:type="dxa"/>
            <w:vAlign w:val="center"/>
          </w:tcPr>
          <w:p>
            <w:pPr>
              <w:spacing w:line="400" w:lineRule="exact"/>
              <w:jc w:val="center"/>
              <w:rPr>
                <w:rFonts w:ascii="宋体" w:hAnsi="宋体" w:eastAsia="宋体" w:cs="宋体"/>
                <w:b/>
                <w:bCs/>
                <w:color w:val="auto"/>
                <w:sz w:val="22"/>
                <w:szCs w:val="22"/>
              </w:rPr>
            </w:pPr>
            <w:r>
              <w:rPr>
                <w:rFonts w:hint="eastAsia" w:ascii="宋体" w:hAnsi="宋体" w:eastAsia="宋体" w:cs="宋体"/>
                <w:b/>
                <w:bCs/>
                <w:color w:val="auto"/>
                <w:sz w:val="22"/>
                <w:szCs w:val="22"/>
              </w:rPr>
              <w:t>采购内容</w:t>
            </w:r>
          </w:p>
        </w:tc>
        <w:tc>
          <w:tcPr>
            <w:tcW w:w="1275" w:type="dxa"/>
            <w:vAlign w:val="center"/>
          </w:tcPr>
          <w:p>
            <w:pPr>
              <w:spacing w:line="400" w:lineRule="exact"/>
              <w:jc w:val="center"/>
              <w:rPr>
                <w:rFonts w:ascii="宋体" w:hAnsi="宋体" w:eastAsia="宋体" w:cs="宋体"/>
                <w:b/>
                <w:bCs/>
                <w:color w:val="auto"/>
                <w:sz w:val="22"/>
                <w:szCs w:val="22"/>
              </w:rPr>
            </w:pPr>
            <w:r>
              <w:rPr>
                <w:rFonts w:hint="eastAsia" w:ascii="宋体" w:hAnsi="宋体" w:eastAsia="宋体" w:cs="宋体"/>
                <w:b/>
                <w:bCs/>
                <w:color w:val="auto"/>
                <w:sz w:val="22"/>
                <w:szCs w:val="22"/>
              </w:rPr>
              <w:t>采购明细</w:t>
            </w:r>
          </w:p>
        </w:tc>
        <w:tc>
          <w:tcPr>
            <w:tcW w:w="1085" w:type="dxa"/>
            <w:gridSpan w:val="2"/>
            <w:vAlign w:val="center"/>
          </w:tcPr>
          <w:p>
            <w:pPr>
              <w:spacing w:line="400" w:lineRule="exact"/>
              <w:jc w:val="center"/>
              <w:rPr>
                <w:rFonts w:ascii="宋体" w:hAnsi="宋体" w:eastAsia="宋体" w:cs="宋体"/>
                <w:b/>
                <w:bCs/>
                <w:color w:val="auto"/>
                <w:kern w:val="0"/>
                <w:sz w:val="22"/>
              </w:rPr>
            </w:pPr>
            <w:r>
              <w:rPr>
                <w:rFonts w:hint="eastAsia" w:ascii="宋体" w:hAnsi="宋体" w:cs="宋体"/>
                <w:b/>
                <w:bCs/>
                <w:color w:val="auto"/>
                <w:kern w:val="0"/>
                <w:sz w:val="22"/>
              </w:rPr>
              <w:t>数量</w:t>
            </w:r>
          </w:p>
        </w:tc>
        <w:tc>
          <w:tcPr>
            <w:tcW w:w="1822" w:type="dxa"/>
            <w:vAlign w:val="center"/>
          </w:tcPr>
          <w:p>
            <w:pPr>
              <w:spacing w:line="400" w:lineRule="exact"/>
              <w:jc w:val="center"/>
              <w:rPr>
                <w:rFonts w:ascii="宋体" w:hAnsi="宋体" w:cs="宋体"/>
                <w:b/>
                <w:bCs/>
                <w:color w:val="auto"/>
                <w:kern w:val="0"/>
                <w:sz w:val="22"/>
              </w:rPr>
            </w:pPr>
            <w:r>
              <w:rPr>
                <w:rFonts w:hint="eastAsia" w:ascii="宋体" w:hAnsi="宋体" w:cs="宋体"/>
                <w:b/>
                <w:bCs/>
                <w:color w:val="auto"/>
                <w:kern w:val="0"/>
                <w:sz w:val="22"/>
              </w:rPr>
              <w:t>投标报价单价</w:t>
            </w:r>
            <w:r>
              <w:rPr>
                <w:rFonts w:hint="eastAsia" w:ascii="宋体" w:hAnsi="宋体" w:eastAsia="宋体" w:cs="宋体"/>
                <w:b/>
                <w:bCs/>
                <w:color w:val="auto"/>
                <w:sz w:val="22"/>
                <w:szCs w:val="22"/>
              </w:rPr>
              <w:t>(元)/支</w:t>
            </w:r>
          </w:p>
        </w:tc>
        <w:tc>
          <w:tcPr>
            <w:tcW w:w="2893" w:type="dxa"/>
            <w:vAlign w:val="center"/>
          </w:tcPr>
          <w:p>
            <w:pPr>
              <w:spacing w:line="400" w:lineRule="exact"/>
              <w:jc w:val="center"/>
              <w:rPr>
                <w:rFonts w:ascii="宋体" w:hAnsi="宋体" w:cs="宋体"/>
                <w:b/>
                <w:bCs/>
                <w:color w:val="auto"/>
                <w:kern w:val="0"/>
                <w:sz w:val="22"/>
              </w:rPr>
            </w:pPr>
            <w:r>
              <w:rPr>
                <w:rFonts w:hint="eastAsia" w:ascii="宋体" w:hAnsi="宋体" w:cs="宋体"/>
                <w:b/>
                <w:bCs/>
                <w:color w:val="auto"/>
                <w:kern w:val="0"/>
                <w:sz w:val="22"/>
              </w:rPr>
              <w:t>投标报价总价</w:t>
            </w:r>
          </w:p>
        </w:tc>
        <w:tc>
          <w:tcPr>
            <w:tcW w:w="1218" w:type="dxa"/>
            <w:vAlign w:val="center"/>
          </w:tcPr>
          <w:p>
            <w:pPr>
              <w:spacing w:line="400" w:lineRule="exact"/>
              <w:jc w:val="center"/>
              <w:rPr>
                <w:rFonts w:ascii="宋体" w:hAnsi="宋体" w:eastAsia="宋体" w:cs="宋体"/>
                <w:b/>
                <w:bCs/>
                <w:color w:val="auto"/>
                <w:kern w:val="0"/>
                <w:sz w:val="22"/>
              </w:rPr>
            </w:pPr>
            <w:r>
              <w:rPr>
                <w:rFonts w:hint="eastAsia" w:ascii="宋体" w:hAnsi="宋体" w:cs="宋体"/>
                <w:b/>
                <w:bCs/>
                <w:color w:val="auto"/>
                <w:kern w:val="0"/>
                <w:sz w:val="22"/>
              </w:rPr>
              <w:t>最高限价总价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522" w:type="dxa"/>
            <w:vMerge w:val="restart"/>
            <w:vAlign w:val="center"/>
          </w:tcPr>
          <w:p>
            <w:pPr>
              <w:widowControl/>
              <w:jc w:val="center"/>
              <w:textAlignment w:val="center"/>
              <w:rPr>
                <w:rFonts w:ascii="宋体" w:hAnsi="宋体" w:cs="宋体"/>
                <w:b/>
                <w:bCs/>
                <w:color w:val="auto"/>
                <w:sz w:val="22"/>
              </w:rPr>
            </w:pPr>
            <w:r>
              <w:rPr>
                <w:rFonts w:ascii="宋体" w:hAnsi="宋体" w:eastAsia="宋体" w:cs="宋体"/>
                <w:color w:val="auto"/>
                <w:kern w:val="0"/>
                <w:sz w:val="22"/>
              </w:rPr>
              <w:t>1</w:t>
            </w:r>
          </w:p>
        </w:tc>
        <w:tc>
          <w:tcPr>
            <w:tcW w:w="1038" w:type="dxa"/>
            <w:vMerge w:val="restart"/>
            <w:vAlign w:val="center"/>
          </w:tcPr>
          <w:p>
            <w:pPr>
              <w:widowControl/>
              <w:spacing w:line="300" w:lineRule="exact"/>
              <w:jc w:val="center"/>
              <w:textAlignment w:val="center"/>
              <w:rPr>
                <w:rFonts w:ascii="宋体" w:hAnsi="宋体" w:cs="宋体"/>
                <w:color w:val="auto"/>
                <w:kern w:val="0"/>
                <w:sz w:val="22"/>
              </w:rPr>
            </w:pPr>
            <w:r>
              <w:rPr>
                <w:rFonts w:hint="eastAsia" w:ascii="宋体" w:hAnsi="宋体" w:eastAsia="宋体" w:cs="Times New Roman"/>
                <w:color w:val="auto"/>
                <w:sz w:val="22"/>
              </w:rPr>
              <w:t>泰顺县2022年-2023年度松树打孔注药防治松材线虫病服务项目</w:t>
            </w:r>
          </w:p>
        </w:tc>
        <w:tc>
          <w:tcPr>
            <w:tcW w:w="1275" w:type="dxa"/>
            <w:vAlign w:val="center"/>
          </w:tcPr>
          <w:p>
            <w:pPr>
              <w:widowControl/>
              <w:spacing w:line="300" w:lineRule="exact"/>
              <w:jc w:val="center"/>
              <w:textAlignment w:val="center"/>
              <w:rPr>
                <w:rFonts w:ascii="宋体" w:hAnsi="宋体" w:cs="宋体"/>
                <w:color w:val="auto"/>
                <w:kern w:val="0"/>
                <w:sz w:val="22"/>
              </w:rPr>
            </w:pPr>
            <w:r>
              <w:rPr>
                <w:rFonts w:hint="eastAsia" w:ascii="宋体" w:hAnsi="宋体" w:eastAsia="宋体" w:cs="Times New Roman"/>
                <w:color w:val="auto"/>
                <w:sz w:val="22"/>
              </w:rPr>
              <w:t>打孔注药服务（含药剂）</w:t>
            </w:r>
          </w:p>
        </w:tc>
        <w:tc>
          <w:tcPr>
            <w:tcW w:w="1085" w:type="dxa"/>
            <w:gridSpan w:val="2"/>
            <w:vAlign w:val="center"/>
          </w:tcPr>
          <w:p>
            <w:pPr>
              <w:widowControl/>
              <w:spacing w:line="360" w:lineRule="auto"/>
              <w:jc w:val="center"/>
              <w:textAlignment w:val="center"/>
              <w:rPr>
                <w:rFonts w:ascii="宋体" w:hAnsi="宋体" w:cs="宋体"/>
                <w:color w:val="auto"/>
                <w:kern w:val="0"/>
                <w:sz w:val="22"/>
              </w:rPr>
            </w:pPr>
            <w:r>
              <w:rPr>
                <w:rFonts w:hint="eastAsia" w:ascii="宋体" w:hAnsi="宋体" w:cs="宋体"/>
                <w:color w:val="auto"/>
                <w:kern w:val="0"/>
                <w:sz w:val="22"/>
              </w:rPr>
              <w:t>143000瓶</w:t>
            </w:r>
          </w:p>
        </w:tc>
        <w:tc>
          <w:tcPr>
            <w:tcW w:w="1822" w:type="dxa"/>
            <w:vAlign w:val="center"/>
          </w:tcPr>
          <w:p>
            <w:pPr>
              <w:widowControl/>
              <w:jc w:val="left"/>
              <w:textAlignment w:val="center"/>
              <w:rPr>
                <w:rFonts w:ascii="宋体" w:hAnsi="宋体" w:cs="宋体"/>
                <w:color w:val="auto"/>
                <w:sz w:val="22"/>
              </w:rPr>
            </w:pPr>
          </w:p>
        </w:tc>
        <w:tc>
          <w:tcPr>
            <w:tcW w:w="2893" w:type="dxa"/>
            <w:vAlign w:val="center"/>
          </w:tcPr>
          <w:p>
            <w:pPr>
              <w:widowControl/>
              <w:jc w:val="left"/>
              <w:textAlignment w:val="center"/>
              <w:rPr>
                <w:rFonts w:ascii="宋体" w:hAnsi="宋体" w:cs="宋体"/>
                <w:color w:val="auto"/>
                <w:sz w:val="22"/>
                <w:u w:val="single"/>
              </w:rPr>
            </w:pPr>
            <w:r>
              <w:rPr>
                <w:rFonts w:hint="eastAsia" w:ascii="宋体" w:hAnsi="宋体" w:cs="宋体"/>
                <w:color w:val="auto"/>
                <w:sz w:val="22"/>
              </w:rPr>
              <w:t>大写：</w:t>
            </w:r>
            <w:r>
              <w:rPr>
                <w:rFonts w:hint="eastAsia" w:ascii="宋体" w:hAnsi="宋体" w:cs="宋体"/>
                <w:color w:val="auto"/>
                <w:sz w:val="22"/>
                <w:u w:val="single"/>
              </w:rPr>
              <w:t xml:space="preserve">                        </w:t>
            </w:r>
          </w:p>
          <w:p>
            <w:pPr>
              <w:widowControl/>
              <w:jc w:val="left"/>
              <w:textAlignment w:val="center"/>
              <w:rPr>
                <w:rFonts w:ascii="宋体" w:hAnsi="宋体" w:cs="宋体"/>
                <w:color w:val="auto"/>
                <w:kern w:val="0"/>
                <w:sz w:val="22"/>
              </w:rPr>
            </w:pPr>
            <w:r>
              <w:rPr>
                <w:rFonts w:hint="eastAsia" w:ascii="宋体" w:hAnsi="宋体" w:cs="宋体"/>
                <w:color w:val="auto"/>
                <w:sz w:val="22"/>
              </w:rPr>
              <w:t>小写：</w:t>
            </w:r>
            <w:r>
              <w:rPr>
                <w:rFonts w:hint="eastAsia" w:ascii="宋体" w:hAnsi="宋体" w:cs="宋体"/>
                <w:color w:val="auto"/>
                <w:sz w:val="22"/>
                <w:u w:val="single"/>
              </w:rPr>
              <w:t xml:space="preserve">                        </w:t>
            </w:r>
          </w:p>
        </w:tc>
        <w:tc>
          <w:tcPr>
            <w:tcW w:w="1218" w:type="dxa"/>
            <w:vMerge w:val="restart"/>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rPr>
              <w:t>1964400元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522" w:type="dxa"/>
            <w:vMerge w:val="continue"/>
            <w:vAlign w:val="center"/>
          </w:tcPr>
          <w:p>
            <w:pPr>
              <w:widowControl/>
              <w:jc w:val="center"/>
              <w:textAlignment w:val="center"/>
              <w:rPr>
                <w:rFonts w:ascii="宋体" w:hAnsi="宋体" w:eastAsia="宋体" w:cs="宋体"/>
                <w:color w:val="auto"/>
                <w:kern w:val="0"/>
                <w:sz w:val="22"/>
              </w:rPr>
            </w:pPr>
          </w:p>
        </w:tc>
        <w:tc>
          <w:tcPr>
            <w:tcW w:w="1038" w:type="dxa"/>
            <w:vMerge w:val="continue"/>
            <w:vAlign w:val="center"/>
          </w:tcPr>
          <w:p>
            <w:pPr>
              <w:widowControl/>
              <w:spacing w:line="300" w:lineRule="exact"/>
              <w:jc w:val="center"/>
              <w:textAlignment w:val="center"/>
              <w:rPr>
                <w:rFonts w:ascii="宋体" w:hAnsi="宋体" w:cs="宋体"/>
                <w:color w:val="auto"/>
                <w:kern w:val="0"/>
                <w:sz w:val="22"/>
              </w:rPr>
            </w:pPr>
          </w:p>
        </w:tc>
        <w:tc>
          <w:tcPr>
            <w:tcW w:w="1275" w:type="dxa"/>
            <w:vAlign w:val="center"/>
          </w:tcPr>
          <w:p>
            <w:pPr>
              <w:widowControl/>
              <w:spacing w:line="300" w:lineRule="exact"/>
              <w:jc w:val="center"/>
              <w:textAlignment w:val="center"/>
              <w:rPr>
                <w:rFonts w:ascii="宋体" w:hAnsi="宋体" w:cs="宋体"/>
                <w:color w:val="auto"/>
                <w:kern w:val="0"/>
                <w:sz w:val="22"/>
              </w:rPr>
            </w:pPr>
            <w:r>
              <w:rPr>
                <w:rFonts w:hint="eastAsia" w:ascii="宋体" w:hAnsi="宋体" w:eastAsia="宋体" w:cs="宋体"/>
                <w:color w:val="auto"/>
                <w:sz w:val="22"/>
                <w:szCs w:val="22"/>
              </w:rPr>
              <w:t>古松树1130株施工服务费</w:t>
            </w:r>
          </w:p>
        </w:tc>
        <w:tc>
          <w:tcPr>
            <w:tcW w:w="1085" w:type="dxa"/>
            <w:gridSpan w:val="2"/>
            <w:vAlign w:val="center"/>
          </w:tcPr>
          <w:p>
            <w:pPr>
              <w:widowControl/>
              <w:spacing w:line="360" w:lineRule="auto"/>
              <w:jc w:val="center"/>
              <w:textAlignment w:val="center"/>
              <w:rPr>
                <w:rFonts w:ascii="宋体" w:hAnsi="宋体" w:cs="宋体"/>
                <w:color w:val="auto"/>
                <w:kern w:val="0"/>
                <w:sz w:val="22"/>
              </w:rPr>
            </w:pPr>
            <w:r>
              <w:rPr>
                <w:rFonts w:hint="eastAsia" w:ascii="宋体" w:hAnsi="宋体" w:cs="宋体"/>
                <w:color w:val="auto"/>
                <w:kern w:val="0"/>
                <w:sz w:val="22"/>
              </w:rPr>
              <w:t>1项</w:t>
            </w:r>
          </w:p>
        </w:tc>
        <w:tc>
          <w:tcPr>
            <w:tcW w:w="1822" w:type="dxa"/>
            <w:vAlign w:val="center"/>
          </w:tcPr>
          <w:p>
            <w:pPr>
              <w:widowControl/>
              <w:textAlignment w:val="center"/>
              <w:rPr>
                <w:rFonts w:ascii="宋体" w:hAnsi="宋体" w:cs="宋体"/>
                <w:color w:val="auto"/>
                <w:sz w:val="22"/>
              </w:rPr>
            </w:pPr>
          </w:p>
        </w:tc>
        <w:tc>
          <w:tcPr>
            <w:tcW w:w="2893" w:type="dxa"/>
            <w:vAlign w:val="center"/>
          </w:tcPr>
          <w:p>
            <w:pPr>
              <w:widowControl/>
              <w:jc w:val="left"/>
              <w:textAlignment w:val="center"/>
              <w:rPr>
                <w:rFonts w:ascii="宋体" w:hAnsi="宋体" w:cs="宋体"/>
                <w:color w:val="auto"/>
                <w:sz w:val="22"/>
                <w:u w:val="single"/>
              </w:rPr>
            </w:pPr>
            <w:r>
              <w:rPr>
                <w:rFonts w:hint="eastAsia" w:ascii="宋体" w:hAnsi="宋体" w:cs="宋体"/>
                <w:color w:val="auto"/>
                <w:sz w:val="22"/>
              </w:rPr>
              <w:t>大写：</w:t>
            </w:r>
            <w:r>
              <w:rPr>
                <w:rFonts w:hint="eastAsia" w:ascii="宋体" w:hAnsi="宋体" w:cs="宋体"/>
                <w:color w:val="auto"/>
                <w:sz w:val="22"/>
                <w:u w:val="single"/>
              </w:rPr>
              <w:t xml:space="preserve">                        </w:t>
            </w:r>
          </w:p>
          <w:p>
            <w:pPr>
              <w:widowControl/>
              <w:textAlignment w:val="center"/>
              <w:rPr>
                <w:rFonts w:ascii="宋体" w:hAnsi="宋体" w:cs="宋体"/>
                <w:color w:val="auto"/>
                <w:sz w:val="22"/>
              </w:rPr>
            </w:pPr>
            <w:r>
              <w:rPr>
                <w:rFonts w:hint="eastAsia" w:ascii="宋体" w:hAnsi="宋体" w:cs="宋体"/>
                <w:color w:val="auto"/>
                <w:sz w:val="22"/>
              </w:rPr>
              <w:t>小写：</w:t>
            </w:r>
            <w:r>
              <w:rPr>
                <w:rFonts w:hint="eastAsia" w:ascii="宋体" w:hAnsi="宋体" w:cs="宋体"/>
                <w:color w:val="auto"/>
                <w:sz w:val="22"/>
                <w:u w:val="single"/>
              </w:rPr>
              <w:t xml:space="preserve">                        </w:t>
            </w:r>
          </w:p>
        </w:tc>
        <w:tc>
          <w:tcPr>
            <w:tcW w:w="1218" w:type="dxa"/>
            <w:vMerge w:val="continue"/>
            <w:vAlign w:val="center"/>
          </w:tcPr>
          <w:p>
            <w:pPr>
              <w:widowControl/>
              <w:jc w:val="center"/>
              <w:textAlignment w:val="center"/>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522" w:type="dxa"/>
            <w:vMerge w:val="continue"/>
            <w:vAlign w:val="center"/>
          </w:tcPr>
          <w:p>
            <w:pPr>
              <w:jc w:val="center"/>
              <w:textAlignment w:val="center"/>
              <w:rPr>
                <w:rFonts w:ascii="宋体" w:hAnsi="宋体" w:eastAsia="宋体" w:cs="宋体"/>
                <w:color w:val="auto"/>
                <w:kern w:val="0"/>
                <w:sz w:val="22"/>
              </w:rPr>
            </w:pPr>
          </w:p>
        </w:tc>
        <w:tc>
          <w:tcPr>
            <w:tcW w:w="1038" w:type="dxa"/>
            <w:vMerge w:val="continue"/>
            <w:vAlign w:val="center"/>
          </w:tcPr>
          <w:p>
            <w:pPr>
              <w:widowControl/>
              <w:spacing w:line="360" w:lineRule="auto"/>
              <w:jc w:val="left"/>
              <w:textAlignment w:val="center"/>
              <w:rPr>
                <w:rFonts w:ascii="宋体" w:hAnsi="宋体" w:cs="宋体"/>
                <w:color w:val="auto"/>
                <w:kern w:val="0"/>
                <w:sz w:val="22"/>
              </w:rPr>
            </w:pPr>
          </w:p>
        </w:tc>
        <w:tc>
          <w:tcPr>
            <w:tcW w:w="1893" w:type="dxa"/>
            <w:gridSpan w:val="2"/>
            <w:vAlign w:val="center"/>
          </w:tcPr>
          <w:p>
            <w:pPr>
              <w:widowControl/>
              <w:spacing w:line="360" w:lineRule="auto"/>
              <w:jc w:val="left"/>
              <w:textAlignment w:val="center"/>
              <w:rPr>
                <w:rFonts w:ascii="宋体" w:hAnsi="宋体" w:cs="宋体"/>
                <w:color w:val="auto"/>
                <w:kern w:val="0"/>
                <w:sz w:val="22"/>
              </w:rPr>
            </w:pPr>
            <w:r>
              <w:rPr>
                <w:rFonts w:hint="eastAsia" w:ascii="宋体" w:hAnsi="宋体" w:cs="宋体"/>
                <w:b/>
                <w:bCs/>
                <w:color w:val="auto"/>
                <w:kern w:val="0"/>
                <w:sz w:val="22"/>
              </w:rPr>
              <w:t>合计投标报总价</w:t>
            </w:r>
          </w:p>
        </w:tc>
        <w:tc>
          <w:tcPr>
            <w:tcW w:w="6400" w:type="dxa"/>
            <w:gridSpan w:val="4"/>
            <w:vAlign w:val="center"/>
          </w:tcPr>
          <w:p>
            <w:pPr>
              <w:widowControl/>
              <w:jc w:val="left"/>
              <w:textAlignment w:val="center"/>
              <w:rPr>
                <w:rFonts w:ascii="宋体" w:hAnsi="宋体" w:cs="宋体"/>
                <w:color w:val="auto"/>
                <w:sz w:val="22"/>
                <w:u w:val="single"/>
              </w:rPr>
            </w:pPr>
            <w:r>
              <w:rPr>
                <w:rFonts w:hint="eastAsia" w:ascii="宋体" w:hAnsi="宋体" w:cs="宋体"/>
                <w:color w:val="auto"/>
                <w:sz w:val="22"/>
              </w:rPr>
              <w:t>大写：</w:t>
            </w:r>
            <w:r>
              <w:rPr>
                <w:rFonts w:hint="eastAsia" w:ascii="宋体" w:hAnsi="宋体" w:cs="宋体"/>
                <w:color w:val="auto"/>
                <w:sz w:val="22"/>
                <w:u w:val="single"/>
              </w:rPr>
              <w:t xml:space="preserve">                        </w:t>
            </w:r>
          </w:p>
          <w:p>
            <w:pPr>
              <w:widowControl/>
              <w:jc w:val="left"/>
              <w:textAlignment w:val="center"/>
              <w:rPr>
                <w:rFonts w:ascii="宋体" w:hAnsi="宋体" w:cs="宋体"/>
                <w:color w:val="auto"/>
                <w:sz w:val="22"/>
              </w:rPr>
            </w:pPr>
            <w:r>
              <w:rPr>
                <w:rFonts w:hint="eastAsia" w:ascii="宋体" w:hAnsi="宋体" w:cs="宋体"/>
                <w:color w:val="auto"/>
                <w:sz w:val="22"/>
              </w:rPr>
              <w:t>小写：</w:t>
            </w:r>
            <w:r>
              <w:rPr>
                <w:rFonts w:hint="eastAsia" w:ascii="宋体" w:hAnsi="宋体" w:cs="宋体"/>
                <w:color w:val="auto"/>
                <w:sz w:val="22"/>
                <w:u w:val="single"/>
              </w:rPr>
              <w:t xml:space="preserve">                        </w:t>
            </w:r>
          </w:p>
        </w:tc>
      </w:tr>
    </w:tbl>
    <w:p>
      <w:pPr>
        <w:autoSpaceDE w:val="0"/>
        <w:autoSpaceDN w:val="0"/>
        <w:adjustRightInd w:val="0"/>
        <w:spacing w:line="440" w:lineRule="atLeast"/>
        <w:rPr>
          <w:rFonts w:ascii="宋体" w:hAnsi="宋体" w:cs="仿宋_GB2312"/>
          <w:b/>
          <w:bCs/>
          <w:color w:val="auto"/>
          <w:sz w:val="22"/>
        </w:rPr>
      </w:pPr>
      <w:r>
        <w:rPr>
          <w:rFonts w:hint="eastAsia" w:ascii="宋体" w:hAnsi="宋体" w:cs="仿宋_GB2312"/>
          <w:b/>
          <w:bCs/>
          <w:color w:val="auto"/>
          <w:sz w:val="22"/>
        </w:rPr>
        <w:t>▲注:</w:t>
      </w:r>
    </w:p>
    <w:p>
      <w:pPr>
        <w:autoSpaceDE w:val="0"/>
        <w:autoSpaceDN w:val="0"/>
        <w:adjustRightInd w:val="0"/>
        <w:spacing w:line="440" w:lineRule="atLeast"/>
        <w:ind w:firstLine="420"/>
        <w:rPr>
          <w:rFonts w:ascii="宋体" w:hAnsi="宋体" w:eastAsia="宋体" w:cs="仿宋_GB2312"/>
          <w:b/>
          <w:bCs/>
          <w:color w:val="auto"/>
          <w:sz w:val="22"/>
          <w:szCs w:val="22"/>
        </w:rPr>
      </w:pPr>
      <w:r>
        <w:rPr>
          <w:rFonts w:hint="eastAsia" w:ascii="宋体" w:hAnsi="宋体" w:eastAsia="宋体" w:cs="仿宋_GB2312"/>
          <w:b/>
          <w:bCs/>
          <w:color w:val="auto"/>
          <w:sz w:val="22"/>
          <w:szCs w:val="22"/>
        </w:rPr>
        <w:t>1、不提供此表格的将视为没有实质性响应招标文件。</w:t>
      </w:r>
    </w:p>
    <w:p>
      <w:pPr>
        <w:autoSpaceDE w:val="0"/>
        <w:autoSpaceDN w:val="0"/>
        <w:adjustRightInd w:val="0"/>
        <w:spacing w:line="440" w:lineRule="atLeast"/>
        <w:ind w:firstLine="420"/>
        <w:rPr>
          <w:rFonts w:ascii="宋体" w:hAnsi="宋体" w:eastAsia="宋体" w:cs="仿宋_GB2312"/>
          <w:b/>
          <w:bCs/>
          <w:color w:val="auto"/>
          <w:sz w:val="22"/>
          <w:szCs w:val="22"/>
        </w:rPr>
      </w:pPr>
      <w:r>
        <w:rPr>
          <w:rFonts w:hint="eastAsia" w:ascii="宋体" w:hAnsi="宋体" w:eastAsia="宋体" w:cs="仿宋_GB2312"/>
          <w:b/>
          <w:bCs/>
          <w:color w:val="auto"/>
          <w:sz w:val="22"/>
          <w:szCs w:val="22"/>
        </w:rPr>
        <w:t xml:space="preserve">2、报价一经涂改，应在涂改处加盖单位公章或者由法定代表人或授权委托人签字，否则其投标作无效标处理。 </w:t>
      </w:r>
    </w:p>
    <w:p>
      <w:pPr>
        <w:autoSpaceDE w:val="0"/>
        <w:autoSpaceDN w:val="0"/>
        <w:adjustRightInd w:val="0"/>
        <w:spacing w:line="440" w:lineRule="atLeast"/>
        <w:ind w:firstLine="420"/>
        <w:rPr>
          <w:rFonts w:ascii="宋体" w:hAnsi="宋体" w:eastAsia="宋体" w:cs="仿宋_GB2312"/>
          <w:b/>
          <w:bCs/>
          <w:color w:val="auto"/>
          <w:sz w:val="22"/>
          <w:szCs w:val="22"/>
        </w:rPr>
      </w:pPr>
      <w:r>
        <w:rPr>
          <w:rFonts w:hint="eastAsia" w:ascii="宋体" w:hAnsi="宋体" w:eastAsia="宋体" w:cs="仿宋_GB2312"/>
          <w:b/>
          <w:bCs/>
          <w:color w:val="auto"/>
          <w:sz w:val="22"/>
          <w:szCs w:val="22"/>
        </w:rPr>
        <w:t>3、投标总价含</w:t>
      </w:r>
      <w:r>
        <w:rPr>
          <w:rFonts w:hint="eastAsia" w:ascii="宋体" w:hAnsi="宋体" w:eastAsia="宋体" w:cs="宋体"/>
          <w:b/>
          <w:bCs/>
          <w:color w:val="auto"/>
          <w:sz w:val="22"/>
          <w:szCs w:val="22"/>
        </w:rPr>
        <w:t>投标报价包括完成该项目所需的货款、浙江数字森防打孔注药落地上图、备品备件费、专用工具、运输、装卸、注射费、税费等完成本项目的有关的一切费用。</w:t>
      </w:r>
    </w:p>
    <w:p>
      <w:pPr>
        <w:autoSpaceDE w:val="0"/>
        <w:autoSpaceDN w:val="0"/>
        <w:adjustRightInd w:val="0"/>
        <w:spacing w:line="440" w:lineRule="atLeast"/>
        <w:ind w:firstLine="422" w:firstLineChars="200"/>
        <w:rPr>
          <w:b/>
          <w:bCs/>
          <w:color w:val="auto"/>
          <w:sz w:val="24"/>
        </w:rPr>
      </w:pPr>
      <w:r>
        <w:rPr>
          <w:rFonts w:hint="eastAsia"/>
          <w:b/>
          <w:bCs/>
          <w:color w:val="auto"/>
          <w:szCs w:val="21"/>
        </w:rPr>
        <w:t xml:space="preserve">      </w:t>
      </w:r>
    </w:p>
    <w:p>
      <w:pPr>
        <w:autoSpaceDE w:val="0"/>
        <w:autoSpaceDN w:val="0"/>
        <w:adjustRightInd w:val="0"/>
        <w:spacing w:line="440" w:lineRule="atLeast"/>
        <w:jc w:val="left"/>
        <w:rPr>
          <w:rFonts w:ascii="宋体" w:cs="仿宋_GB2312"/>
          <w:color w:val="auto"/>
          <w:sz w:val="22"/>
        </w:rPr>
      </w:pPr>
      <w:r>
        <w:rPr>
          <w:rFonts w:hint="eastAsia" w:ascii="宋体" w:hAnsi="宋体" w:cs="仿宋_GB2312"/>
          <w:color w:val="auto"/>
          <w:sz w:val="22"/>
        </w:rPr>
        <w:t>供应商全称（盖章）：</w:t>
      </w:r>
    </w:p>
    <w:p>
      <w:pPr>
        <w:autoSpaceDE w:val="0"/>
        <w:autoSpaceDN w:val="0"/>
        <w:adjustRightInd w:val="0"/>
        <w:spacing w:line="440" w:lineRule="atLeast"/>
        <w:jc w:val="left"/>
        <w:rPr>
          <w:rFonts w:ascii="宋体" w:cs="仿宋_GB2312"/>
          <w:color w:val="auto"/>
          <w:sz w:val="22"/>
        </w:rPr>
      </w:pPr>
      <w:r>
        <w:rPr>
          <w:rFonts w:hint="eastAsia" w:ascii="宋体" w:hAnsi="宋体" w:cs="仿宋_GB2312"/>
          <w:color w:val="auto"/>
          <w:sz w:val="22"/>
        </w:rPr>
        <w:t>法定代表人（签字或盖章）或授权代表（签字）：</w:t>
      </w:r>
      <w:r>
        <w:rPr>
          <w:rFonts w:ascii="宋体" w:hAnsi="宋体" w:cs="仿宋_GB2312"/>
          <w:color w:val="auto"/>
          <w:sz w:val="22"/>
        </w:rPr>
        <w:tab/>
      </w:r>
    </w:p>
    <w:p>
      <w:pPr>
        <w:pStyle w:val="15"/>
        <w:adjustRightInd w:val="0"/>
        <w:snapToGrid w:val="0"/>
        <w:spacing w:line="400" w:lineRule="exact"/>
        <w:jc w:val="left"/>
        <w:rPr>
          <w:rFonts w:hAnsi="宋体"/>
          <w:b/>
          <w:color w:val="auto"/>
          <w:sz w:val="32"/>
          <w:szCs w:val="32"/>
        </w:rPr>
      </w:pPr>
      <w:r>
        <w:rPr>
          <w:rFonts w:hint="eastAsia" w:hAnsi="宋体" w:cs="仿宋_GB2312"/>
          <w:color w:val="auto"/>
          <w:sz w:val="22"/>
        </w:rPr>
        <w:t>日期：</w:t>
      </w:r>
      <w:r>
        <w:rPr>
          <w:rFonts w:hint="eastAsia" w:hAnsi="宋体"/>
          <w:b/>
          <w:color w:val="auto"/>
          <w:sz w:val="32"/>
          <w:szCs w:val="32"/>
        </w:rPr>
        <w:br w:type="page"/>
      </w:r>
    </w:p>
    <w:p>
      <w:pPr>
        <w:autoSpaceDE w:val="0"/>
        <w:autoSpaceDN w:val="0"/>
        <w:adjustRightInd w:val="0"/>
        <w:spacing w:line="440" w:lineRule="atLeast"/>
        <w:rPr>
          <w:rFonts w:ascii="宋体" w:hAnsi="宋体" w:eastAsia="宋体"/>
          <w:b/>
          <w:color w:val="auto"/>
          <w:sz w:val="32"/>
          <w:szCs w:val="32"/>
        </w:rPr>
      </w:pPr>
      <w:r>
        <w:rPr>
          <w:rFonts w:hint="eastAsia" w:ascii="宋体" w:hAnsi="宋体"/>
          <w:b/>
          <w:color w:val="auto"/>
          <w:sz w:val="32"/>
          <w:szCs w:val="32"/>
        </w:rPr>
        <w:t>附件二（一）</w:t>
      </w:r>
    </w:p>
    <w:p>
      <w:pPr>
        <w:jc w:val="center"/>
        <w:rPr>
          <w:rFonts w:ascii="宋体"/>
          <w:color w:val="auto"/>
          <w:sz w:val="36"/>
          <w:szCs w:val="36"/>
          <w:lang w:val="zh-CN"/>
        </w:rPr>
      </w:pPr>
      <w:r>
        <w:rPr>
          <w:rFonts w:hint="eastAsia" w:ascii="宋体"/>
          <w:color w:val="auto"/>
          <w:sz w:val="36"/>
          <w:szCs w:val="36"/>
          <w:lang w:val="zh-CN"/>
        </w:rPr>
        <w:t>中小企业声明函</w:t>
      </w:r>
    </w:p>
    <w:p>
      <w:pPr>
        <w:tabs>
          <w:tab w:val="left" w:pos="1069"/>
        </w:tabs>
        <w:spacing w:line="400" w:lineRule="exact"/>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 xml:space="preserve">本公司（联合体）郑重声明，根据《政府采购促进中小企业发展管理办法》（财库﹝2020﹞46 号）的规定，本公司 </w:t>
      </w:r>
      <w:r>
        <w:rPr>
          <w:rFonts w:hint="eastAsia" w:ascii="宋体" w:hAnsi="宋体" w:eastAsia="宋体" w:cs="宋体"/>
          <w:color w:val="auto"/>
          <w:sz w:val="22"/>
          <w:szCs w:val="22"/>
          <w:u w:val="single"/>
        </w:rPr>
        <w:t>（联合体）</w:t>
      </w:r>
      <w:r>
        <w:rPr>
          <w:rFonts w:hint="eastAsia" w:ascii="宋体" w:hAnsi="宋体" w:eastAsia="宋体" w:cs="宋体"/>
          <w:color w:val="auto"/>
          <w:sz w:val="22"/>
          <w:szCs w:val="22"/>
        </w:rPr>
        <w:t>参加</w:t>
      </w:r>
      <w:r>
        <w:rPr>
          <w:rFonts w:hint="eastAsia" w:ascii="宋体" w:hAnsi="宋体" w:eastAsia="宋体" w:cs="宋体"/>
          <w:color w:val="auto"/>
          <w:sz w:val="22"/>
          <w:szCs w:val="22"/>
          <w:u w:val="single"/>
        </w:rPr>
        <w:t>（单位名称）</w:t>
      </w:r>
      <w:r>
        <w:rPr>
          <w:rFonts w:hint="eastAsia" w:ascii="宋体" w:hAnsi="宋体" w:eastAsia="宋体" w:cs="宋体"/>
          <w:color w:val="auto"/>
          <w:sz w:val="22"/>
          <w:szCs w:val="22"/>
        </w:rPr>
        <w:t>的</w:t>
      </w:r>
      <w:r>
        <w:rPr>
          <w:rFonts w:hint="eastAsia" w:ascii="宋体" w:hAnsi="宋体" w:eastAsia="宋体" w:cs="宋体"/>
          <w:color w:val="auto"/>
          <w:sz w:val="22"/>
          <w:szCs w:val="22"/>
          <w:u w:val="single"/>
        </w:rPr>
        <w:t>（项目名称）</w:t>
      </w:r>
      <w:r>
        <w:rPr>
          <w:rFonts w:hint="eastAsia" w:ascii="宋体" w:hAnsi="宋体" w:eastAsia="宋体" w:cs="宋体"/>
          <w:color w:val="auto"/>
          <w:sz w:val="22"/>
          <w:szCs w:val="22"/>
        </w:rPr>
        <w:t xml:space="preserve">采购活动，工程的施工单位全部为符合政策要求的中小企业（或者：服务全部由符合政策要求的中小企业承接）。相关企业（含联合体中的中小企业、签订分包意向协议的中小企业）的具体情 况如下： </w:t>
      </w:r>
    </w:p>
    <w:p>
      <w:pPr>
        <w:numPr>
          <w:ilvl w:val="0"/>
          <w:numId w:val="11"/>
        </w:numPr>
        <w:tabs>
          <w:tab w:val="left" w:pos="1069"/>
        </w:tabs>
        <w:spacing w:line="400" w:lineRule="exact"/>
        <w:ind w:firstLine="440" w:firstLineChars="200"/>
        <w:rPr>
          <w:rFonts w:ascii="宋体" w:hAnsi="宋体" w:eastAsia="宋体" w:cs="宋体"/>
          <w:color w:val="auto"/>
          <w:sz w:val="22"/>
          <w:szCs w:val="22"/>
        </w:rPr>
      </w:pPr>
      <w:r>
        <w:rPr>
          <w:rFonts w:hint="eastAsia" w:ascii="宋体" w:hAnsi="宋体" w:eastAsia="宋体" w:cs="宋体"/>
          <w:color w:val="auto"/>
          <w:sz w:val="22"/>
          <w:szCs w:val="22"/>
          <w:u w:val="single"/>
        </w:rPr>
        <w:t>（标的名称）</w:t>
      </w:r>
      <w:r>
        <w:rPr>
          <w:rFonts w:hint="eastAsia" w:ascii="宋体" w:hAnsi="宋体" w:eastAsia="宋体" w:cs="宋体"/>
          <w:color w:val="auto"/>
          <w:sz w:val="22"/>
          <w:szCs w:val="22"/>
        </w:rPr>
        <w:t xml:space="preserve"> ，属于</w:t>
      </w:r>
      <w:r>
        <w:rPr>
          <w:rFonts w:hint="eastAsia" w:ascii="宋体" w:hAnsi="宋体" w:eastAsia="宋体" w:cs="宋体"/>
          <w:color w:val="auto"/>
          <w:sz w:val="22"/>
          <w:szCs w:val="22"/>
          <w:u w:val="single"/>
        </w:rPr>
        <w:t>（林业）</w:t>
      </w:r>
      <w:r>
        <w:rPr>
          <w:rFonts w:hint="eastAsia" w:ascii="宋体" w:hAnsi="宋体" w:eastAsia="宋体" w:cs="宋体"/>
          <w:color w:val="auto"/>
          <w:sz w:val="22"/>
          <w:szCs w:val="22"/>
        </w:rPr>
        <w:t>； 承建（承接）企业为</w:t>
      </w:r>
      <w:r>
        <w:rPr>
          <w:rFonts w:hint="eastAsia" w:ascii="宋体" w:hAnsi="宋体" w:eastAsia="宋体" w:cs="宋体"/>
          <w:color w:val="auto"/>
          <w:sz w:val="22"/>
          <w:szCs w:val="22"/>
          <w:u w:val="single"/>
        </w:rPr>
        <w:t>（企业名称）</w:t>
      </w:r>
      <w:r>
        <w:rPr>
          <w:rFonts w:hint="eastAsia" w:ascii="宋体" w:hAnsi="宋体" w:eastAsia="宋体" w:cs="宋体"/>
          <w:color w:val="auto"/>
          <w:sz w:val="22"/>
          <w:szCs w:val="22"/>
        </w:rPr>
        <w:t>，从业人员</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人，营业收入为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万元，资产总额为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万元 ，属于</w:t>
      </w:r>
      <w:r>
        <w:rPr>
          <w:rFonts w:hint="eastAsia" w:ascii="宋体" w:hAnsi="宋体" w:eastAsia="宋体" w:cs="宋体"/>
          <w:color w:val="auto"/>
          <w:sz w:val="22"/>
          <w:szCs w:val="22"/>
          <w:u w:val="single"/>
        </w:rPr>
        <w:t>（中型企业、 小型企业、微型企业）</w:t>
      </w:r>
      <w:r>
        <w:rPr>
          <w:rFonts w:hint="eastAsia" w:ascii="宋体" w:hAnsi="宋体" w:eastAsia="宋体" w:cs="宋体"/>
          <w:color w:val="auto"/>
          <w:sz w:val="22"/>
          <w:szCs w:val="22"/>
        </w:rPr>
        <w:t xml:space="preserve">； </w:t>
      </w:r>
    </w:p>
    <w:p>
      <w:pPr>
        <w:tabs>
          <w:tab w:val="left" w:pos="1069"/>
        </w:tabs>
        <w:spacing w:line="400" w:lineRule="exact"/>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u w:val="single"/>
        </w:rPr>
        <w:t xml:space="preserve"> （标的名称）   </w:t>
      </w:r>
      <w:r>
        <w:rPr>
          <w:rFonts w:hint="eastAsia" w:ascii="宋体" w:hAnsi="宋体" w:eastAsia="宋体" w:cs="宋体"/>
          <w:color w:val="auto"/>
          <w:sz w:val="22"/>
          <w:szCs w:val="22"/>
        </w:rPr>
        <w:t>，属于</w:t>
      </w:r>
      <w:r>
        <w:rPr>
          <w:rFonts w:hint="eastAsia" w:ascii="宋体" w:hAnsi="宋体" w:eastAsia="宋体" w:cs="宋体"/>
          <w:color w:val="auto"/>
          <w:sz w:val="22"/>
          <w:szCs w:val="22"/>
          <w:u w:val="single"/>
        </w:rPr>
        <w:t>（采购文件中明确的所属行业）</w:t>
      </w:r>
      <w:r>
        <w:rPr>
          <w:rFonts w:hint="eastAsia" w:ascii="宋体" w:hAnsi="宋体" w:eastAsia="宋体" w:cs="宋体"/>
          <w:color w:val="auto"/>
          <w:sz w:val="22"/>
          <w:szCs w:val="22"/>
        </w:rPr>
        <w:t>； 承建（承接）企业为</w:t>
      </w:r>
      <w:r>
        <w:rPr>
          <w:rFonts w:hint="eastAsia" w:ascii="宋体" w:hAnsi="宋体" w:eastAsia="宋体" w:cs="宋体"/>
          <w:color w:val="auto"/>
          <w:sz w:val="22"/>
          <w:szCs w:val="22"/>
          <w:u w:val="single"/>
        </w:rPr>
        <w:t>（企业名称）</w:t>
      </w:r>
      <w:r>
        <w:rPr>
          <w:rFonts w:hint="eastAsia" w:ascii="宋体" w:hAnsi="宋体" w:eastAsia="宋体" w:cs="宋体"/>
          <w:color w:val="auto"/>
          <w:sz w:val="22"/>
          <w:szCs w:val="22"/>
        </w:rPr>
        <w:t>，从业人员</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 xml:space="preserve">人，营业收入为 </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万元，资产总额为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万元，属于</w:t>
      </w:r>
      <w:r>
        <w:rPr>
          <w:rFonts w:hint="eastAsia" w:ascii="宋体" w:hAnsi="宋体" w:eastAsia="宋体" w:cs="宋体"/>
          <w:color w:val="auto"/>
          <w:sz w:val="22"/>
          <w:szCs w:val="22"/>
          <w:u w:val="single"/>
        </w:rPr>
        <w:t>（中型企业、 小型企业、微型企业）</w:t>
      </w:r>
      <w:r>
        <w:rPr>
          <w:rFonts w:hint="eastAsia" w:ascii="宋体" w:hAnsi="宋体" w:eastAsia="宋体" w:cs="宋体"/>
          <w:color w:val="auto"/>
          <w:sz w:val="22"/>
          <w:szCs w:val="22"/>
        </w:rPr>
        <w:t xml:space="preserve">； </w:t>
      </w:r>
    </w:p>
    <w:p>
      <w:pPr>
        <w:tabs>
          <w:tab w:val="left" w:pos="1069"/>
        </w:tabs>
        <w:spacing w:line="400" w:lineRule="exact"/>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 xml:space="preserve">…… 以上企业，不属于大企业的分支机构，不存在控股股东 为大企业的情形，也不存在与大企业的负责人为同一人的情形。 本企业对上述声明内容的真实性负责。如有虚假，将依法承担相应责任。 </w:t>
      </w:r>
    </w:p>
    <w:p>
      <w:pPr>
        <w:tabs>
          <w:tab w:val="left" w:pos="1069"/>
        </w:tabs>
        <w:spacing w:line="400" w:lineRule="exact"/>
        <w:ind w:firstLine="440" w:firstLineChars="200"/>
        <w:rPr>
          <w:rFonts w:ascii="宋体" w:hAnsi="宋体" w:eastAsia="宋体" w:cs="宋体"/>
          <w:color w:val="auto"/>
          <w:sz w:val="22"/>
          <w:szCs w:val="22"/>
        </w:rPr>
      </w:pPr>
    </w:p>
    <w:p>
      <w:pPr>
        <w:tabs>
          <w:tab w:val="left" w:pos="1069"/>
        </w:tabs>
        <w:spacing w:line="400" w:lineRule="exact"/>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 xml:space="preserve">企业名称（盖章）： </w:t>
      </w:r>
    </w:p>
    <w:p>
      <w:pPr>
        <w:tabs>
          <w:tab w:val="left" w:pos="1069"/>
        </w:tabs>
        <w:spacing w:line="400" w:lineRule="exact"/>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日 期：</w:t>
      </w:r>
    </w:p>
    <w:p>
      <w:pPr>
        <w:pStyle w:val="2"/>
        <w:rPr>
          <w:rFonts w:ascii="宋体" w:hAnsi="宋体" w:eastAsia="宋体" w:cs="宋体"/>
          <w:color w:val="auto"/>
          <w:sz w:val="22"/>
          <w:szCs w:val="22"/>
        </w:rPr>
      </w:pPr>
    </w:p>
    <w:p>
      <w:pPr>
        <w:tabs>
          <w:tab w:val="left" w:pos="1069"/>
        </w:tabs>
        <w:spacing w:line="400" w:lineRule="exact"/>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注： 从业人员、营业收入、资产总额填报上一年度数据，无上一年度数据的新成立企业可不填报。</w:t>
      </w:r>
    </w:p>
    <w:p>
      <w:pPr>
        <w:snapToGrid w:val="0"/>
        <w:spacing w:line="360" w:lineRule="auto"/>
        <w:rPr>
          <w:rFonts w:ascii="宋体" w:hAnsi="宋体" w:eastAsia="宋体" w:cs="宋体"/>
          <w:b/>
          <w:bCs/>
          <w:color w:val="auto"/>
          <w:sz w:val="22"/>
          <w:szCs w:val="22"/>
        </w:rPr>
      </w:pPr>
    </w:p>
    <w:p>
      <w:pPr>
        <w:snapToGrid w:val="0"/>
        <w:spacing w:line="360" w:lineRule="auto"/>
        <w:ind w:firstLine="442" w:firstLineChars="200"/>
        <w:rPr>
          <w:rFonts w:ascii="宋体" w:hAnsi="宋体" w:eastAsia="宋体" w:cs="Times New Roman"/>
          <w:b/>
          <w:bCs/>
          <w:color w:val="auto"/>
          <w:sz w:val="22"/>
          <w:szCs w:val="22"/>
        </w:rPr>
      </w:pPr>
      <w:r>
        <w:rPr>
          <w:rFonts w:hint="eastAsia" w:ascii="宋体" w:hAnsi="宋体" w:eastAsia="宋体" w:cs="宋体"/>
          <w:b/>
          <w:bCs/>
          <w:color w:val="auto"/>
          <w:sz w:val="22"/>
          <w:szCs w:val="22"/>
        </w:rPr>
        <w:t>▲投标人提供的中小企业声明函与实际情况不符的，视为投标人提供虚假材料投标的，投标无效。</w:t>
      </w:r>
    </w:p>
    <w:p>
      <w:pPr>
        <w:snapToGrid w:val="0"/>
        <w:spacing w:line="360" w:lineRule="auto"/>
        <w:ind w:firstLine="420" w:firstLineChars="200"/>
        <w:rPr>
          <w:color w:val="auto"/>
        </w:rPr>
      </w:pPr>
    </w:p>
    <w:p>
      <w:pPr>
        <w:snapToGrid w:val="0"/>
        <w:spacing w:line="400" w:lineRule="atLeast"/>
        <w:rPr>
          <w:rFonts w:ascii="宋体" w:hAnsi="宋体"/>
          <w:b/>
          <w:color w:val="auto"/>
          <w:sz w:val="22"/>
        </w:rPr>
      </w:pPr>
    </w:p>
    <w:p>
      <w:pPr>
        <w:rPr>
          <w:rFonts w:ascii="宋体" w:hAnsi="宋体"/>
          <w:b/>
          <w:color w:val="auto"/>
          <w:sz w:val="22"/>
        </w:rPr>
      </w:pPr>
    </w:p>
    <w:p>
      <w:pPr>
        <w:rPr>
          <w:rFonts w:ascii="宋体" w:hAnsi="宋体"/>
          <w:b/>
          <w:color w:val="auto"/>
          <w:sz w:val="32"/>
          <w:szCs w:val="32"/>
        </w:rPr>
      </w:pPr>
      <w:r>
        <w:rPr>
          <w:rFonts w:hint="eastAsia" w:ascii="宋体" w:hAnsi="宋体"/>
          <w:b/>
          <w:color w:val="auto"/>
          <w:sz w:val="32"/>
          <w:szCs w:val="32"/>
        </w:rPr>
        <w:br w:type="page"/>
      </w:r>
    </w:p>
    <w:p>
      <w:pPr>
        <w:spacing w:line="440" w:lineRule="exact"/>
        <w:jc w:val="left"/>
        <w:rPr>
          <w:rFonts w:ascii="宋体" w:hAnsi="宋体" w:eastAsia="宋体"/>
          <w:b/>
          <w:color w:val="auto"/>
          <w:sz w:val="32"/>
          <w:szCs w:val="32"/>
        </w:rPr>
      </w:pPr>
      <w:r>
        <w:rPr>
          <w:rFonts w:hint="eastAsia" w:ascii="宋体" w:hAnsi="宋体"/>
          <w:b/>
          <w:color w:val="auto"/>
          <w:sz w:val="32"/>
          <w:szCs w:val="32"/>
        </w:rPr>
        <w:t>附件二（二）</w:t>
      </w:r>
    </w:p>
    <w:p>
      <w:pPr>
        <w:snapToGrid w:val="0"/>
        <w:spacing w:line="400" w:lineRule="atLeast"/>
        <w:jc w:val="center"/>
        <w:rPr>
          <w:rFonts w:ascii="宋体" w:hAnsi="宋体" w:eastAsia="宋体" w:cs="宋体"/>
          <w:b/>
          <w:bCs/>
          <w:color w:val="auto"/>
          <w:sz w:val="34"/>
          <w:szCs w:val="34"/>
        </w:rPr>
      </w:pPr>
    </w:p>
    <w:p>
      <w:pPr>
        <w:snapToGrid w:val="0"/>
        <w:spacing w:line="400" w:lineRule="atLeast"/>
        <w:jc w:val="center"/>
        <w:rPr>
          <w:rFonts w:ascii="宋体" w:hAnsi="宋体" w:eastAsia="宋体" w:cs="宋体"/>
          <w:b/>
          <w:bCs/>
          <w:color w:val="auto"/>
          <w:sz w:val="34"/>
          <w:szCs w:val="34"/>
        </w:rPr>
      </w:pPr>
      <w:r>
        <w:rPr>
          <w:rFonts w:hint="eastAsia" w:ascii="宋体" w:hAnsi="宋体" w:eastAsia="宋体" w:cs="宋体"/>
          <w:b/>
          <w:bCs/>
          <w:color w:val="auto"/>
          <w:sz w:val="34"/>
          <w:szCs w:val="34"/>
        </w:rPr>
        <w:t>残疾人福利性单位声明函</w:t>
      </w:r>
    </w:p>
    <w:p>
      <w:pPr>
        <w:snapToGrid w:val="0"/>
        <w:spacing w:line="360" w:lineRule="auto"/>
        <w:ind w:firstLine="440" w:firstLineChars="200"/>
        <w:rPr>
          <w:color w:val="auto"/>
          <w:sz w:val="22"/>
        </w:rPr>
      </w:pPr>
    </w:p>
    <w:p>
      <w:pPr>
        <w:snapToGrid w:val="0"/>
        <w:spacing w:line="360" w:lineRule="auto"/>
        <w:ind w:firstLine="440" w:firstLineChars="200"/>
        <w:rPr>
          <w:color w:val="auto"/>
          <w:sz w:val="22"/>
        </w:rPr>
      </w:pPr>
      <w:r>
        <w:rPr>
          <w:rFonts w:hint="eastAsia"/>
          <w:color w:val="auto"/>
          <w:sz w:val="22"/>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0" w:firstLineChars="200"/>
        <w:rPr>
          <w:color w:val="auto"/>
          <w:sz w:val="22"/>
        </w:rPr>
      </w:pPr>
      <w:r>
        <w:rPr>
          <w:rFonts w:hint="eastAsia"/>
          <w:color w:val="auto"/>
          <w:sz w:val="22"/>
        </w:rPr>
        <w:t>本单位对上述声明的真实性负责。如有虚假，将依法承担相应责任。</w:t>
      </w:r>
    </w:p>
    <w:p>
      <w:pPr>
        <w:snapToGrid w:val="0"/>
        <w:spacing w:line="360" w:lineRule="auto"/>
        <w:ind w:firstLine="440" w:firstLineChars="200"/>
        <w:rPr>
          <w:color w:val="auto"/>
          <w:sz w:val="22"/>
        </w:rPr>
      </w:pPr>
    </w:p>
    <w:p>
      <w:pPr>
        <w:tabs>
          <w:tab w:val="left" w:pos="4860"/>
        </w:tabs>
        <w:snapToGrid w:val="0"/>
        <w:spacing w:line="360" w:lineRule="auto"/>
        <w:ind w:right="1560" w:firstLine="440" w:firstLineChars="200"/>
        <w:rPr>
          <w:color w:val="auto"/>
          <w:sz w:val="22"/>
        </w:rPr>
      </w:pPr>
      <w:r>
        <w:rPr>
          <w:rFonts w:hint="eastAsia"/>
          <w:color w:val="auto"/>
          <w:sz w:val="22"/>
        </w:rPr>
        <w:t xml:space="preserve">       单位名称（盖章）：</w:t>
      </w:r>
    </w:p>
    <w:p>
      <w:pPr>
        <w:tabs>
          <w:tab w:val="left" w:pos="4860"/>
        </w:tabs>
        <w:snapToGrid w:val="0"/>
        <w:spacing w:line="360" w:lineRule="auto"/>
        <w:ind w:right="1560" w:firstLine="440" w:firstLineChars="200"/>
        <w:rPr>
          <w:color w:val="auto"/>
          <w:sz w:val="22"/>
        </w:rPr>
      </w:pPr>
      <w:r>
        <w:rPr>
          <w:rFonts w:hint="eastAsia"/>
          <w:color w:val="auto"/>
          <w:sz w:val="22"/>
        </w:rPr>
        <w:t xml:space="preserve">       日  期：</w:t>
      </w:r>
    </w:p>
    <w:p>
      <w:pPr>
        <w:pStyle w:val="58"/>
        <w:snapToGrid w:val="0"/>
        <w:spacing w:line="360" w:lineRule="auto"/>
        <w:ind w:left="360" w:firstLine="0" w:firstLineChars="0"/>
        <w:rPr>
          <w:rFonts w:cs="宋体"/>
          <w:color w:val="auto"/>
          <w:sz w:val="22"/>
        </w:rPr>
      </w:pPr>
    </w:p>
    <w:p>
      <w:pPr>
        <w:pStyle w:val="2"/>
        <w:spacing w:line="480" w:lineRule="exact"/>
        <w:rPr>
          <w:rFonts w:ascii="宋体" w:hAnsi="宋体"/>
          <w:color w:val="auto"/>
          <w:sz w:val="22"/>
        </w:rPr>
      </w:pPr>
      <w:bookmarkStart w:id="57" w:name="_Toc10483_WPSOffice_Level2"/>
      <w:r>
        <w:rPr>
          <w:rFonts w:hint="eastAsia" w:ascii="宋体" w:hAnsi="宋体"/>
          <w:color w:val="auto"/>
          <w:sz w:val="22"/>
        </w:rPr>
        <w:t>二、节能、环保产品优先（强制）采购政策说明</w:t>
      </w:r>
      <w:bookmarkEnd w:id="57"/>
    </w:p>
    <w:p>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1、政策依据</w:t>
      </w:r>
    </w:p>
    <w:p>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（一）《国务院办公厅关于建立政府强制采购节能产品制度的通知》(国办发[2007]51号)</w:t>
      </w:r>
    </w:p>
    <w:p>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（二）财政部、发展改革委发布的《节能产品政府采购实施意见》(财库[2004]185号)</w:t>
      </w:r>
    </w:p>
    <w:p>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（三）财政部、原环保总局印发的《环境标志产品政府采购实施的意见》（财库[2006]90号）</w:t>
      </w:r>
    </w:p>
    <w:p>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（四）《关于调整优化节能产品、环境标志产品政府采购执行机制的通知》（财库〔2019〕9号）</w:t>
      </w:r>
    </w:p>
    <w:p>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（五）《关于印发节能产品政府采购品目清单的通知》（财库〔2019〕19号）</w:t>
      </w:r>
    </w:p>
    <w:p>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（六）《关于印发环境标志产品政府采购品目清单的通知》（财库〔2019〕18号）</w:t>
      </w:r>
    </w:p>
    <w:p>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（七）《市场监管总局关于发布参与实施政府采购节能产品、环境标志产品认证机构名录的公告》（2019年第16号）</w:t>
      </w:r>
    </w:p>
    <w:p>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2、供应商投标货物属于节能、环保优先（强制）采购范围的，须提供相关证明材料。</w:t>
      </w:r>
    </w:p>
    <w:p>
      <w:pPr>
        <w:pStyle w:val="58"/>
        <w:snapToGrid w:val="0"/>
        <w:spacing w:line="360" w:lineRule="auto"/>
        <w:ind w:firstLine="0" w:firstLineChars="0"/>
        <w:rPr>
          <w:rFonts w:cs="宋体"/>
          <w:color w:val="auto"/>
          <w:sz w:val="22"/>
        </w:rPr>
        <w:sectPr>
          <w:headerReference r:id="rId7" w:type="default"/>
          <w:footerReference r:id="rId8" w:type="default"/>
          <w:pgSz w:w="11906" w:h="16838"/>
          <w:pgMar w:top="1440" w:right="1106" w:bottom="1440" w:left="1622" w:header="720" w:footer="720" w:gutter="0"/>
          <w:cols w:space="720" w:num="1"/>
          <w:docGrid w:type="lines" w:linePitch="312" w:charSpace="0"/>
        </w:sectPr>
      </w:pPr>
    </w:p>
    <w:p>
      <w:pPr>
        <w:jc w:val="left"/>
        <w:rPr>
          <w:rFonts w:ascii="宋体" w:hAnsi="宋体"/>
          <w:b/>
          <w:color w:val="auto"/>
          <w:sz w:val="32"/>
          <w:szCs w:val="32"/>
        </w:rPr>
      </w:pPr>
      <w:r>
        <w:rPr>
          <w:rFonts w:hint="eastAsia" w:ascii="宋体" w:hAnsi="宋体"/>
          <w:b/>
          <w:color w:val="auto"/>
          <w:sz w:val="32"/>
          <w:szCs w:val="32"/>
        </w:rPr>
        <w:t>附件三</w:t>
      </w:r>
    </w:p>
    <w:p>
      <w:pPr>
        <w:jc w:val="center"/>
        <w:rPr>
          <w:rFonts w:ascii="宋体"/>
          <w:color w:val="auto"/>
          <w:sz w:val="36"/>
          <w:szCs w:val="36"/>
          <w:lang w:val="zh-CN"/>
        </w:rPr>
      </w:pPr>
    </w:p>
    <w:p>
      <w:pPr>
        <w:jc w:val="center"/>
        <w:rPr>
          <w:rFonts w:ascii="宋体"/>
          <w:color w:val="auto"/>
          <w:sz w:val="36"/>
          <w:szCs w:val="36"/>
          <w:lang w:val="zh-CN"/>
        </w:rPr>
      </w:pPr>
    </w:p>
    <w:p>
      <w:pPr>
        <w:jc w:val="center"/>
        <w:rPr>
          <w:rFonts w:ascii="宋体"/>
          <w:color w:val="auto"/>
          <w:sz w:val="36"/>
          <w:szCs w:val="36"/>
          <w:lang w:val="zh-CN"/>
        </w:rPr>
      </w:pPr>
      <w:r>
        <w:rPr>
          <w:rFonts w:hint="eastAsia" w:ascii="宋体"/>
          <w:color w:val="auto"/>
          <w:sz w:val="36"/>
          <w:szCs w:val="36"/>
          <w:lang w:val="zh-CN"/>
        </w:rPr>
        <w:t>具有履行合同所必需的设备和专业技术能力的承诺函</w:t>
      </w:r>
    </w:p>
    <w:p>
      <w:pPr>
        <w:jc w:val="left"/>
        <w:rPr>
          <w:rFonts w:ascii="宋体" w:hAnsi="宋体"/>
          <w:color w:val="auto"/>
          <w:sz w:val="22"/>
          <w:u w:val="single"/>
        </w:rPr>
      </w:pPr>
    </w:p>
    <w:p>
      <w:pPr>
        <w:jc w:val="left"/>
        <w:rPr>
          <w:rFonts w:ascii="宋体" w:hAnsi="宋体"/>
          <w:color w:val="auto"/>
          <w:sz w:val="22"/>
          <w:u w:val="single"/>
        </w:rPr>
      </w:pPr>
    </w:p>
    <w:p>
      <w:pPr>
        <w:jc w:val="left"/>
        <w:rPr>
          <w:rFonts w:ascii="宋体" w:hAnsi="宋体"/>
          <w:color w:val="auto"/>
          <w:sz w:val="22"/>
          <w:u w:val="single"/>
        </w:rPr>
      </w:pPr>
      <w:r>
        <w:rPr>
          <w:rFonts w:hint="eastAsia" w:ascii="宋体" w:hAnsi="宋体"/>
          <w:color w:val="auto"/>
          <w:sz w:val="22"/>
          <w:u w:val="single"/>
        </w:rPr>
        <w:t>泰顺县自然资源和规划局、浙江益诚工程咨询有限公司：</w:t>
      </w:r>
    </w:p>
    <w:p>
      <w:pPr>
        <w:widowControl/>
        <w:snapToGrid w:val="0"/>
        <w:spacing w:line="460" w:lineRule="exact"/>
        <w:ind w:firstLine="440" w:firstLineChars="200"/>
        <w:jc w:val="left"/>
        <w:rPr>
          <w:rFonts w:ascii="宋体" w:hAnsi="宋体" w:cs="Courier New"/>
          <w:color w:val="auto"/>
          <w:sz w:val="22"/>
        </w:rPr>
      </w:pPr>
    </w:p>
    <w:p>
      <w:pPr>
        <w:spacing w:line="460" w:lineRule="exact"/>
        <w:ind w:firstLine="440" w:firstLineChars="200"/>
        <w:rPr>
          <w:rFonts w:ascii="宋体" w:hAnsi="宋体" w:cs="黑体"/>
          <w:color w:val="auto"/>
          <w:sz w:val="22"/>
          <w:lang w:val="zh-CN"/>
        </w:rPr>
      </w:pPr>
      <w:r>
        <w:rPr>
          <w:rFonts w:hint="eastAsia" w:ascii="宋体" w:hAnsi="宋体" w:cs="黑体"/>
          <w:color w:val="auto"/>
          <w:sz w:val="22"/>
          <w:lang w:val="zh-CN"/>
        </w:rPr>
        <w:t>我方</w:t>
      </w:r>
      <w:r>
        <w:rPr>
          <w:rFonts w:hint="eastAsia" w:ascii="宋体" w:hAnsi="宋体" w:cs="黑体"/>
          <w:color w:val="auto"/>
          <w:sz w:val="22"/>
          <w:u w:val="single"/>
          <w:lang w:val="zh-CN"/>
        </w:rPr>
        <w:t xml:space="preserve"> （投标供应商）</w:t>
      </w:r>
      <w:r>
        <w:rPr>
          <w:rFonts w:hint="eastAsia" w:ascii="宋体" w:hAnsi="宋体" w:cs="黑体"/>
          <w:color w:val="auto"/>
          <w:sz w:val="22"/>
          <w:u w:val="single"/>
        </w:rPr>
        <w:t xml:space="preserve">  </w:t>
      </w:r>
      <w:r>
        <w:rPr>
          <w:rFonts w:hint="eastAsia" w:ascii="宋体" w:hAnsi="宋体" w:cs="黑体"/>
          <w:color w:val="auto"/>
          <w:sz w:val="22"/>
          <w:lang w:val="zh-CN"/>
        </w:rPr>
        <w:t>承诺具有履行合同所必需的设备、人员和专业技术能力。如有虚假，采购单位可取消我方任何资格（投标/中标/签订合同），我方对此无任何异议。</w:t>
      </w:r>
    </w:p>
    <w:p>
      <w:pPr>
        <w:spacing w:line="460" w:lineRule="exact"/>
        <w:ind w:firstLine="440" w:firstLineChars="200"/>
        <w:rPr>
          <w:rFonts w:ascii="宋体" w:hAnsi="宋体" w:cs="黑体"/>
          <w:color w:val="auto"/>
          <w:sz w:val="22"/>
          <w:lang w:val="zh-CN"/>
        </w:rPr>
      </w:pPr>
    </w:p>
    <w:p>
      <w:pPr>
        <w:spacing w:line="460" w:lineRule="exact"/>
        <w:ind w:firstLine="440" w:firstLineChars="200"/>
        <w:rPr>
          <w:rFonts w:ascii="宋体" w:hAnsi="宋体" w:cs="黑体"/>
          <w:color w:val="auto"/>
          <w:sz w:val="22"/>
          <w:lang w:val="zh-CN"/>
        </w:rPr>
      </w:pPr>
      <w:r>
        <w:rPr>
          <w:rFonts w:hint="eastAsia" w:ascii="宋体" w:hAnsi="宋体" w:cs="黑体"/>
          <w:color w:val="auto"/>
          <w:sz w:val="22"/>
          <w:lang w:val="zh-CN"/>
        </w:rPr>
        <w:t>特此承诺！</w:t>
      </w:r>
    </w:p>
    <w:p>
      <w:pPr>
        <w:spacing w:line="460" w:lineRule="exact"/>
        <w:ind w:firstLine="440" w:firstLineChars="200"/>
        <w:rPr>
          <w:rFonts w:ascii="宋体" w:hAnsi="宋体" w:cs="黑体"/>
          <w:color w:val="auto"/>
          <w:sz w:val="22"/>
          <w:lang w:val="zh-CN"/>
        </w:rPr>
      </w:pPr>
    </w:p>
    <w:p>
      <w:pPr>
        <w:spacing w:line="460" w:lineRule="exact"/>
        <w:ind w:firstLine="440" w:firstLineChars="200"/>
        <w:rPr>
          <w:rFonts w:ascii="宋体" w:hAnsi="宋体" w:cs="黑体"/>
          <w:color w:val="auto"/>
          <w:sz w:val="22"/>
          <w:lang w:val="zh-CN"/>
        </w:rPr>
      </w:pPr>
    </w:p>
    <w:p>
      <w:pPr>
        <w:spacing w:line="460" w:lineRule="exact"/>
        <w:ind w:firstLine="440" w:firstLineChars="200"/>
        <w:rPr>
          <w:rFonts w:ascii="宋体" w:hAnsi="宋体" w:cs="黑体"/>
          <w:color w:val="auto"/>
          <w:sz w:val="22"/>
          <w:lang w:val="zh-CN"/>
        </w:rPr>
      </w:pPr>
    </w:p>
    <w:p>
      <w:pPr>
        <w:spacing w:line="460" w:lineRule="exact"/>
        <w:ind w:firstLine="440" w:firstLineChars="200"/>
        <w:rPr>
          <w:rFonts w:ascii="宋体" w:hAnsi="宋体" w:cs="黑体"/>
          <w:color w:val="auto"/>
          <w:sz w:val="22"/>
          <w:lang w:val="zh-CN"/>
        </w:rPr>
      </w:pPr>
      <w:r>
        <w:rPr>
          <w:rFonts w:hint="eastAsia" w:ascii="宋体" w:hAnsi="宋体" w:cs="黑体"/>
          <w:color w:val="auto"/>
          <w:sz w:val="22"/>
          <w:lang w:val="zh-CN"/>
        </w:rPr>
        <w:t>供应商全称：（盖章）</w:t>
      </w:r>
    </w:p>
    <w:p>
      <w:pPr>
        <w:spacing w:line="460" w:lineRule="exact"/>
        <w:ind w:firstLine="440" w:firstLineChars="200"/>
        <w:rPr>
          <w:rFonts w:ascii="宋体" w:hAnsi="宋体" w:cs="黑体"/>
          <w:color w:val="auto"/>
          <w:sz w:val="22"/>
          <w:lang w:val="zh-CN"/>
        </w:rPr>
      </w:pPr>
      <w:r>
        <w:rPr>
          <w:rFonts w:hint="eastAsia" w:ascii="宋体" w:hAnsi="宋体" w:cs="黑体"/>
          <w:color w:val="auto"/>
          <w:sz w:val="22"/>
          <w:lang w:val="zh-CN"/>
        </w:rPr>
        <w:t>法定代表人（签字或盖章）或授权代表（签字）：</w:t>
      </w:r>
    </w:p>
    <w:p>
      <w:pPr>
        <w:spacing w:line="460" w:lineRule="exact"/>
        <w:ind w:firstLine="440" w:firstLineChars="200"/>
        <w:rPr>
          <w:rFonts w:ascii="宋体" w:hAnsi="宋体" w:cs="黑体"/>
          <w:color w:val="auto"/>
          <w:sz w:val="22"/>
          <w:lang w:val="zh-CN"/>
        </w:rPr>
      </w:pPr>
      <w:r>
        <w:rPr>
          <w:rFonts w:hint="eastAsia" w:ascii="宋体" w:hAnsi="宋体" w:cs="黑体"/>
          <w:color w:val="auto"/>
          <w:sz w:val="22"/>
          <w:lang w:val="zh-CN"/>
        </w:rPr>
        <w:t>日期：</w:t>
      </w:r>
    </w:p>
    <w:p>
      <w:pPr>
        <w:autoSpaceDE w:val="0"/>
        <w:autoSpaceDN w:val="0"/>
        <w:adjustRightInd w:val="0"/>
        <w:spacing w:line="440" w:lineRule="atLeast"/>
        <w:rPr>
          <w:rFonts w:hAnsi="宋体"/>
          <w:b/>
          <w:bCs/>
          <w:color w:val="auto"/>
          <w:sz w:val="32"/>
          <w:szCs w:val="32"/>
        </w:rPr>
      </w:pPr>
    </w:p>
    <w:p>
      <w:pPr>
        <w:autoSpaceDE w:val="0"/>
        <w:autoSpaceDN w:val="0"/>
        <w:adjustRightInd w:val="0"/>
        <w:spacing w:line="440" w:lineRule="atLeast"/>
        <w:rPr>
          <w:rFonts w:hAnsi="宋体"/>
          <w:b/>
          <w:bCs/>
          <w:color w:val="auto"/>
          <w:sz w:val="32"/>
          <w:szCs w:val="32"/>
        </w:rPr>
      </w:pPr>
    </w:p>
    <w:p>
      <w:pPr>
        <w:autoSpaceDE w:val="0"/>
        <w:autoSpaceDN w:val="0"/>
        <w:adjustRightInd w:val="0"/>
        <w:spacing w:line="440" w:lineRule="atLeast"/>
        <w:rPr>
          <w:rFonts w:hAnsi="宋体"/>
          <w:b/>
          <w:bCs/>
          <w:color w:val="auto"/>
          <w:sz w:val="32"/>
          <w:szCs w:val="32"/>
        </w:rPr>
      </w:pPr>
    </w:p>
    <w:p>
      <w:pPr>
        <w:autoSpaceDE w:val="0"/>
        <w:autoSpaceDN w:val="0"/>
        <w:adjustRightInd w:val="0"/>
        <w:spacing w:line="440" w:lineRule="atLeast"/>
        <w:rPr>
          <w:rFonts w:hAnsi="宋体"/>
          <w:b/>
          <w:bCs/>
          <w:color w:val="auto"/>
          <w:sz w:val="32"/>
          <w:szCs w:val="32"/>
        </w:rPr>
      </w:pPr>
    </w:p>
    <w:p>
      <w:pPr>
        <w:autoSpaceDE w:val="0"/>
        <w:autoSpaceDN w:val="0"/>
        <w:adjustRightInd w:val="0"/>
        <w:spacing w:line="440" w:lineRule="atLeast"/>
        <w:rPr>
          <w:rFonts w:hAnsi="宋体"/>
          <w:b/>
          <w:bCs/>
          <w:color w:val="auto"/>
          <w:sz w:val="32"/>
          <w:szCs w:val="32"/>
        </w:rPr>
      </w:pPr>
    </w:p>
    <w:p>
      <w:pPr>
        <w:spacing w:line="440" w:lineRule="exact"/>
        <w:jc w:val="left"/>
        <w:rPr>
          <w:rFonts w:ascii="宋体" w:hAnsi="宋体" w:eastAsia="宋体"/>
          <w:b/>
          <w:color w:val="auto"/>
          <w:sz w:val="32"/>
          <w:szCs w:val="32"/>
        </w:rPr>
      </w:pPr>
      <w:r>
        <w:rPr>
          <w:rFonts w:hint="eastAsia" w:ascii="宋体" w:hAnsi="宋体"/>
          <w:b/>
          <w:color w:val="auto"/>
          <w:sz w:val="32"/>
          <w:szCs w:val="32"/>
        </w:rPr>
        <w:br w:type="page"/>
      </w:r>
      <w:r>
        <w:rPr>
          <w:rFonts w:hint="eastAsia" w:ascii="宋体" w:hAnsi="宋体"/>
          <w:b/>
          <w:color w:val="auto"/>
          <w:sz w:val="32"/>
          <w:szCs w:val="32"/>
        </w:rPr>
        <w:t>附件四</w:t>
      </w:r>
    </w:p>
    <w:p>
      <w:pPr>
        <w:jc w:val="center"/>
        <w:rPr>
          <w:rFonts w:ascii="宋体"/>
          <w:color w:val="auto"/>
          <w:sz w:val="36"/>
          <w:szCs w:val="36"/>
          <w:lang w:val="zh-CN"/>
        </w:rPr>
      </w:pPr>
    </w:p>
    <w:p>
      <w:pPr>
        <w:jc w:val="center"/>
        <w:rPr>
          <w:rFonts w:ascii="宋体"/>
          <w:color w:val="auto"/>
          <w:sz w:val="36"/>
          <w:szCs w:val="36"/>
          <w:lang w:val="zh-CN"/>
        </w:rPr>
      </w:pPr>
    </w:p>
    <w:p>
      <w:pPr>
        <w:jc w:val="center"/>
        <w:rPr>
          <w:rFonts w:ascii="宋体"/>
          <w:color w:val="auto"/>
          <w:sz w:val="36"/>
          <w:szCs w:val="36"/>
        </w:rPr>
      </w:pPr>
      <w:r>
        <w:rPr>
          <w:rFonts w:hint="eastAsia" w:ascii="宋体"/>
          <w:color w:val="auto"/>
          <w:sz w:val="36"/>
          <w:szCs w:val="36"/>
        </w:rPr>
        <w:t>依法缴纳税收和社会保障资金的承诺函</w:t>
      </w:r>
    </w:p>
    <w:p>
      <w:pPr>
        <w:spacing w:line="360" w:lineRule="auto"/>
        <w:rPr>
          <w:rFonts w:ascii="仿宋" w:hAnsi="仿宋" w:eastAsia="仿宋" w:cs="Arial"/>
          <w:b/>
          <w:color w:val="auto"/>
          <w:w w:val="90"/>
          <w:sz w:val="28"/>
          <w:u w:val="single"/>
        </w:rPr>
      </w:pPr>
    </w:p>
    <w:p>
      <w:pPr>
        <w:spacing w:line="360" w:lineRule="auto"/>
        <w:rPr>
          <w:rFonts w:ascii="宋体" w:hAnsi="宋体"/>
          <w:color w:val="auto"/>
          <w:sz w:val="22"/>
          <w:u w:val="single"/>
        </w:rPr>
      </w:pPr>
      <w:r>
        <w:rPr>
          <w:rFonts w:hint="eastAsia" w:ascii="宋体" w:hAnsi="宋体"/>
          <w:color w:val="auto"/>
          <w:sz w:val="22"/>
          <w:u w:val="single"/>
        </w:rPr>
        <w:t>泰顺县自然资源和规划局、浙江益诚工程咨询有限公司：</w:t>
      </w:r>
    </w:p>
    <w:p>
      <w:pPr>
        <w:spacing w:line="360" w:lineRule="auto"/>
        <w:rPr>
          <w:rFonts w:ascii="仿宋" w:hAnsi="仿宋" w:eastAsia="仿宋" w:cs="Arial"/>
          <w:color w:val="auto"/>
          <w:sz w:val="32"/>
          <w:szCs w:val="28"/>
        </w:rPr>
      </w:pPr>
    </w:p>
    <w:p>
      <w:pPr>
        <w:spacing w:line="460" w:lineRule="exact"/>
        <w:ind w:firstLine="440" w:firstLineChars="200"/>
        <w:rPr>
          <w:rFonts w:ascii="宋体" w:hAnsi="宋体" w:cs="黑体"/>
          <w:color w:val="auto"/>
          <w:sz w:val="22"/>
        </w:rPr>
      </w:pPr>
      <w:r>
        <w:rPr>
          <w:rFonts w:hint="eastAsia" w:ascii="宋体" w:hAnsi="宋体" w:cs="黑体"/>
          <w:color w:val="auto"/>
          <w:sz w:val="22"/>
        </w:rPr>
        <w:t>我公司郑重声明，我公司严格依法缴纳税收和社会保障资金，本文件中所提供的相关材料均真实有效，不存在虚假、造假行为。如有违反，愿承担一切责任。</w:t>
      </w:r>
    </w:p>
    <w:p>
      <w:pPr>
        <w:spacing w:line="360" w:lineRule="auto"/>
        <w:rPr>
          <w:rFonts w:ascii="宋体" w:hAnsi="宋体"/>
          <w:color w:val="auto"/>
          <w:sz w:val="22"/>
        </w:rPr>
      </w:pPr>
    </w:p>
    <w:p>
      <w:pPr>
        <w:spacing w:line="360" w:lineRule="auto"/>
        <w:ind w:firstLine="440" w:firstLineChars="200"/>
        <w:rPr>
          <w:rFonts w:ascii="宋体" w:hAnsi="宋体"/>
          <w:color w:val="auto"/>
          <w:sz w:val="22"/>
        </w:rPr>
      </w:pPr>
      <w:r>
        <w:rPr>
          <w:rFonts w:hint="eastAsia" w:ascii="宋体" w:hAnsi="宋体"/>
          <w:color w:val="auto"/>
          <w:sz w:val="22"/>
        </w:rPr>
        <w:t>特此承诺！</w:t>
      </w:r>
    </w:p>
    <w:p>
      <w:pPr>
        <w:spacing w:line="360" w:lineRule="auto"/>
        <w:ind w:firstLine="420" w:firstLineChars="200"/>
        <w:rPr>
          <w:rFonts w:ascii="仿宋" w:hAnsi="仿宋" w:eastAsia="仿宋" w:cs="Arial"/>
          <w:color w:val="auto"/>
        </w:rPr>
      </w:pPr>
    </w:p>
    <w:p>
      <w:pPr>
        <w:spacing w:line="360" w:lineRule="auto"/>
        <w:ind w:firstLine="420" w:firstLineChars="200"/>
        <w:rPr>
          <w:rFonts w:ascii="仿宋" w:hAnsi="仿宋" w:eastAsia="仿宋" w:cs="Arial"/>
          <w:color w:val="auto"/>
        </w:rPr>
      </w:pPr>
    </w:p>
    <w:p>
      <w:pPr>
        <w:spacing w:line="360" w:lineRule="auto"/>
        <w:ind w:firstLine="420" w:firstLineChars="200"/>
        <w:rPr>
          <w:rFonts w:ascii="仿宋" w:hAnsi="仿宋" w:eastAsia="仿宋" w:cs="Arial"/>
          <w:color w:val="auto"/>
        </w:rPr>
      </w:pPr>
    </w:p>
    <w:p>
      <w:pPr>
        <w:pStyle w:val="15"/>
        <w:spacing w:line="460" w:lineRule="atLeast"/>
        <w:ind w:firstLine="770" w:firstLineChars="350"/>
        <w:rPr>
          <w:rFonts w:hAnsi="宋体"/>
          <w:color w:val="auto"/>
          <w:sz w:val="22"/>
          <w:szCs w:val="22"/>
        </w:rPr>
      </w:pPr>
      <w:r>
        <w:rPr>
          <w:rFonts w:hint="eastAsia" w:hAnsi="宋体"/>
          <w:color w:val="auto"/>
          <w:sz w:val="22"/>
          <w:szCs w:val="22"/>
        </w:rPr>
        <w:t>供应商全称（盖章）：</w:t>
      </w:r>
    </w:p>
    <w:p>
      <w:pPr>
        <w:pStyle w:val="15"/>
        <w:spacing w:line="460" w:lineRule="atLeast"/>
        <w:ind w:firstLine="770" w:firstLineChars="350"/>
        <w:rPr>
          <w:rFonts w:hAnsi="宋体"/>
          <w:color w:val="auto"/>
          <w:sz w:val="22"/>
          <w:szCs w:val="22"/>
        </w:rPr>
      </w:pPr>
      <w:r>
        <w:rPr>
          <w:rFonts w:hint="eastAsia" w:hAnsi="宋体"/>
          <w:color w:val="auto"/>
          <w:sz w:val="22"/>
          <w:szCs w:val="22"/>
        </w:rPr>
        <w:t>法定代表人（签字或盖章）或授权代表（签字或盖章）：</w:t>
      </w:r>
    </w:p>
    <w:p>
      <w:pPr>
        <w:pStyle w:val="15"/>
        <w:spacing w:line="460" w:lineRule="atLeast"/>
        <w:ind w:firstLine="770" w:firstLineChars="350"/>
        <w:rPr>
          <w:rFonts w:hAnsi="宋体"/>
          <w:color w:val="auto"/>
          <w:sz w:val="22"/>
          <w:szCs w:val="22"/>
        </w:rPr>
      </w:pPr>
      <w:r>
        <w:rPr>
          <w:rFonts w:hint="eastAsia" w:hAnsi="宋体"/>
          <w:color w:val="auto"/>
          <w:sz w:val="22"/>
          <w:szCs w:val="22"/>
        </w:rPr>
        <w:t>日期：</w:t>
      </w:r>
    </w:p>
    <w:p>
      <w:pPr>
        <w:pStyle w:val="15"/>
        <w:spacing w:line="460" w:lineRule="atLeast"/>
        <w:ind w:firstLine="773" w:firstLineChars="350"/>
        <w:rPr>
          <w:rFonts w:hAnsi="宋体"/>
          <w:b/>
          <w:bCs/>
          <w:color w:val="auto"/>
          <w:sz w:val="22"/>
          <w:szCs w:val="22"/>
        </w:rPr>
      </w:pPr>
    </w:p>
    <w:p>
      <w:pPr>
        <w:pStyle w:val="15"/>
        <w:spacing w:line="460" w:lineRule="atLeast"/>
        <w:ind w:firstLine="773" w:firstLineChars="350"/>
        <w:rPr>
          <w:rFonts w:hAnsi="宋体"/>
          <w:b/>
          <w:bCs/>
          <w:color w:val="auto"/>
          <w:sz w:val="22"/>
          <w:szCs w:val="22"/>
        </w:rPr>
      </w:pPr>
    </w:p>
    <w:p>
      <w:pPr>
        <w:spacing w:line="440" w:lineRule="exact"/>
        <w:jc w:val="left"/>
        <w:rPr>
          <w:rFonts w:hAnsi="宋体"/>
          <w:b/>
          <w:bCs/>
          <w:color w:val="auto"/>
          <w:sz w:val="22"/>
        </w:rPr>
      </w:pPr>
      <w:r>
        <w:rPr>
          <w:rFonts w:hint="eastAsia" w:hAnsi="宋体" w:cs="仿宋_GB2312"/>
          <w:b/>
          <w:color w:val="auto"/>
          <w:sz w:val="22"/>
          <w:lang w:val="zh-CN"/>
        </w:rPr>
        <w:t>▲备注</w:t>
      </w:r>
      <w:r>
        <w:rPr>
          <w:rFonts w:hint="eastAsia" w:hAnsi="宋体"/>
          <w:b/>
          <w:bCs/>
          <w:color w:val="auto"/>
          <w:sz w:val="22"/>
        </w:rPr>
        <w:t>：承诺函后附依法缴纳税收的证明材料、依法缴纳社保的证明材料（新成立单位，应提供情况说明）</w:t>
      </w:r>
    </w:p>
    <w:p>
      <w:pPr>
        <w:autoSpaceDE w:val="0"/>
        <w:autoSpaceDN w:val="0"/>
        <w:adjustRightInd w:val="0"/>
        <w:spacing w:line="440" w:lineRule="atLeast"/>
        <w:rPr>
          <w:rFonts w:hAnsi="宋体"/>
          <w:b/>
          <w:bCs/>
          <w:color w:val="auto"/>
          <w:sz w:val="32"/>
          <w:szCs w:val="32"/>
        </w:rPr>
      </w:pPr>
    </w:p>
    <w:p>
      <w:pPr>
        <w:pStyle w:val="2"/>
        <w:rPr>
          <w:rFonts w:hAnsi="宋体"/>
          <w:b/>
          <w:bCs/>
          <w:color w:val="auto"/>
          <w:sz w:val="32"/>
          <w:szCs w:val="32"/>
        </w:rPr>
      </w:pPr>
    </w:p>
    <w:p>
      <w:pPr>
        <w:pStyle w:val="2"/>
        <w:rPr>
          <w:rFonts w:hAnsi="宋体"/>
          <w:b/>
          <w:bCs/>
          <w:color w:val="auto"/>
          <w:sz w:val="32"/>
          <w:szCs w:val="32"/>
        </w:rPr>
      </w:pPr>
    </w:p>
    <w:p>
      <w:pPr>
        <w:pStyle w:val="2"/>
        <w:rPr>
          <w:rFonts w:hAnsi="宋体"/>
          <w:b/>
          <w:bCs/>
          <w:color w:val="auto"/>
          <w:sz w:val="32"/>
          <w:szCs w:val="32"/>
        </w:rPr>
      </w:pPr>
    </w:p>
    <w:p>
      <w:pPr>
        <w:pStyle w:val="2"/>
        <w:rPr>
          <w:rFonts w:hAnsi="宋体"/>
          <w:b/>
          <w:bCs/>
          <w:color w:val="auto"/>
          <w:sz w:val="32"/>
          <w:szCs w:val="32"/>
        </w:rPr>
      </w:pPr>
    </w:p>
    <w:p>
      <w:pPr>
        <w:spacing w:line="440" w:lineRule="exact"/>
        <w:jc w:val="left"/>
        <w:rPr>
          <w:rFonts w:ascii="宋体" w:hAnsi="宋体" w:eastAsia="宋体"/>
          <w:b/>
          <w:color w:val="auto"/>
          <w:sz w:val="32"/>
          <w:szCs w:val="32"/>
        </w:rPr>
      </w:pPr>
      <w:r>
        <w:rPr>
          <w:rFonts w:hint="eastAsia" w:ascii="宋体" w:hAnsi="宋体"/>
          <w:b/>
          <w:color w:val="auto"/>
          <w:sz w:val="32"/>
          <w:szCs w:val="32"/>
        </w:rPr>
        <w:t>附件五</w:t>
      </w:r>
    </w:p>
    <w:p>
      <w:pPr>
        <w:jc w:val="center"/>
        <w:rPr>
          <w:rFonts w:ascii="宋体"/>
          <w:color w:val="auto"/>
          <w:sz w:val="36"/>
          <w:szCs w:val="36"/>
          <w:lang w:val="zh-CN"/>
        </w:rPr>
      </w:pPr>
    </w:p>
    <w:p>
      <w:pPr>
        <w:jc w:val="center"/>
        <w:rPr>
          <w:rFonts w:ascii="宋体"/>
          <w:color w:val="auto"/>
          <w:sz w:val="36"/>
          <w:szCs w:val="36"/>
          <w:lang w:val="zh-CN"/>
        </w:rPr>
      </w:pPr>
      <w:r>
        <w:rPr>
          <w:rFonts w:hint="eastAsia" w:ascii="宋体"/>
          <w:color w:val="auto"/>
          <w:sz w:val="36"/>
          <w:szCs w:val="36"/>
          <w:lang w:val="zh-CN"/>
        </w:rPr>
        <w:t>参加政府采购活动前3年内</w:t>
      </w:r>
    </w:p>
    <w:p>
      <w:pPr>
        <w:jc w:val="center"/>
        <w:rPr>
          <w:rFonts w:ascii="宋体"/>
          <w:color w:val="auto"/>
          <w:sz w:val="36"/>
          <w:szCs w:val="36"/>
          <w:lang w:val="zh-CN"/>
        </w:rPr>
      </w:pPr>
      <w:r>
        <w:rPr>
          <w:rFonts w:hint="eastAsia" w:ascii="宋体"/>
          <w:color w:val="auto"/>
          <w:sz w:val="36"/>
          <w:szCs w:val="36"/>
          <w:lang w:val="zh-CN"/>
        </w:rPr>
        <w:t>在经营活动中没有重大违法记录的声明函</w:t>
      </w:r>
    </w:p>
    <w:p>
      <w:pPr>
        <w:jc w:val="left"/>
        <w:rPr>
          <w:rFonts w:ascii="宋体" w:hAnsi="宋体"/>
          <w:color w:val="auto"/>
          <w:sz w:val="22"/>
          <w:u w:val="single"/>
        </w:rPr>
      </w:pPr>
    </w:p>
    <w:p>
      <w:pPr>
        <w:jc w:val="left"/>
        <w:rPr>
          <w:rFonts w:ascii="宋体" w:hAnsi="宋体"/>
          <w:color w:val="auto"/>
          <w:sz w:val="22"/>
          <w:u w:val="single"/>
        </w:rPr>
      </w:pPr>
    </w:p>
    <w:p>
      <w:pPr>
        <w:jc w:val="left"/>
        <w:rPr>
          <w:rFonts w:ascii="宋体" w:hAnsi="宋体"/>
          <w:color w:val="auto"/>
          <w:sz w:val="22"/>
          <w:u w:val="single"/>
        </w:rPr>
      </w:pPr>
    </w:p>
    <w:p>
      <w:pPr>
        <w:jc w:val="left"/>
        <w:rPr>
          <w:rFonts w:ascii="宋体" w:hAnsi="宋体"/>
          <w:color w:val="auto"/>
          <w:sz w:val="22"/>
          <w:u w:val="single"/>
        </w:rPr>
      </w:pPr>
      <w:r>
        <w:rPr>
          <w:rFonts w:hint="eastAsia" w:ascii="宋体" w:hAnsi="宋体"/>
          <w:color w:val="auto"/>
          <w:sz w:val="22"/>
          <w:u w:val="single"/>
        </w:rPr>
        <w:t>泰顺县自然资源和规划局、浙江益诚工程咨询有限公司：</w:t>
      </w:r>
    </w:p>
    <w:p>
      <w:pPr>
        <w:jc w:val="center"/>
        <w:rPr>
          <w:rFonts w:ascii="宋体" w:hAnsi="宋体"/>
          <w:color w:val="auto"/>
          <w:sz w:val="22"/>
          <w:u w:val="single"/>
        </w:rPr>
      </w:pPr>
    </w:p>
    <w:p>
      <w:pPr>
        <w:jc w:val="center"/>
        <w:rPr>
          <w:rFonts w:ascii="宋体" w:hAnsi="宋体"/>
          <w:color w:val="auto"/>
          <w:sz w:val="22"/>
          <w:u w:val="single"/>
        </w:rPr>
      </w:pPr>
    </w:p>
    <w:p>
      <w:pPr>
        <w:spacing w:line="460" w:lineRule="exact"/>
        <w:ind w:firstLine="440" w:firstLineChars="200"/>
        <w:rPr>
          <w:rFonts w:ascii="宋体" w:hAnsi="宋体" w:cs="黑体"/>
          <w:color w:val="auto"/>
          <w:sz w:val="22"/>
          <w:lang w:val="zh-CN"/>
        </w:rPr>
      </w:pPr>
      <w:r>
        <w:rPr>
          <w:rFonts w:hint="eastAsia" w:ascii="宋体" w:hAnsi="宋体" w:cs="黑体"/>
          <w:color w:val="auto"/>
          <w:sz w:val="22"/>
          <w:lang w:val="zh-CN"/>
        </w:rPr>
        <w:t>我方</w:t>
      </w:r>
      <w:r>
        <w:rPr>
          <w:rFonts w:hint="eastAsia" w:ascii="宋体" w:hAnsi="宋体" w:cs="黑体"/>
          <w:color w:val="auto"/>
          <w:sz w:val="22"/>
          <w:u w:val="single"/>
          <w:lang w:val="zh-CN"/>
        </w:rPr>
        <w:t xml:space="preserve"> （投标供应商）</w:t>
      </w:r>
      <w:r>
        <w:rPr>
          <w:rFonts w:hint="eastAsia" w:ascii="宋体" w:hAnsi="宋体" w:cs="黑体"/>
          <w:color w:val="auto"/>
          <w:sz w:val="22"/>
          <w:u w:val="single"/>
        </w:rPr>
        <w:t xml:space="preserve">  </w:t>
      </w:r>
      <w:r>
        <w:rPr>
          <w:rFonts w:hint="eastAsia" w:ascii="宋体" w:hAnsi="宋体" w:cs="黑体"/>
          <w:color w:val="auto"/>
          <w:sz w:val="22"/>
          <w:lang w:val="zh-CN"/>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单位可取消我方任何资格（投标/中标/签订合同），我方对此无任何异议。</w:t>
      </w:r>
    </w:p>
    <w:p>
      <w:pPr>
        <w:spacing w:line="460" w:lineRule="exact"/>
        <w:ind w:firstLine="440" w:firstLineChars="200"/>
        <w:rPr>
          <w:rFonts w:ascii="宋体" w:hAnsi="宋体" w:cs="黑体"/>
          <w:color w:val="auto"/>
          <w:sz w:val="22"/>
          <w:lang w:val="zh-CN"/>
        </w:rPr>
      </w:pPr>
    </w:p>
    <w:p>
      <w:pPr>
        <w:spacing w:line="460" w:lineRule="exact"/>
        <w:ind w:firstLine="440" w:firstLineChars="200"/>
        <w:rPr>
          <w:rFonts w:ascii="宋体" w:hAnsi="宋体" w:cs="黑体"/>
          <w:color w:val="auto"/>
          <w:sz w:val="22"/>
          <w:lang w:val="zh-CN"/>
        </w:rPr>
      </w:pPr>
      <w:r>
        <w:rPr>
          <w:rFonts w:hint="eastAsia" w:ascii="宋体" w:hAnsi="宋体" w:cs="黑体"/>
          <w:color w:val="auto"/>
          <w:sz w:val="22"/>
          <w:lang w:val="zh-CN"/>
        </w:rPr>
        <w:t>特此承诺！</w:t>
      </w:r>
    </w:p>
    <w:p>
      <w:pPr>
        <w:spacing w:line="460" w:lineRule="exact"/>
        <w:ind w:firstLine="440" w:firstLineChars="200"/>
        <w:rPr>
          <w:rFonts w:ascii="宋体" w:hAnsi="宋体" w:cs="黑体"/>
          <w:color w:val="auto"/>
          <w:sz w:val="22"/>
          <w:lang w:val="zh-CN"/>
        </w:rPr>
      </w:pPr>
    </w:p>
    <w:p>
      <w:pPr>
        <w:spacing w:line="460" w:lineRule="exact"/>
        <w:ind w:firstLine="440" w:firstLineChars="200"/>
        <w:rPr>
          <w:rFonts w:ascii="宋体" w:hAnsi="宋体" w:cs="黑体"/>
          <w:color w:val="auto"/>
          <w:sz w:val="22"/>
          <w:lang w:val="zh-CN"/>
        </w:rPr>
      </w:pPr>
      <w:r>
        <w:rPr>
          <w:rFonts w:hint="eastAsia" w:ascii="宋体" w:hAnsi="宋体" w:cs="黑体"/>
          <w:color w:val="auto"/>
          <w:sz w:val="22"/>
          <w:lang w:val="zh-CN"/>
        </w:rPr>
        <w:t>供应商全称：（盖章）</w:t>
      </w:r>
    </w:p>
    <w:p>
      <w:pPr>
        <w:spacing w:line="460" w:lineRule="exact"/>
        <w:ind w:firstLine="440" w:firstLineChars="200"/>
        <w:rPr>
          <w:rFonts w:ascii="宋体" w:hAnsi="宋体" w:cs="黑体"/>
          <w:color w:val="auto"/>
          <w:sz w:val="22"/>
          <w:lang w:val="zh-CN"/>
        </w:rPr>
      </w:pPr>
      <w:r>
        <w:rPr>
          <w:rFonts w:hint="eastAsia" w:ascii="宋体" w:hAnsi="宋体" w:cs="黑体"/>
          <w:color w:val="auto"/>
          <w:sz w:val="22"/>
          <w:lang w:val="zh-CN"/>
        </w:rPr>
        <w:t>法定代表人（签字或盖章）或授权代表（签字）：</w:t>
      </w:r>
    </w:p>
    <w:p>
      <w:pPr>
        <w:spacing w:line="460" w:lineRule="exact"/>
        <w:ind w:firstLine="440" w:firstLineChars="200"/>
        <w:rPr>
          <w:rFonts w:ascii="宋体" w:hAnsi="宋体" w:cs="黑体"/>
          <w:color w:val="auto"/>
          <w:sz w:val="22"/>
          <w:lang w:val="zh-CN"/>
        </w:rPr>
      </w:pPr>
      <w:r>
        <w:rPr>
          <w:rFonts w:hint="eastAsia" w:ascii="宋体" w:hAnsi="宋体" w:cs="黑体"/>
          <w:color w:val="auto"/>
          <w:sz w:val="22"/>
          <w:lang w:val="zh-CN"/>
        </w:rPr>
        <w:t>日期：</w:t>
      </w:r>
    </w:p>
    <w:p>
      <w:pPr>
        <w:jc w:val="center"/>
        <w:rPr>
          <w:rFonts w:ascii="宋体"/>
          <w:color w:val="auto"/>
          <w:sz w:val="36"/>
          <w:szCs w:val="36"/>
          <w:lang w:val="zh-CN"/>
        </w:rPr>
      </w:pPr>
    </w:p>
    <w:p>
      <w:pPr>
        <w:pStyle w:val="15"/>
        <w:adjustRightInd w:val="0"/>
        <w:snapToGrid w:val="0"/>
        <w:spacing w:line="340" w:lineRule="atLeast"/>
        <w:rPr>
          <w:rFonts w:hAnsi="宋体"/>
          <w:b/>
          <w:color w:val="auto"/>
          <w:sz w:val="32"/>
          <w:szCs w:val="32"/>
        </w:rPr>
      </w:pPr>
    </w:p>
    <w:p>
      <w:pPr>
        <w:pStyle w:val="15"/>
        <w:adjustRightInd w:val="0"/>
        <w:snapToGrid w:val="0"/>
        <w:spacing w:line="340" w:lineRule="atLeast"/>
        <w:rPr>
          <w:rFonts w:hAnsi="宋体"/>
          <w:b/>
          <w:color w:val="auto"/>
          <w:sz w:val="32"/>
          <w:szCs w:val="32"/>
        </w:rPr>
      </w:pPr>
    </w:p>
    <w:p>
      <w:pPr>
        <w:pStyle w:val="15"/>
        <w:adjustRightInd w:val="0"/>
        <w:snapToGrid w:val="0"/>
        <w:spacing w:line="340" w:lineRule="atLeast"/>
        <w:rPr>
          <w:rFonts w:hAnsi="宋体"/>
          <w:b/>
          <w:color w:val="auto"/>
          <w:sz w:val="32"/>
          <w:szCs w:val="32"/>
        </w:rPr>
      </w:pPr>
    </w:p>
    <w:p>
      <w:pPr>
        <w:autoSpaceDE w:val="0"/>
        <w:autoSpaceDN w:val="0"/>
        <w:adjustRightInd w:val="0"/>
        <w:jc w:val="left"/>
        <w:outlineLvl w:val="0"/>
        <w:rPr>
          <w:rFonts w:ascii="宋体"/>
          <w:b/>
          <w:bCs/>
          <w:color w:val="auto"/>
          <w:sz w:val="32"/>
          <w:szCs w:val="32"/>
        </w:rPr>
      </w:pPr>
      <w:r>
        <w:rPr>
          <w:rFonts w:hint="eastAsia" w:hAnsi="宋体"/>
          <w:b/>
          <w:color w:val="auto"/>
          <w:sz w:val="32"/>
          <w:szCs w:val="32"/>
        </w:rPr>
        <w:br w:type="page"/>
      </w:r>
      <w:r>
        <w:rPr>
          <w:rFonts w:hint="eastAsia" w:ascii="宋体" w:hAnsi="宋体"/>
          <w:b/>
          <w:bCs/>
          <w:color w:val="auto"/>
          <w:sz w:val="32"/>
          <w:szCs w:val="32"/>
        </w:rPr>
        <w:t>附件六（一）</w:t>
      </w:r>
    </w:p>
    <w:p>
      <w:pPr>
        <w:spacing w:line="480" w:lineRule="auto"/>
        <w:jc w:val="center"/>
        <w:rPr>
          <w:rFonts w:ascii="宋体" w:hAnsi="宋体" w:cs="仿宋_GB2312"/>
          <w:color w:val="auto"/>
          <w:sz w:val="36"/>
          <w:szCs w:val="36"/>
        </w:rPr>
      </w:pPr>
      <w:r>
        <w:rPr>
          <w:rFonts w:hint="eastAsia" w:ascii="宋体" w:hAnsi="宋体" w:cs="仿宋_GB2312"/>
          <w:color w:val="auto"/>
          <w:sz w:val="36"/>
          <w:szCs w:val="36"/>
        </w:rPr>
        <w:t>法定代表人身份证明书</w:t>
      </w:r>
    </w:p>
    <w:p>
      <w:pPr>
        <w:spacing w:line="480" w:lineRule="auto"/>
        <w:jc w:val="center"/>
        <w:rPr>
          <w:rFonts w:ascii="宋体" w:hAnsi="宋体" w:cs="宋体"/>
          <w:color w:val="auto"/>
          <w:sz w:val="30"/>
        </w:rPr>
      </w:pPr>
    </w:p>
    <w:p>
      <w:pPr>
        <w:spacing w:line="360" w:lineRule="auto"/>
        <w:ind w:firstLine="612"/>
        <w:rPr>
          <w:rFonts w:ascii="宋体" w:hAnsi="宋体" w:cs="宋体"/>
          <w:color w:val="auto"/>
          <w:sz w:val="24"/>
        </w:rPr>
      </w:pPr>
      <w:r>
        <w:rPr>
          <w:rFonts w:hint="eastAsia" w:ascii="宋体" w:hAnsi="宋体" w:cs="宋体"/>
          <w:color w:val="auto"/>
          <w:sz w:val="24"/>
        </w:rPr>
        <w:t>单位名称：</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p>
    <w:p>
      <w:pPr>
        <w:spacing w:line="360" w:lineRule="auto"/>
        <w:ind w:firstLine="612"/>
        <w:rPr>
          <w:rFonts w:ascii="宋体" w:hAnsi="宋体" w:cs="宋体"/>
          <w:color w:val="auto"/>
          <w:sz w:val="24"/>
        </w:rPr>
      </w:pPr>
    </w:p>
    <w:p>
      <w:pPr>
        <w:spacing w:line="360" w:lineRule="auto"/>
        <w:ind w:firstLine="610"/>
        <w:rPr>
          <w:rFonts w:ascii="宋体" w:hAnsi="宋体" w:cs="宋体"/>
          <w:color w:val="auto"/>
          <w:sz w:val="24"/>
          <w:u w:val="single"/>
        </w:rPr>
      </w:pPr>
      <w:r>
        <w:rPr>
          <w:rFonts w:hint="eastAsia" w:ascii="宋体" w:hAnsi="宋体" w:cs="宋体"/>
          <w:color w:val="auto"/>
          <w:sz w:val="24"/>
        </w:rPr>
        <w:t>单位性质：</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p>
    <w:p>
      <w:pPr>
        <w:spacing w:line="360" w:lineRule="auto"/>
        <w:ind w:firstLine="610"/>
        <w:rPr>
          <w:rFonts w:ascii="宋体" w:hAnsi="宋体" w:cs="宋体"/>
          <w:color w:val="auto"/>
          <w:sz w:val="24"/>
        </w:rPr>
      </w:pPr>
    </w:p>
    <w:p>
      <w:pPr>
        <w:spacing w:line="360" w:lineRule="auto"/>
        <w:ind w:firstLine="610"/>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pPr>
        <w:spacing w:line="360" w:lineRule="auto"/>
        <w:ind w:firstLine="610"/>
        <w:rPr>
          <w:rFonts w:ascii="宋体" w:hAnsi="宋体" w:cs="宋体"/>
          <w:color w:val="auto"/>
          <w:sz w:val="24"/>
        </w:rPr>
      </w:pPr>
    </w:p>
    <w:p>
      <w:pPr>
        <w:spacing w:line="360" w:lineRule="auto"/>
        <w:ind w:firstLine="610"/>
        <w:rPr>
          <w:rFonts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360" w:lineRule="auto"/>
        <w:ind w:firstLine="610"/>
        <w:rPr>
          <w:rFonts w:ascii="宋体" w:hAnsi="宋体" w:cs="宋体"/>
          <w:color w:val="auto"/>
          <w:sz w:val="24"/>
        </w:rPr>
      </w:pPr>
    </w:p>
    <w:p>
      <w:pPr>
        <w:spacing w:line="360" w:lineRule="auto"/>
        <w:ind w:firstLine="610"/>
        <w:rPr>
          <w:rFonts w:ascii="宋体" w:hAnsi="宋体" w:cs="宋体"/>
          <w:color w:val="auto"/>
          <w:sz w:val="24"/>
          <w:u w:val="single"/>
        </w:rPr>
      </w:pPr>
      <w:r>
        <w:rPr>
          <w:rFonts w:hint="eastAsia" w:ascii="宋体" w:hAnsi="宋体" w:cs="宋体"/>
          <w:color w:val="auto"/>
          <w:sz w:val="24"/>
        </w:rPr>
        <w:t>经营期限：</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p>
    <w:p>
      <w:pPr>
        <w:spacing w:line="360" w:lineRule="auto"/>
        <w:ind w:firstLine="610"/>
        <w:rPr>
          <w:rFonts w:ascii="宋体" w:hAnsi="宋体" w:cs="宋体"/>
          <w:color w:val="auto"/>
          <w:sz w:val="24"/>
        </w:rPr>
      </w:pPr>
    </w:p>
    <w:p>
      <w:pPr>
        <w:spacing w:line="360" w:lineRule="auto"/>
        <w:ind w:firstLine="610"/>
        <w:rPr>
          <w:rFonts w:ascii="宋体" w:hAnsi="宋体" w:cs="宋体"/>
          <w:color w:val="auto"/>
          <w:sz w:val="24"/>
          <w:u w:val="single"/>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 xml:space="preserve"> 性别：</w:t>
      </w:r>
      <w:r>
        <w:rPr>
          <w:rFonts w:hint="eastAsia" w:ascii="宋体" w:hAnsi="宋体" w:cs="宋体"/>
          <w:color w:val="auto"/>
          <w:sz w:val="24"/>
          <w:u w:val="single"/>
        </w:rPr>
        <w:t xml:space="preserve">        </w:t>
      </w:r>
      <w:r>
        <w:rPr>
          <w:rFonts w:hint="eastAsia" w:ascii="宋体" w:hAnsi="宋体" w:cs="宋体"/>
          <w:color w:val="auto"/>
          <w:sz w:val="24"/>
        </w:rPr>
        <w:t>年龄：</w:t>
      </w:r>
      <w:r>
        <w:rPr>
          <w:rFonts w:hint="eastAsia" w:ascii="宋体" w:hAnsi="宋体" w:cs="宋体"/>
          <w:color w:val="auto"/>
          <w:sz w:val="24"/>
          <w:u w:val="single"/>
        </w:rPr>
        <w:t xml:space="preserve">          </w:t>
      </w:r>
      <w:r>
        <w:rPr>
          <w:rFonts w:hint="eastAsia" w:ascii="宋体" w:hAnsi="宋体" w:cs="宋体"/>
          <w:color w:val="auto"/>
          <w:sz w:val="24"/>
        </w:rPr>
        <w:t xml:space="preserve"> 职务：</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p>
    <w:p>
      <w:pPr>
        <w:spacing w:line="360" w:lineRule="auto"/>
        <w:ind w:firstLine="610"/>
        <w:rPr>
          <w:rFonts w:ascii="宋体" w:hAnsi="宋体" w:cs="宋体"/>
          <w:color w:val="auto"/>
          <w:sz w:val="24"/>
        </w:rPr>
      </w:pPr>
    </w:p>
    <w:p>
      <w:pPr>
        <w:spacing w:line="360" w:lineRule="auto"/>
        <w:ind w:firstLine="610"/>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（投标供应商单位名称）         </w:t>
      </w:r>
      <w:r>
        <w:rPr>
          <w:rFonts w:hint="eastAsia" w:ascii="宋体" w:hAnsi="宋体" w:cs="宋体"/>
          <w:color w:val="auto"/>
          <w:sz w:val="24"/>
        </w:rPr>
        <w:t>的法定代表人。</w:t>
      </w:r>
    </w:p>
    <w:p>
      <w:pPr>
        <w:spacing w:line="360" w:lineRule="auto"/>
        <w:rPr>
          <w:rFonts w:ascii="宋体" w:hAnsi="宋体" w:cs="宋体"/>
          <w:color w:val="auto"/>
          <w:sz w:val="24"/>
        </w:rPr>
      </w:pPr>
    </w:p>
    <w:tbl>
      <w:tblPr>
        <w:tblStyle w:val="2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8930" w:type="dxa"/>
            <w:tcBorders>
              <w:top w:val="single" w:color="auto" w:sz="4" w:space="0"/>
              <w:left w:val="single" w:color="auto" w:sz="4" w:space="0"/>
              <w:bottom w:val="single" w:color="auto" w:sz="4" w:space="0"/>
              <w:right w:val="single" w:color="auto" w:sz="4" w:space="0"/>
            </w:tcBorders>
          </w:tcPr>
          <w:p>
            <w:pPr>
              <w:snapToGrid w:val="0"/>
              <w:jc w:val="center"/>
              <w:rPr>
                <w:rFonts w:ascii="宋体"/>
                <w:color w:val="auto"/>
                <w:sz w:val="24"/>
              </w:rPr>
            </w:pPr>
          </w:p>
          <w:p>
            <w:pPr>
              <w:snapToGrid w:val="0"/>
              <w:rPr>
                <w:rFonts w:ascii="宋体"/>
                <w:color w:val="auto"/>
                <w:sz w:val="24"/>
              </w:rPr>
            </w:pPr>
          </w:p>
          <w:p>
            <w:pPr>
              <w:snapToGrid w:val="0"/>
              <w:jc w:val="center"/>
              <w:rPr>
                <w:rFonts w:ascii="宋体"/>
                <w:color w:val="auto"/>
                <w:sz w:val="24"/>
              </w:rPr>
            </w:pPr>
          </w:p>
          <w:p>
            <w:pPr>
              <w:snapToGrid w:val="0"/>
              <w:ind w:firstLine="2520" w:firstLineChars="1050"/>
              <w:rPr>
                <w:rFonts w:ascii="宋体"/>
                <w:color w:val="auto"/>
                <w:sz w:val="24"/>
              </w:rPr>
            </w:pPr>
            <w:r>
              <w:rPr>
                <w:rFonts w:ascii="宋体"/>
                <w:color w:val="auto"/>
                <w:sz w:val="24"/>
              </w:rPr>
              <w:t>身份证复印件粘贴处</w:t>
            </w:r>
          </w:p>
          <w:p>
            <w:pPr>
              <w:snapToGrid w:val="0"/>
              <w:rPr>
                <w:rFonts w:ascii="宋体"/>
                <w:color w:val="auto"/>
                <w:sz w:val="24"/>
              </w:rPr>
            </w:pPr>
          </w:p>
          <w:p>
            <w:pPr>
              <w:tabs>
                <w:tab w:val="left" w:pos="720"/>
                <w:tab w:val="left" w:pos="900"/>
              </w:tabs>
              <w:spacing w:line="360" w:lineRule="auto"/>
              <w:rPr>
                <w:rFonts w:ascii="宋体" w:hAnsi="宋体" w:cs="宋体"/>
                <w:color w:val="auto"/>
                <w:sz w:val="24"/>
              </w:rPr>
            </w:pPr>
            <w:r>
              <w:rPr>
                <w:rFonts w:ascii="宋体"/>
                <w:color w:val="auto"/>
                <w:sz w:val="24"/>
              </w:rPr>
              <w:t xml:space="preserve">                                 </w:t>
            </w:r>
          </w:p>
          <w:p>
            <w:pPr>
              <w:tabs>
                <w:tab w:val="left" w:pos="720"/>
                <w:tab w:val="left" w:pos="900"/>
              </w:tabs>
              <w:spacing w:line="360" w:lineRule="auto"/>
              <w:rPr>
                <w:rFonts w:ascii="宋体" w:hAnsi="宋体" w:cs="宋体"/>
                <w:color w:val="auto"/>
                <w:sz w:val="24"/>
              </w:rPr>
            </w:pPr>
            <w:r>
              <w:rPr>
                <w:rFonts w:ascii="宋体" w:hAnsi="宋体" w:cs="宋体"/>
                <w:color w:val="auto"/>
                <w:sz w:val="24"/>
              </w:rPr>
              <w:t xml:space="preserve">                                         </w:t>
            </w:r>
            <w:r>
              <w:rPr>
                <w:rFonts w:ascii="宋体"/>
                <w:color w:val="auto"/>
                <w:sz w:val="24"/>
              </w:rPr>
              <w:t>（二代身份证需双面复印）</w:t>
            </w:r>
          </w:p>
        </w:tc>
      </w:tr>
    </w:tbl>
    <w:p>
      <w:pPr>
        <w:spacing w:line="360" w:lineRule="auto"/>
        <w:ind w:firstLine="610"/>
        <w:rPr>
          <w:rFonts w:ascii="宋体" w:hAnsi="宋体" w:cs="宋体"/>
          <w:color w:val="auto"/>
          <w:sz w:val="24"/>
        </w:rPr>
      </w:pPr>
      <w:r>
        <w:rPr>
          <w:rFonts w:hint="eastAsia" w:ascii="宋体" w:hAnsi="宋体" w:cs="宋体"/>
          <w:color w:val="auto"/>
          <w:sz w:val="24"/>
        </w:rPr>
        <w:t>特此证明。</w:t>
      </w:r>
    </w:p>
    <w:p>
      <w:pPr>
        <w:adjustRightInd w:val="0"/>
        <w:snapToGrid w:val="0"/>
        <w:spacing w:line="400" w:lineRule="exact"/>
        <w:rPr>
          <w:rFonts w:ascii="宋体" w:hAnsi="宋体" w:cs="Courier New"/>
          <w:b/>
          <w:color w:val="auto"/>
          <w:kern w:val="0"/>
          <w:sz w:val="22"/>
          <w:u w:val="single"/>
        </w:rPr>
      </w:pPr>
    </w:p>
    <w:p>
      <w:pPr>
        <w:adjustRightInd w:val="0"/>
        <w:snapToGrid w:val="0"/>
        <w:spacing w:line="400" w:lineRule="exact"/>
        <w:rPr>
          <w:rFonts w:ascii="宋体" w:hAnsi="宋体" w:cs="Courier New"/>
          <w:b/>
          <w:color w:val="auto"/>
          <w:kern w:val="0"/>
          <w:sz w:val="22"/>
          <w:u w:val="single"/>
        </w:rPr>
      </w:pPr>
    </w:p>
    <w:p>
      <w:pPr>
        <w:adjustRightInd w:val="0"/>
        <w:snapToGrid w:val="0"/>
        <w:spacing w:line="400" w:lineRule="exact"/>
        <w:rPr>
          <w:rFonts w:ascii="宋体" w:hAnsi="宋体" w:cs="Courier New"/>
          <w:b/>
          <w:color w:val="auto"/>
          <w:kern w:val="0"/>
          <w:sz w:val="22"/>
          <w:u w:val="single"/>
        </w:rPr>
      </w:pPr>
    </w:p>
    <w:p>
      <w:pPr>
        <w:adjustRightInd w:val="0"/>
        <w:snapToGrid w:val="0"/>
        <w:spacing w:line="400" w:lineRule="exact"/>
        <w:rPr>
          <w:rFonts w:ascii="宋体" w:hAnsi="宋体" w:cs="Courier New"/>
          <w:b/>
          <w:color w:val="auto"/>
          <w:kern w:val="0"/>
          <w:sz w:val="22"/>
          <w:u w:val="single"/>
        </w:rPr>
      </w:pPr>
    </w:p>
    <w:p>
      <w:pPr>
        <w:autoSpaceDE w:val="0"/>
        <w:autoSpaceDN w:val="0"/>
        <w:adjustRightInd w:val="0"/>
        <w:spacing w:line="440" w:lineRule="atLeast"/>
        <w:rPr>
          <w:rFonts w:ascii="宋体" w:hAnsi="宋体" w:cs="Courier New"/>
          <w:b/>
          <w:color w:val="auto"/>
          <w:kern w:val="0"/>
          <w:sz w:val="22"/>
        </w:rPr>
      </w:pPr>
      <w:r>
        <w:rPr>
          <w:rFonts w:hint="eastAsia" w:ascii="宋体" w:hAnsi="宋体" w:cs="Courier New"/>
          <w:b/>
          <w:color w:val="auto"/>
          <w:kern w:val="0"/>
          <w:sz w:val="22"/>
        </w:rPr>
        <w:t xml:space="preserve"> ▲法定代表人参加投标，不提供此表格的将视为没有实质性响应招标文件。</w:t>
      </w:r>
    </w:p>
    <w:p>
      <w:pPr>
        <w:tabs>
          <w:tab w:val="left" w:pos="1080"/>
        </w:tabs>
        <w:autoSpaceDE w:val="0"/>
        <w:autoSpaceDN w:val="0"/>
        <w:adjustRightInd w:val="0"/>
        <w:spacing w:line="440" w:lineRule="atLeast"/>
        <w:jc w:val="left"/>
        <w:rPr>
          <w:rFonts w:ascii="宋体" w:hAnsi="宋体"/>
          <w:b/>
          <w:color w:val="auto"/>
          <w:sz w:val="32"/>
          <w:szCs w:val="32"/>
        </w:rPr>
      </w:pPr>
      <w:r>
        <w:rPr>
          <w:rFonts w:hint="eastAsia" w:ascii="宋体" w:hAnsi="宋体"/>
          <w:b/>
          <w:color w:val="auto"/>
          <w:sz w:val="32"/>
          <w:szCs w:val="32"/>
        </w:rPr>
        <w:t>附件六（二）</w:t>
      </w:r>
    </w:p>
    <w:p>
      <w:pPr>
        <w:tabs>
          <w:tab w:val="left" w:pos="1080"/>
        </w:tabs>
        <w:autoSpaceDE w:val="0"/>
        <w:autoSpaceDN w:val="0"/>
        <w:adjustRightInd w:val="0"/>
        <w:spacing w:line="440" w:lineRule="atLeast"/>
        <w:jc w:val="center"/>
        <w:rPr>
          <w:rFonts w:ascii="宋体"/>
          <w:color w:val="auto"/>
          <w:sz w:val="36"/>
          <w:szCs w:val="36"/>
        </w:rPr>
      </w:pPr>
      <w:r>
        <w:rPr>
          <w:rFonts w:hint="eastAsia" w:ascii="宋体"/>
          <w:color w:val="auto"/>
          <w:sz w:val="36"/>
          <w:szCs w:val="36"/>
        </w:rPr>
        <w:t>法定代表人授权书</w:t>
      </w:r>
    </w:p>
    <w:p>
      <w:pPr>
        <w:spacing w:line="480" w:lineRule="auto"/>
        <w:rPr>
          <w:rFonts w:ascii="宋体" w:hAnsi="宋体"/>
          <w:color w:val="auto"/>
          <w:sz w:val="22"/>
        </w:rPr>
      </w:pPr>
      <w:r>
        <w:rPr>
          <w:rFonts w:hint="eastAsia" w:ascii="宋体" w:hAnsi="宋体"/>
          <w:color w:val="auto"/>
          <w:sz w:val="22"/>
          <w:u w:val="single"/>
        </w:rPr>
        <w:t>（采购单位名称）</w:t>
      </w:r>
      <w:r>
        <w:rPr>
          <w:rFonts w:hint="eastAsia" w:ascii="宋体" w:hAnsi="宋体"/>
          <w:color w:val="auto"/>
          <w:sz w:val="22"/>
          <w:lang w:val="zh-CN"/>
        </w:rPr>
        <w:t>：</w:t>
      </w:r>
    </w:p>
    <w:p>
      <w:pPr>
        <w:spacing w:line="480" w:lineRule="auto"/>
        <w:ind w:firstLine="440" w:firstLineChars="200"/>
        <w:rPr>
          <w:rFonts w:ascii="宋体" w:hAnsi="宋体"/>
          <w:color w:val="auto"/>
          <w:sz w:val="22"/>
        </w:rPr>
      </w:pPr>
      <w:r>
        <w:rPr>
          <w:rFonts w:hint="eastAsia" w:ascii="宋体" w:hAnsi="宋体"/>
          <w:color w:val="auto"/>
          <w:sz w:val="22"/>
        </w:rPr>
        <w:t>本授权委托书声明：我</w:t>
      </w:r>
      <w:r>
        <w:rPr>
          <w:rFonts w:hint="eastAsia" w:ascii="宋体" w:hAnsi="宋体"/>
          <w:color w:val="auto"/>
          <w:sz w:val="22"/>
          <w:u w:val="single"/>
        </w:rPr>
        <w:t xml:space="preserve">   （法定代表人姓名）   </w:t>
      </w:r>
      <w:r>
        <w:rPr>
          <w:rFonts w:hint="eastAsia" w:ascii="宋体" w:hAnsi="宋体"/>
          <w:color w:val="auto"/>
          <w:sz w:val="22"/>
        </w:rPr>
        <w:t>系</w:t>
      </w:r>
      <w:r>
        <w:rPr>
          <w:rFonts w:hint="eastAsia" w:ascii="宋体" w:hAnsi="宋体"/>
          <w:color w:val="auto"/>
          <w:sz w:val="22"/>
          <w:u w:val="single"/>
        </w:rPr>
        <w:t xml:space="preserve">   （供 应 商 名 称）  </w:t>
      </w:r>
      <w:r>
        <w:rPr>
          <w:rFonts w:hint="eastAsia" w:ascii="宋体" w:hAnsi="宋体"/>
          <w:color w:val="auto"/>
          <w:sz w:val="22"/>
        </w:rPr>
        <w:t>的法定代表人，现授权委托</w:t>
      </w:r>
      <w:r>
        <w:rPr>
          <w:rFonts w:hint="eastAsia" w:ascii="宋体" w:hAnsi="宋体"/>
          <w:color w:val="auto"/>
          <w:sz w:val="22"/>
          <w:u w:val="single"/>
        </w:rPr>
        <w:t xml:space="preserve">  （单 位 名 称）   </w:t>
      </w:r>
      <w:r>
        <w:rPr>
          <w:rFonts w:hint="eastAsia" w:ascii="宋体" w:hAnsi="宋体"/>
          <w:color w:val="auto"/>
          <w:sz w:val="22"/>
        </w:rPr>
        <w:t>的</w:t>
      </w:r>
      <w:r>
        <w:rPr>
          <w:rFonts w:hint="eastAsia" w:ascii="宋体" w:hAnsi="宋体"/>
          <w:color w:val="auto"/>
          <w:sz w:val="22"/>
          <w:u w:val="single"/>
        </w:rPr>
        <w:t xml:space="preserve">  （授权代表姓名）  </w:t>
      </w:r>
      <w:r>
        <w:rPr>
          <w:rFonts w:hint="eastAsia" w:ascii="宋体" w:hAnsi="宋体"/>
          <w:color w:val="auto"/>
          <w:sz w:val="22"/>
        </w:rPr>
        <w:t>为我公司法定代表人授权代表，参加贵处组织的</w:t>
      </w:r>
      <w:r>
        <w:rPr>
          <w:rFonts w:hint="eastAsia" w:ascii="宋体" w:hAnsi="宋体"/>
          <w:color w:val="auto"/>
          <w:sz w:val="22"/>
          <w:u w:val="single"/>
        </w:rPr>
        <w:t xml:space="preserve">  （招标项目名称，括号中填写项目编号）  </w:t>
      </w:r>
      <w:r>
        <w:rPr>
          <w:rFonts w:hint="eastAsia" w:ascii="宋体" w:hAnsi="宋体"/>
          <w:color w:val="auto"/>
          <w:sz w:val="22"/>
        </w:rPr>
        <w:t>项目投标，全权处理本次招投标活动中的一切事宜，我承认授权代表全权代表我所签署的本项目的响应文件的内容。</w:t>
      </w:r>
    </w:p>
    <w:p>
      <w:pPr>
        <w:spacing w:line="480" w:lineRule="auto"/>
        <w:ind w:firstLine="440" w:firstLineChars="200"/>
        <w:rPr>
          <w:rFonts w:ascii="宋体" w:hAnsi="宋体"/>
          <w:color w:val="auto"/>
          <w:sz w:val="22"/>
        </w:rPr>
      </w:pPr>
      <w:r>
        <w:rPr>
          <w:rFonts w:hint="eastAsia" w:ascii="宋体" w:hAnsi="宋体"/>
          <w:color w:val="auto"/>
          <w:sz w:val="22"/>
        </w:rPr>
        <w:t>授权代表无转授权，特此授权</w:t>
      </w:r>
    </w:p>
    <w:p>
      <w:pPr>
        <w:spacing w:line="480" w:lineRule="auto"/>
        <w:ind w:left="2100" w:leftChars="1000" w:firstLine="440" w:firstLineChars="200"/>
        <w:rPr>
          <w:rFonts w:ascii="宋体" w:hAnsi="宋体"/>
          <w:color w:val="auto"/>
          <w:sz w:val="22"/>
          <w:u w:val="single"/>
        </w:rPr>
      </w:pPr>
      <w:r>
        <w:rPr>
          <w:rFonts w:hint="eastAsia" w:ascii="宋体" w:hAnsi="宋体"/>
          <w:color w:val="auto"/>
          <w:sz w:val="22"/>
        </w:rPr>
        <w:t>授权代表：</w:t>
      </w:r>
      <w:r>
        <w:rPr>
          <w:rFonts w:hint="eastAsia" w:ascii="宋体" w:hAnsi="宋体"/>
          <w:color w:val="auto"/>
          <w:sz w:val="22"/>
          <w:u w:val="single"/>
        </w:rPr>
        <w:t xml:space="preserve">   （手写签字）  </w:t>
      </w:r>
      <w:r>
        <w:rPr>
          <w:rFonts w:hint="eastAsia" w:ascii="宋体" w:hAnsi="宋体"/>
          <w:color w:val="auto"/>
          <w:sz w:val="22"/>
        </w:rPr>
        <w:t xml:space="preserve"> 性别 ：</w:t>
      </w:r>
      <w:r>
        <w:rPr>
          <w:rFonts w:hint="eastAsia" w:ascii="宋体" w:hAnsi="宋体"/>
          <w:color w:val="auto"/>
          <w:sz w:val="22"/>
          <w:u w:val="single"/>
        </w:rPr>
        <w:t xml:space="preserve">                    </w:t>
      </w:r>
      <w:r>
        <w:rPr>
          <w:rFonts w:ascii="宋体" w:hAnsi="宋体"/>
          <w:color w:val="auto"/>
          <w:sz w:val="22"/>
          <w:u w:val="single"/>
        </w:rPr>
        <w:t xml:space="preserve">    </w:t>
      </w:r>
    </w:p>
    <w:p>
      <w:pPr>
        <w:spacing w:line="480" w:lineRule="auto"/>
        <w:ind w:left="2100" w:leftChars="1000" w:firstLine="440" w:firstLineChars="200"/>
        <w:rPr>
          <w:rFonts w:ascii="宋体" w:hAnsi="宋体"/>
          <w:color w:val="auto"/>
          <w:sz w:val="22"/>
          <w:u w:val="single"/>
        </w:rPr>
      </w:pPr>
      <w:r>
        <w:rPr>
          <w:rFonts w:hint="eastAsia" w:ascii="宋体" w:hAnsi="宋体"/>
          <w:color w:val="auto"/>
          <w:sz w:val="22"/>
        </w:rPr>
        <w:t>职务：</w:t>
      </w:r>
      <w:r>
        <w:rPr>
          <w:rFonts w:hint="eastAsia" w:ascii="宋体" w:hAnsi="宋体"/>
          <w:color w:val="auto"/>
          <w:sz w:val="22"/>
          <w:u w:val="single"/>
        </w:rPr>
        <w:t xml:space="preserve">                  </w:t>
      </w:r>
      <w:r>
        <w:rPr>
          <w:rFonts w:hint="eastAsia" w:ascii="宋体" w:hAnsi="宋体"/>
          <w:color w:val="auto"/>
          <w:sz w:val="22"/>
        </w:rPr>
        <w:t>年龄：</w:t>
      </w:r>
      <w:r>
        <w:rPr>
          <w:rFonts w:hint="eastAsia" w:ascii="宋体" w:hAnsi="宋体"/>
          <w:color w:val="auto"/>
          <w:sz w:val="22"/>
          <w:u w:val="single"/>
        </w:rPr>
        <w:t xml:space="preserve">                  </w:t>
      </w:r>
      <w:r>
        <w:rPr>
          <w:rFonts w:ascii="宋体" w:hAnsi="宋体"/>
          <w:color w:val="auto"/>
          <w:sz w:val="22"/>
          <w:u w:val="single"/>
        </w:rPr>
        <w:t xml:space="preserve">           </w:t>
      </w:r>
    </w:p>
    <w:p>
      <w:pPr>
        <w:spacing w:line="480" w:lineRule="auto"/>
        <w:ind w:left="2100" w:leftChars="1000" w:firstLine="440" w:firstLineChars="200"/>
        <w:rPr>
          <w:rFonts w:ascii="宋体" w:hAnsi="宋体"/>
          <w:color w:val="auto"/>
          <w:sz w:val="22"/>
          <w:u w:val="single"/>
        </w:rPr>
      </w:pPr>
      <w:r>
        <w:rPr>
          <w:rFonts w:hint="eastAsia" w:ascii="宋体" w:hAnsi="宋体"/>
          <w:color w:val="auto"/>
          <w:sz w:val="22"/>
        </w:rPr>
        <w:t>详细通讯地址：</w:t>
      </w:r>
      <w:r>
        <w:rPr>
          <w:rFonts w:hint="eastAsia" w:ascii="宋体" w:hAnsi="宋体"/>
          <w:color w:val="auto"/>
          <w:sz w:val="22"/>
          <w:u w:val="single"/>
        </w:rPr>
        <w:t xml:space="preserve">                  </w:t>
      </w:r>
      <w:r>
        <w:rPr>
          <w:rFonts w:hint="eastAsia" w:ascii="宋体" w:hAnsi="宋体"/>
          <w:color w:val="auto"/>
          <w:sz w:val="22"/>
        </w:rPr>
        <w:t xml:space="preserve"> 邮政编码：</w:t>
      </w:r>
      <w:r>
        <w:rPr>
          <w:rFonts w:hint="eastAsia" w:ascii="宋体" w:hAnsi="宋体"/>
          <w:color w:val="auto"/>
          <w:sz w:val="22"/>
          <w:u w:val="single"/>
        </w:rPr>
        <w:t xml:space="preserve">         </w:t>
      </w:r>
      <w:r>
        <w:rPr>
          <w:rFonts w:ascii="宋体" w:hAnsi="宋体"/>
          <w:color w:val="auto"/>
          <w:sz w:val="22"/>
          <w:u w:val="single"/>
        </w:rPr>
        <w:t xml:space="preserve">       </w:t>
      </w:r>
    </w:p>
    <w:p>
      <w:pPr>
        <w:spacing w:line="480" w:lineRule="auto"/>
        <w:ind w:left="1" w:firstLine="2510" w:firstLineChars="1141"/>
        <w:rPr>
          <w:rFonts w:ascii="宋体" w:hAnsi="宋体"/>
          <w:color w:val="auto"/>
          <w:sz w:val="22"/>
          <w:u w:val="single"/>
        </w:rPr>
      </w:pPr>
      <w:r>
        <w:rPr>
          <w:rFonts w:hint="eastAsia" w:ascii="宋体" w:hAnsi="宋体"/>
          <w:color w:val="auto"/>
          <w:sz w:val="22"/>
        </w:rPr>
        <w:t>电话：</w:t>
      </w:r>
      <w:r>
        <w:rPr>
          <w:rFonts w:hint="eastAsia" w:ascii="宋体" w:hAnsi="宋体"/>
          <w:color w:val="auto"/>
          <w:sz w:val="22"/>
          <w:u w:val="single"/>
        </w:rPr>
        <w:t xml:space="preserve">                   </w:t>
      </w:r>
      <w:r>
        <w:rPr>
          <w:rFonts w:hint="eastAsia" w:ascii="宋体" w:hAnsi="宋体"/>
          <w:color w:val="auto"/>
          <w:sz w:val="22"/>
        </w:rPr>
        <w:t xml:space="preserve"> 传真：</w:t>
      </w:r>
      <w:r>
        <w:rPr>
          <w:rFonts w:hint="eastAsia" w:ascii="宋体" w:hAnsi="宋体"/>
          <w:color w:val="auto"/>
          <w:sz w:val="22"/>
          <w:u w:val="single"/>
        </w:rPr>
        <w:t xml:space="preserve">                  </w:t>
      </w:r>
      <w:r>
        <w:rPr>
          <w:rFonts w:ascii="宋体" w:hAnsi="宋体"/>
          <w:color w:val="auto"/>
          <w:sz w:val="22"/>
          <w:u w:val="single"/>
        </w:rPr>
        <w:t xml:space="preserve">          </w:t>
      </w:r>
    </w:p>
    <w:p>
      <w:pPr>
        <w:spacing w:line="480" w:lineRule="auto"/>
        <w:ind w:left="1" w:firstLine="422" w:firstLineChars="192"/>
        <w:rPr>
          <w:rFonts w:ascii="宋体" w:hAnsi="宋体"/>
          <w:color w:val="auto"/>
          <w:sz w:val="22"/>
        </w:rPr>
      </w:pPr>
      <w:r>
        <w:rPr>
          <w:rFonts w:hint="eastAsia" w:ascii="宋体" w:hAnsi="宋体"/>
          <w:color w:val="auto"/>
          <w:sz w:val="22"/>
        </w:rPr>
        <w:t xml:space="preserve">                   供应商：</w:t>
      </w:r>
      <w:r>
        <w:rPr>
          <w:rFonts w:hint="eastAsia" w:ascii="宋体" w:hAnsi="宋体"/>
          <w:color w:val="auto"/>
          <w:sz w:val="22"/>
          <w:u w:val="single"/>
        </w:rPr>
        <w:t xml:space="preserve">                                     </w:t>
      </w:r>
      <w:r>
        <w:rPr>
          <w:rFonts w:ascii="宋体" w:hAnsi="宋体"/>
          <w:color w:val="auto"/>
          <w:sz w:val="22"/>
          <w:u w:val="single"/>
        </w:rPr>
        <w:t xml:space="preserve"> </w:t>
      </w:r>
      <w:r>
        <w:rPr>
          <w:rFonts w:hint="eastAsia" w:ascii="宋体" w:hAnsi="宋体"/>
          <w:color w:val="auto"/>
          <w:sz w:val="22"/>
          <w:u w:val="single"/>
        </w:rPr>
        <w:t xml:space="preserve"> </w:t>
      </w:r>
      <w:r>
        <w:rPr>
          <w:rFonts w:ascii="宋体" w:hAnsi="宋体"/>
          <w:color w:val="auto"/>
          <w:sz w:val="22"/>
          <w:u w:val="single"/>
        </w:rPr>
        <w:t xml:space="preserve">     </w:t>
      </w:r>
      <w:r>
        <w:rPr>
          <w:rFonts w:hint="eastAsia" w:ascii="宋体" w:hAnsi="宋体"/>
          <w:color w:val="auto"/>
          <w:sz w:val="22"/>
          <w:u w:val="single"/>
        </w:rPr>
        <w:t>（盖章）</w:t>
      </w:r>
    </w:p>
    <w:p>
      <w:pPr>
        <w:spacing w:line="480" w:lineRule="auto"/>
        <w:ind w:left="2100" w:right="440"/>
        <w:jc w:val="right"/>
        <w:rPr>
          <w:rFonts w:ascii="宋体" w:hAnsi="宋体"/>
          <w:b/>
          <w:color w:val="auto"/>
          <w:sz w:val="22"/>
        </w:rPr>
      </w:pPr>
      <w:r>
        <w:rPr>
          <w:rFonts w:hint="eastAsia" w:ascii="宋体" w:hAnsi="宋体"/>
          <w:color w:val="auto"/>
          <w:sz w:val="22"/>
        </w:rPr>
        <w:t xml:space="preserve">   法定代表人：</w:t>
      </w:r>
      <w:r>
        <w:rPr>
          <w:rFonts w:hint="eastAsia" w:ascii="宋体" w:hAnsi="宋体"/>
          <w:color w:val="auto"/>
          <w:sz w:val="22"/>
          <w:u w:val="single"/>
        </w:rPr>
        <w:t xml:space="preserve">                                 </w:t>
      </w:r>
      <w:r>
        <w:rPr>
          <w:rFonts w:ascii="宋体" w:hAnsi="宋体"/>
          <w:color w:val="auto"/>
          <w:sz w:val="22"/>
          <w:u w:val="single"/>
        </w:rPr>
        <w:t xml:space="preserve"> </w:t>
      </w:r>
      <w:r>
        <w:rPr>
          <w:rFonts w:hint="eastAsia" w:ascii="宋体" w:hAnsi="宋体"/>
          <w:color w:val="auto"/>
          <w:sz w:val="22"/>
          <w:u w:val="single"/>
        </w:rPr>
        <w:t>（签字或盖章</w:t>
      </w:r>
      <w:r>
        <w:rPr>
          <w:rFonts w:ascii="宋体" w:hAnsi="宋体"/>
          <w:color w:val="auto"/>
          <w:sz w:val="22"/>
          <w:u w:val="single"/>
        </w:rPr>
        <w:t>）</w:t>
      </w:r>
      <w:r>
        <w:rPr>
          <w:rFonts w:hint="eastAsia" w:ascii="宋体" w:hAnsi="宋体"/>
          <w:color w:val="auto"/>
          <w:sz w:val="22"/>
        </w:rPr>
        <w:t>授权委托日期：</w:t>
      </w:r>
      <w:r>
        <w:rPr>
          <w:rFonts w:hint="eastAsia" w:ascii="宋体" w:hAnsi="宋体"/>
          <w:color w:val="auto"/>
          <w:sz w:val="22"/>
          <w:u w:val="single"/>
        </w:rPr>
        <w:t xml:space="preserve">     </w:t>
      </w:r>
      <w:r>
        <w:rPr>
          <w:rFonts w:hint="eastAsia" w:ascii="宋体" w:hAnsi="宋体"/>
          <w:color w:val="auto"/>
          <w:sz w:val="22"/>
        </w:rPr>
        <w:t xml:space="preserve">年 </w:t>
      </w:r>
      <w:r>
        <w:rPr>
          <w:rFonts w:hint="eastAsia" w:ascii="宋体" w:hAnsi="宋体"/>
          <w:color w:val="auto"/>
          <w:sz w:val="22"/>
          <w:u w:val="single"/>
        </w:rPr>
        <w:t xml:space="preserve">    </w:t>
      </w:r>
      <w:r>
        <w:rPr>
          <w:rFonts w:hint="eastAsia" w:ascii="宋体" w:hAnsi="宋体"/>
          <w:color w:val="auto"/>
          <w:sz w:val="22"/>
        </w:rPr>
        <w:t>月</w:t>
      </w:r>
      <w:r>
        <w:rPr>
          <w:rFonts w:hint="eastAsia" w:ascii="宋体" w:hAnsi="宋体"/>
          <w:color w:val="auto"/>
          <w:sz w:val="22"/>
          <w:u w:val="single"/>
        </w:rPr>
        <w:t xml:space="preserve">     </w:t>
      </w:r>
      <w:r>
        <w:rPr>
          <w:rFonts w:hint="eastAsia" w:ascii="宋体" w:hAnsi="宋体"/>
          <w:color w:val="auto"/>
          <w:sz w:val="22"/>
        </w:rPr>
        <w:t>日</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73" w:type="dxa"/>
          </w:tcPr>
          <w:p>
            <w:pPr>
              <w:autoSpaceDE w:val="0"/>
              <w:autoSpaceDN w:val="0"/>
              <w:adjustRightInd w:val="0"/>
              <w:spacing w:line="440" w:lineRule="atLeast"/>
              <w:jc w:val="center"/>
              <w:rPr>
                <w:rFonts w:ascii="宋体" w:hAnsi="宋体" w:cs="仿宋_GB2312"/>
                <w:b/>
                <w:bCs/>
                <w:color w:val="auto"/>
                <w:sz w:val="36"/>
                <w:szCs w:val="36"/>
              </w:rPr>
            </w:pPr>
            <w:r>
              <w:rPr>
                <w:rFonts w:ascii="宋体" w:hAnsi="宋体" w:cs="仿宋_GB2312"/>
                <w:b/>
                <w:bCs/>
                <w:color w:val="auto"/>
                <w:sz w:val="36"/>
                <w:szCs w:val="36"/>
              </w:rPr>
              <w:t>黏贴授权代表身份证复印件或影印件（正反面）</w:t>
            </w:r>
          </w:p>
          <w:p>
            <w:pPr>
              <w:autoSpaceDE w:val="0"/>
              <w:autoSpaceDN w:val="0"/>
              <w:adjustRightInd w:val="0"/>
              <w:spacing w:line="440" w:lineRule="atLeast"/>
              <w:jc w:val="center"/>
              <w:rPr>
                <w:rFonts w:ascii="宋体" w:hAnsi="宋体" w:cs="仿宋_GB2312"/>
                <w:bCs/>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73" w:type="dxa"/>
          </w:tcPr>
          <w:p>
            <w:pPr>
              <w:autoSpaceDE w:val="0"/>
              <w:autoSpaceDN w:val="0"/>
              <w:adjustRightInd w:val="0"/>
              <w:spacing w:line="440" w:lineRule="atLeast"/>
              <w:jc w:val="center"/>
              <w:rPr>
                <w:rFonts w:ascii="宋体" w:hAnsi="宋体" w:cs="仿宋_GB2312"/>
                <w:b/>
                <w:bCs/>
                <w:color w:val="auto"/>
                <w:sz w:val="36"/>
                <w:szCs w:val="36"/>
              </w:rPr>
            </w:pPr>
            <w:r>
              <w:rPr>
                <w:rFonts w:ascii="宋体" w:hAnsi="宋体" w:cs="仿宋_GB2312"/>
                <w:b/>
                <w:bCs/>
                <w:color w:val="auto"/>
                <w:sz w:val="36"/>
                <w:szCs w:val="36"/>
              </w:rPr>
              <w:t>黏贴法人身份证复印件或影印件（正反面）</w:t>
            </w:r>
          </w:p>
          <w:p>
            <w:pPr>
              <w:autoSpaceDE w:val="0"/>
              <w:autoSpaceDN w:val="0"/>
              <w:adjustRightInd w:val="0"/>
              <w:spacing w:line="440" w:lineRule="atLeast"/>
              <w:jc w:val="center"/>
              <w:rPr>
                <w:rFonts w:ascii="宋体" w:hAnsi="宋体" w:cs="仿宋_GB2312"/>
                <w:bCs/>
                <w:color w:val="auto"/>
                <w:sz w:val="36"/>
                <w:szCs w:val="36"/>
              </w:rPr>
            </w:pPr>
          </w:p>
        </w:tc>
      </w:tr>
    </w:tbl>
    <w:p>
      <w:pPr>
        <w:autoSpaceDE w:val="0"/>
        <w:autoSpaceDN w:val="0"/>
        <w:adjustRightInd w:val="0"/>
        <w:spacing w:line="440" w:lineRule="atLeast"/>
        <w:jc w:val="center"/>
        <w:rPr>
          <w:rFonts w:ascii="宋体" w:hAnsi="宋体" w:cs="仿宋_GB2312"/>
          <w:color w:val="auto"/>
          <w:sz w:val="36"/>
          <w:szCs w:val="36"/>
        </w:rPr>
      </w:pPr>
    </w:p>
    <w:p>
      <w:pPr>
        <w:autoSpaceDE w:val="0"/>
        <w:autoSpaceDN w:val="0"/>
        <w:adjustRightInd w:val="0"/>
        <w:spacing w:line="440" w:lineRule="atLeast"/>
        <w:jc w:val="center"/>
        <w:rPr>
          <w:rFonts w:ascii="宋体" w:hAnsi="宋体" w:cs="仿宋_GB2312"/>
          <w:color w:val="auto"/>
          <w:sz w:val="36"/>
          <w:szCs w:val="36"/>
          <w:lang w:val="zh-CN"/>
        </w:rPr>
      </w:pPr>
    </w:p>
    <w:p>
      <w:pPr>
        <w:adjustRightInd w:val="0"/>
        <w:snapToGrid w:val="0"/>
        <w:spacing w:line="400" w:lineRule="exact"/>
        <w:rPr>
          <w:rFonts w:ascii="宋体" w:hAnsi="Courier New" w:cs="Courier New"/>
          <w:b/>
          <w:bCs/>
          <w:color w:val="auto"/>
          <w:kern w:val="0"/>
          <w:sz w:val="22"/>
        </w:rPr>
      </w:pPr>
      <w:r>
        <w:rPr>
          <w:rFonts w:hint="eastAsia" w:ascii="宋体" w:hAnsi="宋体" w:cs="Courier New"/>
          <w:b/>
          <w:color w:val="auto"/>
          <w:kern w:val="0"/>
          <w:sz w:val="22"/>
        </w:rPr>
        <w:t>▲授权委托人参加投标，不提供此表格的将视为没有实质性响应招标文件。</w:t>
      </w:r>
    </w:p>
    <w:p>
      <w:pPr>
        <w:rPr>
          <w:rFonts w:hAnsi="宋体"/>
          <w:b/>
          <w:color w:val="auto"/>
          <w:sz w:val="32"/>
          <w:szCs w:val="32"/>
        </w:rPr>
      </w:pPr>
      <w:r>
        <w:rPr>
          <w:rFonts w:hint="eastAsia" w:hAnsi="宋体"/>
          <w:b/>
          <w:color w:val="auto"/>
          <w:sz w:val="32"/>
          <w:szCs w:val="32"/>
        </w:rPr>
        <w:t xml:space="preserve">附件七                </w:t>
      </w:r>
    </w:p>
    <w:p>
      <w:pPr>
        <w:pStyle w:val="15"/>
        <w:adjustRightInd w:val="0"/>
        <w:snapToGrid w:val="0"/>
        <w:spacing w:line="340" w:lineRule="atLeast"/>
        <w:rPr>
          <w:rFonts w:hAnsi="宋体"/>
          <w:b/>
          <w:color w:val="auto"/>
          <w:sz w:val="32"/>
          <w:szCs w:val="32"/>
        </w:rPr>
      </w:pPr>
      <w:r>
        <w:rPr>
          <w:rFonts w:hint="eastAsia" w:hAnsi="宋体"/>
          <w:b/>
          <w:color w:val="auto"/>
          <w:sz w:val="32"/>
          <w:szCs w:val="32"/>
        </w:rPr>
        <w:t xml:space="preserve">        </w:t>
      </w:r>
    </w:p>
    <w:p>
      <w:pPr>
        <w:pStyle w:val="15"/>
        <w:adjustRightInd w:val="0"/>
        <w:snapToGrid w:val="0"/>
        <w:spacing w:line="460" w:lineRule="atLeast"/>
        <w:jc w:val="center"/>
        <w:rPr>
          <w:rFonts w:hAnsi="Times New Roman"/>
          <w:color w:val="auto"/>
          <w:sz w:val="36"/>
          <w:szCs w:val="36"/>
        </w:rPr>
      </w:pPr>
      <w:r>
        <w:rPr>
          <w:rFonts w:hint="eastAsia" w:hAnsi="Times New Roman"/>
          <w:color w:val="auto"/>
          <w:sz w:val="36"/>
          <w:szCs w:val="36"/>
        </w:rPr>
        <w:t>投  标  函</w:t>
      </w:r>
    </w:p>
    <w:p>
      <w:pPr>
        <w:pStyle w:val="15"/>
        <w:adjustRightInd w:val="0"/>
        <w:snapToGrid w:val="0"/>
        <w:spacing w:line="340" w:lineRule="atLeast"/>
        <w:rPr>
          <w:rFonts w:hAnsi="宋体"/>
          <w:color w:val="auto"/>
          <w:sz w:val="22"/>
          <w:szCs w:val="22"/>
        </w:rPr>
      </w:pPr>
      <w:r>
        <w:rPr>
          <w:rFonts w:hint="eastAsia" w:hAnsi="宋体"/>
          <w:color w:val="auto"/>
          <w:sz w:val="22"/>
          <w:szCs w:val="22"/>
          <w:u w:val="single"/>
        </w:rPr>
        <w:t>泰顺县自然资源和规划局</w:t>
      </w:r>
      <w:r>
        <w:rPr>
          <w:rFonts w:hint="eastAsia" w:hAnsi="宋体"/>
          <w:color w:val="auto"/>
          <w:sz w:val="22"/>
          <w:szCs w:val="22"/>
        </w:rPr>
        <w:t>：</w:t>
      </w:r>
    </w:p>
    <w:p>
      <w:pPr>
        <w:autoSpaceDE w:val="0"/>
        <w:autoSpaceDN w:val="0"/>
        <w:adjustRightInd w:val="0"/>
        <w:spacing w:line="440" w:lineRule="atLeast"/>
        <w:rPr>
          <w:rFonts w:ascii="宋体" w:cs="仿宋_GB2312"/>
          <w:color w:val="auto"/>
          <w:sz w:val="22"/>
          <w:szCs w:val="22"/>
          <w:lang w:val="zh-CN"/>
        </w:rPr>
      </w:pPr>
      <w:r>
        <w:rPr>
          <w:rFonts w:hint="eastAsia" w:hAnsi="宋体"/>
          <w:color w:val="auto"/>
          <w:sz w:val="22"/>
          <w:szCs w:val="22"/>
        </w:rPr>
        <w:t xml:space="preserve"> </w:t>
      </w:r>
      <w:r>
        <w:rPr>
          <w:rFonts w:ascii="宋体" w:cs="仿宋_GB2312"/>
          <w:color w:val="auto"/>
          <w:sz w:val="22"/>
          <w:szCs w:val="22"/>
          <w:lang w:val="zh-CN"/>
        </w:rPr>
        <w:t xml:space="preserve">  </w:t>
      </w:r>
      <w:r>
        <w:rPr>
          <w:rFonts w:ascii="宋体" w:cs="仿宋_GB2312"/>
          <w:color w:val="auto"/>
          <w:sz w:val="22"/>
          <w:szCs w:val="22"/>
          <w:u w:val="single"/>
          <w:lang w:val="zh-CN"/>
        </w:rPr>
        <w:t xml:space="preserve">                    </w:t>
      </w:r>
      <w:r>
        <w:rPr>
          <w:rFonts w:hint="eastAsia" w:ascii="宋体" w:cs="仿宋_GB2312"/>
          <w:color w:val="auto"/>
          <w:sz w:val="22"/>
          <w:szCs w:val="22"/>
          <w:lang w:val="zh-CN"/>
        </w:rPr>
        <w:t>（供应商全称）授权</w:t>
      </w:r>
      <w:r>
        <w:rPr>
          <w:rFonts w:ascii="宋体" w:cs="仿宋_GB2312"/>
          <w:color w:val="auto"/>
          <w:sz w:val="22"/>
          <w:szCs w:val="22"/>
          <w:u w:val="single"/>
          <w:lang w:val="zh-CN"/>
        </w:rPr>
        <w:t xml:space="preserve">              </w:t>
      </w:r>
      <w:r>
        <w:rPr>
          <w:rFonts w:ascii="宋体" w:cs="仿宋_GB2312"/>
          <w:color w:val="auto"/>
          <w:sz w:val="22"/>
          <w:szCs w:val="22"/>
          <w:lang w:val="zh-CN"/>
        </w:rPr>
        <w:t xml:space="preserve"> </w:t>
      </w:r>
      <w:r>
        <w:rPr>
          <w:rFonts w:hint="eastAsia" w:ascii="宋体" w:cs="仿宋_GB2312"/>
          <w:color w:val="auto"/>
          <w:sz w:val="22"/>
          <w:szCs w:val="22"/>
          <w:lang w:val="zh-CN"/>
        </w:rPr>
        <w:t>（授权代表名称）</w:t>
      </w:r>
      <w:r>
        <w:rPr>
          <w:rFonts w:ascii="宋体" w:cs="仿宋_GB2312"/>
          <w:color w:val="auto"/>
          <w:sz w:val="22"/>
          <w:szCs w:val="22"/>
          <w:u w:val="single"/>
          <w:lang w:val="zh-CN"/>
        </w:rPr>
        <w:t xml:space="preserve">         </w:t>
      </w:r>
      <w:r>
        <w:rPr>
          <w:rFonts w:hint="eastAsia" w:ascii="宋体" w:cs="仿宋_GB2312"/>
          <w:color w:val="auto"/>
          <w:sz w:val="22"/>
          <w:szCs w:val="22"/>
          <w:lang w:val="zh-CN"/>
        </w:rPr>
        <w:t>（职务、职称）为授权代表，参加贵方组织的</w:t>
      </w:r>
      <w:r>
        <w:rPr>
          <w:rFonts w:ascii="宋体" w:cs="仿宋_GB2312"/>
          <w:color w:val="auto"/>
          <w:sz w:val="22"/>
          <w:szCs w:val="22"/>
          <w:u w:val="single"/>
          <w:lang w:val="zh-CN"/>
        </w:rPr>
        <w:t xml:space="preserve">           </w:t>
      </w:r>
      <w:r>
        <w:rPr>
          <w:rFonts w:hint="eastAsia" w:ascii="宋体" w:cs="仿宋_GB2312"/>
          <w:color w:val="auto"/>
          <w:sz w:val="22"/>
          <w:szCs w:val="22"/>
          <w:lang w:val="zh-CN"/>
        </w:rPr>
        <w:t>（招标项目名称）（括号内填投标编号）招标的有关活动，为此：并对</w:t>
      </w:r>
      <w:r>
        <w:rPr>
          <w:rFonts w:hint="eastAsia" w:ascii="宋体" w:cs="仿宋_GB2312"/>
          <w:color w:val="auto"/>
          <w:sz w:val="22"/>
          <w:szCs w:val="22"/>
          <w:u w:val="single"/>
          <w:lang w:val="zh-CN"/>
        </w:rPr>
        <w:t xml:space="preserve">            </w:t>
      </w:r>
      <w:r>
        <w:rPr>
          <w:rFonts w:hint="eastAsia" w:ascii="宋体" w:cs="仿宋_GB2312"/>
          <w:color w:val="auto"/>
          <w:sz w:val="22"/>
          <w:szCs w:val="22"/>
          <w:lang w:val="zh-CN"/>
        </w:rPr>
        <w:t>项目（招标项目名称）进行投标。</w:t>
      </w:r>
      <w:r>
        <w:rPr>
          <w:rFonts w:ascii="宋体" w:cs="仿宋_GB2312"/>
          <w:color w:val="auto"/>
          <w:sz w:val="22"/>
          <w:szCs w:val="22"/>
          <w:lang w:val="zh-CN"/>
        </w:rPr>
        <w:t xml:space="preserve">   </w:t>
      </w:r>
    </w:p>
    <w:p>
      <w:pPr>
        <w:autoSpaceDE w:val="0"/>
        <w:autoSpaceDN w:val="0"/>
        <w:adjustRightInd w:val="0"/>
        <w:spacing w:line="400" w:lineRule="exact"/>
        <w:ind w:firstLine="440" w:firstLineChars="200"/>
        <w:rPr>
          <w:rFonts w:ascii="宋体"/>
          <w:color w:val="auto"/>
          <w:sz w:val="22"/>
          <w:lang w:val="zh-CN"/>
        </w:rPr>
      </w:pPr>
      <w:r>
        <w:rPr>
          <w:rFonts w:hint="eastAsia" w:ascii="宋体"/>
          <w:color w:val="auto"/>
          <w:sz w:val="22"/>
          <w:lang w:val="zh-CN"/>
        </w:rPr>
        <w:t>“电子加密投标文件”：在线上传递交。</w:t>
      </w:r>
    </w:p>
    <w:p>
      <w:pPr>
        <w:autoSpaceDE w:val="0"/>
        <w:autoSpaceDN w:val="0"/>
        <w:adjustRightInd w:val="0"/>
        <w:spacing w:line="400" w:lineRule="exact"/>
        <w:ind w:firstLine="440" w:firstLineChars="200"/>
        <w:rPr>
          <w:rFonts w:ascii="宋体"/>
          <w:color w:val="auto"/>
          <w:sz w:val="22"/>
          <w:lang w:val="zh-CN"/>
        </w:rPr>
      </w:pPr>
      <w:r>
        <w:rPr>
          <w:rFonts w:hint="eastAsia" w:ascii="宋体"/>
          <w:color w:val="auto"/>
          <w:sz w:val="22"/>
          <w:lang w:val="zh-CN"/>
        </w:rPr>
        <w:t>2、保证遵守招标文件中的有关规定和收费标准。</w:t>
      </w:r>
    </w:p>
    <w:p>
      <w:pPr>
        <w:autoSpaceDE w:val="0"/>
        <w:autoSpaceDN w:val="0"/>
        <w:adjustRightInd w:val="0"/>
        <w:spacing w:line="440" w:lineRule="atLeast"/>
        <w:ind w:firstLine="442" w:firstLineChars="201"/>
        <w:rPr>
          <w:rFonts w:ascii="宋体"/>
          <w:color w:val="auto"/>
          <w:sz w:val="22"/>
          <w:lang w:val="zh-CN"/>
        </w:rPr>
      </w:pPr>
      <w:r>
        <w:rPr>
          <w:rFonts w:ascii="宋体"/>
          <w:color w:val="auto"/>
          <w:sz w:val="22"/>
          <w:lang w:val="zh-CN"/>
        </w:rPr>
        <w:t>3</w:t>
      </w:r>
      <w:r>
        <w:rPr>
          <w:rFonts w:hint="eastAsia" w:ascii="宋体"/>
          <w:color w:val="auto"/>
          <w:sz w:val="22"/>
          <w:lang w:val="zh-CN"/>
        </w:rPr>
        <w:t>、保证忠实地执行采购单位、</w:t>
      </w:r>
      <w:r>
        <w:rPr>
          <w:rFonts w:hint="eastAsia" w:ascii="宋体" w:cs="??_GB2312"/>
          <w:color w:val="auto"/>
          <w:sz w:val="22"/>
          <w:lang w:val="zh-CN"/>
        </w:rPr>
        <w:t>中标（成交）供应商</w:t>
      </w:r>
      <w:r>
        <w:rPr>
          <w:rFonts w:hint="eastAsia" w:ascii="宋体"/>
          <w:color w:val="auto"/>
          <w:sz w:val="22"/>
          <w:lang w:val="zh-CN"/>
        </w:rPr>
        <w:t>双方所签的合同，并承担合同规定的责任义务。</w:t>
      </w:r>
    </w:p>
    <w:p>
      <w:pPr>
        <w:pStyle w:val="15"/>
        <w:snapToGrid w:val="0"/>
        <w:spacing w:line="410" w:lineRule="atLeast"/>
        <w:ind w:firstLine="440" w:firstLineChars="200"/>
        <w:rPr>
          <w:rFonts w:hAnsi="宋体"/>
          <w:b/>
          <w:bCs/>
          <w:color w:val="auto"/>
          <w:sz w:val="22"/>
        </w:rPr>
      </w:pPr>
      <w:r>
        <w:rPr>
          <w:rFonts w:cs="??_GB2312"/>
          <w:color w:val="auto"/>
          <w:sz w:val="22"/>
          <w:lang w:val="zh-CN"/>
        </w:rPr>
        <w:t>4</w:t>
      </w:r>
      <w:r>
        <w:rPr>
          <w:rFonts w:hint="eastAsia" w:cs="??_GB2312"/>
          <w:color w:val="auto"/>
          <w:sz w:val="22"/>
          <w:lang w:val="zh-CN"/>
        </w:rPr>
        <w:t>、</w:t>
      </w:r>
      <w:r>
        <w:rPr>
          <w:rFonts w:hint="eastAsia"/>
          <w:color w:val="auto"/>
          <w:sz w:val="22"/>
          <w:lang w:val="zh-CN"/>
        </w:rPr>
        <w:t>我方对完工期承诺如下</w:t>
      </w:r>
      <w:r>
        <w:rPr>
          <w:rFonts w:hint="eastAsia"/>
          <w:b/>
          <w:bCs/>
          <w:color w:val="auto"/>
          <w:sz w:val="22"/>
          <w:lang w:val="zh-CN"/>
        </w:rPr>
        <w:t>：</w:t>
      </w:r>
      <w:r>
        <w:rPr>
          <w:rFonts w:hint="eastAsia" w:hAnsi="宋体"/>
          <w:b/>
          <w:bCs/>
          <w:color w:val="auto"/>
          <w:sz w:val="22"/>
        </w:rPr>
        <w:t>▲按招标文件规定期限交货并通过采购单位验收，逾期采购单位有权拒绝供货。</w:t>
      </w:r>
    </w:p>
    <w:p>
      <w:pPr>
        <w:autoSpaceDE w:val="0"/>
        <w:autoSpaceDN w:val="0"/>
        <w:adjustRightInd w:val="0"/>
        <w:spacing w:line="440" w:lineRule="atLeast"/>
        <w:ind w:firstLine="450"/>
        <w:rPr>
          <w:rFonts w:ascii="宋体"/>
          <w:color w:val="auto"/>
          <w:sz w:val="22"/>
          <w:lang w:val="zh-CN"/>
        </w:rPr>
      </w:pPr>
      <w:r>
        <w:rPr>
          <w:rFonts w:ascii="宋体"/>
          <w:color w:val="auto"/>
          <w:sz w:val="22"/>
          <w:lang w:val="zh-CN"/>
        </w:rPr>
        <w:t>5</w:t>
      </w:r>
      <w:r>
        <w:rPr>
          <w:rFonts w:hint="eastAsia" w:ascii="宋体"/>
          <w:color w:val="auto"/>
          <w:sz w:val="22"/>
          <w:lang w:val="zh-CN"/>
        </w:rPr>
        <w:t>、供应商已详细审查全部招标文件，包括招标文件补充文件（如果有的话）。我方完全理解并同意放弃对这方面有不明及误解的权力。如果招标文件有相互矛盾之处，我方同意按采购单位的理解处理。</w:t>
      </w:r>
    </w:p>
    <w:p>
      <w:pPr>
        <w:spacing w:line="340" w:lineRule="exact"/>
        <w:ind w:firstLine="442" w:firstLineChars="201"/>
        <w:rPr>
          <w:rFonts w:ascii="宋体"/>
          <w:color w:val="auto"/>
          <w:sz w:val="22"/>
        </w:rPr>
      </w:pPr>
      <w:r>
        <w:rPr>
          <w:rFonts w:ascii="宋体"/>
          <w:color w:val="auto"/>
          <w:sz w:val="22"/>
        </w:rPr>
        <w:t>6</w:t>
      </w:r>
      <w:r>
        <w:rPr>
          <w:rFonts w:hint="eastAsia" w:ascii="宋体"/>
          <w:color w:val="auto"/>
          <w:sz w:val="22"/>
        </w:rPr>
        <w:t>、利益冲突：近三年内直至目前，我公司与本项目的采购单位、招标代理机构没有任何的隶属关系。</w:t>
      </w:r>
    </w:p>
    <w:p>
      <w:pPr>
        <w:autoSpaceDE w:val="0"/>
        <w:autoSpaceDN w:val="0"/>
        <w:adjustRightInd w:val="0"/>
        <w:spacing w:line="440" w:lineRule="atLeast"/>
        <w:ind w:firstLine="442" w:firstLineChars="201"/>
        <w:rPr>
          <w:rFonts w:ascii="宋体"/>
          <w:color w:val="auto"/>
          <w:sz w:val="22"/>
          <w:lang w:val="zh-CN"/>
        </w:rPr>
      </w:pPr>
      <w:r>
        <w:rPr>
          <w:rFonts w:ascii="宋体"/>
          <w:color w:val="auto"/>
          <w:sz w:val="22"/>
        </w:rPr>
        <w:t>7</w:t>
      </w:r>
      <w:r>
        <w:rPr>
          <w:rFonts w:hint="eastAsia" w:ascii="宋体"/>
          <w:color w:val="auto"/>
          <w:sz w:val="22"/>
        </w:rPr>
        <w:t>、我公司没有被各级、各地财政监管部门限制参加政府采购活动，且在限制期内。</w:t>
      </w:r>
    </w:p>
    <w:p>
      <w:pPr>
        <w:autoSpaceDE w:val="0"/>
        <w:autoSpaceDN w:val="0"/>
        <w:adjustRightInd w:val="0"/>
        <w:spacing w:line="440" w:lineRule="atLeast"/>
        <w:ind w:firstLine="442" w:firstLineChars="201"/>
        <w:rPr>
          <w:rFonts w:ascii="宋体"/>
          <w:color w:val="auto"/>
          <w:sz w:val="22"/>
          <w:lang w:val="zh-CN"/>
        </w:rPr>
      </w:pPr>
      <w:r>
        <w:rPr>
          <w:rFonts w:ascii="宋体"/>
          <w:color w:val="auto"/>
          <w:sz w:val="22"/>
          <w:lang w:val="zh-CN"/>
        </w:rPr>
        <w:t>8</w:t>
      </w:r>
      <w:r>
        <w:rPr>
          <w:rFonts w:hint="eastAsia" w:ascii="宋体"/>
          <w:color w:val="auto"/>
          <w:sz w:val="22"/>
          <w:lang w:val="zh-CN"/>
        </w:rPr>
        <w:t>、愿意向贵方提供任何与该项投标有关的数据、情况和技术资料，完全理解贵方不一定接受最低价的投标或收到的任何投标。</w:t>
      </w:r>
    </w:p>
    <w:p>
      <w:pPr>
        <w:autoSpaceDE w:val="0"/>
        <w:autoSpaceDN w:val="0"/>
        <w:adjustRightInd w:val="0"/>
        <w:spacing w:line="440" w:lineRule="atLeast"/>
        <w:ind w:firstLine="442" w:firstLineChars="201"/>
        <w:rPr>
          <w:rFonts w:ascii="宋体"/>
          <w:color w:val="auto"/>
          <w:sz w:val="22"/>
          <w:lang w:val="zh-CN"/>
        </w:rPr>
      </w:pPr>
      <w:r>
        <w:rPr>
          <w:rFonts w:ascii="宋体"/>
          <w:color w:val="auto"/>
          <w:sz w:val="22"/>
          <w:lang w:val="zh-CN"/>
        </w:rPr>
        <w:t>9</w:t>
      </w:r>
      <w:r>
        <w:rPr>
          <w:rFonts w:hint="eastAsia" w:ascii="宋体"/>
          <w:color w:val="auto"/>
          <w:sz w:val="22"/>
          <w:lang w:val="zh-CN"/>
        </w:rPr>
        <w:t>、本投标自开标之日起</w:t>
      </w:r>
      <w:r>
        <w:rPr>
          <w:rFonts w:ascii="宋体"/>
          <w:color w:val="auto"/>
          <w:sz w:val="22"/>
          <w:lang w:val="zh-CN"/>
        </w:rPr>
        <w:t>90</w:t>
      </w:r>
      <w:r>
        <w:rPr>
          <w:rFonts w:hint="eastAsia" w:ascii="宋体"/>
          <w:color w:val="auto"/>
          <w:sz w:val="22"/>
          <w:lang w:val="zh-CN"/>
        </w:rPr>
        <w:t>天内有效。</w:t>
      </w:r>
    </w:p>
    <w:p>
      <w:pPr>
        <w:autoSpaceDE w:val="0"/>
        <w:autoSpaceDN w:val="0"/>
        <w:adjustRightInd w:val="0"/>
        <w:spacing w:line="440" w:lineRule="atLeast"/>
        <w:ind w:firstLine="442" w:firstLineChars="201"/>
        <w:rPr>
          <w:rFonts w:ascii="宋体"/>
          <w:color w:val="auto"/>
          <w:sz w:val="22"/>
          <w:lang w:val="zh-CN"/>
        </w:rPr>
      </w:pPr>
      <w:r>
        <w:rPr>
          <w:rFonts w:ascii="宋体"/>
          <w:color w:val="auto"/>
          <w:sz w:val="22"/>
          <w:lang w:val="zh-CN"/>
        </w:rPr>
        <w:t>10</w:t>
      </w:r>
      <w:r>
        <w:rPr>
          <w:rFonts w:hint="eastAsia" w:ascii="宋体"/>
          <w:color w:val="auto"/>
          <w:sz w:val="22"/>
          <w:lang w:val="zh-CN"/>
        </w:rPr>
        <w:t>、与本投标有关的一切往来通讯请寄：</w:t>
      </w:r>
    </w:p>
    <w:p>
      <w:pPr>
        <w:autoSpaceDE w:val="0"/>
        <w:autoSpaceDN w:val="0"/>
        <w:adjustRightInd w:val="0"/>
        <w:spacing w:line="440" w:lineRule="atLeast"/>
        <w:ind w:firstLine="585" w:firstLineChars="266"/>
        <w:rPr>
          <w:rFonts w:ascii="宋体" w:cs="仿宋_GB2312"/>
          <w:color w:val="auto"/>
          <w:sz w:val="22"/>
          <w:szCs w:val="22"/>
          <w:u w:val="single"/>
          <w:lang w:val="zh-CN"/>
        </w:rPr>
      </w:pPr>
      <w:r>
        <w:rPr>
          <w:rFonts w:hint="eastAsia" w:ascii="宋体" w:cs="仿宋_GB2312"/>
          <w:color w:val="auto"/>
          <w:sz w:val="22"/>
          <w:szCs w:val="22"/>
          <w:lang w:val="zh-CN"/>
        </w:rPr>
        <w:t>地址：</w:t>
      </w:r>
      <w:r>
        <w:rPr>
          <w:rFonts w:ascii="宋体" w:cs="仿宋_GB2312"/>
          <w:color w:val="auto"/>
          <w:sz w:val="22"/>
          <w:szCs w:val="22"/>
          <w:u w:val="single"/>
          <w:lang w:val="zh-CN"/>
        </w:rPr>
        <w:t xml:space="preserve">                                 </w:t>
      </w:r>
    </w:p>
    <w:p>
      <w:pPr>
        <w:autoSpaceDE w:val="0"/>
        <w:autoSpaceDN w:val="0"/>
        <w:adjustRightInd w:val="0"/>
        <w:spacing w:line="440" w:lineRule="atLeast"/>
        <w:ind w:firstLine="585" w:firstLineChars="266"/>
        <w:rPr>
          <w:rFonts w:ascii="宋体" w:cs="仿宋_GB2312"/>
          <w:color w:val="auto"/>
          <w:sz w:val="22"/>
          <w:szCs w:val="22"/>
          <w:lang w:val="zh-CN"/>
        </w:rPr>
      </w:pPr>
      <w:r>
        <w:rPr>
          <w:rFonts w:hint="eastAsia" w:ascii="宋体" w:cs="仿宋_GB2312"/>
          <w:color w:val="auto"/>
          <w:sz w:val="22"/>
          <w:szCs w:val="22"/>
          <w:lang w:val="zh-CN"/>
        </w:rPr>
        <w:t>邮编：</w:t>
      </w:r>
      <w:r>
        <w:rPr>
          <w:rFonts w:ascii="宋体" w:cs="仿宋_GB2312"/>
          <w:color w:val="auto"/>
          <w:sz w:val="22"/>
          <w:szCs w:val="22"/>
          <w:u w:val="single"/>
          <w:lang w:val="zh-CN"/>
        </w:rPr>
        <w:t xml:space="preserve">               </w:t>
      </w:r>
      <w:r>
        <w:rPr>
          <w:rFonts w:hint="eastAsia" w:ascii="宋体" w:cs="仿宋_GB2312"/>
          <w:color w:val="auto"/>
          <w:sz w:val="22"/>
          <w:szCs w:val="22"/>
          <w:lang w:val="zh-CN"/>
        </w:rPr>
        <w:t>电话：</w:t>
      </w:r>
      <w:r>
        <w:rPr>
          <w:rFonts w:ascii="宋体" w:cs="仿宋_GB2312"/>
          <w:color w:val="auto"/>
          <w:sz w:val="22"/>
          <w:szCs w:val="22"/>
          <w:u w:val="single"/>
          <w:lang w:val="zh-CN"/>
        </w:rPr>
        <w:t xml:space="preserve">                 </w:t>
      </w:r>
      <w:r>
        <w:rPr>
          <w:rFonts w:hint="eastAsia" w:ascii="宋体" w:cs="仿宋_GB2312"/>
          <w:color w:val="auto"/>
          <w:sz w:val="22"/>
          <w:szCs w:val="22"/>
          <w:lang w:val="zh-CN"/>
        </w:rPr>
        <w:t>传真：</w:t>
      </w:r>
      <w:r>
        <w:rPr>
          <w:rFonts w:ascii="宋体" w:cs="仿宋_GB2312"/>
          <w:color w:val="auto"/>
          <w:sz w:val="22"/>
          <w:szCs w:val="22"/>
          <w:u w:val="single"/>
          <w:lang w:val="zh-CN"/>
        </w:rPr>
        <w:t xml:space="preserve">                 </w:t>
      </w:r>
    </w:p>
    <w:p>
      <w:pPr>
        <w:autoSpaceDE w:val="0"/>
        <w:autoSpaceDN w:val="0"/>
        <w:adjustRightInd w:val="0"/>
        <w:spacing w:line="440" w:lineRule="atLeast"/>
        <w:rPr>
          <w:rFonts w:ascii="宋体" w:cs="仿宋_GB2312"/>
          <w:color w:val="auto"/>
          <w:sz w:val="22"/>
          <w:szCs w:val="22"/>
          <w:lang w:val="zh-CN"/>
        </w:rPr>
      </w:pPr>
    </w:p>
    <w:p>
      <w:pPr>
        <w:autoSpaceDE w:val="0"/>
        <w:autoSpaceDN w:val="0"/>
        <w:adjustRightInd w:val="0"/>
        <w:spacing w:line="440" w:lineRule="atLeast"/>
        <w:rPr>
          <w:rFonts w:ascii="宋体" w:cs="仿宋_GB2312"/>
          <w:color w:val="auto"/>
          <w:sz w:val="22"/>
          <w:szCs w:val="22"/>
          <w:lang w:val="zh-CN"/>
        </w:rPr>
      </w:pPr>
      <w:r>
        <w:rPr>
          <w:rFonts w:hint="eastAsia" w:ascii="宋体" w:cs="仿宋_GB2312"/>
          <w:color w:val="auto"/>
          <w:sz w:val="22"/>
          <w:szCs w:val="22"/>
          <w:lang w:val="zh-CN"/>
        </w:rPr>
        <w:t>供应商全称（盖章）：</w:t>
      </w:r>
    </w:p>
    <w:p>
      <w:pPr>
        <w:autoSpaceDE w:val="0"/>
        <w:autoSpaceDN w:val="0"/>
        <w:adjustRightInd w:val="0"/>
        <w:spacing w:line="440" w:lineRule="atLeast"/>
        <w:rPr>
          <w:rFonts w:ascii="宋体" w:cs="仿宋_GB2312"/>
          <w:color w:val="auto"/>
          <w:sz w:val="22"/>
          <w:szCs w:val="22"/>
          <w:lang w:val="zh-CN"/>
        </w:rPr>
      </w:pPr>
      <w:r>
        <w:rPr>
          <w:rFonts w:hint="eastAsia" w:ascii="宋体" w:cs="仿宋_GB2312"/>
          <w:color w:val="auto"/>
          <w:sz w:val="22"/>
          <w:szCs w:val="22"/>
          <w:lang w:val="zh-CN"/>
        </w:rPr>
        <w:t>法定代表人（签字或盖章）：</w:t>
      </w:r>
    </w:p>
    <w:p>
      <w:pPr>
        <w:autoSpaceDE w:val="0"/>
        <w:autoSpaceDN w:val="0"/>
        <w:adjustRightInd w:val="0"/>
        <w:spacing w:line="440" w:lineRule="atLeast"/>
        <w:rPr>
          <w:rFonts w:ascii="宋体" w:cs="仿宋_GB2312"/>
          <w:color w:val="auto"/>
          <w:sz w:val="22"/>
          <w:szCs w:val="22"/>
          <w:lang w:val="zh-CN"/>
        </w:rPr>
      </w:pPr>
      <w:r>
        <w:rPr>
          <w:rFonts w:hint="eastAsia" w:ascii="宋体" w:cs="仿宋_GB2312"/>
          <w:color w:val="auto"/>
          <w:sz w:val="22"/>
          <w:szCs w:val="22"/>
          <w:lang w:val="zh-CN"/>
        </w:rPr>
        <w:t>日期：</w:t>
      </w:r>
    </w:p>
    <w:p>
      <w:pPr>
        <w:autoSpaceDE w:val="0"/>
        <w:autoSpaceDN w:val="0"/>
        <w:adjustRightInd w:val="0"/>
        <w:spacing w:line="440" w:lineRule="atLeast"/>
        <w:ind w:firstLine="627" w:firstLineChars="285"/>
        <w:rPr>
          <w:rFonts w:ascii="宋体" w:cs="仿宋_GB2312"/>
          <w:color w:val="auto"/>
          <w:sz w:val="22"/>
          <w:szCs w:val="22"/>
          <w:lang w:val="zh-CN"/>
        </w:rPr>
      </w:pPr>
    </w:p>
    <w:p>
      <w:pPr>
        <w:spacing w:line="360" w:lineRule="auto"/>
        <w:ind w:firstLine="442" w:firstLineChars="200"/>
        <w:rPr>
          <w:rFonts w:ascii="宋体" w:hAnsi="宋体"/>
          <w:color w:val="auto"/>
          <w:szCs w:val="21"/>
        </w:rPr>
      </w:pPr>
      <w:r>
        <w:rPr>
          <w:rFonts w:hint="eastAsia" w:ascii="宋体" w:hAnsi="宋体" w:eastAsia="宋体" w:cs="宋体"/>
          <w:b/>
          <w:bCs/>
          <w:color w:val="auto"/>
          <w:kern w:val="0"/>
          <w:sz w:val="22"/>
          <w:szCs w:val="22"/>
        </w:rPr>
        <w:t>▲备注：不提供本函做无效投标处理。</w:t>
      </w:r>
    </w:p>
    <w:p>
      <w:pPr>
        <w:pStyle w:val="15"/>
        <w:adjustRightInd w:val="0"/>
        <w:snapToGrid w:val="0"/>
        <w:spacing w:line="400" w:lineRule="exact"/>
        <w:rPr>
          <w:rFonts w:hAnsi="宋体"/>
          <w:color w:val="auto"/>
          <w:sz w:val="32"/>
          <w:szCs w:val="32"/>
        </w:rPr>
      </w:pPr>
      <w:r>
        <w:rPr>
          <w:rFonts w:hint="eastAsia" w:hAnsi="宋体"/>
          <w:b/>
          <w:color w:val="auto"/>
          <w:sz w:val="32"/>
          <w:szCs w:val="32"/>
        </w:rPr>
        <w:br w:type="page"/>
      </w:r>
      <w:r>
        <w:rPr>
          <w:rFonts w:hint="eastAsia" w:hAnsi="宋体"/>
          <w:b/>
          <w:color w:val="auto"/>
          <w:sz w:val="32"/>
          <w:szCs w:val="32"/>
        </w:rPr>
        <w:t>附件八</w:t>
      </w:r>
      <w:r>
        <w:rPr>
          <w:rFonts w:hint="eastAsia" w:hAnsi="宋体"/>
          <w:color w:val="auto"/>
          <w:sz w:val="32"/>
          <w:szCs w:val="32"/>
        </w:rPr>
        <w:t xml:space="preserve"> </w:t>
      </w:r>
    </w:p>
    <w:p>
      <w:pPr>
        <w:pStyle w:val="15"/>
        <w:adjustRightInd w:val="0"/>
        <w:snapToGrid w:val="0"/>
        <w:spacing w:line="360" w:lineRule="exact"/>
        <w:jc w:val="center"/>
        <w:rPr>
          <w:rFonts w:hAnsi="Times New Roman"/>
          <w:color w:val="auto"/>
          <w:sz w:val="36"/>
          <w:szCs w:val="36"/>
        </w:rPr>
      </w:pPr>
      <w:r>
        <w:rPr>
          <w:rFonts w:hint="eastAsia" w:hAnsi="Times New Roman"/>
          <w:color w:val="auto"/>
          <w:sz w:val="36"/>
          <w:szCs w:val="36"/>
        </w:rPr>
        <w:t>供应商参与政府采购活动投标资格声明函</w:t>
      </w:r>
    </w:p>
    <w:tbl>
      <w:tblPr>
        <w:tblStyle w:val="2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8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15"/>
              <w:adjustRightInd w:val="0"/>
              <w:snapToGrid w:val="0"/>
              <w:spacing w:line="400" w:lineRule="exact"/>
              <w:rPr>
                <w:rFonts w:hAnsi="宋体"/>
                <w:bCs/>
                <w:color w:val="auto"/>
                <w:sz w:val="22"/>
                <w:szCs w:val="22"/>
              </w:rPr>
            </w:pPr>
            <w:r>
              <w:rPr>
                <w:rFonts w:hAnsi="宋体"/>
                <w:bCs/>
                <w:color w:val="auto"/>
                <w:sz w:val="22"/>
                <w:szCs w:val="22"/>
              </w:rPr>
              <w:t>项目名称</w:t>
            </w:r>
          </w:p>
        </w:tc>
        <w:tc>
          <w:tcPr>
            <w:tcW w:w="8019" w:type="dxa"/>
          </w:tcPr>
          <w:p>
            <w:pPr>
              <w:pStyle w:val="15"/>
              <w:adjustRightInd w:val="0"/>
              <w:snapToGrid w:val="0"/>
              <w:spacing w:line="400" w:lineRule="exact"/>
              <w:rPr>
                <w:rFonts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15"/>
              <w:adjustRightInd w:val="0"/>
              <w:snapToGrid w:val="0"/>
              <w:spacing w:line="400" w:lineRule="exact"/>
              <w:rPr>
                <w:rFonts w:hAnsi="宋体"/>
                <w:bCs/>
                <w:color w:val="auto"/>
                <w:sz w:val="22"/>
                <w:szCs w:val="22"/>
              </w:rPr>
            </w:pPr>
            <w:r>
              <w:rPr>
                <w:rFonts w:hAnsi="宋体"/>
                <w:bCs/>
                <w:color w:val="auto"/>
                <w:sz w:val="22"/>
                <w:szCs w:val="22"/>
              </w:rPr>
              <w:t>项目采购编号</w:t>
            </w:r>
          </w:p>
        </w:tc>
        <w:tc>
          <w:tcPr>
            <w:tcW w:w="8019" w:type="dxa"/>
          </w:tcPr>
          <w:p>
            <w:pPr>
              <w:pStyle w:val="15"/>
              <w:adjustRightInd w:val="0"/>
              <w:snapToGrid w:val="0"/>
              <w:spacing w:line="400" w:lineRule="exact"/>
              <w:rPr>
                <w:rFonts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15"/>
              <w:adjustRightInd w:val="0"/>
              <w:snapToGrid w:val="0"/>
              <w:spacing w:line="400" w:lineRule="exact"/>
              <w:rPr>
                <w:rFonts w:hAnsi="宋体"/>
                <w:bCs/>
                <w:color w:val="auto"/>
                <w:sz w:val="22"/>
                <w:szCs w:val="22"/>
              </w:rPr>
            </w:pPr>
            <w:r>
              <w:rPr>
                <w:rFonts w:hAnsi="宋体"/>
                <w:bCs/>
                <w:color w:val="auto"/>
                <w:sz w:val="22"/>
                <w:szCs w:val="22"/>
              </w:rPr>
              <w:t>时    间</w:t>
            </w:r>
          </w:p>
        </w:tc>
        <w:tc>
          <w:tcPr>
            <w:tcW w:w="8019" w:type="dxa"/>
          </w:tcPr>
          <w:p>
            <w:pPr>
              <w:pStyle w:val="15"/>
              <w:adjustRightInd w:val="0"/>
              <w:snapToGrid w:val="0"/>
              <w:spacing w:line="400" w:lineRule="exact"/>
              <w:rPr>
                <w:rFonts w:hAnsi="宋体"/>
                <w:bCs/>
                <w:color w:val="auto"/>
                <w:sz w:val="22"/>
                <w:szCs w:val="22"/>
              </w:rPr>
            </w:pPr>
            <w:r>
              <w:rPr>
                <w:rFonts w:hAnsi="宋体"/>
                <w:bCs/>
                <w:color w:val="auto"/>
                <w:sz w:val="22"/>
                <w:szCs w:val="22"/>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819" w:type="dxa"/>
            <w:gridSpan w:val="2"/>
          </w:tcPr>
          <w:p>
            <w:pPr>
              <w:pStyle w:val="15"/>
              <w:ind w:firstLine="440" w:firstLineChars="200"/>
              <w:rPr>
                <w:rFonts w:hAnsi="宋体"/>
                <w:color w:val="auto"/>
                <w:sz w:val="22"/>
                <w:szCs w:val="22"/>
              </w:rPr>
            </w:pPr>
            <w:r>
              <w:rPr>
                <w:rFonts w:hAnsi="宋体"/>
                <w:color w:val="auto"/>
                <w:sz w:val="22"/>
                <w:szCs w:val="22"/>
              </w:rPr>
              <w:t>1、根据政府采购法第二十二条规定，我单位满足以下条件，并已经在技术资信部分响应文件中提供了相应的证明材料：</w:t>
            </w:r>
          </w:p>
          <w:p>
            <w:pPr>
              <w:pStyle w:val="15"/>
              <w:ind w:firstLine="440" w:firstLineChars="200"/>
              <w:rPr>
                <w:rFonts w:hAnsi="宋体"/>
                <w:color w:val="auto"/>
                <w:sz w:val="22"/>
                <w:szCs w:val="22"/>
              </w:rPr>
            </w:pPr>
            <w:r>
              <w:rPr>
                <w:rFonts w:hAnsi="宋体"/>
                <w:color w:val="auto"/>
                <w:sz w:val="22"/>
                <w:szCs w:val="22"/>
              </w:rPr>
              <w:t xml:space="preserve">（一）具有独立承担民事责任的能力； </w:t>
            </w:r>
          </w:p>
          <w:p>
            <w:pPr>
              <w:pStyle w:val="15"/>
              <w:ind w:firstLine="440" w:firstLineChars="200"/>
              <w:rPr>
                <w:rFonts w:hAnsi="宋体"/>
                <w:color w:val="auto"/>
                <w:sz w:val="22"/>
                <w:szCs w:val="22"/>
              </w:rPr>
            </w:pPr>
            <w:r>
              <w:rPr>
                <w:rFonts w:hAnsi="宋体"/>
                <w:color w:val="auto"/>
                <w:sz w:val="22"/>
                <w:szCs w:val="22"/>
              </w:rPr>
              <w:t xml:space="preserve">　　（二）具有良好的商业信誉和健全的财务会计制度； </w:t>
            </w:r>
          </w:p>
          <w:p>
            <w:pPr>
              <w:pStyle w:val="15"/>
              <w:ind w:firstLine="440" w:firstLineChars="200"/>
              <w:rPr>
                <w:rFonts w:hAnsi="宋体"/>
                <w:color w:val="auto"/>
                <w:sz w:val="22"/>
                <w:szCs w:val="22"/>
              </w:rPr>
            </w:pPr>
            <w:r>
              <w:rPr>
                <w:rFonts w:hAnsi="宋体"/>
                <w:color w:val="auto"/>
                <w:sz w:val="22"/>
                <w:szCs w:val="22"/>
              </w:rPr>
              <w:t xml:space="preserve">　　（三）具有履行合同所必需的设备和专业技术能力； </w:t>
            </w:r>
          </w:p>
          <w:p>
            <w:pPr>
              <w:pStyle w:val="15"/>
              <w:ind w:firstLine="440" w:firstLineChars="200"/>
              <w:rPr>
                <w:rFonts w:hAnsi="宋体"/>
                <w:color w:val="auto"/>
                <w:sz w:val="22"/>
                <w:szCs w:val="22"/>
              </w:rPr>
            </w:pPr>
            <w:r>
              <w:rPr>
                <w:rFonts w:hAnsi="宋体"/>
                <w:color w:val="auto"/>
                <w:sz w:val="22"/>
                <w:szCs w:val="22"/>
              </w:rPr>
              <w:t xml:space="preserve">　　（四）有依法缴纳税收和社会保障资金的良好记录； </w:t>
            </w:r>
          </w:p>
          <w:p>
            <w:pPr>
              <w:pStyle w:val="15"/>
              <w:ind w:firstLine="440" w:firstLineChars="200"/>
              <w:rPr>
                <w:rFonts w:hAnsi="宋体"/>
                <w:color w:val="auto"/>
                <w:sz w:val="22"/>
                <w:szCs w:val="22"/>
              </w:rPr>
            </w:pPr>
            <w:r>
              <w:rPr>
                <w:rFonts w:hAnsi="宋体"/>
                <w:color w:val="auto"/>
                <w:sz w:val="22"/>
                <w:szCs w:val="22"/>
              </w:rPr>
              <w:t xml:space="preserve">　　（五）参加政府采购活动前三年内，在经营活动中没有重大违法记录； </w:t>
            </w:r>
          </w:p>
          <w:p>
            <w:pPr>
              <w:pStyle w:val="15"/>
              <w:ind w:firstLine="440" w:firstLineChars="200"/>
              <w:rPr>
                <w:rFonts w:hAnsi="宋体"/>
                <w:color w:val="auto"/>
                <w:sz w:val="22"/>
                <w:szCs w:val="22"/>
              </w:rPr>
            </w:pPr>
            <w:r>
              <w:rPr>
                <w:rFonts w:hAnsi="宋体"/>
                <w:color w:val="auto"/>
                <w:sz w:val="22"/>
                <w:szCs w:val="22"/>
              </w:rPr>
              <w:t xml:space="preserve">　　（六）法律、行政法规规定的其他条件。 </w:t>
            </w:r>
          </w:p>
          <w:p>
            <w:pPr>
              <w:pStyle w:val="15"/>
              <w:ind w:firstLine="440" w:firstLineChars="200"/>
              <w:rPr>
                <w:rFonts w:hAnsi="宋体"/>
                <w:color w:val="auto"/>
                <w:sz w:val="22"/>
                <w:szCs w:val="22"/>
              </w:rPr>
            </w:pPr>
            <w:r>
              <w:rPr>
                <w:rFonts w:hAnsi="宋体"/>
                <w:color w:val="auto"/>
                <w:sz w:val="22"/>
                <w:szCs w:val="22"/>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 “中国政府采购网”查询网页截图（公告发布之日至投标截止时间）。</w:t>
            </w:r>
          </w:p>
          <w:p>
            <w:pPr>
              <w:pStyle w:val="15"/>
              <w:ind w:firstLine="440" w:firstLineChars="200"/>
              <w:rPr>
                <w:rFonts w:hAnsi="宋体"/>
                <w:color w:val="auto"/>
                <w:sz w:val="22"/>
                <w:szCs w:val="22"/>
              </w:rPr>
            </w:pPr>
            <w:r>
              <w:rPr>
                <w:rFonts w:hAnsi="宋体"/>
                <w:color w:val="auto"/>
                <w:sz w:val="22"/>
                <w:szCs w:val="22"/>
              </w:rPr>
              <w:t>3、我单位没有被各地、各级财政部门限制参加政府采购活动，且在限制期内：</w:t>
            </w:r>
          </w:p>
          <w:p>
            <w:pPr>
              <w:pStyle w:val="15"/>
              <w:snapToGrid w:val="0"/>
              <w:spacing w:line="400" w:lineRule="exact"/>
              <w:ind w:firstLine="440" w:firstLineChars="200"/>
              <w:rPr>
                <w:rFonts w:hAnsi="宋体"/>
                <w:color w:val="auto"/>
                <w:sz w:val="22"/>
                <w:szCs w:val="22"/>
                <w:u w:val="single"/>
              </w:rPr>
            </w:pPr>
            <w:r>
              <w:rPr>
                <w:rFonts w:hAnsi="宋体"/>
                <w:color w:val="auto"/>
                <w:sz w:val="22"/>
                <w:szCs w:val="22"/>
              </w:rPr>
              <w:t>4、我单位参与本项目政府采购活动3年内其它重大违法记录（重大违法记录，是指供应商因违法经营受到刑事处罚或者责令停产停业、吊销许可证或者执照、较大数额罚款等行政处罚）情况声明：</w:t>
            </w:r>
            <w:r>
              <w:rPr>
                <w:rFonts w:hAnsi="宋体"/>
                <w:color w:val="auto"/>
                <w:sz w:val="22"/>
                <w:szCs w:val="22"/>
                <w:u w:val="single"/>
              </w:rPr>
              <w:t xml:space="preserve">                                                                                  </w:t>
            </w:r>
          </w:p>
          <w:p>
            <w:pPr>
              <w:pStyle w:val="15"/>
              <w:snapToGrid w:val="0"/>
              <w:spacing w:line="400" w:lineRule="exact"/>
              <w:ind w:firstLine="440" w:firstLineChars="200"/>
              <w:rPr>
                <w:rFonts w:hAnsi="宋体"/>
                <w:color w:val="auto"/>
                <w:sz w:val="22"/>
                <w:szCs w:val="22"/>
              </w:rPr>
            </w:pPr>
            <w:r>
              <w:rPr>
                <w:rFonts w:hAnsi="宋体"/>
                <w:color w:val="auto"/>
                <w:sz w:val="22"/>
                <w:szCs w:val="22"/>
                <w:u w:val="single"/>
              </w:rPr>
              <w:t>5、我单位符合本项目特定资格条件：                         的要求，并在</w:t>
            </w:r>
            <w:r>
              <w:rPr>
                <w:rFonts w:hAnsi="宋体"/>
                <w:color w:val="auto"/>
                <w:sz w:val="22"/>
                <w:szCs w:val="22"/>
              </w:rPr>
              <w:t>技术资信部分响应文件中提供了相应的证明材料</w:t>
            </w:r>
            <w:r>
              <w:rPr>
                <w:rFonts w:hAnsi="宋体"/>
                <w:color w:val="auto"/>
                <w:sz w:val="22"/>
                <w:szCs w:val="22"/>
                <w:u w:val="single"/>
              </w:rPr>
              <w:t>（招标文件文件没有要求特定资格条件的，本条款空格处可以空白）</w:t>
            </w:r>
          </w:p>
          <w:p>
            <w:pPr>
              <w:tabs>
                <w:tab w:val="center" w:pos="4483"/>
              </w:tabs>
              <w:adjustRightInd w:val="0"/>
              <w:spacing w:line="360" w:lineRule="auto"/>
              <w:ind w:firstLine="440" w:firstLineChars="200"/>
              <w:rPr>
                <w:rFonts w:ascii="宋体"/>
                <w:bCs/>
                <w:color w:val="auto"/>
                <w:sz w:val="22"/>
              </w:rPr>
            </w:pPr>
            <w:r>
              <w:rPr>
                <w:rFonts w:ascii="宋体" w:hAnsi="宋体" w:cs="宋体"/>
                <w:bCs/>
                <w:color w:val="auto"/>
                <w:sz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pPr>
              <w:pStyle w:val="15"/>
              <w:adjustRightInd w:val="0"/>
              <w:snapToGrid w:val="0"/>
              <w:spacing w:line="400" w:lineRule="exact"/>
              <w:rPr>
                <w:rFonts w:hAnsi="宋体"/>
                <w:bCs/>
                <w:color w:val="auto"/>
                <w:sz w:val="22"/>
                <w:szCs w:val="22"/>
              </w:rPr>
            </w:pPr>
            <w:r>
              <w:rPr>
                <w:rFonts w:hAnsi="宋体"/>
                <w:bCs/>
                <w:color w:val="auto"/>
                <w:sz w:val="22"/>
                <w:szCs w:val="22"/>
              </w:rPr>
              <w:t>供应商名称（加盖公章）：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pPr>
              <w:pStyle w:val="15"/>
              <w:adjustRightInd w:val="0"/>
              <w:snapToGrid w:val="0"/>
              <w:spacing w:line="400" w:lineRule="exact"/>
              <w:rPr>
                <w:rFonts w:hAnsi="宋体"/>
                <w:bCs/>
                <w:color w:val="auto"/>
                <w:sz w:val="22"/>
                <w:szCs w:val="22"/>
              </w:rPr>
            </w:pPr>
            <w:r>
              <w:rPr>
                <w:rFonts w:hAnsi="宋体"/>
                <w:bCs/>
                <w:color w:val="auto"/>
                <w:sz w:val="22"/>
                <w:szCs w:val="22"/>
              </w:rPr>
              <w:t>法定代表人（签字或盖章）或</w:t>
            </w:r>
            <w:r>
              <w:rPr>
                <w:rFonts w:hAnsi="宋体"/>
                <w:bCs/>
                <w:color w:val="auto"/>
                <w:sz w:val="22"/>
                <w:szCs w:val="22"/>
                <w:lang w:val="zh-CN"/>
              </w:rPr>
              <w:t>授权代表（</w:t>
            </w:r>
            <w:r>
              <w:rPr>
                <w:rFonts w:hAnsi="宋体"/>
                <w:bCs/>
                <w:color w:val="auto"/>
                <w:sz w:val="22"/>
                <w:szCs w:val="22"/>
              </w:rPr>
              <w:t>签字或盖章</w:t>
            </w:r>
            <w:r>
              <w:rPr>
                <w:rFonts w:hAnsi="宋体"/>
                <w:bCs/>
                <w:color w:val="auto"/>
                <w:sz w:val="22"/>
                <w:szCs w:val="22"/>
                <w:lang w:val="zh-CN"/>
              </w:rPr>
              <w:t>）</w:t>
            </w:r>
            <w:r>
              <w:rPr>
                <w:rFonts w:hAnsi="宋体"/>
                <w:bCs/>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pPr>
              <w:pStyle w:val="15"/>
              <w:adjustRightInd w:val="0"/>
              <w:snapToGrid w:val="0"/>
              <w:spacing w:line="400" w:lineRule="exact"/>
              <w:rPr>
                <w:rFonts w:hAnsi="宋体"/>
                <w:bCs/>
                <w:color w:val="auto"/>
                <w:sz w:val="22"/>
                <w:szCs w:val="22"/>
              </w:rPr>
            </w:pPr>
            <w:r>
              <w:rPr>
                <w:rFonts w:hAnsi="宋体"/>
                <w:bCs/>
                <w:color w:val="auto"/>
                <w:sz w:val="22"/>
                <w:szCs w:val="22"/>
              </w:rPr>
              <w:t>签署日期：</w:t>
            </w:r>
          </w:p>
        </w:tc>
      </w:tr>
    </w:tbl>
    <w:p>
      <w:pPr>
        <w:autoSpaceDE w:val="0"/>
        <w:autoSpaceDN w:val="0"/>
        <w:adjustRightInd w:val="0"/>
        <w:spacing w:line="440" w:lineRule="atLeast"/>
        <w:rPr>
          <w:rFonts w:hAnsi="宋体"/>
          <w:color w:val="auto"/>
          <w:sz w:val="22"/>
        </w:rPr>
      </w:pPr>
      <w:r>
        <w:rPr>
          <w:rFonts w:hint="eastAsia" w:hAnsi="宋体"/>
          <w:b/>
          <w:color w:val="auto"/>
          <w:sz w:val="22"/>
        </w:rPr>
        <w:t>备注：▲投标供应商必须按要求提供本声明，不提供按无效标处理</w:t>
      </w:r>
      <w:r>
        <w:rPr>
          <w:rFonts w:hint="eastAsia" w:hAnsi="宋体"/>
          <w:color w:val="auto"/>
          <w:sz w:val="22"/>
        </w:rPr>
        <w:t>。</w:t>
      </w:r>
    </w:p>
    <w:p>
      <w:pPr>
        <w:autoSpaceDE w:val="0"/>
        <w:autoSpaceDN w:val="0"/>
        <w:adjustRightInd w:val="0"/>
        <w:spacing w:line="440" w:lineRule="atLeast"/>
        <w:rPr>
          <w:rFonts w:hAnsi="宋体"/>
          <w:color w:val="auto"/>
          <w:sz w:val="22"/>
          <w:u w:val="single"/>
        </w:rPr>
      </w:pPr>
    </w:p>
    <w:p>
      <w:pPr>
        <w:autoSpaceDE w:val="0"/>
        <w:autoSpaceDN w:val="0"/>
        <w:adjustRightInd w:val="0"/>
        <w:spacing w:line="440" w:lineRule="atLeast"/>
        <w:rPr>
          <w:rFonts w:hAnsi="宋体"/>
          <w:color w:val="auto"/>
          <w:sz w:val="22"/>
          <w:u w:val="single"/>
        </w:rPr>
      </w:pPr>
    </w:p>
    <w:p>
      <w:pPr>
        <w:spacing w:line="360" w:lineRule="auto"/>
        <w:rPr>
          <w:rFonts w:ascii="宋体" w:hAnsi="宋体"/>
          <w:b/>
          <w:color w:val="auto"/>
          <w:sz w:val="32"/>
          <w:szCs w:val="32"/>
        </w:rPr>
      </w:pPr>
    </w:p>
    <w:p>
      <w:pPr>
        <w:spacing w:line="440" w:lineRule="exact"/>
        <w:jc w:val="left"/>
        <w:rPr>
          <w:rFonts w:eastAsia="宋体"/>
          <w:color w:val="auto"/>
        </w:rPr>
      </w:pPr>
      <w:r>
        <w:rPr>
          <w:rFonts w:hint="eastAsia" w:ascii="宋体" w:hAnsi="宋体"/>
          <w:b/>
          <w:color w:val="auto"/>
          <w:sz w:val="32"/>
          <w:szCs w:val="32"/>
        </w:rPr>
        <w:t>附件九</w:t>
      </w:r>
    </w:p>
    <w:p>
      <w:pPr>
        <w:pStyle w:val="15"/>
        <w:spacing w:line="460" w:lineRule="atLeast"/>
        <w:ind w:firstLine="773" w:firstLineChars="350"/>
        <w:rPr>
          <w:rFonts w:hAnsi="宋体"/>
          <w:b/>
          <w:bCs/>
          <w:color w:val="auto"/>
          <w:sz w:val="22"/>
          <w:szCs w:val="22"/>
          <w:u w:val="single"/>
        </w:rPr>
      </w:pPr>
    </w:p>
    <w:p>
      <w:pPr>
        <w:spacing w:line="360" w:lineRule="auto"/>
        <w:jc w:val="center"/>
        <w:rPr>
          <w:rFonts w:ascii="宋体"/>
          <w:color w:val="auto"/>
          <w:sz w:val="36"/>
          <w:szCs w:val="36"/>
        </w:rPr>
      </w:pPr>
      <w:r>
        <w:rPr>
          <w:rFonts w:hint="eastAsia" w:ascii="宋体"/>
          <w:color w:val="auto"/>
          <w:sz w:val="36"/>
          <w:szCs w:val="36"/>
        </w:rPr>
        <w:t>法定代表人诚信投标承诺书</w:t>
      </w:r>
    </w:p>
    <w:p>
      <w:pPr>
        <w:spacing w:line="360" w:lineRule="auto"/>
        <w:rPr>
          <w:rFonts w:ascii="宋体" w:hAnsi="宋体"/>
          <w:color w:val="auto"/>
          <w:sz w:val="22"/>
        </w:rPr>
      </w:pPr>
      <w:r>
        <w:rPr>
          <w:rFonts w:hint="eastAsia" w:ascii="宋体" w:hAnsi="宋体"/>
          <w:color w:val="auto"/>
          <w:sz w:val="22"/>
        </w:rPr>
        <w:t>本人以企业法定代表人的身份郑重承诺：</w:t>
      </w:r>
    </w:p>
    <w:p>
      <w:pPr>
        <w:spacing w:line="360" w:lineRule="auto"/>
        <w:ind w:firstLine="420"/>
        <w:rPr>
          <w:rFonts w:ascii="宋体" w:hAnsi="宋体"/>
          <w:color w:val="auto"/>
          <w:sz w:val="22"/>
        </w:rPr>
      </w:pPr>
      <w:r>
        <w:rPr>
          <w:rFonts w:hint="eastAsia" w:ascii="宋体" w:hAnsi="宋体"/>
          <w:color w:val="auto"/>
          <w:sz w:val="22"/>
        </w:rPr>
        <w:t>将遵循公开、公平、公正和诚信信用的原则参加</w:t>
      </w:r>
      <w:r>
        <w:rPr>
          <w:rFonts w:hint="eastAsia" w:ascii="宋体" w:hAnsi="宋体"/>
          <w:color w:val="auto"/>
          <w:sz w:val="22"/>
          <w:u w:val="single"/>
        </w:rPr>
        <w:t xml:space="preserve">                  项目（项目编号： ）</w:t>
      </w:r>
      <w:r>
        <w:rPr>
          <w:rFonts w:hint="eastAsia" w:ascii="宋体" w:hAnsi="宋体"/>
          <w:color w:val="auto"/>
          <w:sz w:val="22"/>
        </w:rPr>
        <w:t>的投标；</w:t>
      </w:r>
    </w:p>
    <w:p>
      <w:pPr>
        <w:spacing w:line="360" w:lineRule="auto"/>
        <w:ind w:firstLine="420"/>
        <w:rPr>
          <w:rFonts w:ascii="宋体" w:hAnsi="宋体"/>
          <w:color w:val="auto"/>
          <w:sz w:val="22"/>
        </w:rPr>
      </w:pPr>
      <w:r>
        <w:rPr>
          <w:rFonts w:hint="eastAsia" w:ascii="宋体" w:hAnsi="宋体"/>
          <w:color w:val="auto"/>
          <w:sz w:val="22"/>
        </w:rPr>
        <w:t>一、杜绝以收取管理费等形式的一切挂靠、违法转包、分包行为；并选派有丰富经验、无不</w:t>
      </w:r>
    </w:p>
    <w:p>
      <w:pPr>
        <w:spacing w:line="360" w:lineRule="auto"/>
        <w:rPr>
          <w:rFonts w:ascii="宋体" w:hAnsi="宋体"/>
          <w:color w:val="auto"/>
          <w:sz w:val="22"/>
        </w:rPr>
      </w:pPr>
      <w:r>
        <w:rPr>
          <w:rFonts w:hint="eastAsia" w:ascii="宋体" w:hAnsi="宋体"/>
          <w:color w:val="auto"/>
          <w:sz w:val="22"/>
        </w:rPr>
        <w:t>良行为记录的在项目管理人员、技术人员，严格按招标文件文件、响应文件及合同等要求保证</w:t>
      </w:r>
    </w:p>
    <w:p>
      <w:pPr>
        <w:spacing w:line="360" w:lineRule="auto"/>
        <w:rPr>
          <w:rFonts w:ascii="宋体" w:hAnsi="宋体"/>
          <w:color w:val="auto"/>
          <w:sz w:val="22"/>
        </w:rPr>
      </w:pPr>
      <w:r>
        <w:rPr>
          <w:rFonts w:hint="eastAsia" w:ascii="宋体" w:hAnsi="宋体"/>
          <w:color w:val="auto"/>
          <w:sz w:val="22"/>
        </w:rPr>
        <w:t>拟派人员的到岗率。</w:t>
      </w:r>
    </w:p>
    <w:p>
      <w:pPr>
        <w:spacing w:line="360" w:lineRule="auto"/>
        <w:ind w:firstLine="420"/>
        <w:rPr>
          <w:rFonts w:ascii="宋体" w:hAnsi="宋体"/>
          <w:color w:val="auto"/>
          <w:sz w:val="22"/>
        </w:rPr>
      </w:pPr>
      <w:r>
        <w:rPr>
          <w:rFonts w:hint="eastAsia" w:ascii="宋体" w:hAnsi="宋体"/>
          <w:color w:val="auto"/>
          <w:sz w:val="22"/>
        </w:rPr>
        <w:t>二、响应文件所提供的一切材料都是真实、有效、合法的。</w:t>
      </w:r>
    </w:p>
    <w:p>
      <w:pPr>
        <w:spacing w:line="360" w:lineRule="auto"/>
        <w:ind w:firstLine="420"/>
        <w:rPr>
          <w:rFonts w:ascii="宋体" w:hAnsi="宋体"/>
          <w:color w:val="auto"/>
          <w:sz w:val="22"/>
        </w:rPr>
      </w:pPr>
      <w:r>
        <w:rPr>
          <w:rFonts w:hint="eastAsia" w:ascii="宋体" w:hAnsi="宋体"/>
          <w:color w:val="auto"/>
          <w:sz w:val="22"/>
        </w:rPr>
        <w:t>三、不与其他供应商相互串通投标报价，不排挤其他供应商的公平竞争，不损害采购单位或其他供应商的合法权益。</w:t>
      </w:r>
    </w:p>
    <w:p>
      <w:pPr>
        <w:spacing w:line="360" w:lineRule="auto"/>
        <w:ind w:firstLine="420"/>
        <w:rPr>
          <w:rFonts w:ascii="宋体" w:hAnsi="宋体"/>
          <w:color w:val="auto"/>
          <w:sz w:val="22"/>
        </w:rPr>
      </w:pPr>
      <w:r>
        <w:rPr>
          <w:rFonts w:hint="eastAsia" w:ascii="宋体" w:hAnsi="宋体"/>
          <w:color w:val="auto"/>
          <w:sz w:val="22"/>
        </w:rPr>
        <w:t>四、不与采购单位或招标代理机构串通投标，不损害国家利益，社会公共利益或其他人的合法权益。</w:t>
      </w:r>
    </w:p>
    <w:p>
      <w:pPr>
        <w:spacing w:line="360" w:lineRule="auto"/>
        <w:ind w:firstLine="420"/>
        <w:rPr>
          <w:rFonts w:ascii="宋体" w:hAnsi="宋体"/>
          <w:color w:val="auto"/>
          <w:sz w:val="22"/>
        </w:rPr>
      </w:pPr>
      <w:r>
        <w:rPr>
          <w:rFonts w:hint="eastAsia" w:ascii="宋体" w:hAnsi="宋体"/>
          <w:color w:val="auto"/>
          <w:sz w:val="22"/>
        </w:rPr>
        <w:t>五、不向采购单位或者评委成员行贿以牟取中标。</w:t>
      </w:r>
    </w:p>
    <w:p>
      <w:pPr>
        <w:spacing w:line="360" w:lineRule="auto"/>
        <w:ind w:firstLine="420"/>
        <w:rPr>
          <w:rFonts w:ascii="宋体" w:hAnsi="宋体"/>
          <w:color w:val="auto"/>
          <w:sz w:val="22"/>
        </w:rPr>
      </w:pPr>
      <w:r>
        <w:rPr>
          <w:rFonts w:hint="eastAsia" w:ascii="宋体" w:hAnsi="宋体"/>
          <w:color w:val="auto"/>
          <w:sz w:val="22"/>
        </w:rPr>
        <w:t>六、不以其他人名义投标或者以其他方式弄虚作假，骗取中标。</w:t>
      </w:r>
    </w:p>
    <w:p>
      <w:pPr>
        <w:spacing w:line="360" w:lineRule="auto"/>
        <w:ind w:firstLine="420"/>
        <w:rPr>
          <w:rFonts w:ascii="宋体" w:hAnsi="宋体"/>
          <w:color w:val="auto"/>
          <w:sz w:val="22"/>
        </w:rPr>
      </w:pPr>
      <w:r>
        <w:rPr>
          <w:rFonts w:hint="eastAsia" w:ascii="宋体" w:hAnsi="宋体"/>
          <w:color w:val="auto"/>
          <w:sz w:val="22"/>
        </w:rPr>
        <w:t>七、不在开标后进行虚假恶意投诉。</w:t>
      </w:r>
    </w:p>
    <w:p>
      <w:pPr>
        <w:spacing w:line="360" w:lineRule="auto"/>
        <w:ind w:firstLine="420"/>
        <w:rPr>
          <w:rFonts w:ascii="宋体" w:hAnsi="宋体"/>
          <w:color w:val="auto"/>
          <w:sz w:val="22"/>
        </w:rPr>
      </w:pPr>
      <w:r>
        <w:rPr>
          <w:rFonts w:hint="eastAsia" w:ascii="宋体" w:hAnsi="宋体"/>
          <w:color w:val="auto"/>
          <w:sz w:val="22"/>
        </w:rPr>
        <w:t>八、我单位没有被政府机关列入失信被执行人名单、重大税收违法案件当事人名单、政府采</w:t>
      </w:r>
    </w:p>
    <w:p>
      <w:pPr>
        <w:spacing w:line="360" w:lineRule="auto"/>
        <w:rPr>
          <w:rFonts w:ascii="宋体" w:hAnsi="宋体"/>
          <w:color w:val="auto"/>
          <w:sz w:val="22"/>
        </w:rPr>
      </w:pPr>
      <w:r>
        <w:rPr>
          <w:rFonts w:hint="eastAsia" w:ascii="宋体" w:hAnsi="宋体"/>
          <w:color w:val="auto"/>
          <w:sz w:val="22"/>
        </w:rPr>
        <w:t>购严重违法失信行为记录名单及其他不符合《中华人民共和国政府采购法》第二十二条规定条件</w:t>
      </w:r>
    </w:p>
    <w:p>
      <w:pPr>
        <w:spacing w:line="360" w:lineRule="auto"/>
        <w:rPr>
          <w:rFonts w:ascii="宋体" w:hAnsi="宋体"/>
          <w:color w:val="auto"/>
          <w:sz w:val="22"/>
        </w:rPr>
      </w:pPr>
      <w:r>
        <w:rPr>
          <w:rFonts w:hint="eastAsia" w:ascii="宋体" w:hAnsi="宋体"/>
          <w:color w:val="auto"/>
          <w:sz w:val="22"/>
        </w:rPr>
        <w:t>的情形：</w:t>
      </w:r>
    </w:p>
    <w:p>
      <w:pPr>
        <w:spacing w:line="360" w:lineRule="auto"/>
        <w:ind w:firstLine="420"/>
        <w:rPr>
          <w:rFonts w:ascii="宋体" w:hAnsi="宋体"/>
          <w:color w:val="auto"/>
          <w:sz w:val="22"/>
        </w:rPr>
      </w:pPr>
      <w:r>
        <w:rPr>
          <w:rFonts w:hint="eastAsia" w:ascii="宋体" w:hAnsi="宋体"/>
          <w:color w:val="auto"/>
          <w:sz w:val="22"/>
        </w:rPr>
        <w:t>九、没有被各地、各级财政部门禁止参加政府采购活动，且在限制期限内：</w:t>
      </w:r>
    </w:p>
    <w:p>
      <w:pPr>
        <w:spacing w:line="360" w:lineRule="auto"/>
        <w:ind w:firstLine="420"/>
        <w:rPr>
          <w:rFonts w:ascii="宋体" w:hAnsi="宋体"/>
          <w:color w:val="auto"/>
          <w:sz w:val="22"/>
        </w:rPr>
      </w:pPr>
      <w:r>
        <w:rPr>
          <w:rFonts w:hint="eastAsia" w:ascii="宋体" w:hAnsi="宋体"/>
          <w:color w:val="auto"/>
          <w:sz w:val="22"/>
        </w:rPr>
        <w:t>十、参与本项目政府采购活动 3 年内没有重大违法记录情况。</w:t>
      </w:r>
    </w:p>
    <w:p>
      <w:pPr>
        <w:spacing w:line="360" w:lineRule="auto"/>
        <w:ind w:firstLine="420"/>
        <w:rPr>
          <w:rFonts w:ascii="宋体" w:hAnsi="宋体"/>
          <w:color w:val="auto"/>
          <w:sz w:val="22"/>
        </w:rPr>
      </w:pPr>
      <w:r>
        <w:rPr>
          <w:rFonts w:hint="eastAsia" w:ascii="宋体" w:hAnsi="宋体"/>
          <w:color w:val="auto"/>
          <w:sz w:val="22"/>
        </w:rPr>
        <w:t>本公司若有违反本承诺内容的行为，愿意承担法律责任，包括不限于：愿意接受相关行政主</w:t>
      </w:r>
    </w:p>
    <w:p>
      <w:pPr>
        <w:spacing w:line="360" w:lineRule="auto"/>
        <w:rPr>
          <w:rFonts w:ascii="宋体" w:hAnsi="宋体"/>
          <w:color w:val="auto"/>
          <w:sz w:val="22"/>
        </w:rPr>
      </w:pPr>
      <w:r>
        <w:rPr>
          <w:rFonts w:hint="eastAsia" w:ascii="宋体" w:hAnsi="宋体"/>
          <w:color w:val="auto"/>
          <w:sz w:val="22"/>
        </w:rPr>
        <w:t>管部门作出的处罚；给采购单位造成损失的，依法承担相应的赔偿责任。</w:t>
      </w:r>
    </w:p>
    <w:p>
      <w:pPr>
        <w:spacing w:line="360" w:lineRule="auto"/>
        <w:ind w:left="5040"/>
        <w:rPr>
          <w:rFonts w:ascii="宋体" w:hAnsi="宋体"/>
          <w:color w:val="auto"/>
          <w:sz w:val="22"/>
        </w:rPr>
      </w:pPr>
      <w:r>
        <w:rPr>
          <w:rFonts w:hint="eastAsia" w:ascii="宋体" w:hAnsi="宋体"/>
          <w:color w:val="auto"/>
          <w:sz w:val="22"/>
        </w:rPr>
        <w:t>法定代表人（签字或盖章）：</w:t>
      </w:r>
    </w:p>
    <w:p>
      <w:pPr>
        <w:spacing w:line="360" w:lineRule="auto"/>
        <w:ind w:left="4620" w:firstLine="420"/>
        <w:rPr>
          <w:rFonts w:ascii="宋体" w:hAnsi="宋体"/>
          <w:color w:val="auto"/>
          <w:sz w:val="22"/>
        </w:rPr>
      </w:pPr>
      <w:r>
        <w:rPr>
          <w:rFonts w:hint="eastAsia" w:ascii="宋体" w:hAnsi="宋体"/>
          <w:color w:val="auto"/>
          <w:sz w:val="22"/>
        </w:rPr>
        <w:t>投标供应商（盖章）</w:t>
      </w:r>
    </w:p>
    <w:p>
      <w:pPr>
        <w:spacing w:line="360" w:lineRule="auto"/>
        <w:ind w:left="4620" w:firstLine="440" w:firstLineChars="200"/>
        <w:rPr>
          <w:rFonts w:ascii="宋体" w:hAnsi="宋体"/>
          <w:color w:val="auto"/>
          <w:sz w:val="22"/>
        </w:rPr>
      </w:pPr>
      <w:r>
        <w:rPr>
          <w:rFonts w:hint="eastAsia" w:ascii="宋体" w:hAnsi="宋体"/>
          <w:color w:val="auto"/>
          <w:sz w:val="22"/>
        </w:rPr>
        <w:t>承诺书签署日期：</w:t>
      </w:r>
      <w:r>
        <w:rPr>
          <w:rFonts w:ascii="宋体" w:hAnsi="宋体"/>
          <w:color w:val="auto"/>
          <w:sz w:val="22"/>
        </w:rPr>
        <w:t xml:space="preserve"> </w:t>
      </w:r>
    </w:p>
    <w:p>
      <w:pPr>
        <w:spacing w:line="360" w:lineRule="auto"/>
        <w:rPr>
          <w:rFonts w:ascii="宋体" w:hAnsi="宋体"/>
          <w:b/>
          <w:color w:val="auto"/>
          <w:sz w:val="22"/>
        </w:rPr>
      </w:pPr>
      <w:r>
        <w:rPr>
          <w:rFonts w:hint="eastAsia" w:ascii="宋体" w:hAnsi="宋体"/>
          <w:b/>
          <w:color w:val="auto"/>
          <w:sz w:val="22"/>
        </w:rPr>
        <w:t>备注：▲投标供应商必须提供本承诺书，不提供按无效投标处理。</w:t>
      </w:r>
    </w:p>
    <w:p>
      <w:pPr>
        <w:spacing w:line="440" w:lineRule="exact"/>
        <w:jc w:val="left"/>
        <w:rPr>
          <w:rFonts w:ascii="宋体" w:hAnsi="宋体"/>
          <w:b/>
          <w:color w:val="auto"/>
          <w:sz w:val="32"/>
          <w:szCs w:val="32"/>
        </w:rPr>
      </w:pPr>
    </w:p>
    <w:p>
      <w:pPr>
        <w:autoSpaceDE w:val="0"/>
        <w:autoSpaceDN w:val="0"/>
        <w:adjustRightInd w:val="0"/>
        <w:spacing w:line="440" w:lineRule="atLeast"/>
        <w:rPr>
          <w:rFonts w:ascii="宋体" w:hAnsi="宋体" w:cs="仿宋_GB2312"/>
          <w:b/>
          <w:bCs/>
          <w:color w:val="auto"/>
          <w:sz w:val="32"/>
          <w:szCs w:val="32"/>
        </w:rPr>
      </w:pPr>
      <w:r>
        <w:rPr>
          <w:rFonts w:ascii="宋体" w:hAnsi="宋体"/>
          <w:b/>
          <w:color w:val="auto"/>
          <w:sz w:val="32"/>
          <w:szCs w:val="32"/>
        </w:rPr>
        <w:br w:type="page"/>
      </w:r>
      <w:r>
        <w:rPr>
          <w:rFonts w:hint="eastAsia" w:ascii="宋体" w:hAnsi="宋体" w:cs="仿宋_GB2312"/>
          <w:b/>
          <w:bCs/>
          <w:color w:val="auto"/>
          <w:sz w:val="32"/>
          <w:szCs w:val="32"/>
        </w:rPr>
        <w:t>附件</w:t>
      </w:r>
      <w:r>
        <w:rPr>
          <w:rFonts w:hint="eastAsia" w:ascii="宋体" w:hAnsi="宋体"/>
          <w:b/>
          <w:color w:val="auto"/>
          <w:sz w:val="32"/>
          <w:szCs w:val="32"/>
          <w:lang w:val="zh-CN"/>
        </w:rPr>
        <w:t>十</w:t>
      </w:r>
      <w:r>
        <w:rPr>
          <w:rFonts w:hint="eastAsia" w:ascii="宋体" w:hAnsi="宋体"/>
          <w:b/>
          <w:color w:val="auto"/>
          <w:sz w:val="32"/>
          <w:szCs w:val="32"/>
        </w:rPr>
        <w:t>（</w:t>
      </w:r>
      <w:r>
        <w:rPr>
          <w:rFonts w:hint="eastAsia" w:ascii="宋体" w:hAnsi="宋体"/>
          <w:b/>
          <w:color w:val="auto"/>
          <w:sz w:val="32"/>
          <w:szCs w:val="32"/>
          <w:lang w:val="zh-CN"/>
        </w:rPr>
        <w:t>一</w:t>
      </w:r>
      <w:r>
        <w:rPr>
          <w:rFonts w:hint="eastAsia" w:ascii="宋体" w:hAnsi="宋体"/>
          <w:b/>
          <w:color w:val="auto"/>
          <w:sz w:val="32"/>
          <w:szCs w:val="32"/>
        </w:rPr>
        <w:t>）</w:t>
      </w:r>
    </w:p>
    <w:p>
      <w:pPr>
        <w:spacing w:line="360" w:lineRule="auto"/>
        <w:jc w:val="center"/>
        <w:rPr>
          <w:rFonts w:ascii="宋体" w:hAnsi="宋体"/>
          <w:color w:val="auto"/>
          <w:sz w:val="36"/>
          <w:szCs w:val="36"/>
        </w:rPr>
      </w:pPr>
      <w:r>
        <w:rPr>
          <w:rFonts w:hint="eastAsia" w:ascii="宋体" w:hAnsi="宋体"/>
          <w:color w:val="auto"/>
          <w:sz w:val="36"/>
          <w:szCs w:val="36"/>
        </w:rPr>
        <w:t>商 务 偏 离 表</w:t>
      </w:r>
      <w:r>
        <w:rPr>
          <w:rFonts w:hint="eastAsia" w:ascii="宋体"/>
          <w:b/>
          <w:bCs/>
          <w:color w:val="auto"/>
          <w:sz w:val="36"/>
          <w:szCs w:val="36"/>
        </w:rPr>
        <w:t xml:space="preserve"> </w:t>
      </w:r>
    </w:p>
    <w:tbl>
      <w:tblPr>
        <w:tblStyle w:val="28"/>
        <w:tblW w:w="0" w:type="auto"/>
        <w:tblInd w:w="0" w:type="dxa"/>
        <w:tblLayout w:type="fixed"/>
        <w:tblCellMar>
          <w:top w:w="0" w:type="dxa"/>
          <w:left w:w="108" w:type="dxa"/>
          <w:bottom w:w="0" w:type="dxa"/>
          <w:right w:w="108" w:type="dxa"/>
        </w:tblCellMar>
      </w:tblPr>
      <w:tblGrid>
        <w:gridCol w:w="900"/>
        <w:gridCol w:w="1800"/>
        <w:gridCol w:w="2664"/>
        <w:gridCol w:w="2110"/>
        <w:gridCol w:w="2126"/>
      </w:tblGrid>
      <w:tr>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olor w:val="auto"/>
                <w:sz w:val="22"/>
              </w:rPr>
            </w:pPr>
            <w:r>
              <w:rPr>
                <w:rFonts w:ascii="宋体" w:hAnsi="宋体"/>
                <w:color w:val="auto"/>
                <w:sz w:val="22"/>
              </w:rPr>
              <w:t>序 号</w:t>
            </w:r>
          </w:p>
        </w:tc>
        <w:tc>
          <w:tcPr>
            <w:tcW w:w="180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olor w:val="auto"/>
                <w:sz w:val="22"/>
              </w:rPr>
            </w:pPr>
            <w:r>
              <w:rPr>
                <w:rFonts w:ascii="宋体" w:hAnsi="宋体"/>
                <w:color w:val="auto"/>
                <w:sz w:val="22"/>
              </w:rPr>
              <w:t>内   容</w:t>
            </w:r>
          </w:p>
        </w:tc>
        <w:tc>
          <w:tcPr>
            <w:tcW w:w="2664"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olor w:val="auto"/>
                <w:sz w:val="22"/>
              </w:rPr>
            </w:pPr>
            <w:r>
              <w:rPr>
                <w:rFonts w:ascii="宋体" w:hAnsi="宋体"/>
                <w:color w:val="auto"/>
                <w:sz w:val="22"/>
              </w:rPr>
              <w:t>招标文件规范要求</w:t>
            </w:r>
          </w:p>
        </w:tc>
        <w:tc>
          <w:tcPr>
            <w:tcW w:w="211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olor w:val="auto"/>
                <w:sz w:val="22"/>
              </w:rPr>
            </w:pPr>
            <w:r>
              <w:rPr>
                <w:rFonts w:ascii="宋体" w:hAnsi="宋体"/>
                <w:color w:val="auto"/>
                <w:sz w:val="22"/>
              </w:rPr>
              <w:t>投标文件对应规范</w:t>
            </w:r>
          </w:p>
        </w:tc>
        <w:tc>
          <w:tcPr>
            <w:tcW w:w="2126"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olor w:val="auto"/>
                <w:sz w:val="22"/>
              </w:rPr>
            </w:pPr>
            <w:r>
              <w:rPr>
                <w:rFonts w:ascii="宋体" w:hAnsi="宋体"/>
                <w:color w:val="auto"/>
                <w:sz w:val="22"/>
              </w:rPr>
              <w:t>备 注</w:t>
            </w: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r>
      <w:tr>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r>
      <w:tr>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r>
    </w:tbl>
    <w:p>
      <w:pPr>
        <w:spacing w:line="360" w:lineRule="auto"/>
        <w:ind w:left="4620" w:hanging="4620"/>
        <w:jc w:val="left"/>
        <w:rPr>
          <w:rFonts w:ascii="宋体"/>
          <w:b/>
          <w:bCs/>
          <w:color w:val="auto"/>
          <w:sz w:val="24"/>
        </w:rPr>
      </w:pPr>
      <w:r>
        <w:rPr>
          <w:rFonts w:hint="eastAsia" w:ascii="宋体" w:hAnsi="宋体"/>
          <w:color w:val="auto"/>
          <w:sz w:val="22"/>
        </w:rPr>
        <w:t>供应商全称（盖章）：</w:t>
      </w:r>
      <w:r>
        <w:rPr>
          <w:rFonts w:hint="eastAsia" w:ascii="宋体" w:hAnsi="宋体"/>
          <w:color w:val="auto"/>
          <w:sz w:val="22"/>
          <w:u w:val="single"/>
        </w:rPr>
        <w:t xml:space="preserve"> </w:t>
      </w:r>
      <w:r>
        <w:rPr>
          <w:rFonts w:hint="eastAsia" w:ascii="宋体"/>
          <w:b/>
          <w:bCs/>
          <w:color w:val="auto"/>
          <w:sz w:val="24"/>
          <w:u w:val="single"/>
        </w:rPr>
        <w:t xml:space="preserve">                </w:t>
      </w:r>
      <w:r>
        <w:rPr>
          <w:rFonts w:hint="eastAsia" w:ascii="宋体"/>
          <w:b/>
          <w:bCs/>
          <w:color w:val="auto"/>
          <w:sz w:val="32"/>
          <w:szCs w:val="32"/>
          <w:u w:val="single"/>
        </w:rPr>
        <w:t xml:space="preserve"> </w:t>
      </w:r>
    </w:p>
    <w:p>
      <w:pPr>
        <w:autoSpaceDE w:val="0"/>
        <w:autoSpaceDN w:val="0"/>
        <w:adjustRightInd w:val="0"/>
        <w:spacing w:line="440" w:lineRule="atLeast"/>
        <w:rPr>
          <w:rFonts w:ascii="宋体" w:hAnsi="宋体" w:cs="仿宋_GB2312"/>
          <w:b/>
          <w:bCs/>
          <w:color w:val="auto"/>
          <w:sz w:val="32"/>
          <w:szCs w:val="32"/>
        </w:rPr>
      </w:pPr>
      <w:r>
        <w:rPr>
          <w:rFonts w:hint="eastAsia" w:ascii="宋体" w:hAnsi="宋体" w:cs="仿宋_GB2312"/>
          <w:b/>
          <w:bCs/>
          <w:color w:val="auto"/>
          <w:sz w:val="32"/>
          <w:szCs w:val="32"/>
        </w:rPr>
        <w:t>附件</w:t>
      </w:r>
      <w:r>
        <w:rPr>
          <w:rFonts w:hint="eastAsia" w:ascii="宋体" w:hAnsi="宋体"/>
          <w:b/>
          <w:color w:val="auto"/>
          <w:sz w:val="32"/>
          <w:szCs w:val="32"/>
          <w:lang w:val="zh-CN"/>
        </w:rPr>
        <w:t>十</w:t>
      </w:r>
      <w:r>
        <w:rPr>
          <w:rFonts w:hint="eastAsia" w:ascii="宋体" w:hAnsi="宋体"/>
          <w:b/>
          <w:color w:val="auto"/>
          <w:sz w:val="32"/>
          <w:szCs w:val="32"/>
        </w:rPr>
        <w:t>（</w:t>
      </w:r>
      <w:r>
        <w:rPr>
          <w:rFonts w:hint="eastAsia" w:ascii="宋体" w:hAnsi="宋体"/>
          <w:b/>
          <w:color w:val="auto"/>
          <w:sz w:val="32"/>
          <w:szCs w:val="32"/>
          <w:lang w:val="zh-CN"/>
        </w:rPr>
        <w:t>二</w:t>
      </w:r>
      <w:r>
        <w:rPr>
          <w:rFonts w:hint="eastAsia" w:ascii="宋体" w:hAnsi="宋体"/>
          <w:b/>
          <w:color w:val="auto"/>
          <w:sz w:val="32"/>
          <w:szCs w:val="32"/>
        </w:rPr>
        <w:t>）</w:t>
      </w:r>
    </w:p>
    <w:p>
      <w:pPr>
        <w:spacing w:line="360" w:lineRule="auto"/>
        <w:jc w:val="center"/>
        <w:rPr>
          <w:rFonts w:ascii="宋体" w:hAnsi="宋体"/>
          <w:color w:val="auto"/>
          <w:sz w:val="36"/>
          <w:szCs w:val="36"/>
        </w:rPr>
      </w:pPr>
      <w:r>
        <w:rPr>
          <w:rFonts w:hint="eastAsia" w:ascii="宋体" w:hAnsi="宋体"/>
          <w:color w:val="auto"/>
          <w:sz w:val="36"/>
          <w:szCs w:val="36"/>
        </w:rPr>
        <w:t>技术偏离表</w:t>
      </w:r>
    </w:p>
    <w:tbl>
      <w:tblPr>
        <w:tblStyle w:val="28"/>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olor w:val="auto"/>
                <w:sz w:val="22"/>
              </w:rPr>
            </w:pPr>
            <w:r>
              <w:rPr>
                <w:rFonts w:ascii="宋体" w:hAnsi="宋体"/>
                <w:color w:val="auto"/>
                <w:sz w:val="22"/>
              </w:rPr>
              <w:t>序 号</w:t>
            </w:r>
          </w:p>
        </w:tc>
        <w:tc>
          <w:tcPr>
            <w:tcW w:w="180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olor w:val="auto"/>
                <w:sz w:val="22"/>
              </w:rPr>
            </w:pPr>
            <w:r>
              <w:rPr>
                <w:rFonts w:ascii="宋体" w:hAnsi="宋体"/>
                <w:color w:val="auto"/>
                <w:sz w:val="22"/>
              </w:rPr>
              <w:t>内     容</w:t>
            </w:r>
          </w:p>
        </w:tc>
        <w:tc>
          <w:tcPr>
            <w:tcW w:w="230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olor w:val="auto"/>
                <w:sz w:val="22"/>
              </w:rPr>
            </w:pPr>
            <w:r>
              <w:rPr>
                <w:rFonts w:ascii="宋体" w:hAnsi="宋体"/>
                <w:color w:val="auto"/>
                <w:sz w:val="22"/>
              </w:rPr>
              <w:t>招标文件规范要求</w:t>
            </w:r>
          </w:p>
        </w:tc>
        <w:tc>
          <w:tcPr>
            <w:tcW w:w="200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olor w:val="auto"/>
                <w:sz w:val="22"/>
              </w:rPr>
            </w:pPr>
            <w:r>
              <w:rPr>
                <w:rFonts w:ascii="宋体" w:hAnsi="宋体"/>
                <w:color w:val="auto"/>
                <w:sz w:val="22"/>
              </w:rPr>
              <w:t>投标文件对应规范</w:t>
            </w:r>
          </w:p>
        </w:tc>
        <w:tc>
          <w:tcPr>
            <w:tcW w:w="280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olor w:val="auto"/>
                <w:sz w:val="22"/>
              </w:rPr>
            </w:pPr>
            <w:r>
              <w:rPr>
                <w:rFonts w:ascii="宋体" w:hAnsi="宋体"/>
                <w:color w:val="auto"/>
                <w:sz w:val="22"/>
              </w:rPr>
              <w:t>备 注</w:t>
            </w: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color w:val="auto"/>
                <w:sz w:val="24"/>
              </w:rPr>
            </w:pPr>
          </w:p>
        </w:tc>
      </w:tr>
    </w:tbl>
    <w:p>
      <w:pPr>
        <w:pStyle w:val="15"/>
        <w:adjustRightInd w:val="0"/>
        <w:snapToGrid w:val="0"/>
        <w:spacing w:line="400" w:lineRule="exact"/>
        <w:rPr>
          <w:b/>
          <w:bCs/>
          <w:color w:val="auto"/>
          <w:sz w:val="24"/>
          <w:szCs w:val="24"/>
          <w:u w:val="single"/>
        </w:rPr>
      </w:pPr>
      <w:r>
        <w:rPr>
          <w:rFonts w:hint="eastAsia" w:hAnsi="宋体"/>
          <w:color w:val="auto"/>
          <w:sz w:val="22"/>
        </w:rPr>
        <w:t xml:space="preserve">供应商全称（盖章）： </w:t>
      </w:r>
      <w:r>
        <w:rPr>
          <w:rFonts w:hint="eastAsia"/>
          <w:b/>
          <w:bCs/>
          <w:color w:val="auto"/>
          <w:sz w:val="24"/>
          <w:szCs w:val="24"/>
          <w:u w:val="single"/>
        </w:rPr>
        <w:t xml:space="preserve">    </w:t>
      </w:r>
    </w:p>
    <w:p>
      <w:pPr>
        <w:pStyle w:val="15"/>
        <w:adjustRightInd w:val="0"/>
        <w:snapToGrid w:val="0"/>
        <w:spacing w:line="400" w:lineRule="exact"/>
        <w:rPr>
          <w:rFonts w:hAnsi="宋体"/>
          <w:b/>
          <w:color w:val="auto"/>
          <w:sz w:val="22"/>
          <w:szCs w:val="22"/>
          <w:u w:val="single"/>
        </w:rPr>
      </w:pPr>
    </w:p>
    <w:p>
      <w:pPr>
        <w:pStyle w:val="15"/>
        <w:adjustRightInd w:val="0"/>
        <w:snapToGrid w:val="0"/>
        <w:spacing w:line="400" w:lineRule="exact"/>
        <w:rPr>
          <w:b/>
          <w:bCs/>
          <w:color w:val="auto"/>
          <w:sz w:val="22"/>
          <w:szCs w:val="22"/>
        </w:rPr>
      </w:pPr>
      <w:r>
        <w:rPr>
          <w:rFonts w:hint="eastAsia" w:hAnsi="宋体"/>
          <w:b/>
          <w:color w:val="auto"/>
          <w:sz w:val="22"/>
          <w:szCs w:val="22"/>
        </w:rPr>
        <w:t>▲不提供此表格的将视为没有实质性响应招标文件。</w:t>
      </w:r>
    </w:p>
    <w:p>
      <w:pPr>
        <w:widowControl/>
        <w:jc w:val="left"/>
        <w:rPr>
          <w:rFonts w:ascii="宋体" w:hAnsi="宋体" w:cs="仿宋_GB2312"/>
          <w:color w:val="auto"/>
          <w:sz w:val="32"/>
          <w:szCs w:val="32"/>
        </w:rPr>
        <w:sectPr>
          <w:footerReference r:id="rId9" w:type="default"/>
          <w:pgSz w:w="11906" w:h="16838"/>
          <w:pgMar w:top="1440" w:right="1106" w:bottom="1440" w:left="1622" w:header="720" w:footer="720" w:gutter="0"/>
          <w:cols w:space="720" w:num="1"/>
          <w:docGrid w:type="lines" w:linePitch="312" w:charSpace="0"/>
        </w:sectPr>
      </w:pPr>
    </w:p>
    <w:p>
      <w:pPr>
        <w:spacing w:line="440" w:lineRule="exact"/>
        <w:jc w:val="left"/>
        <w:rPr>
          <w:rFonts w:ascii="宋体" w:hAnsi="宋体"/>
          <w:b/>
          <w:color w:val="auto"/>
          <w:sz w:val="32"/>
          <w:szCs w:val="32"/>
        </w:rPr>
      </w:pPr>
      <w:r>
        <w:rPr>
          <w:rFonts w:hint="eastAsia" w:ascii="宋体" w:hAnsi="宋体"/>
          <w:b/>
          <w:color w:val="auto"/>
          <w:sz w:val="32"/>
          <w:szCs w:val="32"/>
        </w:rPr>
        <w:t>附件十一</w:t>
      </w:r>
    </w:p>
    <w:p>
      <w:pPr>
        <w:pStyle w:val="15"/>
        <w:spacing w:line="440" w:lineRule="atLeast"/>
        <w:ind w:firstLine="1440" w:firstLineChars="400"/>
        <w:rPr>
          <w:rFonts w:hAnsi="Times New Roman"/>
          <w:color w:val="auto"/>
          <w:sz w:val="36"/>
          <w:szCs w:val="36"/>
        </w:rPr>
      </w:pPr>
    </w:p>
    <w:p>
      <w:pPr>
        <w:spacing w:line="360" w:lineRule="auto"/>
        <w:jc w:val="center"/>
        <w:rPr>
          <w:rFonts w:ascii="宋体" w:hAnsi="宋体" w:eastAsia="宋体" w:cs="Times New Roman"/>
          <w:color w:val="auto"/>
          <w:sz w:val="36"/>
          <w:szCs w:val="36"/>
          <w:lang w:val="zh-CN"/>
        </w:rPr>
      </w:pPr>
      <w:r>
        <w:rPr>
          <w:rFonts w:hint="eastAsia" w:ascii="宋体" w:hAnsi="宋体" w:eastAsia="宋体" w:cs="Times New Roman"/>
          <w:color w:val="auto"/>
          <w:sz w:val="36"/>
          <w:szCs w:val="36"/>
          <w:lang w:val="zh-CN"/>
        </w:rPr>
        <w:t>投 标 承 诺 书</w:t>
      </w:r>
    </w:p>
    <w:p>
      <w:pPr>
        <w:tabs>
          <w:tab w:val="left" w:pos="3420"/>
        </w:tabs>
        <w:rPr>
          <w:color w:val="auto"/>
        </w:rPr>
      </w:pPr>
      <w:r>
        <w:rPr>
          <w:color w:val="auto"/>
        </w:rPr>
        <w:tab/>
      </w:r>
    </w:p>
    <w:p>
      <w:pPr>
        <w:adjustRightInd w:val="0"/>
        <w:snapToGrid w:val="0"/>
        <w:spacing w:line="480" w:lineRule="auto"/>
        <w:rPr>
          <w:color w:val="auto"/>
          <w:sz w:val="24"/>
        </w:rPr>
      </w:pPr>
    </w:p>
    <w:p>
      <w:pPr>
        <w:adjustRightInd w:val="0"/>
        <w:snapToGrid w:val="0"/>
        <w:spacing w:line="480" w:lineRule="auto"/>
        <w:rPr>
          <w:color w:val="auto"/>
          <w:sz w:val="24"/>
        </w:rPr>
      </w:pPr>
      <w:r>
        <w:rPr>
          <w:rFonts w:hint="eastAsia"/>
          <w:color w:val="auto"/>
          <w:sz w:val="24"/>
        </w:rPr>
        <w:t>泰顺县自然资源和规划局：</w:t>
      </w:r>
    </w:p>
    <w:p>
      <w:pPr>
        <w:tabs>
          <w:tab w:val="left" w:pos="0"/>
        </w:tabs>
        <w:spacing w:line="480" w:lineRule="auto"/>
        <w:ind w:left="-2" w:leftChars="-1"/>
        <w:rPr>
          <w:color w:val="auto"/>
          <w:sz w:val="24"/>
        </w:rPr>
      </w:pPr>
      <w:r>
        <w:rPr>
          <w:rFonts w:hint="eastAsia"/>
          <w:color w:val="auto"/>
          <w:sz w:val="24"/>
        </w:rPr>
        <w:tab/>
      </w:r>
      <w:r>
        <w:rPr>
          <w:rFonts w:hint="eastAsia"/>
          <w:color w:val="auto"/>
          <w:sz w:val="24"/>
        </w:rPr>
        <w:tab/>
      </w:r>
      <w:r>
        <w:rPr>
          <w:rFonts w:hint="eastAsia"/>
          <w:color w:val="auto"/>
          <w:sz w:val="24"/>
        </w:rPr>
        <w:t>我公司详细研究了</w:t>
      </w:r>
      <w:r>
        <w:rPr>
          <w:bCs/>
          <w:color w:val="auto"/>
          <w:sz w:val="24"/>
          <w:u w:val="single"/>
        </w:rPr>
        <w:t xml:space="preserve">                    </w:t>
      </w:r>
      <w:r>
        <w:rPr>
          <w:rFonts w:hint="eastAsia"/>
          <w:color w:val="auto"/>
          <w:sz w:val="24"/>
        </w:rPr>
        <w:t>工程的招标文件及有关附件，并进行了周密的勘察。现按招标文件规定，根据本公司综合实力和本工程的实际情况，编制工程投标书，愿意以总承包的方式承担本工程的施工任务，由</w:t>
      </w:r>
      <w:r>
        <w:rPr>
          <w:bCs/>
          <w:color w:val="auto"/>
          <w:sz w:val="24"/>
          <w:u w:val="single"/>
        </w:rPr>
        <w:t xml:space="preserve">      </w:t>
      </w:r>
      <w:r>
        <w:rPr>
          <w:rFonts w:hint="eastAsia"/>
          <w:bCs/>
          <w:color w:val="auto"/>
          <w:sz w:val="24"/>
          <w:u w:val="single"/>
        </w:rPr>
        <w:t xml:space="preserve">  </w:t>
      </w:r>
      <w:r>
        <w:rPr>
          <w:bCs/>
          <w:color w:val="auto"/>
          <w:sz w:val="24"/>
          <w:u w:val="single"/>
        </w:rPr>
        <w:t xml:space="preserve">  </w:t>
      </w:r>
      <w:r>
        <w:rPr>
          <w:rFonts w:hint="eastAsia"/>
          <w:color w:val="auto"/>
          <w:sz w:val="24"/>
        </w:rPr>
        <w:t>担任本工程的建造师（我单位建造师的更换须采购单位同意，擅自更换或不到位均属于违约行为，更换或不到位按招标文件规定或承诺处理。），投标工期为</w:t>
      </w:r>
      <w:r>
        <w:rPr>
          <w:bCs/>
          <w:color w:val="auto"/>
          <w:sz w:val="24"/>
          <w:u w:val="single"/>
        </w:rPr>
        <w:t xml:space="preserve">    </w:t>
      </w:r>
      <w:r>
        <w:rPr>
          <w:rFonts w:hint="eastAsia"/>
          <w:color w:val="auto"/>
          <w:sz w:val="24"/>
        </w:rPr>
        <w:t>日历天，并已按要求认真填写了标书有关的内容和必要的说明。如能中标，我公司保证履行标书的承诺（包括质量、文明施工），及时签订并认真履行合同。</w:t>
      </w:r>
    </w:p>
    <w:p>
      <w:pPr>
        <w:spacing w:line="480" w:lineRule="auto"/>
        <w:ind w:firstLine="480" w:firstLineChars="200"/>
        <w:rPr>
          <w:color w:val="auto"/>
          <w:sz w:val="24"/>
        </w:rPr>
      </w:pPr>
    </w:p>
    <w:p>
      <w:pPr>
        <w:spacing w:line="480" w:lineRule="auto"/>
        <w:ind w:firstLine="480" w:firstLineChars="200"/>
        <w:rPr>
          <w:color w:val="auto"/>
          <w:sz w:val="24"/>
        </w:rPr>
      </w:pPr>
    </w:p>
    <w:p>
      <w:pPr>
        <w:tabs>
          <w:tab w:val="left" w:pos="2410"/>
        </w:tabs>
        <w:ind w:right="560" w:firstLine="4080" w:firstLineChars="1700"/>
        <w:rPr>
          <w:rFonts w:eastAsia="宋体" w:cs="Times New Roman"/>
          <w:color w:val="auto"/>
          <w:sz w:val="24"/>
        </w:rPr>
      </w:pPr>
    </w:p>
    <w:p>
      <w:pPr>
        <w:tabs>
          <w:tab w:val="left" w:pos="2410"/>
        </w:tabs>
        <w:ind w:right="560" w:firstLine="4080" w:firstLineChars="1700"/>
        <w:rPr>
          <w:rFonts w:eastAsia="宋体" w:cs="Times New Roman"/>
          <w:color w:val="auto"/>
          <w:sz w:val="24"/>
        </w:rPr>
      </w:pPr>
      <w:r>
        <w:rPr>
          <w:rFonts w:hint="eastAsia" w:eastAsia="宋体" w:cs="Times New Roman"/>
          <w:color w:val="auto"/>
          <w:sz w:val="24"/>
        </w:rPr>
        <w:t>投 标 单 位：（盖章）</w:t>
      </w:r>
    </w:p>
    <w:p>
      <w:pPr>
        <w:tabs>
          <w:tab w:val="left" w:pos="2410"/>
        </w:tabs>
        <w:ind w:right="560" w:firstLine="4080" w:firstLineChars="1700"/>
        <w:rPr>
          <w:rFonts w:eastAsia="宋体" w:cs="Times New Roman"/>
          <w:color w:val="auto"/>
          <w:sz w:val="24"/>
        </w:rPr>
      </w:pPr>
    </w:p>
    <w:p>
      <w:pPr>
        <w:tabs>
          <w:tab w:val="left" w:pos="2410"/>
        </w:tabs>
        <w:ind w:right="560" w:firstLine="4080" w:firstLineChars="1700"/>
        <w:rPr>
          <w:rFonts w:eastAsia="宋体" w:cs="Times New Roman"/>
          <w:color w:val="auto"/>
          <w:sz w:val="24"/>
        </w:rPr>
      </w:pPr>
      <w:r>
        <w:rPr>
          <w:rFonts w:hint="eastAsia" w:eastAsia="宋体" w:cs="Times New Roman"/>
          <w:color w:val="auto"/>
          <w:sz w:val="24"/>
        </w:rPr>
        <w:t>法定代表人或授权委托人：（签字或盖章）</w:t>
      </w:r>
    </w:p>
    <w:p>
      <w:pPr>
        <w:tabs>
          <w:tab w:val="left" w:pos="2410"/>
        </w:tabs>
        <w:ind w:right="560" w:firstLine="4080" w:firstLineChars="1700"/>
        <w:rPr>
          <w:rFonts w:eastAsia="宋体" w:cs="Times New Roman"/>
          <w:color w:val="auto"/>
          <w:sz w:val="24"/>
        </w:rPr>
      </w:pPr>
    </w:p>
    <w:p>
      <w:pPr>
        <w:tabs>
          <w:tab w:val="left" w:pos="2410"/>
        </w:tabs>
        <w:ind w:right="560" w:firstLine="4080" w:firstLineChars="1700"/>
        <w:rPr>
          <w:rFonts w:eastAsia="宋体" w:cs="Times New Roman"/>
          <w:color w:val="auto"/>
          <w:sz w:val="24"/>
        </w:rPr>
      </w:pPr>
      <w:r>
        <w:rPr>
          <w:rFonts w:hint="eastAsia" w:eastAsia="宋体" w:cs="Times New Roman"/>
          <w:color w:val="auto"/>
          <w:sz w:val="24"/>
        </w:rPr>
        <w:t>日期：    年    月   日</w:t>
      </w:r>
    </w:p>
    <w:p>
      <w:pPr>
        <w:widowControl/>
        <w:spacing w:line="360" w:lineRule="auto"/>
        <w:jc w:val="left"/>
        <w:rPr>
          <w:rFonts w:ascii="宋体" w:hAnsi="宋体"/>
          <w:color w:val="auto"/>
          <w:szCs w:val="21"/>
        </w:rPr>
      </w:pPr>
    </w:p>
    <w:p>
      <w:pPr>
        <w:rPr>
          <w:rFonts w:ascii="宋体" w:hAnsi="宋体"/>
          <w:color w:val="auto"/>
          <w:szCs w:val="21"/>
        </w:rPr>
      </w:pPr>
    </w:p>
    <w:p>
      <w:pPr>
        <w:rPr>
          <w:color w:val="auto"/>
          <w:sz w:val="36"/>
          <w:szCs w:val="36"/>
        </w:rPr>
      </w:pPr>
      <w:r>
        <w:rPr>
          <w:rFonts w:hint="eastAsia"/>
          <w:color w:val="auto"/>
          <w:sz w:val="36"/>
          <w:szCs w:val="36"/>
        </w:rPr>
        <w:br w:type="page"/>
      </w:r>
    </w:p>
    <w:p>
      <w:pPr>
        <w:rPr>
          <w:color w:val="auto"/>
          <w:sz w:val="36"/>
          <w:szCs w:val="36"/>
        </w:rPr>
      </w:pPr>
      <w:r>
        <w:rPr>
          <w:rFonts w:hint="eastAsia" w:ascii="宋体" w:hAnsi="宋体"/>
          <w:b/>
          <w:bCs/>
          <w:color w:val="auto"/>
          <w:sz w:val="32"/>
          <w:szCs w:val="32"/>
        </w:rPr>
        <w:t>附件十</w:t>
      </w:r>
      <w:r>
        <w:rPr>
          <w:rFonts w:hint="eastAsia" w:hAnsi="宋体"/>
          <w:b/>
          <w:bCs/>
          <w:color w:val="auto"/>
          <w:sz w:val="32"/>
          <w:szCs w:val="32"/>
        </w:rPr>
        <w:t>二</w:t>
      </w:r>
    </w:p>
    <w:p>
      <w:pPr>
        <w:pStyle w:val="15"/>
        <w:spacing w:line="440" w:lineRule="atLeast"/>
        <w:jc w:val="center"/>
        <w:rPr>
          <w:rFonts w:hAnsi="Times New Roman"/>
          <w:color w:val="auto"/>
          <w:sz w:val="36"/>
          <w:szCs w:val="36"/>
        </w:rPr>
      </w:pPr>
    </w:p>
    <w:p>
      <w:pPr>
        <w:pStyle w:val="15"/>
        <w:spacing w:line="440" w:lineRule="atLeast"/>
        <w:jc w:val="center"/>
        <w:rPr>
          <w:rFonts w:hAnsi="Times New Roman"/>
          <w:color w:val="auto"/>
          <w:sz w:val="36"/>
          <w:szCs w:val="36"/>
        </w:rPr>
      </w:pPr>
    </w:p>
    <w:p>
      <w:pPr>
        <w:pStyle w:val="15"/>
        <w:spacing w:line="440" w:lineRule="atLeast"/>
        <w:jc w:val="center"/>
        <w:rPr>
          <w:rFonts w:hAnsi="Times New Roman"/>
          <w:color w:val="auto"/>
          <w:sz w:val="36"/>
          <w:szCs w:val="36"/>
        </w:rPr>
      </w:pPr>
      <w:r>
        <w:rPr>
          <w:rFonts w:hint="eastAsia" w:hAnsi="Times New Roman"/>
          <w:color w:val="auto"/>
          <w:sz w:val="36"/>
          <w:szCs w:val="36"/>
        </w:rPr>
        <w:t>投标供应商认为有必要提供的其他材料或证明</w:t>
      </w:r>
    </w:p>
    <w:p>
      <w:pPr>
        <w:rPr>
          <w:color w:val="auto"/>
        </w:rPr>
      </w:pPr>
    </w:p>
    <w:p>
      <w:pPr>
        <w:rPr>
          <w:color w:val="auto"/>
        </w:rPr>
      </w:pPr>
    </w:p>
    <w:p>
      <w:pPr>
        <w:pStyle w:val="15"/>
        <w:adjustRightInd w:val="0"/>
        <w:snapToGrid w:val="0"/>
        <w:spacing w:line="400" w:lineRule="exact"/>
        <w:rPr>
          <w:rFonts w:ascii="Times New Roman" w:hAnsi="宋体"/>
          <w:color w:val="auto"/>
          <w:sz w:val="22"/>
          <w:szCs w:val="22"/>
        </w:rPr>
      </w:pPr>
      <w:r>
        <w:rPr>
          <w:rFonts w:ascii="Times New Roman" w:hAnsi="宋体"/>
          <w:color w:val="auto"/>
          <w:sz w:val="22"/>
          <w:szCs w:val="22"/>
        </w:rPr>
        <w:t xml:space="preserve"> </w:t>
      </w:r>
    </w:p>
    <w:p>
      <w:pPr>
        <w:autoSpaceDE w:val="0"/>
        <w:autoSpaceDN w:val="0"/>
        <w:adjustRightInd w:val="0"/>
        <w:snapToGrid w:val="0"/>
        <w:spacing w:line="360" w:lineRule="atLeast"/>
        <w:jc w:val="center"/>
        <w:textAlignment w:val="bottom"/>
        <w:rPr>
          <w:rFonts w:hAnsi="宋体" w:cs="宋体"/>
          <w:b/>
          <w:bCs/>
          <w:color w:val="auto"/>
          <w:sz w:val="24"/>
        </w:rPr>
      </w:pPr>
      <w:r>
        <w:rPr>
          <w:rFonts w:hAnsi="宋体"/>
          <w:b/>
          <w:bCs/>
          <w:color w:val="auto"/>
          <w:sz w:val="24"/>
        </w:rPr>
        <w:t xml:space="preserve"> </w:t>
      </w:r>
    </w:p>
    <w:p>
      <w:pPr>
        <w:widowControl/>
        <w:jc w:val="left"/>
        <w:rPr>
          <w:rFonts w:ascii="宋体" w:hAnsi="宋体"/>
          <w:b/>
          <w:bCs/>
          <w:color w:val="auto"/>
          <w:sz w:val="32"/>
          <w:szCs w:val="32"/>
        </w:rPr>
        <w:sectPr>
          <w:headerReference r:id="rId10" w:type="default"/>
          <w:footerReference r:id="rId11" w:type="default"/>
          <w:pgSz w:w="11907" w:h="16840"/>
          <w:pgMar w:top="1440" w:right="1106" w:bottom="1440" w:left="1157" w:header="720" w:footer="720" w:gutter="0"/>
          <w:cols w:space="720" w:num="1"/>
          <w:docGrid w:type="lines" w:linePitch="312" w:charSpace="0"/>
        </w:sectPr>
      </w:pPr>
    </w:p>
    <w:p>
      <w:pPr>
        <w:spacing w:line="440" w:lineRule="exact"/>
        <w:jc w:val="left"/>
        <w:rPr>
          <w:rFonts w:ascii="宋体" w:hAnsi="宋体" w:eastAsia="宋体"/>
          <w:b/>
          <w:bCs/>
          <w:color w:val="auto"/>
          <w:sz w:val="32"/>
          <w:szCs w:val="32"/>
        </w:rPr>
      </w:pPr>
      <w:r>
        <w:rPr>
          <w:rFonts w:hint="eastAsia" w:ascii="宋体" w:hAnsi="宋体"/>
          <w:b/>
          <w:bCs/>
          <w:color w:val="auto"/>
          <w:sz w:val="32"/>
          <w:szCs w:val="32"/>
        </w:rPr>
        <w:t>附件十二</w:t>
      </w:r>
    </w:p>
    <w:p>
      <w:pPr>
        <w:spacing w:line="440" w:lineRule="exact"/>
        <w:jc w:val="center"/>
        <w:rPr>
          <w:rFonts w:ascii="宋体" w:hAnsi="宋体"/>
          <w:b/>
          <w:bCs/>
          <w:color w:val="auto"/>
          <w:sz w:val="32"/>
          <w:szCs w:val="32"/>
        </w:rPr>
      </w:pPr>
      <w:r>
        <w:rPr>
          <w:rFonts w:hint="eastAsia" w:ascii="宋体" w:hAnsi="宋体"/>
          <w:b/>
          <w:bCs/>
          <w:color w:val="auto"/>
          <w:sz w:val="32"/>
          <w:szCs w:val="32"/>
        </w:rPr>
        <w:t>评分对应表（参考）</w:t>
      </w:r>
      <w:r>
        <w:rPr>
          <w:rFonts w:hint="eastAsia" w:ascii="宋体" w:hAnsi="宋体"/>
          <w:b/>
          <w:bCs/>
          <w:color w:val="auto"/>
          <w:szCs w:val="21"/>
        </w:rPr>
        <w:t>置于目录处</w:t>
      </w:r>
    </w:p>
    <w:p>
      <w:pPr>
        <w:spacing w:line="440" w:lineRule="exact"/>
        <w:ind w:firstLine="360"/>
        <w:jc w:val="right"/>
        <w:rPr>
          <w:rFonts w:ascii="宋体" w:hAnsi="宋体"/>
          <w:b/>
          <w:bCs/>
          <w:color w:val="auto"/>
          <w:sz w:val="24"/>
        </w:rPr>
      </w:pPr>
      <w:r>
        <w:rPr>
          <w:rFonts w:hint="eastAsia" w:ascii="宋体" w:hAnsi="宋体"/>
          <w:b/>
          <w:bCs/>
          <w:color w:val="auto"/>
          <w:sz w:val="24"/>
        </w:rPr>
        <w:t xml:space="preserve">                                  </w:t>
      </w:r>
    </w:p>
    <w:p>
      <w:pPr>
        <w:spacing w:line="440" w:lineRule="exact"/>
        <w:rPr>
          <w:rFonts w:ascii="宋体" w:hAnsi="宋体"/>
          <w:b/>
          <w:bCs/>
          <w:color w:val="auto"/>
          <w:sz w:val="24"/>
        </w:rPr>
      </w:pPr>
      <w:r>
        <w:rPr>
          <w:rFonts w:hint="eastAsia" w:ascii="宋体" w:hAnsi="宋体"/>
          <w:b/>
          <w:bCs/>
          <w:color w:val="auto"/>
          <w:sz w:val="24"/>
        </w:rPr>
        <w:t>供应商名称：                                     项目编号：</w:t>
      </w:r>
    </w:p>
    <w:tbl>
      <w:tblPr>
        <w:tblStyle w:val="28"/>
        <w:tblW w:w="10801" w:type="dxa"/>
        <w:jc w:val="center"/>
        <w:tblLayout w:type="fixed"/>
        <w:tblCellMar>
          <w:top w:w="0" w:type="dxa"/>
          <w:left w:w="108" w:type="dxa"/>
          <w:bottom w:w="0" w:type="dxa"/>
          <w:right w:w="108" w:type="dxa"/>
        </w:tblCellMar>
      </w:tblPr>
      <w:tblGrid>
        <w:gridCol w:w="832"/>
        <w:gridCol w:w="1828"/>
        <w:gridCol w:w="4052"/>
        <w:gridCol w:w="1511"/>
        <w:gridCol w:w="2578"/>
      </w:tblGrid>
      <w:tr>
        <w:tblPrEx>
          <w:tblCellMar>
            <w:top w:w="0" w:type="dxa"/>
            <w:left w:w="108" w:type="dxa"/>
            <w:bottom w:w="0" w:type="dxa"/>
            <w:right w:w="108" w:type="dxa"/>
          </w:tblCellMar>
        </w:tblPrEx>
        <w:trPr>
          <w:trHeight w:val="46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pStyle w:val="23"/>
              <w:ind w:firstLine="0" w:firstLineChars="0"/>
              <w:jc w:val="center"/>
              <w:rPr>
                <w:rFonts w:ascii="宋体" w:hAnsi="宋体"/>
                <w:b/>
                <w:bCs/>
                <w:color w:val="auto"/>
                <w:sz w:val="22"/>
                <w:szCs w:val="22"/>
              </w:rPr>
            </w:pPr>
            <w:r>
              <w:rPr>
                <w:rFonts w:ascii="宋体" w:hAnsi="宋体"/>
                <w:b/>
                <w:bCs/>
                <w:color w:val="auto"/>
                <w:sz w:val="22"/>
                <w:szCs w:val="22"/>
              </w:rPr>
              <w:t>序号</w:t>
            </w:r>
          </w:p>
        </w:tc>
        <w:tc>
          <w:tcPr>
            <w:tcW w:w="1828" w:type="dxa"/>
            <w:tcBorders>
              <w:top w:val="single" w:color="000000" w:sz="4" w:space="0"/>
              <w:left w:val="nil"/>
              <w:bottom w:val="single" w:color="000000" w:sz="4" w:space="0"/>
              <w:right w:val="single" w:color="000000" w:sz="4" w:space="0"/>
            </w:tcBorders>
            <w:vAlign w:val="center"/>
          </w:tcPr>
          <w:p>
            <w:pPr>
              <w:pStyle w:val="23"/>
              <w:ind w:firstLine="0" w:firstLineChars="0"/>
              <w:jc w:val="center"/>
              <w:rPr>
                <w:rFonts w:ascii="宋体" w:hAnsi="宋体"/>
                <w:b/>
                <w:bCs/>
                <w:color w:val="auto"/>
                <w:sz w:val="22"/>
                <w:szCs w:val="22"/>
              </w:rPr>
            </w:pPr>
            <w:r>
              <w:rPr>
                <w:rFonts w:ascii="宋体" w:hAnsi="宋体"/>
                <w:b/>
                <w:bCs/>
                <w:color w:val="auto"/>
                <w:sz w:val="22"/>
                <w:szCs w:val="22"/>
              </w:rPr>
              <w:t>评审内容</w:t>
            </w:r>
          </w:p>
        </w:tc>
        <w:tc>
          <w:tcPr>
            <w:tcW w:w="4052" w:type="dxa"/>
            <w:tcBorders>
              <w:top w:val="single" w:color="000000" w:sz="4" w:space="0"/>
              <w:left w:val="nil"/>
              <w:bottom w:val="single" w:color="000000" w:sz="4" w:space="0"/>
              <w:right w:val="single" w:color="000000" w:sz="4" w:space="0"/>
            </w:tcBorders>
            <w:vAlign w:val="center"/>
          </w:tcPr>
          <w:p>
            <w:pPr>
              <w:pStyle w:val="23"/>
              <w:ind w:firstLine="0" w:firstLineChars="0"/>
              <w:jc w:val="center"/>
              <w:rPr>
                <w:rFonts w:ascii="宋体" w:hAnsi="宋体"/>
                <w:b/>
                <w:bCs/>
                <w:color w:val="auto"/>
                <w:sz w:val="22"/>
                <w:szCs w:val="22"/>
              </w:rPr>
            </w:pPr>
            <w:r>
              <w:rPr>
                <w:rFonts w:ascii="宋体" w:hAnsi="宋体"/>
                <w:b/>
                <w:bCs/>
                <w:color w:val="auto"/>
                <w:sz w:val="22"/>
                <w:szCs w:val="22"/>
              </w:rPr>
              <w:t>评分标准</w:t>
            </w:r>
          </w:p>
        </w:tc>
        <w:tc>
          <w:tcPr>
            <w:tcW w:w="1511" w:type="dxa"/>
            <w:tcBorders>
              <w:top w:val="single" w:color="000000" w:sz="4" w:space="0"/>
              <w:left w:val="nil"/>
              <w:bottom w:val="single" w:color="000000" w:sz="4" w:space="0"/>
              <w:right w:val="single" w:color="000000" w:sz="4" w:space="0"/>
            </w:tcBorders>
            <w:vAlign w:val="center"/>
          </w:tcPr>
          <w:p>
            <w:pPr>
              <w:pStyle w:val="23"/>
              <w:ind w:firstLine="0" w:firstLineChars="0"/>
              <w:jc w:val="center"/>
              <w:rPr>
                <w:rFonts w:ascii="宋体" w:hAnsi="宋体"/>
                <w:b/>
                <w:bCs/>
                <w:color w:val="auto"/>
                <w:sz w:val="22"/>
                <w:szCs w:val="22"/>
              </w:rPr>
            </w:pPr>
            <w:r>
              <w:rPr>
                <w:rFonts w:hint="eastAsia" w:ascii="宋体" w:hAnsi="宋体"/>
                <w:b/>
                <w:bCs/>
                <w:color w:val="auto"/>
                <w:sz w:val="22"/>
                <w:szCs w:val="22"/>
              </w:rPr>
              <w:t>自评分</w:t>
            </w:r>
          </w:p>
        </w:tc>
        <w:tc>
          <w:tcPr>
            <w:tcW w:w="2578" w:type="dxa"/>
            <w:tcBorders>
              <w:top w:val="single" w:color="000000" w:sz="4" w:space="0"/>
              <w:left w:val="nil"/>
              <w:bottom w:val="single" w:color="000000" w:sz="4" w:space="0"/>
              <w:right w:val="single" w:color="000000" w:sz="4" w:space="0"/>
            </w:tcBorders>
            <w:vAlign w:val="center"/>
          </w:tcPr>
          <w:p>
            <w:pPr>
              <w:pStyle w:val="23"/>
              <w:ind w:firstLine="0" w:firstLineChars="0"/>
              <w:jc w:val="center"/>
              <w:rPr>
                <w:rFonts w:ascii="宋体" w:hAnsi="宋体"/>
                <w:b/>
                <w:bCs/>
                <w:color w:val="auto"/>
                <w:sz w:val="22"/>
                <w:szCs w:val="22"/>
              </w:rPr>
            </w:pPr>
            <w:r>
              <w:rPr>
                <w:rFonts w:ascii="宋体" w:hAnsi="宋体"/>
                <w:b/>
                <w:bCs/>
                <w:color w:val="auto"/>
                <w:sz w:val="22"/>
                <w:szCs w:val="22"/>
              </w:rPr>
              <w:t>页码</w:t>
            </w:r>
          </w:p>
        </w:tc>
      </w:tr>
      <w:tr>
        <w:tblPrEx>
          <w:tblCellMar>
            <w:top w:w="0" w:type="dxa"/>
            <w:left w:w="108" w:type="dxa"/>
            <w:bottom w:w="0" w:type="dxa"/>
            <w:right w:w="108" w:type="dxa"/>
          </w:tblCellMar>
        </w:tblPrEx>
        <w:trPr>
          <w:trHeight w:val="690"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pStyle w:val="23"/>
              <w:ind w:firstLine="0" w:firstLineChars="0"/>
              <w:jc w:val="center"/>
              <w:rPr>
                <w:rFonts w:ascii="宋体" w:hAnsi="宋体"/>
                <w:color w:val="auto"/>
                <w:sz w:val="22"/>
                <w:szCs w:val="22"/>
              </w:rPr>
            </w:pPr>
            <w:r>
              <w:rPr>
                <w:rFonts w:ascii="宋体" w:hAnsi="宋体"/>
                <w:color w:val="auto"/>
                <w:sz w:val="22"/>
                <w:szCs w:val="22"/>
              </w:rPr>
              <w:t>一</w:t>
            </w:r>
          </w:p>
        </w:tc>
        <w:tc>
          <w:tcPr>
            <w:tcW w:w="1828" w:type="dxa"/>
            <w:tcBorders>
              <w:top w:val="single" w:color="000000" w:sz="4" w:space="0"/>
              <w:left w:val="nil"/>
              <w:bottom w:val="single" w:color="000000" w:sz="4" w:space="0"/>
              <w:right w:val="single" w:color="000000" w:sz="4" w:space="0"/>
            </w:tcBorders>
            <w:vAlign w:val="center"/>
          </w:tcPr>
          <w:p>
            <w:pPr>
              <w:pStyle w:val="23"/>
              <w:ind w:firstLine="0" w:firstLineChars="0"/>
              <w:jc w:val="center"/>
              <w:rPr>
                <w:rFonts w:ascii="宋体" w:hAnsi="宋体"/>
                <w:color w:val="auto"/>
                <w:sz w:val="22"/>
                <w:szCs w:val="22"/>
              </w:rPr>
            </w:pPr>
            <w:r>
              <w:rPr>
                <w:rFonts w:ascii="宋体" w:hAnsi="宋体"/>
                <w:color w:val="auto"/>
                <w:sz w:val="22"/>
                <w:szCs w:val="22"/>
              </w:rPr>
              <w:t>技术分</w:t>
            </w:r>
          </w:p>
        </w:tc>
        <w:tc>
          <w:tcPr>
            <w:tcW w:w="4052"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pPr>
              <w:pStyle w:val="23"/>
              <w:ind w:firstLine="0" w:firstLineChars="0"/>
              <w:jc w:val="center"/>
              <w:rPr>
                <w:rFonts w:ascii="宋体" w:hAnsi="宋体"/>
                <w:color w:val="auto"/>
                <w:sz w:val="22"/>
                <w:szCs w:val="22"/>
              </w:rPr>
            </w:pPr>
            <w:r>
              <w:rPr>
                <w:rFonts w:ascii="宋体" w:hAnsi="宋体"/>
                <w:color w:val="auto"/>
                <w:sz w:val="22"/>
              </w:rPr>
              <w:t>详见</w:t>
            </w:r>
            <w:r>
              <w:rPr>
                <w:rFonts w:hint="eastAsia" w:ascii="宋体" w:hAnsi="宋体"/>
                <w:color w:val="auto"/>
                <w:sz w:val="22"/>
              </w:rPr>
              <w:t>投标</w:t>
            </w:r>
            <w:r>
              <w:rPr>
                <w:rFonts w:ascii="宋体" w:hAnsi="宋体"/>
                <w:color w:val="auto"/>
                <w:sz w:val="22"/>
              </w:rPr>
              <w:t>文件第几页</w:t>
            </w:r>
          </w:p>
        </w:tc>
      </w:tr>
      <w:tr>
        <w:tblPrEx>
          <w:tblCellMar>
            <w:top w:w="0" w:type="dxa"/>
            <w:left w:w="108" w:type="dxa"/>
            <w:bottom w:w="0" w:type="dxa"/>
            <w:right w:w="108" w:type="dxa"/>
          </w:tblCellMar>
        </w:tblPrEx>
        <w:trPr>
          <w:cantSplit/>
          <w:trHeight w:val="740"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 w:val="22"/>
              </w:rPr>
            </w:pPr>
            <w:r>
              <w:rPr>
                <w:rFonts w:ascii="宋体" w:hAnsi="宋体"/>
                <w:color w:val="auto"/>
                <w:sz w:val="22"/>
              </w:rPr>
              <w:t>1</w:t>
            </w: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2"/>
              </w:rPr>
            </w:pPr>
          </w:p>
        </w:tc>
        <w:tc>
          <w:tcPr>
            <w:tcW w:w="4052" w:type="dxa"/>
            <w:tcBorders>
              <w:top w:val="single" w:color="000000" w:sz="4" w:space="0"/>
              <w:left w:val="nil"/>
              <w:bottom w:val="nil"/>
              <w:right w:val="single" w:color="000000" w:sz="4" w:space="0"/>
            </w:tcBorders>
            <w:vAlign w:val="center"/>
          </w:tcPr>
          <w:p>
            <w:pPr>
              <w:pStyle w:val="23"/>
              <w:ind w:firstLine="480"/>
              <w:jc w:val="center"/>
              <w:rPr>
                <w:color w:val="auto"/>
              </w:rPr>
            </w:pPr>
          </w:p>
        </w:tc>
        <w:tc>
          <w:tcPr>
            <w:tcW w:w="1511" w:type="dxa"/>
            <w:tcBorders>
              <w:top w:val="single" w:color="000000" w:sz="4" w:space="0"/>
              <w:left w:val="nil"/>
              <w:bottom w:val="nil"/>
              <w:right w:val="single" w:color="000000" w:sz="4" w:space="0"/>
            </w:tcBorders>
            <w:vAlign w:val="center"/>
          </w:tcPr>
          <w:p>
            <w:pPr>
              <w:pStyle w:val="23"/>
              <w:ind w:firstLine="480"/>
              <w:jc w:val="center"/>
              <w:rPr>
                <w:color w:val="auto"/>
              </w:rPr>
            </w:pPr>
          </w:p>
        </w:tc>
        <w:tc>
          <w:tcPr>
            <w:tcW w:w="2578" w:type="dxa"/>
            <w:tcBorders>
              <w:top w:val="single" w:color="000000" w:sz="4" w:space="0"/>
              <w:left w:val="nil"/>
              <w:bottom w:val="nil"/>
              <w:right w:val="single" w:color="000000" w:sz="4" w:space="0"/>
            </w:tcBorders>
            <w:vAlign w:val="center"/>
          </w:tcPr>
          <w:p>
            <w:pPr>
              <w:jc w:val="center"/>
              <w:rPr>
                <w:rFonts w:ascii="宋体" w:hAnsi="宋体"/>
                <w:color w:val="auto"/>
                <w:sz w:val="22"/>
              </w:rPr>
            </w:pPr>
            <w:r>
              <w:rPr>
                <w:rFonts w:ascii="宋体" w:hAnsi="宋体"/>
                <w:color w:val="auto"/>
                <w:sz w:val="22"/>
              </w:rPr>
              <w:t>……</w:t>
            </w:r>
          </w:p>
        </w:tc>
      </w:tr>
      <w:tr>
        <w:tblPrEx>
          <w:tblCellMar>
            <w:top w:w="0" w:type="dxa"/>
            <w:left w:w="108" w:type="dxa"/>
            <w:bottom w:w="0" w:type="dxa"/>
            <w:right w:w="108" w:type="dxa"/>
          </w:tblCellMar>
        </w:tblPrEx>
        <w:trPr>
          <w:cantSplit/>
          <w:trHeight w:val="1047"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 w:val="22"/>
              </w:rPr>
            </w:pPr>
            <w:r>
              <w:rPr>
                <w:rFonts w:ascii="宋体" w:hAnsi="宋体"/>
                <w:color w:val="auto"/>
                <w:sz w:val="22"/>
              </w:rPr>
              <w:t>2</w:t>
            </w: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2"/>
              </w:rPr>
            </w:pPr>
          </w:p>
        </w:tc>
        <w:tc>
          <w:tcPr>
            <w:tcW w:w="4052" w:type="dxa"/>
            <w:tcBorders>
              <w:top w:val="single" w:color="000000" w:sz="4" w:space="0"/>
              <w:left w:val="nil"/>
              <w:bottom w:val="nil"/>
              <w:right w:val="single" w:color="000000" w:sz="4" w:space="0"/>
            </w:tcBorders>
            <w:vAlign w:val="center"/>
          </w:tcPr>
          <w:p>
            <w:pPr>
              <w:pStyle w:val="23"/>
              <w:ind w:firstLine="480"/>
              <w:jc w:val="center"/>
              <w:rPr>
                <w:color w:val="auto"/>
              </w:rPr>
            </w:pPr>
          </w:p>
        </w:tc>
        <w:tc>
          <w:tcPr>
            <w:tcW w:w="1511" w:type="dxa"/>
            <w:tcBorders>
              <w:top w:val="single" w:color="000000" w:sz="4" w:space="0"/>
              <w:left w:val="nil"/>
              <w:bottom w:val="nil"/>
              <w:right w:val="single" w:color="000000" w:sz="4" w:space="0"/>
            </w:tcBorders>
            <w:vAlign w:val="center"/>
          </w:tcPr>
          <w:p>
            <w:pPr>
              <w:pStyle w:val="23"/>
              <w:ind w:firstLine="480"/>
              <w:jc w:val="center"/>
              <w:rPr>
                <w:color w:val="auto"/>
              </w:rPr>
            </w:pPr>
          </w:p>
        </w:tc>
        <w:tc>
          <w:tcPr>
            <w:tcW w:w="2578" w:type="dxa"/>
            <w:tcBorders>
              <w:top w:val="single" w:color="000000" w:sz="4" w:space="0"/>
              <w:left w:val="nil"/>
              <w:bottom w:val="nil"/>
              <w:right w:val="single" w:color="000000" w:sz="4" w:space="0"/>
            </w:tcBorders>
            <w:vAlign w:val="center"/>
          </w:tcPr>
          <w:p>
            <w:pPr>
              <w:jc w:val="center"/>
              <w:rPr>
                <w:color w:val="auto"/>
              </w:rPr>
            </w:pPr>
          </w:p>
        </w:tc>
      </w:tr>
      <w:tr>
        <w:tblPrEx>
          <w:tblCellMar>
            <w:top w:w="0" w:type="dxa"/>
            <w:left w:w="108" w:type="dxa"/>
            <w:bottom w:w="0" w:type="dxa"/>
            <w:right w:w="108" w:type="dxa"/>
          </w:tblCellMar>
        </w:tblPrEx>
        <w:trPr>
          <w:cantSplit/>
          <w:trHeight w:val="763" w:hRule="atLeast"/>
          <w:jc w:val="center"/>
        </w:trPr>
        <w:tc>
          <w:tcPr>
            <w:tcW w:w="832"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auto"/>
                <w:sz w:val="22"/>
              </w:rPr>
            </w:pPr>
            <w:r>
              <w:rPr>
                <w:rFonts w:ascii="宋体" w:hAnsi="宋体"/>
                <w:color w:val="auto"/>
                <w:sz w:val="22"/>
              </w:rPr>
              <w:t>……</w:t>
            </w:r>
          </w:p>
        </w:tc>
        <w:tc>
          <w:tcPr>
            <w:tcW w:w="1828" w:type="dxa"/>
            <w:tcBorders>
              <w:top w:val="nil"/>
              <w:left w:val="nil"/>
              <w:bottom w:val="single" w:color="000000" w:sz="4" w:space="0"/>
              <w:right w:val="single" w:color="000000" w:sz="4" w:space="0"/>
            </w:tcBorders>
            <w:vAlign w:val="center"/>
          </w:tcPr>
          <w:p>
            <w:pPr>
              <w:widowControl/>
              <w:jc w:val="center"/>
              <w:rPr>
                <w:rFonts w:ascii="宋体" w:hAnsi="宋体" w:cs="宋体"/>
                <w:color w:val="auto"/>
                <w:sz w:val="22"/>
              </w:rPr>
            </w:pPr>
          </w:p>
        </w:tc>
        <w:tc>
          <w:tcPr>
            <w:tcW w:w="4052"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pPr>
              <w:jc w:val="center"/>
              <w:rPr>
                <w:color w:val="auto"/>
              </w:rPr>
            </w:pPr>
          </w:p>
        </w:tc>
      </w:tr>
      <w:tr>
        <w:tblPrEx>
          <w:tblCellMar>
            <w:top w:w="0" w:type="dxa"/>
            <w:left w:w="108" w:type="dxa"/>
            <w:bottom w:w="0" w:type="dxa"/>
            <w:right w:w="108" w:type="dxa"/>
          </w:tblCellMar>
        </w:tblPrEx>
        <w:trPr>
          <w:cantSplit/>
          <w:trHeight w:val="488"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 w:val="22"/>
              </w:rPr>
            </w:pPr>
          </w:p>
        </w:tc>
        <w:tc>
          <w:tcPr>
            <w:tcW w:w="182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sz w:val="22"/>
              </w:rPr>
            </w:pPr>
          </w:p>
        </w:tc>
        <w:tc>
          <w:tcPr>
            <w:tcW w:w="4052"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pPr>
              <w:jc w:val="center"/>
              <w:rPr>
                <w:color w:val="auto"/>
              </w:rPr>
            </w:pPr>
          </w:p>
        </w:tc>
      </w:tr>
      <w:tr>
        <w:tblPrEx>
          <w:tblCellMar>
            <w:top w:w="0" w:type="dxa"/>
            <w:left w:w="108" w:type="dxa"/>
            <w:bottom w:w="0" w:type="dxa"/>
            <w:right w:w="108" w:type="dxa"/>
          </w:tblCellMar>
        </w:tblPrEx>
        <w:trPr>
          <w:cantSplit/>
          <w:trHeight w:val="551"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 w:val="22"/>
              </w:rPr>
            </w:pP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2"/>
              </w:rPr>
            </w:pPr>
          </w:p>
        </w:tc>
        <w:tc>
          <w:tcPr>
            <w:tcW w:w="4052"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pPr>
              <w:jc w:val="center"/>
              <w:rPr>
                <w:color w:val="auto"/>
              </w:rPr>
            </w:pPr>
          </w:p>
        </w:tc>
      </w:tr>
      <w:tr>
        <w:tblPrEx>
          <w:tblCellMar>
            <w:top w:w="0" w:type="dxa"/>
            <w:left w:w="108" w:type="dxa"/>
            <w:bottom w:w="0" w:type="dxa"/>
            <w:right w:w="108" w:type="dxa"/>
          </w:tblCellMar>
        </w:tblPrEx>
        <w:trPr>
          <w:cantSplit/>
          <w:trHeight w:val="60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 w:val="22"/>
              </w:rPr>
            </w:pP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2"/>
              </w:rPr>
            </w:pPr>
          </w:p>
        </w:tc>
        <w:tc>
          <w:tcPr>
            <w:tcW w:w="4052"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pPr>
              <w:jc w:val="center"/>
              <w:rPr>
                <w:color w:val="auto"/>
              </w:rPr>
            </w:pPr>
          </w:p>
        </w:tc>
      </w:tr>
      <w:tr>
        <w:tblPrEx>
          <w:tblCellMar>
            <w:top w:w="0" w:type="dxa"/>
            <w:left w:w="108" w:type="dxa"/>
            <w:bottom w:w="0" w:type="dxa"/>
            <w:right w:w="108" w:type="dxa"/>
          </w:tblCellMar>
        </w:tblPrEx>
        <w:trPr>
          <w:cantSplit/>
          <w:trHeight w:val="60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 w:val="22"/>
              </w:rPr>
            </w:pP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2"/>
              </w:rPr>
            </w:pPr>
          </w:p>
        </w:tc>
        <w:tc>
          <w:tcPr>
            <w:tcW w:w="4052"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pPr>
              <w:jc w:val="center"/>
              <w:rPr>
                <w:color w:val="auto"/>
              </w:rPr>
            </w:pPr>
          </w:p>
        </w:tc>
      </w:tr>
      <w:tr>
        <w:tblPrEx>
          <w:tblCellMar>
            <w:top w:w="0" w:type="dxa"/>
            <w:left w:w="108" w:type="dxa"/>
            <w:bottom w:w="0" w:type="dxa"/>
            <w:right w:w="108" w:type="dxa"/>
          </w:tblCellMar>
        </w:tblPrEx>
        <w:trPr>
          <w:cantSplit/>
          <w:trHeight w:val="623" w:hRule="atLeast"/>
          <w:jc w:val="center"/>
        </w:trPr>
        <w:tc>
          <w:tcPr>
            <w:tcW w:w="832"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auto"/>
                <w:sz w:val="24"/>
              </w:rPr>
            </w:pPr>
          </w:p>
        </w:tc>
        <w:tc>
          <w:tcPr>
            <w:tcW w:w="1828" w:type="dxa"/>
            <w:tcBorders>
              <w:top w:val="nil"/>
              <w:left w:val="nil"/>
              <w:bottom w:val="single" w:color="000000" w:sz="4" w:space="0"/>
              <w:right w:val="single" w:color="000000" w:sz="4" w:space="0"/>
            </w:tcBorders>
            <w:vAlign w:val="center"/>
          </w:tcPr>
          <w:p>
            <w:pPr>
              <w:widowControl/>
              <w:jc w:val="center"/>
              <w:rPr>
                <w:rFonts w:ascii="宋体" w:hAnsi="宋体" w:cs="宋体"/>
                <w:color w:val="auto"/>
                <w:sz w:val="24"/>
              </w:rPr>
            </w:pPr>
          </w:p>
        </w:tc>
        <w:tc>
          <w:tcPr>
            <w:tcW w:w="4052"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pPr>
              <w:jc w:val="center"/>
              <w:rPr>
                <w:color w:val="auto"/>
              </w:rPr>
            </w:pPr>
          </w:p>
        </w:tc>
      </w:tr>
      <w:tr>
        <w:tblPrEx>
          <w:tblCellMar>
            <w:top w:w="0" w:type="dxa"/>
            <w:left w:w="108" w:type="dxa"/>
            <w:bottom w:w="0" w:type="dxa"/>
            <w:right w:w="108" w:type="dxa"/>
          </w:tblCellMar>
        </w:tblPrEx>
        <w:trPr>
          <w:cantSplit/>
          <w:trHeight w:val="529" w:hRule="atLeast"/>
          <w:jc w:val="center"/>
        </w:trPr>
        <w:tc>
          <w:tcPr>
            <w:tcW w:w="832"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auto"/>
                <w:sz w:val="24"/>
              </w:rPr>
            </w:pPr>
          </w:p>
        </w:tc>
        <w:tc>
          <w:tcPr>
            <w:tcW w:w="1828" w:type="dxa"/>
            <w:tcBorders>
              <w:top w:val="nil"/>
              <w:left w:val="nil"/>
              <w:bottom w:val="single" w:color="000000" w:sz="4" w:space="0"/>
              <w:right w:val="single" w:color="000000" w:sz="4" w:space="0"/>
            </w:tcBorders>
            <w:vAlign w:val="center"/>
          </w:tcPr>
          <w:p>
            <w:pPr>
              <w:jc w:val="center"/>
              <w:rPr>
                <w:rFonts w:ascii="宋体" w:hAnsi="宋体" w:cs="宋体"/>
                <w:color w:val="auto"/>
                <w:sz w:val="24"/>
              </w:rPr>
            </w:pPr>
          </w:p>
        </w:tc>
        <w:tc>
          <w:tcPr>
            <w:tcW w:w="4052"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pPr>
              <w:jc w:val="center"/>
              <w:rPr>
                <w:color w:val="auto"/>
              </w:rPr>
            </w:pPr>
          </w:p>
        </w:tc>
      </w:tr>
      <w:tr>
        <w:tblPrEx>
          <w:tblCellMar>
            <w:top w:w="0" w:type="dxa"/>
            <w:left w:w="108" w:type="dxa"/>
            <w:bottom w:w="0" w:type="dxa"/>
            <w:right w:w="108" w:type="dxa"/>
          </w:tblCellMar>
        </w:tblPrEx>
        <w:trPr>
          <w:cantSplit/>
          <w:trHeight w:val="529"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 w:val="24"/>
              </w:rPr>
            </w:pP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p>
        </w:tc>
        <w:tc>
          <w:tcPr>
            <w:tcW w:w="4052"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pPr>
              <w:jc w:val="center"/>
              <w:rPr>
                <w:color w:val="auto"/>
              </w:rPr>
            </w:pPr>
          </w:p>
        </w:tc>
      </w:tr>
      <w:tr>
        <w:tblPrEx>
          <w:tblCellMar>
            <w:top w:w="0" w:type="dxa"/>
            <w:left w:w="108" w:type="dxa"/>
            <w:bottom w:w="0" w:type="dxa"/>
            <w:right w:w="108" w:type="dxa"/>
          </w:tblCellMar>
        </w:tblPrEx>
        <w:trPr>
          <w:cantSplit/>
          <w:trHeight w:val="529"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 w:val="24"/>
              </w:rPr>
            </w:pP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p>
        </w:tc>
        <w:tc>
          <w:tcPr>
            <w:tcW w:w="4052"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pPr>
              <w:pStyle w:val="23"/>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pPr>
              <w:jc w:val="center"/>
              <w:rPr>
                <w:color w:val="auto"/>
              </w:rPr>
            </w:pPr>
          </w:p>
        </w:tc>
      </w:tr>
    </w:tbl>
    <w:p>
      <w:pPr>
        <w:spacing w:before="50" w:after="50"/>
        <w:ind w:firstLine="600"/>
        <w:rPr>
          <w:rFonts w:ascii="宋体" w:hAnsi="宋体"/>
          <w:b/>
          <w:bCs/>
          <w:color w:val="auto"/>
          <w:sz w:val="24"/>
        </w:rPr>
      </w:pPr>
      <w:r>
        <w:rPr>
          <w:rFonts w:hint="eastAsia" w:ascii="宋体" w:hAnsi="宋体"/>
          <w:b/>
          <w:bCs/>
          <w:color w:val="auto"/>
          <w:sz w:val="24"/>
        </w:rPr>
        <w:t>注：评分对应表主要用于作为专家评分的一个参考及查阅依据。</w:t>
      </w:r>
    </w:p>
    <w:p>
      <w:pPr>
        <w:tabs>
          <w:tab w:val="left" w:pos="1080"/>
        </w:tabs>
        <w:autoSpaceDE w:val="0"/>
        <w:autoSpaceDN w:val="0"/>
        <w:adjustRightInd w:val="0"/>
        <w:spacing w:line="500" w:lineRule="atLeast"/>
        <w:jc w:val="center"/>
        <w:textAlignment w:val="baseline"/>
        <w:rPr>
          <w:rFonts w:ascii="宋体"/>
          <w:b/>
          <w:bCs/>
          <w:color w:val="auto"/>
          <w:sz w:val="36"/>
          <w:szCs w:val="36"/>
          <w:lang w:val="zh-CN"/>
        </w:rPr>
      </w:pPr>
      <w:r>
        <w:rPr>
          <w:rFonts w:hint="eastAsia" w:ascii="宋体" w:hAnsi="Calibri"/>
          <w:b/>
          <w:bCs/>
          <w:color w:val="auto"/>
          <w:sz w:val="36"/>
          <w:szCs w:val="36"/>
          <w:lang w:val="zh-CN"/>
        </w:rPr>
        <w:br w:type="page"/>
      </w:r>
      <w:r>
        <w:rPr>
          <w:rFonts w:hint="eastAsia" w:ascii="宋体"/>
          <w:b/>
          <w:bCs/>
          <w:color w:val="auto"/>
          <w:sz w:val="36"/>
          <w:szCs w:val="36"/>
          <w:lang w:val="zh-CN"/>
        </w:rPr>
        <w:t>第六部分   评标办法</w:t>
      </w:r>
    </w:p>
    <w:p>
      <w:pPr>
        <w:adjustRightInd w:val="0"/>
        <w:snapToGrid w:val="0"/>
        <w:spacing w:line="400" w:lineRule="exact"/>
        <w:ind w:firstLine="420"/>
        <w:rPr>
          <w:rFonts w:ascii="宋体" w:hAnsi="宋体"/>
          <w:color w:val="auto"/>
          <w:sz w:val="22"/>
          <w:szCs w:val="22"/>
        </w:rPr>
      </w:pPr>
      <w:r>
        <w:rPr>
          <w:rFonts w:hint="eastAsia" w:ascii="宋体" w:hAnsi="宋体"/>
          <w:color w:val="auto"/>
          <w:sz w:val="22"/>
          <w:szCs w:val="22"/>
        </w:rPr>
        <w:t>根据《中华人民共和国政府采购法》等有关政府采购法规，结合本次所要采购服务的实际，按照公平、公正、科学、择优的原则选择成交单位，特制定本评标办法。</w:t>
      </w:r>
    </w:p>
    <w:p>
      <w:pPr>
        <w:adjustRightInd w:val="0"/>
        <w:snapToGrid w:val="0"/>
        <w:spacing w:line="400" w:lineRule="exact"/>
        <w:jc w:val="center"/>
        <w:rPr>
          <w:rFonts w:ascii="宋体" w:hAnsi="宋体"/>
          <w:b/>
          <w:color w:val="auto"/>
          <w:sz w:val="22"/>
          <w:szCs w:val="22"/>
        </w:rPr>
      </w:pPr>
      <w:r>
        <w:rPr>
          <w:rFonts w:hint="eastAsia" w:ascii="宋体" w:hAnsi="宋体"/>
          <w:b/>
          <w:color w:val="auto"/>
          <w:sz w:val="22"/>
          <w:szCs w:val="22"/>
        </w:rPr>
        <w:t>一、总则</w:t>
      </w:r>
    </w:p>
    <w:p>
      <w:pPr>
        <w:adjustRightInd w:val="0"/>
        <w:snapToGrid w:val="0"/>
        <w:spacing w:line="400" w:lineRule="exact"/>
        <w:ind w:firstLine="420"/>
        <w:rPr>
          <w:rFonts w:ascii="宋体" w:hAnsi="宋体"/>
          <w:color w:val="auto"/>
          <w:sz w:val="22"/>
          <w:szCs w:val="22"/>
        </w:rPr>
      </w:pPr>
      <w:r>
        <w:rPr>
          <w:rFonts w:hint="eastAsia" w:ascii="宋体" w:hAnsi="宋体" w:eastAsia="宋体" w:cs="Times New Roman"/>
          <w:color w:val="auto"/>
          <w:sz w:val="22"/>
          <w:szCs w:val="22"/>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响应文件将被拒绝</w:t>
      </w:r>
      <w:r>
        <w:rPr>
          <w:rFonts w:hint="eastAsia" w:ascii="宋体" w:hAnsi="宋体"/>
          <w:color w:val="auto"/>
          <w:sz w:val="22"/>
          <w:szCs w:val="22"/>
        </w:rPr>
        <w:t>。</w:t>
      </w:r>
    </w:p>
    <w:p>
      <w:pPr>
        <w:adjustRightInd w:val="0"/>
        <w:snapToGrid w:val="0"/>
        <w:spacing w:line="400" w:lineRule="exact"/>
        <w:jc w:val="center"/>
        <w:rPr>
          <w:rFonts w:ascii="宋体" w:hAnsi="宋体"/>
          <w:b/>
          <w:color w:val="auto"/>
          <w:sz w:val="22"/>
          <w:szCs w:val="22"/>
        </w:rPr>
      </w:pPr>
      <w:r>
        <w:rPr>
          <w:rFonts w:hint="eastAsia" w:ascii="宋体" w:hAnsi="宋体"/>
          <w:b/>
          <w:color w:val="auto"/>
          <w:sz w:val="22"/>
          <w:szCs w:val="22"/>
        </w:rPr>
        <w:t>二、评审组织</w:t>
      </w:r>
    </w:p>
    <w:p>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评审工作由采购单位依法组建的竞争性磋商小组负责，竞争性磋商小组由采购单位代表以及评审专家库中随机抽取的有关技术、经济专家共同组成。评</w:t>
      </w:r>
      <w:r>
        <w:rPr>
          <w:rFonts w:ascii="宋体" w:hAnsi="宋体" w:eastAsia="宋体" w:cs="Times New Roman"/>
          <w:color w:val="auto"/>
          <w:sz w:val="22"/>
          <w:szCs w:val="22"/>
        </w:rPr>
        <w:t>标</w:t>
      </w:r>
      <w:r>
        <w:rPr>
          <w:rFonts w:hint="eastAsia" w:ascii="宋体" w:hAnsi="宋体" w:eastAsia="宋体" w:cs="Times New Roman"/>
          <w:color w:val="auto"/>
          <w:sz w:val="22"/>
          <w:szCs w:val="22"/>
        </w:rPr>
        <w:t>全过程由采购管理部门全程监督</w:t>
      </w:r>
      <w:r>
        <w:rPr>
          <w:rFonts w:ascii="宋体" w:hAnsi="宋体" w:eastAsia="宋体" w:cs="Times New Roman"/>
          <w:color w:val="auto"/>
          <w:sz w:val="22"/>
          <w:szCs w:val="22"/>
        </w:rPr>
        <w:t>整个开标、评标和定标过程。</w:t>
      </w:r>
    </w:p>
    <w:p>
      <w:pPr>
        <w:adjustRightInd w:val="0"/>
        <w:snapToGrid w:val="0"/>
        <w:spacing w:line="400" w:lineRule="exact"/>
        <w:jc w:val="center"/>
        <w:rPr>
          <w:rFonts w:ascii="宋体" w:hAnsi="宋体"/>
          <w:b/>
          <w:color w:val="auto"/>
          <w:sz w:val="22"/>
          <w:szCs w:val="22"/>
        </w:rPr>
      </w:pPr>
      <w:r>
        <w:rPr>
          <w:rFonts w:hint="eastAsia" w:ascii="宋体" w:hAnsi="宋体"/>
          <w:b/>
          <w:color w:val="auto"/>
          <w:sz w:val="22"/>
          <w:szCs w:val="22"/>
        </w:rPr>
        <w:t>三、</w:t>
      </w:r>
      <w:r>
        <w:rPr>
          <w:rFonts w:hint="eastAsia" w:ascii="宋体" w:hAnsi="宋体" w:eastAsia="宋体" w:cs="Times New Roman"/>
          <w:b/>
          <w:color w:val="auto"/>
          <w:sz w:val="22"/>
          <w:szCs w:val="22"/>
        </w:rPr>
        <w:t>响应文件递交截止、磋商程序、磋商原则和方式</w:t>
      </w:r>
    </w:p>
    <w:p>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1、</w:t>
      </w:r>
      <w:r>
        <w:rPr>
          <w:rFonts w:hint="eastAsia" w:ascii="宋体"/>
          <w:color w:val="auto"/>
          <w:sz w:val="22"/>
        </w:rPr>
        <w:t>开标准备</w:t>
      </w:r>
    </w:p>
    <w:p>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1.1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1.2若磋商供应商在规定时间内无法解密或解密失败，</w:t>
      </w:r>
      <w:r>
        <w:rPr>
          <w:rFonts w:hint="eastAsia" w:ascii="宋体" w:hAnsi="宋体"/>
          <w:color w:val="auto"/>
          <w:kern w:val="0"/>
          <w:sz w:val="22"/>
        </w:rPr>
        <w:t>投标无效。</w:t>
      </w:r>
      <w:r>
        <w:rPr>
          <w:rFonts w:hint="eastAsia" w:ascii="宋体" w:hAnsi="宋体" w:eastAsia="宋体" w:cs="Times New Roman"/>
          <w:color w:val="auto"/>
          <w:sz w:val="22"/>
          <w:szCs w:val="22"/>
        </w:rPr>
        <w:t>。</w:t>
      </w:r>
    </w:p>
    <w:p>
      <w:pPr>
        <w:adjustRightInd w:val="0"/>
        <w:snapToGrid w:val="0"/>
        <w:spacing w:line="400" w:lineRule="exact"/>
        <w:ind w:firstLine="420"/>
        <w:rPr>
          <w:color w:val="auto"/>
        </w:rPr>
      </w:pPr>
      <w:r>
        <w:rPr>
          <w:rFonts w:hint="eastAsia" w:ascii="宋体" w:hAnsi="宋体" w:eastAsia="宋体" w:cs="Times New Roman"/>
          <w:color w:val="auto"/>
          <w:sz w:val="22"/>
          <w:szCs w:val="22"/>
        </w:rPr>
        <w:t>1.3所有二次报价询标流程，均在线上完成，请各供应商务必不要离开电脑太久，并留意手机短信。（请提前检查“政采云”内，关于‘项目采购’的岗位权限是否已勾选上。如有问题，请致电400-881-7190）。</w:t>
      </w:r>
    </w:p>
    <w:p>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2、电子招投标开标及评审程序</w:t>
      </w:r>
    </w:p>
    <w:p>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2.1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2.2投标文件解密结束，开启响应文件，磋商小组对资格和商务技术响应文件进行评审；</w:t>
      </w:r>
    </w:p>
    <w:p>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2.3供应商按签到的前后顺序决定磋商的顺序，就价格、服务等认为需要磋商的内容进行磋商，供应商逐家回答磋商小组的提问，响应人作出最终承诺和最终报价。</w:t>
      </w:r>
    </w:p>
    <w:p>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2.4在系统上公开资格和商务技术评审结果；</w:t>
      </w:r>
    </w:p>
    <w:p>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2.5在系统上录入最终报价情况；</w:t>
      </w:r>
    </w:p>
    <w:p>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2.6磋商小组对报价情况进行评审；</w:t>
      </w:r>
    </w:p>
    <w:p>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2.7在系统上公布评审结果。</w:t>
      </w:r>
    </w:p>
    <w:p>
      <w:pPr>
        <w:adjustRightInd w:val="0"/>
        <w:snapToGrid w:val="0"/>
        <w:spacing w:line="400" w:lineRule="exact"/>
        <w:ind w:firstLine="420"/>
        <w:rPr>
          <w:rFonts w:ascii="宋体" w:hAnsi="宋体" w:eastAsia="宋体" w:cs="Times New Roman"/>
          <w:b/>
          <w:bCs/>
          <w:color w:val="auto"/>
          <w:sz w:val="22"/>
          <w:szCs w:val="22"/>
        </w:rPr>
      </w:pPr>
      <w:r>
        <w:rPr>
          <w:rFonts w:hint="eastAsia" w:ascii="宋体" w:hAnsi="宋体" w:eastAsia="宋体" w:cs="Times New Roman"/>
          <w:b/>
          <w:bCs/>
          <w:color w:val="auto"/>
          <w:sz w:val="22"/>
          <w:szCs w:val="22"/>
        </w:rPr>
        <w:t>特别说明：政采云公司如对电子化开标及评审程序有调整的，按调整后的程序操作。</w:t>
      </w:r>
    </w:p>
    <w:p>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3、本次采购是根据竞争性磋商采购方式进行，各供应商第一次报价不公开。</w:t>
      </w:r>
    </w:p>
    <w:p>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3.1如竞争性磋商小组认为竞争性磋商文件能够详细列明采购标的的技术、服务要求的，评审结束后，竞争性磋商小组可以直接对供应商进行打分评价。</w:t>
      </w:r>
    </w:p>
    <w:p>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3.2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单位代表确认。</w:t>
      </w:r>
    </w:p>
    <w:p>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3.3对竞争性磋商文件作出的实质性变动是竞争性磋商文件的有效组成部分，竞争性磋商小组应当及时以书面形式同时通知所有参加磋商的供应商。</w:t>
      </w:r>
    </w:p>
    <w:p>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3.4供应商应当按照竞争性磋商文件的变动情况和竞争性磋商小组的要求重新提交响应文件，并由其法定代表人或授权代表签字或者加盖公章。由授权代表签字的，应当附法定代表人授权书。</w:t>
      </w:r>
    </w:p>
    <w:p>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4、评审原则和方法</w:t>
      </w:r>
    </w:p>
    <w:p>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4.1竞争性磋商小组负责审查响应文件是否符合竞争性磋商文件的要求，并作出评价。竞争性磋商小组认为必要时，可向供应商进行质疑。竞争性磋商小组有权决定全部或部分供应商响应文件无效。</w:t>
      </w:r>
    </w:p>
    <w:p>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4.2竞争性磋商小组将综合分析合格供应商的各项指标，而不是以单项指标的优劣评选出成交的供应商。</w:t>
      </w:r>
    </w:p>
    <w:p>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4.3经磋商确定最终采购需求和提交最后报价的供应商后，由竞争性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4.4本次评审采用综合评分法，竞争性磋商小组根据竞争性磋商文件制定的评审办法对供应商进行评审排序，将综合得分第一名的供应商向采购单位推荐其为成交供应商。</w:t>
      </w:r>
    </w:p>
    <w:p>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5、响应文件的澄清</w:t>
      </w:r>
    </w:p>
    <w:p>
      <w:pPr>
        <w:adjustRightInd w:val="0"/>
        <w:snapToGrid w:val="0"/>
        <w:spacing w:line="400" w:lineRule="exact"/>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5.1、为有利于对响应文件的比较和评议，必要时采购单位可要求供应商对响应文件进行澄清，并作出书面答复。书面答复须有供应商授权代表签字并作为响应文件内容的一部分。</w:t>
      </w:r>
    </w:p>
    <w:p>
      <w:pPr>
        <w:adjustRightInd w:val="0"/>
        <w:snapToGrid w:val="0"/>
        <w:spacing w:line="400" w:lineRule="exact"/>
        <w:jc w:val="center"/>
        <w:rPr>
          <w:rFonts w:ascii="宋体" w:hAnsi="宋体"/>
          <w:color w:val="auto"/>
          <w:sz w:val="22"/>
          <w:szCs w:val="22"/>
        </w:rPr>
      </w:pPr>
      <w:r>
        <w:rPr>
          <w:rFonts w:hint="eastAsia" w:ascii="宋体" w:hAnsi="宋体"/>
          <w:b/>
          <w:color w:val="auto"/>
          <w:sz w:val="22"/>
          <w:szCs w:val="22"/>
        </w:rPr>
        <w:t>四、评审细则</w:t>
      </w:r>
    </w:p>
    <w:p>
      <w:pPr>
        <w:adjustRightInd w:val="0"/>
        <w:snapToGrid w:val="0"/>
        <w:spacing w:line="400" w:lineRule="exact"/>
        <w:rPr>
          <w:rFonts w:ascii="宋体" w:hAnsi="宋体"/>
          <w:color w:val="auto"/>
          <w:sz w:val="22"/>
          <w:szCs w:val="22"/>
        </w:rPr>
      </w:pPr>
      <w:r>
        <w:rPr>
          <w:rFonts w:hint="eastAsia" w:ascii="宋体" w:hAnsi="宋体"/>
          <w:color w:val="auto"/>
          <w:sz w:val="22"/>
          <w:szCs w:val="22"/>
        </w:rPr>
        <w:t>（一）商务报价评分（30分）</w:t>
      </w:r>
    </w:p>
    <w:p>
      <w:pPr>
        <w:pStyle w:val="15"/>
        <w:adjustRightInd w:val="0"/>
        <w:snapToGrid w:val="0"/>
        <w:spacing w:line="420" w:lineRule="exact"/>
        <w:ind w:firstLine="440" w:firstLineChars="200"/>
        <w:rPr>
          <w:rFonts w:hAnsi="宋体"/>
          <w:color w:val="auto"/>
          <w:sz w:val="22"/>
          <w:szCs w:val="22"/>
        </w:rPr>
      </w:pPr>
      <w:r>
        <w:rPr>
          <w:rFonts w:hint="eastAsia" w:hAnsi="宋体" w:cs="Arial"/>
          <w:color w:val="auto"/>
          <w:kern w:val="0"/>
          <w:sz w:val="22"/>
        </w:rPr>
        <w:t>1、</w:t>
      </w:r>
      <w:r>
        <w:rPr>
          <w:rFonts w:hint="eastAsia" w:hAnsi="宋体" w:eastAsia="宋体" w:cs="Arial"/>
          <w:color w:val="auto"/>
          <w:kern w:val="0"/>
          <w:sz w:val="22"/>
        </w:rPr>
        <w:t>以满足竞争性磋商文件要求且最后报价最低的有效供应商的价格为磋商基准价，得满分</w:t>
      </w:r>
      <w:r>
        <w:rPr>
          <w:rFonts w:hint="eastAsia" w:hAnsi="宋体"/>
          <w:color w:val="auto"/>
          <w:sz w:val="22"/>
          <w:szCs w:val="22"/>
        </w:rPr>
        <w:t>为30分；商</w:t>
      </w:r>
      <w:r>
        <w:rPr>
          <w:rFonts w:hint="eastAsia" w:hAnsi="宋体" w:eastAsia="宋体" w:cs="Arial"/>
          <w:color w:val="auto"/>
          <w:kern w:val="0"/>
          <w:sz w:val="22"/>
        </w:rPr>
        <w:t>务报价评分结算公式为：</w:t>
      </w:r>
    </w:p>
    <w:p>
      <w:pPr>
        <w:adjustRightInd w:val="0"/>
        <w:snapToGrid w:val="0"/>
        <w:spacing w:line="400" w:lineRule="exact"/>
        <w:ind w:firstLine="420"/>
        <w:rPr>
          <w:rFonts w:ascii="宋体" w:hAnsi="宋体" w:eastAsia="宋体" w:cs="Arial"/>
          <w:color w:val="auto"/>
          <w:kern w:val="0"/>
          <w:sz w:val="22"/>
        </w:rPr>
      </w:pPr>
      <w:r>
        <w:rPr>
          <w:rFonts w:hint="eastAsia" w:ascii="宋体" w:hAnsi="宋体" w:eastAsia="宋体" w:cs="Arial"/>
          <w:color w:val="auto"/>
          <w:kern w:val="0"/>
          <w:sz w:val="22"/>
        </w:rPr>
        <w:t>磋商报价得分=（磋商基准价/最后磋商报价</w:t>
      </w:r>
      <w:r>
        <w:rPr>
          <w:rFonts w:hint="eastAsia" w:ascii="宋体" w:hAnsi="宋体"/>
          <w:color w:val="auto"/>
          <w:sz w:val="22"/>
          <w:szCs w:val="22"/>
        </w:rPr>
        <w:t>）×30%×10</w:t>
      </w:r>
      <w:r>
        <w:rPr>
          <w:rFonts w:hint="eastAsia" w:ascii="宋体" w:hAnsi="宋体" w:eastAsia="宋体" w:cs="Arial"/>
          <w:color w:val="auto"/>
          <w:kern w:val="0"/>
          <w:sz w:val="22"/>
        </w:rPr>
        <w:t>0。</w:t>
      </w:r>
    </w:p>
    <w:p>
      <w:pPr>
        <w:adjustRightInd w:val="0"/>
        <w:snapToGrid w:val="0"/>
        <w:spacing w:line="400" w:lineRule="exact"/>
        <w:rPr>
          <w:rFonts w:ascii="宋体" w:hAnsi="宋体"/>
          <w:color w:val="auto"/>
          <w:sz w:val="22"/>
          <w:szCs w:val="22"/>
        </w:rPr>
      </w:pPr>
      <w:r>
        <w:rPr>
          <w:rFonts w:hint="eastAsia" w:ascii="宋体" w:hAnsi="宋体"/>
          <w:color w:val="auto"/>
          <w:sz w:val="22"/>
          <w:szCs w:val="22"/>
        </w:rPr>
        <w:t>（二）技术资信分评分（70分）</w:t>
      </w:r>
    </w:p>
    <w:p>
      <w:pPr>
        <w:widowControl/>
        <w:spacing w:line="400" w:lineRule="exact"/>
        <w:ind w:firstLine="440"/>
        <w:rPr>
          <w:rFonts w:ascii="宋体" w:hAnsi="宋体" w:cs="Arial"/>
          <w:color w:val="auto"/>
          <w:kern w:val="0"/>
          <w:sz w:val="22"/>
        </w:rPr>
      </w:pPr>
      <w:r>
        <w:rPr>
          <w:rFonts w:hint="eastAsia" w:ascii="宋体" w:hAnsi="宋体" w:cs="Arial"/>
          <w:color w:val="auto"/>
          <w:kern w:val="0"/>
          <w:sz w:val="22"/>
        </w:rPr>
        <w:t>各评委成员按下列评分项目进行评定，每人一张评分计算表，由评标委员会成员各自评定打分并记实名。如任何一张表的一项评分内容分值超过规定的范围，则该张表无效。各评标委员会成员对各投标人的各项评分内容评分的合计分数的算术平均值为各投标人技术资信分得分（小数点后按四舍五入保留2位）。</w:t>
      </w:r>
    </w:p>
    <w:tbl>
      <w:tblPr>
        <w:tblStyle w:val="28"/>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803"/>
        <w:gridCol w:w="554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77" w:type="dxa"/>
            <w:vAlign w:val="center"/>
          </w:tcPr>
          <w:p>
            <w:pPr>
              <w:spacing w:line="300" w:lineRule="exact"/>
              <w:jc w:val="center"/>
              <w:rPr>
                <w:rFonts w:ascii="宋体" w:hAnsi="宋体" w:eastAsia="宋体" w:cs="宋体"/>
                <w:color w:val="auto"/>
                <w:sz w:val="22"/>
                <w:szCs w:val="22"/>
              </w:rPr>
            </w:pPr>
            <w:r>
              <w:rPr>
                <w:rFonts w:hint="eastAsia" w:ascii="宋体" w:hAnsi="宋体" w:eastAsia="宋体" w:cs="宋体"/>
                <w:color w:val="auto"/>
                <w:sz w:val="22"/>
                <w:szCs w:val="22"/>
              </w:rPr>
              <w:t>序号</w:t>
            </w:r>
          </w:p>
        </w:tc>
        <w:tc>
          <w:tcPr>
            <w:tcW w:w="1803" w:type="dxa"/>
            <w:vAlign w:val="center"/>
          </w:tcPr>
          <w:p>
            <w:pPr>
              <w:spacing w:line="300" w:lineRule="exact"/>
              <w:ind w:left="-50"/>
              <w:jc w:val="center"/>
              <w:rPr>
                <w:rFonts w:ascii="宋体" w:hAnsi="宋体" w:eastAsia="宋体" w:cs="宋体"/>
                <w:snapToGrid w:val="0"/>
                <w:color w:val="auto"/>
                <w:sz w:val="22"/>
                <w:szCs w:val="22"/>
              </w:rPr>
            </w:pPr>
            <w:r>
              <w:rPr>
                <w:rFonts w:hint="eastAsia" w:ascii="宋体" w:hAnsi="宋体" w:eastAsia="宋体" w:cs="宋体"/>
                <w:snapToGrid w:val="0"/>
                <w:color w:val="auto"/>
                <w:sz w:val="22"/>
                <w:szCs w:val="22"/>
              </w:rPr>
              <w:t>评分内容</w:t>
            </w:r>
          </w:p>
        </w:tc>
        <w:tc>
          <w:tcPr>
            <w:tcW w:w="5540" w:type="dxa"/>
            <w:vAlign w:val="center"/>
          </w:tcPr>
          <w:p>
            <w:pPr>
              <w:spacing w:line="300" w:lineRule="exact"/>
              <w:jc w:val="center"/>
              <w:rPr>
                <w:rFonts w:ascii="宋体" w:hAnsi="宋体" w:eastAsia="宋体" w:cs="宋体"/>
                <w:color w:val="auto"/>
                <w:sz w:val="22"/>
                <w:szCs w:val="22"/>
              </w:rPr>
            </w:pPr>
            <w:r>
              <w:rPr>
                <w:rFonts w:hint="eastAsia" w:ascii="宋体" w:hAnsi="宋体" w:eastAsia="宋体" w:cs="宋体"/>
                <w:snapToGrid w:val="0"/>
                <w:color w:val="auto"/>
                <w:sz w:val="22"/>
                <w:szCs w:val="22"/>
              </w:rPr>
              <w:t>评分细则</w:t>
            </w:r>
          </w:p>
        </w:tc>
        <w:tc>
          <w:tcPr>
            <w:tcW w:w="1335" w:type="dxa"/>
            <w:vAlign w:val="center"/>
          </w:tcPr>
          <w:p>
            <w:pPr>
              <w:spacing w:line="300" w:lineRule="exact"/>
              <w:jc w:val="center"/>
              <w:rPr>
                <w:rFonts w:ascii="宋体" w:hAnsi="宋体" w:eastAsia="宋体" w:cs="宋体"/>
                <w:snapToGrid w:val="0"/>
                <w:color w:val="auto"/>
                <w:sz w:val="22"/>
                <w:szCs w:val="22"/>
              </w:rPr>
            </w:pPr>
            <w:r>
              <w:rPr>
                <w:rFonts w:hint="eastAsia" w:ascii="宋体" w:hAnsi="宋体" w:eastAsia="宋体" w:cs="宋体"/>
                <w:snapToGrid w:val="0"/>
                <w:color w:val="auto"/>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5" w:hRule="atLeast"/>
          <w:jc w:val="center"/>
        </w:trPr>
        <w:tc>
          <w:tcPr>
            <w:tcW w:w="677" w:type="dxa"/>
            <w:vAlign w:val="center"/>
          </w:tcPr>
          <w:p>
            <w:pPr>
              <w:spacing w:line="300" w:lineRule="exact"/>
              <w:jc w:val="center"/>
              <w:rPr>
                <w:rFonts w:ascii="宋体" w:hAnsi="宋体" w:eastAsia="宋体" w:cs="宋体"/>
                <w:color w:val="auto"/>
                <w:sz w:val="22"/>
                <w:szCs w:val="22"/>
              </w:rPr>
            </w:pPr>
            <w:r>
              <w:rPr>
                <w:rFonts w:hint="eastAsia" w:ascii="宋体" w:hAnsi="宋体" w:eastAsia="宋体" w:cs="宋体"/>
                <w:color w:val="auto"/>
                <w:sz w:val="22"/>
                <w:szCs w:val="22"/>
              </w:rPr>
              <w:t>1</w:t>
            </w:r>
          </w:p>
        </w:tc>
        <w:tc>
          <w:tcPr>
            <w:tcW w:w="1803" w:type="dxa"/>
            <w:vAlign w:val="center"/>
          </w:tcPr>
          <w:p>
            <w:pPr>
              <w:spacing w:line="300" w:lineRule="exact"/>
              <w:jc w:val="center"/>
              <w:rPr>
                <w:rFonts w:ascii="宋体" w:hAnsi="宋体" w:eastAsia="宋体" w:cs="宋体"/>
                <w:color w:val="auto"/>
                <w:sz w:val="22"/>
                <w:szCs w:val="22"/>
              </w:rPr>
            </w:pPr>
            <w:r>
              <w:rPr>
                <w:rFonts w:hint="eastAsia" w:ascii="宋体" w:hAnsi="宋体" w:eastAsia="宋体" w:cs="宋体"/>
                <w:color w:val="auto"/>
                <w:sz w:val="22"/>
                <w:szCs w:val="22"/>
              </w:rPr>
              <w:t>业绩情况</w:t>
            </w:r>
          </w:p>
        </w:tc>
        <w:tc>
          <w:tcPr>
            <w:tcW w:w="5540" w:type="dxa"/>
            <w:vAlign w:val="center"/>
          </w:tcPr>
          <w:p>
            <w:pPr>
              <w:spacing w:line="360" w:lineRule="auto"/>
              <w:ind w:left="-50" w:firstLine="330" w:firstLineChars="150"/>
              <w:jc w:val="left"/>
              <w:rPr>
                <w:rFonts w:ascii="宋体" w:hAnsi="宋体" w:eastAsia="宋体" w:cs="宋体"/>
                <w:snapToGrid w:val="0"/>
                <w:color w:val="auto"/>
                <w:sz w:val="22"/>
                <w:szCs w:val="22"/>
              </w:rPr>
            </w:pPr>
            <w:r>
              <w:rPr>
                <w:rFonts w:hint="eastAsia" w:ascii="宋体" w:hAnsi="宋体" w:eastAsia="宋体" w:cs="宋体"/>
                <w:snapToGrid w:val="0"/>
                <w:color w:val="auto"/>
                <w:sz w:val="22"/>
                <w:szCs w:val="22"/>
              </w:rPr>
              <w:t>根据投标人提供的相同项目业绩1个得1.5分，最高为3分。</w:t>
            </w:r>
          </w:p>
          <w:p>
            <w:pPr>
              <w:spacing w:line="360" w:lineRule="auto"/>
              <w:jc w:val="left"/>
              <w:rPr>
                <w:rFonts w:ascii="宋体" w:hAnsi="宋体" w:eastAsia="宋体" w:cs="宋体"/>
                <w:snapToGrid w:val="0"/>
                <w:color w:val="auto"/>
                <w:sz w:val="22"/>
                <w:szCs w:val="22"/>
              </w:rPr>
            </w:pPr>
            <w:r>
              <w:rPr>
                <w:rFonts w:hint="eastAsia" w:ascii="宋体" w:hAnsi="宋体" w:eastAsia="宋体" w:cs="宋体"/>
                <w:b/>
                <w:bCs/>
                <w:snapToGrid w:val="0"/>
                <w:color w:val="auto"/>
                <w:sz w:val="22"/>
                <w:szCs w:val="22"/>
              </w:rPr>
              <w:t>证明材料</w:t>
            </w:r>
            <w:r>
              <w:rPr>
                <w:rFonts w:hint="eastAsia" w:ascii="宋体" w:hAnsi="宋体" w:eastAsia="宋体" w:cs="宋体"/>
                <w:snapToGrid w:val="0"/>
                <w:color w:val="auto"/>
                <w:sz w:val="22"/>
                <w:szCs w:val="22"/>
              </w:rPr>
              <w:t>：提供“中标通知书、合同、验收报告”复印件加盖公章，或者提供“合同、发票、验收报告”复印件加盖公章，未提供证明材料本项不得分。</w:t>
            </w:r>
          </w:p>
        </w:tc>
        <w:tc>
          <w:tcPr>
            <w:tcW w:w="1335" w:type="dxa"/>
            <w:vAlign w:val="center"/>
          </w:tcPr>
          <w:p>
            <w:pPr>
              <w:spacing w:line="300" w:lineRule="exact"/>
              <w:jc w:val="center"/>
              <w:rPr>
                <w:rFonts w:ascii="宋体" w:hAnsi="宋体" w:eastAsia="宋体" w:cs="宋体"/>
                <w:b/>
                <w:bCs/>
                <w:snapToGrid w:val="0"/>
                <w:color w:val="auto"/>
                <w:sz w:val="22"/>
                <w:szCs w:val="22"/>
              </w:rPr>
            </w:pPr>
            <w:r>
              <w:rPr>
                <w:rFonts w:hint="eastAsia" w:ascii="宋体" w:hAnsi="宋体" w:eastAsia="宋体" w:cs="宋体"/>
                <w:color w:val="auto"/>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677" w:type="dxa"/>
            <w:vAlign w:val="center"/>
          </w:tcPr>
          <w:p>
            <w:pPr>
              <w:spacing w:line="300" w:lineRule="exact"/>
              <w:jc w:val="center"/>
              <w:rPr>
                <w:rFonts w:ascii="宋体" w:hAnsi="宋体" w:eastAsia="宋体" w:cs="宋体"/>
                <w:color w:val="auto"/>
                <w:sz w:val="22"/>
                <w:szCs w:val="22"/>
              </w:rPr>
            </w:pPr>
            <w:r>
              <w:rPr>
                <w:rFonts w:hint="eastAsia" w:ascii="宋体" w:hAnsi="宋体" w:eastAsia="宋体" w:cs="宋体"/>
                <w:color w:val="auto"/>
                <w:sz w:val="22"/>
                <w:szCs w:val="22"/>
              </w:rPr>
              <w:t>2</w:t>
            </w:r>
          </w:p>
          <w:p>
            <w:pPr>
              <w:spacing w:line="300" w:lineRule="exact"/>
              <w:jc w:val="center"/>
              <w:rPr>
                <w:rFonts w:ascii="宋体" w:hAnsi="宋体" w:eastAsia="宋体" w:cs="宋体"/>
                <w:color w:val="auto"/>
                <w:sz w:val="22"/>
                <w:szCs w:val="22"/>
              </w:rPr>
            </w:pPr>
          </w:p>
        </w:tc>
        <w:tc>
          <w:tcPr>
            <w:tcW w:w="1803" w:type="dxa"/>
            <w:vAlign w:val="center"/>
          </w:tcPr>
          <w:p>
            <w:pPr>
              <w:spacing w:line="300" w:lineRule="exact"/>
              <w:jc w:val="center"/>
              <w:rPr>
                <w:rFonts w:ascii="宋体" w:hAnsi="宋体" w:eastAsia="宋体" w:cs="宋体"/>
                <w:color w:val="auto"/>
                <w:sz w:val="22"/>
                <w:szCs w:val="22"/>
              </w:rPr>
            </w:pPr>
            <w:r>
              <w:rPr>
                <w:rFonts w:hint="eastAsia" w:ascii="宋体" w:hAnsi="宋体" w:eastAsia="宋体" w:cs="宋体"/>
                <w:color w:val="auto"/>
                <w:sz w:val="22"/>
                <w:szCs w:val="22"/>
              </w:rPr>
              <w:t>项目实施计划</w:t>
            </w:r>
          </w:p>
        </w:tc>
        <w:tc>
          <w:tcPr>
            <w:tcW w:w="5540" w:type="dxa"/>
            <w:vAlign w:val="center"/>
          </w:tcPr>
          <w:p>
            <w:pPr>
              <w:tabs>
                <w:tab w:val="left" w:pos="509"/>
              </w:tabs>
              <w:adjustRightInd w:val="0"/>
              <w:snapToGrid w:val="0"/>
              <w:spacing w:line="360" w:lineRule="auto"/>
              <w:ind w:firstLine="330" w:firstLineChars="150"/>
              <w:rPr>
                <w:rFonts w:ascii="宋体" w:hAnsi="宋体" w:eastAsia="宋体" w:cs="宋体"/>
                <w:color w:val="auto"/>
                <w:sz w:val="22"/>
                <w:szCs w:val="22"/>
              </w:rPr>
            </w:pPr>
            <w:r>
              <w:rPr>
                <w:rFonts w:hint="eastAsia" w:ascii="宋体" w:hAnsi="宋体" w:eastAsia="宋体" w:cs="宋体"/>
                <w:color w:val="auto"/>
                <w:sz w:val="22"/>
                <w:szCs w:val="22"/>
              </w:rPr>
              <w:t>根据投标人提供的针对本项目总体要求的理解、项目实施计划、树干打孔注射施工方案，特别是挂牌古树注药保护措施，供货进度保障措施和服务质量等内容进行综合评议打分，无计划不得分。</w:t>
            </w:r>
          </w:p>
          <w:p>
            <w:pPr>
              <w:tabs>
                <w:tab w:val="left" w:pos="509"/>
              </w:tabs>
              <w:adjustRightInd w:val="0"/>
              <w:snapToGrid w:val="0"/>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方案描述合理，符合本地实际情况，可实施性强的得10分；</w:t>
            </w:r>
          </w:p>
          <w:p>
            <w:pPr>
              <w:tabs>
                <w:tab w:val="left" w:pos="509"/>
              </w:tabs>
              <w:adjustRightInd w:val="0"/>
              <w:snapToGrid w:val="0"/>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方案描述合理，符合本地实际情况，可实施性较强的得8分；</w:t>
            </w:r>
          </w:p>
          <w:p>
            <w:pPr>
              <w:tabs>
                <w:tab w:val="left" w:pos="509"/>
              </w:tabs>
              <w:adjustRightInd w:val="0"/>
              <w:snapToGrid w:val="0"/>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方案描述基本合理，符合要求的，可实施性强的得6分；</w:t>
            </w:r>
          </w:p>
          <w:p>
            <w:pPr>
              <w:tabs>
                <w:tab w:val="left" w:pos="509"/>
              </w:tabs>
              <w:adjustRightInd w:val="0"/>
              <w:snapToGrid w:val="0"/>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方案描述基本合理，实施性较强的得4分；</w:t>
            </w:r>
          </w:p>
          <w:p>
            <w:pPr>
              <w:tabs>
                <w:tab w:val="left" w:pos="509"/>
              </w:tabs>
              <w:adjustRightInd w:val="0"/>
              <w:snapToGrid w:val="0"/>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方案部分可行的得2分。</w:t>
            </w:r>
          </w:p>
        </w:tc>
        <w:tc>
          <w:tcPr>
            <w:tcW w:w="1335" w:type="dxa"/>
            <w:vAlign w:val="center"/>
          </w:tcPr>
          <w:p>
            <w:pPr>
              <w:spacing w:line="300" w:lineRule="exact"/>
              <w:jc w:val="center"/>
              <w:rPr>
                <w:rFonts w:ascii="宋体" w:hAnsi="宋体" w:eastAsia="宋体" w:cs="宋体"/>
                <w:color w:val="auto"/>
                <w:sz w:val="22"/>
                <w:szCs w:val="22"/>
              </w:rPr>
            </w:pPr>
            <w:r>
              <w:rPr>
                <w:rFonts w:hint="eastAsia" w:ascii="宋体" w:hAnsi="宋体" w:eastAsia="宋体" w:cs="宋体"/>
                <w:color w:val="auto"/>
                <w:sz w:val="22"/>
                <w:szCs w:val="22"/>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677" w:type="dxa"/>
            <w:vAlign w:val="center"/>
          </w:tcPr>
          <w:p>
            <w:pPr>
              <w:spacing w:line="300" w:lineRule="exact"/>
              <w:jc w:val="center"/>
              <w:rPr>
                <w:rFonts w:ascii="宋体" w:hAnsi="宋体" w:eastAsia="宋体" w:cs="宋体"/>
                <w:color w:val="auto"/>
                <w:sz w:val="22"/>
                <w:szCs w:val="22"/>
              </w:rPr>
            </w:pPr>
            <w:r>
              <w:rPr>
                <w:rFonts w:hint="eastAsia" w:ascii="宋体" w:hAnsi="宋体" w:eastAsia="宋体" w:cs="宋体"/>
                <w:color w:val="auto"/>
                <w:sz w:val="22"/>
                <w:szCs w:val="22"/>
              </w:rPr>
              <w:t>3</w:t>
            </w:r>
          </w:p>
        </w:tc>
        <w:tc>
          <w:tcPr>
            <w:tcW w:w="1803" w:type="dxa"/>
            <w:vAlign w:val="center"/>
          </w:tcPr>
          <w:p>
            <w:pPr>
              <w:spacing w:line="300" w:lineRule="exact"/>
              <w:jc w:val="center"/>
              <w:rPr>
                <w:rFonts w:ascii="宋体" w:hAnsi="宋体" w:eastAsia="宋体" w:cs="宋体"/>
                <w:color w:val="auto"/>
                <w:sz w:val="22"/>
                <w:szCs w:val="22"/>
              </w:rPr>
            </w:pPr>
            <w:r>
              <w:rPr>
                <w:rFonts w:hint="eastAsia" w:ascii="宋体" w:hAnsi="宋体" w:eastAsia="宋体" w:cs="宋体"/>
                <w:color w:val="auto"/>
                <w:sz w:val="22"/>
                <w:szCs w:val="22"/>
              </w:rPr>
              <w:t>技术作业规程</w:t>
            </w:r>
          </w:p>
        </w:tc>
        <w:tc>
          <w:tcPr>
            <w:tcW w:w="5540" w:type="dxa"/>
            <w:vAlign w:val="center"/>
          </w:tcPr>
          <w:p>
            <w:pPr>
              <w:tabs>
                <w:tab w:val="left" w:pos="509"/>
              </w:tabs>
              <w:adjustRightInd w:val="0"/>
              <w:snapToGrid w:val="0"/>
              <w:spacing w:line="360" w:lineRule="auto"/>
              <w:ind w:firstLine="330" w:firstLineChars="150"/>
              <w:rPr>
                <w:rFonts w:ascii="宋体" w:hAnsi="宋体" w:eastAsia="宋体" w:cs="宋体"/>
                <w:color w:val="auto"/>
                <w:sz w:val="22"/>
                <w:szCs w:val="22"/>
              </w:rPr>
            </w:pPr>
            <w:r>
              <w:rPr>
                <w:rFonts w:hint="eastAsia" w:ascii="宋体" w:hAnsi="宋体" w:eastAsia="宋体" w:cs="宋体"/>
                <w:color w:val="auto"/>
                <w:sz w:val="22"/>
                <w:szCs w:val="22"/>
              </w:rPr>
              <w:t>根据投标人提供的松材线虫病防治针剂注射技术规程的规范性、完整性、可靠性、可操作性综合评分</w:t>
            </w:r>
          </w:p>
          <w:p>
            <w:pPr>
              <w:tabs>
                <w:tab w:val="left" w:pos="509"/>
              </w:tabs>
              <w:adjustRightInd w:val="0"/>
              <w:snapToGrid w:val="0"/>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注射技术规程描述完整，可靠规范，可实施性强的得6分；</w:t>
            </w:r>
          </w:p>
          <w:p>
            <w:pPr>
              <w:tabs>
                <w:tab w:val="left" w:pos="509"/>
              </w:tabs>
              <w:adjustRightInd w:val="0"/>
              <w:snapToGrid w:val="0"/>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注射技术规程描述较为完整，可靠规范，可实施性强的得4分；</w:t>
            </w:r>
          </w:p>
          <w:p>
            <w:pPr>
              <w:tabs>
                <w:tab w:val="left" w:pos="509"/>
              </w:tabs>
              <w:adjustRightInd w:val="0"/>
              <w:snapToGrid w:val="0"/>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注射技术规程描述较为完整，可靠规范，可实施性较强的得2分；</w:t>
            </w:r>
          </w:p>
          <w:p>
            <w:pPr>
              <w:tabs>
                <w:tab w:val="left" w:pos="509"/>
              </w:tabs>
              <w:adjustRightInd w:val="0"/>
              <w:snapToGrid w:val="0"/>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注射技术规程部分可行的得1分。</w:t>
            </w:r>
          </w:p>
        </w:tc>
        <w:tc>
          <w:tcPr>
            <w:tcW w:w="1335" w:type="dxa"/>
            <w:vAlign w:val="center"/>
          </w:tcPr>
          <w:p>
            <w:pPr>
              <w:spacing w:line="300" w:lineRule="exact"/>
              <w:jc w:val="center"/>
              <w:rPr>
                <w:rFonts w:ascii="宋体" w:hAnsi="宋体" w:eastAsia="宋体" w:cs="宋体"/>
                <w:color w:val="auto"/>
                <w:sz w:val="22"/>
                <w:szCs w:val="22"/>
              </w:rPr>
            </w:pPr>
            <w:r>
              <w:rPr>
                <w:rFonts w:hint="eastAsia" w:ascii="宋体" w:hAnsi="宋体" w:eastAsia="宋体" w:cs="宋体"/>
                <w:color w:val="auto"/>
                <w:sz w:val="22"/>
                <w:szCs w:val="22"/>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677" w:type="dxa"/>
            <w:vMerge w:val="restart"/>
            <w:vAlign w:val="center"/>
          </w:tcPr>
          <w:p>
            <w:pPr>
              <w:spacing w:line="300" w:lineRule="exact"/>
              <w:jc w:val="center"/>
              <w:rPr>
                <w:rFonts w:ascii="宋体" w:hAnsi="宋体" w:eastAsia="宋体" w:cs="宋体"/>
                <w:color w:val="auto"/>
                <w:sz w:val="22"/>
                <w:szCs w:val="22"/>
              </w:rPr>
            </w:pPr>
            <w:r>
              <w:rPr>
                <w:rFonts w:hint="eastAsia" w:ascii="宋体" w:hAnsi="宋体" w:eastAsia="宋体" w:cs="宋体"/>
                <w:color w:val="auto"/>
                <w:sz w:val="22"/>
                <w:szCs w:val="22"/>
              </w:rPr>
              <w:t>4</w:t>
            </w:r>
          </w:p>
        </w:tc>
        <w:tc>
          <w:tcPr>
            <w:tcW w:w="1803" w:type="dxa"/>
            <w:vMerge w:val="restart"/>
            <w:vAlign w:val="center"/>
          </w:tcPr>
          <w:p>
            <w:pPr>
              <w:spacing w:line="300" w:lineRule="exact"/>
              <w:jc w:val="center"/>
              <w:rPr>
                <w:rFonts w:ascii="宋体" w:hAnsi="宋体" w:eastAsia="宋体" w:cs="宋体"/>
                <w:b/>
                <w:color w:val="auto"/>
                <w:sz w:val="22"/>
                <w:szCs w:val="22"/>
              </w:rPr>
            </w:pPr>
            <w:r>
              <w:rPr>
                <w:rFonts w:hint="eastAsia" w:ascii="宋体" w:hAnsi="宋体" w:eastAsia="宋体" w:cs="宋体"/>
                <w:bCs/>
                <w:color w:val="auto"/>
                <w:sz w:val="22"/>
                <w:szCs w:val="22"/>
              </w:rPr>
              <w:t>项目质量保证措施</w:t>
            </w:r>
          </w:p>
        </w:tc>
        <w:tc>
          <w:tcPr>
            <w:tcW w:w="5540" w:type="dxa"/>
            <w:vAlign w:val="center"/>
          </w:tcPr>
          <w:p>
            <w:pPr>
              <w:spacing w:line="360" w:lineRule="auto"/>
              <w:ind w:firstLine="330" w:firstLineChars="150"/>
              <w:jc w:val="left"/>
              <w:rPr>
                <w:rFonts w:ascii="宋体" w:hAnsi="宋体" w:eastAsia="宋体" w:cs="宋体"/>
                <w:color w:val="auto"/>
                <w:sz w:val="22"/>
                <w:szCs w:val="22"/>
              </w:rPr>
            </w:pPr>
            <w:r>
              <w:rPr>
                <w:rFonts w:hint="eastAsia" w:ascii="宋体" w:hAnsi="宋体" w:eastAsia="宋体" w:cs="宋体"/>
                <w:color w:val="auto"/>
                <w:sz w:val="22"/>
                <w:szCs w:val="22"/>
              </w:rPr>
              <w:t>提供农药生产产家用于本项目打孔注药的产品质量保证承诺书的得3分。</w:t>
            </w:r>
          </w:p>
          <w:p>
            <w:pPr>
              <w:spacing w:line="360" w:lineRule="auto"/>
              <w:ind w:firstLine="330" w:firstLineChars="150"/>
              <w:jc w:val="left"/>
              <w:rPr>
                <w:rFonts w:ascii="宋体" w:hAnsi="宋体" w:eastAsia="宋体" w:cs="宋体"/>
                <w:color w:val="auto"/>
                <w:sz w:val="22"/>
                <w:szCs w:val="22"/>
              </w:rPr>
            </w:pPr>
            <w:r>
              <w:rPr>
                <w:rFonts w:hint="eastAsia" w:ascii="宋体" w:hAnsi="宋体" w:eastAsia="宋体" w:cs="宋体"/>
                <w:color w:val="auto"/>
                <w:sz w:val="22"/>
                <w:szCs w:val="22"/>
              </w:rPr>
              <w:t>提供原件扫描件，</w:t>
            </w:r>
            <w:r>
              <w:rPr>
                <w:rFonts w:hint="eastAsia" w:ascii="宋体" w:hAnsi="宋体" w:eastAsia="宋体" w:cs="宋体"/>
                <w:snapToGrid w:val="0"/>
                <w:color w:val="auto"/>
                <w:sz w:val="22"/>
                <w:szCs w:val="22"/>
              </w:rPr>
              <w:t>未提供本项不得分</w:t>
            </w:r>
          </w:p>
        </w:tc>
        <w:tc>
          <w:tcPr>
            <w:tcW w:w="1335" w:type="dxa"/>
            <w:vAlign w:val="center"/>
          </w:tcPr>
          <w:p>
            <w:pPr>
              <w:spacing w:line="300" w:lineRule="exact"/>
              <w:jc w:val="center"/>
              <w:rPr>
                <w:rFonts w:ascii="宋体" w:hAnsi="宋体" w:eastAsia="宋体" w:cs="宋体"/>
                <w:bCs/>
                <w:color w:val="auto"/>
                <w:sz w:val="22"/>
                <w:szCs w:val="22"/>
              </w:rPr>
            </w:pPr>
            <w:r>
              <w:rPr>
                <w:rFonts w:hint="eastAsia" w:ascii="宋体" w:hAnsi="宋体" w:eastAsia="宋体" w:cs="宋体"/>
                <w:bCs/>
                <w:color w:val="auto"/>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677" w:type="dxa"/>
            <w:vMerge w:val="continue"/>
            <w:vAlign w:val="center"/>
          </w:tcPr>
          <w:p>
            <w:pPr>
              <w:spacing w:line="300" w:lineRule="exact"/>
              <w:jc w:val="center"/>
              <w:rPr>
                <w:rFonts w:ascii="宋体" w:hAnsi="宋体" w:eastAsia="宋体" w:cs="宋体"/>
                <w:color w:val="auto"/>
                <w:sz w:val="22"/>
                <w:szCs w:val="22"/>
              </w:rPr>
            </w:pPr>
          </w:p>
        </w:tc>
        <w:tc>
          <w:tcPr>
            <w:tcW w:w="1803" w:type="dxa"/>
            <w:vMerge w:val="continue"/>
            <w:vAlign w:val="center"/>
          </w:tcPr>
          <w:p>
            <w:pPr>
              <w:spacing w:line="300" w:lineRule="exact"/>
              <w:jc w:val="center"/>
              <w:rPr>
                <w:rFonts w:ascii="宋体" w:hAnsi="宋体" w:eastAsia="宋体" w:cs="宋体"/>
                <w:bCs/>
                <w:color w:val="auto"/>
                <w:sz w:val="22"/>
                <w:szCs w:val="22"/>
              </w:rPr>
            </w:pPr>
          </w:p>
        </w:tc>
        <w:tc>
          <w:tcPr>
            <w:tcW w:w="5540" w:type="dxa"/>
            <w:vAlign w:val="center"/>
          </w:tcPr>
          <w:p>
            <w:pPr>
              <w:spacing w:line="360" w:lineRule="auto"/>
              <w:ind w:firstLine="330" w:firstLineChars="150"/>
              <w:jc w:val="left"/>
              <w:rPr>
                <w:rFonts w:ascii="宋体" w:hAnsi="宋体" w:eastAsia="宋体" w:cs="宋体"/>
                <w:color w:val="auto"/>
                <w:kern w:val="0"/>
                <w:sz w:val="22"/>
                <w:szCs w:val="22"/>
              </w:rPr>
            </w:pPr>
            <w:r>
              <w:rPr>
                <w:rFonts w:hint="eastAsia" w:ascii="宋体" w:hAnsi="宋体" w:eastAsia="宋体" w:cs="宋体"/>
                <w:color w:val="auto"/>
                <w:sz w:val="22"/>
                <w:szCs w:val="22"/>
              </w:rPr>
              <w:t>由评委</w:t>
            </w:r>
            <w:r>
              <w:rPr>
                <w:rFonts w:hint="eastAsia" w:ascii="宋体" w:hAnsi="宋体" w:eastAsia="宋体" w:cs="宋体"/>
                <w:bCs/>
                <w:color w:val="auto"/>
                <w:sz w:val="22"/>
                <w:szCs w:val="22"/>
              </w:rPr>
              <w:t>对项目质量保证措施的详细描述进行综合打分</w:t>
            </w:r>
            <w:r>
              <w:rPr>
                <w:rFonts w:hint="eastAsia" w:ascii="宋体" w:hAnsi="宋体" w:eastAsia="宋体" w:cs="宋体"/>
                <w:color w:val="auto"/>
                <w:sz w:val="22"/>
                <w:szCs w:val="22"/>
              </w:rPr>
              <w:t>，确保</w:t>
            </w:r>
            <w:r>
              <w:rPr>
                <w:rFonts w:hint="eastAsia" w:ascii="宋体" w:hAnsi="宋体" w:eastAsia="宋体" w:cs="宋体"/>
                <w:color w:val="auto"/>
                <w:kern w:val="0"/>
                <w:sz w:val="22"/>
                <w:szCs w:val="22"/>
              </w:rPr>
              <w:t>漏缺率≤0.1%，成活率≥99%，</w:t>
            </w:r>
          </w:p>
          <w:p>
            <w:pPr>
              <w:spacing w:line="360" w:lineRule="auto"/>
              <w:ind w:firstLine="330" w:firstLineChars="150"/>
              <w:jc w:val="left"/>
              <w:rPr>
                <w:rFonts w:ascii="宋体" w:hAnsi="宋体" w:eastAsia="宋体" w:cs="宋体"/>
                <w:color w:val="auto"/>
                <w:sz w:val="22"/>
                <w:szCs w:val="22"/>
              </w:rPr>
            </w:pPr>
            <w:r>
              <w:rPr>
                <w:rFonts w:hint="eastAsia" w:ascii="宋体" w:hAnsi="宋体" w:eastAsia="宋体" w:cs="宋体"/>
                <w:bCs/>
                <w:color w:val="auto"/>
                <w:sz w:val="22"/>
                <w:szCs w:val="22"/>
              </w:rPr>
              <w:t>质量保证措施</w:t>
            </w:r>
            <w:r>
              <w:rPr>
                <w:rFonts w:hint="eastAsia" w:ascii="宋体" w:hAnsi="宋体" w:eastAsia="宋体" w:cs="宋体"/>
                <w:color w:val="auto"/>
                <w:sz w:val="22"/>
                <w:szCs w:val="22"/>
              </w:rPr>
              <w:t>方案</w:t>
            </w:r>
            <w:r>
              <w:rPr>
                <w:rFonts w:hint="eastAsia" w:ascii="宋体" w:hAnsi="宋体" w:eastAsia="宋体" w:cs="宋体"/>
                <w:bCs/>
                <w:color w:val="auto"/>
                <w:sz w:val="22"/>
                <w:szCs w:val="22"/>
              </w:rPr>
              <w:t>措施</w:t>
            </w:r>
            <w:r>
              <w:rPr>
                <w:rFonts w:hint="eastAsia" w:ascii="宋体" w:hAnsi="宋体" w:eastAsia="宋体" w:cs="宋体"/>
                <w:color w:val="auto"/>
                <w:sz w:val="22"/>
                <w:szCs w:val="22"/>
              </w:rPr>
              <w:t>制定合理，符合本地实际情况，</w:t>
            </w:r>
            <w:r>
              <w:rPr>
                <w:rFonts w:hint="eastAsia" w:ascii="宋体" w:hAnsi="宋体" w:eastAsia="宋体" w:cs="宋体"/>
                <w:color w:val="auto"/>
                <w:kern w:val="0"/>
                <w:sz w:val="22"/>
                <w:szCs w:val="22"/>
              </w:rPr>
              <w:t>漏缺率、成活率</w:t>
            </w:r>
            <w:r>
              <w:rPr>
                <w:rFonts w:hint="eastAsia" w:ascii="宋体" w:hAnsi="宋体" w:eastAsia="宋体" w:cs="宋体"/>
                <w:color w:val="auto"/>
                <w:sz w:val="22"/>
                <w:szCs w:val="22"/>
              </w:rPr>
              <w:t>符合项目要求的得6分；</w:t>
            </w:r>
          </w:p>
          <w:p>
            <w:pPr>
              <w:spacing w:line="360" w:lineRule="auto"/>
              <w:ind w:firstLine="330" w:firstLineChars="150"/>
              <w:jc w:val="left"/>
              <w:rPr>
                <w:rFonts w:ascii="宋体" w:hAnsi="宋体" w:eastAsia="宋体" w:cs="宋体"/>
                <w:color w:val="auto"/>
                <w:sz w:val="22"/>
                <w:szCs w:val="22"/>
              </w:rPr>
            </w:pPr>
            <w:r>
              <w:rPr>
                <w:rFonts w:hint="eastAsia" w:ascii="宋体" w:hAnsi="宋体" w:eastAsia="宋体" w:cs="宋体"/>
                <w:bCs/>
                <w:color w:val="auto"/>
                <w:sz w:val="22"/>
                <w:szCs w:val="22"/>
              </w:rPr>
              <w:t>质量保证措施</w:t>
            </w:r>
            <w:r>
              <w:rPr>
                <w:rFonts w:hint="eastAsia" w:ascii="宋体" w:hAnsi="宋体" w:eastAsia="宋体" w:cs="宋体"/>
                <w:color w:val="auto"/>
                <w:sz w:val="22"/>
                <w:szCs w:val="22"/>
              </w:rPr>
              <w:t>方案</w:t>
            </w:r>
            <w:r>
              <w:rPr>
                <w:rFonts w:hint="eastAsia" w:ascii="宋体" w:hAnsi="宋体" w:eastAsia="宋体" w:cs="宋体"/>
                <w:bCs/>
                <w:color w:val="auto"/>
                <w:sz w:val="22"/>
                <w:szCs w:val="22"/>
              </w:rPr>
              <w:t>措施</w:t>
            </w:r>
            <w:r>
              <w:rPr>
                <w:rFonts w:hint="eastAsia" w:ascii="宋体" w:hAnsi="宋体" w:eastAsia="宋体" w:cs="宋体"/>
                <w:color w:val="auto"/>
                <w:sz w:val="22"/>
                <w:szCs w:val="22"/>
              </w:rPr>
              <w:t>制定较为合理，符合本地实际情况，</w:t>
            </w:r>
            <w:r>
              <w:rPr>
                <w:rFonts w:hint="eastAsia" w:ascii="宋体" w:hAnsi="宋体" w:eastAsia="宋体" w:cs="宋体"/>
                <w:color w:val="auto"/>
                <w:kern w:val="0"/>
                <w:sz w:val="22"/>
                <w:szCs w:val="22"/>
              </w:rPr>
              <w:t>漏缺率、成活率</w:t>
            </w:r>
            <w:r>
              <w:rPr>
                <w:rFonts w:hint="eastAsia" w:ascii="宋体" w:hAnsi="宋体" w:eastAsia="宋体" w:cs="宋体"/>
                <w:color w:val="auto"/>
                <w:sz w:val="22"/>
                <w:szCs w:val="22"/>
              </w:rPr>
              <w:t>符合项目要求的得4分；</w:t>
            </w:r>
          </w:p>
          <w:p>
            <w:pPr>
              <w:spacing w:line="360" w:lineRule="auto"/>
              <w:ind w:firstLine="330" w:firstLineChars="150"/>
              <w:jc w:val="left"/>
              <w:rPr>
                <w:rFonts w:ascii="宋体" w:hAnsi="宋体" w:eastAsia="宋体" w:cs="宋体"/>
                <w:color w:val="auto"/>
                <w:sz w:val="22"/>
                <w:szCs w:val="22"/>
              </w:rPr>
            </w:pPr>
            <w:r>
              <w:rPr>
                <w:rFonts w:hint="eastAsia" w:ascii="宋体" w:hAnsi="宋体" w:eastAsia="宋体" w:cs="宋体"/>
                <w:bCs/>
                <w:color w:val="auto"/>
                <w:sz w:val="22"/>
                <w:szCs w:val="22"/>
              </w:rPr>
              <w:t>质量保证措施</w:t>
            </w:r>
            <w:r>
              <w:rPr>
                <w:rFonts w:hint="eastAsia" w:ascii="宋体" w:hAnsi="宋体" w:eastAsia="宋体" w:cs="宋体"/>
                <w:color w:val="auto"/>
                <w:sz w:val="22"/>
                <w:szCs w:val="22"/>
              </w:rPr>
              <w:t>方案</w:t>
            </w:r>
            <w:r>
              <w:rPr>
                <w:rFonts w:hint="eastAsia" w:ascii="宋体" w:hAnsi="宋体" w:eastAsia="宋体" w:cs="宋体"/>
                <w:bCs/>
                <w:color w:val="auto"/>
                <w:sz w:val="22"/>
                <w:szCs w:val="22"/>
              </w:rPr>
              <w:t>措施</w:t>
            </w:r>
            <w:r>
              <w:rPr>
                <w:rFonts w:hint="eastAsia" w:ascii="宋体" w:hAnsi="宋体" w:eastAsia="宋体" w:cs="宋体"/>
                <w:color w:val="auto"/>
                <w:sz w:val="22"/>
                <w:szCs w:val="22"/>
              </w:rPr>
              <w:t>制定较为合理，</w:t>
            </w:r>
            <w:r>
              <w:rPr>
                <w:rFonts w:hint="eastAsia" w:ascii="宋体" w:hAnsi="宋体" w:eastAsia="宋体" w:cs="宋体"/>
                <w:color w:val="auto"/>
                <w:kern w:val="0"/>
                <w:sz w:val="22"/>
                <w:szCs w:val="22"/>
              </w:rPr>
              <w:t>漏缺率、成活率</w:t>
            </w:r>
            <w:r>
              <w:rPr>
                <w:rFonts w:hint="eastAsia" w:ascii="宋体" w:hAnsi="宋体" w:eastAsia="宋体" w:cs="宋体"/>
                <w:color w:val="auto"/>
                <w:sz w:val="22"/>
                <w:szCs w:val="22"/>
              </w:rPr>
              <w:t>符合项目要求的得2分；</w:t>
            </w:r>
          </w:p>
          <w:p>
            <w:pPr>
              <w:spacing w:line="360" w:lineRule="auto"/>
              <w:ind w:firstLine="330" w:firstLineChars="150"/>
              <w:jc w:val="left"/>
              <w:rPr>
                <w:rFonts w:ascii="宋体" w:hAnsi="宋体" w:eastAsia="宋体" w:cs="宋体"/>
                <w:color w:val="auto"/>
                <w:sz w:val="22"/>
                <w:szCs w:val="22"/>
              </w:rPr>
            </w:pPr>
            <w:r>
              <w:rPr>
                <w:rFonts w:hint="eastAsia" w:ascii="宋体" w:hAnsi="宋体" w:eastAsia="宋体" w:cs="宋体"/>
                <w:color w:val="auto"/>
                <w:sz w:val="22"/>
                <w:szCs w:val="22"/>
              </w:rPr>
              <w:t>方案部分可行的，</w:t>
            </w:r>
            <w:r>
              <w:rPr>
                <w:rFonts w:hint="eastAsia" w:ascii="宋体" w:hAnsi="宋体" w:eastAsia="宋体" w:cs="宋体"/>
                <w:color w:val="auto"/>
                <w:kern w:val="0"/>
                <w:sz w:val="22"/>
                <w:szCs w:val="22"/>
              </w:rPr>
              <w:t>漏缺率、成活率</w:t>
            </w:r>
            <w:r>
              <w:rPr>
                <w:rFonts w:hint="eastAsia" w:ascii="宋体" w:hAnsi="宋体" w:eastAsia="宋体" w:cs="宋体"/>
                <w:color w:val="auto"/>
                <w:sz w:val="22"/>
                <w:szCs w:val="22"/>
              </w:rPr>
              <w:t>符合项目要求的得1分。</w:t>
            </w:r>
          </w:p>
        </w:tc>
        <w:tc>
          <w:tcPr>
            <w:tcW w:w="1335" w:type="dxa"/>
            <w:vAlign w:val="center"/>
          </w:tcPr>
          <w:p>
            <w:pPr>
              <w:spacing w:line="300" w:lineRule="exact"/>
              <w:jc w:val="center"/>
              <w:rPr>
                <w:rFonts w:ascii="宋体" w:hAnsi="宋体" w:eastAsia="宋体" w:cs="宋体"/>
                <w:bCs/>
                <w:color w:val="auto"/>
                <w:sz w:val="22"/>
                <w:szCs w:val="22"/>
              </w:rPr>
            </w:pPr>
            <w:r>
              <w:rPr>
                <w:rFonts w:hint="eastAsia" w:ascii="宋体" w:hAnsi="宋体" w:eastAsia="宋体" w:cs="宋体"/>
                <w:bCs/>
                <w:color w:val="auto"/>
                <w:sz w:val="22"/>
                <w:szCs w:val="22"/>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jc w:val="center"/>
        </w:trPr>
        <w:tc>
          <w:tcPr>
            <w:tcW w:w="677" w:type="dxa"/>
            <w:vAlign w:val="center"/>
          </w:tcPr>
          <w:p>
            <w:pPr>
              <w:spacing w:line="300" w:lineRule="exact"/>
              <w:jc w:val="center"/>
              <w:rPr>
                <w:rFonts w:ascii="宋体" w:hAnsi="宋体" w:eastAsia="宋体" w:cs="宋体"/>
                <w:color w:val="auto"/>
                <w:sz w:val="22"/>
                <w:szCs w:val="22"/>
              </w:rPr>
            </w:pPr>
            <w:r>
              <w:rPr>
                <w:rFonts w:hint="eastAsia" w:ascii="宋体" w:hAnsi="宋体" w:eastAsia="宋体" w:cs="宋体"/>
                <w:color w:val="auto"/>
                <w:sz w:val="22"/>
                <w:szCs w:val="22"/>
              </w:rPr>
              <w:t>5</w:t>
            </w:r>
          </w:p>
        </w:tc>
        <w:tc>
          <w:tcPr>
            <w:tcW w:w="1803" w:type="dxa"/>
            <w:vAlign w:val="center"/>
          </w:tcPr>
          <w:p>
            <w:pPr>
              <w:spacing w:line="300" w:lineRule="exact"/>
              <w:jc w:val="center"/>
              <w:rPr>
                <w:rFonts w:ascii="宋体" w:hAnsi="宋体" w:eastAsia="宋体" w:cs="宋体"/>
                <w:color w:val="auto"/>
                <w:sz w:val="22"/>
                <w:szCs w:val="22"/>
              </w:rPr>
            </w:pPr>
            <w:r>
              <w:rPr>
                <w:rFonts w:hint="eastAsia" w:ascii="宋体" w:hAnsi="宋体" w:eastAsia="宋体" w:cs="宋体"/>
                <w:color w:val="auto"/>
                <w:sz w:val="22"/>
                <w:szCs w:val="22"/>
              </w:rPr>
              <w:t>农药安全防范措施方案</w:t>
            </w:r>
          </w:p>
        </w:tc>
        <w:tc>
          <w:tcPr>
            <w:tcW w:w="5540" w:type="dxa"/>
            <w:vAlign w:val="center"/>
          </w:tcPr>
          <w:p>
            <w:pPr>
              <w:spacing w:line="360" w:lineRule="auto"/>
              <w:ind w:firstLine="330" w:firstLineChars="150"/>
              <w:rPr>
                <w:rFonts w:ascii="宋体" w:hAnsi="宋体" w:eastAsia="宋体" w:cs="宋体"/>
                <w:color w:val="auto"/>
                <w:sz w:val="22"/>
                <w:szCs w:val="22"/>
              </w:rPr>
            </w:pPr>
            <w:r>
              <w:rPr>
                <w:rFonts w:hint="eastAsia" w:ascii="宋体" w:hAnsi="宋体" w:eastAsia="宋体" w:cs="宋体"/>
                <w:color w:val="auto"/>
                <w:sz w:val="22"/>
                <w:szCs w:val="22"/>
              </w:rPr>
              <w:t>由评委</w:t>
            </w:r>
            <w:r>
              <w:rPr>
                <w:rFonts w:hint="eastAsia" w:ascii="宋体" w:hAnsi="宋体" w:eastAsia="宋体" w:cs="宋体"/>
                <w:bCs/>
                <w:color w:val="auto"/>
                <w:sz w:val="22"/>
                <w:szCs w:val="22"/>
              </w:rPr>
              <w:t>对项目</w:t>
            </w:r>
            <w:r>
              <w:rPr>
                <w:rFonts w:hint="eastAsia" w:ascii="宋体" w:hAnsi="宋体" w:eastAsia="宋体" w:cs="宋体"/>
                <w:color w:val="auto"/>
                <w:sz w:val="22"/>
                <w:szCs w:val="22"/>
              </w:rPr>
              <w:t>农药安全防范措施方案的描述。人、畜、生态环境（包括但不限于空气污染和水源污染）等方面的影响进行综合打分</w:t>
            </w:r>
          </w:p>
          <w:p>
            <w:pPr>
              <w:spacing w:line="360" w:lineRule="auto"/>
              <w:ind w:firstLine="330" w:firstLineChars="150"/>
              <w:jc w:val="left"/>
              <w:rPr>
                <w:rFonts w:ascii="宋体" w:hAnsi="宋体" w:eastAsia="宋体" w:cs="宋体"/>
                <w:color w:val="auto"/>
                <w:sz w:val="22"/>
                <w:szCs w:val="22"/>
              </w:rPr>
            </w:pPr>
            <w:r>
              <w:rPr>
                <w:rFonts w:hint="eastAsia" w:ascii="宋体" w:hAnsi="宋体" w:eastAsia="宋体" w:cs="宋体"/>
                <w:bCs/>
                <w:color w:val="auto"/>
                <w:sz w:val="22"/>
                <w:szCs w:val="22"/>
              </w:rPr>
              <w:t>农药安全防范措施方案描述完整</w:t>
            </w:r>
            <w:r>
              <w:rPr>
                <w:rFonts w:hint="eastAsia" w:ascii="宋体" w:hAnsi="宋体" w:eastAsia="宋体" w:cs="宋体"/>
                <w:color w:val="auto"/>
                <w:sz w:val="22"/>
                <w:szCs w:val="22"/>
              </w:rPr>
              <w:t>，对人、畜、生态环境影响小的得6分；</w:t>
            </w:r>
          </w:p>
          <w:p>
            <w:pPr>
              <w:spacing w:line="360" w:lineRule="auto"/>
              <w:ind w:firstLine="330" w:firstLineChars="150"/>
              <w:jc w:val="left"/>
              <w:rPr>
                <w:rFonts w:ascii="宋体" w:hAnsi="宋体" w:eastAsia="宋体" w:cs="宋体"/>
                <w:color w:val="auto"/>
                <w:sz w:val="22"/>
                <w:szCs w:val="22"/>
              </w:rPr>
            </w:pPr>
            <w:r>
              <w:rPr>
                <w:rFonts w:hint="eastAsia" w:ascii="宋体" w:hAnsi="宋体" w:eastAsia="宋体" w:cs="宋体"/>
                <w:bCs/>
                <w:color w:val="auto"/>
                <w:sz w:val="22"/>
                <w:szCs w:val="22"/>
              </w:rPr>
              <w:t>农药安全防范措施方案描述较为完整</w:t>
            </w:r>
            <w:r>
              <w:rPr>
                <w:rFonts w:hint="eastAsia" w:ascii="宋体" w:hAnsi="宋体" w:eastAsia="宋体" w:cs="宋体"/>
                <w:color w:val="auto"/>
                <w:sz w:val="22"/>
                <w:szCs w:val="22"/>
              </w:rPr>
              <w:t>，对人、畜、生态环境影响小的得4分；</w:t>
            </w:r>
          </w:p>
          <w:p>
            <w:pPr>
              <w:spacing w:line="360" w:lineRule="auto"/>
              <w:ind w:firstLine="330" w:firstLineChars="150"/>
              <w:jc w:val="left"/>
              <w:rPr>
                <w:rFonts w:ascii="宋体" w:hAnsi="宋体" w:eastAsia="宋体" w:cs="宋体"/>
                <w:color w:val="auto"/>
                <w:sz w:val="22"/>
                <w:szCs w:val="22"/>
              </w:rPr>
            </w:pPr>
            <w:r>
              <w:rPr>
                <w:rFonts w:hint="eastAsia" w:ascii="宋体" w:hAnsi="宋体" w:eastAsia="宋体" w:cs="宋体"/>
                <w:bCs/>
                <w:color w:val="auto"/>
                <w:sz w:val="22"/>
                <w:szCs w:val="22"/>
              </w:rPr>
              <w:t>农药安全防范措施方案描述较为完整</w:t>
            </w:r>
            <w:r>
              <w:rPr>
                <w:rFonts w:hint="eastAsia" w:ascii="宋体" w:hAnsi="宋体" w:eastAsia="宋体" w:cs="宋体"/>
                <w:color w:val="auto"/>
                <w:sz w:val="22"/>
                <w:szCs w:val="22"/>
              </w:rPr>
              <w:t>，对人、畜、生态环境影响较小的得2分；</w:t>
            </w:r>
          </w:p>
        </w:tc>
        <w:tc>
          <w:tcPr>
            <w:tcW w:w="1335" w:type="dxa"/>
            <w:vAlign w:val="center"/>
          </w:tcPr>
          <w:p>
            <w:pPr>
              <w:spacing w:line="300" w:lineRule="exact"/>
              <w:jc w:val="center"/>
              <w:rPr>
                <w:rFonts w:ascii="宋体" w:hAnsi="宋体" w:eastAsia="宋体" w:cs="宋体"/>
                <w:bCs/>
                <w:color w:val="auto"/>
                <w:sz w:val="22"/>
                <w:szCs w:val="22"/>
              </w:rPr>
            </w:pPr>
            <w:r>
              <w:rPr>
                <w:rFonts w:hint="eastAsia" w:ascii="宋体" w:hAnsi="宋体" w:eastAsia="宋体" w:cs="宋体"/>
                <w:bCs/>
                <w:color w:val="auto"/>
                <w:sz w:val="22"/>
                <w:szCs w:val="22"/>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jc w:val="center"/>
        </w:trPr>
        <w:tc>
          <w:tcPr>
            <w:tcW w:w="677" w:type="dxa"/>
            <w:vAlign w:val="center"/>
          </w:tcPr>
          <w:p>
            <w:pPr>
              <w:spacing w:line="300" w:lineRule="exact"/>
              <w:jc w:val="center"/>
              <w:rPr>
                <w:rFonts w:ascii="宋体" w:hAnsi="宋体" w:eastAsia="宋体" w:cs="宋体"/>
                <w:color w:val="auto"/>
                <w:sz w:val="22"/>
                <w:szCs w:val="22"/>
              </w:rPr>
            </w:pPr>
            <w:r>
              <w:rPr>
                <w:rFonts w:hint="eastAsia" w:ascii="宋体" w:hAnsi="宋体" w:eastAsia="宋体" w:cs="宋体"/>
                <w:color w:val="auto"/>
                <w:sz w:val="22"/>
                <w:szCs w:val="22"/>
              </w:rPr>
              <w:t>6</w:t>
            </w:r>
          </w:p>
        </w:tc>
        <w:tc>
          <w:tcPr>
            <w:tcW w:w="1803" w:type="dxa"/>
            <w:vAlign w:val="center"/>
          </w:tcPr>
          <w:p>
            <w:pPr>
              <w:spacing w:line="300" w:lineRule="exact"/>
              <w:jc w:val="center"/>
              <w:rPr>
                <w:rFonts w:ascii="宋体" w:hAnsi="宋体" w:eastAsia="宋体" w:cs="宋体"/>
                <w:color w:val="auto"/>
                <w:sz w:val="22"/>
                <w:szCs w:val="22"/>
              </w:rPr>
            </w:pPr>
            <w:r>
              <w:rPr>
                <w:rFonts w:hint="eastAsia" w:ascii="宋体" w:hAnsi="宋体" w:eastAsia="宋体" w:cs="宋体"/>
                <w:color w:val="auto"/>
                <w:sz w:val="22"/>
                <w:szCs w:val="22"/>
              </w:rPr>
              <w:t>注药定位数据在“浙江数字森防”系统落地上图方案</w:t>
            </w:r>
          </w:p>
        </w:tc>
        <w:tc>
          <w:tcPr>
            <w:tcW w:w="5540" w:type="dxa"/>
            <w:vAlign w:val="center"/>
          </w:tcPr>
          <w:p>
            <w:pPr>
              <w:spacing w:line="360" w:lineRule="auto"/>
              <w:ind w:firstLine="330" w:firstLineChars="150"/>
              <w:rPr>
                <w:rFonts w:ascii="宋体" w:hAnsi="宋体" w:eastAsia="宋体" w:cs="宋体"/>
                <w:color w:val="auto"/>
                <w:sz w:val="22"/>
                <w:szCs w:val="22"/>
              </w:rPr>
            </w:pPr>
            <w:r>
              <w:rPr>
                <w:rFonts w:hint="eastAsia" w:ascii="宋体" w:hAnsi="宋体" w:eastAsia="宋体" w:cs="宋体"/>
                <w:color w:val="auto"/>
                <w:sz w:val="22"/>
                <w:szCs w:val="22"/>
              </w:rPr>
              <w:t>完成树干施药流程后，使用“数字森防”手机APP”打孔注药模块，上传注药松树的定位、胸径、注药类型、注药瓶数及注药照片等数据，按要求同步上传相应数据。由评委对系统落地上图方案进行综合打分，</w:t>
            </w:r>
          </w:p>
          <w:p>
            <w:pPr>
              <w:spacing w:line="360" w:lineRule="auto"/>
              <w:ind w:firstLine="330" w:firstLineChars="150"/>
              <w:rPr>
                <w:rFonts w:ascii="宋体" w:hAnsi="宋体" w:eastAsia="宋体" w:cs="宋体"/>
                <w:color w:val="auto"/>
                <w:sz w:val="22"/>
                <w:szCs w:val="22"/>
              </w:rPr>
            </w:pPr>
            <w:r>
              <w:rPr>
                <w:rFonts w:hint="eastAsia" w:ascii="宋体" w:hAnsi="宋体" w:eastAsia="宋体" w:cs="宋体"/>
                <w:color w:val="auto"/>
                <w:sz w:val="22"/>
                <w:szCs w:val="22"/>
              </w:rPr>
              <w:t>方案描述详细合理，综合本地实际情况，可实施性强的得8分；</w:t>
            </w:r>
          </w:p>
          <w:p>
            <w:pPr>
              <w:spacing w:line="360" w:lineRule="auto"/>
              <w:ind w:firstLine="330" w:firstLineChars="150"/>
              <w:rPr>
                <w:rFonts w:ascii="宋体" w:hAnsi="宋体" w:eastAsia="宋体" w:cs="宋体"/>
                <w:color w:val="auto"/>
                <w:sz w:val="22"/>
                <w:szCs w:val="22"/>
              </w:rPr>
            </w:pPr>
            <w:r>
              <w:rPr>
                <w:rFonts w:hint="eastAsia" w:ascii="宋体" w:hAnsi="宋体" w:eastAsia="宋体" w:cs="宋体"/>
                <w:color w:val="auto"/>
                <w:sz w:val="22"/>
                <w:szCs w:val="22"/>
              </w:rPr>
              <w:t>方案描述详细合理，综合本地实际情况，可实施性较强的得5分；</w:t>
            </w:r>
          </w:p>
          <w:p>
            <w:pPr>
              <w:spacing w:line="360" w:lineRule="auto"/>
              <w:ind w:firstLine="330" w:firstLineChars="150"/>
              <w:rPr>
                <w:rFonts w:ascii="宋体" w:hAnsi="宋体" w:eastAsia="宋体" w:cs="宋体"/>
                <w:color w:val="auto"/>
                <w:sz w:val="22"/>
                <w:szCs w:val="22"/>
              </w:rPr>
            </w:pPr>
            <w:r>
              <w:rPr>
                <w:rFonts w:hint="eastAsia" w:ascii="宋体" w:hAnsi="宋体" w:eastAsia="宋体" w:cs="宋体"/>
                <w:color w:val="auto"/>
                <w:sz w:val="22"/>
                <w:szCs w:val="22"/>
              </w:rPr>
              <w:t>方案描述详细较为合理，可实施性较强的得3分；</w:t>
            </w:r>
          </w:p>
          <w:p>
            <w:pPr>
              <w:spacing w:line="360" w:lineRule="auto"/>
              <w:ind w:firstLine="330" w:firstLineChars="150"/>
              <w:rPr>
                <w:rFonts w:ascii="宋体" w:hAnsi="宋体" w:eastAsia="宋体" w:cs="宋体"/>
                <w:color w:val="auto"/>
                <w:sz w:val="22"/>
                <w:szCs w:val="22"/>
              </w:rPr>
            </w:pPr>
            <w:r>
              <w:rPr>
                <w:rFonts w:hint="eastAsia" w:ascii="宋体" w:hAnsi="宋体" w:eastAsia="宋体" w:cs="宋体"/>
                <w:color w:val="auto"/>
                <w:sz w:val="22"/>
                <w:szCs w:val="22"/>
              </w:rPr>
              <w:t>方案部分可行的得1分。</w:t>
            </w:r>
          </w:p>
        </w:tc>
        <w:tc>
          <w:tcPr>
            <w:tcW w:w="1335" w:type="dxa"/>
            <w:vAlign w:val="center"/>
          </w:tcPr>
          <w:p>
            <w:pPr>
              <w:spacing w:line="300" w:lineRule="exact"/>
              <w:jc w:val="center"/>
              <w:rPr>
                <w:rFonts w:ascii="宋体" w:hAnsi="宋体" w:eastAsia="宋体" w:cs="宋体"/>
                <w:color w:val="auto"/>
                <w:sz w:val="22"/>
                <w:szCs w:val="22"/>
              </w:rPr>
            </w:pPr>
            <w:r>
              <w:rPr>
                <w:rFonts w:hint="eastAsia" w:ascii="宋体" w:hAnsi="宋体" w:eastAsia="宋体" w:cs="宋体"/>
                <w:color w:val="auto"/>
                <w:sz w:val="22"/>
                <w:szCs w:val="22"/>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677" w:type="dxa"/>
            <w:vMerge w:val="restart"/>
            <w:vAlign w:val="center"/>
          </w:tcPr>
          <w:p>
            <w:pPr>
              <w:spacing w:line="300" w:lineRule="exact"/>
              <w:jc w:val="center"/>
              <w:rPr>
                <w:rFonts w:ascii="宋体" w:hAnsi="宋体" w:eastAsia="宋体" w:cs="宋体"/>
                <w:color w:val="auto"/>
                <w:sz w:val="22"/>
                <w:szCs w:val="22"/>
              </w:rPr>
            </w:pPr>
            <w:r>
              <w:rPr>
                <w:rFonts w:hint="eastAsia" w:ascii="宋体" w:hAnsi="宋体" w:eastAsia="宋体" w:cs="宋体"/>
                <w:color w:val="auto"/>
                <w:sz w:val="22"/>
                <w:szCs w:val="22"/>
              </w:rPr>
              <w:t>7</w:t>
            </w:r>
          </w:p>
        </w:tc>
        <w:tc>
          <w:tcPr>
            <w:tcW w:w="1803" w:type="dxa"/>
            <w:vMerge w:val="restart"/>
            <w:vAlign w:val="center"/>
          </w:tcPr>
          <w:p>
            <w:pPr>
              <w:spacing w:line="300" w:lineRule="exact"/>
              <w:jc w:val="center"/>
              <w:rPr>
                <w:rFonts w:ascii="宋体" w:hAnsi="宋体" w:eastAsia="宋体" w:cs="宋体"/>
                <w:color w:val="auto"/>
                <w:sz w:val="22"/>
                <w:szCs w:val="22"/>
              </w:rPr>
            </w:pPr>
            <w:r>
              <w:rPr>
                <w:rFonts w:hint="eastAsia" w:ascii="宋体" w:hAnsi="宋体" w:eastAsia="宋体" w:cs="宋体"/>
                <w:color w:val="auto"/>
                <w:sz w:val="22"/>
                <w:szCs w:val="22"/>
              </w:rPr>
              <w:t>注射产品符合性、先进性等</w:t>
            </w:r>
          </w:p>
        </w:tc>
        <w:tc>
          <w:tcPr>
            <w:tcW w:w="5540" w:type="dxa"/>
            <w:vAlign w:val="center"/>
          </w:tcPr>
          <w:p>
            <w:pPr>
              <w:numPr>
                <w:ilvl w:val="0"/>
                <w:numId w:val="12"/>
              </w:numPr>
              <w:spacing w:line="360" w:lineRule="auto"/>
              <w:ind w:firstLine="110" w:firstLineChars="50"/>
              <w:rPr>
                <w:rFonts w:ascii="宋体" w:hAnsi="宋体" w:eastAsia="宋体" w:cs="宋体"/>
                <w:bCs/>
                <w:snapToGrid w:val="0"/>
                <w:color w:val="auto"/>
                <w:sz w:val="22"/>
                <w:szCs w:val="22"/>
              </w:rPr>
            </w:pPr>
            <w:r>
              <w:rPr>
                <w:rFonts w:hint="eastAsia" w:ascii="宋体" w:hAnsi="宋体" w:eastAsia="宋体" w:cs="宋体"/>
                <w:color w:val="auto"/>
                <w:sz w:val="22"/>
                <w:szCs w:val="22"/>
              </w:rPr>
              <w:t>注射产品</w:t>
            </w:r>
            <w:r>
              <w:rPr>
                <w:rFonts w:hint="eastAsia" w:ascii="宋体" w:hAnsi="宋体" w:eastAsia="宋体" w:cs="宋体"/>
                <w:bCs/>
                <w:snapToGrid w:val="0"/>
                <w:color w:val="auto"/>
                <w:sz w:val="22"/>
                <w:szCs w:val="22"/>
              </w:rPr>
              <w:t>甲氨基阿维菌素苯甲酸盐（甲维盐）有效成分检测报告证明3分。</w:t>
            </w:r>
          </w:p>
          <w:p>
            <w:pPr>
              <w:spacing w:line="360" w:lineRule="auto"/>
              <w:ind w:firstLine="440" w:firstLineChars="200"/>
              <w:rPr>
                <w:rFonts w:ascii="宋体" w:hAnsi="宋体" w:eastAsia="宋体" w:cs="宋体"/>
                <w:color w:val="auto"/>
                <w:sz w:val="22"/>
                <w:szCs w:val="22"/>
              </w:rPr>
            </w:pPr>
            <w:r>
              <w:rPr>
                <w:rFonts w:hint="eastAsia" w:ascii="宋体" w:hAnsi="宋体" w:eastAsia="宋体" w:cs="宋体"/>
                <w:bCs/>
                <w:snapToGrid w:val="0"/>
                <w:color w:val="auto"/>
                <w:sz w:val="22"/>
                <w:szCs w:val="22"/>
              </w:rPr>
              <w:t>需提供证明检测报告加盖公章。</w:t>
            </w:r>
          </w:p>
        </w:tc>
        <w:tc>
          <w:tcPr>
            <w:tcW w:w="1335" w:type="dxa"/>
            <w:vAlign w:val="center"/>
          </w:tcPr>
          <w:p>
            <w:pPr>
              <w:spacing w:line="300" w:lineRule="exact"/>
              <w:jc w:val="center"/>
              <w:rPr>
                <w:rFonts w:ascii="宋体" w:hAnsi="宋体" w:eastAsia="宋体" w:cs="宋体"/>
                <w:bCs/>
                <w:snapToGrid w:val="0"/>
                <w:color w:val="auto"/>
                <w:sz w:val="22"/>
                <w:szCs w:val="22"/>
              </w:rPr>
            </w:pPr>
            <w:r>
              <w:rPr>
                <w:rFonts w:hint="eastAsia" w:ascii="宋体" w:hAnsi="宋体" w:eastAsia="宋体" w:cs="宋体"/>
                <w:color w:val="auto"/>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677" w:type="dxa"/>
            <w:vMerge w:val="continue"/>
            <w:vAlign w:val="center"/>
          </w:tcPr>
          <w:p>
            <w:pPr>
              <w:spacing w:line="300" w:lineRule="exact"/>
              <w:jc w:val="center"/>
              <w:rPr>
                <w:rFonts w:ascii="宋体" w:hAnsi="宋体" w:eastAsia="宋体" w:cs="宋体"/>
                <w:color w:val="auto"/>
                <w:sz w:val="22"/>
                <w:szCs w:val="22"/>
              </w:rPr>
            </w:pPr>
          </w:p>
        </w:tc>
        <w:tc>
          <w:tcPr>
            <w:tcW w:w="1803" w:type="dxa"/>
            <w:vMerge w:val="continue"/>
            <w:vAlign w:val="center"/>
          </w:tcPr>
          <w:p>
            <w:pPr>
              <w:spacing w:line="300" w:lineRule="exact"/>
              <w:jc w:val="center"/>
              <w:rPr>
                <w:rFonts w:ascii="宋体" w:hAnsi="宋体" w:eastAsia="宋体" w:cs="宋体"/>
                <w:color w:val="auto"/>
                <w:sz w:val="22"/>
                <w:szCs w:val="22"/>
              </w:rPr>
            </w:pPr>
          </w:p>
        </w:tc>
        <w:tc>
          <w:tcPr>
            <w:tcW w:w="5540" w:type="dxa"/>
            <w:vAlign w:val="center"/>
          </w:tcPr>
          <w:p>
            <w:pPr>
              <w:numPr>
                <w:ilvl w:val="0"/>
                <w:numId w:val="12"/>
              </w:numPr>
              <w:spacing w:line="360" w:lineRule="auto"/>
              <w:ind w:firstLine="110" w:firstLineChars="50"/>
              <w:rPr>
                <w:rFonts w:ascii="宋体" w:hAnsi="宋体" w:eastAsia="宋体" w:cs="宋体"/>
                <w:snapToGrid w:val="0"/>
                <w:color w:val="auto"/>
                <w:sz w:val="22"/>
                <w:szCs w:val="22"/>
              </w:rPr>
            </w:pPr>
            <w:r>
              <w:rPr>
                <w:rFonts w:hint="eastAsia" w:ascii="宋体" w:hAnsi="宋体" w:eastAsia="宋体" w:cs="宋体"/>
                <w:color w:val="auto"/>
                <w:sz w:val="22"/>
                <w:szCs w:val="22"/>
              </w:rPr>
              <w:t>有松树免疫剂注射后防治效果评价</w:t>
            </w:r>
            <w:r>
              <w:rPr>
                <w:rFonts w:hint="eastAsia" w:ascii="宋体" w:hAnsi="宋体" w:eastAsia="宋体" w:cs="宋体"/>
                <w:color w:val="auto"/>
                <w:kern w:val="0"/>
                <w:sz w:val="22"/>
                <w:szCs w:val="22"/>
              </w:rPr>
              <w:t>成活率≥99%的证明</w:t>
            </w:r>
            <w:r>
              <w:rPr>
                <w:rFonts w:hint="eastAsia" w:ascii="宋体" w:hAnsi="宋体" w:eastAsia="宋体" w:cs="宋体"/>
                <w:snapToGrid w:val="0"/>
                <w:color w:val="auto"/>
                <w:sz w:val="22"/>
                <w:szCs w:val="22"/>
              </w:rPr>
              <w:t>1个得1分，最高为4分</w:t>
            </w:r>
            <w:r>
              <w:rPr>
                <w:rFonts w:hint="eastAsia" w:ascii="宋体" w:hAnsi="宋体" w:eastAsia="宋体" w:cs="宋体"/>
                <w:color w:val="auto"/>
                <w:kern w:val="0"/>
                <w:sz w:val="22"/>
                <w:szCs w:val="22"/>
              </w:rPr>
              <w:t>。</w:t>
            </w:r>
          </w:p>
          <w:p>
            <w:pPr>
              <w:spacing w:line="360" w:lineRule="auto"/>
              <w:ind w:left="105" w:leftChars="50" w:firstLine="220" w:firstLineChars="100"/>
              <w:rPr>
                <w:rFonts w:ascii="宋体" w:hAnsi="宋体" w:eastAsia="宋体" w:cs="宋体"/>
                <w:color w:val="auto"/>
                <w:sz w:val="22"/>
                <w:szCs w:val="22"/>
              </w:rPr>
            </w:pPr>
            <w:r>
              <w:rPr>
                <w:rFonts w:hint="eastAsia" w:ascii="宋体" w:hAnsi="宋体" w:eastAsia="宋体" w:cs="宋体"/>
                <w:snapToGrid w:val="0"/>
                <w:color w:val="auto"/>
                <w:sz w:val="22"/>
                <w:szCs w:val="22"/>
              </w:rPr>
              <w:t>提供”验收报告” 或者业主单位证明复印件加盖公章，未提供本项不得分。</w:t>
            </w:r>
          </w:p>
        </w:tc>
        <w:tc>
          <w:tcPr>
            <w:tcW w:w="1335" w:type="dxa"/>
            <w:vAlign w:val="center"/>
          </w:tcPr>
          <w:p>
            <w:pPr>
              <w:spacing w:line="300" w:lineRule="exact"/>
              <w:jc w:val="center"/>
              <w:rPr>
                <w:rFonts w:ascii="宋体" w:hAnsi="宋体" w:eastAsia="宋体" w:cs="宋体"/>
                <w:snapToGrid w:val="0"/>
                <w:color w:val="auto"/>
                <w:sz w:val="22"/>
                <w:szCs w:val="22"/>
              </w:rPr>
            </w:pPr>
            <w:r>
              <w:rPr>
                <w:rFonts w:hint="eastAsia" w:ascii="宋体" w:hAnsi="宋体" w:eastAsia="宋体" w:cs="宋体"/>
                <w:color w:val="auto"/>
                <w:sz w:val="22"/>
                <w:szCs w:val="2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677" w:type="dxa"/>
            <w:vMerge w:val="continue"/>
            <w:vAlign w:val="center"/>
          </w:tcPr>
          <w:p>
            <w:pPr>
              <w:spacing w:line="300" w:lineRule="exact"/>
              <w:jc w:val="center"/>
              <w:rPr>
                <w:rFonts w:ascii="宋体" w:hAnsi="宋体" w:eastAsia="宋体" w:cs="宋体"/>
                <w:color w:val="auto"/>
                <w:sz w:val="22"/>
                <w:szCs w:val="22"/>
              </w:rPr>
            </w:pPr>
          </w:p>
        </w:tc>
        <w:tc>
          <w:tcPr>
            <w:tcW w:w="1803" w:type="dxa"/>
            <w:vMerge w:val="continue"/>
            <w:vAlign w:val="center"/>
          </w:tcPr>
          <w:p>
            <w:pPr>
              <w:spacing w:line="300" w:lineRule="exact"/>
              <w:jc w:val="center"/>
              <w:rPr>
                <w:rFonts w:ascii="宋体" w:hAnsi="宋体" w:eastAsia="宋体" w:cs="宋体"/>
                <w:color w:val="auto"/>
                <w:sz w:val="22"/>
                <w:szCs w:val="22"/>
              </w:rPr>
            </w:pPr>
          </w:p>
        </w:tc>
        <w:tc>
          <w:tcPr>
            <w:tcW w:w="5540" w:type="dxa"/>
            <w:vAlign w:val="center"/>
          </w:tcPr>
          <w:p>
            <w:pPr>
              <w:numPr>
                <w:ilvl w:val="0"/>
                <w:numId w:val="12"/>
              </w:numPr>
              <w:spacing w:line="360" w:lineRule="auto"/>
              <w:ind w:firstLine="110" w:firstLineChars="50"/>
              <w:rPr>
                <w:rFonts w:ascii="宋体" w:hAnsi="宋体" w:eastAsia="宋体" w:cs="宋体"/>
                <w:color w:val="auto"/>
                <w:sz w:val="22"/>
                <w:szCs w:val="22"/>
              </w:rPr>
            </w:pPr>
            <w:r>
              <w:rPr>
                <w:rFonts w:hint="eastAsia" w:ascii="宋体" w:hAnsi="宋体" w:eastAsia="宋体" w:cs="宋体"/>
                <w:color w:val="auto"/>
                <w:sz w:val="22"/>
                <w:szCs w:val="22"/>
              </w:rPr>
              <w:t>根据注射产品的有效成份含量大于3%的得2分，最高得2分</w:t>
            </w:r>
          </w:p>
          <w:p>
            <w:pPr>
              <w:spacing w:line="360" w:lineRule="auto"/>
              <w:ind w:left="105" w:leftChars="50" w:firstLine="220" w:firstLineChars="100"/>
              <w:rPr>
                <w:rFonts w:ascii="宋体" w:hAnsi="宋体" w:eastAsia="宋体" w:cs="宋体"/>
                <w:color w:val="auto"/>
                <w:sz w:val="22"/>
                <w:szCs w:val="22"/>
              </w:rPr>
            </w:pPr>
            <w:r>
              <w:rPr>
                <w:rFonts w:hint="eastAsia" w:ascii="宋体" w:hAnsi="宋体" w:eastAsia="宋体" w:cs="宋体"/>
                <w:color w:val="auto"/>
                <w:sz w:val="22"/>
                <w:szCs w:val="22"/>
              </w:rPr>
              <w:t>提供检测报告和产品标签上的有效含量复印件并盖章。</w:t>
            </w:r>
          </w:p>
        </w:tc>
        <w:tc>
          <w:tcPr>
            <w:tcW w:w="1335" w:type="dxa"/>
            <w:vAlign w:val="center"/>
          </w:tcPr>
          <w:p>
            <w:pPr>
              <w:spacing w:line="300" w:lineRule="exact"/>
              <w:jc w:val="center"/>
              <w:rPr>
                <w:rFonts w:ascii="宋体" w:hAnsi="宋体" w:eastAsia="宋体" w:cs="宋体"/>
                <w:color w:val="auto"/>
                <w:sz w:val="22"/>
                <w:szCs w:val="22"/>
              </w:rPr>
            </w:pPr>
            <w:r>
              <w:rPr>
                <w:rFonts w:hint="eastAsia" w:ascii="宋体" w:hAnsi="宋体" w:eastAsia="宋体" w:cs="宋体"/>
                <w:color w:val="auto"/>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3" w:hRule="atLeast"/>
          <w:jc w:val="center"/>
        </w:trPr>
        <w:tc>
          <w:tcPr>
            <w:tcW w:w="677" w:type="dxa"/>
            <w:vMerge w:val="continue"/>
            <w:vAlign w:val="center"/>
          </w:tcPr>
          <w:p>
            <w:pPr>
              <w:spacing w:line="300" w:lineRule="exact"/>
              <w:jc w:val="center"/>
              <w:rPr>
                <w:rFonts w:ascii="宋体" w:hAnsi="宋体" w:eastAsia="宋体" w:cs="宋体"/>
                <w:color w:val="auto"/>
                <w:sz w:val="22"/>
                <w:szCs w:val="22"/>
              </w:rPr>
            </w:pPr>
          </w:p>
        </w:tc>
        <w:tc>
          <w:tcPr>
            <w:tcW w:w="1803" w:type="dxa"/>
            <w:vMerge w:val="continue"/>
            <w:vAlign w:val="center"/>
          </w:tcPr>
          <w:p>
            <w:pPr>
              <w:spacing w:line="300" w:lineRule="exact"/>
              <w:jc w:val="center"/>
              <w:rPr>
                <w:rFonts w:ascii="宋体" w:hAnsi="宋体" w:eastAsia="宋体" w:cs="宋体"/>
                <w:color w:val="auto"/>
                <w:sz w:val="22"/>
                <w:szCs w:val="22"/>
              </w:rPr>
            </w:pPr>
          </w:p>
        </w:tc>
        <w:tc>
          <w:tcPr>
            <w:tcW w:w="5540" w:type="dxa"/>
            <w:vAlign w:val="center"/>
          </w:tcPr>
          <w:p>
            <w:pPr>
              <w:numPr>
                <w:ilvl w:val="0"/>
                <w:numId w:val="12"/>
              </w:numPr>
              <w:spacing w:line="360" w:lineRule="auto"/>
              <w:ind w:firstLine="110" w:firstLineChars="50"/>
              <w:rPr>
                <w:rFonts w:ascii="宋体" w:hAnsi="宋体" w:eastAsia="宋体" w:cs="宋体"/>
                <w:color w:val="auto"/>
                <w:sz w:val="22"/>
                <w:szCs w:val="22"/>
              </w:rPr>
            </w:pPr>
            <w:r>
              <w:rPr>
                <w:rFonts w:hint="eastAsia" w:ascii="宋体" w:hAnsi="宋体" w:eastAsia="宋体" w:cs="宋体"/>
                <w:color w:val="auto"/>
                <w:sz w:val="22"/>
                <w:szCs w:val="22"/>
              </w:rPr>
              <w:t>根据注射产品包装规格，本项目涉及</w:t>
            </w:r>
            <w:r>
              <w:rPr>
                <w:rFonts w:hint="eastAsia" w:ascii="宋体" w:hAnsi="宋体" w:eastAsia="宋体" w:cs="宋体"/>
                <w:bCs/>
                <w:color w:val="auto"/>
                <w:sz w:val="22"/>
                <w:szCs w:val="22"/>
              </w:rPr>
              <w:t>胸径为20cm以下松树用药量</w:t>
            </w:r>
            <w:r>
              <w:rPr>
                <w:rFonts w:ascii="宋体" w:hAnsi="宋体" w:eastAsia="宋体" w:cs="宋体"/>
                <w:color w:val="auto"/>
                <w:sz w:val="22"/>
                <w:szCs w:val="22"/>
              </w:rPr>
              <w:t>50ml/</w:t>
            </w:r>
            <w:r>
              <w:rPr>
                <w:rFonts w:hint="eastAsia" w:ascii="宋体" w:hAnsi="宋体" w:eastAsia="宋体" w:cs="宋体"/>
                <w:color w:val="auto"/>
                <w:sz w:val="22"/>
                <w:szCs w:val="22"/>
              </w:rPr>
              <w:t>支以下和古树</w:t>
            </w:r>
            <w:r>
              <w:rPr>
                <w:rFonts w:hint="eastAsia" w:ascii="宋体" w:hAnsi="宋体" w:eastAsia="宋体" w:cs="宋体"/>
                <w:bCs/>
                <w:color w:val="auto"/>
                <w:sz w:val="22"/>
                <w:szCs w:val="22"/>
              </w:rPr>
              <w:t>胸径为80cm以上用药量</w:t>
            </w:r>
            <w:r>
              <w:rPr>
                <w:rFonts w:ascii="宋体" w:hAnsi="宋体" w:eastAsia="宋体" w:cs="宋体"/>
                <w:color w:val="auto"/>
                <w:sz w:val="22"/>
                <w:szCs w:val="22"/>
              </w:rPr>
              <w:t>50ml/</w:t>
            </w:r>
            <w:r>
              <w:rPr>
                <w:rFonts w:hint="eastAsia" w:ascii="宋体" w:hAnsi="宋体" w:eastAsia="宋体" w:cs="宋体"/>
                <w:color w:val="auto"/>
                <w:sz w:val="22"/>
                <w:szCs w:val="22"/>
              </w:rPr>
              <w:t>支</w:t>
            </w:r>
            <w:r>
              <w:rPr>
                <w:rFonts w:hint="eastAsia" w:ascii="宋体" w:hAnsi="宋体" w:eastAsia="宋体" w:cs="宋体"/>
                <w:bCs/>
                <w:color w:val="auto"/>
                <w:sz w:val="22"/>
                <w:szCs w:val="22"/>
              </w:rPr>
              <w:t>瓶数多现象，要减少对松树伤害。</w:t>
            </w:r>
            <w:r>
              <w:rPr>
                <w:rFonts w:hint="eastAsia" w:hAnsi="宋体"/>
                <w:color w:val="auto"/>
                <w:sz w:val="22"/>
                <w:szCs w:val="22"/>
              </w:rPr>
              <w:t>具有</w:t>
            </w:r>
            <w:r>
              <w:rPr>
                <w:rFonts w:ascii="宋体" w:hAnsi="宋体" w:eastAsia="宋体" w:cs="宋体"/>
                <w:color w:val="auto"/>
                <w:sz w:val="22"/>
                <w:szCs w:val="22"/>
              </w:rPr>
              <w:t>50ml/</w:t>
            </w:r>
            <w:r>
              <w:rPr>
                <w:rFonts w:hint="eastAsia" w:ascii="宋体" w:hAnsi="宋体" w:eastAsia="宋体" w:cs="宋体"/>
                <w:color w:val="auto"/>
                <w:sz w:val="22"/>
                <w:szCs w:val="22"/>
              </w:rPr>
              <w:t>支以下包装规格得1分，</w:t>
            </w:r>
            <w:r>
              <w:rPr>
                <w:rFonts w:ascii="宋体" w:hAnsi="宋体" w:eastAsia="宋体" w:cs="宋体"/>
                <w:color w:val="auto"/>
                <w:sz w:val="22"/>
                <w:szCs w:val="22"/>
              </w:rPr>
              <w:t>50ml/</w:t>
            </w:r>
            <w:r>
              <w:rPr>
                <w:rFonts w:hint="eastAsia" w:ascii="宋体" w:hAnsi="宋体" w:eastAsia="宋体" w:cs="宋体"/>
                <w:color w:val="auto"/>
                <w:sz w:val="22"/>
                <w:szCs w:val="22"/>
              </w:rPr>
              <w:t>支以上包装规格每一个得1分，最高得2分。该项共计3分。</w:t>
            </w:r>
          </w:p>
          <w:p>
            <w:pPr>
              <w:spacing w:line="360" w:lineRule="auto"/>
              <w:ind w:left="105" w:leftChars="50" w:firstLine="220" w:firstLineChars="100"/>
              <w:rPr>
                <w:rFonts w:ascii="宋体" w:hAnsi="宋体" w:eastAsia="宋体" w:cs="宋体"/>
                <w:b/>
                <w:color w:val="auto"/>
                <w:sz w:val="22"/>
                <w:szCs w:val="22"/>
              </w:rPr>
            </w:pPr>
            <w:r>
              <w:rPr>
                <w:rFonts w:hint="eastAsia" w:ascii="宋体" w:hAnsi="宋体" w:eastAsia="宋体" w:cs="宋体"/>
                <w:bCs/>
                <w:snapToGrid w:val="0"/>
                <w:color w:val="auto"/>
                <w:sz w:val="22"/>
                <w:szCs w:val="22"/>
              </w:rPr>
              <w:t>需提供有农药包装备案的</w:t>
            </w:r>
            <w:r>
              <w:rPr>
                <w:rFonts w:hint="eastAsia" w:ascii="宋体" w:hAnsi="宋体" w:eastAsia="宋体" w:cs="宋体"/>
                <w:b/>
                <w:bCs/>
                <w:snapToGrid w:val="0"/>
                <w:color w:val="auto"/>
                <w:sz w:val="22"/>
                <w:szCs w:val="22"/>
              </w:rPr>
              <w:t>农药标签</w:t>
            </w:r>
            <w:r>
              <w:rPr>
                <w:rFonts w:hint="eastAsia" w:ascii="宋体" w:hAnsi="宋体" w:eastAsia="宋体" w:cs="宋体"/>
                <w:bCs/>
                <w:snapToGrid w:val="0"/>
                <w:color w:val="auto"/>
                <w:sz w:val="22"/>
                <w:szCs w:val="22"/>
              </w:rPr>
              <w:t>照片和实物照片加盖公章</w:t>
            </w:r>
            <w:r>
              <w:rPr>
                <w:rFonts w:hint="eastAsia" w:ascii="宋体" w:hAnsi="宋体" w:eastAsia="宋体" w:cs="宋体"/>
                <w:snapToGrid w:val="0"/>
                <w:color w:val="auto"/>
                <w:sz w:val="22"/>
                <w:szCs w:val="22"/>
              </w:rPr>
              <w:t>。</w:t>
            </w:r>
          </w:p>
        </w:tc>
        <w:tc>
          <w:tcPr>
            <w:tcW w:w="1335" w:type="dxa"/>
            <w:vAlign w:val="center"/>
          </w:tcPr>
          <w:p>
            <w:pPr>
              <w:spacing w:line="300" w:lineRule="exact"/>
              <w:jc w:val="center"/>
              <w:rPr>
                <w:rFonts w:ascii="宋体" w:hAnsi="宋体" w:eastAsia="宋体" w:cs="宋体"/>
                <w:bCs/>
                <w:snapToGrid w:val="0"/>
                <w:color w:val="auto"/>
                <w:sz w:val="22"/>
                <w:szCs w:val="22"/>
              </w:rPr>
            </w:pPr>
            <w:r>
              <w:rPr>
                <w:rFonts w:hint="eastAsia" w:ascii="宋体" w:hAnsi="宋体" w:eastAsia="宋体" w:cs="宋体"/>
                <w:color w:val="auto"/>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677" w:type="dxa"/>
            <w:vAlign w:val="center"/>
          </w:tcPr>
          <w:p>
            <w:pPr>
              <w:spacing w:line="300" w:lineRule="exact"/>
              <w:jc w:val="center"/>
              <w:rPr>
                <w:rFonts w:ascii="宋体" w:hAnsi="宋体" w:eastAsia="宋体" w:cs="宋体"/>
                <w:color w:val="auto"/>
                <w:sz w:val="22"/>
                <w:szCs w:val="22"/>
              </w:rPr>
            </w:pPr>
            <w:r>
              <w:rPr>
                <w:rFonts w:hint="eastAsia" w:ascii="宋体" w:hAnsi="宋体" w:eastAsia="宋体" w:cs="宋体"/>
                <w:color w:val="auto"/>
                <w:sz w:val="22"/>
                <w:szCs w:val="22"/>
              </w:rPr>
              <w:t>8</w:t>
            </w:r>
          </w:p>
        </w:tc>
        <w:tc>
          <w:tcPr>
            <w:tcW w:w="1803" w:type="dxa"/>
            <w:vAlign w:val="center"/>
          </w:tcPr>
          <w:p>
            <w:pPr>
              <w:pStyle w:val="15"/>
              <w:adjustRightInd w:val="0"/>
              <w:snapToGrid w:val="0"/>
              <w:jc w:val="center"/>
              <w:rPr>
                <w:rFonts w:hAnsi="宋体"/>
                <w:color w:val="auto"/>
                <w:sz w:val="22"/>
                <w:szCs w:val="22"/>
              </w:rPr>
            </w:pPr>
            <w:r>
              <w:rPr>
                <w:rFonts w:hint="eastAsia" w:hAnsi="宋体"/>
                <w:color w:val="auto"/>
                <w:sz w:val="22"/>
                <w:szCs w:val="22"/>
              </w:rPr>
              <w:t>设备配备</w:t>
            </w:r>
          </w:p>
        </w:tc>
        <w:tc>
          <w:tcPr>
            <w:tcW w:w="5540" w:type="dxa"/>
            <w:vAlign w:val="center"/>
          </w:tcPr>
          <w:p>
            <w:pPr>
              <w:pStyle w:val="15"/>
              <w:adjustRightInd w:val="0"/>
              <w:snapToGrid w:val="0"/>
              <w:spacing w:line="360" w:lineRule="auto"/>
              <w:ind w:firstLine="330" w:firstLineChars="150"/>
              <w:rPr>
                <w:rFonts w:hAnsi="宋体"/>
                <w:color w:val="auto"/>
                <w:sz w:val="22"/>
                <w:szCs w:val="22"/>
              </w:rPr>
            </w:pPr>
            <w:r>
              <w:rPr>
                <w:rFonts w:hint="eastAsia" w:hAnsi="宋体"/>
                <w:color w:val="auto"/>
                <w:sz w:val="22"/>
                <w:szCs w:val="22"/>
              </w:rPr>
              <w:t>对采购人需求的保障程度（包含投标单位针对本项目的设备配置等），根据其设备数量、设备的先进性、针对性、设备的配置是否合理、高效等，进行打分，最高5分。</w:t>
            </w:r>
          </w:p>
          <w:p>
            <w:pPr>
              <w:pStyle w:val="15"/>
              <w:adjustRightInd w:val="0"/>
              <w:snapToGrid w:val="0"/>
              <w:spacing w:line="360" w:lineRule="auto"/>
              <w:ind w:firstLine="330" w:firstLineChars="150"/>
              <w:rPr>
                <w:rFonts w:hAnsi="宋体"/>
                <w:color w:val="auto"/>
                <w:sz w:val="22"/>
                <w:szCs w:val="22"/>
              </w:rPr>
            </w:pPr>
            <w:r>
              <w:rPr>
                <w:rFonts w:hint="eastAsia" w:hAnsi="宋体"/>
                <w:color w:val="auto"/>
                <w:sz w:val="22"/>
                <w:szCs w:val="22"/>
              </w:rPr>
              <w:t>设备配备合理，符合项目要求的得5分；</w:t>
            </w:r>
          </w:p>
          <w:p>
            <w:pPr>
              <w:pStyle w:val="15"/>
              <w:adjustRightInd w:val="0"/>
              <w:snapToGrid w:val="0"/>
              <w:spacing w:line="360" w:lineRule="auto"/>
              <w:ind w:firstLine="330" w:firstLineChars="150"/>
              <w:rPr>
                <w:rFonts w:hAnsi="宋体"/>
                <w:color w:val="auto"/>
                <w:sz w:val="22"/>
                <w:szCs w:val="22"/>
              </w:rPr>
            </w:pPr>
            <w:r>
              <w:rPr>
                <w:rFonts w:hint="eastAsia" w:hAnsi="宋体"/>
                <w:color w:val="auto"/>
                <w:sz w:val="22"/>
                <w:szCs w:val="22"/>
              </w:rPr>
              <w:t>设备配备基本合理，基本能符合要求的得3分；</w:t>
            </w:r>
          </w:p>
          <w:p>
            <w:pPr>
              <w:pStyle w:val="15"/>
              <w:adjustRightInd w:val="0"/>
              <w:snapToGrid w:val="0"/>
              <w:spacing w:line="360" w:lineRule="auto"/>
              <w:ind w:firstLine="330" w:firstLineChars="150"/>
              <w:rPr>
                <w:rFonts w:hAnsi="宋体"/>
                <w:color w:val="auto"/>
                <w:sz w:val="22"/>
                <w:szCs w:val="22"/>
              </w:rPr>
            </w:pPr>
            <w:r>
              <w:rPr>
                <w:rFonts w:hint="eastAsia" w:hAnsi="宋体"/>
                <w:color w:val="auto"/>
                <w:sz w:val="22"/>
                <w:szCs w:val="22"/>
              </w:rPr>
              <w:t>设备配备部分可行的得1分。</w:t>
            </w:r>
          </w:p>
          <w:p>
            <w:pPr>
              <w:pStyle w:val="15"/>
              <w:adjustRightInd w:val="0"/>
              <w:snapToGrid w:val="0"/>
              <w:spacing w:line="360" w:lineRule="auto"/>
              <w:ind w:firstLine="330" w:firstLineChars="150"/>
              <w:rPr>
                <w:rFonts w:hAnsi="宋体"/>
                <w:color w:val="auto"/>
                <w:sz w:val="22"/>
                <w:szCs w:val="22"/>
              </w:rPr>
            </w:pPr>
            <w:r>
              <w:rPr>
                <w:rFonts w:hint="eastAsia" w:hAnsi="宋体"/>
                <w:color w:val="auto"/>
                <w:sz w:val="22"/>
                <w:szCs w:val="22"/>
              </w:rPr>
              <w:t>提供相关设备证明资料，不提供不得分</w:t>
            </w:r>
          </w:p>
        </w:tc>
        <w:tc>
          <w:tcPr>
            <w:tcW w:w="1335" w:type="dxa"/>
            <w:vAlign w:val="center"/>
          </w:tcPr>
          <w:p>
            <w:pPr>
              <w:pStyle w:val="15"/>
              <w:adjustRightInd w:val="0"/>
              <w:snapToGrid w:val="0"/>
              <w:jc w:val="center"/>
              <w:rPr>
                <w:rFonts w:hAnsi="宋体"/>
                <w:color w:val="auto"/>
                <w:sz w:val="22"/>
                <w:szCs w:val="22"/>
              </w:rPr>
            </w:pPr>
            <w:r>
              <w:rPr>
                <w:rFonts w:hint="eastAsia" w:hAnsi="宋体"/>
                <w:color w:val="auto"/>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677" w:type="dxa"/>
            <w:vMerge w:val="restart"/>
            <w:vAlign w:val="center"/>
          </w:tcPr>
          <w:p>
            <w:pPr>
              <w:spacing w:line="300" w:lineRule="exact"/>
              <w:jc w:val="center"/>
              <w:rPr>
                <w:rFonts w:ascii="宋体" w:hAnsi="宋体" w:eastAsia="宋体" w:cs="宋体"/>
                <w:color w:val="auto"/>
                <w:sz w:val="22"/>
                <w:szCs w:val="22"/>
              </w:rPr>
            </w:pPr>
            <w:r>
              <w:rPr>
                <w:rFonts w:hint="eastAsia" w:ascii="宋体" w:hAnsi="宋体" w:eastAsia="宋体" w:cs="宋体"/>
                <w:color w:val="auto"/>
                <w:sz w:val="22"/>
                <w:szCs w:val="22"/>
              </w:rPr>
              <w:t>9</w:t>
            </w:r>
          </w:p>
        </w:tc>
        <w:tc>
          <w:tcPr>
            <w:tcW w:w="1803" w:type="dxa"/>
            <w:vMerge w:val="restart"/>
            <w:vAlign w:val="center"/>
          </w:tcPr>
          <w:p>
            <w:pPr>
              <w:spacing w:line="300" w:lineRule="exact"/>
              <w:rPr>
                <w:rFonts w:ascii="宋体" w:hAnsi="宋体" w:eastAsia="宋体" w:cs="宋体"/>
                <w:color w:val="auto"/>
                <w:sz w:val="22"/>
                <w:szCs w:val="22"/>
              </w:rPr>
            </w:pPr>
          </w:p>
          <w:p>
            <w:pPr>
              <w:spacing w:line="300" w:lineRule="exact"/>
              <w:jc w:val="center"/>
              <w:rPr>
                <w:rFonts w:ascii="宋体" w:hAnsi="宋体" w:eastAsia="宋体" w:cs="宋体"/>
                <w:color w:val="auto"/>
                <w:sz w:val="22"/>
                <w:szCs w:val="22"/>
              </w:rPr>
            </w:pPr>
            <w:r>
              <w:rPr>
                <w:rFonts w:hint="eastAsia" w:ascii="宋体" w:hAnsi="宋体" w:eastAsia="宋体" w:cs="宋体"/>
                <w:color w:val="auto"/>
                <w:sz w:val="22"/>
                <w:szCs w:val="22"/>
              </w:rPr>
              <w:t>服务能力</w:t>
            </w:r>
          </w:p>
        </w:tc>
        <w:tc>
          <w:tcPr>
            <w:tcW w:w="5540" w:type="dxa"/>
            <w:vAlign w:val="center"/>
          </w:tcPr>
          <w:p>
            <w:pPr>
              <w:pStyle w:val="15"/>
              <w:adjustRightInd w:val="0"/>
              <w:snapToGrid w:val="0"/>
              <w:spacing w:line="360" w:lineRule="auto"/>
              <w:ind w:firstLine="330" w:firstLineChars="150"/>
              <w:rPr>
                <w:rFonts w:hAnsi="宋体"/>
                <w:color w:val="auto"/>
                <w:sz w:val="22"/>
                <w:szCs w:val="22"/>
              </w:rPr>
            </w:pPr>
            <w:r>
              <w:rPr>
                <w:rFonts w:hint="eastAsia" w:hAnsi="宋体"/>
                <w:color w:val="auto"/>
                <w:sz w:val="22"/>
                <w:szCs w:val="22"/>
                <w:lang w:eastAsia="zh-CN"/>
              </w:rPr>
              <w:t>（</w:t>
            </w:r>
            <w:r>
              <w:rPr>
                <w:rFonts w:hint="eastAsia" w:hAnsi="宋体"/>
                <w:color w:val="auto"/>
                <w:sz w:val="22"/>
                <w:szCs w:val="22"/>
                <w:lang w:val="en-US" w:eastAsia="zh-CN"/>
              </w:rPr>
              <w:t>1</w:t>
            </w:r>
            <w:r>
              <w:rPr>
                <w:rFonts w:hint="eastAsia" w:hAnsi="宋体"/>
                <w:color w:val="auto"/>
                <w:sz w:val="22"/>
                <w:szCs w:val="22"/>
                <w:lang w:eastAsia="zh-CN"/>
              </w:rPr>
              <w:t>）</w:t>
            </w:r>
            <w:r>
              <w:rPr>
                <w:rFonts w:hint="eastAsia" w:hAnsi="宋体"/>
                <w:color w:val="auto"/>
                <w:sz w:val="22"/>
                <w:szCs w:val="22"/>
              </w:rPr>
              <w:t>供应商具有林业有害生物防治资质</w:t>
            </w:r>
            <w:r>
              <w:rPr>
                <w:rFonts w:hint="eastAsia" w:hAnsi="宋体"/>
                <w:color w:val="auto"/>
                <w:sz w:val="22"/>
                <w:szCs w:val="22"/>
                <w:lang w:eastAsia="zh-CN"/>
              </w:rPr>
              <w:t>类似</w:t>
            </w:r>
            <w:r>
              <w:rPr>
                <w:rFonts w:hint="eastAsia" w:hAnsi="宋体"/>
                <w:color w:val="auto"/>
                <w:sz w:val="22"/>
                <w:szCs w:val="22"/>
              </w:rPr>
              <w:t>证书的得1分。</w:t>
            </w:r>
          </w:p>
          <w:p>
            <w:pPr>
              <w:pStyle w:val="15"/>
              <w:adjustRightInd w:val="0"/>
              <w:snapToGrid w:val="0"/>
              <w:spacing w:line="360" w:lineRule="auto"/>
              <w:ind w:firstLine="330" w:firstLineChars="150"/>
              <w:rPr>
                <w:rFonts w:hAnsi="宋体"/>
                <w:color w:val="auto"/>
                <w:sz w:val="22"/>
                <w:szCs w:val="22"/>
              </w:rPr>
            </w:pPr>
            <w:r>
              <w:rPr>
                <w:rFonts w:hint="eastAsia" w:hAnsi="宋体"/>
                <w:color w:val="auto"/>
                <w:sz w:val="22"/>
                <w:szCs w:val="22"/>
              </w:rPr>
              <w:t>提供证书加盖公章</w:t>
            </w:r>
          </w:p>
        </w:tc>
        <w:tc>
          <w:tcPr>
            <w:tcW w:w="1335" w:type="dxa"/>
            <w:vAlign w:val="center"/>
          </w:tcPr>
          <w:p>
            <w:pPr>
              <w:spacing w:line="300" w:lineRule="exact"/>
              <w:jc w:val="center"/>
              <w:rPr>
                <w:rFonts w:hAnsi="宋体" w:eastAsia="宋体"/>
                <w:color w:val="auto"/>
                <w:sz w:val="22"/>
                <w:szCs w:val="22"/>
              </w:rPr>
            </w:pPr>
            <w:r>
              <w:rPr>
                <w:rFonts w:hint="eastAsia" w:ascii="宋体" w:hAnsi="宋体" w:eastAsia="宋体" w:cs="宋体"/>
                <w:color w:val="auto"/>
                <w:sz w:val="22"/>
                <w:szCs w:val="2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677" w:type="dxa"/>
            <w:vMerge w:val="continue"/>
            <w:vAlign w:val="center"/>
          </w:tcPr>
          <w:p>
            <w:pPr>
              <w:spacing w:line="300" w:lineRule="exact"/>
              <w:jc w:val="center"/>
              <w:rPr>
                <w:rFonts w:ascii="宋体" w:hAnsi="宋体" w:eastAsia="宋体" w:cs="宋体"/>
                <w:color w:val="auto"/>
                <w:sz w:val="22"/>
                <w:szCs w:val="22"/>
              </w:rPr>
            </w:pPr>
          </w:p>
        </w:tc>
        <w:tc>
          <w:tcPr>
            <w:tcW w:w="1803" w:type="dxa"/>
            <w:vMerge w:val="continue"/>
            <w:vAlign w:val="center"/>
          </w:tcPr>
          <w:p>
            <w:pPr>
              <w:spacing w:line="300" w:lineRule="exact"/>
              <w:jc w:val="center"/>
              <w:rPr>
                <w:rFonts w:ascii="宋体" w:hAnsi="宋体" w:eastAsia="宋体" w:cs="宋体"/>
                <w:color w:val="auto"/>
                <w:sz w:val="22"/>
                <w:szCs w:val="22"/>
              </w:rPr>
            </w:pPr>
          </w:p>
        </w:tc>
        <w:tc>
          <w:tcPr>
            <w:tcW w:w="5540" w:type="dxa"/>
            <w:vAlign w:val="center"/>
          </w:tcPr>
          <w:p>
            <w:pPr>
              <w:tabs>
                <w:tab w:val="left" w:pos="509"/>
              </w:tabs>
              <w:adjustRightInd w:val="0"/>
              <w:snapToGrid w:val="0"/>
              <w:spacing w:line="360" w:lineRule="auto"/>
              <w:ind w:firstLine="330" w:firstLineChars="150"/>
              <w:rPr>
                <w:rFonts w:ascii="宋体" w:hAnsi="宋体" w:eastAsia="宋体" w:cs="宋体"/>
                <w:color w:val="auto"/>
                <w:sz w:val="22"/>
                <w:szCs w:val="22"/>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项目负责人具有中级林业技术人员证书的得1分；高级林业技术人员证书得2分，最高得2分</w:t>
            </w:r>
          </w:p>
          <w:p>
            <w:pPr>
              <w:tabs>
                <w:tab w:val="left" w:pos="509"/>
              </w:tabs>
              <w:adjustRightInd w:val="0"/>
              <w:snapToGrid w:val="0"/>
              <w:spacing w:line="360" w:lineRule="auto"/>
              <w:ind w:firstLine="330" w:firstLineChars="150"/>
              <w:rPr>
                <w:rFonts w:hAnsi="宋体"/>
                <w:color w:val="auto"/>
                <w:sz w:val="22"/>
                <w:szCs w:val="22"/>
              </w:rPr>
            </w:pPr>
            <w:r>
              <w:rPr>
                <w:rFonts w:hint="eastAsia" w:ascii="宋体" w:hAnsi="宋体" w:eastAsia="宋体" w:cs="宋体"/>
                <w:color w:val="auto"/>
                <w:sz w:val="22"/>
                <w:szCs w:val="22"/>
              </w:rPr>
              <w:t>项目组人员具有森林病虫害防治相关</w:t>
            </w:r>
            <w:bookmarkStart w:id="58" w:name="_GoBack"/>
            <w:bookmarkEnd w:id="58"/>
            <w:r>
              <w:rPr>
                <w:rFonts w:hint="eastAsia" w:ascii="宋体" w:hAnsi="宋体" w:eastAsia="宋体" w:cs="宋体"/>
                <w:color w:val="auto"/>
                <w:sz w:val="22"/>
                <w:szCs w:val="22"/>
              </w:rPr>
              <w:t>培训证书或林业相关专业的职称证书，每提供一个得1分，最高得2分。职称证书为中级证书的得1分，高级的得2分，最高得2分。</w:t>
            </w:r>
          </w:p>
          <w:p>
            <w:pPr>
              <w:tabs>
                <w:tab w:val="left" w:pos="509"/>
              </w:tabs>
              <w:adjustRightInd w:val="0"/>
              <w:snapToGrid w:val="0"/>
              <w:spacing w:line="360" w:lineRule="auto"/>
              <w:ind w:firstLine="330" w:firstLineChars="150"/>
              <w:rPr>
                <w:rFonts w:ascii="宋体" w:hAnsi="宋体" w:eastAsia="宋体" w:cs="宋体"/>
                <w:color w:val="auto"/>
                <w:sz w:val="22"/>
                <w:szCs w:val="22"/>
              </w:rPr>
            </w:pPr>
            <w:r>
              <w:rPr>
                <w:rFonts w:hint="eastAsia" w:ascii="宋体" w:hAnsi="宋体" w:eastAsia="宋体" w:cs="宋体"/>
                <w:bCs/>
                <w:color w:val="auto"/>
                <w:sz w:val="22"/>
                <w:szCs w:val="22"/>
              </w:rPr>
              <w:t>以上持证人员需提供完整有效的证书复印件加盖公章，并提供社保证明</w:t>
            </w:r>
            <w:r>
              <w:rPr>
                <w:rFonts w:hint="eastAsia" w:ascii="宋体" w:hAnsi="宋体" w:eastAsia="宋体" w:cs="宋体"/>
                <w:bCs/>
                <w:color w:val="auto"/>
                <w:sz w:val="22"/>
                <w:szCs w:val="22"/>
                <w:lang w:eastAsia="zh-CN"/>
              </w:rPr>
              <w:t>或劳务合同</w:t>
            </w:r>
            <w:r>
              <w:rPr>
                <w:rFonts w:hint="eastAsia" w:ascii="宋体" w:hAnsi="宋体" w:eastAsia="宋体" w:cs="宋体"/>
                <w:bCs/>
                <w:color w:val="auto"/>
                <w:sz w:val="22"/>
                <w:szCs w:val="22"/>
              </w:rPr>
              <w:t>。</w:t>
            </w:r>
          </w:p>
        </w:tc>
        <w:tc>
          <w:tcPr>
            <w:tcW w:w="1335" w:type="dxa"/>
            <w:vAlign w:val="center"/>
          </w:tcPr>
          <w:p>
            <w:pPr>
              <w:spacing w:line="300" w:lineRule="exact"/>
              <w:jc w:val="center"/>
              <w:rPr>
                <w:rFonts w:hAnsi="宋体" w:eastAsia="宋体"/>
                <w:color w:val="auto"/>
                <w:sz w:val="22"/>
                <w:szCs w:val="22"/>
              </w:rPr>
            </w:pPr>
            <w:r>
              <w:rPr>
                <w:rFonts w:hint="eastAsia" w:ascii="宋体" w:hAnsi="宋体" w:eastAsia="宋体" w:cs="宋体"/>
                <w:color w:val="auto"/>
                <w:sz w:val="22"/>
                <w:szCs w:val="22"/>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677" w:type="dxa"/>
            <w:vMerge w:val="continue"/>
            <w:vAlign w:val="center"/>
          </w:tcPr>
          <w:p>
            <w:pPr>
              <w:spacing w:line="300" w:lineRule="exact"/>
              <w:jc w:val="center"/>
              <w:rPr>
                <w:rFonts w:ascii="宋体" w:hAnsi="宋体" w:eastAsia="宋体" w:cs="宋体"/>
                <w:color w:val="auto"/>
                <w:sz w:val="22"/>
                <w:szCs w:val="22"/>
              </w:rPr>
            </w:pPr>
          </w:p>
        </w:tc>
        <w:tc>
          <w:tcPr>
            <w:tcW w:w="1803" w:type="dxa"/>
            <w:vMerge w:val="continue"/>
            <w:vAlign w:val="center"/>
          </w:tcPr>
          <w:p>
            <w:pPr>
              <w:spacing w:line="300" w:lineRule="exact"/>
              <w:jc w:val="center"/>
              <w:rPr>
                <w:rFonts w:ascii="宋体" w:hAnsi="宋体" w:eastAsia="宋体" w:cs="宋体"/>
                <w:color w:val="auto"/>
                <w:sz w:val="22"/>
                <w:szCs w:val="22"/>
              </w:rPr>
            </w:pPr>
          </w:p>
        </w:tc>
        <w:tc>
          <w:tcPr>
            <w:tcW w:w="5540" w:type="dxa"/>
            <w:vAlign w:val="center"/>
          </w:tcPr>
          <w:p>
            <w:pPr>
              <w:spacing w:line="360" w:lineRule="auto"/>
              <w:rPr>
                <w:rFonts w:ascii="宋体" w:hAnsi="宋体" w:eastAsia="宋体" w:cs="宋体"/>
                <w:color w:val="auto"/>
                <w:sz w:val="22"/>
                <w:szCs w:val="22"/>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投标单位承诺中标后在本地设立售后服务点的得2分。</w:t>
            </w:r>
          </w:p>
        </w:tc>
        <w:tc>
          <w:tcPr>
            <w:tcW w:w="1335" w:type="dxa"/>
            <w:vAlign w:val="center"/>
          </w:tcPr>
          <w:p>
            <w:pPr>
              <w:spacing w:line="300" w:lineRule="exact"/>
              <w:jc w:val="center"/>
              <w:rPr>
                <w:rFonts w:ascii="宋体" w:hAnsi="宋体" w:eastAsia="宋体" w:cs="宋体"/>
                <w:color w:val="auto"/>
                <w:sz w:val="22"/>
                <w:szCs w:val="22"/>
              </w:rPr>
            </w:pPr>
            <w:r>
              <w:rPr>
                <w:rFonts w:hint="eastAsia" w:ascii="宋体" w:hAnsi="宋体" w:eastAsia="宋体" w:cs="宋体"/>
                <w:color w:val="auto"/>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677" w:type="dxa"/>
            <w:vMerge w:val="continue"/>
            <w:vAlign w:val="center"/>
          </w:tcPr>
          <w:p>
            <w:pPr>
              <w:spacing w:line="300" w:lineRule="exact"/>
              <w:jc w:val="center"/>
              <w:rPr>
                <w:rFonts w:ascii="宋体" w:hAnsi="宋体" w:eastAsia="宋体" w:cs="宋体"/>
                <w:color w:val="auto"/>
                <w:sz w:val="22"/>
                <w:szCs w:val="22"/>
              </w:rPr>
            </w:pPr>
          </w:p>
        </w:tc>
        <w:tc>
          <w:tcPr>
            <w:tcW w:w="1803" w:type="dxa"/>
            <w:vMerge w:val="continue"/>
            <w:vAlign w:val="center"/>
          </w:tcPr>
          <w:p>
            <w:pPr>
              <w:spacing w:line="300" w:lineRule="exact"/>
              <w:jc w:val="center"/>
              <w:rPr>
                <w:rFonts w:ascii="宋体" w:hAnsi="宋体" w:eastAsia="宋体" w:cs="宋体"/>
                <w:color w:val="auto"/>
                <w:sz w:val="22"/>
                <w:szCs w:val="22"/>
              </w:rPr>
            </w:pPr>
          </w:p>
        </w:tc>
        <w:tc>
          <w:tcPr>
            <w:tcW w:w="5540" w:type="dxa"/>
            <w:vAlign w:val="center"/>
          </w:tcPr>
          <w:p>
            <w:pPr>
              <w:spacing w:line="360" w:lineRule="auto"/>
              <w:ind w:firstLine="330" w:firstLineChars="150"/>
              <w:rPr>
                <w:rFonts w:ascii="宋体" w:hAnsi="宋体" w:eastAsia="宋体" w:cs="宋体"/>
                <w:color w:val="auto"/>
                <w:sz w:val="22"/>
                <w:szCs w:val="22"/>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 xml:space="preserve">针对项目的防治周期完成后，进行施工作业的自查和总结方案进行打分 </w:t>
            </w:r>
          </w:p>
          <w:p>
            <w:pPr>
              <w:spacing w:line="360" w:lineRule="auto"/>
              <w:ind w:firstLine="330" w:firstLineChars="150"/>
              <w:rPr>
                <w:rFonts w:ascii="宋体" w:hAnsi="宋体" w:eastAsia="宋体" w:cs="宋体"/>
                <w:color w:val="auto"/>
                <w:sz w:val="22"/>
                <w:szCs w:val="22"/>
              </w:rPr>
            </w:pPr>
            <w:r>
              <w:rPr>
                <w:rFonts w:hint="eastAsia" w:ascii="宋体" w:hAnsi="宋体" w:eastAsia="宋体" w:cs="宋体"/>
                <w:color w:val="auto"/>
                <w:sz w:val="22"/>
                <w:szCs w:val="22"/>
              </w:rPr>
              <w:t>方案描述详细合理，可实施性强的得2分；</w:t>
            </w:r>
          </w:p>
          <w:p>
            <w:pPr>
              <w:spacing w:line="360" w:lineRule="auto"/>
              <w:ind w:firstLine="330" w:firstLineChars="150"/>
              <w:rPr>
                <w:rFonts w:ascii="宋体" w:hAnsi="宋体" w:eastAsia="宋体" w:cs="宋体"/>
                <w:color w:val="auto"/>
                <w:sz w:val="22"/>
                <w:szCs w:val="22"/>
              </w:rPr>
            </w:pPr>
            <w:r>
              <w:rPr>
                <w:rFonts w:hint="eastAsia" w:ascii="宋体" w:hAnsi="宋体" w:eastAsia="宋体" w:cs="宋体"/>
                <w:color w:val="auto"/>
                <w:sz w:val="22"/>
                <w:szCs w:val="22"/>
              </w:rPr>
              <w:t>方案描述详细合理，可实施性较强的得1分。</w:t>
            </w:r>
          </w:p>
        </w:tc>
        <w:tc>
          <w:tcPr>
            <w:tcW w:w="1335" w:type="dxa"/>
            <w:vAlign w:val="center"/>
          </w:tcPr>
          <w:p>
            <w:pPr>
              <w:spacing w:line="300" w:lineRule="exact"/>
              <w:jc w:val="center"/>
              <w:rPr>
                <w:rFonts w:ascii="宋体" w:hAnsi="宋体" w:eastAsia="宋体" w:cs="宋体"/>
                <w:color w:val="auto"/>
                <w:sz w:val="22"/>
                <w:szCs w:val="22"/>
              </w:rPr>
            </w:pPr>
            <w:r>
              <w:rPr>
                <w:rFonts w:hint="eastAsia" w:ascii="宋体" w:hAnsi="宋体" w:eastAsia="宋体" w:cs="宋体"/>
                <w:color w:val="auto"/>
                <w:sz w:val="22"/>
                <w:szCs w:val="22"/>
              </w:rPr>
              <w:t>0-2</w:t>
            </w:r>
          </w:p>
        </w:tc>
      </w:tr>
    </w:tbl>
    <w:p>
      <w:pPr>
        <w:pStyle w:val="44"/>
        <w:rPr>
          <w:color w:val="auto"/>
        </w:rPr>
      </w:pPr>
    </w:p>
    <w:p>
      <w:pPr>
        <w:pStyle w:val="2"/>
        <w:rPr>
          <w:color w:val="auto"/>
        </w:rPr>
      </w:pPr>
    </w:p>
    <w:p>
      <w:pPr>
        <w:jc w:val="center"/>
        <w:rPr>
          <w:rFonts w:ascii="宋体" w:hAnsi="宋体"/>
          <w:b/>
          <w:color w:val="auto"/>
          <w:sz w:val="22"/>
          <w:szCs w:val="22"/>
        </w:rPr>
      </w:pPr>
      <w:r>
        <w:rPr>
          <w:rFonts w:hint="eastAsia" w:ascii="宋体" w:hAnsi="宋体"/>
          <w:b/>
          <w:color w:val="auto"/>
          <w:sz w:val="22"/>
          <w:szCs w:val="22"/>
        </w:rPr>
        <w:t>五、说明</w:t>
      </w:r>
    </w:p>
    <w:p>
      <w:pPr>
        <w:ind w:firstLine="420"/>
        <w:rPr>
          <w:rFonts w:ascii="宋体" w:hAnsi="宋体" w:eastAsia="宋体" w:cs="Times New Roman"/>
          <w:color w:val="auto"/>
          <w:sz w:val="22"/>
          <w:szCs w:val="22"/>
        </w:rPr>
      </w:pPr>
      <w:r>
        <w:rPr>
          <w:rFonts w:hint="eastAsia" w:ascii="宋体" w:hAnsi="宋体"/>
          <w:color w:val="auto"/>
          <w:sz w:val="22"/>
          <w:szCs w:val="22"/>
        </w:rPr>
        <w:t>1</w:t>
      </w:r>
      <w:r>
        <w:rPr>
          <w:rFonts w:hint="eastAsia" w:ascii="宋体" w:hAnsi="宋体" w:eastAsia="宋体" w:cs="Times New Roman"/>
          <w:color w:val="auto"/>
          <w:sz w:val="22"/>
          <w:szCs w:val="22"/>
        </w:rPr>
        <w:t>、竞争性磋商小组推荐综合得分第一名的供应商为成交供应商，（如果得分相同，以报价低的优先；报价也相同，以抽签决定，并编写采购报告。）</w:t>
      </w:r>
    </w:p>
    <w:p>
      <w:pPr>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2、所有分值计算保留小数点后二位，小数点后三位四舍五入。</w:t>
      </w:r>
    </w:p>
    <w:p>
      <w:pPr>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3、最终得分为技术及资信分与商务分之和。</w:t>
      </w:r>
    </w:p>
    <w:p>
      <w:pPr>
        <w:ind w:firstLine="420"/>
        <w:rPr>
          <w:rFonts w:ascii="宋体" w:hAnsi="宋体" w:eastAsia="宋体" w:cs="Times New Roman"/>
          <w:color w:val="auto"/>
          <w:sz w:val="22"/>
          <w:szCs w:val="22"/>
        </w:rPr>
      </w:pPr>
      <w:r>
        <w:rPr>
          <w:rFonts w:hint="eastAsia" w:ascii="宋体" w:hAnsi="宋体" w:eastAsia="宋体" w:cs="Times New Roman"/>
          <w:color w:val="auto"/>
          <w:sz w:val="22"/>
          <w:szCs w:val="22"/>
        </w:rPr>
        <w:t>参见本竞争性磋商文件第三部分：“供应商须知”中的相关内容，未尽事宜按有关法律规定处理。</w:t>
      </w:r>
    </w:p>
    <w:p>
      <w:pPr>
        <w:rPr>
          <w:color w:val="auto"/>
        </w:rPr>
      </w:pPr>
    </w:p>
    <w:sectPr>
      <w:headerReference r:id="rId12" w:type="default"/>
      <w:footerReference r:id="rId13" w:type="default"/>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06F" w:usb1="1200FBEF" w:usb2="0064C000" w:usb3="00000002" w:csb0="00000001" w:csb1="4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pict>
        <v:shape id="_x0000_s4101" o:spid="_x0000_s410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pict>
        <v:shape id="_x0000_s4102" o:spid="_x0000_s410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33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pict>
        <v:shape id="_x0000_s4103" o:spid="_x0000_s410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40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pict>
        <v:shape id="_x0000_s4104" o:spid="_x0000_s4104"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46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4105" o:spid="_x0000_s410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53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FCC45"/>
    <w:multiLevelType w:val="singleLevel"/>
    <w:tmpl w:val="86AFCC45"/>
    <w:lvl w:ilvl="0" w:tentative="0">
      <w:start w:val="1"/>
      <w:numFmt w:val="decimal"/>
      <w:suff w:val="nothing"/>
      <w:lvlText w:val="（%1）"/>
      <w:lvlJc w:val="left"/>
    </w:lvl>
  </w:abstractNum>
  <w:abstractNum w:abstractNumId="1">
    <w:nsid w:val="93B58D2E"/>
    <w:multiLevelType w:val="singleLevel"/>
    <w:tmpl w:val="93B58D2E"/>
    <w:lvl w:ilvl="0" w:tentative="0">
      <w:start w:val="2"/>
      <w:numFmt w:val="decimal"/>
      <w:suff w:val="nothing"/>
      <w:lvlText w:val="%1、"/>
      <w:lvlJc w:val="left"/>
    </w:lvl>
  </w:abstractNum>
  <w:abstractNum w:abstractNumId="2">
    <w:nsid w:val="B7FC6607"/>
    <w:multiLevelType w:val="singleLevel"/>
    <w:tmpl w:val="B7FC6607"/>
    <w:lvl w:ilvl="0" w:tentative="0">
      <w:start w:val="1"/>
      <w:numFmt w:val="decimal"/>
      <w:pStyle w:val="9"/>
      <w:lvlText w:val="%1."/>
      <w:lvlJc w:val="left"/>
      <w:pPr>
        <w:tabs>
          <w:tab w:val="left" w:pos="780"/>
        </w:tabs>
        <w:ind w:left="780" w:hanging="360"/>
      </w:pPr>
    </w:lvl>
  </w:abstractNum>
  <w:abstractNum w:abstractNumId="3">
    <w:nsid w:val="D88AD1C3"/>
    <w:multiLevelType w:val="singleLevel"/>
    <w:tmpl w:val="D88AD1C3"/>
    <w:lvl w:ilvl="0" w:tentative="0">
      <w:start w:val="1"/>
      <w:numFmt w:val="decimal"/>
      <w:suff w:val="space"/>
      <w:lvlText w:val="%1."/>
      <w:lvlJc w:val="left"/>
    </w:lvl>
  </w:abstractNum>
  <w:abstractNum w:abstractNumId="4">
    <w:nsid w:val="00000016"/>
    <w:multiLevelType w:val="singleLevel"/>
    <w:tmpl w:val="00000016"/>
    <w:lvl w:ilvl="0" w:tentative="0">
      <w:start w:val="1"/>
      <w:numFmt w:val="decimal"/>
      <w:suff w:val="nothing"/>
      <w:lvlText w:val="（%1）"/>
      <w:lvlJc w:val="left"/>
    </w:lvl>
  </w:abstractNum>
  <w:abstractNum w:abstractNumId="5">
    <w:nsid w:val="17014C23"/>
    <w:multiLevelType w:val="singleLevel"/>
    <w:tmpl w:val="17014C23"/>
    <w:lvl w:ilvl="0" w:tentative="0">
      <w:start w:val="1"/>
      <w:numFmt w:val="decimal"/>
      <w:suff w:val="nothing"/>
      <w:lvlText w:val="%1、"/>
      <w:lvlJc w:val="left"/>
      <w:pPr>
        <w:ind w:left="0"/>
      </w:pPr>
    </w:lvl>
  </w:abstractNum>
  <w:abstractNum w:abstractNumId="6">
    <w:nsid w:val="299320C1"/>
    <w:multiLevelType w:val="multilevel"/>
    <w:tmpl w:val="299320C1"/>
    <w:lvl w:ilvl="0" w:tentative="0">
      <w:start w:val="1"/>
      <w:numFmt w:val="decimal"/>
      <w:pStyle w:val="87"/>
      <w:lvlText w:val="图%1"/>
      <w:lvlJc w:val="left"/>
      <w:pPr>
        <w:ind w:left="420" w:hanging="420"/>
      </w:pPr>
      <w:rPr>
        <w:rFonts w:hint="eastAsia" w:ascii="黑体" w:hAnsi="黑体" w:eastAsia="黑体"/>
        <w:b/>
        <w:bCs w:val="0"/>
        <w:i w:val="0"/>
        <w:iCs w:val="0"/>
        <w: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B611C85"/>
    <w:multiLevelType w:val="multilevel"/>
    <w:tmpl w:val="4B611C85"/>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6FB16F3"/>
    <w:multiLevelType w:val="multilevel"/>
    <w:tmpl w:val="56FB16F3"/>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6A4D50DB"/>
    <w:multiLevelType w:val="multilevel"/>
    <w:tmpl w:val="6A4D50DB"/>
    <w:lvl w:ilvl="0" w:tentative="0">
      <w:start w:val="1"/>
      <w:numFmt w:val="decimal"/>
      <w:pStyle w:val="90"/>
      <w:lvlText w:val="表%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FAF5237"/>
    <w:multiLevelType w:val="multilevel"/>
    <w:tmpl w:val="6FAF5237"/>
    <w:lvl w:ilvl="0" w:tentative="0">
      <w:start w:val="1"/>
      <w:numFmt w:val="decimal"/>
      <w:pStyle w:val="3"/>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num w:numId="1">
    <w:abstractNumId w:val="10"/>
  </w:num>
  <w:num w:numId="2">
    <w:abstractNumId w:val="8"/>
  </w:num>
  <w:num w:numId="3">
    <w:abstractNumId w:val="2"/>
  </w:num>
  <w:num w:numId="4">
    <w:abstractNumId w:val="6"/>
  </w:num>
  <w:num w:numId="5">
    <w:abstractNumId w:val="9"/>
  </w:num>
  <w:num w:numId="6">
    <w:abstractNumId w:val="4"/>
  </w:num>
  <w:num w:numId="7">
    <w:abstractNumId w:val="1"/>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Q0Zjk1MTFjMjE2NmRkZmRiNWY1YmRlY2Q3YWU4ZTEifQ=="/>
  </w:docVars>
  <w:rsids>
    <w:rsidRoot w:val="00AD123C"/>
    <w:rsid w:val="00002479"/>
    <w:rsid w:val="00006656"/>
    <w:rsid w:val="00006E75"/>
    <w:rsid w:val="00014C31"/>
    <w:rsid w:val="00015927"/>
    <w:rsid w:val="00016E85"/>
    <w:rsid w:val="0003056A"/>
    <w:rsid w:val="000311C5"/>
    <w:rsid w:val="00041696"/>
    <w:rsid w:val="000455BF"/>
    <w:rsid w:val="0004614B"/>
    <w:rsid w:val="0005282B"/>
    <w:rsid w:val="0005481F"/>
    <w:rsid w:val="000733A6"/>
    <w:rsid w:val="000748B8"/>
    <w:rsid w:val="000854B1"/>
    <w:rsid w:val="000859C4"/>
    <w:rsid w:val="0009435F"/>
    <w:rsid w:val="00096881"/>
    <w:rsid w:val="000A1DC7"/>
    <w:rsid w:val="000A6476"/>
    <w:rsid w:val="000B2BD8"/>
    <w:rsid w:val="000B78EC"/>
    <w:rsid w:val="000C06DE"/>
    <w:rsid w:val="000D0DC6"/>
    <w:rsid w:val="000D1F68"/>
    <w:rsid w:val="000D2A4E"/>
    <w:rsid w:val="000E116D"/>
    <w:rsid w:val="000E377B"/>
    <w:rsid w:val="000E5289"/>
    <w:rsid w:val="000E65BE"/>
    <w:rsid w:val="00105305"/>
    <w:rsid w:val="00114D05"/>
    <w:rsid w:val="00140E0E"/>
    <w:rsid w:val="00150CD0"/>
    <w:rsid w:val="00160DD2"/>
    <w:rsid w:val="00164AE8"/>
    <w:rsid w:val="00167C8F"/>
    <w:rsid w:val="00183D66"/>
    <w:rsid w:val="001939C9"/>
    <w:rsid w:val="00195D91"/>
    <w:rsid w:val="001A4185"/>
    <w:rsid w:val="001A63E6"/>
    <w:rsid w:val="001B07E2"/>
    <w:rsid w:val="001B26AA"/>
    <w:rsid w:val="001C15EC"/>
    <w:rsid w:val="001D5555"/>
    <w:rsid w:val="001D5F83"/>
    <w:rsid w:val="001F345D"/>
    <w:rsid w:val="001F5946"/>
    <w:rsid w:val="0021226C"/>
    <w:rsid w:val="00216F0A"/>
    <w:rsid w:val="00226D15"/>
    <w:rsid w:val="00233B2C"/>
    <w:rsid w:val="0023781D"/>
    <w:rsid w:val="00254ED5"/>
    <w:rsid w:val="002562A8"/>
    <w:rsid w:val="00256365"/>
    <w:rsid w:val="0026382A"/>
    <w:rsid w:val="00271B5D"/>
    <w:rsid w:val="0028146F"/>
    <w:rsid w:val="002826A8"/>
    <w:rsid w:val="002834B9"/>
    <w:rsid w:val="00290B28"/>
    <w:rsid w:val="00294909"/>
    <w:rsid w:val="00297F4B"/>
    <w:rsid w:val="002A2186"/>
    <w:rsid w:val="002A35B3"/>
    <w:rsid w:val="002A4336"/>
    <w:rsid w:val="002A5BE5"/>
    <w:rsid w:val="002A5E20"/>
    <w:rsid w:val="002B1359"/>
    <w:rsid w:val="002B1D1A"/>
    <w:rsid w:val="002C333E"/>
    <w:rsid w:val="002C3ABC"/>
    <w:rsid w:val="002D202A"/>
    <w:rsid w:val="002D4910"/>
    <w:rsid w:val="002E00C2"/>
    <w:rsid w:val="002E30F7"/>
    <w:rsid w:val="002E36FC"/>
    <w:rsid w:val="0031006F"/>
    <w:rsid w:val="003100E0"/>
    <w:rsid w:val="00310B37"/>
    <w:rsid w:val="0031268C"/>
    <w:rsid w:val="003144F5"/>
    <w:rsid w:val="003263DF"/>
    <w:rsid w:val="00333B8F"/>
    <w:rsid w:val="003479AC"/>
    <w:rsid w:val="00352156"/>
    <w:rsid w:val="00352EC6"/>
    <w:rsid w:val="00353B77"/>
    <w:rsid w:val="0035413C"/>
    <w:rsid w:val="00355A35"/>
    <w:rsid w:val="0036769A"/>
    <w:rsid w:val="00374062"/>
    <w:rsid w:val="00375FD1"/>
    <w:rsid w:val="00376369"/>
    <w:rsid w:val="00377FB7"/>
    <w:rsid w:val="0039159D"/>
    <w:rsid w:val="003956EF"/>
    <w:rsid w:val="00396B27"/>
    <w:rsid w:val="003A2466"/>
    <w:rsid w:val="003A3307"/>
    <w:rsid w:val="003B40A1"/>
    <w:rsid w:val="003C15DB"/>
    <w:rsid w:val="003C36D1"/>
    <w:rsid w:val="003C71D9"/>
    <w:rsid w:val="003D4A5A"/>
    <w:rsid w:val="003E168C"/>
    <w:rsid w:val="003E277A"/>
    <w:rsid w:val="003E2E64"/>
    <w:rsid w:val="003E5811"/>
    <w:rsid w:val="003E63FE"/>
    <w:rsid w:val="004005B7"/>
    <w:rsid w:val="0040087A"/>
    <w:rsid w:val="00410DE6"/>
    <w:rsid w:val="00413BF1"/>
    <w:rsid w:val="00414010"/>
    <w:rsid w:val="004147CC"/>
    <w:rsid w:val="0041503D"/>
    <w:rsid w:val="00417A6F"/>
    <w:rsid w:val="004207C6"/>
    <w:rsid w:val="004214C9"/>
    <w:rsid w:val="00430037"/>
    <w:rsid w:val="00431DF9"/>
    <w:rsid w:val="00432088"/>
    <w:rsid w:val="00435B13"/>
    <w:rsid w:val="00442E20"/>
    <w:rsid w:val="00444FD9"/>
    <w:rsid w:val="00452FE8"/>
    <w:rsid w:val="004541B6"/>
    <w:rsid w:val="00454B1B"/>
    <w:rsid w:val="00457FAF"/>
    <w:rsid w:val="00464EF5"/>
    <w:rsid w:val="004676EB"/>
    <w:rsid w:val="00471D2C"/>
    <w:rsid w:val="0047210E"/>
    <w:rsid w:val="00473C51"/>
    <w:rsid w:val="00474E68"/>
    <w:rsid w:val="00475399"/>
    <w:rsid w:val="00477B25"/>
    <w:rsid w:val="00481EE4"/>
    <w:rsid w:val="004851A8"/>
    <w:rsid w:val="004854E4"/>
    <w:rsid w:val="0048698F"/>
    <w:rsid w:val="00493D5C"/>
    <w:rsid w:val="00495314"/>
    <w:rsid w:val="004A3F33"/>
    <w:rsid w:val="004A7431"/>
    <w:rsid w:val="004C7FDA"/>
    <w:rsid w:val="004D461D"/>
    <w:rsid w:val="004D4EE1"/>
    <w:rsid w:val="004E2C49"/>
    <w:rsid w:val="004E495C"/>
    <w:rsid w:val="004F0CF2"/>
    <w:rsid w:val="004F2785"/>
    <w:rsid w:val="00500C8C"/>
    <w:rsid w:val="00503DD9"/>
    <w:rsid w:val="005108FC"/>
    <w:rsid w:val="0051583C"/>
    <w:rsid w:val="005266CB"/>
    <w:rsid w:val="00534C60"/>
    <w:rsid w:val="00534E15"/>
    <w:rsid w:val="00540CFA"/>
    <w:rsid w:val="0054589F"/>
    <w:rsid w:val="005512C8"/>
    <w:rsid w:val="00554F78"/>
    <w:rsid w:val="00555A7E"/>
    <w:rsid w:val="00562AE2"/>
    <w:rsid w:val="00567E9B"/>
    <w:rsid w:val="00572170"/>
    <w:rsid w:val="00573683"/>
    <w:rsid w:val="00581A22"/>
    <w:rsid w:val="00587E08"/>
    <w:rsid w:val="00591E24"/>
    <w:rsid w:val="00595CD3"/>
    <w:rsid w:val="005A2A9A"/>
    <w:rsid w:val="005B384D"/>
    <w:rsid w:val="005B3EF9"/>
    <w:rsid w:val="005B7647"/>
    <w:rsid w:val="005C0CA4"/>
    <w:rsid w:val="005C2268"/>
    <w:rsid w:val="005C3318"/>
    <w:rsid w:val="005D1285"/>
    <w:rsid w:val="005D1474"/>
    <w:rsid w:val="005D1896"/>
    <w:rsid w:val="005D40E8"/>
    <w:rsid w:val="005D44F2"/>
    <w:rsid w:val="005D613F"/>
    <w:rsid w:val="005E1296"/>
    <w:rsid w:val="005E12FE"/>
    <w:rsid w:val="005E28B7"/>
    <w:rsid w:val="005E489C"/>
    <w:rsid w:val="005F39F9"/>
    <w:rsid w:val="005F6AB3"/>
    <w:rsid w:val="005F7499"/>
    <w:rsid w:val="00602396"/>
    <w:rsid w:val="006106F8"/>
    <w:rsid w:val="00611969"/>
    <w:rsid w:val="006149CA"/>
    <w:rsid w:val="00617783"/>
    <w:rsid w:val="00617901"/>
    <w:rsid w:val="00617959"/>
    <w:rsid w:val="00623141"/>
    <w:rsid w:val="00624F59"/>
    <w:rsid w:val="006258EC"/>
    <w:rsid w:val="00632C93"/>
    <w:rsid w:val="0063315B"/>
    <w:rsid w:val="00634EEE"/>
    <w:rsid w:val="00635D30"/>
    <w:rsid w:val="00640C31"/>
    <w:rsid w:val="006427F6"/>
    <w:rsid w:val="00645CF8"/>
    <w:rsid w:val="00650A2F"/>
    <w:rsid w:val="006517AB"/>
    <w:rsid w:val="00657134"/>
    <w:rsid w:val="006630C7"/>
    <w:rsid w:val="00665784"/>
    <w:rsid w:val="006677CE"/>
    <w:rsid w:val="006729B7"/>
    <w:rsid w:val="00675C81"/>
    <w:rsid w:val="006804B0"/>
    <w:rsid w:val="006836A3"/>
    <w:rsid w:val="0069058E"/>
    <w:rsid w:val="006A1BC7"/>
    <w:rsid w:val="006A4F61"/>
    <w:rsid w:val="006A7B2B"/>
    <w:rsid w:val="006B1740"/>
    <w:rsid w:val="006C057E"/>
    <w:rsid w:val="006D0D40"/>
    <w:rsid w:val="006D33C3"/>
    <w:rsid w:val="006D6CDF"/>
    <w:rsid w:val="006E51BD"/>
    <w:rsid w:val="006E5498"/>
    <w:rsid w:val="006F1027"/>
    <w:rsid w:val="006F20DD"/>
    <w:rsid w:val="006F63F9"/>
    <w:rsid w:val="0070079C"/>
    <w:rsid w:val="00700B5E"/>
    <w:rsid w:val="00704D3D"/>
    <w:rsid w:val="007135C8"/>
    <w:rsid w:val="00717979"/>
    <w:rsid w:val="007211DA"/>
    <w:rsid w:val="0073240C"/>
    <w:rsid w:val="00740FC6"/>
    <w:rsid w:val="007419C8"/>
    <w:rsid w:val="00752CD4"/>
    <w:rsid w:val="00753DD1"/>
    <w:rsid w:val="00756DFA"/>
    <w:rsid w:val="00756DFD"/>
    <w:rsid w:val="00756E83"/>
    <w:rsid w:val="007640E4"/>
    <w:rsid w:val="0079025D"/>
    <w:rsid w:val="00797F01"/>
    <w:rsid w:val="007B3D34"/>
    <w:rsid w:val="007C6EDD"/>
    <w:rsid w:val="007D3570"/>
    <w:rsid w:val="007E743B"/>
    <w:rsid w:val="008033A8"/>
    <w:rsid w:val="00810FDB"/>
    <w:rsid w:val="00811006"/>
    <w:rsid w:val="00812589"/>
    <w:rsid w:val="00813EC1"/>
    <w:rsid w:val="008149CC"/>
    <w:rsid w:val="00817CD8"/>
    <w:rsid w:val="00817D84"/>
    <w:rsid w:val="0082779B"/>
    <w:rsid w:val="008302B5"/>
    <w:rsid w:val="00830418"/>
    <w:rsid w:val="008326E6"/>
    <w:rsid w:val="00833906"/>
    <w:rsid w:val="00841F63"/>
    <w:rsid w:val="008451B8"/>
    <w:rsid w:val="00846168"/>
    <w:rsid w:val="00861570"/>
    <w:rsid w:val="00862E6D"/>
    <w:rsid w:val="00867E91"/>
    <w:rsid w:val="0087139A"/>
    <w:rsid w:val="008726C7"/>
    <w:rsid w:val="00873662"/>
    <w:rsid w:val="00893AD8"/>
    <w:rsid w:val="00896358"/>
    <w:rsid w:val="008A3B95"/>
    <w:rsid w:val="008C1F35"/>
    <w:rsid w:val="008C28FC"/>
    <w:rsid w:val="008C3A24"/>
    <w:rsid w:val="008C5C3B"/>
    <w:rsid w:val="008C7B03"/>
    <w:rsid w:val="008D3DB9"/>
    <w:rsid w:val="008D3FE6"/>
    <w:rsid w:val="008D519A"/>
    <w:rsid w:val="008D547B"/>
    <w:rsid w:val="008F0330"/>
    <w:rsid w:val="008F786D"/>
    <w:rsid w:val="009039C3"/>
    <w:rsid w:val="00915668"/>
    <w:rsid w:val="00916F6D"/>
    <w:rsid w:val="009237D6"/>
    <w:rsid w:val="00935391"/>
    <w:rsid w:val="00950F06"/>
    <w:rsid w:val="0095158A"/>
    <w:rsid w:val="00953B06"/>
    <w:rsid w:val="00962B28"/>
    <w:rsid w:val="009634A8"/>
    <w:rsid w:val="0097356E"/>
    <w:rsid w:val="00980779"/>
    <w:rsid w:val="0099104D"/>
    <w:rsid w:val="0099384C"/>
    <w:rsid w:val="009945D5"/>
    <w:rsid w:val="009B30C5"/>
    <w:rsid w:val="009C1772"/>
    <w:rsid w:val="009D3DE9"/>
    <w:rsid w:val="009D4C98"/>
    <w:rsid w:val="009D57BA"/>
    <w:rsid w:val="009D69F3"/>
    <w:rsid w:val="009D7E6A"/>
    <w:rsid w:val="009E31C0"/>
    <w:rsid w:val="009F2EC8"/>
    <w:rsid w:val="00A035ED"/>
    <w:rsid w:val="00A142B0"/>
    <w:rsid w:val="00A2134A"/>
    <w:rsid w:val="00A215AB"/>
    <w:rsid w:val="00A21A4F"/>
    <w:rsid w:val="00A270F7"/>
    <w:rsid w:val="00A306D4"/>
    <w:rsid w:val="00A30D57"/>
    <w:rsid w:val="00A317E8"/>
    <w:rsid w:val="00A367AF"/>
    <w:rsid w:val="00A37292"/>
    <w:rsid w:val="00A418EB"/>
    <w:rsid w:val="00A70820"/>
    <w:rsid w:val="00A7112A"/>
    <w:rsid w:val="00A83D4E"/>
    <w:rsid w:val="00A8492D"/>
    <w:rsid w:val="00A87F63"/>
    <w:rsid w:val="00A90FD0"/>
    <w:rsid w:val="00A94EDF"/>
    <w:rsid w:val="00A96B41"/>
    <w:rsid w:val="00AA561B"/>
    <w:rsid w:val="00AA57EA"/>
    <w:rsid w:val="00AA6867"/>
    <w:rsid w:val="00AA7982"/>
    <w:rsid w:val="00AA7D02"/>
    <w:rsid w:val="00AB06AB"/>
    <w:rsid w:val="00AC265A"/>
    <w:rsid w:val="00AC483C"/>
    <w:rsid w:val="00AD123C"/>
    <w:rsid w:val="00AD783C"/>
    <w:rsid w:val="00AF1E6D"/>
    <w:rsid w:val="00AF5356"/>
    <w:rsid w:val="00AF7076"/>
    <w:rsid w:val="00B01117"/>
    <w:rsid w:val="00B058C9"/>
    <w:rsid w:val="00B17229"/>
    <w:rsid w:val="00B21EB5"/>
    <w:rsid w:val="00B23CD9"/>
    <w:rsid w:val="00B24EA7"/>
    <w:rsid w:val="00B352F6"/>
    <w:rsid w:val="00B359F2"/>
    <w:rsid w:val="00B37447"/>
    <w:rsid w:val="00B42312"/>
    <w:rsid w:val="00B47ADF"/>
    <w:rsid w:val="00B6403B"/>
    <w:rsid w:val="00B67957"/>
    <w:rsid w:val="00B71454"/>
    <w:rsid w:val="00B77137"/>
    <w:rsid w:val="00B80838"/>
    <w:rsid w:val="00B83D17"/>
    <w:rsid w:val="00B87AB7"/>
    <w:rsid w:val="00B90255"/>
    <w:rsid w:val="00B949D9"/>
    <w:rsid w:val="00BA7A2C"/>
    <w:rsid w:val="00BB2DD5"/>
    <w:rsid w:val="00BB3293"/>
    <w:rsid w:val="00BC4A7A"/>
    <w:rsid w:val="00BC5C88"/>
    <w:rsid w:val="00BD0F01"/>
    <w:rsid w:val="00BD6188"/>
    <w:rsid w:val="00BE1CB4"/>
    <w:rsid w:val="00BE30B7"/>
    <w:rsid w:val="00BE7BFE"/>
    <w:rsid w:val="00BF2E18"/>
    <w:rsid w:val="00BF46B2"/>
    <w:rsid w:val="00C00AAF"/>
    <w:rsid w:val="00C018A5"/>
    <w:rsid w:val="00C02BA8"/>
    <w:rsid w:val="00C03AF4"/>
    <w:rsid w:val="00C06C87"/>
    <w:rsid w:val="00C0742E"/>
    <w:rsid w:val="00C10E7A"/>
    <w:rsid w:val="00C114C4"/>
    <w:rsid w:val="00C12E72"/>
    <w:rsid w:val="00C137EF"/>
    <w:rsid w:val="00C13F39"/>
    <w:rsid w:val="00C43D34"/>
    <w:rsid w:val="00C4625E"/>
    <w:rsid w:val="00C6260C"/>
    <w:rsid w:val="00C7461D"/>
    <w:rsid w:val="00C746E2"/>
    <w:rsid w:val="00C87510"/>
    <w:rsid w:val="00C93522"/>
    <w:rsid w:val="00CA0517"/>
    <w:rsid w:val="00CA1277"/>
    <w:rsid w:val="00CA40FF"/>
    <w:rsid w:val="00CA46C2"/>
    <w:rsid w:val="00CB13E2"/>
    <w:rsid w:val="00CB336C"/>
    <w:rsid w:val="00CB7B61"/>
    <w:rsid w:val="00CC1EFE"/>
    <w:rsid w:val="00CC447D"/>
    <w:rsid w:val="00CC487A"/>
    <w:rsid w:val="00CD0952"/>
    <w:rsid w:val="00CD23D9"/>
    <w:rsid w:val="00CE53A8"/>
    <w:rsid w:val="00CF0119"/>
    <w:rsid w:val="00CF4DE4"/>
    <w:rsid w:val="00CF64F0"/>
    <w:rsid w:val="00D05A88"/>
    <w:rsid w:val="00D06CF7"/>
    <w:rsid w:val="00D13E66"/>
    <w:rsid w:val="00D162CF"/>
    <w:rsid w:val="00D163E3"/>
    <w:rsid w:val="00D22AE0"/>
    <w:rsid w:val="00D26F90"/>
    <w:rsid w:val="00D27265"/>
    <w:rsid w:val="00D358AB"/>
    <w:rsid w:val="00D36C28"/>
    <w:rsid w:val="00D42264"/>
    <w:rsid w:val="00D46336"/>
    <w:rsid w:val="00D46B98"/>
    <w:rsid w:val="00D5608E"/>
    <w:rsid w:val="00D63185"/>
    <w:rsid w:val="00D74E69"/>
    <w:rsid w:val="00D83457"/>
    <w:rsid w:val="00D83B8A"/>
    <w:rsid w:val="00D84E08"/>
    <w:rsid w:val="00D862FC"/>
    <w:rsid w:val="00DA1E5B"/>
    <w:rsid w:val="00DA2399"/>
    <w:rsid w:val="00DD07AC"/>
    <w:rsid w:val="00DD0E88"/>
    <w:rsid w:val="00DD13C3"/>
    <w:rsid w:val="00DD58CB"/>
    <w:rsid w:val="00DE25B0"/>
    <w:rsid w:val="00DF0E83"/>
    <w:rsid w:val="00DF1CD0"/>
    <w:rsid w:val="00DF2106"/>
    <w:rsid w:val="00E012AA"/>
    <w:rsid w:val="00E03307"/>
    <w:rsid w:val="00E2482A"/>
    <w:rsid w:val="00E307D9"/>
    <w:rsid w:val="00E30AF3"/>
    <w:rsid w:val="00E3636F"/>
    <w:rsid w:val="00E4399C"/>
    <w:rsid w:val="00E466FD"/>
    <w:rsid w:val="00E46A16"/>
    <w:rsid w:val="00E46A4A"/>
    <w:rsid w:val="00E60832"/>
    <w:rsid w:val="00E6139A"/>
    <w:rsid w:val="00E7430A"/>
    <w:rsid w:val="00E762B6"/>
    <w:rsid w:val="00E76B7C"/>
    <w:rsid w:val="00E80C6F"/>
    <w:rsid w:val="00E9196F"/>
    <w:rsid w:val="00E91D49"/>
    <w:rsid w:val="00E93DDA"/>
    <w:rsid w:val="00E93FDD"/>
    <w:rsid w:val="00EA6208"/>
    <w:rsid w:val="00EA74D5"/>
    <w:rsid w:val="00EC2EB0"/>
    <w:rsid w:val="00EC5367"/>
    <w:rsid w:val="00ED04A5"/>
    <w:rsid w:val="00ED33BE"/>
    <w:rsid w:val="00ED4631"/>
    <w:rsid w:val="00ED697F"/>
    <w:rsid w:val="00EE0B12"/>
    <w:rsid w:val="00EF0560"/>
    <w:rsid w:val="00EF1725"/>
    <w:rsid w:val="00F108A2"/>
    <w:rsid w:val="00F10D68"/>
    <w:rsid w:val="00F11242"/>
    <w:rsid w:val="00F14029"/>
    <w:rsid w:val="00F14725"/>
    <w:rsid w:val="00F15718"/>
    <w:rsid w:val="00F21C99"/>
    <w:rsid w:val="00F3112D"/>
    <w:rsid w:val="00F331C4"/>
    <w:rsid w:val="00F34C4C"/>
    <w:rsid w:val="00F3572D"/>
    <w:rsid w:val="00F3767E"/>
    <w:rsid w:val="00F44076"/>
    <w:rsid w:val="00F5364D"/>
    <w:rsid w:val="00F54CD7"/>
    <w:rsid w:val="00F55A88"/>
    <w:rsid w:val="00F60542"/>
    <w:rsid w:val="00F614BD"/>
    <w:rsid w:val="00F65DE6"/>
    <w:rsid w:val="00F7124E"/>
    <w:rsid w:val="00F72543"/>
    <w:rsid w:val="00F746E3"/>
    <w:rsid w:val="00F840E5"/>
    <w:rsid w:val="00F8466F"/>
    <w:rsid w:val="00F90FEA"/>
    <w:rsid w:val="00F916AA"/>
    <w:rsid w:val="00FA6B04"/>
    <w:rsid w:val="00FB17FF"/>
    <w:rsid w:val="00FC002D"/>
    <w:rsid w:val="00FC1F2A"/>
    <w:rsid w:val="00FD116B"/>
    <w:rsid w:val="00FD19B5"/>
    <w:rsid w:val="00FD7754"/>
    <w:rsid w:val="00FE2926"/>
    <w:rsid w:val="00FF0FC7"/>
    <w:rsid w:val="00FF6429"/>
    <w:rsid w:val="00FF6CF3"/>
    <w:rsid w:val="011661C8"/>
    <w:rsid w:val="01243755"/>
    <w:rsid w:val="0125460F"/>
    <w:rsid w:val="01294748"/>
    <w:rsid w:val="012D40FB"/>
    <w:rsid w:val="01466323"/>
    <w:rsid w:val="014951C5"/>
    <w:rsid w:val="018956BE"/>
    <w:rsid w:val="01913DF5"/>
    <w:rsid w:val="01943743"/>
    <w:rsid w:val="01AD6B33"/>
    <w:rsid w:val="01C21E02"/>
    <w:rsid w:val="01DE7BAE"/>
    <w:rsid w:val="02071FAC"/>
    <w:rsid w:val="020871DD"/>
    <w:rsid w:val="0210580B"/>
    <w:rsid w:val="02315AA6"/>
    <w:rsid w:val="023B1CCF"/>
    <w:rsid w:val="023B4DEC"/>
    <w:rsid w:val="024E6DB1"/>
    <w:rsid w:val="02507945"/>
    <w:rsid w:val="02510D8D"/>
    <w:rsid w:val="0254538A"/>
    <w:rsid w:val="02672FE9"/>
    <w:rsid w:val="026A1E41"/>
    <w:rsid w:val="027642BB"/>
    <w:rsid w:val="027A1C54"/>
    <w:rsid w:val="028E2EA4"/>
    <w:rsid w:val="02970D2B"/>
    <w:rsid w:val="02B44793"/>
    <w:rsid w:val="02E15B78"/>
    <w:rsid w:val="02E1742E"/>
    <w:rsid w:val="02EB5541"/>
    <w:rsid w:val="02F23FB1"/>
    <w:rsid w:val="03195159"/>
    <w:rsid w:val="031F63BF"/>
    <w:rsid w:val="03265180"/>
    <w:rsid w:val="03345AEF"/>
    <w:rsid w:val="03452566"/>
    <w:rsid w:val="034A5176"/>
    <w:rsid w:val="03724AB0"/>
    <w:rsid w:val="03774D25"/>
    <w:rsid w:val="038C3276"/>
    <w:rsid w:val="03AB47B9"/>
    <w:rsid w:val="03B12173"/>
    <w:rsid w:val="03B46D44"/>
    <w:rsid w:val="03C81EB9"/>
    <w:rsid w:val="03D75F1C"/>
    <w:rsid w:val="03D9591F"/>
    <w:rsid w:val="03E34AEF"/>
    <w:rsid w:val="03F153F7"/>
    <w:rsid w:val="03F76EB6"/>
    <w:rsid w:val="040408BE"/>
    <w:rsid w:val="04111891"/>
    <w:rsid w:val="04344B81"/>
    <w:rsid w:val="045C354F"/>
    <w:rsid w:val="0463723E"/>
    <w:rsid w:val="046A3F2A"/>
    <w:rsid w:val="047900FF"/>
    <w:rsid w:val="04846602"/>
    <w:rsid w:val="04A46316"/>
    <w:rsid w:val="04B14D67"/>
    <w:rsid w:val="04B31786"/>
    <w:rsid w:val="04BD0DFC"/>
    <w:rsid w:val="04C91AEC"/>
    <w:rsid w:val="04E67A8F"/>
    <w:rsid w:val="04F432ED"/>
    <w:rsid w:val="04F512AE"/>
    <w:rsid w:val="04FA6940"/>
    <w:rsid w:val="0512539C"/>
    <w:rsid w:val="051D5B1F"/>
    <w:rsid w:val="054371AB"/>
    <w:rsid w:val="05470C58"/>
    <w:rsid w:val="054A4D2C"/>
    <w:rsid w:val="054A784B"/>
    <w:rsid w:val="054B2DFC"/>
    <w:rsid w:val="055A0FC0"/>
    <w:rsid w:val="0560458D"/>
    <w:rsid w:val="05690F54"/>
    <w:rsid w:val="05793C8D"/>
    <w:rsid w:val="057D2A61"/>
    <w:rsid w:val="05816FE5"/>
    <w:rsid w:val="058546E3"/>
    <w:rsid w:val="058922BB"/>
    <w:rsid w:val="058A3138"/>
    <w:rsid w:val="05932892"/>
    <w:rsid w:val="059573DB"/>
    <w:rsid w:val="05A33402"/>
    <w:rsid w:val="05AA54F0"/>
    <w:rsid w:val="05B60993"/>
    <w:rsid w:val="05C217A3"/>
    <w:rsid w:val="05CA686F"/>
    <w:rsid w:val="05D53026"/>
    <w:rsid w:val="05D835C3"/>
    <w:rsid w:val="05DB6A9D"/>
    <w:rsid w:val="05DF4635"/>
    <w:rsid w:val="06040449"/>
    <w:rsid w:val="062874C0"/>
    <w:rsid w:val="062C7D30"/>
    <w:rsid w:val="063517AC"/>
    <w:rsid w:val="064224FE"/>
    <w:rsid w:val="064F0456"/>
    <w:rsid w:val="06542C51"/>
    <w:rsid w:val="0686195B"/>
    <w:rsid w:val="06A40375"/>
    <w:rsid w:val="06C96B53"/>
    <w:rsid w:val="06D21BAA"/>
    <w:rsid w:val="06DA76A6"/>
    <w:rsid w:val="070044A0"/>
    <w:rsid w:val="071A1A15"/>
    <w:rsid w:val="0736260C"/>
    <w:rsid w:val="073A4D43"/>
    <w:rsid w:val="07465C79"/>
    <w:rsid w:val="074E1FF0"/>
    <w:rsid w:val="075449B1"/>
    <w:rsid w:val="077611A1"/>
    <w:rsid w:val="079C0106"/>
    <w:rsid w:val="07A82060"/>
    <w:rsid w:val="07B151DF"/>
    <w:rsid w:val="07BD4721"/>
    <w:rsid w:val="07BE7067"/>
    <w:rsid w:val="07D000D6"/>
    <w:rsid w:val="07D164DC"/>
    <w:rsid w:val="07DD49A7"/>
    <w:rsid w:val="07ED0F1B"/>
    <w:rsid w:val="07ED7B83"/>
    <w:rsid w:val="08177BFB"/>
    <w:rsid w:val="081E0D29"/>
    <w:rsid w:val="0848193D"/>
    <w:rsid w:val="085F5E6F"/>
    <w:rsid w:val="086F3C10"/>
    <w:rsid w:val="087A5675"/>
    <w:rsid w:val="087F4F63"/>
    <w:rsid w:val="088445CA"/>
    <w:rsid w:val="08854BC4"/>
    <w:rsid w:val="08AD3E7A"/>
    <w:rsid w:val="08C873E5"/>
    <w:rsid w:val="08D259A6"/>
    <w:rsid w:val="09081661"/>
    <w:rsid w:val="09081819"/>
    <w:rsid w:val="09187C60"/>
    <w:rsid w:val="091E4A80"/>
    <w:rsid w:val="091F194C"/>
    <w:rsid w:val="09256402"/>
    <w:rsid w:val="092C7268"/>
    <w:rsid w:val="09347107"/>
    <w:rsid w:val="09492C72"/>
    <w:rsid w:val="09544033"/>
    <w:rsid w:val="09580489"/>
    <w:rsid w:val="0972268D"/>
    <w:rsid w:val="09745A6F"/>
    <w:rsid w:val="099A348C"/>
    <w:rsid w:val="09AB4B27"/>
    <w:rsid w:val="09B8779A"/>
    <w:rsid w:val="09BB6966"/>
    <w:rsid w:val="09BF7412"/>
    <w:rsid w:val="09CD7540"/>
    <w:rsid w:val="09E77C5F"/>
    <w:rsid w:val="09F00B1C"/>
    <w:rsid w:val="09F022C4"/>
    <w:rsid w:val="09F127BB"/>
    <w:rsid w:val="0A1B2806"/>
    <w:rsid w:val="0A2A1557"/>
    <w:rsid w:val="0A39575A"/>
    <w:rsid w:val="0A3A7378"/>
    <w:rsid w:val="0A3C34DB"/>
    <w:rsid w:val="0A4B6BED"/>
    <w:rsid w:val="0A5B5145"/>
    <w:rsid w:val="0A815F93"/>
    <w:rsid w:val="0A820371"/>
    <w:rsid w:val="0A941A9B"/>
    <w:rsid w:val="0A9458FA"/>
    <w:rsid w:val="0AC92F16"/>
    <w:rsid w:val="0AD80FC2"/>
    <w:rsid w:val="0AE23FDD"/>
    <w:rsid w:val="0AEE1AA0"/>
    <w:rsid w:val="0AFD00AF"/>
    <w:rsid w:val="0B06722F"/>
    <w:rsid w:val="0B2A0ADC"/>
    <w:rsid w:val="0B372620"/>
    <w:rsid w:val="0B425692"/>
    <w:rsid w:val="0B5D3FA7"/>
    <w:rsid w:val="0B663FE4"/>
    <w:rsid w:val="0B8931A1"/>
    <w:rsid w:val="0BBF0626"/>
    <w:rsid w:val="0BE338B9"/>
    <w:rsid w:val="0BE75DFE"/>
    <w:rsid w:val="0BF51C5A"/>
    <w:rsid w:val="0BF916F0"/>
    <w:rsid w:val="0C022BE0"/>
    <w:rsid w:val="0C22507E"/>
    <w:rsid w:val="0C2A7A8F"/>
    <w:rsid w:val="0C2C0005"/>
    <w:rsid w:val="0C354746"/>
    <w:rsid w:val="0C551044"/>
    <w:rsid w:val="0C574869"/>
    <w:rsid w:val="0C61387E"/>
    <w:rsid w:val="0C796E65"/>
    <w:rsid w:val="0C9A1E39"/>
    <w:rsid w:val="0C9C2A71"/>
    <w:rsid w:val="0CA44A19"/>
    <w:rsid w:val="0CB845C4"/>
    <w:rsid w:val="0CCE2F16"/>
    <w:rsid w:val="0CD30297"/>
    <w:rsid w:val="0CE001F6"/>
    <w:rsid w:val="0CE519A5"/>
    <w:rsid w:val="0CED42B7"/>
    <w:rsid w:val="0CF140FA"/>
    <w:rsid w:val="0CF31B3A"/>
    <w:rsid w:val="0D0D40E4"/>
    <w:rsid w:val="0D1071FF"/>
    <w:rsid w:val="0D19146D"/>
    <w:rsid w:val="0D1C34D0"/>
    <w:rsid w:val="0D1D6FAA"/>
    <w:rsid w:val="0D2124C7"/>
    <w:rsid w:val="0D335085"/>
    <w:rsid w:val="0D3E0FA6"/>
    <w:rsid w:val="0D443E75"/>
    <w:rsid w:val="0D4B57BA"/>
    <w:rsid w:val="0D4F29F0"/>
    <w:rsid w:val="0D542171"/>
    <w:rsid w:val="0D543C87"/>
    <w:rsid w:val="0D677097"/>
    <w:rsid w:val="0D6913B0"/>
    <w:rsid w:val="0DB2420A"/>
    <w:rsid w:val="0DB81E51"/>
    <w:rsid w:val="0DD34156"/>
    <w:rsid w:val="0DD468DC"/>
    <w:rsid w:val="0E011379"/>
    <w:rsid w:val="0E12064D"/>
    <w:rsid w:val="0E24055F"/>
    <w:rsid w:val="0E2664F1"/>
    <w:rsid w:val="0E2A3239"/>
    <w:rsid w:val="0E3B2427"/>
    <w:rsid w:val="0E3C3443"/>
    <w:rsid w:val="0E4762DC"/>
    <w:rsid w:val="0E732BB9"/>
    <w:rsid w:val="0E74101E"/>
    <w:rsid w:val="0E8B043C"/>
    <w:rsid w:val="0EB62316"/>
    <w:rsid w:val="0EBA1BDF"/>
    <w:rsid w:val="0EDD4E1E"/>
    <w:rsid w:val="0EE619C8"/>
    <w:rsid w:val="0EE75620"/>
    <w:rsid w:val="0EED39AD"/>
    <w:rsid w:val="0EF45919"/>
    <w:rsid w:val="0F0A4F0B"/>
    <w:rsid w:val="0F3E6A4C"/>
    <w:rsid w:val="0F5F6058"/>
    <w:rsid w:val="0F760441"/>
    <w:rsid w:val="0F866B6F"/>
    <w:rsid w:val="0F884120"/>
    <w:rsid w:val="0F88424E"/>
    <w:rsid w:val="0F9D0225"/>
    <w:rsid w:val="0FA05331"/>
    <w:rsid w:val="0FAD2FDB"/>
    <w:rsid w:val="0FC17DB6"/>
    <w:rsid w:val="0FCF4323"/>
    <w:rsid w:val="0FD0377A"/>
    <w:rsid w:val="0FD850C3"/>
    <w:rsid w:val="0FF14FD3"/>
    <w:rsid w:val="0FF35410"/>
    <w:rsid w:val="0FF46D31"/>
    <w:rsid w:val="101161C0"/>
    <w:rsid w:val="101358F3"/>
    <w:rsid w:val="101F4C3F"/>
    <w:rsid w:val="102B1DDB"/>
    <w:rsid w:val="102C5EBC"/>
    <w:rsid w:val="102D26D6"/>
    <w:rsid w:val="10327322"/>
    <w:rsid w:val="10394D13"/>
    <w:rsid w:val="10463305"/>
    <w:rsid w:val="1057019A"/>
    <w:rsid w:val="108E7739"/>
    <w:rsid w:val="10925802"/>
    <w:rsid w:val="109F13C8"/>
    <w:rsid w:val="10A462FC"/>
    <w:rsid w:val="10A87933"/>
    <w:rsid w:val="10AA1ECB"/>
    <w:rsid w:val="10B93774"/>
    <w:rsid w:val="10BF410A"/>
    <w:rsid w:val="10D67EA8"/>
    <w:rsid w:val="10F974F3"/>
    <w:rsid w:val="112A3887"/>
    <w:rsid w:val="1139537F"/>
    <w:rsid w:val="116F0DC7"/>
    <w:rsid w:val="1194516D"/>
    <w:rsid w:val="11A4040E"/>
    <w:rsid w:val="11AC2AC8"/>
    <w:rsid w:val="11BC43D5"/>
    <w:rsid w:val="11E17F41"/>
    <w:rsid w:val="12373D7C"/>
    <w:rsid w:val="12415B32"/>
    <w:rsid w:val="12877198"/>
    <w:rsid w:val="128C6186"/>
    <w:rsid w:val="129C3353"/>
    <w:rsid w:val="12B8170E"/>
    <w:rsid w:val="131E6E81"/>
    <w:rsid w:val="13285E5F"/>
    <w:rsid w:val="13376915"/>
    <w:rsid w:val="133D4C4F"/>
    <w:rsid w:val="135D53D8"/>
    <w:rsid w:val="135F7841"/>
    <w:rsid w:val="13707D0F"/>
    <w:rsid w:val="13B266FA"/>
    <w:rsid w:val="13DF7E95"/>
    <w:rsid w:val="13EF483C"/>
    <w:rsid w:val="13F51833"/>
    <w:rsid w:val="13FA31A3"/>
    <w:rsid w:val="13FE0DE6"/>
    <w:rsid w:val="13FF2080"/>
    <w:rsid w:val="142525F6"/>
    <w:rsid w:val="14262BBC"/>
    <w:rsid w:val="143936D8"/>
    <w:rsid w:val="143B6859"/>
    <w:rsid w:val="144D6507"/>
    <w:rsid w:val="145F4995"/>
    <w:rsid w:val="14626397"/>
    <w:rsid w:val="14670D03"/>
    <w:rsid w:val="1470197E"/>
    <w:rsid w:val="14722D5A"/>
    <w:rsid w:val="147818BD"/>
    <w:rsid w:val="14864ED2"/>
    <w:rsid w:val="14A031F7"/>
    <w:rsid w:val="14AC75D1"/>
    <w:rsid w:val="14AF15CF"/>
    <w:rsid w:val="14E50979"/>
    <w:rsid w:val="14EA44AE"/>
    <w:rsid w:val="14F45C0D"/>
    <w:rsid w:val="14F84610"/>
    <w:rsid w:val="14FB33B0"/>
    <w:rsid w:val="15176E68"/>
    <w:rsid w:val="15282FD9"/>
    <w:rsid w:val="15457079"/>
    <w:rsid w:val="1560004E"/>
    <w:rsid w:val="157978A7"/>
    <w:rsid w:val="158560F0"/>
    <w:rsid w:val="158D32A4"/>
    <w:rsid w:val="158E3B60"/>
    <w:rsid w:val="15C673AA"/>
    <w:rsid w:val="15DD6AE4"/>
    <w:rsid w:val="16007076"/>
    <w:rsid w:val="16081B79"/>
    <w:rsid w:val="160A1024"/>
    <w:rsid w:val="1619180F"/>
    <w:rsid w:val="1619332D"/>
    <w:rsid w:val="162C3EA9"/>
    <w:rsid w:val="16696C3A"/>
    <w:rsid w:val="168230EE"/>
    <w:rsid w:val="16B42C6D"/>
    <w:rsid w:val="16B44038"/>
    <w:rsid w:val="16CA6421"/>
    <w:rsid w:val="16E3253A"/>
    <w:rsid w:val="16FF332A"/>
    <w:rsid w:val="170F2220"/>
    <w:rsid w:val="17277D08"/>
    <w:rsid w:val="173D7F05"/>
    <w:rsid w:val="17576637"/>
    <w:rsid w:val="1786162A"/>
    <w:rsid w:val="179B7A92"/>
    <w:rsid w:val="17A9546E"/>
    <w:rsid w:val="17BD5739"/>
    <w:rsid w:val="17D145A4"/>
    <w:rsid w:val="180C6776"/>
    <w:rsid w:val="182021D4"/>
    <w:rsid w:val="18220E96"/>
    <w:rsid w:val="182512BF"/>
    <w:rsid w:val="1865122A"/>
    <w:rsid w:val="186D2733"/>
    <w:rsid w:val="187A78B1"/>
    <w:rsid w:val="187C44DF"/>
    <w:rsid w:val="18B349D2"/>
    <w:rsid w:val="18CE4126"/>
    <w:rsid w:val="18F6152C"/>
    <w:rsid w:val="18F660E1"/>
    <w:rsid w:val="190218BC"/>
    <w:rsid w:val="19044C8D"/>
    <w:rsid w:val="19095170"/>
    <w:rsid w:val="190B3EB3"/>
    <w:rsid w:val="191047E7"/>
    <w:rsid w:val="19137BB8"/>
    <w:rsid w:val="191B12AB"/>
    <w:rsid w:val="19225D94"/>
    <w:rsid w:val="192D42F3"/>
    <w:rsid w:val="193970B7"/>
    <w:rsid w:val="193F0E28"/>
    <w:rsid w:val="194505FE"/>
    <w:rsid w:val="19457F63"/>
    <w:rsid w:val="19522332"/>
    <w:rsid w:val="19576828"/>
    <w:rsid w:val="19597463"/>
    <w:rsid w:val="197410CF"/>
    <w:rsid w:val="198E3481"/>
    <w:rsid w:val="199A7C9F"/>
    <w:rsid w:val="19A32533"/>
    <w:rsid w:val="19A810CA"/>
    <w:rsid w:val="19AA32E6"/>
    <w:rsid w:val="19D743D6"/>
    <w:rsid w:val="19DD1B54"/>
    <w:rsid w:val="19E9387A"/>
    <w:rsid w:val="19F8389D"/>
    <w:rsid w:val="1A126FFF"/>
    <w:rsid w:val="1A6F52BC"/>
    <w:rsid w:val="1A7E6AE3"/>
    <w:rsid w:val="1A805353"/>
    <w:rsid w:val="1A8104CE"/>
    <w:rsid w:val="1A962D35"/>
    <w:rsid w:val="1AA63E86"/>
    <w:rsid w:val="1AB80C4F"/>
    <w:rsid w:val="1ABD2642"/>
    <w:rsid w:val="1AC014C6"/>
    <w:rsid w:val="1AC937CA"/>
    <w:rsid w:val="1AF04599"/>
    <w:rsid w:val="1AF2282B"/>
    <w:rsid w:val="1B1562B0"/>
    <w:rsid w:val="1B1A0BF2"/>
    <w:rsid w:val="1B2714BF"/>
    <w:rsid w:val="1B332452"/>
    <w:rsid w:val="1B3542FB"/>
    <w:rsid w:val="1B372BF3"/>
    <w:rsid w:val="1B4D0258"/>
    <w:rsid w:val="1B4F322C"/>
    <w:rsid w:val="1B526935"/>
    <w:rsid w:val="1B666C5A"/>
    <w:rsid w:val="1B72638E"/>
    <w:rsid w:val="1B88418F"/>
    <w:rsid w:val="1B8E7098"/>
    <w:rsid w:val="1B9334AB"/>
    <w:rsid w:val="1B95436C"/>
    <w:rsid w:val="1BAC5DF8"/>
    <w:rsid w:val="1BC673F4"/>
    <w:rsid w:val="1BCA303C"/>
    <w:rsid w:val="1BE542F6"/>
    <w:rsid w:val="1BE61271"/>
    <w:rsid w:val="1C080823"/>
    <w:rsid w:val="1C0F3379"/>
    <w:rsid w:val="1C2A2148"/>
    <w:rsid w:val="1C3B1844"/>
    <w:rsid w:val="1C3F0B2B"/>
    <w:rsid w:val="1C3F5535"/>
    <w:rsid w:val="1C517832"/>
    <w:rsid w:val="1C5F5C93"/>
    <w:rsid w:val="1C6918C8"/>
    <w:rsid w:val="1C853160"/>
    <w:rsid w:val="1C8614EE"/>
    <w:rsid w:val="1C8C60B9"/>
    <w:rsid w:val="1CA95FA5"/>
    <w:rsid w:val="1CDE50C9"/>
    <w:rsid w:val="1CDE6FC2"/>
    <w:rsid w:val="1D1F1816"/>
    <w:rsid w:val="1D241315"/>
    <w:rsid w:val="1D5D6BFA"/>
    <w:rsid w:val="1D76469C"/>
    <w:rsid w:val="1D7A5A02"/>
    <w:rsid w:val="1DC0717D"/>
    <w:rsid w:val="1DD40012"/>
    <w:rsid w:val="1DDC1F50"/>
    <w:rsid w:val="1DE85F85"/>
    <w:rsid w:val="1E2B70E6"/>
    <w:rsid w:val="1E334108"/>
    <w:rsid w:val="1E5109CC"/>
    <w:rsid w:val="1E52330B"/>
    <w:rsid w:val="1E656D52"/>
    <w:rsid w:val="1E6C0F09"/>
    <w:rsid w:val="1E7E3659"/>
    <w:rsid w:val="1E98461D"/>
    <w:rsid w:val="1EA67F90"/>
    <w:rsid w:val="1EB7274A"/>
    <w:rsid w:val="1ED72245"/>
    <w:rsid w:val="1EF34087"/>
    <w:rsid w:val="1EF61FE3"/>
    <w:rsid w:val="1F0D4270"/>
    <w:rsid w:val="1F165A39"/>
    <w:rsid w:val="1F2E4D87"/>
    <w:rsid w:val="1F370402"/>
    <w:rsid w:val="1F4965B4"/>
    <w:rsid w:val="1F657758"/>
    <w:rsid w:val="1F7A1381"/>
    <w:rsid w:val="1FA92E7A"/>
    <w:rsid w:val="1FB04EF2"/>
    <w:rsid w:val="1FC15ED6"/>
    <w:rsid w:val="1FDE3E7F"/>
    <w:rsid w:val="1FDF0BF0"/>
    <w:rsid w:val="1FF931A4"/>
    <w:rsid w:val="1FFB3074"/>
    <w:rsid w:val="200107FC"/>
    <w:rsid w:val="20216B08"/>
    <w:rsid w:val="20405B7F"/>
    <w:rsid w:val="204D10CE"/>
    <w:rsid w:val="20572904"/>
    <w:rsid w:val="207260A6"/>
    <w:rsid w:val="207417C9"/>
    <w:rsid w:val="20801DCF"/>
    <w:rsid w:val="209B4C6C"/>
    <w:rsid w:val="209F4C92"/>
    <w:rsid w:val="20AC0D84"/>
    <w:rsid w:val="20BD2964"/>
    <w:rsid w:val="20BF1892"/>
    <w:rsid w:val="20BF1B00"/>
    <w:rsid w:val="20C646ED"/>
    <w:rsid w:val="20C909F0"/>
    <w:rsid w:val="20E86509"/>
    <w:rsid w:val="20F054FC"/>
    <w:rsid w:val="20FD1BD5"/>
    <w:rsid w:val="211232C3"/>
    <w:rsid w:val="21220770"/>
    <w:rsid w:val="212E34D3"/>
    <w:rsid w:val="213F1DD6"/>
    <w:rsid w:val="21493133"/>
    <w:rsid w:val="215B2A68"/>
    <w:rsid w:val="217162CA"/>
    <w:rsid w:val="217429A0"/>
    <w:rsid w:val="21747CD2"/>
    <w:rsid w:val="21A77C96"/>
    <w:rsid w:val="21B453CD"/>
    <w:rsid w:val="21B65314"/>
    <w:rsid w:val="21CE7D40"/>
    <w:rsid w:val="21D51C02"/>
    <w:rsid w:val="21E64000"/>
    <w:rsid w:val="2204765C"/>
    <w:rsid w:val="220B4FC1"/>
    <w:rsid w:val="220E5787"/>
    <w:rsid w:val="221B3B58"/>
    <w:rsid w:val="22261B58"/>
    <w:rsid w:val="22363ABA"/>
    <w:rsid w:val="224145D9"/>
    <w:rsid w:val="22421B7E"/>
    <w:rsid w:val="22423D4D"/>
    <w:rsid w:val="22557657"/>
    <w:rsid w:val="225C52DB"/>
    <w:rsid w:val="227A3ECF"/>
    <w:rsid w:val="22983240"/>
    <w:rsid w:val="22A273FF"/>
    <w:rsid w:val="22C2587A"/>
    <w:rsid w:val="22CE1777"/>
    <w:rsid w:val="22D51980"/>
    <w:rsid w:val="22E471BA"/>
    <w:rsid w:val="22F9746B"/>
    <w:rsid w:val="2308424D"/>
    <w:rsid w:val="23201166"/>
    <w:rsid w:val="23220A0D"/>
    <w:rsid w:val="23340988"/>
    <w:rsid w:val="23345488"/>
    <w:rsid w:val="2337565A"/>
    <w:rsid w:val="233F3F0D"/>
    <w:rsid w:val="233F6F74"/>
    <w:rsid w:val="23431403"/>
    <w:rsid w:val="234E1DDC"/>
    <w:rsid w:val="236B3B35"/>
    <w:rsid w:val="239C0FFB"/>
    <w:rsid w:val="23A076DF"/>
    <w:rsid w:val="23B54A00"/>
    <w:rsid w:val="23BF2D5B"/>
    <w:rsid w:val="23BF5B07"/>
    <w:rsid w:val="23C11C5C"/>
    <w:rsid w:val="23FA6623"/>
    <w:rsid w:val="24042E63"/>
    <w:rsid w:val="240A0711"/>
    <w:rsid w:val="24212C3A"/>
    <w:rsid w:val="24340889"/>
    <w:rsid w:val="244758B5"/>
    <w:rsid w:val="24677CF2"/>
    <w:rsid w:val="246D1F1E"/>
    <w:rsid w:val="24806158"/>
    <w:rsid w:val="24814E6B"/>
    <w:rsid w:val="248C507E"/>
    <w:rsid w:val="24997B76"/>
    <w:rsid w:val="24A51F50"/>
    <w:rsid w:val="24AF426C"/>
    <w:rsid w:val="24B214DF"/>
    <w:rsid w:val="24C55441"/>
    <w:rsid w:val="24CD25BB"/>
    <w:rsid w:val="24EA2442"/>
    <w:rsid w:val="250B023F"/>
    <w:rsid w:val="25196DF7"/>
    <w:rsid w:val="251972A9"/>
    <w:rsid w:val="25565941"/>
    <w:rsid w:val="25571864"/>
    <w:rsid w:val="256F3E21"/>
    <w:rsid w:val="25751D88"/>
    <w:rsid w:val="25831D72"/>
    <w:rsid w:val="259F5720"/>
    <w:rsid w:val="25A5447F"/>
    <w:rsid w:val="25A617AE"/>
    <w:rsid w:val="25B814E1"/>
    <w:rsid w:val="25E178B5"/>
    <w:rsid w:val="25F0544D"/>
    <w:rsid w:val="26082254"/>
    <w:rsid w:val="261772AA"/>
    <w:rsid w:val="263C0AC6"/>
    <w:rsid w:val="2649527A"/>
    <w:rsid w:val="26541E80"/>
    <w:rsid w:val="26590D71"/>
    <w:rsid w:val="265B0FE1"/>
    <w:rsid w:val="26696967"/>
    <w:rsid w:val="266B0064"/>
    <w:rsid w:val="268B074F"/>
    <w:rsid w:val="26910958"/>
    <w:rsid w:val="26946721"/>
    <w:rsid w:val="26BC42F5"/>
    <w:rsid w:val="26C51673"/>
    <w:rsid w:val="26C67A6D"/>
    <w:rsid w:val="26E53821"/>
    <w:rsid w:val="26EB3CF0"/>
    <w:rsid w:val="270E0153"/>
    <w:rsid w:val="270E40AA"/>
    <w:rsid w:val="27181169"/>
    <w:rsid w:val="271E6FB9"/>
    <w:rsid w:val="2737249E"/>
    <w:rsid w:val="27436E82"/>
    <w:rsid w:val="275A67FD"/>
    <w:rsid w:val="275F095E"/>
    <w:rsid w:val="27654608"/>
    <w:rsid w:val="27797AB1"/>
    <w:rsid w:val="278E13C2"/>
    <w:rsid w:val="279E6FF6"/>
    <w:rsid w:val="27B3359B"/>
    <w:rsid w:val="27CD1F3C"/>
    <w:rsid w:val="27CD689D"/>
    <w:rsid w:val="27E320D9"/>
    <w:rsid w:val="27E3760C"/>
    <w:rsid w:val="27EB6534"/>
    <w:rsid w:val="27EE36C4"/>
    <w:rsid w:val="27F1607E"/>
    <w:rsid w:val="280349D7"/>
    <w:rsid w:val="2817182A"/>
    <w:rsid w:val="28261BB8"/>
    <w:rsid w:val="28335EBE"/>
    <w:rsid w:val="2853664C"/>
    <w:rsid w:val="28550493"/>
    <w:rsid w:val="28552D17"/>
    <w:rsid w:val="28601E8A"/>
    <w:rsid w:val="288362E8"/>
    <w:rsid w:val="28896366"/>
    <w:rsid w:val="2895052E"/>
    <w:rsid w:val="289736D6"/>
    <w:rsid w:val="28985AC2"/>
    <w:rsid w:val="289C331B"/>
    <w:rsid w:val="28B27E95"/>
    <w:rsid w:val="28E43CDE"/>
    <w:rsid w:val="28E63CF2"/>
    <w:rsid w:val="28F5126C"/>
    <w:rsid w:val="29154883"/>
    <w:rsid w:val="292D7DCD"/>
    <w:rsid w:val="294E1229"/>
    <w:rsid w:val="29521386"/>
    <w:rsid w:val="2958769B"/>
    <w:rsid w:val="29735013"/>
    <w:rsid w:val="297B758F"/>
    <w:rsid w:val="297C6FB2"/>
    <w:rsid w:val="29921C14"/>
    <w:rsid w:val="299D5118"/>
    <w:rsid w:val="29BE47B1"/>
    <w:rsid w:val="29CA5A85"/>
    <w:rsid w:val="29CC67D1"/>
    <w:rsid w:val="29DA6910"/>
    <w:rsid w:val="29F217F2"/>
    <w:rsid w:val="29F808E9"/>
    <w:rsid w:val="2A012A6E"/>
    <w:rsid w:val="2A0C5DDF"/>
    <w:rsid w:val="2A2B33FF"/>
    <w:rsid w:val="2A304FCF"/>
    <w:rsid w:val="2A541BFD"/>
    <w:rsid w:val="2A5E6C51"/>
    <w:rsid w:val="2A8074A3"/>
    <w:rsid w:val="2A8517F1"/>
    <w:rsid w:val="2A9D30F3"/>
    <w:rsid w:val="2AC72F37"/>
    <w:rsid w:val="2ADC66BD"/>
    <w:rsid w:val="2B151A29"/>
    <w:rsid w:val="2B193FC0"/>
    <w:rsid w:val="2B2A5BCC"/>
    <w:rsid w:val="2B3214D4"/>
    <w:rsid w:val="2B5D5522"/>
    <w:rsid w:val="2B6677EB"/>
    <w:rsid w:val="2B773505"/>
    <w:rsid w:val="2B7C7736"/>
    <w:rsid w:val="2BB1692C"/>
    <w:rsid w:val="2BB172BF"/>
    <w:rsid w:val="2BB67139"/>
    <w:rsid w:val="2C053F31"/>
    <w:rsid w:val="2C3F64D6"/>
    <w:rsid w:val="2C48645E"/>
    <w:rsid w:val="2C493B09"/>
    <w:rsid w:val="2C5D5807"/>
    <w:rsid w:val="2C7C7A3B"/>
    <w:rsid w:val="2C8A3730"/>
    <w:rsid w:val="2C8E46BB"/>
    <w:rsid w:val="2CAD13E0"/>
    <w:rsid w:val="2CC42329"/>
    <w:rsid w:val="2CC45CC4"/>
    <w:rsid w:val="2CD51280"/>
    <w:rsid w:val="2CFE588F"/>
    <w:rsid w:val="2CFF7734"/>
    <w:rsid w:val="2D2467C2"/>
    <w:rsid w:val="2D5462C2"/>
    <w:rsid w:val="2D5F44D3"/>
    <w:rsid w:val="2D62568F"/>
    <w:rsid w:val="2D676C30"/>
    <w:rsid w:val="2D822A3D"/>
    <w:rsid w:val="2D951C26"/>
    <w:rsid w:val="2D993F70"/>
    <w:rsid w:val="2DA15059"/>
    <w:rsid w:val="2DAB1B97"/>
    <w:rsid w:val="2DAC25A2"/>
    <w:rsid w:val="2DB955A0"/>
    <w:rsid w:val="2DC053F7"/>
    <w:rsid w:val="2DC21CCF"/>
    <w:rsid w:val="2DC82EEC"/>
    <w:rsid w:val="2DD9710F"/>
    <w:rsid w:val="2DEE7D7B"/>
    <w:rsid w:val="2E106AAA"/>
    <w:rsid w:val="2E374561"/>
    <w:rsid w:val="2E624ED5"/>
    <w:rsid w:val="2E796377"/>
    <w:rsid w:val="2E7F4945"/>
    <w:rsid w:val="2E881373"/>
    <w:rsid w:val="2EA0058E"/>
    <w:rsid w:val="2EA23E74"/>
    <w:rsid w:val="2EB5368F"/>
    <w:rsid w:val="2EBE787C"/>
    <w:rsid w:val="2ECA0B93"/>
    <w:rsid w:val="2EFE7B1A"/>
    <w:rsid w:val="2EFF472B"/>
    <w:rsid w:val="2F0B01A9"/>
    <w:rsid w:val="2F102AEF"/>
    <w:rsid w:val="2F1A70F7"/>
    <w:rsid w:val="2F256289"/>
    <w:rsid w:val="2F277269"/>
    <w:rsid w:val="2F3D41D5"/>
    <w:rsid w:val="2F445100"/>
    <w:rsid w:val="2F4D2A21"/>
    <w:rsid w:val="2F6A0B86"/>
    <w:rsid w:val="2F6D2FFD"/>
    <w:rsid w:val="2F7C0DC0"/>
    <w:rsid w:val="2F8640AD"/>
    <w:rsid w:val="2F881D30"/>
    <w:rsid w:val="2F8A7474"/>
    <w:rsid w:val="2F8D7E33"/>
    <w:rsid w:val="2FA22FDD"/>
    <w:rsid w:val="2FB238C3"/>
    <w:rsid w:val="2FD1710B"/>
    <w:rsid w:val="2FDB7982"/>
    <w:rsid w:val="2FE504B7"/>
    <w:rsid w:val="2FEF2E6C"/>
    <w:rsid w:val="301816D1"/>
    <w:rsid w:val="302C3EDF"/>
    <w:rsid w:val="302E3742"/>
    <w:rsid w:val="30320F9B"/>
    <w:rsid w:val="303711F7"/>
    <w:rsid w:val="303A4ACA"/>
    <w:rsid w:val="30466CDD"/>
    <w:rsid w:val="305B1182"/>
    <w:rsid w:val="305D1CCE"/>
    <w:rsid w:val="305E4A0C"/>
    <w:rsid w:val="30752DA6"/>
    <w:rsid w:val="308471D8"/>
    <w:rsid w:val="308710A4"/>
    <w:rsid w:val="308B0791"/>
    <w:rsid w:val="30912A6D"/>
    <w:rsid w:val="30966CE7"/>
    <w:rsid w:val="30AD74CF"/>
    <w:rsid w:val="30B55DD1"/>
    <w:rsid w:val="30F02BD1"/>
    <w:rsid w:val="310C0AD0"/>
    <w:rsid w:val="3114789C"/>
    <w:rsid w:val="311722F5"/>
    <w:rsid w:val="311D76D2"/>
    <w:rsid w:val="312E26C2"/>
    <w:rsid w:val="312F6DB8"/>
    <w:rsid w:val="31375428"/>
    <w:rsid w:val="31464C62"/>
    <w:rsid w:val="3154062A"/>
    <w:rsid w:val="315B4A26"/>
    <w:rsid w:val="316505E8"/>
    <w:rsid w:val="316B5D6B"/>
    <w:rsid w:val="3171622A"/>
    <w:rsid w:val="319F31B6"/>
    <w:rsid w:val="31AB370F"/>
    <w:rsid w:val="31B609AA"/>
    <w:rsid w:val="31BD6EAD"/>
    <w:rsid w:val="31DE6AA2"/>
    <w:rsid w:val="31F94B6A"/>
    <w:rsid w:val="31FA63F4"/>
    <w:rsid w:val="324B17FE"/>
    <w:rsid w:val="324F7BB6"/>
    <w:rsid w:val="32775632"/>
    <w:rsid w:val="3283005E"/>
    <w:rsid w:val="32A3414C"/>
    <w:rsid w:val="32B34312"/>
    <w:rsid w:val="32B563C3"/>
    <w:rsid w:val="32D3116D"/>
    <w:rsid w:val="32D46BDF"/>
    <w:rsid w:val="32D92145"/>
    <w:rsid w:val="32DB1B8F"/>
    <w:rsid w:val="32F256B1"/>
    <w:rsid w:val="32F97CD5"/>
    <w:rsid w:val="32FA0C51"/>
    <w:rsid w:val="32FF4295"/>
    <w:rsid w:val="33101B57"/>
    <w:rsid w:val="33353669"/>
    <w:rsid w:val="334A2082"/>
    <w:rsid w:val="334D4B04"/>
    <w:rsid w:val="335F1FA1"/>
    <w:rsid w:val="33634795"/>
    <w:rsid w:val="336F00EB"/>
    <w:rsid w:val="33711628"/>
    <w:rsid w:val="33AB014B"/>
    <w:rsid w:val="33B230EA"/>
    <w:rsid w:val="33C86452"/>
    <w:rsid w:val="33DB6CCF"/>
    <w:rsid w:val="34066E74"/>
    <w:rsid w:val="34081E12"/>
    <w:rsid w:val="34190852"/>
    <w:rsid w:val="34311DD7"/>
    <w:rsid w:val="343A32E7"/>
    <w:rsid w:val="344A7E45"/>
    <w:rsid w:val="344D2F56"/>
    <w:rsid w:val="34587F41"/>
    <w:rsid w:val="345D2C7E"/>
    <w:rsid w:val="34665F56"/>
    <w:rsid w:val="34924FC4"/>
    <w:rsid w:val="34A02734"/>
    <w:rsid w:val="34C21B8F"/>
    <w:rsid w:val="34C5119C"/>
    <w:rsid w:val="35115864"/>
    <w:rsid w:val="352132A8"/>
    <w:rsid w:val="353A5EDD"/>
    <w:rsid w:val="353E145E"/>
    <w:rsid w:val="35583F76"/>
    <w:rsid w:val="358F2980"/>
    <w:rsid w:val="35903655"/>
    <w:rsid w:val="35924F3A"/>
    <w:rsid w:val="35B35442"/>
    <w:rsid w:val="35B939CB"/>
    <w:rsid w:val="35EC69C3"/>
    <w:rsid w:val="362A1D29"/>
    <w:rsid w:val="36432BB5"/>
    <w:rsid w:val="36446861"/>
    <w:rsid w:val="364B233B"/>
    <w:rsid w:val="365B3550"/>
    <w:rsid w:val="367F0C5B"/>
    <w:rsid w:val="36861FAD"/>
    <w:rsid w:val="36883480"/>
    <w:rsid w:val="36AD7E4C"/>
    <w:rsid w:val="36AF3D05"/>
    <w:rsid w:val="36D45A97"/>
    <w:rsid w:val="36E8727B"/>
    <w:rsid w:val="36ED73BD"/>
    <w:rsid w:val="36F30888"/>
    <w:rsid w:val="36FE64ED"/>
    <w:rsid w:val="371A4D75"/>
    <w:rsid w:val="373108D4"/>
    <w:rsid w:val="37421881"/>
    <w:rsid w:val="37530855"/>
    <w:rsid w:val="3762330F"/>
    <w:rsid w:val="379522F8"/>
    <w:rsid w:val="37AE0570"/>
    <w:rsid w:val="37AE4516"/>
    <w:rsid w:val="37B879C4"/>
    <w:rsid w:val="37C80CBF"/>
    <w:rsid w:val="37CF0BB3"/>
    <w:rsid w:val="37D451C8"/>
    <w:rsid w:val="37E0537C"/>
    <w:rsid w:val="37E1079C"/>
    <w:rsid w:val="37F04D2F"/>
    <w:rsid w:val="37F30E4E"/>
    <w:rsid w:val="37F8487A"/>
    <w:rsid w:val="37FD0952"/>
    <w:rsid w:val="37FE4B49"/>
    <w:rsid w:val="38143841"/>
    <w:rsid w:val="38274777"/>
    <w:rsid w:val="38282D4D"/>
    <w:rsid w:val="38411385"/>
    <w:rsid w:val="384358B1"/>
    <w:rsid w:val="3870629E"/>
    <w:rsid w:val="387D5F09"/>
    <w:rsid w:val="38B24BC5"/>
    <w:rsid w:val="38B94C45"/>
    <w:rsid w:val="38BC2C05"/>
    <w:rsid w:val="38D356E1"/>
    <w:rsid w:val="38D5699F"/>
    <w:rsid w:val="38D65704"/>
    <w:rsid w:val="38DC74A7"/>
    <w:rsid w:val="38E100C2"/>
    <w:rsid w:val="38E20D3F"/>
    <w:rsid w:val="390741F4"/>
    <w:rsid w:val="390A4620"/>
    <w:rsid w:val="39137979"/>
    <w:rsid w:val="39203F8F"/>
    <w:rsid w:val="39225E0E"/>
    <w:rsid w:val="392B4CC2"/>
    <w:rsid w:val="39582851"/>
    <w:rsid w:val="397C648E"/>
    <w:rsid w:val="397F0B6A"/>
    <w:rsid w:val="398259F2"/>
    <w:rsid w:val="39830F07"/>
    <w:rsid w:val="39905D4A"/>
    <w:rsid w:val="39D00FB7"/>
    <w:rsid w:val="39D11041"/>
    <w:rsid w:val="39E34343"/>
    <w:rsid w:val="39F73541"/>
    <w:rsid w:val="3A016262"/>
    <w:rsid w:val="3A174DE2"/>
    <w:rsid w:val="3A3C3DC7"/>
    <w:rsid w:val="3A926509"/>
    <w:rsid w:val="3A986FED"/>
    <w:rsid w:val="3AC96ADB"/>
    <w:rsid w:val="3AE71281"/>
    <w:rsid w:val="3AEF0890"/>
    <w:rsid w:val="3AFE561F"/>
    <w:rsid w:val="3B200FE2"/>
    <w:rsid w:val="3B501A8F"/>
    <w:rsid w:val="3B682D5E"/>
    <w:rsid w:val="3B866FF0"/>
    <w:rsid w:val="3B8C6144"/>
    <w:rsid w:val="3BBA28BA"/>
    <w:rsid w:val="3BBE7E61"/>
    <w:rsid w:val="3BDD426E"/>
    <w:rsid w:val="3C0123CD"/>
    <w:rsid w:val="3C0C1C5B"/>
    <w:rsid w:val="3C2E4B74"/>
    <w:rsid w:val="3C4679CD"/>
    <w:rsid w:val="3C5357A3"/>
    <w:rsid w:val="3C586AFE"/>
    <w:rsid w:val="3C5B366D"/>
    <w:rsid w:val="3C774586"/>
    <w:rsid w:val="3C8B5092"/>
    <w:rsid w:val="3C9E1CF4"/>
    <w:rsid w:val="3CC16A39"/>
    <w:rsid w:val="3CC80A7A"/>
    <w:rsid w:val="3CC90259"/>
    <w:rsid w:val="3CF646FE"/>
    <w:rsid w:val="3CFB02FD"/>
    <w:rsid w:val="3D037D04"/>
    <w:rsid w:val="3D102D73"/>
    <w:rsid w:val="3D16557E"/>
    <w:rsid w:val="3D25198E"/>
    <w:rsid w:val="3D2B3DE3"/>
    <w:rsid w:val="3D3E7E89"/>
    <w:rsid w:val="3D457D8D"/>
    <w:rsid w:val="3D493642"/>
    <w:rsid w:val="3D793A53"/>
    <w:rsid w:val="3D976558"/>
    <w:rsid w:val="3DBC7D0E"/>
    <w:rsid w:val="3DC76955"/>
    <w:rsid w:val="3DE0100D"/>
    <w:rsid w:val="3DE250CD"/>
    <w:rsid w:val="3DE8227C"/>
    <w:rsid w:val="3DF05082"/>
    <w:rsid w:val="3DF8596C"/>
    <w:rsid w:val="3E122CDE"/>
    <w:rsid w:val="3E157CEF"/>
    <w:rsid w:val="3E2C7FEE"/>
    <w:rsid w:val="3E3146F2"/>
    <w:rsid w:val="3E5566D4"/>
    <w:rsid w:val="3E5959DA"/>
    <w:rsid w:val="3E751487"/>
    <w:rsid w:val="3E86299B"/>
    <w:rsid w:val="3E8E68AE"/>
    <w:rsid w:val="3E8F07CB"/>
    <w:rsid w:val="3E90021E"/>
    <w:rsid w:val="3ED53889"/>
    <w:rsid w:val="3EE94729"/>
    <w:rsid w:val="3F19736B"/>
    <w:rsid w:val="3F1D4D97"/>
    <w:rsid w:val="3F265BE8"/>
    <w:rsid w:val="3F2D0E1A"/>
    <w:rsid w:val="3F361F2E"/>
    <w:rsid w:val="3F3C08E5"/>
    <w:rsid w:val="3F5235EF"/>
    <w:rsid w:val="3F542A99"/>
    <w:rsid w:val="3F5900B0"/>
    <w:rsid w:val="3FA41611"/>
    <w:rsid w:val="3FAB28A3"/>
    <w:rsid w:val="3FD37E62"/>
    <w:rsid w:val="3FDB6F47"/>
    <w:rsid w:val="3FDD0D6E"/>
    <w:rsid w:val="404A0617"/>
    <w:rsid w:val="404C1345"/>
    <w:rsid w:val="406202E6"/>
    <w:rsid w:val="407401D4"/>
    <w:rsid w:val="407A6EF0"/>
    <w:rsid w:val="40876843"/>
    <w:rsid w:val="40896EEE"/>
    <w:rsid w:val="408D0FB0"/>
    <w:rsid w:val="408F7CD8"/>
    <w:rsid w:val="409C4AF1"/>
    <w:rsid w:val="40A57752"/>
    <w:rsid w:val="40AB3DBD"/>
    <w:rsid w:val="40BB02E7"/>
    <w:rsid w:val="40CF4E36"/>
    <w:rsid w:val="40D02754"/>
    <w:rsid w:val="40DD5B87"/>
    <w:rsid w:val="40F756AD"/>
    <w:rsid w:val="410A340F"/>
    <w:rsid w:val="410C54D9"/>
    <w:rsid w:val="41173547"/>
    <w:rsid w:val="41693476"/>
    <w:rsid w:val="41811624"/>
    <w:rsid w:val="4198423B"/>
    <w:rsid w:val="419D7174"/>
    <w:rsid w:val="41A21455"/>
    <w:rsid w:val="41A77051"/>
    <w:rsid w:val="41B96BE3"/>
    <w:rsid w:val="41E80D0F"/>
    <w:rsid w:val="41F32E35"/>
    <w:rsid w:val="41FC26D8"/>
    <w:rsid w:val="42014067"/>
    <w:rsid w:val="420D11AC"/>
    <w:rsid w:val="42257689"/>
    <w:rsid w:val="4230318E"/>
    <w:rsid w:val="423D5A66"/>
    <w:rsid w:val="423E7F3E"/>
    <w:rsid w:val="42406199"/>
    <w:rsid w:val="424443C9"/>
    <w:rsid w:val="42891AF3"/>
    <w:rsid w:val="42C11AE6"/>
    <w:rsid w:val="42C247A4"/>
    <w:rsid w:val="42C7679B"/>
    <w:rsid w:val="42E00F90"/>
    <w:rsid w:val="42E46F22"/>
    <w:rsid w:val="42E67EAC"/>
    <w:rsid w:val="42F979F6"/>
    <w:rsid w:val="42FB6149"/>
    <w:rsid w:val="43051503"/>
    <w:rsid w:val="43094E58"/>
    <w:rsid w:val="430B529D"/>
    <w:rsid w:val="431D23A7"/>
    <w:rsid w:val="433A730B"/>
    <w:rsid w:val="434A67A6"/>
    <w:rsid w:val="434F61BB"/>
    <w:rsid w:val="43820D0B"/>
    <w:rsid w:val="43824658"/>
    <w:rsid w:val="438837DF"/>
    <w:rsid w:val="439F39E9"/>
    <w:rsid w:val="43A975CD"/>
    <w:rsid w:val="43AD01AE"/>
    <w:rsid w:val="43AF0A03"/>
    <w:rsid w:val="43DB3F23"/>
    <w:rsid w:val="440B1E39"/>
    <w:rsid w:val="4410587B"/>
    <w:rsid w:val="44160914"/>
    <w:rsid w:val="44221CA6"/>
    <w:rsid w:val="442272B0"/>
    <w:rsid w:val="44441C7E"/>
    <w:rsid w:val="444C63B2"/>
    <w:rsid w:val="44562E10"/>
    <w:rsid w:val="44593733"/>
    <w:rsid w:val="445F2A31"/>
    <w:rsid w:val="44671DAC"/>
    <w:rsid w:val="44705E35"/>
    <w:rsid w:val="44927BB2"/>
    <w:rsid w:val="44AE3D02"/>
    <w:rsid w:val="44B65390"/>
    <w:rsid w:val="44BC2283"/>
    <w:rsid w:val="44BF2763"/>
    <w:rsid w:val="44D82741"/>
    <w:rsid w:val="44D96CE5"/>
    <w:rsid w:val="44E528CA"/>
    <w:rsid w:val="44EB16B7"/>
    <w:rsid w:val="44ED5C79"/>
    <w:rsid w:val="44F22646"/>
    <w:rsid w:val="44F95F4B"/>
    <w:rsid w:val="450734AC"/>
    <w:rsid w:val="45084CA0"/>
    <w:rsid w:val="453A21AF"/>
    <w:rsid w:val="457156B7"/>
    <w:rsid w:val="457E4796"/>
    <w:rsid w:val="457E572B"/>
    <w:rsid w:val="4586246A"/>
    <w:rsid w:val="45877724"/>
    <w:rsid w:val="458C4710"/>
    <w:rsid w:val="459458FA"/>
    <w:rsid w:val="45A47F8C"/>
    <w:rsid w:val="45A53A2B"/>
    <w:rsid w:val="45C0656A"/>
    <w:rsid w:val="45C641DB"/>
    <w:rsid w:val="45D53394"/>
    <w:rsid w:val="45D554C1"/>
    <w:rsid w:val="45DB181E"/>
    <w:rsid w:val="45DD2C6A"/>
    <w:rsid w:val="45F27E71"/>
    <w:rsid w:val="46065148"/>
    <w:rsid w:val="460E3E5D"/>
    <w:rsid w:val="463B5D1A"/>
    <w:rsid w:val="46503583"/>
    <w:rsid w:val="465223F7"/>
    <w:rsid w:val="46550770"/>
    <w:rsid w:val="46633D18"/>
    <w:rsid w:val="466B3126"/>
    <w:rsid w:val="467001B9"/>
    <w:rsid w:val="46707A4B"/>
    <w:rsid w:val="4690077B"/>
    <w:rsid w:val="469B050A"/>
    <w:rsid w:val="46B522AF"/>
    <w:rsid w:val="46EA58B1"/>
    <w:rsid w:val="46F73840"/>
    <w:rsid w:val="47195A34"/>
    <w:rsid w:val="47412DD5"/>
    <w:rsid w:val="47675349"/>
    <w:rsid w:val="479617D9"/>
    <w:rsid w:val="479D43B4"/>
    <w:rsid w:val="47A02CBA"/>
    <w:rsid w:val="47A95B9D"/>
    <w:rsid w:val="47CF57AA"/>
    <w:rsid w:val="47D80F2B"/>
    <w:rsid w:val="47E016ED"/>
    <w:rsid w:val="47FD07D6"/>
    <w:rsid w:val="48065BEB"/>
    <w:rsid w:val="482C011A"/>
    <w:rsid w:val="48303B9C"/>
    <w:rsid w:val="48477DBB"/>
    <w:rsid w:val="485779D7"/>
    <w:rsid w:val="48594C7C"/>
    <w:rsid w:val="48603449"/>
    <w:rsid w:val="486313D3"/>
    <w:rsid w:val="4865631E"/>
    <w:rsid w:val="48717A8C"/>
    <w:rsid w:val="48814B3B"/>
    <w:rsid w:val="48904B42"/>
    <w:rsid w:val="48B75C12"/>
    <w:rsid w:val="48BF1A3C"/>
    <w:rsid w:val="48C14619"/>
    <w:rsid w:val="48C65B5D"/>
    <w:rsid w:val="48E531C2"/>
    <w:rsid w:val="48EA6EB5"/>
    <w:rsid w:val="4922114E"/>
    <w:rsid w:val="49224E17"/>
    <w:rsid w:val="49255DFC"/>
    <w:rsid w:val="492F1D3A"/>
    <w:rsid w:val="493014BE"/>
    <w:rsid w:val="493B39E1"/>
    <w:rsid w:val="4957194D"/>
    <w:rsid w:val="495866F2"/>
    <w:rsid w:val="49642047"/>
    <w:rsid w:val="498905A4"/>
    <w:rsid w:val="498D3578"/>
    <w:rsid w:val="499A42F0"/>
    <w:rsid w:val="499E651A"/>
    <w:rsid w:val="49BF04D0"/>
    <w:rsid w:val="49C53687"/>
    <w:rsid w:val="49DC5897"/>
    <w:rsid w:val="49E01E0C"/>
    <w:rsid w:val="49E04D5D"/>
    <w:rsid w:val="49F217E5"/>
    <w:rsid w:val="49FE0EDF"/>
    <w:rsid w:val="49FF3829"/>
    <w:rsid w:val="4A036BAE"/>
    <w:rsid w:val="4A0D5D17"/>
    <w:rsid w:val="4A474693"/>
    <w:rsid w:val="4A4D7B08"/>
    <w:rsid w:val="4A803EAC"/>
    <w:rsid w:val="4A874012"/>
    <w:rsid w:val="4A8761A8"/>
    <w:rsid w:val="4A8E4610"/>
    <w:rsid w:val="4A9401EE"/>
    <w:rsid w:val="4AA0783A"/>
    <w:rsid w:val="4AA46965"/>
    <w:rsid w:val="4AA71EC4"/>
    <w:rsid w:val="4AAE4FA0"/>
    <w:rsid w:val="4AAE7950"/>
    <w:rsid w:val="4AB22A8F"/>
    <w:rsid w:val="4AB83FB0"/>
    <w:rsid w:val="4ADD4540"/>
    <w:rsid w:val="4AE44E4E"/>
    <w:rsid w:val="4AEE1091"/>
    <w:rsid w:val="4AEF6A17"/>
    <w:rsid w:val="4AFB281A"/>
    <w:rsid w:val="4B111A14"/>
    <w:rsid w:val="4B151BB4"/>
    <w:rsid w:val="4B1D216A"/>
    <w:rsid w:val="4B4B0868"/>
    <w:rsid w:val="4B626E7F"/>
    <w:rsid w:val="4B644EFB"/>
    <w:rsid w:val="4B7D6ED4"/>
    <w:rsid w:val="4B8951B5"/>
    <w:rsid w:val="4B8C0719"/>
    <w:rsid w:val="4B8C1BDC"/>
    <w:rsid w:val="4B8F29F3"/>
    <w:rsid w:val="4BA34B8C"/>
    <w:rsid w:val="4BB328F5"/>
    <w:rsid w:val="4BCF0C76"/>
    <w:rsid w:val="4BE24406"/>
    <w:rsid w:val="4BEC10D6"/>
    <w:rsid w:val="4BF35B33"/>
    <w:rsid w:val="4C0364A2"/>
    <w:rsid w:val="4C083A6B"/>
    <w:rsid w:val="4C18585B"/>
    <w:rsid w:val="4C1C7E88"/>
    <w:rsid w:val="4C1D7300"/>
    <w:rsid w:val="4C26046F"/>
    <w:rsid w:val="4C28053F"/>
    <w:rsid w:val="4C596AA6"/>
    <w:rsid w:val="4C6C11E2"/>
    <w:rsid w:val="4C7E50C0"/>
    <w:rsid w:val="4CBF0B23"/>
    <w:rsid w:val="4CC91253"/>
    <w:rsid w:val="4CC95826"/>
    <w:rsid w:val="4CD72ECF"/>
    <w:rsid w:val="4CE80145"/>
    <w:rsid w:val="4CEB1D06"/>
    <w:rsid w:val="4CEE61A2"/>
    <w:rsid w:val="4CFD1026"/>
    <w:rsid w:val="4D1F4A55"/>
    <w:rsid w:val="4D20747A"/>
    <w:rsid w:val="4D3676B3"/>
    <w:rsid w:val="4D5161C7"/>
    <w:rsid w:val="4DBC3DA8"/>
    <w:rsid w:val="4DBE1745"/>
    <w:rsid w:val="4DC94490"/>
    <w:rsid w:val="4DD17035"/>
    <w:rsid w:val="4DD668B5"/>
    <w:rsid w:val="4DD94074"/>
    <w:rsid w:val="4DE51A95"/>
    <w:rsid w:val="4DF74D1B"/>
    <w:rsid w:val="4E1A470D"/>
    <w:rsid w:val="4E294D5A"/>
    <w:rsid w:val="4E463B41"/>
    <w:rsid w:val="4E68562C"/>
    <w:rsid w:val="4E7D7F22"/>
    <w:rsid w:val="4E89337E"/>
    <w:rsid w:val="4E8B4500"/>
    <w:rsid w:val="4E8D7FB5"/>
    <w:rsid w:val="4EAA5F5B"/>
    <w:rsid w:val="4EAC4F2B"/>
    <w:rsid w:val="4EC27EAA"/>
    <w:rsid w:val="4EDA3A9C"/>
    <w:rsid w:val="4EEE4DAD"/>
    <w:rsid w:val="4F056692"/>
    <w:rsid w:val="4F2754BC"/>
    <w:rsid w:val="4F2834D1"/>
    <w:rsid w:val="4F2B3870"/>
    <w:rsid w:val="4F341EEA"/>
    <w:rsid w:val="4F7E7804"/>
    <w:rsid w:val="4F8D7062"/>
    <w:rsid w:val="4FB65CCD"/>
    <w:rsid w:val="4FB972A9"/>
    <w:rsid w:val="4FBD4E00"/>
    <w:rsid w:val="4FBF73EF"/>
    <w:rsid w:val="4FC765AD"/>
    <w:rsid w:val="4FDB5C2C"/>
    <w:rsid w:val="4FE87180"/>
    <w:rsid w:val="4FEE4C58"/>
    <w:rsid w:val="4FF7503E"/>
    <w:rsid w:val="500509A7"/>
    <w:rsid w:val="500C2B1D"/>
    <w:rsid w:val="500E6291"/>
    <w:rsid w:val="50130B14"/>
    <w:rsid w:val="501D1B02"/>
    <w:rsid w:val="503A58E8"/>
    <w:rsid w:val="50426F73"/>
    <w:rsid w:val="504C6E7E"/>
    <w:rsid w:val="505963C8"/>
    <w:rsid w:val="506444BC"/>
    <w:rsid w:val="50667122"/>
    <w:rsid w:val="506F336C"/>
    <w:rsid w:val="507D45CC"/>
    <w:rsid w:val="50852AB2"/>
    <w:rsid w:val="50AA556A"/>
    <w:rsid w:val="50AE34A0"/>
    <w:rsid w:val="50B045AB"/>
    <w:rsid w:val="50EE17C7"/>
    <w:rsid w:val="512E3212"/>
    <w:rsid w:val="513A3F91"/>
    <w:rsid w:val="516516EA"/>
    <w:rsid w:val="516D78D9"/>
    <w:rsid w:val="51711289"/>
    <w:rsid w:val="51712F79"/>
    <w:rsid w:val="518439F6"/>
    <w:rsid w:val="518A1123"/>
    <w:rsid w:val="518D6E5A"/>
    <w:rsid w:val="51AE4F6C"/>
    <w:rsid w:val="51DD2D75"/>
    <w:rsid w:val="51E242A8"/>
    <w:rsid w:val="51E73F79"/>
    <w:rsid w:val="51F07536"/>
    <w:rsid w:val="52142B51"/>
    <w:rsid w:val="52391092"/>
    <w:rsid w:val="523C53F3"/>
    <w:rsid w:val="524C467F"/>
    <w:rsid w:val="524D493D"/>
    <w:rsid w:val="526A4BA2"/>
    <w:rsid w:val="52804F75"/>
    <w:rsid w:val="528B71DF"/>
    <w:rsid w:val="5297553C"/>
    <w:rsid w:val="52B8695C"/>
    <w:rsid w:val="52DE00A3"/>
    <w:rsid w:val="52E11458"/>
    <w:rsid w:val="52E465D9"/>
    <w:rsid w:val="52E71655"/>
    <w:rsid w:val="52E7511B"/>
    <w:rsid w:val="5304402B"/>
    <w:rsid w:val="5311687F"/>
    <w:rsid w:val="53122C69"/>
    <w:rsid w:val="53131A85"/>
    <w:rsid w:val="53182862"/>
    <w:rsid w:val="53221C47"/>
    <w:rsid w:val="532562F9"/>
    <w:rsid w:val="532E10FB"/>
    <w:rsid w:val="534E343B"/>
    <w:rsid w:val="53AB108E"/>
    <w:rsid w:val="53BF2F7A"/>
    <w:rsid w:val="53CB14A9"/>
    <w:rsid w:val="53D02297"/>
    <w:rsid w:val="53E05450"/>
    <w:rsid w:val="53F8030D"/>
    <w:rsid w:val="53FD6839"/>
    <w:rsid w:val="54131AEA"/>
    <w:rsid w:val="54414D20"/>
    <w:rsid w:val="5449280C"/>
    <w:rsid w:val="54591907"/>
    <w:rsid w:val="546C5A12"/>
    <w:rsid w:val="548E2C25"/>
    <w:rsid w:val="54953710"/>
    <w:rsid w:val="54B06087"/>
    <w:rsid w:val="54C660D7"/>
    <w:rsid w:val="54F20E3F"/>
    <w:rsid w:val="55002C08"/>
    <w:rsid w:val="55172147"/>
    <w:rsid w:val="551D2E67"/>
    <w:rsid w:val="55271C1F"/>
    <w:rsid w:val="553610BB"/>
    <w:rsid w:val="554A6449"/>
    <w:rsid w:val="55626EC9"/>
    <w:rsid w:val="556D77A6"/>
    <w:rsid w:val="557A014E"/>
    <w:rsid w:val="55A30DB3"/>
    <w:rsid w:val="55A737D5"/>
    <w:rsid w:val="55AC0995"/>
    <w:rsid w:val="55C638F9"/>
    <w:rsid w:val="55D35E71"/>
    <w:rsid w:val="55E14425"/>
    <w:rsid w:val="55FA2FD9"/>
    <w:rsid w:val="560209A1"/>
    <w:rsid w:val="560C5155"/>
    <w:rsid w:val="56314C40"/>
    <w:rsid w:val="56330AF6"/>
    <w:rsid w:val="5637484F"/>
    <w:rsid w:val="563F2BD8"/>
    <w:rsid w:val="564207ED"/>
    <w:rsid w:val="566409F3"/>
    <w:rsid w:val="56693B75"/>
    <w:rsid w:val="56720525"/>
    <w:rsid w:val="5679539B"/>
    <w:rsid w:val="567E2150"/>
    <w:rsid w:val="568B3577"/>
    <w:rsid w:val="56CB1014"/>
    <w:rsid w:val="56EC5CB9"/>
    <w:rsid w:val="56F1515A"/>
    <w:rsid w:val="56F651E7"/>
    <w:rsid w:val="57127C71"/>
    <w:rsid w:val="57430DA8"/>
    <w:rsid w:val="57477DA6"/>
    <w:rsid w:val="574E69E0"/>
    <w:rsid w:val="57570875"/>
    <w:rsid w:val="57815C18"/>
    <w:rsid w:val="578F3442"/>
    <w:rsid w:val="57911D3D"/>
    <w:rsid w:val="57A3286D"/>
    <w:rsid w:val="57AD2F20"/>
    <w:rsid w:val="57CE79F7"/>
    <w:rsid w:val="57DF7856"/>
    <w:rsid w:val="57E14725"/>
    <w:rsid w:val="57E70D1E"/>
    <w:rsid w:val="57FB24E4"/>
    <w:rsid w:val="580805D6"/>
    <w:rsid w:val="5814296E"/>
    <w:rsid w:val="581C7EAE"/>
    <w:rsid w:val="584E295E"/>
    <w:rsid w:val="585A70CB"/>
    <w:rsid w:val="585C401C"/>
    <w:rsid w:val="58633250"/>
    <w:rsid w:val="5865477E"/>
    <w:rsid w:val="587D7954"/>
    <w:rsid w:val="588B432B"/>
    <w:rsid w:val="58A33730"/>
    <w:rsid w:val="58A673CC"/>
    <w:rsid w:val="58BC2BFA"/>
    <w:rsid w:val="58BF7267"/>
    <w:rsid w:val="58C3414D"/>
    <w:rsid w:val="58E379E1"/>
    <w:rsid w:val="58F05189"/>
    <w:rsid w:val="58F93D12"/>
    <w:rsid w:val="590846E9"/>
    <w:rsid w:val="59131427"/>
    <w:rsid w:val="59377A33"/>
    <w:rsid w:val="593D3036"/>
    <w:rsid w:val="594576F1"/>
    <w:rsid w:val="595A3E8D"/>
    <w:rsid w:val="59665F59"/>
    <w:rsid w:val="597E0EEE"/>
    <w:rsid w:val="598E5973"/>
    <w:rsid w:val="5999290C"/>
    <w:rsid w:val="599A45D3"/>
    <w:rsid w:val="599C38A9"/>
    <w:rsid w:val="59AD11E3"/>
    <w:rsid w:val="59C208D3"/>
    <w:rsid w:val="5A127C5A"/>
    <w:rsid w:val="5A257CEA"/>
    <w:rsid w:val="5A5578EB"/>
    <w:rsid w:val="5A647BDD"/>
    <w:rsid w:val="5A954F7C"/>
    <w:rsid w:val="5ABF2AEC"/>
    <w:rsid w:val="5ACA28A7"/>
    <w:rsid w:val="5ADC6441"/>
    <w:rsid w:val="5AEF4B29"/>
    <w:rsid w:val="5AF54CD9"/>
    <w:rsid w:val="5AF81998"/>
    <w:rsid w:val="5B115AF1"/>
    <w:rsid w:val="5B2A3601"/>
    <w:rsid w:val="5B300758"/>
    <w:rsid w:val="5B3244A2"/>
    <w:rsid w:val="5B3F629A"/>
    <w:rsid w:val="5B411DB7"/>
    <w:rsid w:val="5B45039B"/>
    <w:rsid w:val="5B735C64"/>
    <w:rsid w:val="5B7841B7"/>
    <w:rsid w:val="5B8A7735"/>
    <w:rsid w:val="5B942D49"/>
    <w:rsid w:val="5B9D2507"/>
    <w:rsid w:val="5BB54D8E"/>
    <w:rsid w:val="5BB81272"/>
    <w:rsid w:val="5BD41D4F"/>
    <w:rsid w:val="5BF572D1"/>
    <w:rsid w:val="5BFE5BD6"/>
    <w:rsid w:val="5C1A183E"/>
    <w:rsid w:val="5C273FF1"/>
    <w:rsid w:val="5C280962"/>
    <w:rsid w:val="5C3013D7"/>
    <w:rsid w:val="5C4D2A65"/>
    <w:rsid w:val="5C73537A"/>
    <w:rsid w:val="5C754B8D"/>
    <w:rsid w:val="5C756E89"/>
    <w:rsid w:val="5C8B0840"/>
    <w:rsid w:val="5C964AD9"/>
    <w:rsid w:val="5C9E3C58"/>
    <w:rsid w:val="5CB63792"/>
    <w:rsid w:val="5CBD6CED"/>
    <w:rsid w:val="5CC64C09"/>
    <w:rsid w:val="5CD43B14"/>
    <w:rsid w:val="5CD517A8"/>
    <w:rsid w:val="5CDD1D84"/>
    <w:rsid w:val="5CEB3BD7"/>
    <w:rsid w:val="5D1042A4"/>
    <w:rsid w:val="5D145698"/>
    <w:rsid w:val="5D1523DC"/>
    <w:rsid w:val="5D276B29"/>
    <w:rsid w:val="5D326441"/>
    <w:rsid w:val="5D4F4E2F"/>
    <w:rsid w:val="5D4F4F9F"/>
    <w:rsid w:val="5D4F601E"/>
    <w:rsid w:val="5D641565"/>
    <w:rsid w:val="5D785016"/>
    <w:rsid w:val="5D8004E5"/>
    <w:rsid w:val="5D841CBA"/>
    <w:rsid w:val="5D8A3A29"/>
    <w:rsid w:val="5D8C00F8"/>
    <w:rsid w:val="5D905553"/>
    <w:rsid w:val="5D920A56"/>
    <w:rsid w:val="5DB65E37"/>
    <w:rsid w:val="5DBA1B10"/>
    <w:rsid w:val="5DBB200B"/>
    <w:rsid w:val="5DC50E6F"/>
    <w:rsid w:val="5DC76DA7"/>
    <w:rsid w:val="5DF41277"/>
    <w:rsid w:val="5E017EE7"/>
    <w:rsid w:val="5E0A61E9"/>
    <w:rsid w:val="5E0C06DC"/>
    <w:rsid w:val="5E181564"/>
    <w:rsid w:val="5E313656"/>
    <w:rsid w:val="5E377DD2"/>
    <w:rsid w:val="5E393EDA"/>
    <w:rsid w:val="5E3E5BF0"/>
    <w:rsid w:val="5E3F64CF"/>
    <w:rsid w:val="5E53082D"/>
    <w:rsid w:val="5E537955"/>
    <w:rsid w:val="5E6D1FB7"/>
    <w:rsid w:val="5E6E3C84"/>
    <w:rsid w:val="5E8E6757"/>
    <w:rsid w:val="5EA12A5B"/>
    <w:rsid w:val="5EA67AA0"/>
    <w:rsid w:val="5EAA1E65"/>
    <w:rsid w:val="5EBA0657"/>
    <w:rsid w:val="5ECA0FB6"/>
    <w:rsid w:val="5ED15AF4"/>
    <w:rsid w:val="5EE16876"/>
    <w:rsid w:val="5EE331B3"/>
    <w:rsid w:val="5EEA7216"/>
    <w:rsid w:val="5EF36C5E"/>
    <w:rsid w:val="5F057EA6"/>
    <w:rsid w:val="5F102188"/>
    <w:rsid w:val="5F106FD1"/>
    <w:rsid w:val="5F124EA1"/>
    <w:rsid w:val="5F170939"/>
    <w:rsid w:val="5F1D35EB"/>
    <w:rsid w:val="5F1E2FF7"/>
    <w:rsid w:val="5F283117"/>
    <w:rsid w:val="5F2C52ED"/>
    <w:rsid w:val="5F4A6026"/>
    <w:rsid w:val="5F5441A0"/>
    <w:rsid w:val="5F836E49"/>
    <w:rsid w:val="5F87770F"/>
    <w:rsid w:val="5F8939B1"/>
    <w:rsid w:val="5F8D18E6"/>
    <w:rsid w:val="5F9A4D84"/>
    <w:rsid w:val="5FB0497B"/>
    <w:rsid w:val="5FDB46B1"/>
    <w:rsid w:val="5FF6601A"/>
    <w:rsid w:val="60147D37"/>
    <w:rsid w:val="60392E2E"/>
    <w:rsid w:val="604665DE"/>
    <w:rsid w:val="604B0A34"/>
    <w:rsid w:val="604D64B1"/>
    <w:rsid w:val="60501329"/>
    <w:rsid w:val="6052350C"/>
    <w:rsid w:val="6057564A"/>
    <w:rsid w:val="605D2A22"/>
    <w:rsid w:val="606F55BD"/>
    <w:rsid w:val="607366D8"/>
    <w:rsid w:val="60841B82"/>
    <w:rsid w:val="60C92770"/>
    <w:rsid w:val="60DE6B61"/>
    <w:rsid w:val="60DF59BB"/>
    <w:rsid w:val="60ED1D05"/>
    <w:rsid w:val="61014D96"/>
    <w:rsid w:val="61061BA6"/>
    <w:rsid w:val="61176EE7"/>
    <w:rsid w:val="6130324B"/>
    <w:rsid w:val="614457D6"/>
    <w:rsid w:val="61471E39"/>
    <w:rsid w:val="61561BDD"/>
    <w:rsid w:val="61706C21"/>
    <w:rsid w:val="61736CA9"/>
    <w:rsid w:val="61813521"/>
    <w:rsid w:val="61882403"/>
    <w:rsid w:val="618970E5"/>
    <w:rsid w:val="618E7131"/>
    <w:rsid w:val="61A42FB4"/>
    <w:rsid w:val="61A8364C"/>
    <w:rsid w:val="61A87F15"/>
    <w:rsid w:val="61B3034C"/>
    <w:rsid w:val="61B32230"/>
    <w:rsid w:val="61DC0282"/>
    <w:rsid w:val="62031E6E"/>
    <w:rsid w:val="62356047"/>
    <w:rsid w:val="62395886"/>
    <w:rsid w:val="6260107E"/>
    <w:rsid w:val="626C3AD2"/>
    <w:rsid w:val="62726C0F"/>
    <w:rsid w:val="627E2F39"/>
    <w:rsid w:val="627F48EE"/>
    <w:rsid w:val="62A36DC8"/>
    <w:rsid w:val="62AD2160"/>
    <w:rsid w:val="62BD502E"/>
    <w:rsid w:val="62D056AB"/>
    <w:rsid w:val="62DF6F58"/>
    <w:rsid w:val="62DF7F84"/>
    <w:rsid w:val="62E17841"/>
    <w:rsid w:val="62E42B32"/>
    <w:rsid w:val="62E76E64"/>
    <w:rsid w:val="62F66C5A"/>
    <w:rsid w:val="62F93E29"/>
    <w:rsid w:val="63022E47"/>
    <w:rsid w:val="632C14B3"/>
    <w:rsid w:val="6331655A"/>
    <w:rsid w:val="63514256"/>
    <w:rsid w:val="63516234"/>
    <w:rsid w:val="63660AF8"/>
    <w:rsid w:val="63764F64"/>
    <w:rsid w:val="637E49AD"/>
    <w:rsid w:val="638569F4"/>
    <w:rsid w:val="639F3732"/>
    <w:rsid w:val="63C0148B"/>
    <w:rsid w:val="63C93FBE"/>
    <w:rsid w:val="63CF5E53"/>
    <w:rsid w:val="63D72CBA"/>
    <w:rsid w:val="63DE69AC"/>
    <w:rsid w:val="63E02383"/>
    <w:rsid w:val="64177AD5"/>
    <w:rsid w:val="642148BB"/>
    <w:rsid w:val="6448283B"/>
    <w:rsid w:val="64562104"/>
    <w:rsid w:val="64653759"/>
    <w:rsid w:val="646F05FD"/>
    <w:rsid w:val="64746749"/>
    <w:rsid w:val="6477669C"/>
    <w:rsid w:val="647E0B22"/>
    <w:rsid w:val="64853361"/>
    <w:rsid w:val="64A07AA2"/>
    <w:rsid w:val="64A13643"/>
    <w:rsid w:val="64A50307"/>
    <w:rsid w:val="64A55D36"/>
    <w:rsid w:val="64A66F47"/>
    <w:rsid w:val="64CA49F3"/>
    <w:rsid w:val="64CB035E"/>
    <w:rsid w:val="64D94D23"/>
    <w:rsid w:val="64E22C89"/>
    <w:rsid w:val="64FE3ED8"/>
    <w:rsid w:val="65026BA0"/>
    <w:rsid w:val="65254B7D"/>
    <w:rsid w:val="65270A2D"/>
    <w:rsid w:val="653126DD"/>
    <w:rsid w:val="65500021"/>
    <w:rsid w:val="655B39D3"/>
    <w:rsid w:val="657751B4"/>
    <w:rsid w:val="657E6E81"/>
    <w:rsid w:val="658D448B"/>
    <w:rsid w:val="65954C67"/>
    <w:rsid w:val="65A84314"/>
    <w:rsid w:val="65AB24D7"/>
    <w:rsid w:val="65B20028"/>
    <w:rsid w:val="65BD759E"/>
    <w:rsid w:val="65C12BDE"/>
    <w:rsid w:val="65D324D6"/>
    <w:rsid w:val="65E40CA8"/>
    <w:rsid w:val="65E45739"/>
    <w:rsid w:val="66192421"/>
    <w:rsid w:val="661C7073"/>
    <w:rsid w:val="66310A20"/>
    <w:rsid w:val="66312CB9"/>
    <w:rsid w:val="66520752"/>
    <w:rsid w:val="6659462E"/>
    <w:rsid w:val="666D1E03"/>
    <w:rsid w:val="66856BF5"/>
    <w:rsid w:val="66A3383B"/>
    <w:rsid w:val="66C10FAA"/>
    <w:rsid w:val="66DE03E4"/>
    <w:rsid w:val="66E67791"/>
    <w:rsid w:val="66FA2AD8"/>
    <w:rsid w:val="67145898"/>
    <w:rsid w:val="6729763B"/>
    <w:rsid w:val="674A0FC0"/>
    <w:rsid w:val="6755677A"/>
    <w:rsid w:val="675D568B"/>
    <w:rsid w:val="6777502A"/>
    <w:rsid w:val="678127D9"/>
    <w:rsid w:val="678131BA"/>
    <w:rsid w:val="67894558"/>
    <w:rsid w:val="67A64922"/>
    <w:rsid w:val="67A94F4C"/>
    <w:rsid w:val="67B42335"/>
    <w:rsid w:val="67BD3370"/>
    <w:rsid w:val="67CD752C"/>
    <w:rsid w:val="67D11217"/>
    <w:rsid w:val="67D751E9"/>
    <w:rsid w:val="67E0356A"/>
    <w:rsid w:val="67EE032A"/>
    <w:rsid w:val="67F32432"/>
    <w:rsid w:val="67F32C12"/>
    <w:rsid w:val="68110987"/>
    <w:rsid w:val="682C60B1"/>
    <w:rsid w:val="684F48FD"/>
    <w:rsid w:val="687875DB"/>
    <w:rsid w:val="687B2025"/>
    <w:rsid w:val="68907DEF"/>
    <w:rsid w:val="68925915"/>
    <w:rsid w:val="68AE6D93"/>
    <w:rsid w:val="68B7230A"/>
    <w:rsid w:val="68D56032"/>
    <w:rsid w:val="68E80D06"/>
    <w:rsid w:val="68F3344C"/>
    <w:rsid w:val="68FA126D"/>
    <w:rsid w:val="68FE0797"/>
    <w:rsid w:val="69086D1C"/>
    <w:rsid w:val="69156B2E"/>
    <w:rsid w:val="691B39EB"/>
    <w:rsid w:val="69282F1F"/>
    <w:rsid w:val="694E3952"/>
    <w:rsid w:val="695A6EA6"/>
    <w:rsid w:val="698A0D67"/>
    <w:rsid w:val="699636E2"/>
    <w:rsid w:val="69991952"/>
    <w:rsid w:val="69B32893"/>
    <w:rsid w:val="69C6464B"/>
    <w:rsid w:val="69D66C18"/>
    <w:rsid w:val="69DF0FA2"/>
    <w:rsid w:val="69E14647"/>
    <w:rsid w:val="69EC0E58"/>
    <w:rsid w:val="69F308DD"/>
    <w:rsid w:val="69F30CDE"/>
    <w:rsid w:val="69F45014"/>
    <w:rsid w:val="6A1341FD"/>
    <w:rsid w:val="6A2D67DA"/>
    <w:rsid w:val="6A376DCB"/>
    <w:rsid w:val="6A49294B"/>
    <w:rsid w:val="6A5D6634"/>
    <w:rsid w:val="6A704F19"/>
    <w:rsid w:val="6A750417"/>
    <w:rsid w:val="6AA87975"/>
    <w:rsid w:val="6AB826E5"/>
    <w:rsid w:val="6ABC1B90"/>
    <w:rsid w:val="6AC66A6D"/>
    <w:rsid w:val="6AD42CCC"/>
    <w:rsid w:val="6AD57BEE"/>
    <w:rsid w:val="6AFB638B"/>
    <w:rsid w:val="6B005B4C"/>
    <w:rsid w:val="6B195F5E"/>
    <w:rsid w:val="6B1A1AC1"/>
    <w:rsid w:val="6B286E99"/>
    <w:rsid w:val="6B323514"/>
    <w:rsid w:val="6B4A5CE7"/>
    <w:rsid w:val="6B4D2289"/>
    <w:rsid w:val="6B510BFA"/>
    <w:rsid w:val="6B5878BC"/>
    <w:rsid w:val="6B672E75"/>
    <w:rsid w:val="6B6C1C06"/>
    <w:rsid w:val="6B7063BA"/>
    <w:rsid w:val="6B822625"/>
    <w:rsid w:val="6B8A2D5E"/>
    <w:rsid w:val="6BE50451"/>
    <w:rsid w:val="6C035EE4"/>
    <w:rsid w:val="6C0726FA"/>
    <w:rsid w:val="6C2017B1"/>
    <w:rsid w:val="6C216AE5"/>
    <w:rsid w:val="6C473C3C"/>
    <w:rsid w:val="6C474A32"/>
    <w:rsid w:val="6C495B03"/>
    <w:rsid w:val="6C4F762E"/>
    <w:rsid w:val="6C561048"/>
    <w:rsid w:val="6C8C190A"/>
    <w:rsid w:val="6C981CBC"/>
    <w:rsid w:val="6C9872EB"/>
    <w:rsid w:val="6CAD2335"/>
    <w:rsid w:val="6CBB4393"/>
    <w:rsid w:val="6CBC5F45"/>
    <w:rsid w:val="6D02572A"/>
    <w:rsid w:val="6D135F70"/>
    <w:rsid w:val="6D1E4EB1"/>
    <w:rsid w:val="6D2D0346"/>
    <w:rsid w:val="6D2E23EC"/>
    <w:rsid w:val="6D3765AB"/>
    <w:rsid w:val="6D443E48"/>
    <w:rsid w:val="6D453755"/>
    <w:rsid w:val="6D4B5932"/>
    <w:rsid w:val="6D80377B"/>
    <w:rsid w:val="6D8F1E73"/>
    <w:rsid w:val="6DA92893"/>
    <w:rsid w:val="6DAB4392"/>
    <w:rsid w:val="6DB21CB6"/>
    <w:rsid w:val="6DC33DE6"/>
    <w:rsid w:val="6DC74F9B"/>
    <w:rsid w:val="6DD421AE"/>
    <w:rsid w:val="6DE44A7F"/>
    <w:rsid w:val="6E054DDB"/>
    <w:rsid w:val="6E133DC7"/>
    <w:rsid w:val="6E360575"/>
    <w:rsid w:val="6E3E39E4"/>
    <w:rsid w:val="6E650C7A"/>
    <w:rsid w:val="6E7656F6"/>
    <w:rsid w:val="6E7C2320"/>
    <w:rsid w:val="6E865F1C"/>
    <w:rsid w:val="6E892CE9"/>
    <w:rsid w:val="6E9F4019"/>
    <w:rsid w:val="6EA760B2"/>
    <w:rsid w:val="6EAE6B68"/>
    <w:rsid w:val="6EB84D1B"/>
    <w:rsid w:val="6EC06D60"/>
    <w:rsid w:val="6ED00F12"/>
    <w:rsid w:val="6EE721AB"/>
    <w:rsid w:val="6EFB226A"/>
    <w:rsid w:val="6F203155"/>
    <w:rsid w:val="6F4D24E7"/>
    <w:rsid w:val="6F56531B"/>
    <w:rsid w:val="6FAC6952"/>
    <w:rsid w:val="6FAE5A25"/>
    <w:rsid w:val="6FB00B3E"/>
    <w:rsid w:val="6FB822FE"/>
    <w:rsid w:val="6FB96EE5"/>
    <w:rsid w:val="6FEE6B24"/>
    <w:rsid w:val="6FF06302"/>
    <w:rsid w:val="6FFC1E95"/>
    <w:rsid w:val="70004A37"/>
    <w:rsid w:val="70145815"/>
    <w:rsid w:val="70193687"/>
    <w:rsid w:val="70224881"/>
    <w:rsid w:val="70451769"/>
    <w:rsid w:val="7064403B"/>
    <w:rsid w:val="70696B18"/>
    <w:rsid w:val="706B600D"/>
    <w:rsid w:val="706F4FF5"/>
    <w:rsid w:val="707F6C32"/>
    <w:rsid w:val="70BF1AFC"/>
    <w:rsid w:val="70DA523A"/>
    <w:rsid w:val="70DF1913"/>
    <w:rsid w:val="70F824DD"/>
    <w:rsid w:val="711204C3"/>
    <w:rsid w:val="71163705"/>
    <w:rsid w:val="71285DE2"/>
    <w:rsid w:val="712F63E6"/>
    <w:rsid w:val="71455D64"/>
    <w:rsid w:val="71595041"/>
    <w:rsid w:val="715B32AD"/>
    <w:rsid w:val="716464AF"/>
    <w:rsid w:val="716B13F9"/>
    <w:rsid w:val="717604C9"/>
    <w:rsid w:val="71763D26"/>
    <w:rsid w:val="71AA7A2E"/>
    <w:rsid w:val="720F175F"/>
    <w:rsid w:val="722303A6"/>
    <w:rsid w:val="72644A41"/>
    <w:rsid w:val="726D024C"/>
    <w:rsid w:val="728C0282"/>
    <w:rsid w:val="728F7B9B"/>
    <w:rsid w:val="729B3D29"/>
    <w:rsid w:val="72A1635F"/>
    <w:rsid w:val="72AE13F3"/>
    <w:rsid w:val="72B721FA"/>
    <w:rsid w:val="72C9287B"/>
    <w:rsid w:val="72C94DF5"/>
    <w:rsid w:val="72CC6D61"/>
    <w:rsid w:val="72CD6775"/>
    <w:rsid w:val="72D412E5"/>
    <w:rsid w:val="72DF2BDC"/>
    <w:rsid w:val="72E54C89"/>
    <w:rsid w:val="72E70F53"/>
    <w:rsid w:val="72FB0609"/>
    <w:rsid w:val="730A4ECD"/>
    <w:rsid w:val="73190E04"/>
    <w:rsid w:val="734931B7"/>
    <w:rsid w:val="735633C3"/>
    <w:rsid w:val="735C21F1"/>
    <w:rsid w:val="735D6F11"/>
    <w:rsid w:val="73760C83"/>
    <w:rsid w:val="737B7E1C"/>
    <w:rsid w:val="737E6143"/>
    <w:rsid w:val="7386464D"/>
    <w:rsid w:val="738E1CBC"/>
    <w:rsid w:val="738E5E29"/>
    <w:rsid w:val="739F08C2"/>
    <w:rsid w:val="73C80378"/>
    <w:rsid w:val="73DD3416"/>
    <w:rsid w:val="74082FD3"/>
    <w:rsid w:val="741B7106"/>
    <w:rsid w:val="742449DF"/>
    <w:rsid w:val="74320F36"/>
    <w:rsid w:val="7433327B"/>
    <w:rsid w:val="74374FD2"/>
    <w:rsid w:val="74471CA9"/>
    <w:rsid w:val="74534AF2"/>
    <w:rsid w:val="745C74DD"/>
    <w:rsid w:val="74653C7B"/>
    <w:rsid w:val="746E6A74"/>
    <w:rsid w:val="747607E0"/>
    <w:rsid w:val="74872C81"/>
    <w:rsid w:val="7488077B"/>
    <w:rsid w:val="74946551"/>
    <w:rsid w:val="74AB4D71"/>
    <w:rsid w:val="74EF0C65"/>
    <w:rsid w:val="74F0120D"/>
    <w:rsid w:val="74F9415D"/>
    <w:rsid w:val="74FB44DA"/>
    <w:rsid w:val="74FD4A5E"/>
    <w:rsid w:val="753F3906"/>
    <w:rsid w:val="755C374C"/>
    <w:rsid w:val="75755E22"/>
    <w:rsid w:val="758B15F3"/>
    <w:rsid w:val="759A6122"/>
    <w:rsid w:val="759D32B6"/>
    <w:rsid w:val="75B855F0"/>
    <w:rsid w:val="75C02056"/>
    <w:rsid w:val="75C82341"/>
    <w:rsid w:val="75DD2979"/>
    <w:rsid w:val="75DF329A"/>
    <w:rsid w:val="75E65C18"/>
    <w:rsid w:val="75E94149"/>
    <w:rsid w:val="75F4329D"/>
    <w:rsid w:val="762C2C4A"/>
    <w:rsid w:val="766E7396"/>
    <w:rsid w:val="768D4E38"/>
    <w:rsid w:val="76B17FF0"/>
    <w:rsid w:val="76C47EB6"/>
    <w:rsid w:val="76D47A4A"/>
    <w:rsid w:val="76E71522"/>
    <w:rsid w:val="76ED76A8"/>
    <w:rsid w:val="77024A53"/>
    <w:rsid w:val="77075425"/>
    <w:rsid w:val="77185723"/>
    <w:rsid w:val="77185B7F"/>
    <w:rsid w:val="77242EBC"/>
    <w:rsid w:val="7730259A"/>
    <w:rsid w:val="776A7D31"/>
    <w:rsid w:val="7774123D"/>
    <w:rsid w:val="77A13816"/>
    <w:rsid w:val="77A1509D"/>
    <w:rsid w:val="77AB455C"/>
    <w:rsid w:val="77C23303"/>
    <w:rsid w:val="77DE6D6B"/>
    <w:rsid w:val="780E6178"/>
    <w:rsid w:val="7836420A"/>
    <w:rsid w:val="78774540"/>
    <w:rsid w:val="78961451"/>
    <w:rsid w:val="789D458E"/>
    <w:rsid w:val="78A22A5F"/>
    <w:rsid w:val="78C74A2E"/>
    <w:rsid w:val="78D50A4B"/>
    <w:rsid w:val="78EB2F2B"/>
    <w:rsid w:val="78ED7923"/>
    <w:rsid w:val="78EF2314"/>
    <w:rsid w:val="78FB431C"/>
    <w:rsid w:val="79143195"/>
    <w:rsid w:val="791D5C40"/>
    <w:rsid w:val="792C0E31"/>
    <w:rsid w:val="79303A24"/>
    <w:rsid w:val="79367CDE"/>
    <w:rsid w:val="79394779"/>
    <w:rsid w:val="793F6537"/>
    <w:rsid w:val="794709FB"/>
    <w:rsid w:val="795C3B14"/>
    <w:rsid w:val="795D7F6C"/>
    <w:rsid w:val="796324AB"/>
    <w:rsid w:val="79B6434A"/>
    <w:rsid w:val="79BF6679"/>
    <w:rsid w:val="79C0491A"/>
    <w:rsid w:val="79D8186D"/>
    <w:rsid w:val="79D85D05"/>
    <w:rsid w:val="7A002417"/>
    <w:rsid w:val="7A130D12"/>
    <w:rsid w:val="7A173ECC"/>
    <w:rsid w:val="7A296460"/>
    <w:rsid w:val="7A3E1684"/>
    <w:rsid w:val="7A4153ED"/>
    <w:rsid w:val="7A4822D7"/>
    <w:rsid w:val="7A8F1CF2"/>
    <w:rsid w:val="7AAB456B"/>
    <w:rsid w:val="7ABB2C6E"/>
    <w:rsid w:val="7ABB61CC"/>
    <w:rsid w:val="7AC51B7A"/>
    <w:rsid w:val="7AE678F9"/>
    <w:rsid w:val="7AEC2086"/>
    <w:rsid w:val="7B15666E"/>
    <w:rsid w:val="7B18614D"/>
    <w:rsid w:val="7B1F6A9C"/>
    <w:rsid w:val="7B2B51A4"/>
    <w:rsid w:val="7B301819"/>
    <w:rsid w:val="7B3D3E06"/>
    <w:rsid w:val="7B541D66"/>
    <w:rsid w:val="7B5B3330"/>
    <w:rsid w:val="7B605044"/>
    <w:rsid w:val="7B68051B"/>
    <w:rsid w:val="7B6D1DBE"/>
    <w:rsid w:val="7B950D1B"/>
    <w:rsid w:val="7BB82541"/>
    <w:rsid w:val="7BC9163E"/>
    <w:rsid w:val="7BCA3CA3"/>
    <w:rsid w:val="7BDE0FB9"/>
    <w:rsid w:val="7BE13F9D"/>
    <w:rsid w:val="7BE219A5"/>
    <w:rsid w:val="7BE67FFA"/>
    <w:rsid w:val="7BF66D82"/>
    <w:rsid w:val="7C0602AF"/>
    <w:rsid w:val="7C0A46A1"/>
    <w:rsid w:val="7C1F352E"/>
    <w:rsid w:val="7C220001"/>
    <w:rsid w:val="7C2A5990"/>
    <w:rsid w:val="7C645794"/>
    <w:rsid w:val="7C85644F"/>
    <w:rsid w:val="7C9D5474"/>
    <w:rsid w:val="7C9E71B5"/>
    <w:rsid w:val="7CCB20BA"/>
    <w:rsid w:val="7CEC167B"/>
    <w:rsid w:val="7CF27A3E"/>
    <w:rsid w:val="7D090B29"/>
    <w:rsid w:val="7D0A0B7B"/>
    <w:rsid w:val="7D1D60EA"/>
    <w:rsid w:val="7D48334D"/>
    <w:rsid w:val="7D583FF4"/>
    <w:rsid w:val="7D6671F5"/>
    <w:rsid w:val="7D7A6143"/>
    <w:rsid w:val="7D7C53CD"/>
    <w:rsid w:val="7D826FFC"/>
    <w:rsid w:val="7D831032"/>
    <w:rsid w:val="7D8D44D5"/>
    <w:rsid w:val="7DB712AF"/>
    <w:rsid w:val="7DC0777E"/>
    <w:rsid w:val="7DC40176"/>
    <w:rsid w:val="7DDF4B26"/>
    <w:rsid w:val="7E195701"/>
    <w:rsid w:val="7E2331BA"/>
    <w:rsid w:val="7E37676D"/>
    <w:rsid w:val="7E4A75BA"/>
    <w:rsid w:val="7E5C3A1B"/>
    <w:rsid w:val="7E5E42E0"/>
    <w:rsid w:val="7E5F0EBC"/>
    <w:rsid w:val="7E637C3B"/>
    <w:rsid w:val="7E6F1B20"/>
    <w:rsid w:val="7E81304E"/>
    <w:rsid w:val="7E8915D1"/>
    <w:rsid w:val="7EA30424"/>
    <w:rsid w:val="7EA41C6D"/>
    <w:rsid w:val="7ECE6E95"/>
    <w:rsid w:val="7EFA2227"/>
    <w:rsid w:val="7F05783B"/>
    <w:rsid w:val="7F09178D"/>
    <w:rsid w:val="7F3B065C"/>
    <w:rsid w:val="7F6E677A"/>
    <w:rsid w:val="7F7233A5"/>
    <w:rsid w:val="7F7917BB"/>
    <w:rsid w:val="7F7E54A5"/>
    <w:rsid w:val="7F84355C"/>
    <w:rsid w:val="7F8D6B3F"/>
    <w:rsid w:val="7F91198B"/>
    <w:rsid w:val="7F9C16E1"/>
    <w:rsid w:val="7FA0614C"/>
    <w:rsid w:val="7FB404FE"/>
    <w:rsid w:val="7FB90B63"/>
    <w:rsid w:val="7FBD3613"/>
    <w:rsid w:val="7FEA2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qFormat="1" w:unhideWhenUsed="0" w:uiPriority="39" w:semiHidden="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qFormat="1" w:unhideWhenUsed="0" w:uiPriority="0" w:semiHidden="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3">
    <w:name w:val="heading 1"/>
    <w:basedOn w:val="1"/>
    <w:next w:val="1"/>
    <w:qFormat/>
    <w:uiPriority w:val="99"/>
    <w:pPr>
      <w:keepNext/>
      <w:pageBreakBefore/>
      <w:widowControl/>
      <w:numPr>
        <w:ilvl w:val="0"/>
        <w:numId w:val="1"/>
      </w:numPr>
      <w:spacing w:before="240" w:after="120"/>
      <w:jc w:val="left"/>
      <w:outlineLvl w:val="0"/>
    </w:pPr>
    <w:rPr>
      <w:b/>
      <w:bCs/>
      <w:kern w:val="44"/>
      <w:sz w:val="44"/>
      <w:szCs w:val="44"/>
    </w:rPr>
  </w:style>
  <w:style w:type="paragraph" w:styleId="4">
    <w:name w:val="heading 2"/>
    <w:basedOn w:val="5"/>
    <w:next w:val="1"/>
    <w:qFormat/>
    <w:uiPriority w:val="0"/>
    <w:pPr>
      <w:tabs>
        <w:tab w:val="left" w:pos="720"/>
      </w:tabs>
      <w:spacing w:before="260" w:after="260" w:line="415" w:lineRule="auto"/>
      <w:outlineLvl w:val="1"/>
    </w:pPr>
    <w:rPr>
      <w:rFonts w:ascii="Arial" w:hAnsi="Arial" w:eastAsia="黑体" w:cs="Arial"/>
    </w:rPr>
  </w:style>
  <w:style w:type="paragraph" w:styleId="5">
    <w:name w:val="heading 3"/>
    <w:basedOn w:val="1"/>
    <w:next w:val="1"/>
    <w:link w:val="49"/>
    <w:unhideWhenUsed/>
    <w:qFormat/>
    <w:uiPriority w:val="0"/>
    <w:pPr>
      <w:keepNext/>
      <w:keepLines/>
      <w:numPr>
        <w:ilvl w:val="2"/>
        <w:numId w:val="2"/>
      </w:numPr>
      <w:spacing w:line="416" w:lineRule="auto"/>
      <w:outlineLvl w:val="2"/>
    </w:pPr>
    <w:rPr>
      <w:b/>
      <w:bCs/>
      <w:sz w:val="32"/>
      <w:szCs w:val="32"/>
    </w:rPr>
  </w:style>
  <w:style w:type="paragraph" w:styleId="6">
    <w:name w:val="heading 4"/>
    <w:basedOn w:val="1"/>
    <w:next w:val="1"/>
    <w:unhideWhenUsed/>
    <w:qFormat/>
    <w:uiPriority w:val="9"/>
    <w:pPr>
      <w:keepNext/>
      <w:keepLines/>
      <w:spacing w:before="120" w:after="120" w:line="360" w:lineRule="auto"/>
      <w:outlineLvl w:val="3"/>
    </w:pPr>
    <w:rPr>
      <w:rFonts w:eastAsia="宋体" w:asciiTheme="majorHAnsi" w:hAnsiTheme="majorHAnsi" w:cstheme="majorBidi"/>
      <w:b/>
      <w:bCs/>
      <w:sz w:val="28"/>
      <w:szCs w:val="28"/>
    </w:rPr>
  </w:style>
  <w:style w:type="paragraph" w:styleId="7">
    <w:name w:val="heading 5"/>
    <w:basedOn w:val="1"/>
    <w:next w:val="1"/>
    <w:unhideWhenUsed/>
    <w:qFormat/>
    <w:uiPriority w:val="9"/>
    <w:pPr>
      <w:keepNext/>
      <w:keepLines/>
      <w:spacing w:line="360" w:lineRule="auto"/>
      <w:outlineLvl w:val="4"/>
    </w:pPr>
    <w:rPr>
      <w:rFonts w:eastAsia="宋体" w:asciiTheme="minorHAnsi" w:hAnsiTheme="minorHAnsi"/>
      <w:sz w:val="28"/>
    </w:rPr>
  </w:style>
  <w:style w:type="paragraph" w:styleId="8">
    <w:name w:val="heading 6"/>
    <w:basedOn w:val="1"/>
    <w:next w:val="1"/>
    <w:semiHidden/>
    <w:unhideWhenUsed/>
    <w:qFormat/>
    <w:uiPriority w:val="0"/>
    <w:pPr>
      <w:spacing w:line="17" w:lineRule="atLeast"/>
      <w:jc w:val="left"/>
      <w:outlineLvl w:val="5"/>
    </w:pPr>
    <w:rPr>
      <w:rFonts w:hint="eastAsia" w:ascii="宋体" w:hAnsi="宋体" w:eastAsia="宋体" w:cs="Times New Roman"/>
      <w:b/>
      <w:color w:val="333333"/>
      <w:kern w:val="0"/>
      <w:sz w:val="18"/>
      <w:szCs w:val="1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9">
    <w:name w:val="List Number 2"/>
    <w:basedOn w:val="1"/>
    <w:semiHidden/>
    <w:unhideWhenUsed/>
    <w:qFormat/>
    <w:uiPriority w:val="0"/>
    <w:pPr>
      <w:numPr>
        <w:ilvl w:val="0"/>
        <w:numId w:val="3"/>
      </w:numPr>
    </w:pPr>
  </w:style>
  <w:style w:type="paragraph" w:styleId="10">
    <w:name w:val="table of authorities"/>
    <w:basedOn w:val="1"/>
    <w:next w:val="1"/>
    <w:qFormat/>
    <w:uiPriority w:val="0"/>
    <w:pPr>
      <w:ind w:left="420" w:leftChars="200"/>
    </w:pPr>
  </w:style>
  <w:style w:type="paragraph" w:styleId="11">
    <w:name w:val="Normal Indent"/>
    <w:basedOn w:val="1"/>
    <w:next w:val="1"/>
    <w:qFormat/>
    <w:uiPriority w:val="0"/>
    <w:pPr>
      <w:ind w:firstLine="420" w:firstLineChars="200"/>
    </w:pPr>
    <w:rPr>
      <w:rFonts w:ascii="Calibri" w:hAnsi="Calibri"/>
    </w:rPr>
  </w:style>
  <w:style w:type="paragraph" w:styleId="12">
    <w:name w:val="annotation text"/>
    <w:basedOn w:val="1"/>
    <w:unhideWhenUsed/>
    <w:qFormat/>
    <w:uiPriority w:val="99"/>
    <w:pPr>
      <w:jc w:val="left"/>
    </w:pPr>
  </w:style>
  <w:style w:type="paragraph" w:styleId="13">
    <w:name w:val="Body Text Indent"/>
    <w:basedOn w:val="1"/>
    <w:next w:val="1"/>
    <w:qFormat/>
    <w:uiPriority w:val="99"/>
    <w:pPr>
      <w:ind w:left="420" w:leftChars="200"/>
    </w:pPr>
    <w:rPr>
      <w:kern w:val="0"/>
      <w:sz w:val="20"/>
      <w:szCs w:val="20"/>
    </w:rPr>
  </w:style>
  <w:style w:type="paragraph" w:styleId="14">
    <w:name w:val="toc 3"/>
    <w:basedOn w:val="1"/>
    <w:next w:val="1"/>
    <w:qFormat/>
    <w:uiPriority w:val="39"/>
    <w:pPr>
      <w:ind w:left="420"/>
      <w:jc w:val="left"/>
    </w:pPr>
    <w:rPr>
      <w:i/>
      <w:iCs/>
      <w:sz w:val="20"/>
      <w:szCs w:val="20"/>
    </w:rPr>
  </w:style>
  <w:style w:type="paragraph" w:styleId="15">
    <w:name w:val="Plain Text"/>
    <w:basedOn w:val="1"/>
    <w:next w:val="1"/>
    <w:link w:val="52"/>
    <w:qFormat/>
    <w:uiPriority w:val="0"/>
    <w:rPr>
      <w:rFonts w:ascii="宋体" w:hAnsi="Courier New"/>
      <w:szCs w:val="20"/>
    </w:rPr>
  </w:style>
  <w:style w:type="paragraph" w:styleId="16">
    <w:name w:val="Date"/>
    <w:basedOn w:val="1"/>
    <w:next w:val="1"/>
    <w:qFormat/>
    <w:uiPriority w:val="0"/>
    <w:pPr>
      <w:ind w:left="100" w:leftChars="2500"/>
    </w:pPr>
    <w:rPr>
      <w:szCs w:val="20"/>
    </w:rPr>
  </w:style>
  <w:style w:type="paragraph" w:styleId="17">
    <w:name w:val="Body Text Indent 2"/>
    <w:basedOn w:val="1"/>
    <w:link w:val="53"/>
    <w:qFormat/>
    <w:uiPriority w:val="0"/>
    <w:pPr>
      <w:widowControl/>
      <w:spacing w:line="480" w:lineRule="atLeast"/>
      <w:ind w:firstLine="480"/>
    </w:pPr>
    <w:rPr>
      <w:rFonts w:ascii="宋体" w:hAnsi="Calibri"/>
      <w:kern w:val="0"/>
      <w:sz w:val="24"/>
      <w:szCs w:val="20"/>
    </w:rPr>
  </w:style>
  <w:style w:type="paragraph" w:styleId="18">
    <w:name w:val="Balloon Text"/>
    <w:basedOn w:val="1"/>
    <w:link w:val="54"/>
    <w:qFormat/>
    <w:uiPriority w:val="0"/>
    <w:rPr>
      <w:sz w:val="18"/>
      <w:szCs w:val="18"/>
    </w:rPr>
  </w:style>
  <w:style w:type="paragraph" w:styleId="19">
    <w:name w:val="footer"/>
    <w:basedOn w:val="1"/>
    <w:link w:val="51"/>
    <w:unhideWhenUsed/>
    <w:qFormat/>
    <w:uiPriority w:val="0"/>
    <w:pPr>
      <w:tabs>
        <w:tab w:val="center" w:pos="4153"/>
        <w:tab w:val="right" w:pos="8306"/>
      </w:tabs>
      <w:snapToGrid w:val="0"/>
      <w:jc w:val="left"/>
    </w:pPr>
    <w:rPr>
      <w:sz w:val="18"/>
      <w:szCs w:val="18"/>
    </w:rPr>
  </w:style>
  <w:style w:type="paragraph" w:styleId="20">
    <w:name w:val="header"/>
    <w:basedOn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spacing w:before="120" w:after="120"/>
      <w:jc w:val="left"/>
    </w:pPr>
    <w:rPr>
      <w:rFonts w:ascii="Century Gothic" w:hAnsi="Century Gothic"/>
      <w:b/>
      <w:bCs/>
      <w:caps/>
      <w:sz w:val="20"/>
      <w:szCs w:val="20"/>
    </w:rPr>
  </w:style>
  <w:style w:type="paragraph" w:styleId="22">
    <w:name w:val="toc 6"/>
    <w:basedOn w:val="1"/>
    <w:next w:val="1"/>
    <w:qFormat/>
    <w:uiPriority w:val="0"/>
    <w:pPr>
      <w:ind w:left="1050"/>
      <w:jc w:val="left"/>
    </w:pPr>
    <w:rPr>
      <w:rFonts w:ascii="Century Gothic" w:hAnsi="Century Gothic"/>
      <w:sz w:val="18"/>
      <w:szCs w:val="18"/>
    </w:rPr>
  </w:style>
  <w:style w:type="paragraph" w:styleId="23">
    <w:name w:val="Body Text Indent 3"/>
    <w:basedOn w:val="1"/>
    <w:link w:val="55"/>
    <w:qFormat/>
    <w:uiPriority w:val="0"/>
    <w:pPr>
      <w:autoSpaceDE w:val="0"/>
      <w:autoSpaceDN w:val="0"/>
      <w:spacing w:line="400" w:lineRule="atLeast"/>
      <w:ind w:firstLine="443" w:firstLineChars="200"/>
      <w:textAlignment w:val="bottom"/>
    </w:pPr>
    <w:rPr>
      <w:rFonts w:ascii="Calibri" w:hAnsi="Calibri" w:eastAsia="黑体"/>
      <w:color w:val="000000"/>
      <w:sz w:val="24"/>
    </w:rPr>
  </w:style>
  <w:style w:type="paragraph" w:styleId="24">
    <w:name w:val="Normal (Web)"/>
    <w:basedOn w:val="1"/>
    <w:qFormat/>
    <w:uiPriority w:val="99"/>
    <w:pPr>
      <w:spacing w:beforeAutospacing="1" w:afterAutospacing="1"/>
      <w:jc w:val="left"/>
    </w:pPr>
    <w:rPr>
      <w:rFonts w:cs="Times New Roman"/>
      <w:kern w:val="0"/>
      <w:sz w:val="24"/>
    </w:rPr>
  </w:style>
  <w:style w:type="paragraph" w:styleId="25">
    <w:name w:val="Title"/>
    <w:basedOn w:val="1"/>
    <w:next w:val="1"/>
    <w:qFormat/>
    <w:uiPriority w:val="0"/>
    <w:pPr>
      <w:jc w:val="center"/>
      <w:outlineLvl w:val="0"/>
    </w:pPr>
    <w:rPr>
      <w:rFonts w:ascii="Cambria" w:hAnsi="Cambria"/>
      <w:b/>
      <w:bCs/>
      <w:kern w:val="0"/>
      <w:sz w:val="32"/>
      <w:szCs w:val="32"/>
    </w:rPr>
  </w:style>
  <w:style w:type="paragraph" w:styleId="26">
    <w:name w:val="Body Text First Indent"/>
    <w:basedOn w:val="2"/>
    <w:next w:val="22"/>
    <w:qFormat/>
    <w:uiPriority w:val="0"/>
    <w:pPr>
      <w:spacing w:line="312" w:lineRule="auto"/>
      <w:ind w:firstLine="420"/>
    </w:pPr>
  </w:style>
  <w:style w:type="paragraph" w:styleId="27">
    <w:name w:val="Body Text First Indent 2"/>
    <w:basedOn w:val="13"/>
    <w:unhideWhenUsed/>
    <w:qFormat/>
    <w:uiPriority w:val="99"/>
    <w:pPr>
      <w:ind w:firstLine="420" w:firstLineChars="200"/>
    </w:pPr>
  </w:style>
  <w:style w:type="table" w:styleId="29">
    <w:name w:val="Table Grid"/>
    <w:basedOn w:val="28"/>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style>
  <w:style w:type="character" w:styleId="32">
    <w:name w:val="FollowedHyperlink"/>
    <w:basedOn w:val="30"/>
    <w:qFormat/>
    <w:uiPriority w:val="0"/>
    <w:rPr>
      <w:color w:val="4A4A4A"/>
      <w:u w:val="none"/>
    </w:rPr>
  </w:style>
  <w:style w:type="character" w:styleId="33">
    <w:name w:val="Emphasis"/>
    <w:basedOn w:val="30"/>
    <w:qFormat/>
    <w:uiPriority w:val="0"/>
  </w:style>
  <w:style w:type="character" w:styleId="34">
    <w:name w:val="HTML Definition"/>
    <w:basedOn w:val="30"/>
    <w:qFormat/>
    <w:uiPriority w:val="0"/>
  </w:style>
  <w:style w:type="character" w:styleId="35">
    <w:name w:val="HTML Typewriter"/>
    <w:basedOn w:val="30"/>
    <w:qFormat/>
    <w:uiPriority w:val="0"/>
    <w:rPr>
      <w:rFonts w:hint="default" w:ascii="monospace" w:hAnsi="monospace" w:eastAsia="monospace" w:cs="monospace"/>
      <w:sz w:val="20"/>
    </w:rPr>
  </w:style>
  <w:style w:type="character" w:styleId="36">
    <w:name w:val="HTML Acronym"/>
    <w:basedOn w:val="30"/>
    <w:qFormat/>
    <w:uiPriority w:val="0"/>
  </w:style>
  <w:style w:type="character" w:styleId="37">
    <w:name w:val="HTML Variable"/>
    <w:basedOn w:val="30"/>
    <w:qFormat/>
    <w:uiPriority w:val="0"/>
  </w:style>
  <w:style w:type="character" w:styleId="38">
    <w:name w:val="Hyperlink"/>
    <w:basedOn w:val="30"/>
    <w:qFormat/>
    <w:uiPriority w:val="99"/>
    <w:rPr>
      <w:rFonts w:cs="Times New Roman"/>
      <w:color w:val="0000FF"/>
      <w:u w:val="single"/>
    </w:rPr>
  </w:style>
  <w:style w:type="character" w:styleId="39">
    <w:name w:val="HTML Code"/>
    <w:basedOn w:val="30"/>
    <w:qFormat/>
    <w:uiPriority w:val="0"/>
    <w:rPr>
      <w:rFonts w:hint="default" w:ascii="monospace" w:hAnsi="monospace" w:eastAsia="monospace" w:cs="monospace"/>
      <w:sz w:val="20"/>
    </w:rPr>
  </w:style>
  <w:style w:type="character" w:styleId="40">
    <w:name w:val="annotation reference"/>
    <w:basedOn w:val="30"/>
    <w:semiHidden/>
    <w:unhideWhenUsed/>
    <w:qFormat/>
    <w:uiPriority w:val="0"/>
    <w:rPr>
      <w:sz w:val="21"/>
      <w:szCs w:val="21"/>
    </w:rPr>
  </w:style>
  <w:style w:type="character" w:styleId="41">
    <w:name w:val="HTML Cite"/>
    <w:basedOn w:val="30"/>
    <w:qFormat/>
    <w:uiPriority w:val="0"/>
  </w:style>
  <w:style w:type="character" w:styleId="42">
    <w:name w:val="HTML Keyboard"/>
    <w:basedOn w:val="30"/>
    <w:qFormat/>
    <w:uiPriority w:val="0"/>
    <w:rPr>
      <w:rFonts w:ascii="monospace" w:hAnsi="monospace" w:eastAsia="monospace" w:cs="monospace"/>
      <w:sz w:val="20"/>
    </w:rPr>
  </w:style>
  <w:style w:type="character" w:styleId="43">
    <w:name w:val="HTML Sample"/>
    <w:basedOn w:val="30"/>
    <w:qFormat/>
    <w:uiPriority w:val="0"/>
    <w:rPr>
      <w:rFonts w:hint="default" w:ascii="monospace" w:hAnsi="monospace" w:eastAsia="monospace" w:cs="monospace"/>
    </w:rPr>
  </w:style>
  <w:style w:type="paragraph" w:customStyle="1" w:styleId="44">
    <w:name w:val="表格文字"/>
    <w:basedOn w:val="15"/>
    <w:next w:val="2"/>
    <w:qFormat/>
    <w:uiPriority w:val="0"/>
    <w:pPr>
      <w:jc w:val="left"/>
      <w:textAlignment w:val="top"/>
    </w:pPr>
    <w:rPr>
      <w:rFonts w:ascii="仿宋_GB2312" w:hAnsi="Calibri" w:eastAsia="宋体" w:cs="宋体"/>
      <w:b/>
      <w:color w:val="000000"/>
      <w:kern w:val="0"/>
      <w:sz w:val="18"/>
      <w:szCs w:val="21"/>
    </w:rPr>
  </w:style>
  <w:style w:type="paragraph" w:customStyle="1" w:styleId="45">
    <w:name w:val="_Style 3"/>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Fließtext"/>
    <w:basedOn w:val="1"/>
    <w:qFormat/>
    <w:uiPriority w:val="0"/>
    <w:pPr>
      <w:overflowPunct w:val="0"/>
      <w:autoSpaceDE w:val="0"/>
      <w:autoSpaceDN w:val="0"/>
      <w:adjustRightInd w:val="0"/>
      <w:textAlignment w:val="baseline"/>
    </w:pPr>
    <w:rPr>
      <w:kern w:val="28"/>
    </w:rPr>
  </w:style>
  <w:style w:type="paragraph" w:customStyle="1" w:styleId="47">
    <w:name w:val="表格文字（两侧对齐）"/>
    <w:basedOn w:val="1"/>
    <w:qFormat/>
    <w:uiPriority w:val="0"/>
    <w:pPr>
      <w:snapToGrid w:val="0"/>
    </w:pPr>
    <w:rPr>
      <w:rFonts w:cs="Times New Roman"/>
      <w:sz w:val="20"/>
      <w:szCs w:val="20"/>
    </w:rPr>
  </w:style>
  <w:style w:type="paragraph" w:customStyle="1" w:styleId="48">
    <w:name w:val="_Style 1"/>
    <w:qFormat/>
    <w:uiPriority w:val="99"/>
    <w:rPr>
      <w:rFonts w:ascii="Calibri" w:hAnsi="Calibri" w:eastAsia="宋体" w:cs="Times New Roman"/>
      <w:kern w:val="2"/>
      <w:sz w:val="28"/>
      <w:szCs w:val="22"/>
      <w:lang w:val="en-US" w:eastAsia="zh-CN" w:bidi="ar-SA"/>
    </w:rPr>
  </w:style>
  <w:style w:type="character" w:customStyle="1" w:styleId="49">
    <w:name w:val="标题 3 Char"/>
    <w:basedOn w:val="30"/>
    <w:link w:val="5"/>
    <w:qFormat/>
    <w:uiPriority w:val="0"/>
    <w:rPr>
      <w:rFonts w:eastAsiaTheme="minorEastAsia" w:cstheme="minorBidi"/>
      <w:b/>
      <w:bCs/>
      <w:kern w:val="2"/>
      <w:sz w:val="32"/>
      <w:szCs w:val="32"/>
    </w:rPr>
  </w:style>
  <w:style w:type="character" w:customStyle="1" w:styleId="50">
    <w:name w:val="页眉 Char"/>
    <w:basedOn w:val="30"/>
    <w:link w:val="20"/>
    <w:qFormat/>
    <w:uiPriority w:val="0"/>
    <w:rPr>
      <w:kern w:val="2"/>
      <w:sz w:val="18"/>
      <w:szCs w:val="18"/>
    </w:rPr>
  </w:style>
  <w:style w:type="character" w:customStyle="1" w:styleId="51">
    <w:name w:val="页脚 Char"/>
    <w:basedOn w:val="30"/>
    <w:link w:val="19"/>
    <w:qFormat/>
    <w:uiPriority w:val="0"/>
    <w:rPr>
      <w:kern w:val="2"/>
      <w:sz w:val="18"/>
      <w:szCs w:val="18"/>
    </w:rPr>
  </w:style>
  <w:style w:type="character" w:customStyle="1" w:styleId="52">
    <w:name w:val="纯文本 Char"/>
    <w:basedOn w:val="30"/>
    <w:link w:val="15"/>
    <w:qFormat/>
    <w:uiPriority w:val="0"/>
    <w:rPr>
      <w:rFonts w:ascii="宋体" w:hAnsi="Courier New" w:eastAsiaTheme="minorEastAsia" w:cstheme="minorBidi"/>
      <w:kern w:val="2"/>
      <w:sz w:val="21"/>
    </w:rPr>
  </w:style>
  <w:style w:type="character" w:customStyle="1" w:styleId="53">
    <w:name w:val="正文文本缩进 2 Char"/>
    <w:basedOn w:val="30"/>
    <w:link w:val="17"/>
    <w:qFormat/>
    <w:uiPriority w:val="0"/>
    <w:rPr>
      <w:rFonts w:ascii="宋体" w:hAnsi="Calibri" w:eastAsiaTheme="minorEastAsia" w:cstheme="minorBidi"/>
      <w:sz w:val="24"/>
    </w:rPr>
  </w:style>
  <w:style w:type="character" w:customStyle="1" w:styleId="54">
    <w:name w:val="批注框文本 Char"/>
    <w:basedOn w:val="30"/>
    <w:link w:val="18"/>
    <w:qFormat/>
    <w:uiPriority w:val="0"/>
    <w:rPr>
      <w:rFonts w:eastAsiaTheme="minorEastAsia" w:cstheme="minorBidi"/>
      <w:kern w:val="2"/>
      <w:sz w:val="18"/>
      <w:szCs w:val="18"/>
    </w:rPr>
  </w:style>
  <w:style w:type="character" w:customStyle="1" w:styleId="55">
    <w:name w:val="正文文本缩进 3 Char"/>
    <w:basedOn w:val="30"/>
    <w:link w:val="23"/>
    <w:qFormat/>
    <w:uiPriority w:val="0"/>
    <w:rPr>
      <w:rFonts w:ascii="Calibri" w:hAnsi="Calibri" w:eastAsia="黑体" w:cstheme="minorBidi"/>
      <w:color w:val="000000"/>
      <w:kern w:val="2"/>
      <w:sz w:val="24"/>
      <w:szCs w:val="24"/>
    </w:rPr>
  </w:style>
  <w:style w:type="paragraph" w:customStyle="1" w:styleId="5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57">
    <w:name w:val="样式 标题 3 + (中文) 黑体 小四 非加粗 段前: 7.8 磅 段后: 0 磅 行距: 固定值 20 磅"/>
    <w:basedOn w:val="5"/>
    <w:qFormat/>
    <w:uiPriority w:val="0"/>
    <w:pPr>
      <w:numPr>
        <w:ilvl w:val="0"/>
        <w:numId w:val="0"/>
      </w:numPr>
      <w:tabs>
        <w:tab w:val="clear" w:pos="720"/>
      </w:tabs>
      <w:spacing w:line="400" w:lineRule="exact"/>
    </w:pPr>
    <w:rPr>
      <w:rFonts w:eastAsia="黑体" w:cs="宋体"/>
      <w:b w:val="0"/>
      <w:bCs w:val="0"/>
      <w:sz w:val="24"/>
      <w:szCs w:val="20"/>
    </w:rPr>
  </w:style>
  <w:style w:type="paragraph" w:styleId="58">
    <w:name w:val="List Paragraph"/>
    <w:basedOn w:val="1"/>
    <w:unhideWhenUsed/>
    <w:qFormat/>
    <w:uiPriority w:val="99"/>
    <w:pPr>
      <w:ind w:firstLine="420" w:firstLineChars="200"/>
    </w:pPr>
  </w:style>
  <w:style w:type="paragraph" w:customStyle="1" w:styleId="59">
    <w:name w:val="表内文字"/>
    <w:basedOn w:val="1"/>
    <w:qFormat/>
    <w:uiPriority w:val="0"/>
    <w:pPr>
      <w:spacing w:line="500" w:lineRule="atLeast"/>
      <w:jc w:val="center"/>
    </w:pPr>
    <w:rPr>
      <w:rFonts w:ascii="Arial" w:hAnsi="Arial" w:eastAsia="楷体_GB2312" w:cs="Arial"/>
      <w:sz w:val="28"/>
    </w:rPr>
  </w:style>
  <w:style w:type="character" w:customStyle="1" w:styleId="60">
    <w:name w:val="纯文本 字符1"/>
    <w:basedOn w:val="30"/>
    <w:semiHidden/>
    <w:qFormat/>
    <w:locked/>
    <w:uiPriority w:val="0"/>
    <w:rPr>
      <w:rFonts w:ascii="宋体" w:hAnsi="Courier New" w:cs="Courier New"/>
      <w:szCs w:val="21"/>
    </w:rPr>
  </w:style>
  <w:style w:type="paragraph" w:customStyle="1" w:styleId="61">
    <w:name w:val="正文段"/>
    <w:basedOn w:val="1"/>
    <w:qFormat/>
    <w:uiPriority w:val="0"/>
    <w:pPr>
      <w:widowControl/>
      <w:snapToGrid w:val="0"/>
      <w:spacing w:afterLines="50"/>
      <w:ind w:firstLine="200" w:firstLineChars="200"/>
    </w:pPr>
    <w:rPr>
      <w:kern w:val="0"/>
      <w:sz w:val="24"/>
      <w:szCs w:val="20"/>
    </w:rPr>
  </w:style>
  <w:style w:type="character" w:customStyle="1" w:styleId="62">
    <w:name w:val="hover4"/>
    <w:basedOn w:val="30"/>
    <w:qFormat/>
    <w:uiPriority w:val="0"/>
    <w:rPr>
      <w:color w:val="999999"/>
    </w:rPr>
  </w:style>
  <w:style w:type="paragraph" w:customStyle="1" w:styleId="63">
    <w:name w:val="Body Text Indent 21"/>
    <w:basedOn w:val="1"/>
    <w:qFormat/>
    <w:uiPriority w:val="0"/>
    <w:pPr>
      <w:widowControl/>
      <w:spacing w:line="480" w:lineRule="atLeast"/>
      <w:ind w:firstLine="480"/>
    </w:pPr>
    <w:rPr>
      <w:rFonts w:ascii="宋体"/>
      <w:kern w:val="0"/>
      <w:sz w:val="24"/>
      <w:szCs w:val="20"/>
    </w:rPr>
  </w:style>
  <w:style w:type="paragraph" w:customStyle="1" w:styleId="64">
    <w:name w:val="Plain Text1"/>
    <w:basedOn w:val="1"/>
    <w:qFormat/>
    <w:uiPriority w:val="0"/>
    <w:rPr>
      <w:rFonts w:ascii="宋体" w:hAnsi="Courier New"/>
      <w:szCs w:val="20"/>
    </w:rPr>
  </w:style>
  <w:style w:type="paragraph" w:customStyle="1" w:styleId="65">
    <w:name w:val="正文2"/>
    <w:basedOn w:val="1"/>
    <w:qFormat/>
    <w:uiPriority w:val="0"/>
    <w:pPr>
      <w:spacing w:before="156" w:line="360" w:lineRule="auto"/>
      <w:ind w:firstLine="510" w:firstLineChars="200"/>
    </w:pPr>
    <w:rPr>
      <w:sz w:val="24"/>
      <w:szCs w:val="20"/>
    </w:rPr>
  </w:style>
  <w:style w:type="paragraph" w:customStyle="1" w:styleId="66">
    <w:name w:val="正文1"/>
    <w:qFormat/>
    <w:uiPriority w:val="0"/>
    <w:pPr>
      <w:jc w:val="both"/>
    </w:pPr>
    <w:rPr>
      <w:rFonts w:ascii="Calibri" w:hAnsi="Calibri" w:eastAsia="宋体" w:cs="宋体"/>
      <w:kern w:val="2"/>
      <w:sz w:val="21"/>
      <w:szCs w:val="21"/>
      <w:lang w:val="en-US" w:eastAsia="zh-CN" w:bidi="ar-SA"/>
    </w:rPr>
  </w:style>
  <w:style w:type="character" w:customStyle="1" w:styleId="67">
    <w:name w:val="font01"/>
    <w:basedOn w:val="30"/>
    <w:qFormat/>
    <w:uiPriority w:val="0"/>
    <w:rPr>
      <w:rFonts w:hint="eastAsia" w:ascii="宋体" w:hAnsi="宋体" w:eastAsia="宋体" w:cs="宋体"/>
      <w:color w:val="000000"/>
      <w:sz w:val="22"/>
      <w:szCs w:val="22"/>
      <w:u w:val="none"/>
    </w:rPr>
  </w:style>
  <w:style w:type="paragraph" w:customStyle="1" w:styleId="68">
    <w:name w:val="[Normal]"/>
    <w:qFormat/>
    <w:uiPriority w:val="0"/>
    <w:rPr>
      <w:rFonts w:ascii="宋体" w:hAnsi="宋体" w:eastAsia="Calibri" w:cs="Times New Roman"/>
      <w:sz w:val="24"/>
      <w:szCs w:val="22"/>
      <w:lang w:val="zh-CN" w:eastAsia="zh-CN" w:bidi="ar-SA"/>
    </w:rPr>
  </w:style>
  <w:style w:type="character" w:customStyle="1" w:styleId="69">
    <w:name w:val="font61"/>
    <w:basedOn w:val="30"/>
    <w:qFormat/>
    <w:uiPriority w:val="0"/>
    <w:rPr>
      <w:rFonts w:ascii="Arial" w:hAnsi="Arial" w:cs="Arial"/>
      <w:color w:val="000000"/>
      <w:sz w:val="20"/>
      <w:szCs w:val="20"/>
      <w:u w:val="none"/>
    </w:rPr>
  </w:style>
  <w:style w:type="character" w:customStyle="1" w:styleId="70">
    <w:name w:val="font11"/>
    <w:basedOn w:val="30"/>
    <w:qFormat/>
    <w:uiPriority w:val="0"/>
    <w:rPr>
      <w:rFonts w:hint="eastAsia" w:ascii="宋体" w:hAnsi="宋体" w:eastAsia="宋体" w:cs="宋体"/>
      <w:color w:val="000000"/>
      <w:sz w:val="20"/>
      <w:szCs w:val="20"/>
      <w:u w:val="none"/>
    </w:rPr>
  </w:style>
  <w:style w:type="paragraph" w:customStyle="1" w:styleId="71">
    <w:name w:val="纯文本1"/>
    <w:basedOn w:val="1"/>
    <w:qFormat/>
    <w:uiPriority w:val="0"/>
    <w:pPr>
      <w:adjustRightInd w:val="0"/>
      <w:textAlignment w:val="baseline"/>
    </w:pPr>
    <w:rPr>
      <w:rFonts w:ascii="宋体" w:hAnsi="Courier New" w:eastAsia="楷体_GB2312"/>
      <w:sz w:val="28"/>
    </w:rPr>
  </w:style>
  <w:style w:type="character" w:customStyle="1" w:styleId="72">
    <w:name w:val="font191"/>
    <w:basedOn w:val="30"/>
    <w:qFormat/>
    <w:uiPriority w:val="0"/>
    <w:rPr>
      <w:rFonts w:hint="eastAsia" w:ascii="宋体" w:hAnsi="宋体" w:eastAsia="宋体" w:cs="宋体"/>
      <w:color w:val="FF0000"/>
      <w:sz w:val="22"/>
      <w:szCs w:val="22"/>
      <w:u w:val="none"/>
    </w:rPr>
  </w:style>
  <w:style w:type="character" w:customStyle="1" w:styleId="73">
    <w:name w:val="font71"/>
    <w:basedOn w:val="30"/>
    <w:qFormat/>
    <w:uiPriority w:val="0"/>
    <w:rPr>
      <w:rFonts w:hint="eastAsia" w:ascii="宋体" w:hAnsi="宋体" w:eastAsia="宋体" w:cs="宋体"/>
      <w:color w:val="000000"/>
      <w:sz w:val="22"/>
      <w:szCs w:val="22"/>
      <w:u w:val="none"/>
    </w:rPr>
  </w:style>
  <w:style w:type="character" w:customStyle="1" w:styleId="74">
    <w:name w:val="font41"/>
    <w:basedOn w:val="30"/>
    <w:qFormat/>
    <w:uiPriority w:val="0"/>
    <w:rPr>
      <w:rFonts w:hint="eastAsia" w:ascii="宋体" w:hAnsi="宋体" w:eastAsia="宋体" w:cs="宋体"/>
      <w:color w:val="000000"/>
      <w:sz w:val="22"/>
      <w:szCs w:val="22"/>
      <w:u w:val="none"/>
    </w:rPr>
  </w:style>
  <w:style w:type="character" w:customStyle="1" w:styleId="75">
    <w:name w:val="font151"/>
    <w:basedOn w:val="30"/>
    <w:qFormat/>
    <w:uiPriority w:val="0"/>
    <w:rPr>
      <w:rFonts w:hint="eastAsia" w:ascii="宋体" w:hAnsi="宋体" w:eastAsia="宋体" w:cs="宋体"/>
      <w:color w:val="FF0000"/>
      <w:sz w:val="22"/>
      <w:szCs w:val="22"/>
      <w:u w:val="none"/>
    </w:rPr>
  </w:style>
  <w:style w:type="character" w:customStyle="1" w:styleId="76">
    <w:name w:val="font21"/>
    <w:basedOn w:val="30"/>
    <w:qFormat/>
    <w:uiPriority w:val="0"/>
    <w:rPr>
      <w:rFonts w:hint="eastAsia" w:ascii="宋体" w:hAnsi="宋体" w:eastAsia="宋体" w:cs="宋体"/>
      <w:color w:val="000000"/>
      <w:sz w:val="18"/>
      <w:szCs w:val="18"/>
      <w:u w:val="none"/>
    </w:rPr>
  </w:style>
  <w:style w:type="character" w:customStyle="1" w:styleId="77">
    <w:name w:val="font141"/>
    <w:basedOn w:val="30"/>
    <w:qFormat/>
    <w:uiPriority w:val="0"/>
    <w:rPr>
      <w:rFonts w:hint="eastAsia" w:ascii="宋体" w:hAnsi="宋体" w:eastAsia="宋体" w:cs="宋体"/>
      <w:color w:val="FF0000"/>
      <w:sz w:val="18"/>
      <w:szCs w:val="18"/>
      <w:u w:val="none"/>
    </w:rPr>
  </w:style>
  <w:style w:type="character" w:customStyle="1" w:styleId="78">
    <w:name w:val="font31"/>
    <w:basedOn w:val="30"/>
    <w:qFormat/>
    <w:uiPriority w:val="0"/>
    <w:rPr>
      <w:rFonts w:hint="eastAsia" w:ascii="宋体" w:hAnsi="宋体" w:eastAsia="宋体" w:cs="宋体"/>
      <w:color w:val="000000"/>
      <w:sz w:val="22"/>
      <w:szCs w:val="22"/>
      <w:u w:val="none"/>
    </w:rPr>
  </w:style>
  <w:style w:type="paragraph" w:customStyle="1" w:styleId="79">
    <w:name w:val="正文首行缩进 21"/>
    <w:basedOn w:val="80"/>
    <w:qFormat/>
    <w:uiPriority w:val="0"/>
    <w:pPr>
      <w:ind w:firstLine="420"/>
    </w:pPr>
    <w:rPr>
      <w:rFonts w:eastAsia="宋体" w:cs="宋体"/>
    </w:rPr>
  </w:style>
  <w:style w:type="paragraph" w:customStyle="1" w:styleId="80">
    <w:name w:val="正文文本缩进1"/>
    <w:basedOn w:val="1"/>
    <w:next w:val="1"/>
    <w:qFormat/>
    <w:uiPriority w:val="0"/>
    <w:pPr>
      <w:ind w:left="420" w:leftChars="200"/>
    </w:pPr>
    <w:rPr>
      <w:color w:val="000000"/>
      <w:szCs w:val="21"/>
    </w:rPr>
  </w:style>
  <w:style w:type="paragraph" w:customStyle="1" w:styleId="81">
    <w:name w:val="正文首行缩进 211"/>
    <w:basedOn w:val="1"/>
    <w:qFormat/>
    <w:uiPriority w:val="0"/>
    <w:pPr>
      <w:spacing w:after="120"/>
      <w:ind w:left="420" w:leftChars="200" w:firstLine="420"/>
    </w:pPr>
    <w:rPr>
      <w:rFonts w:cs="宋体"/>
      <w:color w:val="000000"/>
      <w:szCs w:val="21"/>
    </w:rPr>
  </w:style>
  <w:style w:type="character" w:customStyle="1" w:styleId="82">
    <w:name w:val="font51"/>
    <w:basedOn w:val="30"/>
    <w:qFormat/>
    <w:uiPriority w:val="0"/>
    <w:rPr>
      <w:rFonts w:ascii="宋体" w:hAnsi="宋体" w:eastAsia="宋体" w:cs="宋体"/>
      <w:color w:val="000000"/>
      <w:sz w:val="22"/>
      <w:szCs w:val="22"/>
      <w:u w:val="none"/>
    </w:rPr>
  </w:style>
  <w:style w:type="character" w:customStyle="1" w:styleId="83">
    <w:name w:val="font91"/>
    <w:basedOn w:val="30"/>
    <w:qFormat/>
    <w:uiPriority w:val="0"/>
    <w:rPr>
      <w:rFonts w:ascii="Arial" w:hAnsi="Arial" w:cs="Arial"/>
      <w:color w:val="000000"/>
      <w:sz w:val="22"/>
      <w:szCs w:val="22"/>
      <w:u w:val="none"/>
    </w:rPr>
  </w:style>
  <w:style w:type="paragraph" w:customStyle="1" w:styleId="84">
    <w:name w:val="一级"/>
    <w:basedOn w:val="1"/>
    <w:next w:val="1"/>
    <w:qFormat/>
    <w:uiPriority w:val="0"/>
    <w:pPr>
      <w:spacing w:before="360" w:after="360" w:line="400" w:lineRule="exact"/>
      <w:outlineLvl w:val="1"/>
    </w:pPr>
    <w:rPr>
      <w:rFonts w:eastAsia="黑体"/>
      <w:sz w:val="28"/>
      <w:szCs w:val="22"/>
    </w:rPr>
  </w:style>
  <w:style w:type="paragraph" w:customStyle="1" w:styleId="85">
    <w:name w:val="正文空格"/>
    <w:basedOn w:val="1"/>
    <w:next w:val="1"/>
    <w:qFormat/>
    <w:uiPriority w:val="0"/>
    <w:pPr>
      <w:spacing w:line="400" w:lineRule="exact"/>
      <w:ind w:firstLine="200" w:firstLineChars="200"/>
    </w:pPr>
    <w:rPr>
      <w:sz w:val="24"/>
      <w:szCs w:val="22"/>
    </w:rPr>
  </w:style>
  <w:style w:type="paragraph" w:customStyle="1" w:styleId="86">
    <w:name w:val="图片"/>
    <w:basedOn w:val="1"/>
    <w:qFormat/>
    <w:uiPriority w:val="0"/>
    <w:pPr>
      <w:spacing w:line="360" w:lineRule="auto"/>
      <w:jc w:val="center"/>
    </w:pPr>
    <w:rPr>
      <w:rFonts w:eastAsia="宋体" w:asciiTheme="minorEastAsia" w:hAnsiTheme="minorEastAsia"/>
      <w:sz w:val="24"/>
    </w:rPr>
  </w:style>
  <w:style w:type="paragraph" w:customStyle="1" w:styleId="87">
    <w:name w:val="图片标题"/>
    <w:basedOn w:val="88"/>
    <w:qFormat/>
    <w:uiPriority w:val="0"/>
    <w:pPr>
      <w:numPr>
        <w:ilvl w:val="0"/>
        <w:numId w:val="4"/>
      </w:numPr>
      <w:spacing w:line="360" w:lineRule="auto"/>
      <w:jc w:val="center"/>
    </w:pPr>
    <w:rPr>
      <w:rFonts w:eastAsia="黑体"/>
      <w:b/>
    </w:rPr>
  </w:style>
  <w:style w:type="paragraph" w:customStyle="1" w:styleId="88">
    <w:name w:val="表格"/>
    <w:basedOn w:val="1"/>
    <w:qFormat/>
    <w:uiPriority w:val="0"/>
    <w:rPr>
      <w:rFonts w:asciiTheme="minorEastAsia" w:hAnsiTheme="minorEastAsia"/>
      <w:szCs w:val="22"/>
    </w:rPr>
  </w:style>
  <w:style w:type="paragraph" w:customStyle="1" w:styleId="89">
    <w:name w:val="列表格式"/>
    <w:basedOn w:val="9"/>
    <w:qFormat/>
    <w:uiPriority w:val="0"/>
    <w:pPr>
      <w:numPr>
        <w:numId w:val="0"/>
      </w:numPr>
      <w:tabs>
        <w:tab w:val="left" w:pos="360"/>
      </w:tabs>
      <w:spacing w:line="360" w:lineRule="auto"/>
      <w:jc w:val="left"/>
    </w:pPr>
    <w:rPr>
      <w:rFonts w:eastAsia="宋体" w:cs="Times New Roman"/>
      <w:sz w:val="24"/>
    </w:rPr>
  </w:style>
  <w:style w:type="paragraph" w:customStyle="1" w:styleId="90">
    <w:name w:val="表格标题"/>
    <w:basedOn w:val="1"/>
    <w:qFormat/>
    <w:uiPriority w:val="0"/>
    <w:pPr>
      <w:numPr>
        <w:ilvl w:val="0"/>
        <w:numId w:val="5"/>
      </w:numPr>
      <w:ind w:left="0" w:firstLine="0"/>
      <w:jc w:val="center"/>
    </w:pPr>
    <w:rPr>
      <w:rFonts w:ascii="宋体" w:hAnsi="宋体" w:eastAsia="黑体" w:cs="Times New Roman"/>
      <w:b/>
    </w:rPr>
  </w:style>
  <w:style w:type="paragraph" w:customStyle="1" w:styleId="91">
    <w:name w:val="表格表头"/>
    <w:basedOn w:val="1"/>
    <w:qFormat/>
    <w:uiPriority w:val="0"/>
    <w:pPr>
      <w:jc w:val="center"/>
    </w:pPr>
    <w:rPr>
      <w:rFonts w:ascii="宋体" w:hAnsi="宋体" w:eastAsia="黑体" w:cs="Times New Roman"/>
    </w:rPr>
  </w:style>
  <w:style w:type="paragraph" w:customStyle="1" w:styleId="92">
    <w:name w:val="表格正文"/>
    <w:basedOn w:val="1"/>
    <w:qFormat/>
    <w:uiPriority w:val="0"/>
    <w:pPr>
      <w:jc w:val="left"/>
    </w:pPr>
    <w:rPr>
      <w:rFonts w:ascii="Arial" w:hAnsi="Arial" w:cs="宋体"/>
      <w:szCs w:val="20"/>
    </w:rPr>
  </w:style>
  <w:style w:type="paragraph" w:styleId="93">
    <w:name w:val="No Spacing"/>
    <w:qFormat/>
    <w:uiPriority w:val="1"/>
    <w:pPr>
      <w:widowControl w:val="0"/>
      <w:spacing w:line="360" w:lineRule="auto"/>
      <w:ind w:firstLine="200" w:firstLineChars="200"/>
    </w:pPr>
    <w:rPr>
      <w:rFonts w:eastAsia="宋体" w:asciiTheme="minorHAnsi" w:hAnsiTheme="minorHAnsi" w:cstheme="minorBidi"/>
      <w:kern w:val="2"/>
      <w:sz w:val="24"/>
      <w:szCs w:val="22"/>
      <w:lang w:val="en-US" w:eastAsia="zh-CN" w:bidi="ar-SA"/>
    </w:rPr>
  </w:style>
  <w:style w:type="paragraph" w:customStyle="1" w:styleId="94">
    <w:name w:val="表格内容"/>
    <w:basedOn w:val="1"/>
    <w:qFormat/>
    <w:uiPriority w:val="2"/>
    <w:pPr>
      <w:jc w:val="center"/>
    </w:pPr>
  </w:style>
  <w:style w:type="paragraph" w:customStyle="1" w:styleId="95">
    <w:name w:val="Body Text First Indent1"/>
    <w:basedOn w:val="2"/>
    <w:qFormat/>
    <w:uiPriority w:val="0"/>
    <w:pPr>
      <w:ind w:firstLine="420" w:firstLineChars="100"/>
    </w:pPr>
    <w:rPr>
      <w:rFonts w:hint="eastAsia"/>
      <w:szCs w:val="22"/>
    </w:rPr>
  </w:style>
  <w:style w:type="paragraph" w:customStyle="1" w:styleId="96">
    <w:name w:val="普通(网站)_0"/>
    <w:basedOn w:val="97"/>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9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wbt"/>
    <w:basedOn w:val="1"/>
    <w:qFormat/>
    <w:uiPriority w:val="0"/>
    <w:pPr>
      <w:tabs>
        <w:tab w:val="left" w:pos="720"/>
      </w:tabs>
      <w:spacing w:line="360" w:lineRule="auto"/>
      <w:ind w:left="458" w:right="-76"/>
      <w:jc w:val="center"/>
    </w:pPr>
    <w:rPr>
      <w:rFonts w:ascii="黑体" w:hAnsi="宋体" w:eastAsia="黑体"/>
      <w:sz w:val="36"/>
    </w:rPr>
  </w:style>
  <w:style w:type="paragraph" w:customStyle="1" w:styleId="99">
    <w:name w:val="正文11"/>
    <w:basedOn w:val="14"/>
    <w:next w:val="1"/>
    <w:qFormat/>
    <w:uiPriority w:val="0"/>
    <w:pPr>
      <w:adjustRightInd w:val="0"/>
      <w:spacing w:line="312" w:lineRule="atLeast"/>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emf"/><Relationship Id="rId16" Type="http://schemas.openxmlformats.org/officeDocument/2006/relationships/oleObject" Target="embeddings/Document1.doc"/><Relationship Id="rId15" Type="http://schemas.openxmlformats.org/officeDocument/2006/relationships/image" Target="media/image1.emf"/><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01"/>
    <customShpInfo spid="_x0000_s4102"/>
    <customShpInfo spid="_x0000_s4103"/>
    <customShpInfo spid="_x0000_s4104"/>
    <customShpInfo spid="_x0000_s410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9605B0-6C48-4E98-AE5E-C59B26FACC6C}">
  <ds:schemaRefs/>
</ds:datastoreItem>
</file>

<file path=docProps/app.xml><?xml version="1.0" encoding="utf-8"?>
<Properties xmlns="http://schemas.openxmlformats.org/officeDocument/2006/extended-properties" xmlns:vt="http://schemas.openxmlformats.org/officeDocument/2006/docPropsVTypes">
  <Template>Normal</Template>
  <Company>Win7_64</Company>
  <Pages>52</Pages>
  <Words>31296</Words>
  <Characters>33085</Characters>
  <Lines>260</Lines>
  <Paragraphs>73</Paragraphs>
  <TotalTime>15</TotalTime>
  <ScaleCrop>false</ScaleCrop>
  <LinksUpToDate>false</LinksUpToDate>
  <CharactersWithSpaces>34887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2022-11-26T05:33:00Z</dcterms:created>
  <dc:creator>NTKO</dc:creator>
  <cp:lastModifiedBy>NTKO</cp:lastModifiedBy>
  <cp:lastPrinted>2022-05-31T08:04:00Z</cp:lastPrinted>
  <dcterms:modified xsi:type="dcterms:W3CDTF">2022-12-02T07:35:09Z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503854467E8646A1BB357FFFBCD046A6</vt:lpwstr>
  </property>
</Properties>
</file>