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56"/>
          <w:szCs w:val="56"/>
          <w:highlight w:val="none"/>
          <w:lang w:eastAsia="zh-CN"/>
        </w:rPr>
        <w:t>高速交警支队（2024年）打击防控网络租赁项目</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pageBreakBefore w:val="0"/>
        <w:widowControl w:val="0"/>
        <w:kinsoku/>
        <w:wordWrap/>
        <w:overflowPunct/>
        <w:topLinePunct w:val="0"/>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pageBreakBefore w:val="0"/>
        <w:widowControl w:val="0"/>
        <w:kinsoku/>
        <w:wordWrap/>
        <w:overflowPunct/>
        <w:topLinePunct w:val="0"/>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pageBreakBefore w:val="0"/>
        <w:widowControl w:val="0"/>
        <w:kinsoku/>
        <w:wordWrap/>
        <w:overflowPunct/>
        <w:topLinePunct w:val="0"/>
        <w:bidi w:val="0"/>
        <w:spacing w:after="100" w:afterAutospacing="1" w:line="240" w:lineRule="auto"/>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招标编号:</w:t>
      </w:r>
      <w:r>
        <w:rPr>
          <w:rFonts w:hint="eastAsia" w:ascii="仿宋" w:hAnsi="仿宋" w:eastAsia="仿宋" w:cs="仿宋"/>
          <w:color w:val="auto"/>
          <w:sz w:val="28"/>
          <w:szCs w:val="28"/>
          <w:highlight w:val="none"/>
          <w:lang w:eastAsia="zh-CN"/>
        </w:rPr>
        <w:t>SXQS-202404-GK028</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pageBreakBefore w:val="0"/>
              <w:widowControl w:val="0"/>
              <w:kinsoku/>
              <w:wordWrap/>
              <w:overflowPunct/>
              <w:topLinePunct w:val="0"/>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pageBreakBefore w:val="0"/>
              <w:widowControl w:val="0"/>
              <w:kinsoku/>
              <w:wordWrap/>
              <w:overflowPunct/>
              <w:topLinePunct w:val="0"/>
              <w:bidi w:val="0"/>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绍兴市公安局高速公路交通警察支队</w:t>
            </w:r>
          </w:p>
        </w:tc>
      </w:tr>
      <w:tr>
        <w:tblPrEx>
          <w:tblCellMar>
            <w:top w:w="0" w:type="dxa"/>
            <w:left w:w="108" w:type="dxa"/>
            <w:bottom w:w="0" w:type="dxa"/>
            <w:right w:w="108" w:type="dxa"/>
          </w:tblCellMar>
        </w:tblPrEx>
        <w:trPr>
          <w:trHeight w:val="494" w:hRule="atLeast"/>
          <w:jc w:val="center"/>
        </w:trPr>
        <w:tc>
          <w:tcPr>
            <w:tcW w:w="2356" w:type="dxa"/>
          </w:tcPr>
          <w:p>
            <w:pPr>
              <w:pageBreakBefore w:val="0"/>
              <w:widowControl w:val="0"/>
              <w:kinsoku/>
              <w:wordWrap/>
              <w:overflowPunct/>
              <w:topLinePunct w:val="0"/>
              <w:bidi w:val="0"/>
              <w:spacing w:after="100" w:afterAutospacing="1" w:line="240" w:lineRule="auto"/>
              <w:jc w:val="both"/>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r>
              <w:rPr>
                <w:rFonts w:hint="eastAsia" w:ascii="仿宋" w:hAnsi="仿宋" w:eastAsia="仿宋" w:cs="仿宋"/>
                <w:color w:val="auto"/>
                <w:spacing w:val="93"/>
                <w:kern w:val="0"/>
                <w:sz w:val="28"/>
                <w:szCs w:val="28"/>
                <w:highlight w:val="none"/>
                <w:lang w:val="en-US" w:eastAsia="zh-CN"/>
              </w:rPr>
              <w:t>：</w:t>
            </w:r>
          </w:p>
        </w:tc>
        <w:tc>
          <w:tcPr>
            <w:tcW w:w="5445" w:type="dxa"/>
          </w:tcPr>
          <w:p>
            <w:pPr>
              <w:pageBreakBefore w:val="0"/>
              <w:widowControl w:val="0"/>
              <w:kinsoku/>
              <w:wordWrap/>
              <w:overflowPunct/>
              <w:topLinePunct w:val="0"/>
              <w:bidi w:val="0"/>
              <w:spacing w:line="240" w:lineRule="auto"/>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pageBreakBefore w:val="0"/>
              <w:widowControl w:val="0"/>
              <w:kinsoku/>
              <w:wordWrap/>
              <w:overflowPunct/>
              <w:topLinePunct w:val="0"/>
              <w:bidi w:val="0"/>
              <w:spacing w:after="100" w:afterAutospacing="1" w:line="240" w:lineRule="auto"/>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93"/>
                <w:kern w:val="0"/>
                <w:sz w:val="28"/>
                <w:szCs w:val="28"/>
                <w:highlight w:val="none"/>
                <w:lang w:val="en-US" w:eastAsia="zh-CN"/>
              </w:rPr>
              <w:t>监督单位：</w:t>
            </w:r>
          </w:p>
        </w:tc>
        <w:tc>
          <w:tcPr>
            <w:tcW w:w="5445" w:type="dxa"/>
          </w:tcPr>
          <w:p>
            <w:pPr>
              <w:pageBreakBefore w:val="0"/>
              <w:widowControl w:val="0"/>
              <w:kinsoku/>
              <w:wordWrap/>
              <w:overflowPunct/>
              <w:topLinePunct w:val="0"/>
              <w:bidi w:val="0"/>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pageBreakBefore w:val="0"/>
              <w:widowControl w:val="0"/>
              <w:kinsoku/>
              <w:wordWrap/>
              <w:overflowPunct/>
              <w:topLinePunct w:val="0"/>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pPr>
        <w:pStyle w:val="635"/>
        <w:pageBreakBefore w:val="0"/>
        <w:widowControl w:val="0"/>
        <w:kinsoku/>
        <w:wordWrap/>
        <w:overflowPunct/>
        <w:topLinePunct w:val="0"/>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240" w:lineRule="auto"/>
        <w:ind w:firstLine="549" w:firstLineChars="229"/>
        <w:textAlignment w:val="auto"/>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高速交警支队（2024年）打击防控网络租赁项目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SXQS-202404-GK028</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高速交警支队（2024年）打击防控网络租赁项目</w:t>
      </w: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1264000</w:t>
      </w:r>
      <w:r>
        <w:rPr>
          <w:rFonts w:hint="eastAsia" w:ascii="仿宋" w:hAnsi="仿宋" w:eastAsia="仿宋" w:cs="仿宋"/>
          <w:bCs/>
          <w:color w:val="auto"/>
          <w:sz w:val="24"/>
          <w:highlight w:val="none"/>
        </w:rPr>
        <w:t>.00</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bCs w:val="0"/>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42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lang w:eastAsia="zh-CN"/>
        </w:rPr>
        <w:t>000</w:t>
      </w:r>
      <w:r>
        <w:rPr>
          <w:rFonts w:hint="eastAsia" w:ascii="仿宋" w:hAnsi="仿宋" w:eastAsia="仿宋" w:cs="仿宋"/>
          <w:bCs/>
          <w:color w:val="auto"/>
          <w:sz w:val="24"/>
          <w:highlight w:val="none"/>
        </w:rPr>
        <w:t>.00</w:t>
      </w:r>
      <w:r>
        <w:rPr>
          <w:rFonts w:hint="eastAsia" w:ascii="仿宋" w:hAnsi="仿宋" w:eastAsia="仿宋" w:cs="仿宋"/>
          <w:b w:val="0"/>
          <w:bCs/>
          <w:color w:val="auto"/>
          <w:sz w:val="24"/>
          <w:highlight w:val="none"/>
          <w:lang w:eastAsia="zh-CN"/>
        </w:rPr>
        <w:t>，3</w:t>
      </w:r>
      <w:r>
        <w:rPr>
          <w:rFonts w:hint="eastAsia" w:ascii="仿宋" w:hAnsi="仿宋" w:eastAsia="仿宋" w:cs="仿宋"/>
          <w:b w:val="0"/>
          <w:bCs/>
          <w:color w:val="auto"/>
          <w:sz w:val="24"/>
          <w:highlight w:val="none"/>
          <w:lang w:val="en-US" w:eastAsia="zh-CN"/>
        </w:rPr>
        <w:t>820</w:t>
      </w:r>
      <w:r>
        <w:rPr>
          <w:rFonts w:hint="eastAsia" w:ascii="仿宋" w:hAnsi="仿宋" w:eastAsia="仿宋" w:cs="仿宋"/>
          <w:b w:val="0"/>
          <w:bCs/>
          <w:color w:val="auto"/>
          <w:sz w:val="24"/>
          <w:highlight w:val="none"/>
          <w:lang w:eastAsia="zh-CN"/>
        </w:rPr>
        <w:t>00</w:t>
      </w:r>
      <w:r>
        <w:rPr>
          <w:rFonts w:hint="eastAsia" w:ascii="仿宋" w:hAnsi="仿宋" w:eastAsia="仿宋" w:cs="仿宋"/>
          <w:bCs/>
          <w:color w:val="auto"/>
          <w:sz w:val="24"/>
          <w:highlight w:val="none"/>
        </w:rPr>
        <w:t>.00</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4</w:t>
      </w:r>
      <w:r>
        <w:rPr>
          <w:rFonts w:hint="default" w:ascii="仿宋" w:hAnsi="仿宋" w:eastAsia="仿宋" w:cs="仿宋"/>
          <w:b w:val="0"/>
          <w:bCs/>
          <w:color w:val="auto"/>
          <w:sz w:val="24"/>
          <w:highlight w:val="none"/>
          <w:lang w:val="en-US" w:eastAsia="zh-CN"/>
        </w:rPr>
        <w:t>555</w:t>
      </w:r>
      <w:r>
        <w:rPr>
          <w:rFonts w:hint="eastAsia" w:ascii="仿宋" w:hAnsi="仿宋" w:eastAsia="仿宋" w:cs="仿宋"/>
          <w:b w:val="0"/>
          <w:bCs/>
          <w:color w:val="auto"/>
          <w:sz w:val="24"/>
          <w:highlight w:val="none"/>
          <w:lang w:val="en-US" w:eastAsia="zh-CN"/>
        </w:rPr>
        <w:t>00</w:t>
      </w:r>
      <w:r>
        <w:rPr>
          <w:rFonts w:hint="eastAsia" w:ascii="仿宋" w:hAnsi="仿宋" w:eastAsia="仿宋" w:cs="仿宋"/>
          <w:bCs/>
          <w:color w:val="auto"/>
          <w:sz w:val="24"/>
          <w:highlight w:val="none"/>
        </w:rPr>
        <w:t>.00</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诸暨地区网络租赁</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b w:val="0"/>
          <w:bCs/>
          <w:color w:val="auto"/>
          <w:sz w:val="24"/>
          <w:szCs w:val="20"/>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eastAsia="zh-CN"/>
        </w:rPr>
        <w:t>42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lang w:eastAsia="zh-CN"/>
        </w:rPr>
        <w:t>000</w:t>
      </w:r>
      <w:r>
        <w:rPr>
          <w:rFonts w:hint="eastAsia" w:ascii="仿宋" w:hAnsi="仿宋" w:eastAsia="仿宋" w:cs="仿宋"/>
          <w:bCs/>
          <w:color w:val="auto"/>
          <w:sz w:val="24"/>
          <w:highlight w:val="none"/>
        </w:rPr>
        <w:t>.00</w:t>
      </w:r>
    </w:p>
    <w:p>
      <w:pPr>
        <w:pStyle w:val="395"/>
        <w:keepNext w:val="0"/>
        <w:keepLines w:val="0"/>
        <w:pageBreakBefore w:val="0"/>
        <w:kinsoku/>
        <w:wordWrap/>
        <w:overflowPunct/>
        <w:topLinePunct w:val="0"/>
        <w:autoSpaceDE/>
        <w:autoSpaceDN/>
        <w:bidi w:val="0"/>
        <w:adjustRightInd w:val="0"/>
        <w:spacing w:after="0" w:afterLines="0" w:line="400" w:lineRule="exact"/>
        <w:ind w:firstLine="480"/>
        <w:textAlignment w:val="auto"/>
        <w:rPr>
          <w:rFonts w:hint="eastAsia" w:ascii="仿宋_GB2312" w:hAnsi="新宋体" w:eastAsia="仿宋_GB2312"/>
          <w:color w:val="auto"/>
          <w:sz w:val="24"/>
          <w:szCs w:val="24"/>
          <w:highlight w:val="none"/>
        </w:rPr>
      </w:pPr>
      <w:r>
        <w:rPr>
          <w:rFonts w:hint="eastAsia" w:ascii="仿宋_GB2312" w:hAnsi="新宋体" w:eastAsia="仿宋_GB2312"/>
          <w:color w:val="auto"/>
          <w:sz w:val="24"/>
          <w:szCs w:val="24"/>
          <w:highlight w:val="none"/>
        </w:rPr>
        <w:t>简要规格描述或项目基本概况介绍、用途：详见采购文件 </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标项二:</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标项名称:嵊州新昌地区网络</w:t>
      </w:r>
      <w:r>
        <w:rPr>
          <w:rFonts w:hint="eastAsia" w:ascii="仿宋" w:hAnsi="仿宋" w:eastAsia="仿宋" w:cs="仿宋"/>
          <w:color w:val="auto"/>
          <w:sz w:val="24"/>
          <w:szCs w:val="24"/>
          <w:highlight w:val="none"/>
          <w:lang w:eastAsia="zh-CN"/>
        </w:rPr>
        <w:t>租赁</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数量:1</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预算金额（元）：</w:t>
      </w:r>
      <w:r>
        <w:rPr>
          <w:rFonts w:hint="eastAsia" w:ascii="仿宋" w:hAnsi="仿宋" w:eastAsia="仿宋" w:cs="仿宋"/>
          <w:b w:val="0"/>
          <w:bCs/>
          <w:color w:val="auto"/>
          <w:sz w:val="24"/>
          <w:highlight w:val="none"/>
          <w:lang w:eastAsia="zh-CN"/>
        </w:rPr>
        <w:t>3</w:t>
      </w:r>
      <w:r>
        <w:rPr>
          <w:rFonts w:hint="eastAsia" w:ascii="仿宋" w:hAnsi="仿宋" w:eastAsia="仿宋" w:cs="仿宋"/>
          <w:b w:val="0"/>
          <w:bCs/>
          <w:color w:val="auto"/>
          <w:sz w:val="24"/>
          <w:highlight w:val="none"/>
          <w:lang w:val="en-US" w:eastAsia="zh-CN"/>
        </w:rPr>
        <w:t>820</w:t>
      </w:r>
      <w:r>
        <w:rPr>
          <w:rFonts w:hint="eastAsia" w:ascii="仿宋" w:hAnsi="仿宋" w:eastAsia="仿宋" w:cs="仿宋"/>
          <w:b w:val="0"/>
          <w:bCs/>
          <w:color w:val="auto"/>
          <w:sz w:val="24"/>
          <w:highlight w:val="none"/>
          <w:lang w:eastAsia="zh-CN"/>
        </w:rPr>
        <w:t>00</w:t>
      </w:r>
      <w:r>
        <w:rPr>
          <w:rFonts w:hint="eastAsia" w:ascii="仿宋" w:hAnsi="仿宋" w:eastAsia="仿宋" w:cs="仿宋"/>
          <w:color w:val="auto"/>
          <w:sz w:val="24"/>
          <w:szCs w:val="24"/>
          <w:highlight w:val="none"/>
        </w:rPr>
        <w:t>.00</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简要规格描述或项目基本概况介绍、用途：详见采购文件。</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标项三:</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标项名称:</w:t>
      </w:r>
      <w:r>
        <w:rPr>
          <w:rFonts w:hint="eastAsia" w:ascii="仿宋" w:hAnsi="仿宋" w:eastAsia="仿宋" w:cs="仿宋"/>
          <w:color w:val="auto"/>
          <w:sz w:val="24"/>
          <w:szCs w:val="24"/>
          <w:highlight w:val="none"/>
          <w:lang w:eastAsia="zh-CN"/>
        </w:rPr>
        <w:t>市本级地区</w:t>
      </w:r>
      <w:r>
        <w:rPr>
          <w:rFonts w:hint="eastAsia" w:ascii="仿宋" w:hAnsi="仿宋" w:eastAsia="仿宋" w:cs="仿宋"/>
          <w:color w:val="auto"/>
          <w:sz w:val="24"/>
          <w:szCs w:val="24"/>
          <w:highlight w:val="none"/>
        </w:rPr>
        <w:t>网络租赁</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数量:1</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预算金额（元）：</w:t>
      </w:r>
      <w:r>
        <w:rPr>
          <w:rFonts w:hint="eastAsia" w:ascii="仿宋" w:hAnsi="仿宋" w:eastAsia="仿宋" w:cs="仿宋"/>
          <w:b w:val="0"/>
          <w:bCs/>
          <w:color w:val="auto"/>
          <w:sz w:val="24"/>
          <w:highlight w:val="none"/>
          <w:lang w:val="en-US" w:eastAsia="zh-CN"/>
        </w:rPr>
        <w:t>460000</w:t>
      </w:r>
      <w:r>
        <w:rPr>
          <w:rFonts w:hint="eastAsia" w:ascii="仿宋" w:hAnsi="仿宋" w:eastAsia="仿宋" w:cs="仿宋"/>
          <w:color w:val="auto"/>
          <w:sz w:val="24"/>
          <w:szCs w:val="24"/>
          <w:highlight w:val="none"/>
        </w:rPr>
        <w:t>.00</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简要规格描述或项目基本概况介绍、用途：详见采购文件。</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备注：本项目分</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个标段，允许供应商同时参加</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个标段的投标，开标时按先开01标再开02标</w:t>
      </w:r>
      <w:r>
        <w:rPr>
          <w:rFonts w:hint="eastAsia" w:ascii="仿宋" w:hAnsi="仿宋" w:eastAsia="仿宋" w:cs="仿宋"/>
          <w:color w:val="auto"/>
          <w:sz w:val="24"/>
          <w:szCs w:val="24"/>
          <w:highlight w:val="none"/>
          <w:lang w:eastAsia="zh-CN"/>
        </w:rPr>
        <w:t>最后开</w:t>
      </w:r>
      <w:r>
        <w:rPr>
          <w:rFonts w:hint="eastAsia" w:ascii="仿宋" w:hAnsi="仿宋" w:eastAsia="仿宋" w:cs="仿宋"/>
          <w:color w:val="auto"/>
          <w:sz w:val="24"/>
          <w:szCs w:val="24"/>
          <w:highlight w:val="none"/>
          <w:lang w:val="en-US" w:eastAsia="zh-CN"/>
        </w:rPr>
        <w:t>03标</w:t>
      </w:r>
      <w:r>
        <w:rPr>
          <w:rFonts w:hint="eastAsia" w:ascii="仿宋" w:hAnsi="仿宋" w:eastAsia="仿宋" w:cs="仿宋"/>
          <w:color w:val="auto"/>
          <w:sz w:val="24"/>
          <w:szCs w:val="24"/>
          <w:highlight w:val="none"/>
        </w:rPr>
        <w:t>的顺序，01标的中标单位可继续参与02标的评审</w:t>
      </w:r>
      <w:r>
        <w:rPr>
          <w:rFonts w:hint="eastAsia" w:ascii="仿宋" w:hAnsi="仿宋" w:eastAsia="仿宋" w:cs="仿宋"/>
          <w:color w:val="auto"/>
          <w:sz w:val="24"/>
          <w:szCs w:val="24"/>
          <w:highlight w:val="none"/>
          <w:lang w:eastAsia="zh-CN"/>
        </w:rPr>
        <w:t>，以此类推</w:t>
      </w:r>
      <w:r>
        <w:rPr>
          <w:rFonts w:hint="eastAsia" w:ascii="仿宋" w:hAnsi="仿宋" w:eastAsia="仿宋" w:cs="仿宋"/>
          <w:color w:val="auto"/>
          <w:sz w:val="24"/>
          <w:szCs w:val="24"/>
          <w:highlight w:val="none"/>
        </w:rPr>
        <w:t>。</w:t>
      </w:r>
      <w:bookmarkStart w:id="167" w:name="_GoBack"/>
      <w:bookmarkEnd w:id="167"/>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合同履约期限：按双方合同约定条款执行。</w:t>
      </w:r>
    </w:p>
    <w:p>
      <w:pPr>
        <w:pStyle w:val="395"/>
        <w:keepNext w:val="0"/>
        <w:keepLines w:val="0"/>
        <w:pageBreakBefore w:val="0"/>
        <w:kinsoku/>
        <w:wordWrap/>
        <w:overflowPunct/>
        <w:topLinePunct w:val="0"/>
        <w:autoSpaceDE/>
        <w:autoSpaceDN/>
        <w:bidi w:val="0"/>
        <w:adjustRightInd w:val="0"/>
        <w:spacing w:after="0" w:afterLines="0" w:line="400" w:lineRule="exact"/>
        <w:ind w:firstLine="482"/>
        <w:textAlignment w:val="auto"/>
        <w:rPr>
          <w:rFonts w:hint="eastAsia" w:ascii="仿宋_GB2312" w:hAnsi="新宋体" w:eastAsia="仿宋_GB2312"/>
          <w:color w:val="auto"/>
          <w:sz w:val="24"/>
          <w:szCs w:val="24"/>
          <w:highlight w:val="none"/>
        </w:rPr>
      </w:pPr>
      <w:r>
        <w:rPr>
          <w:rFonts w:hint="eastAsia" w:ascii="仿宋_GB2312" w:hAnsi="新宋体" w:eastAsia="仿宋_GB2312"/>
          <w:color w:val="auto"/>
          <w:sz w:val="24"/>
          <w:szCs w:val="24"/>
          <w:highlight w:val="none"/>
        </w:rPr>
        <w:t>本项目接受联合体投标：</w:t>
      </w:r>
      <w:r>
        <w:rPr>
          <w:rFonts w:hint="eastAsia" w:ascii="仿宋" w:hAnsi="仿宋" w:eastAsia="仿宋" w:cs="仿宋"/>
          <w:color w:val="auto"/>
          <w:sz w:val="24"/>
          <w:szCs w:val="20"/>
          <w:highlight w:val="none"/>
        </w:rPr>
        <w:t>☑</w:t>
      </w:r>
      <w:r>
        <w:rPr>
          <w:rFonts w:hint="eastAsia" w:ascii="仿宋_GB2312" w:hAnsi="新宋体" w:eastAsia="仿宋_GB2312"/>
          <w:color w:val="auto"/>
          <w:sz w:val="24"/>
          <w:szCs w:val="24"/>
          <w:highlight w:val="none"/>
        </w:rPr>
        <w:t>是，</w:t>
      </w:r>
      <w:r>
        <w:rPr>
          <w:rFonts w:hint="eastAsia" w:ascii="仿宋" w:hAnsi="仿宋" w:eastAsia="仿宋" w:cs="仿宋"/>
          <w:color w:val="auto"/>
          <w:sz w:val="24"/>
          <w:szCs w:val="20"/>
          <w:highlight w:val="none"/>
        </w:rPr>
        <w:t>☐</w:t>
      </w:r>
      <w:r>
        <w:rPr>
          <w:rFonts w:hint="eastAsia" w:ascii="仿宋_GB2312" w:hAnsi="新宋体" w:eastAsia="仿宋_GB2312"/>
          <w:color w:val="auto"/>
          <w:sz w:val="24"/>
          <w:szCs w:val="24"/>
          <w:highlight w:val="none"/>
        </w:rPr>
        <w:t>否。</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4.本项目的特定资格要求：供应商</w:t>
      </w:r>
      <w:r>
        <w:rPr>
          <w:rFonts w:hint="eastAsia" w:ascii="仿宋" w:hAnsi="仿宋" w:eastAsia="仿宋" w:cs="仿宋"/>
          <w:color w:val="auto"/>
          <w:sz w:val="24"/>
          <w:highlight w:val="none"/>
          <w:lang w:val="en-US" w:eastAsia="zh-CN"/>
        </w:rPr>
        <w:t>须是</w:t>
      </w:r>
      <w:r>
        <w:rPr>
          <w:rFonts w:hint="eastAsia" w:ascii="仿宋" w:hAnsi="仿宋" w:eastAsia="仿宋" w:cs="仿宋"/>
          <w:color w:val="auto"/>
          <w:sz w:val="24"/>
          <w:highlight w:val="none"/>
        </w:rPr>
        <w:t>能在绍兴市范围内提供公共网络基础设施、公共数据传送服务的通信运营商；</w:t>
      </w:r>
    </w:p>
    <w:p>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绍兴市公安局高速公路交通警察支队</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址：绍兴市越城区中兴南路1501号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bookmarkStart w:id="9" w:name="_Toc28359020"/>
      <w:bookmarkStart w:id="10" w:name="_Toc28359097"/>
      <w:bookmarkStart w:id="11" w:name="_Toc35393807"/>
      <w:bookmarkStart w:id="12" w:name="_Toc35393638"/>
      <w:r>
        <w:rPr>
          <w:rFonts w:hint="eastAsia" w:ascii="仿宋" w:hAnsi="仿宋" w:eastAsia="仿宋" w:cs="仿宋"/>
          <w:b w:val="0"/>
          <w:bCs w:val="0"/>
          <w:color w:val="auto"/>
          <w:sz w:val="24"/>
          <w:highlight w:val="none"/>
        </w:rPr>
        <w:t xml:space="preserve">项目联系人（询问）：沈昱 </w:t>
      </w:r>
    </w:p>
    <w:p>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项目联系方式（询问）：0575-88557515</w:t>
      </w:r>
    </w:p>
    <w:p>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 xml:space="preserve">质疑联系人： </w:t>
      </w:r>
      <w:r>
        <w:rPr>
          <w:rFonts w:hint="eastAsia" w:ascii="仿宋" w:eastAsia="仿宋" w:cs="仿宋"/>
          <w:b w:val="0"/>
          <w:bCs w:val="0"/>
          <w:color w:val="auto"/>
          <w:sz w:val="24"/>
          <w:highlight w:val="none"/>
          <w:lang w:val="en-US" w:eastAsia="zh-CN"/>
        </w:rPr>
        <w:t>安黎明</w:t>
      </w:r>
    </w:p>
    <w:p>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质疑联系方式：</w:t>
      </w:r>
      <w:r>
        <w:rPr>
          <w:rFonts w:hint="eastAsia" w:ascii="仿宋" w:eastAsia="仿宋" w:cs="仿宋"/>
          <w:b w:val="0"/>
          <w:bCs w:val="0"/>
          <w:color w:val="auto"/>
          <w:sz w:val="24"/>
          <w:highlight w:val="none"/>
          <w:lang w:val="en-US" w:eastAsia="zh-CN"/>
        </w:rPr>
        <w:t>0575-87575639</w:t>
      </w:r>
    </w:p>
    <w:p>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项目联系人（询问）：韩萍</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 13989509672</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张婷婷</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sz w:val="24"/>
                <w:szCs w:val="24"/>
                <w:highlight w:val="none"/>
              </w:rPr>
              <w:t>A无方案讲解演示。</w:t>
            </w:r>
          </w:p>
          <w:p>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15</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 xml:space="preserve"> 3 </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u w:val="singl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numPr>
                <w:ilvl w:val="0"/>
                <w:numId w:val="1"/>
              </w:numPr>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标项一</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信息传输业</w:t>
            </w:r>
            <w:r>
              <w:rPr>
                <w:rFonts w:hint="eastAsia" w:ascii="仿宋" w:hAnsi="仿宋" w:eastAsia="仿宋" w:cs="仿宋"/>
                <w:color w:val="auto"/>
                <w:kern w:val="0"/>
                <w:sz w:val="24"/>
                <w:szCs w:val="24"/>
                <w:highlight w:val="none"/>
              </w:rPr>
              <w:t>行业；</w:t>
            </w:r>
          </w:p>
          <w:p>
            <w:pPr>
              <w:numPr>
                <w:ilvl w:val="0"/>
                <w:numId w:val="0"/>
              </w:numPr>
              <w:kinsoku/>
              <w:overflowPunct/>
              <w:topLinePunct w:val="0"/>
              <w:bidi w:val="0"/>
              <w:snapToGrid w:val="0"/>
              <w:spacing w:beforeLines="0" w:afterLines="0" w:line="400" w:lineRule="exact"/>
              <w:rPr>
                <w:rFonts w:hint="eastAsia" w:ascii="仿宋" w:hAnsi="仿宋" w:eastAsia="仿宋" w:cs="仿宋"/>
                <w:sz w:val="21"/>
                <w:szCs w:val="24"/>
                <w:highlight w:val="none"/>
              </w:rPr>
            </w:pPr>
            <w:r>
              <w:rPr>
                <w:rFonts w:hint="eastAsia" w:ascii="仿宋" w:hAnsi="仿宋" w:eastAsia="仿宋" w:cs="仿宋"/>
                <w:kern w:val="0"/>
                <w:sz w:val="24"/>
                <w:szCs w:val="24"/>
                <w:highlight w:val="none"/>
              </w:rPr>
              <w:t>（2）</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标项</w:t>
            </w:r>
            <w:r>
              <w:rPr>
                <w:rFonts w:hint="eastAsia" w:ascii="仿宋" w:hAnsi="仿宋" w:eastAsia="仿宋" w:cs="仿宋"/>
                <w:color w:val="auto"/>
                <w:kern w:val="0"/>
                <w:sz w:val="24"/>
                <w:szCs w:val="24"/>
                <w:highlight w:val="none"/>
                <w:u w:val="single"/>
                <w:lang w:val="en-US" w:eastAsia="zh-CN"/>
              </w:rPr>
              <w:t>二</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信息传输业</w:t>
            </w:r>
            <w:r>
              <w:rPr>
                <w:rFonts w:hint="eastAsia" w:ascii="仿宋" w:hAnsi="仿宋" w:eastAsia="仿宋" w:cs="仿宋"/>
                <w:color w:val="auto"/>
                <w:kern w:val="0"/>
                <w:sz w:val="24"/>
                <w:szCs w:val="24"/>
                <w:highlight w:val="none"/>
              </w:rPr>
              <w:t>行业；</w:t>
            </w:r>
          </w:p>
          <w:p>
            <w:pPr>
              <w:keepNext w:val="0"/>
              <w:keepLines w:val="0"/>
              <w:pageBreakBefore w:val="0"/>
              <w:widowControl w:val="0"/>
              <w:numPr>
                <w:ilvl w:val="0"/>
                <w:numId w:val="0"/>
              </w:numPr>
              <w:kinsoku/>
              <w:wordWrap/>
              <w:overflowPunct/>
              <w:topLinePunct w:val="0"/>
              <w:bidi w:val="0"/>
              <w:adjustRightInd w:val="0"/>
              <w:snapToGrid w:val="0"/>
              <w:spacing w:line="400" w:lineRule="exact"/>
              <w:ind w:right="0" w:rightChars="0"/>
              <w:rPr>
                <w:rFonts w:hint="eastAsia" w:ascii="仿宋" w:hAnsi="仿宋" w:eastAsia="仿宋" w:cs="仿宋"/>
                <w:color w:val="auto"/>
                <w:highlight w:val="none"/>
              </w:rPr>
            </w:pPr>
            <w:r>
              <w:rPr>
                <w:rFonts w:hint="eastAsia" w:ascii="仿宋" w:hAnsi="仿宋" w:eastAsia="仿宋" w:cs="仿宋"/>
                <w:kern w:val="0"/>
                <w:sz w:val="24"/>
                <w:szCs w:val="24"/>
                <w:highlight w:val="none"/>
              </w:rPr>
              <w:t>（3）</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标项</w:t>
            </w:r>
            <w:r>
              <w:rPr>
                <w:rFonts w:hint="eastAsia" w:ascii="仿宋" w:hAnsi="仿宋" w:eastAsia="仿宋" w:cs="仿宋"/>
                <w:color w:val="auto"/>
                <w:kern w:val="0"/>
                <w:sz w:val="24"/>
                <w:szCs w:val="24"/>
                <w:highlight w:val="none"/>
                <w:u w:val="single"/>
                <w:lang w:val="en-US" w:eastAsia="zh-CN"/>
              </w:rPr>
              <w:t>三</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信息传输业</w:t>
            </w:r>
            <w:r>
              <w:rPr>
                <w:rFonts w:hint="eastAsia" w:ascii="仿宋" w:hAnsi="仿宋" w:eastAsia="仿宋" w:cs="仿宋"/>
                <w:color w:val="auto"/>
                <w:kern w:val="0"/>
                <w:sz w:val="24"/>
                <w:szCs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suppressLineNumbers w:val="0"/>
              <w:kinsoku/>
              <w:wordWrap/>
              <w:overflowPunct/>
              <w:topLinePunct w:val="0"/>
              <w:bidi w:val="0"/>
              <w:adjustRightInd/>
              <w:snapToGrid w:val="0"/>
              <w:spacing w:beforeAutospacing="0" w:afterAutospacing="0" w:line="400" w:lineRule="exact"/>
              <w:ind w:left="0" w:leftChars="0" w:right="0" w:rightChars="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（1）中标人须向采购代理机构规定交纳代理服务费，</w:t>
            </w:r>
            <w:r>
              <w:rPr>
                <w:rFonts w:hint="eastAsia" w:ascii="仿宋" w:hAnsi="仿宋" w:eastAsia="仿宋" w:cs="仿宋"/>
                <w:color w:val="auto"/>
                <w:sz w:val="24"/>
                <w:highlight w:val="none"/>
                <w:lang w:eastAsia="zh-CN"/>
              </w:rPr>
              <w:t>标项一代理服务费</w:t>
            </w:r>
            <w:r>
              <w:rPr>
                <w:rFonts w:hint="eastAsia" w:ascii="仿宋" w:hAnsi="仿宋" w:eastAsia="仿宋" w:cs="仿宋"/>
                <w:color w:val="auto"/>
                <w:sz w:val="24"/>
                <w:highlight w:val="none"/>
                <w:lang w:val="en-US" w:eastAsia="zh-CN"/>
              </w:rPr>
              <w:t>2500元，标项二代理服务费2500元，标项三代理服务费2500元，</w:t>
            </w:r>
            <w:r>
              <w:rPr>
                <w:rFonts w:hint="eastAsia" w:ascii="仿宋" w:hAnsi="仿宋" w:eastAsia="仿宋" w:cs="仿宋"/>
                <w:color w:val="auto"/>
                <w:sz w:val="24"/>
                <w:highlight w:val="none"/>
                <w:lang w:eastAsia="zh-CN"/>
              </w:rPr>
              <w:t>请</w:t>
            </w:r>
            <w:r>
              <w:rPr>
                <w:rFonts w:hint="eastAsia" w:ascii="仿宋" w:hAnsi="仿宋" w:eastAsia="仿宋" w:cs="仿宋"/>
                <w:color w:val="auto"/>
                <w:sz w:val="24"/>
                <w:highlight w:val="none"/>
              </w:rPr>
              <w:t>在投标报价中自行考虑</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bidi w:val="0"/>
              <w:adjustRightInd/>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0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0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40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40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insoku/>
        <w:overflowPunct/>
        <w:topLinePunct w:val="0"/>
        <w:bidi w:val="0"/>
        <w:spacing w:line="40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kinsoku/>
        <w:overflowPunct/>
        <w:topLinePunct w:val="0"/>
        <w:bidi w:val="0"/>
        <w:spacing w:line="40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0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insoku/>
        <w:overflowPunct/>
        <w:topLinePunct w:val="0"/>
        <w:bidi w:val="0"/>
        <w:snapToGrid w:val="0"/>
        <w:spacing w:line="400" w:lineRule="exact"/>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kinsoku/>
        <w:overflowPunct/>
        <w:topLinePunct w:val="0"/>
        <w:bidi w:val="0"/>
        <w:spacing w:before="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overflowPunct/>
        <w:topLinePunct w:val="0"/>
        <w:bidi w:val="0"/>
        <w:adjustRightInd w:val="0"/>
        <w:spacing w:line="40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0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68057669"/>
      <w:bookmarkEnd w:id="21"/>
      <w:bookmarkStart w:id="22" w:name="_Hlt68403820"/>
      <w:bookmarkEnd w:id="22"/>
      <w:bookmarkStart w:id="23" w:name="_Hlt68072990"/>
      <w:bookmarkEnd w:id="23"/>
      <w:bookmarkStart w:id="24" w:name="_Hlt74707468"/>
      <w:bookmarkEnd w:id="24"/>
      <w:bookmarkStart w:id="25" w:name="_Hlt75236101"/>
      <w:bookmarkEnd w:id="25"/>
      <w:bookmarkStart w:id="26" w:name="_Hlt74729768"/>
      <w:bookmarkEnd w:id="26"/>
      <w:bookmarkStart w:id="27" w:name="_Hlt75236011"/>
      <w:bookmarkEnd w:id="27"/>
      <w:bookmarkStart w:id="28" w:name="_Hlt74730295"/>
      <w:bookmarkEnd w:id="28"/>
      <w:bookmarkStart w:id="29" w:name="_Hlt74714665"/>
      <w:bookmarkEnd w:id="29"/>
      <w:bookmarkStart w:id="30" w:name="_Hlt75236290"/>
      <w:bookmarkEnd w:id="30"/>
      <w:bookmarkStart w:id="31" w:name="_Hlt6807299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insoku/>
        <w:overflowPunct/>
        <w:topLinePunct w:val="0"/>
        <w:bidi w:val="0"/>
        <w:snapToGrid w:val="0"/>
        <w:spacing w:beforeLines="0" w:afterLines="0" w:line="400" w:lineRule="exact"/>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u w:val="wave"/>
        </w:rPr>
        <w:t>相关声明</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以下1-7条款如标段内另有说明的</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则按标内要求执行</w:t>
      </w:r>
      <w:r>
        <w:rPr>
          <w:rFonts w:hint="eastAsia" w:ascii="仿宋" w:hAnsi="仿宋" w:eastAsia="仿宋" w:cs="仿宋"/>
          <w:b/>
          <w:color w:val="auto"/>
          <w:sz w:val="24"/>
          <w:szCs w:val="24"/>
          <w:highlight w:val="none"/>
        </w:rPr>
        <w:t>。</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1.6所有货物到现场安装使用前，招标人将进行抽样检验或试验。</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395"/>
        <w:widowControl w:val="0"/>
        <w:kinsoku/>
        <w:overflowPunct/>
        <w:topLinePunct w:val="0"/>
        <w:bidi w:val="0"/>
        <w:spacing w:beforeLines="0" w:after="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395"/>
        <w:widowControl w:val="0"/>
        <w:kinsoku/>
        <w:overflowPunct/>
        <w:topLinePunct w:val="0"/>
        <w:bidi w:val="0"/>
        <w:spacing w:beforeLines="0" w:after="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如遇本次招标没有涉及的设备或服务时，由中标人提供申请，招标人确认后实施。</w:t>
      </w:r>
    </w:p>
    <w:p>
      <w:pPr>
        <w:pStyle w:val="395"/>
        <w:widowControl w:val="0"/>
        <w:kinsoku/>
        <w:overflowPunct/>
        <w:topLinePunct w:val="0"/>
        <w:bidi w:val="0"/>
        <w:spacing w:beforeLines="0" w:afterLines="0" w:line="400" w:lineRule="exact"/>
        <w:ind w:firstLine="480"/>
        <w:rPr>
          <w:rFonts w:hint="eastAsia" w:ascii="仿宋" w:hAnsi="仿宋" w:eastAsia="仿宋" w:cs="仿宋"/>
          <w:b/>
          <w:sz w:val="24"/>
          <w:szCs w:val="24"/>
          <w:highlight w:val="none"/>
        </w:rPr>
      </w:pPr>
      <w:r>
        <w:rPr>
          <w:rFonts w:hint="eastAsia" w:ascii="仿宋" w:hAnsi="仿宋" w:eastAsia="仿宋" w:cs="仿宋"/>
          <w:b/>
          <w:sz w:val="24"/>
          <w:szCs w:val="24"/>
          <w:highlight w:val="none"/>
        </w:rPr>
        <w:t>网络接入地点描述和实际地点可能存在偏差，中标人应按网络接入地点实际位置提供服务；</w:t>
      </w:r>
      <w:r>
        <w:rPr>
          <w:rFonts w:hint="eastAsia" w:ascii="仿宋" w:hAnsi="仿宋" w:eastAsia="仿宋" w:cs="仿宋"/>
          <w:b/>
          <w:sz w:val="24"/>
          <w:szCs w:val="24"/>
          <w:highlight w:val="none"/>
          <w:lang w:val="en-US" w:eastAsia="zh-CN"/>
        </w:rPr>
        <w:t>合同期内，</w:t>
      </w:r>
      <w:r>
        <w:rPr>
          <w:rFonts w:hint="eastAsia" w:ascii="仿宋" w:hAnsi="仿宋" w:eastAsia="仿宋" w:cs="仿宋"/>
          <w:b/>
          <w:sz w:val="24"/>
          <w:szCs w:val="24"/>
          <w:highlight w:val="none"/>
        </w:rPr>
        <w:t>中标人需要提供不少于合同线路总数</w:t>
      </w:r>
      <w:r>
        <w:rPr>
          <w:rFonts w:hint="eastAsia" w:ascii="仿宋" w:hAnsi="仿宋" w:eastAsia="仿宋" w:cs="仿宋"/>
          <w:b/>
          <w:sz w:val="24"/>
          <w:szCs w:val="24"/>
          <w:highlight w:val="none"/>
          <w:lang w:val="en-US" w:eastAsia="zh-CN"/>
        </w:rPr>
        <w:t>3</w:t>
      </w:r>
      <w:r>
        <w:rPr>
          <w:rFonts w:hint="eastAsia" w:ascii="仿宋" w:hAnsi="仿宋" w:eastAsia="仿宋" w:cs="仿宋"/>
          <w:b/>
          <w:sz w:val="24"/>
          <w:szCs w:val="24"/>
          <w:highlight w:val="none"/>
        </w:rPr>
        <w:t>%的50M MSTP电路作为</w:t>
      </w:r>
      <w:r>
        <w:rPr>
          <w:rFonts w:hint="eastAsia" w:ascii="仿宋" w:hAnsi="仿宋" w:eastAsia="仿宋" w:cs="仿宋"/>
          <w:b/>
          <w:sz w:val="24"/>
          <w:szCs w:val="24"/>
          <w:highlight w:val="none"/>
          <w:lang w:val="en-US" w:eastAsia="zh-CN"/>
        </w:rPr>
        <w:t>备品</w:t>
      </w:r>
      <w:r>
        <w:rPr>
          <w:rFonts w:hint="eastAsia" w:ascii="仿宋" w:hAnsi="仿宋" w:eastAsia="仿宋" w:cs="仿宋"/>
          <w:b/>
          <w:sz w:val="24"/>
          <w:szCs w:val="24"/>
          <w:highlight w:val="none"/>
        </w:rPr>
        <w:t>备件，必要时免费提供招标人使用。</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4.1中标人须对招标人的技术人员培训。投标人须在投标文件中提供详细的培训计划，包括培训内容、培训时间、培训费用等。</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5"/>
        <w:kinsoku/>
        <w:overflowPunct/>
        <w:topLinePunct w:val="0"/>
        <w:bidi w:val="0"/>
        <w:spacing w:beforeLines="0" w:afterLines="0" w:line="4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5.1投标人须提供经调试、试运行、验收合格后符合各标项的质保期(投标人可根据自身实力作出更长时间的质保承诺)。在此期间，投标人应免费处理因质量发生的故障，并进行正常保养。</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有固定的维修服务点，能提供正常的技术、备品备件服务。中标人在接到招标人通知后，24小时内派人赴现场处理设备质量问题。72小时内不能修复的，则无偿提供备机或备用零件供采购人使用。</w:t>
      </w:r>
    </w:p>
    <w:p>
      <w:pPr>
        <w:kinsoku/>
        <w:overflowPunct/>
        <w:topLinePunct w:val="0"/>
        <w:bidi w:val="0"/>
        <w:snapToGrid w:val="0"/>
        <w:spacing w:beforeLines="0" w:afterLines="0" w:line="400" w:lineRule="exact"/>
        <w:jc w:val="left"/>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6.1设备保修期内（各标项内已有要求的除外），如出现故障，中标人在接到电话24小时内到达采购人指定地点，</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pStyle w:val="5"/>
        <w:kinsoku/>
        <w:overflowPunct/>
        <w:topLinePunct w:val="0"/>
        <w:bidi w:val="0"/>
        <w:spacing w:beforeLines="0" w:afterLines="0" w:line="400" w:lineRule="exact"/>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6.3合同履行期间，如出现产品使用明显不符实际使用需求，且投标人无法提供可行解决方案的，招标人有权调整（中止）购买服务和维保租赁服务，由此产生的一切责任和后果由投标人承担。</w:t>
      </w:r>
    </w:p>
    <w:p>
      <w:pPr>
        <w:pStyle w:val="5"/>
        <w:kinsoku/>
        <w:overflowPunct/>
        <w:topLinePunct w:val="0"/>
        <w:bidi w:val="0"/>
        <w:spacing w:beforeLines="0" w:afterLines="0" w:line="400" w:lineRule="exact"/>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6.4合同调整（中止）后，合同款项结算按照争议和仲裁相关条款执行；待争议解决后，可签订补充协议或正式终止合同。</w:t>
      </w:r>
    </w:p>
    <w:p>
      <w:pPr>
        <w:pStyle w:val="5"/>
        <w:kinsoku/>
        <w:overflowPunct/>
        <w:topLinePunct w:val="0"/>
        <w:bidi w:val="0"/>
        <w:spacing w:beforeLines="0" w:afterLines="0" w:line="400" w:lineRule="exact"/>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6.5本项目涉及高速公路范围内施工、维护作业时，中标人为本项目安全管理责任人。</w:t>
      </w:r>
    </w:p>
    <w:p>
      <w:pPr>
        <w:pStyle w:val="5"/>
        <w:kinsoku/>
        <w:overflowPunct/>
        <w:topLinePunct w:val="0"/>
        <w:bidi w:val="0"/>
        <w:spacing w:beforeLines="0" w:afterLines="0" w:line="400" w:lineRule="exact"/>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6.6合同履约期间，中标人应当按照法律法规及高速公路管理部门的规定，执行施工审批报备制度，履行安全施工义务。</w:t>
      </w:r>
    </w:p>
    <w:p>
      <w:pPr>
        <w:pStyle w:val="5"/>
        <w:kinsoku/>
        <w:overflowPunct/>
        <w:topLinePunct w:val="0"/>
        <w:bidi w:val="0"/>
        <w:spacing w:beforeLines="0" w:afterLines="0" w:line="400" w:lineRule="exact"/>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6.7如因中标人未履行高速公路安全施工特别条款的，由此产生的一切责任和后果由中标人承担。</w:t>
      </w:r>
    </w:p>
    <w:p>
      <w:pPr>
        <w:kinsoku/>
        <w:overflowPunct/>
        <w:topLinePunct w:val="0"/>
        <w:bidi w:val="0"/>
        <w:snapToGrid w:val="0"/>
        <w:spacing w:beforeLines="0" w:afterLines="0" w:line="40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6.8如合同签订时间上和前期合同到期日</w:t>
      </w:r>
      <w:r>
        <w:rPr>
          <w:rFonts w:hint="eastAsia" w:ascii="仿宋" w:hAnsi="仿宋" w:eastAsia="仿宋" w:cs="仿宋"/>
          <w:b/>
          <w:sz w:val="24"/>
          <w:szCs w:val="24"/>
          <w:highlight w:val="none"/>
        </w:rPr>
        <w:t>（202</w:t>
      </w:r>
      <w:r>
        <w:rPr>
          <w:rFonts w:hint="eastAsia" w:ascii="仿宋" w:hAnsi="仿宋" w:eastAsia="仿宋" w:cs="仿宋"/>
          <w:b/>
          <w:sz w:val="24"/>
          <w:szCs w:val="24"/>
          <w:highlight w:val="none"/>
          <w:lang w:val="en-US" w:eastAsia="zh-CN"/>
        </w:rPr>
        <w:t>4</w:t>
      </w:r>
      <w:r>
        <w:rPr>
          <w:rFonts w:hint="eastAsia" w:ascii="仿宋" w:hAnsi="仿宋" w:eastAsia="仿宋" w:cs="仿宋"/>
          <w:b/>
          <w:sz w:val="24"/>
          <w:szCs w:val="24"/>
          <w:highlight w:val="none"/>
        </w:rPr>
        <w:t>年7月31日）</w:t>
      </w:r>
      <w:r>
        <w:rPr>
          <w:rFonts w:hint="eastAsia" w:ascii="仿宋" w:hAnsi="仿宋" w:eastAsia="仿宋" w:cs="仿宋"/>
          <w:b/>
          <w:sz w:val="24"/>
          <w:szCs w:val="24"/>
          <w:highlight w:val="none"/>
        </w:rPr>
        <w:t>存在时间差，原服务单位在上年度服务结束后至本合同签订之日前所提供的服务，费用按本次中标金额为基础计算，按天计费，相关费用由中标人支付给原服务单位。</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numPr>
          <w:ilvl w:val="0"/>
          <w:numId w:val="2"/>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招标项目设备名称及数量：</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rPr>
        <w:t>诸暨地区网络租赁（预算金额：</w:t>
      </w:r>
      <w:r>
        <w:rPr>
          <w:rFonts w:hint="eastAsia" w:ascii="仿宋" w:hAnsi="仿宋" w:eastAsia="仿宋" w:cs="仿宋"/>
          <w:b/>
          <w:color w:val="auto"/>
          <w:sz w:val="24"/>
          <w:szCs w:val="24"/>
          <w:highlight w:val="none"/>
          <w:lang w:val="en-US" w:eastAsia="zh-CN"/>
        </w:rPr>
        <w:t>422000</w:t>
      </w:r>
      <w:r>
        <w:rPr>
          <w:rFonts w:hint="eastAsia" w:ascii="仿宋" w:hAnsi="仿宋" w:eastAsia="仿宋" w:cs="仿宋"/>
          <w:b/>
          <w:color w:val="auto"/>
          <w:sz w:val="24"/>
          <w:szCs w:val="24"/>
          <w:highlight w:val="none"/>
        </w:rPr>
        <w:t>元）</w:t>
      </w:r>
    </w:p>
    <w:p>
      <w:pPr>
        <w:kinsoku/>
        <w:overflowPunct/>
        <w:topLinePunct w:val="0"/>
        <w:bidi w:val="0"/>
        <w:spacing w:beforeLines="0" w:afterLines="0" w:line="4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（1）采购清单</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1"/>
        <w:gridCol w:w="5113"/>
        <w:gridCol w:w="998"/>
        <w:gridCol w:w="801"/>
        <w:gridCol w:w="8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val="en-US" w:eastAsia="zh-CN" w:bidi="ar"/>
              </w:rPr>
              <w:t>序号</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val="en-US" w:eastAsia="zh-CN" w:bidi="ar"/>
              </w:rPr>
              <w:t>点位名称</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val="en-US" w:eastAsia="zh-CN" w:bidi="ar"/>
              </w:rPr>
              <w:t>类型</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val="en-US" w:eastAsia="zh-CN" w:bidi="ar"/>
              </w:rPr>
              <w:t>带宽</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default"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租期（月）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G60沪昆往江西方向0227K248M-6</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S26诸永往诸暨方向转G60江西方向枢纽</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S26诸永往诸暨方向转S24诸暨方向枢纽</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S26诸永往诸暨方向0008K019M-3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S26诸永往温州方向0013K029M-3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G60沪昆往江西方向转S26诸暨方向枢纽</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G60沪昆往上海方向0216K858M-5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S24绍诸往绍兴方向0086K065M-3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S24绍诸往诸暨方向0077K110M-3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S24绍诸往诸暨方向0087K920M-3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G60沪昆往江西方向0207K200M入市-5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G60沪昆往江西方向0213K645M-7</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G60沪昆往江西方向0227K248M-6</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G60沪昆往江西方向0243K374M-5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G60沪昆往江西方向0255K961M出市-5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G60沪昆往上海方向0206K270M出市-5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G60沪昆往上海方向0221K571M-5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G60沪昆往上海方向0228K857M-5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G60沪昆往上海方向0249K068M-5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G60沪昆往上海方向0244K889M-5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G60沪昆往江西方向转S24绍兴方向枢纽</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S26诸永往温州方向0002K044M-3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S26诸永往温州方向0007K035M-3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S26诸永往温州方向0021K817M-4</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S26诸永往温州方向0025K241M-3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S26诸永往温州方向0038K485M-3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S26诸永往温州方向0045K010M出市-3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S26诸永往诸暨方向0001K949M-3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S26诸永往诸暨方向0013K081M-3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S26诸永往诸暨方向0023K495M-4</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S26诸永往诸暨方向0025K840M-3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S26诸永往诸暨方向0039K073M-3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S26诸永往诸暨方向0045K000M入市-3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S24绍诸往绍兴方向0091K287M-3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S26诸永往温州方向0007KM诸暨北收费站出口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S26诸永往诸暨方向0007K430M诸暨北收费站出口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G60沪昆往上海方向0209K755M次坞收费站出口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S24绍诸往绍兴方向0090K000M安华收费站出口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G60沪昆往江西方向0211K320M-5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G60沪昆往江西方向0243K671M牌头收费站出口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S24绍诸往诸暨方向0083K700M牌头停车区入口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S24绍诸往绍兴方向0080K800M诸暨南收费站出口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S24绍诸往绍兴方向0075K410M-3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G60沪昆往上海方向0228K400M诸暨收费站出口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G60沪昆往江西方向0236K600M诸暨服务区入口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G60沪昆往江西方向0227K800M诸暨收费站出口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G60沪昆往江西方向0209K304M次坞收费站出口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S24绍诸往绍兴方向0084K000M牌头停车区入口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S24绍诸往诸暨方向0051K833M枫桥南收费站出口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S24绍诸往诸暨方向0090K300M安华收费站出口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S24绍诸往绍兴方向0074K400M街亭收费站出口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S24绍诸往绍兴方向0044K705M枫桥北收费站出口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S24绍诸往诸暨方向0073K045M-2</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S26诸永往诸暨方向0014K912M诸暨东收费站出口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S26诸永往温州方向0039K935M陈宅收费站出口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S26诸永往温州方向0019K520M诸暨服务区入口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S24绍诸往诸暨方向0073K960M街亭收费站出口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S24绍诸往诸暨方向0044K106M枫桥北收费站出口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S24绍诸往诸暨方向0079K779M-3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S24绍诸往诸暨方向0081K600M诸暨南收费站出口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S26诸永往温州方向0014K455M诸暨东收费站出口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S26诸永往温州方向0030K718M璜山收费站出口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S26诸永往温州方向0001K750M直埠收费站出口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64</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S26诸永往诸暨方向0001K701M直埠收费站出口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65</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S26诸永往诸暨方向0040K420M陈宅收费站出口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66</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S26诸永往诸暨方向0019K520M诸暨服务区入口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67</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G60沪昆往上海方向0243K887M牌头收费站出口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68</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S26诸永往诸暨方向0031K108M璜山收费站出口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69</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G60沪昆往上海方向0237K100M诸暨服务区入口</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70</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G60沪昆往上海方向0256K712M入市-5</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71</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S43西复线往诸暨方向0141K858M入市-3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S43西复线往杭州方向0141K506M出市-3</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73</w:t>
            </w:r>
          </w:p>
        </w:tc>
        <w:tc>
          <w:tcPr>
            <w:tcW w:w="5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G60沪昆高速公路上海方向248KM+900M</w:t>
            </w:r>
          </w:p>
        </w:tc>
        <w:tc>
          <w:tcPr>
            <w:tcW w:w="100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8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bl>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（2）技术要求</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★投标人应在投标文件中承诺：在项目合同期内，投标人将履行高速公路施工审批、报备和安全防护义务，现场施工符合《公路养护安全作业规程》JTG H30-2015、《道路标志和标线标准》GB5768-2017及《浙江省高速公路施工标准化管理设施细则》的要求，对高速公路施工安全风险承担一切责任。 </w:t>
      </w:r>
    </w:p>
    <w:p>
      <w:pPr>
        <w:kinsoku/>
        <w:overflowPunct/>
        <w:topLinePunct w:val="0"/>
        <w:bidi w:val="0"/>
        <w:spacing w:beforeLines="0" w:afterLines="0" w:line="40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▲实施要求：本次采购的租用服务除包括上述线路外，还应包括机房内跳纤、线路两侧必要广模块和其他需配齐以构成完成传输的辅材，清单中如有任何遗漏，由中标人免费补齐。</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▲单条MSTP端到端电路可用率大于99.9％，单条MSTP端到端电路误码率小于10E－7，电路延时每百公里小于0.5毫秒。</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（3）服务有效期</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12个月</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具体时间根据合同约定</w:t>
      </w:r>
      <w:r>
        <w:rPr>
          <w:rFonts w:hint="eastAsia" w:ascii="仿宋" w:hAnsi="仿宋" w:eastAsia="仿宋" w:cs="仿宋"/>
          <w:color w:val="000000"/>
          <w:sz w:val="24"/>
          <w:szCs w:val="24"/>
          <w:highlight w:val="none"/>
        </w:rPr>
        <w:t>。</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4</w:t>
      </w:r>
      <w:r>
        <w:rPr>
          <w:rFonts w:hint="eastAsia" w:ascii="仿宋" w:hAnsi="仿宋" w:eastAsia="仿宋" w:cs="仿宋"/>
          <w:b/>
          <w:color w:val="000000"/>
          <w:sz w:val="24"/>
          <w:szCs w:val="24"/>
          <w:highlight w:val="none"/>
        </w:rPr>
        <w:t>）运维服务响应</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运维服务响应时效以投标人做出的商务应标承诺为准。</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网络监测服务：专门设立维护支撑人员，对电路进行维护和管理；</w:t>
      </w:r>
      <w:r>
        <w:rPr>
          <w:rFonts w:hint="eastAsia" w:ascii="仿宋" w:hAnsi="仿宋" w:eastAsia="仿宋" w:cs="仿宋"/>
          <w:color w:val="000000"/>
          <w:sz w:val="24"/>
          <w:szCs w:val="24"/>
          <w:highlight w:val="none"/>
          <w:lang w:val="en-US" w:eastAsia="zh-CN"/>
        </w:rPr>
        <w:t>按月</w:t>
      </w: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，包括电路故障清单、故障发生时间和结束时间、故障的详细原因和考核扣款明细；网络检测服务需定期提交书面报告，投标人、采购人共同签字盖章后生效。</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）违约责任</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未按时完成交付，根据实际延期交付天数，每天缴纳合同总额3</w:t>
      </w:r>
      <w:r>
        <w:rPr>
          <w:rFonts w:hint="default" w:ascii="Arial" w:hAnsi="Arial" w:eastAsia="仿宋" w:cs="Arial"/>
          <w:color w:val="000000"/>
          <w:sz w:val="24"/>
          <w:szCs w:val="24"/>
          <w:highlight w:val="none"/>
          <w:lang w:val="en-US" w:eastAsia="zh-CN"/>
        </w:rPr>
        <w:t>‰</w:t>
      </w:r>
      <w:r>
        <w:rPr>
          <w:rFonts w:hint="eastAsia" w:ascii="Arial" w:hAnsi="Arial" w:eastAsia="仿宋" w:cs="Arial"/>
          <w:color w:val="000000"/>
          <w:sz w:val="24"/>
          <w:szCs w:val="24"/>
          <w:highlight w:val="none"/>
          <w:lang w:val="en-US" w:eastAsia="zh-CN"/>
        </w:rPr>
        <w:t>的违约金。</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网络故障超出承诺时间未恢复的，单点每次扣200元；超过24小时未修复的按照日均线路租赁费2倍扣罚违约金，无法按时交付的线路参照本条扣罚。</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未按承诺时间提供网络运行监测服务报告的，按照1000元/次扣罚违约金。</w:t>
      </w:r>
    </w:p>
    <w:p>
      <w:pPr>
        <w:pStyle w:val="519"/>
        <w:kinsoku/>
        <w:overflowPunct/>
        <w:topLinePunct w:val="0"/>
        <w:bidi w:val="0"/>
        <w:spacing w:beforeLines="0" w:afterLines="0" w:line="400" w:lineRule="exact"/>
        <w:ind w:firstLine="482"/>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6</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验收要求</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交付验收：供应商应在网络租赁服务生效之日前完成交付验收。交付验收须提供《网络电路开通交付报告》，交付报告应当提供线路计费编号、前端点位所在地、传输连续规格清单，并提供每条传输线路网络传输测试速率及证明截图。交付报告经过采购人确认后视为完成交付；租赁服务期生效后仍未完成交付的，供应商承担按照未按时交付违约责任。</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终验：合同履约完成后，供应商提交《验收报告》，附合同期内全部</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项目结算书</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供应商为按照投标承诺提供服务的、存在本标书规定违约责任行为的予以违约扣款</w:t>
      </w:r>
      <w:r>
        <w:rPr>
          <w:rFonts w:hint="eastAsia" w:ascii="仿宋" w:hAnsi="仿宋" w:eastAsia="仿宋" w:cs="仿宋"/>
          <w:color w:val="000000"/>
          <w:sz w:val="24"/>
          <w:szCs w:val="24"/>
          <w:highlight w:val="none"/>
        </w:rPr>
        <w:t>。</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采购人有权委托第三方检测机构对中标人交付的线路技术指标进行检测，相关检测费用由中标人承担。</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7</w:t>
      </w:r>
      <w:r>
        <w:rPr>
          <w:rFonts w:hint="eastAsia" w:ascii="仿宋" w:hAnsi="仿宋" w:eastAsia="仿宋" w:cs="仿宋"/>
          <w:b/>
          <w:color w:val="000000"/>
          <w:sz w:val="24"/>
          <w:szCs w:val="24"/>
          <w:highlight w:val="none"/>
        </w:rPr>
        <w:t>）付款方式</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按《浙江省财政厅关于进一步发挥政府采购政策 功能全力推动经济稳进提质的通知》（浙财采监〔2022〕3号）等文件要求执行，具体付款方式由双方协商后在合同中明确。</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02标</w:t>
      </w:r>
      <w:r>
        <w:rPr>
          <w:rFonts w:hint="eastAsia" w:ascii="仿宋" w:hAnsi="仿宋" w:eastAsia="仿宋" w:cs="仿宋"/>
          <w:b/>
          <w:color w:val="auto"/>
          <w:sz w:val="24"/>
          <w:szCs w:val="24"/>
          <w:highlight w:val="none"/>
        </w:rPr>
        <w:t>嵊州新昌地区网络租赁（预算金额：</w:t>
      </w:r>
      <w:r>
        <w:rPr>
          <w:rFonts w:hint="eastAsia" w:ascii="仿宋" w:hAnsi="仿宋" w:eastAsia="仿宋" w:cs="仿宋"/>
          <w:b/>
          <w:color w:val="auto"/>
          <w:sz w:val="24"/>
          <w:szCs w:val="24"/>
          <w:highlight w:val="none"/>
          <w:lang w:val="en-US" w:eastAsia="zh-CN"/>
        </w:rPr>
        <w:t>382000</w:t>
      </w:r>
      <w:r>
        <w:rPr>
          <w:rFonts w:hint="eastAsia" w:ascii="仿宋" w:hAnsi="仿宋" w:eastAsia="仿宋" w:cs="仿宋"/>
          <w:b/>
          <w:color w:val="auto"/>
          <w:sz w:val="24"/>
          <w:szCs w:val="24"/>
          <w:highlight w:val="none"/>
        </w:rPr>
        <w:t>元）</w:t>
      </w:r>
    </w:p>
    <w:p>
      <w:pPr>
        <w:numPr>
          <w:ilvl w:val="0"/>
          <w:numId w:val="3"/>
        </w:numPr>
        <w:kinsoku/>
        <w:overflowPunct/>
        <w:topLinePunct w:val="0"/>
        <w:bidi w:val="0"/>
        <w:spacing w:line="4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采购清单</w:t>
      </w:r>
    </w:p>
    <w:tbl>
      <w:tblPr>
        <w:tblStyle w:val="62"/>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8"/>
        <w:gridCol w:w="5046"/>
        <w:gridCol w:w="1060"/>
        <w:gridCol w:w="849"/>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序号</w:t>
            </w:r>
          </w:p>
        </w:tc>
        <w:tc>
          <w:tcPr>
            <w:tcW w:w="2979" w:type="pct"/>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点位名称</w:t>
            </w:r>
          </w:p>
        </w:tc>
        <w:tc>
          <w:tcPr>
            <w:tcW w:w="565" w:type="pct"/>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线路类型</w:t>
            </w:r>
          </w:p>
        </w:tc>
        <w:tc>
          <w:tcPr>
            <w:tcW w:w="565" w:type="pct"/>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带宽</w:t>
            </w:r>
          </w:p>
        </w:tc>
        <w:tc>
          <w:tcPr>
            <w:tcW w:w="565" w:type="pct"/>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租期</w:t>
            </w:r>
          </w:p>
          <w:p>
            <w:pPr>
              <w:widowControl/>
              <w:kinsoku/>
              <w:overflowPunct/>
              <w:topLinePunct w:val="0"/>
              <w:bidi w:val="0"/>
              <w:spacing w:beforeLines="0" w:afterLines="0" w:line="400" w:lineRule="exact"/>
              <w:jc w:val="center"/>
              <w:textAlignment w:val="center"/>
              <w:rPr>
                <w:rFonts w:hint="default"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鉴湖镇@鉴湖枢纽高位监控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上虞市@道墟镇@道墟枢纽高位监控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诸暨市@直埠镇@直埠高速枢纽北高位监控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诸暨市@绍兴市诸暨市城关镇@浣东互通枢纽高位监控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上虞市@道墟镇@道墟枢纽高位监控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鉴湖镇@鉴湖枢纽高位监控</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G1522常台往台州方向0229K300M嵊州服务区出口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G1522常台往江苏方向0229K400M嵊州服务区入口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G1522常台往台州方向0257K285M-3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G1522常台往江苏方向0254K128M-3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G1512甬金往宁波方向0071K035M-4</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G1512甬金往金华方向0079K634M-3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G1522常台往台州方向转G1512宁波方向枢纽</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G1512甬金往金华方向0062K133M-3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G1522常台往台州方向0233K270M三界收费站出口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G1522常台往江苏方向0245K450M嵊州收费站出口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G1522常台往台州方向0259K845M-4</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G1522常台往江苏方向0245K450M嵊州收费站出口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G1522常台往台州方向0255KM+281M-1</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G1522常台往台州方向0287K182M双彩收费站出口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G1522常台往江苏方向0287K460M双彩收费站出口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G1522常台往江苏方向0281K558M-1</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G1522常台往江苏方向0260K400M新昌收费站出口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G1512甬金往金华方向0044K500M入市-3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G1512甬金往金华方向0076K248M-3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G1512甬金往金华方向0085K653M-3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G1512甬金往金华方向0115K080M出市-3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G1512甬金往宁波方向0044K510M出市-4</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G1512甬金往宁波方向0077K728M-1</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G1512甬金往宁波方向0080K534M嵊州南收费站出口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G1512甬金往宁波方向0089K366M-3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G1512甬金往宁波方向0114K902M-4</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G1522常台往台州方向0228K800M嵊州服务区入口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G1522常台往江苏方向0256K221M-1</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G1522常台往台州方向0245K288M嵊州收费站出口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G1512甬金往金华方向0088K234M甘霖收费站出口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G1522常台往江苏方向0229K400M嵊州服务区入口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G1512甬金往金华方向0080K050M嵊州南收费站出口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G1512甬金往金华方向0076K655M-1</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G1512甬金往金华方向0071K046M-2</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G1512甬金往金华方向0062K500M嵊州服务区入口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G1522常台往台州方向0233K270M三界收费站出口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G1512甬金往金华方向0069K900M黄泽收费站出口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G1522常台往江苏方向0237K313M-3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G1512甬金往宁波方向0063K200M嵊州服务区入口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G1512甬金往宁波方向0101K738M长乐收费站出口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G1522常台往江苏方向0228K548M-2</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G1512甬金往宁波方向0088K650M甘霖收费站出口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G1522常台往台州方向0234K058M-2</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G1522常台往台州方向0228K545M-2</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G1512甬金往宁波方向0070K500M黄泽收费站出口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G1512甬金往金华方向0101K532M长乐收费站出口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G1522常台往台州方向0274K937M-3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G1522常台往江苏方向0268K300M新昌服务区入口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G1522常台往台州方向0267K900M新昌服务区入口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G1512甬金往宁波方向0043K200M沙溪收费站出口</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57</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S9苏绍往台州方向0166K202M-3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58</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S9苏绍往台州方向转G1512枢纽</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59</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S9苏绍往杭州方向0196K537M-3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S9苏绍往台州方向0114K741M-3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S9苏绍往杭州方向转G1512枢纽</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62</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S9苏绍往杭州方向0163K414M-3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63</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S9苏台往杭州方向0195K250M入市-3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64</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S9苏台往台州方向0196K730M出市-3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65</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G1522常台往江苏方向0290K268M入市-3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2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66</w:t>
            </w:r>
          </w:p>
        </w:tc>
        <w:tc>
          <w:tcPr>
            <w:tcW w:w="2979"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G1522常台往台州方向0291K546M出市-3</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65" w:type="pct"/>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687" w:type="dxa"/>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bl>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（2）技术要求</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★投标人应在投标文件中承诺：在项目合同期内，投标人将履行高速公路施工审批、报备和安全防护义务，现场施工符合《公路养护安全作业规程》JTG H30-2015、《道路标志和标线标准》GB5768-2017及《浙江省高速公路施工标准化管理设施细则》的要求，对高速公路施工安全风险承担一切责任。 </w:t>
      </w:r>
    </w:p>
    <w:p>
      <w:pPr>
        <w:kinsoku/>
        <w:overflowPunct/>
        <w:topLinePunct w:val="0"/>
        <w:bidi w:val="0"/>
        <w:spacing w:beforeLines="0" w:afterLines="0" w:line="40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▲实施要求：本次采购的租用服务除包括上述线路外，还应包括机房内跳纤、线路两侧必要广模块和其他需配齐以构成完成传输的辅材，清单中如有任何遗漏，由中标人免费补齐。</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▲单条MSTP端到端电路可用率大于99.9％，单条MSTP端到端电路误码率小于10E－7，电路延时每百公里小于0.5毫秒。</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（3）服务有效期</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12个月</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具体时间根据合同约定</w:t>
      </w:r>
      <w:r>
        <w:rPr>
          <w:rFonts w:hint="eastAsia" w:ascii="仿宋" w:hAnsi="仿宋" w:eastAsia="仿宋" w:cs="仿宋"/>
          <w:color w:val="000000"/>
          <w:sz w:val="24"/>
          <w:szCs w:val="24"/>
          <w:highlight w:val="none"/>
        </w:rPr>
        <w:t>。</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4</w:t>
      </w:r>
      <w:r>
        <w:rPr>
          <w:rFonts w:hint="eastAsia" w:ascii="仿宋" w:hAnsi="仿宋" w:eastAsia="仿宋" w:cs="仿宋"/>
          <w:b/>
          <w:color w:val="000000"/>
          <w:sz w:val="24"/>
          <w:szCs w:val="24"/>
          <w:highlight w:val="none"/>
        </w:rPr>
        <w:t>）运维服务响应</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运维服务响应时效以投标人做出的商务应标承诺为准。</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网络监测服务：专门设立维护支撑人员，对电路进行维护和管理；</w:t>
      </w:r>
      <w:r>
        <w:rPr>
          <w:rFonts w:hint="eastAsia" w:ascii="仿宋" w:hAnsi="仿宋" w:eastAsia="仿宋" w:cs="仿宋"/>
          <w:color w:val="000000"/>
          <w:sz w:val="24"/>
          <w:szCs w:val="24"/>
          <w:highlight w:val="none"/>
          <w:lang w:val="en-US" w:eastAsia="zh-CN"/>
        </w:rPr>
        <w:t>按月</w:t>
      </w: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，包括电路故障清单、故障发生时间和结束时间、故障的详细原因和考核扣款明细；网络检测服务需定期提交书面报告，投标人、采购人共同签字盖章后生效。</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）违约责任</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未按时完成交付，根据实际延期交付天数，每天缴纳合同总额3</w:t>
      </w:r>
      <w:r>
        <w:rPr>
          <w:rFonts w:hint="default" w:ascii="Arial" w:hAnsi="Arial" w:eastAsia="仿宋" w:cs="Arial"/>
          <w:color w:val="000000"/>
          <w:sz w:val="24"/>
          <w:szCs w:val="24"/>
          <w:highlight w:val="none"/>
          <w:lang w:val="en-US" w:eastAsia="zh-CN"/>
        </w:rPr>
        <w:t>‰</w:t>
      </w:r>
      <w:r>
        <w:rPr>
          <w:rFonts w:hint="eastAsia" w:ascii="Arial" w:hAnsi="Arial" w:eastAsia="仿宋" w:cs="Arial"/>
          <w:color w:val="000000"/>
          <w:sz w:val="24"/>
          <w:szCs w:val="24"/>
          <w:highlight w:val="none"/>
          <w:lang w:val="en-US" w:eastAsia="zh-CN"/>
        </w:rPr>
        <w:t>的违约金。</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网络故障超出承诺时间未恢复的，单点每次扣200元；超过24小时未修复的按照日均线路租赁费2倍扣罚违约金，无法按时交付的线路参照本条扣罚。</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未按承诺时间提供网络运行监测服务报告的，按照1000元/次扣罚违约金。</w:t>
      </w:r>
    </w:p>
    <w:p>
      <w:pPr>
        <w:pStyle w:val="519"/>
        <w:kinsoku/>
        <w:overflowPunct/>
        <w:topLinePunct w:val="0"/>
        <w:bidi w:val="0"/>
        <w:spacing w:beforeLines="0" w:afterLines="0" w:line="400" w:lineRule="exact"/>
        <w:ind w:firstLine="482"/>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6</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验收要求</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交付验收：供应商应在网络租赁服务生效之日前完成交付验收。交付验收须提供《网络电路开通交付报告》，交付报告应当提供线路计费编号、前端点位所在地、传输连续规格清单，并提供每条传输线路网络传输测试速率及证明截图。交付报告经过采购人确认后视为完成交付；租赁服务期生效后仍未完成交付的，供应商承担按照未按时交付违约责任。</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终验：合同履约完成后，供应商提交《验收报告》，附合同期内全部</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项目结算书</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供应商为按照投标承诺提供服务的、存在本标书规定违约责任行为的予以违约扣款</w:t>
      </w:r>
      <w:r>
        <w:rPr>
          <w:rFonts w:hint="eastAsia" w:ascii="仿宋" w:hAnsi="仿宋" w:eastAsia="仿宋" w:cs="仿宋"/>
          <w:color w:val="000000"/>
          <w:sz w:val="24"/>
          <w:szCs w:val="24"/>
          <w:highlight w:val="none"/>
        </w:rPr>
        <w:t>。</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采购人有权委托第三方检测机构对中标人交付的线路技术指标进行检测，相关检测费用由中标人承担。</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8</w:t>
      </w:r>
      <w:r>
        <w:rPr>
          <w:rFonts w:hint="eastAsia" w:ascii="仿宋" w:hAnsi="仿宋" w:eastAsia="仿宋" w:cs="仿宋"/>
          <w:b/>
          <w:color w:val="000000"/>
          <w:sz w:val="24"/>
          <w:szCs w:val="24"/>
          <w:highlight w:val="none"/>
        </w:rPr>
        <w:t>）付款方式</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按《浙江省财政厅关于进一步发挥政府采购政策 功能全力推动经济稳进提质的通知》（浙财采监〔2022〕3号）等文件要求执行，具体付款方式由双方协商后在合同中明确。</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03标</w:t>
      </w:r>
      <w:r>
        <w:rPr>
          <w:rFonts w:hint="eastAsia" w:ascii="仿宋" w:hAnsi="仿宋" w:eastAsia="仿宋" w:cs="仿宋"/>
          <w:b/>
          <w:color w:val="auto"/>
          <w:sz w:val="24"/>
          <w:szCs w:val="24"/>
          <w:highlight w:val="none"/>
        </w:rPr>
        <w:t>市本级地区网络租赁（预算金额：</w:t>
      </w:r>
      <w:r>
        <w:rPr>
          <w:rFonts w:hint="eastAsia" w:ascii="仿宋" w:hAnsi="仿宋" w:eastAsia="仿宋" w:cs="仿宋"/>
          <w:b/>
          <w:color w:val="auto"/>
          <w:sz w:val="24"/>
          <w:szCs w:val="24"/>
          <w:highlight w:val="none"/>
          <w:lang w:val="en-US" w:eastAsia="zh-CN"/>
        </w:rPr>
        <w:t>460000</w:t>
      </w:r>
      <w:r>
        <w:rPr>
          <w:rFonts w:hint="eastAsia" w:ascii="仿宋" w:hAnsi="仿宋" w:eastAsia="仿宋" w:cs="仿宋"/>
          <w:b/>
          <w:color w:val="auto"/>
          <w:sz w:val="24"/>
          <w:szCs w:val="24"/>
          <w:highlight w:val="none"/>
        </w:rPr>
        <w:t>元）</w:t>
      </w:r>
    </w:p>
    <w:p>
      <w:pPr>
        <w:kinsoku/>
        <w:overflowPunct/>
        <w:topLinePunct w:val="0"/>
        <w:bidi w:val="0"/>
        <w:spacing w:beforeLines="0" w:afterLines="0" w:line="4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（1）采购清单</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5"/>
        <w:gridCol w:w="5143"/>
        <w:gridCol w:w="991"/>
        <w:gridCol w:w="857"/>
        <w:gridCol w:w="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序号</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点位名称</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类型</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带宽</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overflowPunct/>
              <w:topLinePunct w:val="0"/>
              <w:bidi w:val="0"/>
              <w:spacing w:beforeLines="0" w:afterLines="0" w:line="400" w:lineRule="exact"/>
              <w:jc w:val="center"/>
              <w:textAlignment w:val="center"/>
              <w:rPr>
                <w:rFonts w:hint="default"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租期（月）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联通IDC机房</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1000M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G92杭州湾环线往宁波方向0211K750M-4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G92杭州湾环线往上海方向0206K495M-4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G92杭州湾环线往上海方向0233K453M沽渚枢纽入口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G92杭州湾环线往上海方向0230K665M-4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G92杭州湾环线往上海方向0233K736M-5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G1522常台往台州方向0193K123M-5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G1522常台往台州方向0201K740M-5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S24绍诸往诸暨方向0055K613M-4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S24绍诸往诸暨方向0000K000M道墟收费站入口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S24绍诸往诸暨方向0002K809M-3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S24绍诸往绍兴方向0056K705M-3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G92杭州湾环线往上海方向0215K493M绍兴收费站出口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30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G92杭州湾环线往上海方向0204K900M出市-4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G1522常台往江苏方向0195K318M-1</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30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G92杭州湾环线往上海方向0252K750M入市-4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G92杭州湾环线往上海方向0206K162M柯桥收费站出口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G92杭州湾环线往上海方向0210K300M齐贤枢纽入口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S24绍诸往诸暨方向0006K810M-3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S24绍诸往诸暨方向0017K505M-3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S24绍诸往诸暨方向0021K098M-4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S24绍诸往诸暨方向0036K398M-4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S24绍诸往诸暨方向0050K191M-3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S24绍诸往绍兴方向0013K248M-3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S24绍诸往绍兴方向0021K990M-4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S24绍诸往绍兴方向0038K369M-4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S24绍诸往绍兴方向0045K848M-3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G1522常台往台州方向0173K765M-6</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G1522常台往江苏方向0177K285M-6</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G1522常台往台州方向0201K698M东关收费站出口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G1522常台往台州方向0207K980M蒿坝收费站出口-2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G1522常台往台州方向0216K242M上浦收费站出口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G1522常台往台州方向0225K278M章镇收费站出口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G1522常台往江苏方向0225K788M章镇收费站出口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G1522常台往江苏方向0207K280M蒿坝收费站出口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G1522常台往江苏方向0216K622M上浦收费站出口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G1522常台往台州方向0188K048M-6</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G1522常台往江苏方向0188K061M-5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G92杭州湾环线往宁波方向0236K090M-3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G92杭州湾环线往宁波方向0250K908M出市-3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G1522常台往江苏方向0180K200M滨海北收费站出口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G1522常台往台州方向0189K100M滨海南收费站出口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G1522常台往台州方向0179K200M滨海北收费站出口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G92杭州湾环线往宁波方向0244K161M上虞收费站出口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G1522常台往江苏方向转S24诸暨方向枢纽</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G1522常台往江苏方向0189K450M滨海南收费站出口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S24绍诸往绍兴方向0011K800M富盛收费站出口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G1522常台往江苏方向0179KM+500M嘉绍南服务区</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S24绍诸往诸暨方向0005K259M陶堰收费站出口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G1522常台往江苏方向转杭州湾环线0195KM-2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G1522常台往台州方向0179K500M嘉绍南服务区入口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S24绍诸往诸暨方向0027K700M鉴湖服务区入口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G92杭州湾环线往上海方向转G1522常台枢纽</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G92杭州湾环线往上海方向0244K832M上虞收费站出口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G1522常台往江苏方向0202K300M东关收费站出口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G92杭州湾环线往宁波方向0232K500M-2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S24绍诸往诸暨方向0031K000M兰亭收费站出口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S24绍诸往诸暨方向0010K098M富盛收费站出口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S24绍诸往绍兴方向0019K200M平水收费站出口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S24绍诸往诸暨方向0018K600M平水收费站出口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S24绍诸往绍兴方向0005K542M陶堰收费站出口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G92杭州湾环线往宁波方向0218K673M绍兴服务区入口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G92杭州湾环线往上海方向0218K145M绍兴服务区入口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64</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S24绍诸往绍兴方向0031K778M兰亭收费站出口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65</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G92杭州湾环线往宁波方向0231K677沽渚枢纽入口-3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66</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G92杭州湾环线往宁波方向0215K317M绍兴收费站出口</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67</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G1522常台往江苏方向0225K752M-3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68</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G1522常台往江苏方向0216K600M-3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69</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S24绍诸往绍兴方向0028KM+805M</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70</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S24绍诸往诸暨方向0025KM+896M</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71</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S9苏绍往台州方向0084KM+630M-3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S9苏绍往台州方向0090KM+720M-3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73</w:t>
            </w:r>
          </w:p>
        </w:tc>
        <w:tc>
          <w:tcPr>
            <w:tcW w:w="3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S9苏绍往台州方向0092KM+780M-3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MSTP</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50M</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overflowPunct/>
              <w:topLinePunct w:val="0"/>
              <w:bidi w:val="0"/>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r>
    </w:tbl>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（2）技术要求</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★投标人应在投标文件中承诺：在项目合同期内，投标人将履行高速公路施工审批、报备和安全防护义务，现场施工符合《公路养护安全作业规程》JTG H30-2015、《道路标志和标线标准》GB5768-2017及《浙江省高速公路施工标准化管理设施细则》的要求，对高速公路施工安全风险承担一切责任。 </w:t>
      </w:r>
    </w:p>
    <w:p>
      <w:pPr>
        <w:kinsoku/>
        <w:overflowPunct/>
        <w:topLinePunct w:val="0"/>
        <w:bidi w:val="0"/>
        <w:spacing w:beforeLines="0" w:afterLines="0" w:line="40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▲实施要求：本次采购的租用服务除包括上述线路外，还应包括机房内跳纤、线路两侧必要广模块和其他需配齐以构成完成传输的辅材，清单中如有任何遗漏，由中标人免费补齐。</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▲单条MSTP端到端电路可用率大于99.9％，单条MSTP端到端电路误码率小于10E－7，电路延时每百公里小于0.5毫秒。</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（3）服务有效期</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12个月</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具体时间根据合同约定</w:t>
      </w:r>
      <w:r>
        <w:rPr>
          <w:rFonts w:hint="eastAsia" w:ascii="仿宋" w:hAnsi="仿宋" w:eastAsia="仿宋" w:cs="仿宋"/>
          <w:color w:val="000000"/>
          <w:sz w:val="24"/>
          <w:szCs w:val="24"/>
          <w:highlight w:val="none"/>
        </w:rPr>
        <w:t>。</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4</w:t>
      </w:r>
      <w:r>
        <w:rPr>
          <w:rFonts w:hint="eastAsia" w:ascii="仿宋" w:hAnsi="仿宋" w:eastAsia="仿宋" w:cs="仿宋"/>
          <w:b/>
          <w:color w:val="000000"/>
          <w:sz w:val="24"/>
          <w:szCs w:val="24"/>
          <w:highlight w:val="none"/>
        </w:rPr>
        <w:t>）运维服务响应</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运维服务响应时效以投标人做出的商务应标承诺为准。</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网络监测服务：专门设立维护支撑人员，对电路进行维护和管理；</w:t>
      </w:r>
      <w:r>
        <w:rPr>
          <w:rFonts w:hint="eastAsia" w:ascii="仿宋" w:hAnsi="仿宋" w:eastAsia="仿宋" w:cs="仿宋"/>
          <w:color w:val="000000"/>
          <w:sz w:val="24"/>
          <w:szCs w:val="24"/>
          <w:highlight w:val="none"/>
          <w:lang w:val="en-US" w:eastAsia="zh-CN"/>
        </w:rPr>
        <w:t>按月</w:t>
      </w: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，包括电路故障清单、故障发生时间和结束时间、故障的详细原因和考核扣款明细；网络检测服务需定期提交书面报告，投标人、采购人共同签字盖章后生效。</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）违约责任</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未按时完成交付，根据实际延期交付天数，每天缴纳合同总额3</w:t>
      </w:r>
      <w:r>
        <w:rPr>
          <w:rFonts w:hint="default" w:ascii="Arial" w:hAnsi="Arial" w:eastAsia="仿宋" w:cs="Arial"/>
          <w:color w:val="000000"/>
          <w:sz w:val="24"/>
          <w:szCs w:val="24"/>
          <w:highlight w:val="none"/>
          <w:lang w:val="en-US" w:eastAsia="zh-CN"/>
        </w:rPr>
        <w:t>‰</w:t>
      </w:r>
      <w:r>
        <w:rPr>
          <w:rFonts w:hint="eastAsia" w:ascii="Arial" w:hAnsi="Arial" w:eastAsia="仿宋" w:cs="Arial"/>
          <w:color w:val="000000"/>
          <w:sz w:val="24"/>
          <w:szCs w:val="24"/>
          <w:highlight w:val="none"/>
          <w:lang w:val="en-US" w:eastAsia="zh-CN"/>
        </w:rPr>
        <w:t>的违约金。</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网络故障超出承诺时间未恢复的，单点每次扣200元；超过24小时未修复的按照日均线路租赁费2倍扣罚违约金，无法按时交付的线路参照本条扣罚。</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未按承诺时间提供网络运行监测服务报告的，按照1000元/次扣罚违约金。</w:t>
      </w:r>
    </w:p>
    <w:p>
      <w:pPr>
        <w:pStyle w:val="519"/>
        <w:kinsoku/>
        <w:overflowPunct/>
        <w:topLinePunct w:val="0"/>
        <w:bidi w:val="0"/>
        <w:spacing w:beforeLines="0" w:afterLines="0" w:line="400" w:lineRule="exact"/>
        <w:ind w:firstLine="482"/>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6</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验收要求</w:t>
      </w:r>
    </w:p>
    <w:p>
      <w:pPr>
        <w:widowControl/>
        <w:numPr>
          <w:ilvl w:val="0"/>
          <w:numId w:val="0"/>
        </w:numPr>
        <w:kinsoku/>
        <w:overflowPunct/>
        <w:topLinePunct w:val="0"/>
        <w:bidi w:val="0"/>
        <w:spacing w:beforeLines="0" w:afterLines="0" w:line="400" w:lineRule="exact"/>
        <w:ind w:firstLine="480" w:firstLineChars="200"/>
        <w:jc w:val="left"/>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交付验收：供应商应在网络租赁服务生效之日前完成交付验收。交付验收须提供《网络电路开通交付报告》，交付报告应当提供线路计费编号、前端点位所在地、传输连续规格清单，并提供每条传输线路网络传输测试速率及证明截图。交付报告经过采购人确认后视为完成交付；租赁服务期生效后仍未完成交付的，供应商承担按照未按时交付违约责任。</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终验：合同履约完成后，供应商提交《验收报告》，附合同期内全部</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网络运行报告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及</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项目结算书</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供应商为按照投标承诺提供服务的、存在本标书规定违约责任行为的予以违约扣款</w:t>
      </w:r>
      <w:r>
        <w:rPr>
          <w:rFonts w:hint="eastAsia" w:ascii="仿宋" w:hAnsi="仿宋" w:eastAsia="仿宋" w:cs="仿宋"/>
          <w:color w:val="000000"/>
          <w:sz w:val="24"/>
          <w:szCs w:val="24"/>
          <w:highlight w:val="none"/>
        </w:rPr>
        <w:t>。</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采购人有权委托第三方检测机构对中标人交付的线路技术指标进行检测，相关检测费用由中标人承担。</w:t>
      </w:r>
    </w:p>
    <w:p>
      <w:pPr>
        <w:pStyle w:val="519"/>
        <w:kinsoku/>
        <w:overflowPunct/>
        <w:topLinePunct w:val="0"/>
        <w:bidi w:val="0"/>
        <w:spacing w:beforeLines="0" w:afterLines="0" w:line="400" w:lineRule="exact"/>
        <w:ind w:firstLine="48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7</w:t>
      </w:r>
      <w:r>
        <w:rPr>
          <w:rFonts w:hint="eastAsia" w:ascii="仿宋" w:hAnsi="仿宋" w:eastAsia="仿宋" w:cs="仿宋"/>
          <w:b/>
          <w:color w:val="000000"/>
          <w:sz w:val="24"/>
          <w:szCs w:val="24"/>
          <w:highlight w:val="none"/>
        </w:rPr>
        <w:t>）付款方式</w:t>
      </w:r>
    </w:p>
    <w:p>
      <w:pPr>
        <w:widowControl/>
        <w:numPr>
          <w:ilvl w:val="0"/>
          <w:numId w:val="0"/>
        </w:num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jc w:val="center"/>
        <w:rPr>
          <w:rFonts w:hint="eastAsia" w:ascii="仿宋" w:hAnsi="仿宋" w:eastAsia="仿宋" w:cs="仿宋"/>
          <w:b/>
          <w:color w:val="auto"/>
          <w:sz w:val="28"/>
          <w:szCs w:val="28"/>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overflowPunct/>
        <w:topLinePunct w:val="0"/>
        <w:bidi w:val="0"/>
        <w:spacing w:line="400" w:lineRule="exact"/>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overflowPunct/>
        <w:topLinePunct w:val="0"/>
        <w:bidi w:val="0"/>
        <w:spacing w:before="120" w:line="400" w:lineRule="exact"/>
        <w:rPr>
          <w:rFonts w:hint="eastAsia" w:ascii="仿宋" w:hAnsi="仿宋" w:eastAsia="仿宋" w:cs="仿宋"/>
          <w:color w:val="auto"/>
          <w:sz w:val="24"/>
          <w:highlight w:val="none"/>
        </w:rPr>
      </w:pPr>
    </w:p>
    <w:p>
      <w:pPr>
        <w:pStyle w:val="3"/>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overflowPunct/>
        <w:topLinePunct w:val="0"/>
        <w:bidi w:val="0"/>
        <w:spacing w:before="120" w:line="400" w:lineRule="exact"/>
        <w:rPr>
          <w:rFonts w:hint="eastAsia" w:ascii="仿宋" w:hAnsi="仿宋" w:eastAsia="仿宋" w:cs="仿宋"/>
          <w:color w:val="auto"/>
          <w:szCs w:val="24"/>
          <w:highlight w:val="none"/>
        </w:rPr>
      </w:pPr>
    </w:p>
    <w:p>
      <w:pPr>
        <w:pStyle w:val="597"/>
        <w:kinsoku/>
        <w:overflowPunct/>
        <w:topLinePunct w:val="0"/>
        <w:bidi w:val="0"/>
        <w:spacing w:before="120" w:line="400" w:lineRule="exact"/>
        <w:rPr>
          <w:rFonts w:hint="eastAsia" w:ascii="仿宋" w:hAnsi="仿宋" w:eastAsia="仿宋" w:cs="仿宋"/>
          <w:color w:val="auto"/>
          <w:szCs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overflowPunct/>
        <w:topLinePunct w:val="0"/>
        <w:bidi w:val="0"/>
        <w:spacing w:line="400" w:lineRule="exact"/>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pPr>
        <w:kinsoku/>
        <w:overflowPunct/>
        <w:topLinePunct w:val="0"/>
        <w:bidi w:val="0"/>
        <w:spacing w:line="400" w:lineRule="exact"/>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22967"/>
      <w:bookmarkStart w:id="40" w:name="_Toc15367"/>
      <w:bookmarkStart w:id="41" w:name="_Toc19273"/>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773"/>
      <w:bookmarkStart w:id="45" w:name="_Toc22185"/>
      <w:bookmarkStart w:id="46" w:name="_Toc6311"/>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21124"/>
      <w:bookmarkStart w:id="50" w:name="_Toc5635"/>
      <w:bookmarkStart w:id="51" w:name="_Toc13918"/>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26916"/>
      <w:bookmarkStart w:id="55" w:name="_Toc3654"/>
      <w:bookmarkStart w:id="56" w:name="_Toc14993"/>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0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4760"/>
      <w:bookmarkStart w:id="62" w:name="_Toc11108"/>
      <w:bookmarkStart w:id="63" w:name="_Toc8772"/>
      <w:bookmarkStart w:id="64" w:name="_Toc3625"/>
      <w:bookmarkStart w:id="65" w:name="_Toc31421"/>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5698"/>
      <w:bookmarkStart w:id="68" w:name="_Toc3079"/>
      <w:bookmarkStart w:id="69" w:name="_Toc2375"/>
      <w:bookmarkStart w:id="70" w:name="_Toc8586"/>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30329"/>
      <w:bookmarkStart w:id="73" w:name="_Toc18683"/>
      <w:bookmarkStart w:id="74" w:name="_Toc26807"/>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15583"/>
      <w:bookmarkStart w:id="78" w:name="_Toc28375"/>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11173"/>
      <w:bookmarkStart w:id="81" w:name="_Toc7245"/>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overflowPunct/>
        <w:topLinePunct w:val="0"/>
        <w:bidi w:val="0"/>
        <w:adjustRightInd/>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overflowPunct/>
        <w:topLinePunct w:val="0"/>
        <w:bidi w:val="0"/>
        <w:spacing w:line="40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25079"/>
      <w:bookmarkStart w:id="85" w:name="_Toc14021"/>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7" w:name="_Toc3769"/>
      <w:bookmarkStart w:id="88" w:name="_Toc19539"/>
      <w:bookmarkStart w:id="89" w:name="_Toc23289"/>
      <w:bookmarkStart w:id="90" w:name="_Toc31402"/>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2" w:name="_Toc12412"/>
      <w:bookmarkStart w:id="93" w:name="_Toc9161"/>
      <w:bookmarkStart w:id="94" w:name="_Toc27945"/>
      <w:bookmarkStart w:id="95" w:name="_Toc13673"/>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7" w:name="_Toc22011"/>
      <w:bookmarkStart w:id="98" w:name="_Toc26555"/>
      <w:bookmarkStart w:id="99" w:name="_Toc15447"/>
      <w:bookmarkStart w:id="100" w:name="_Toc32670"/>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2" w:name="_Toc16163"/>
      <w:bookmarkStart w:id="103" w:name="_Toc13467"/>
      <w:bookmarkStart w:id="104" w:name="_Toc13154"/>
      <w:bookmarkStart w:id="105" w:name="_Toc18990"/>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10663"/>
      <w:bookmarkStart w:id="112" w:name="_Toc26689"/>
      <w:bookmarkStart w:id="113" w:name="_Toc42"/>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4720"/>
      <w:bookmarkStart w:id="117" w:name="_Toc14371"/>
      <w:bookmarkStart w:id="118" w:name="_Toc26633"/>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23854"/>
      <w:bookmarkStart w:id="122" w:name="_Toc24465"/>
      <w:bookmarkStart w:id="123" w:name="_Toc1411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26883"/>
      <w:bookmarkStart w:id="127" w:name="_Toc7315"/>
      <w:bookmarkStart w:id="128" w:name="_Toc25525"/>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6" w:name="_Toc9808"/>
      <w:bookmarkStart w:id="137" w:name="_Toc2308"/>
      <w:bookmarkStart w:id="138" w:name="_Toc31892"/>
      <w:bookmarkStart w:id="139" w:name="_Toc2519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pPr>
        <w:kinsoku/>
        <w:overflowPunct/>
        <w:topLinePunct w:val="0"/>
        <w:bidi w:val="0"/>
        <w:spacing w:line="40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12254"/>
      <w:bookmarkStart w:id="145" w:name="_Toc27644"/>
      <w:bookmarkStart w:id="146" w:name="_Toc5063"/>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51" w:name="_Toc10330"/>
      <w:bookmarkStart w:id="152" w:name="_Toc12773"/>
      <w:bookmarkStart w:id="153" w:name="_Toc259093692"/>
      <w:bookmarkStart w:id="154" w:name="_Toc487900373"/>
      <w:bookmarkStart w:id="155" w:name="_Toc18567"/>
      <w:bookmarkStart w:id="156" w:name="_Toc27970126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bl>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p>
      <w:pPr>
        <w:kinsoku/>
        <w:overflowPunct/>
        <w:topLinePunct w:val="0"/>
        <w:bidi w:val="0"/>
        <w:spacing w:line="400" w:lineRule="exact"/>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insoku/>
        <w:overflowPunct/>
        <w:topLinePunct w:val="0"/>
        <w:bidi w:val="0"/>
        <w:spacing w:beforeLines="0" w:afterLines="0" w:line="400" w:lineRule="exact"/>
        <w:jc w:val="lef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1、评标方法：</w:t>
      </w:r>
    </w:p>
    <w:p>
      <w:pPr>
        <w:kinsoku/>
        <w:overflowPunct/>
        <w:topLinePunct w:val="0"/>
        <w:bidi w:val="0"/>
        <w:spacing w:beforeLines="0" w:afterLines="0" w:line="400" w:lineRule="exact"/>
        <w:ind w:firstLine="480" w:firstLineChars="200"/>
        <w:jc w:val="left"/>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insoku/>
        <w:overflowPunct/>
        <w:topLinePunct w:val="0"/>
        <w:bidi w:val="0"/>
        <w:spacing w:beforeLines="0" w:afterLines="0" w:line="400" w:lineRule="exact"/>
        <w:ind w:firstLine="472" w:firstLineChars="196"/>
        <w:jc w:val="lef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overflowPunct/>
        <w:topLinePunct w:val="0"/>
        <w:bidi w:val="0"/>
        <w:spacing w:beforeLines="0" w:afterLines="0" w:line="400" w:lineRule="exact"/>
        <w:ind w:firstLine="482" w:firstLineChars="200"/>
        <w:jc w:val="left"/>
        <w:rPr>
          <w:rFonts w:hint="eastAsia" w:ascii="仿宋_GB2312" w:hAnsi="仿宋" w:eastAsia="仿宋_GB2312" w:cs="仿宋"/>
          <w:color w:val="auto"/>
          <w:sz w:val="24"/>
          <w:szCs w:val="24"/>
          <w:highlight w:val="none"/>
        </w:rPr>
      </w:pPr>
      <w:r>
        <w:rPr>
          <w:rFonts w:hint="eastAsia" w:ascii="仿宋_GB2312" w:hAnsi="仿宋" w:eastAsia="仿宋_GB2312" w:cs="仿宋"/>
          <w:b/>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pPr>
        <w:kinsoku/>
        <w:overflowPunct/>
        <w:topLinePunct w:val="0"/>
        <w:bidi w:val="0"/>
        <w:spacing w:beforeLines="0" w:afterLines="0" w:line="400" w:lineRule="exact"/>
        <w:jc w:val="left"/>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2.评分标准：</w:t>
      </w:r>
      <w:r>
        <w:rPr>
          <w:rFonts w:hint="eastAsia" w:ascii="仿宋_GB2312" w:hAnsi="宋体" w:eastAsia="仿宋_GB2312"/>
          <w:color w:val="auto"/>
          <w:sz w:val="24"/>
          <w:szCs w:val="24"/>
          <w:highlight w:val="none"/>
        </w:rPr>
        <w:t>共100分，其中商务技术分</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0分，价格分</w:t>
      </w:r>
      <w:r>
        <w:rPr>
          <w:rFonts w:hint="eastAsia" w:ascii="仿宋_GB2312" w:hAnsi="宋体" w:eastAsia="仿宋_GB2312"/>
          <w:color w:val="auto"/>
          <w:sz w:val="24"/>
          <w:szCs w:val="24"/>
          <w:highlight w:val="none"/>
          <w:lang w:val="en-US" w:eastAsia="zh-CN"/>
        </w:rPr>
        <w:t>6</w:t>
      </w:r>
      <w:r>
        <w:rPr>
          <w:rFonts w:hint="eastAsia" w:ascii="仿宋_GB2312" w:hAnsi="宋体" w:eastAsia="仿宋_GB2312"/>
          <w:color w:val="auto"/>
          <w:sz w:val="24"/>
          <w:szCs w:val="24"/>
          <w:highlight w:val="none"/>
        </w:rPr>
        <w:t>0分。评分依下述所列为评标打分依据，分值如下（计算分值时，按其算术平均值保留小数2位）。</w:t>
      </w:r>
    </w:p>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2.1商务技术分（</w:t>
      </w:r>
      <w:r>
        <w:rPr>
          <w:rFonts w:hint="eastAsia" w:ascii="仿宋_GB2312" w:hAnsi="宋体" w:eastAsia="仿宋_GB2312"/>
          <w:b/>
          <w:color w:val="auto"/>
          <w:sz w:val="24"/>
          <w:szCs w:val="24"/>
          <w:highlight w:val="none"/>
          <w:lang w:val="en-US" w:eastAsia="zh-CN"/>
        </w:rPr>
        <w:t>4</w:t>
      </w:r>
      <w:r>
        <w:rPr>
          <w:rFonts w:hint="eastAsia" w:ascii="仿宋_GB2312" w:hAnsi="宋体" w:eastAsia="仿宋_GB2312"/>
          <w:b/>
          <w:color w:val="auto"/>
          <w:sz w:val="24"/>
          <w:szCs w:val="24"/>
          <w:highlight w:val="none"/>
        </w:rPr>
        <w:t>0分）</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69"/>
        <w:gridCol w:w="6641"/>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2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000000"/>
                <w:sz w:val="21"/>
                <w:szCs w:val="21"/>
                <w:highlight w:val="none"/>
              </w:rPr>
            </w:pPr>
            <w:r>
              <w:rPr>
                <w:rFonts w:hint="eastAsia" w:ascii="仿宋" w:hAnsi="仿宋" w:eastAsia="仿宋" w:cs="仿宋"/>
                <w:b/>
                <w:color w:val="auto"/>
                <w:kern w:val="0"/>
                <w:sz w:val="24"/>
                <w:szCs w:val="24"/>
                <w:highlight w:val="none"/>
              </w:rPr>
              <w:t>序号</w:t>
            </w:r>
          </w:p>
        </w:tc>
        <w:tc>
          <w:tcPr>
            <w:tcW w:w="116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ind w:right="2"/>
              <w:jc w:val="center"/>
              <w:rPr>
                <w:rFonts w:hint="eastAsia" w:ascii="仿宋" w:hAnsi="仿宋" w:eastAsia="仿宋" w:cs="仿宋"/>
                <w:b/>
                <w:color w:val="000000"/>
                <w:sz w:val="21"/>
                <w:szCs w:val="21"/>
                <w:highlight w:val="none"/>
              </w:rPr>
            </w:pPr>
            <w:r>
              <w:rPr>
                <w:rFonts w:hint="eastAsia" w:ascii="仿宋" w:hAnsi="仿宋" w:eastAsia="仿宋" w:cs="仿宋"/>
                <w:b/>
                <w:color w:val="auto"/>
                <w:kern w:val="0"/>
                <w:sz w:val="24"/>
                <w:szCs w:val="24"/>
                <w:highlight w:val="none"/>
              </w:rPr>
              <w:t>评分项</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000000"/>
                <w:sz w:val="21"/>
                <w:szCs w:val="21"/>
                <w:highlight w:val="none"/>
              </w:rPr>
            </w:pPr>
            <w:r>
              <w:rPr>
                <w:rFonts w:hint="eastAsia" w:ascii="仿宋" w:hAnsi="仿宋" w:eastAsia="仿宋" w:cs="仿宋"/>
                <w:b/>
                <w:color w:val="auto"/>
                <w:kern w:val="0"/>
                <w:sz w:val="24"/>
                <w:szCs w:val="24"/>
                <w:highlight w:val="none"/>
              </w:rPr>
              <w:t>评审依据及标准</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000000"/>
                <w:sz w:val="21"/>
                <w:szCs w:val="21"/>
                <w:highlight w:val="none"/>
              </w:rPr>
            </w:pPr>
            <w:r>
              <w:rPr>
                <w:rFonts w:hint="eastAsia" w:ascii="仿宋" w:hAnsi="仿宋" w:eastAsia="仿宋" w:cs="仿宋"/>
                <w:b/>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2" w:hRule="atLeast"/>
          <w:jc w:val="center"/>
        </w:trPr>
        <w:tc>
          <w:tcPr>
            <w:tcW w:w="72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16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体系认证证书</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投标人具有有效期内的质量管理体系认证证书（ISO 9001）、信息技术服务管理体系认证证书（ISO 20000）、职业健康安全管理体系认证证书（OHSAS 18001）、信息安全管理体系认证证书（ISO 27001）、环境管理体系认证证书（ISO 14001），每提供一份得2分，最高得10分</w:t>
            </w:r>
            <w:r>
              <w:rPr>
                <w:rFonts w:hint="eastAsia" w:ascii="仿宋" w:hAnsi="仿宋" w:eastAsia="仿宋" w:cs="仿宋"/>
                <w:color w:val="000000"/>
                <w:sz w:val="21"/>
                <w:szCs w:val="21"/>
                <w:highlight w:val="none"/>
                <w:lang w:eastAsia="zh-CN"/>
              </w:rPr>
              <w:t>。</w:t>
            </w:r>
            <w:r>
              <w:rPr>
                <w:rFonts w:hint="eastAsia" w:ascii="仿宋" w:hAnsi="仿宋" w:eastAsia="仿宋" w:cs="仿宋"/>
                <w:b/>
                <w:bCs w:val="0"/>
                <w:color w:val="000000"/>
                <w:sz w:val="21"/>
                <w:szCs w:val="21"/>
                <w:highlight w:val="none"/>
              </w:rPr>
              <w:t>注：需提供证书扫描件加盖投标人公章，未提供不得分。</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10</w:t>
            </w:r>
            <w:r>
              <w:rPr>
                <w:rFonts w:hint="eastAsia" w:ascii="仿宋" w:hAnsi="仿宋" w:eastAsia="仿宋" w:cs="仿宋"/>
                <w:color w:val="000000"/>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2" w:hRule="atLeast"/>
          <w:jc w:val="center"/>
        </w:trPr>
        <w:tc>
          <w:tcPr>
            <w:tcW w:w="72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w:t>
            </w:r>
          </w:p>
        </w:tc>
        <w:tc>
          <w:tcPr>
            <w:tcW w:w="116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团队人员配置</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项目负责人具有高级信息系统项目管理师证书的得1分。</w:t>
            </w:r>
          </w:p>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技术团队成员具有：</w:t>
            </w:r>
          </w:p>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注册信息安全专业人员证书的得1分；</w:t>
            </w:r>
          </w:p>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网络工程师证书中级及以上的，每有一本得1分，最高得2分。</w:t>
            </w:r>
          </w:p>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b/>
                <w:bCs/>
                <w:color w:val="000000"/>
                <w:sz w:val="21"/>
                <w:szCs w:val="21"/>
                <w:highlight w:val="none"/>
              </w:rPr>
              <w:t>注：以上证书均需提供相关证书复印件、证书持有人必须为投标人本单位正式员工并需出具本单位社保缴纳证明加盖投标人公章。</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r>
              <w:rPr>
                <w:rFonts w:hint="eastAsia" w:ascii="仿宋" w:hAnsi="仿宋" w:eastAsia="仿宋" w:cs="仿宋"/>
                <w:color w:val="000000"/>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2" w:hRule="atLeast"/>
          <w:jc w:val="center"/>
        </w:trPr>
        <w:tc>
          <w:tcPr>
            <w:tcW w:w="72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3</w:t>
            </w:r>
          </w:p>
        </w:tc>
        <w:tc>
          <w:tcPr>
            <w:tcW w:w="116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运维服务响应情况</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投标人承诺维修（抢修）响应时间在30分钟内（含30分钟）的得6分，在30分钟（不含）-1小时（含）的得4分，在1小时（不含）至2小时（含）的得1分，未承诺或2小时外（不含）不得分。</w:t>
            </w:r>
            <w:r>
              <w:rPr>
                <w:rFonts w:hint="eastAsia" w:ascii="仿宋" w:hAnsi="仿宋" w:eastAsia="仿宋" w:cs="仿宋"/>
                <w:color w:val="auto"/>
                <w:sz w:val="21"/>
                <w:szCs w:val="21"/>
                <w:highlight w:val="none"/>
                <w:lang w:eastAsia="zh-CN"/>
              </w:rPr>
              <w:t>（提供承诺函，格式自拟）</w:t>
            </w:r>
          </w:p>
          <w:p>
            <w:pPr>
              <w:kinsoku/>
              <w:overflowPunct/>
              <w:topLinePunct w:val="0"/>
              <w:bidi w:val="0"/>
              <w:spacing w:beforeLines="0" w:afterLines="0" w:line="400" w:lineRule="exact"/>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注：响应时间指投标人接采购人通知维修（抢修），派出维修技术人员到达现场的时间。</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r>
              <w:rPr>
                <w:rFonts w:hint="eastAsia" w:ascii="仿宋" w:hAnsi="仿宋" w:eastAsia="仿宋" w:cs="仿宋"/>
                <w:color w:val="000000"/>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5" w:hRule="atLeast"/>
          <w:jc w:val="center"/>
        </w:trPr>
        <w:tc>
          <w:tcPr>
            <w:tcW w:w="72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p>
        </w:tc>
        <w:tc>
          <w:tcPr>
            <w:tcW w:w="116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000000"/>
                <w:sz w:val="21"/>
                <w:szCs w:val="21"/>
                <w:highlight w:val="none"/>
              </w:rPr>
            </w:pP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承诺发生线路中断，一般性故障3小时内修复，重大故障6小时内修复（不可抗力原因除外）的得2分；承诺发生线路中断，一般性故障2小时内修复，重大故障4小时内修复（不可抗力原因除外）的得5分；承诺发生线路中断，一般性故障1小时内修复，重大故障2小时内修复（不可抗力原因除外）的得8分。</w:t>
            </w:r>
            <w:r>
              <w:rPr>
                <w:rFonts w:hint="eastAsia" w:ascii="仿宋" w:hAnsi="仿宋" w:eastAsia="仿宋" w:cs="仿宋"/>
                <w:color w:val="auto"/>
                <w:sz w:val="21"/>
                <w:szCs w:val="21"/>
                <w:highlight w:val="none"/>
                <w:lang w:eastAsia="zh-CN"/>
              </w:rPr>
              <w:t>（提供承诺函，格式自拟）</w:t>
            </w:r>
          </w:p>
          <w:p>
            <w:pPr>
              <w:kinsoku/>
              <w:overflowPunct/>
              <w:topLinePunct w:val="0"/>
              <w:bidi w:val="0"/>
              <w:spacing w:beforeLines="0" w:afterLines="0" w:line="400" w:lineRule="exact"/>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注：承诺内容需同时满足两个时间要求才能按照标准得分，其中一项不满足的按照就低原则评议。</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r>
              <w:rPr>
                <w:rFonts w:hint="eastAsia" w:ascii="仿宋" w:hAnsi="仿宋" w:eastAsia="仿宋" w:cs="仿宋"/>
                <w:color w:val="000000"/>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72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4</w:t>
            </w:r>
          </w:p>
        </w:tc>
        <w:tc>
          <w:tcPr>
            <w:tcW w:w="116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napToGrid w:val="0"/>
              <w:spacing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auto"/>
                <w:sz w:val="21"/>
                <w:szCs w:val="21"/>
                <w:highlight w:val="none"/>
              </w:rPr>
              <w:t>同类业绩</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napToGrid w:val="0"/>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投标人自202</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年1月1日以来（以合同签订时间为准）完成的同类案例，每有1个得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分，满分</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p>
            <w:pPr>
              <w:pStyle w:val="33"/>
              <w:kinsoku/>
              <w:overflowPunct/>
              <w:topLinePunct w:val="0"/>
              <w:bidi w:val="0"/>
              <w:snapToGrid w:val="0"/>
              <w:spacing w:line="400" w:lineRule="exact"/>
              <w:rPr>
                <w:rFonts w:hint="eastAsia" w:ascii="仿宋" w:hAnsi="仿宋" w:eastAsia="仿宋" w:cs="仿宋"/>
                <w:b/>
                <w:color w:val="000000"/>
                <w:sz w:val="21"/>
                <w:szCs w:val="21"/>
                <w:highlight w:val="none"/>
              </w:rPr>
            </w:pPr>
            <w:r>
              <w:rPr>
                <w:rFonts w:hint="eastAsia" w:ascii="仿宋" w:hAnsi="仿宋" w:eastAsia="仿宋" w:cs="仿宋"/>
                <w:b/>
                <w:bCs/>
                <w:color w:val="auto"/>
                <w:sz w:val="21"/>
                <w:szCs w:val="21"/>
                <w:highlight w:val="none"/>
              </w:rPr>
              <w:t>注：每个案例提供合同复印件加盖投标人公章。</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napToGrid w:val="0"/>
              <w:spacing w:line="400" w:lineRule="exact"/>
              <w:jc w:val="center"/>
              <w:rPr>
                <w:rFonts w:hint="eastAsia" w:ascii="仿宋" w:hAnsi="仿宋" w:eastAsia="仿宋" w:cs="仿宋"/>
                <w:color w:val="000000"/>
                <w:sz w:val="21"/>
                <w:szCs w:val="21"/>
                <w:highlight w:val="none"/>
                <w:lang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000000"/>
                <w:sz w:val="21"/>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jc w:val="center"/>
        </w:trPr>
        <w:tc>
          <w:tcPr>
            <w:tcW w:w="72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5</w:t>
            </w:r>
          </w:p>
        </w:tc>
        <w:tc>
          <w:tcPr>
            <w:tcW w:w="1169"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实施方案</w:t>
            </w:r>
          </w:p>
        </w:tc>
        <w:tc>
          <w:tcPr>
            <w:tcW w:w="664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根据投标人整体实施方案进行评议：方案详细完整，能完全符合本项目采购需求的得</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.1-</w:t>
            </w: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rPr>
              <w:t>.0分；方案较完整，基本符合本项目采购需求的得2.1-</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.0分；方案不完整，偏离本项目采购需求的得0-2.0分。</w:t>
            </w:r>
          </w:p>
        </w:tc>
        <w:tc>
          <w:tcPr>
            <w:tcW w:w="701" w:type="dxa"/>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lang w:eastAsia="zh-CN"/>
              </w:rPr>
              <w:t>分</w:t>
            </w:r>
          </w:p>
        </w:tc>
      </w:tr>
    </w:tbl>
    <w:p>
      <w:pPr>
        <w:kinsoku/>
        <w:overflowPunct/>
        <w:topLinePunct w:val="0"/>
        <w:bidi w:val="0"/>
        <w:snapToGrid w:val="0"/>
        <w:spacing w:beforeLines="0" w:afterLines="0" w:line="400" w:lineRule="exact"/>
        <w:rPr>
          <w:rFonts w:hint="eastAsia" w:ascii="仿宋_GB2312" w:hAnsi="仿宋" w:eastAsia="仿宋_GB2312" w:cs="仿宋"/>
          <w:color w:val="auto"/>
          <w:sz w:val="24"/>
          <w:szCs w:val="24"/>
          <w:highlight w:val="none"/>
        </w:rPr>
      </w:pPr>
      <w:r>
        <w:rPr>
          <w:rFonts w:hint="eastAsia" w:ascii="仿宋_GB2312" w:hAnsi="仿宋" w:eastAsia="仿宋_GB2312" w:cs="仿宋"/>
          <w:b/>
          <w:color w:val="auto"/>
          <w:sz w:val="24"/>
          <w:szCs w:val="24"/>
          <w:highlight w:val="none"/>
        </w:rPr>
        <w:t>备注：</w:t>
      </w:r>
      <w:r>
        <w:rPr>
          <w:rFonts w:hint="eastAsia" w:ascii="仿宋_GB2312" w:hAnsi="仿宋" w:eastAsia="仿宋_GB2312" w:cs="仿宋"/>
          <w:color w:val="auto"/>
          <w:sz w:val="24"/>
          <w:szCs w:val="24"/>
          <w:highlight w:val="none"/>
        </w:rPr>
        <w:t>投标人编制投标文件（商务技术文件部分）时，建议按此目录（序号和内容）提供评标标准相应的商务技术资料。 </w:t>
      </w:r>
    </w:p>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2.2价格分（</w:t>
      </w:r>
      <w:r>
        <w:rPr>
          <w:rFonts w:hint="eastAsia" w:ascii="仿宋_GB2312" w:hAnsi="宋体" w:eastAsia="仿宋_GB2312"/>
          <w:b/>
          <w:color w:val="auto"/>
          <w:sz w:val="24"/>
          <w:szCs w:val="24"/>
          <w:highlight w:val="none"/>
          <w:lang w:val="en-US" w:eastAsia="zh-CN"/>
        </w:rPr>
        <w:t>6</w:t>
      </w:r>
      <w:r>
        <w:rPr>
          <w:rFonts w:hint="eastAsia" w:ascii="仿宋_GB2312" w:hAnsi="宋体" w:eastAsia="仿宋_GB2312"/>
          <w:b/>
          <w:color w:val="auto"/>
          <w:sz w:val="24"/>
          <w:szCs w:val="24"/>
          <w:highlight w:val="none"/>
        </w:rPr>
        <w:t>0分）</w:t>
      </w:r>
    </w:p>
    <w:p>
      <w:pPr>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2.2.1评标基准价：即满足招标文件要求且投标价格最低的投标报价为评标基准价，其价格分为满分。</w:t>
      </w:r>
    </w:p>
    <w:p>
      <w:pPr>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即：投标报价得分=(评标基准价／投标报价)×</w:t>
      </w:r>
      <w:r>
        <w:rPr>
          <w:rFonts w:hint="eastAsia" w:ascii="仿宋_GB2312" w:hAnsi="宋体" w:eastAsia="仿宋_GB2312"/>
          <w:color w:val="auto"/>
          <w:sz w:val="24"/>
          <w:szCs w:val="24"/>
          <w:highlight w:val="none"/>
          <w:lang w:val="en-US" w:eastAsia="zh-CN"/>
        </w:rPr>
        <w:t>6</w:t>
      </w:r>
      <w:r>
        <w:rPr>
          <w:rFonts w:hint="eastAsia" w:ascii="仿宋_GB2312" w:hAnsi="宋体" w:eastAsia="仿宋_GB2312"/>
          <w:color w:val="auto"/>
          <w:sz w:val="24"/>
          <w:szCs w:val="24"/>
          <w:highlight w:val="none"/>
        </w:rPr>
        <w:t>0</w:t>
      </w: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pStyle w:val="23"/>
        <w:kinsoku/>
        <w:overflowPunct/>
        <w:topLinePunct w:val="0"/>
        <w:bidi w:val="0"/>
        <w:spacing w:line="400" w:lineRule="exact"/>
        <w:rPr>
          <w:rFonts w:hint="eastAsia" w:ascii="仿宋" w:hAnsi="仿宋" w:eastAsia="仿宋" w:cs="仿宋"/>
          <w:b/>
          <w:color w:val="auto"/>
          <w:sz w:val="36"/>
          <w:szCs w:val="20"/>
          <w:highlight w:val="none"/>
        </w:rPr>
      </w:pPr>
    </w:p>
    <w:p>
      <w:pPr>
        <w:pStyle w:val="24"/>
        <w:kinsoku/>
        <w:overflowPunct/>
        <w:topLinePunct w:val="0"/>
        <w:bidi w:val="0"/>
        <w:spacing w:line="400" w:lineRule="exact"/>
        <w:rPr>
          <w:rFonts w:hint="eastAsia" w:ascii="仿宋" w:hAnsi="仿宋" w:eastAsia="仿宋" w:cs="仿宋"/>
          <w:b/>
          <w:color w:val="auto"/>
          <w:sz w:val="36"/>
          <w:szCs w:val="20"/>
          <w:highlight w:val="none"/>
        </w:rPr>
      </w:pPr>
    </w:p>
    <w:p>
      <w:pPr>
        <w:kinsoku/>
        <w:overflowPunct/>
        <w:topLinePunct w:val="0"/>
        <w:bidi w:val="0"/>
        <w:spacing w:line="400" w:lineRule="exact"/>
        <w:rPr>
          <w:rFonts w:hint="eastAsia" w:ascii="仿宋" w:hAnsi="仿宋" w:eastAsia="仿宋" w:cs="仿宋"/>
          <w:b/>
          <w:color w:val="auto"/>
          <w:sz w:val="36"/>
          <w:szCs w:val="20"/>
          <w:highlight w:val="none"/>
        </w:rPr>
      </w:pPr>
    </w:p>
    <w:p>
      <w:pPr>
        <w:pStyle w:val="23"/>
        <w:kinsoku/>
        <w:overflowPunct/>
        <w:topLinePunct w:val="0"/>
        <w:bidi w:val="0"/>
        <w:spacing w:line="400" w:lineRule="exact"/>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both"/>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sz w:val="24"/>
          <w:highlight w:val="none"/>
        </w:rPr>
        <w:t>政府采购活动，郑重承诺：</w:t>
      </w:r>
    </w:p>
    <w:p>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overflowPunct/>
        <w:topLinePunct w:val="0"/>
        <w:bidi w:val="0"/>
        <w:spacing w:line="400" w:lineRule="exact"/>
        <w:jc w:val="center"/>
        <w:outlineLvl w:val="0"/>
        <w:rPr>
          <w:rFonts w:ascii="仿宋" w:hAnsi="仿宋" w:eastAsia="仿宋" w:cs="仿宋"/>
          <w:b/>
          <w:color w:val="auto"/>
          <w:kern w:val="0"/>
          <w:sz w:val="24"/>
          <w:highlight w:val="none"/>
        </w:rPr>
      </w:pPr>
    </w:p>
    <w:p>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投标函…………………………………………………………………………（页码）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法定代表人授权书 ………………………………………………………… （页码）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授权代表社保证明（复印件）……………………………………………… （页码）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法定代表人及其授权代表身份证复印件（复印件）…………………………（页码）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法定代表人身份证明书……………………………………………………… （页码）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商务技术偏离表……………………………………………………………… （页码）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政府采购供应商廉洁自律承诺书</w:t>
      </w:r>
      <w:r>
        <w:rPr>
          <w:rFonts w:hint="eastAsia" w:ascii="仿宋" w:eastAsia="仿宋" w:cs="仿宋"/>
          <w:color w:val="auto"/>
          <w:highlight w:val="none"/>
          <w:lang w:eastAsia="zh-CN"/>
        </w:rPr>
        <w:t>…………………………………………… （页码）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主要业绩证明…………………………………………………</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技术解决方案……………………………………………………………………（页码）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组织实施方案…………………………………………………………………（页码）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售后服务方案…………………………………………………………………（页码）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供应商售后服务证明材料……………………………………………………（页码）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项目小组人员名单……………………………………………………………（页码）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优惠条件及特殊承诺……………………………………</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备品备件及供选择的配套零部件清单………………………</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培训计划………………………………………………………</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验收方案…………………………………………………………</w:t>
      </w:r>
      <w:r>
        <w:rPr>
          <w:rFonts w:hint="eastAsia" w:ascii="仿宋" w:eastAsia="仿宋" w:cs="仿宋"/>
          <w:color w:val="auto"/>
          <w:highlight w:val="none"/>
          <w:lang w:eastAsia="zh-CN"/>
        </w:rPr>
        <w:t>…………（页码）</w:t>
      </w:r>
    </w:p>
    <w:p>
      <w:pPr>
        <w:pStyle w:val="904"/>
        <w:numPr>
          <w:ilvl w:val="0"/>
          <w:numId w:val="4"/>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认为需要的其他商务技术（资信）文件或说明…………</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pacing w:line="400" w:lineRule="exact"/>
        <w:rPr>
          <w:rFonts w:hint="eastAsia" w:ascii="仿宋" w:hAnsi="仿宋" w:eastAsia="仿宋" w:cs="仿宋"/>
          <w:b/>
          <w:color w:val="auto"/>
          <w:sz w:val="24"/>
          <w:highlight w:val="none"/>
        </w:rPr>
      </w:pPr>
    </w:p>
    <w:p>
      <w:pPr>
        <w:pageBreakBefore/>
        <w:kinsoku/>
        <w:overflowPunct/>
        <w:topLinePunct w:val="0"/>
        <w:bidi w:val="0"/>
        <w:spacing w:beforeLines="0" w:afterLines="0" w:line="400" w:lineRule="exact"/>
        <w:jc w:val="center"/>
        <w:rPr>
          <w:rFonts w:hint="eastAsia"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三、授权代表社保证明（复印件）</w:t>
      </w:r>
    </w:p>
    <w:p>
      <w:pPr>
        <w:kinsoku/>
        <w:overflowPunct/>
        <w:topLinePunct w:val="0"/>
        <w:bidi w:val="0"/>
        <w:spacing w:beforeLines="0" w:afterLines="0" w:line="400" w:lineRule="exact"/>
        <w:ind w:firstLine="480" w:firstLineChars="200"/>
        <w:rPr>
          <w:rFonts w:hint="eastAsia" w:ascii="仿宋" w:hAnsi="仿宋" w:eastAsia="仿宋" w:cs="仿宋"/>
          <w:b/>
          <w:color w:val="auto"/>
          <w:sz w:val="30"/>
          <w:szCs w:val="30"/>
          <w:highlight w:val="none"/>
        </w:rPr>
      </w:pPr>
      <w:r>
        <w:rPr>
          <w:rFonts w:hint="eastAsia" w:ascii="仿宋_GB2312" w:hAnsi="宋体" w:eastAsia="仿宋_GB2312"/>
          <w:color w:val="auto"/>
          <w:sz w:val="24"/>
          <w:szCs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overflowPunct/>
        <w:topLinePunct w:val="0"/>
        <w:bidi w:val="0"/>
        <w:spacing w:beforeLines="0" w:afterLines="0" w:line="400" w:lineRule="exact"/>
        <w:rPr>
          <w:rFonts w:hint="eastAsia" w:ascii="仿宋" w:hAnsi="仿宋" w:eastAsia="仿宋" w:cs="仿宋"/>
          <w:b/>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overflowPunct/>
        <w:topLinePunct w:val="0"/>
        <w:bidi w:val="0"/>
        <w:spacing w:line="400" w:lineRule="exact"/>
        <w:ind w:right="480"/>
        <w:rPr>
          <w:rFonts w:hint="eastAsia" w:ascii="仿宋" w:hAnsi="仿宋" w:eastAsia="仿宋" w:cs="仿宋"/>
          <w:color w:val="auto"/>
          <w:sz w:val="24"/>
          <w:highlight w:val="none"/>
        </w:rPr>
      </w:pPr>
    </w:p>
    <w:p>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both"/>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both"/>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overflowPunct/>
        <w:topLinePunct w:val="0"/>
        <w:bidi w:val="0"/>
        <w:snapToGrid w:val="0"/>
        <w:spacing w:line="400" w:lineRule="exact"/>
        <w:rPr>
          <w:rFonts w:hint="eastAsia" w:ascii="仿宋" w:hAnsi="仿宋" w:eastAsia="仿宋" w:cs="仿宋"/>
          <w:color w:val="auto"/>
          <w:sz w:val="24"/>
          <w:highlight w:val="none"/>
        </w:rPr>
      </w:pP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overflowPunct/>
        <w:topLinePunct w:val="0"/>
        <w:bidi w:val="0"/>
        <w:spacing w:line="400" w:lineRule="exact"/>
        <w:ind w:firstLine="0"/>
        <w:jc w:val="both"/>
        <w:rPr>
          <w:rFonts w:hAnsi="仿宋_GB2312" w:cs="仿宋_GB2312"/>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0"/>
          <w:szCs w:val="30"/>
          <w:highlight w:val="none"/>
          <w:lang w:eastAsia="zh-CN"/>
        </w:rPr>
      </w:pPr>
    </w:p>
    <w:p>
      <w:pPr>
        <w:pStyle w:val="79"/>
        <w:kinsoku/>
        <w:overflowPunct/>
        <w:topLinePunct w:val="0"/>
        <w:bidi w:val="0"/>
        <w:spacing w:line="400" w:lineRule="exact"/>
        <w:rPr>
          <w:rFonts w:hint="eastAsia"/>
          <w:color w:val="auto"/>
          <w:highlight w:val="none"/>
          <w:lang w:eastAsia="zh-CN"/>
        </w:rPr>
      </w:pPr>
    </w:p>
    <w:p>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pStyle w:val="79"/>
        <w:kinsoku/>
        <w:overflowPunct/>
        <w:topLinePunct w:val="0"/>
        <w:bidi w:val="0"/>
        <w:spacing w:line="400" w:lineRule="exact"/>
        <w:rPr>
          <w:rFonts w:hint="eastAsia"/>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kinsoku/>
        <w:overflowPunct/>
        <w:topLinePunct w:val="0"/>
        <w:bidi w:val="0"/>
        <w:spacing w:line="400" w:lineRule="exact"/>
        <w:rPr>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18"/>
          <w:szCs w:val="18"/>
          <w:highlight w:val="none"/>
        </w:rPr>
      </w:pPr>
    </w:p>
    <w:p>
      <w:pPr>
        <w:pStyle w:val="79"/>
        <w:kinsoku/>
        <w:overflowPunct/>
        <w:topLinePunct w:val="0"/>
        <w:bidi w:val="0"/>
        <w:spacing w:line="400" w:lineRule="exact"/>
        <w:rPr>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18"/>
          <w:szCs w:val="18"/>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overflowPunct/>
        <w:topLinePunct w:val="0"/>
        <w:bidi w:val="0"/>
        <w:spacing w:line="400" w:lineRule="exact"/>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kinsoku/>
        <w:overflowPunct/>
        <w:topLinePunct w:val="0"/>
        <w:bidi w:val="0"/>
        <w:spacing w:line="400" w:lineRule="exact"/>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insoku/>
              <w:overflowPunct/>
              <w:topLinePunct w:val="0"/>
              <w:bidi w:val="0"/>
              <w:spacing w:line="400" w:lineRule="exact"/>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kinsoku/>
              <w:overflowPunct/>
              <w:topLinePunct w:val="0"/>
              <w:bidi w:val="0"/>
              <w:spacing w:line="400" w:lineRule="exact"/>
              <w:jc w:val="center"/>
              <w:rPr>
                <w:rFonts w:hint="eastAsia" w:ascii="仿宋" w:hAnsi="仿宋" w:eastAsia="仿宋" w:cs="仿宋"/>
                <w:color w:val="auto"/>
                <w:sz w:val="24"/>
                <w:highlight w:val="none"/>
              </w:rPr>
            </w:pPr>
          </w:p>
        </w:tc>
      </w:tr>
    </w:tbl>
    <w:p>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0"/>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color w:val="auto"/>
          <w:highlight w:val="none"/>
          <w:lang w:eastAsia="zh-CN"/>
        </w:rPr>
      </w:pPr>
    </w:p>
    <w:p>
      <w:pPr>
        <w:widowControl/>
        <w:kinsoku/>
        <w:overflowPunct/>
        <w:topLinePunct w:val="0"/>
        <w:bidi w:val="0"/>
        <w:spacing w:line="400" w:lineRule="exact"/>
        <w:ind w:firstLine="161" w:firstLineChars="5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overflowPunct/>
        <w:topLinePunct w:val="0"/>
        <w:bidi w:val="0"/>
        <w:spacing w:line="400" w:lineRule="exact"/>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overflowPunct/>
        <w:topLinePunct w:val="0"/>
        <w:bidi w:val="0"/>
        <w:spacing w:line="400" w:lineRule="exact"/>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eepNext w:val="0"/>
        <w:keepLines w:val="0"/>
        <w:pageBreakBefore w:val="0"/>
        <w:kinsoku/>
        <w:wordWrap/>
        <w:overflowPunct/>
        <w:topLinePunct w:val="0"/>
        <w:autoSpaceDE w:val="0"/>
        <w:autoSpaceDN w:val="0"/>
        <w:bidi w:val="0"/>
        <w:adjustRightInd w:val="0"/>
        <w:spacing w:line="400" w:lineRule="exact"/>
        <w:jc w:val="center"/>
        <w:textAlignment w:val="auto"/>
        <w:outlineLvl w:val="0"/>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0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napToGrid w:val="0"/>
        <w:spacing w:line="400" w:lineRule="exact"/>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szCs w:val="24"/>
          <w:highlight w:val="none"/>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lang w:val="zh-CN"/>
        </w:rPr>
        <w:t xml:space="preserve"> </w:t>
      </w: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00" w:lineRule="exact"/>
        <w:ind w:left="0" w:leftChars="0" w:right="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pPr>
        <w:kinsoku/>
        <w:overflowPunct/>
        <w:topLinePunct w:val="0"/>
        <w:bidi w:val="0"/>
        <w:spacing w:line="400" w:lineRule="exact"/>
        <w:rPr>
          <w:rFonts w:hint="eastAsia" w:ascii="仿宋" w:hAnsi="仿宋" w:eastAsia="仿宋" w:cs="仿宋"/>
          <w:b/>
          <w:color w:val="auto"/>
          <w:spacing w:val="6"/>
          <w:sz w:val="30"/>
          <w:szCs w:val="30"/>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w:t>
      </w:r>
      <w:r>
        <w:rPr>
          <w:rFonts w:hint="eastAsia" w:ascii="仿宋" w:hAnsi="仿宋" w:eastAsia="仿宋" w:cs="仿宋"/>
          <w:color w:val="auto"/>
          <w:sz w:val="24"/>
          <w:szCs w:val="24"/>
          <w:highlight w:val="none"/>
        </w:rPr>
        <w:t>_</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__</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pStyle w:val="23"/>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pacing w:line="400" w:lineRule="exact"/>
        <w:rPr>
          <w:rFonts w:hint="eastAsia"/>
          <w:highlight w:val="none"/>
        </w:rPr>
      </w:pPr>
    </w:p>
    <w:p>
      <w:pPr>
        <w:kinsoku/>
        <w:overflowPunct/>
        <w:topLinePunct w:val="0"/>
        <w:bidi w:val="0"/>
        <w:spacing w:line="400" w:lineRule="exact"/>
        <w:rPr>
          <w:rFonts w:hint="eastAsia"/>
          <w:highlight w:val="none"/>
        </w:rPr>
      </w:pPr>
    </w:p>
    <w:p>
      <w:pPr>
        <w:kinsoku/>
        <w:overflowPunct/>
        <w:topLinePunct w:val="0"/>
        <w:bidi w:val="0"/>
        <w:spacing w:line="400" w:lineRule="exact"/>
        <w:rPr>
          <w:rFonts w:hint="eastAsia"/>
          <w:highlight w:val="none"/>
        </w:rPr>
      </w:pPr>
    </w:p>
    <w:p>
      <w:pPr>
        <w:kinsoku/>
        <w:overflowPunct/>
        <w:topLinePunct w:val="0"/>
        <w:bidi w:val="0"/>
        <w:spacing w:line="400" w:lineRule="exact"/>
        <w:rPr>
          <w:rFonts w:hint="eastAsia"/>
          <w:highlight w:val="none"/>
        </w:rPr>
      </w:pPr>
    </w:p>
    <w:p>
      <w:pPr>
        <w:kinsoku/>
        <w:overflowPunct/>
        <w:topLinePunct w:val="0"/>
        <w:bidi w:val="0"/>
        <w:spacing w:line="400" w:lineRule="exact"/>
        <w:rPr>
          <w:rFonts w:hint="eastAsia"/>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overflowPunct/>
        <w:topLinePunct w:val="0"/>
        <w:bidi w:val="0"/>
        <w:spacing w:line="400" w:lineRule="exact"/>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ind w:firstLine="310" w:firstLineChars="147"/>
        <w:jc w:val="left"/>
        <w:rPr>
          <w:rFonts w:hint="eastAsia" w:ascii="仿宋" w:hAnsi="仿宋" w:eastAsia="仿宋" w:cs="仿宋"/>
          <w:color w:val="auto"/>
          <w:sz w:val="24"/>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400" w:lineRule="exact"/>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overflowPunct/>
        <w:topLinePunct w:val="0"/>
        <w:bidi w:val="0"/>
        <w:spacing w:line="400" w:lineRule="exact"/>
        <w:rPr>
          <w:rFonts w:hint="eastAsia"/>
          <w:color w:val="auto"/>
          <w:highlight w:val="none"/>
          <w:lang w:val="en-US" w:eastAsia="zh-CN"/>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overflowPunct/>
        <w:topLinePunct w:val="0"/>
        <w:bidi w:val="0"/>
        <w:spacing w:before="150" w:line="400" w:lineRule="exac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before="150" w:line="400" w:lineRule="exac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420" w:firstLineChars="200"/>
        <w:rPr>
          <w:rFonts w:hint="eastAsia" w:ascii="仿宋" w:hAnsi="仿宋" w:eastAsia="仿宋" w:cs="仿宋"/>
          <w:color w:val="auto"/>
          <w:highlight w:val="none"/>
        </w:rPr>
      </w:pPr>
    </w:p>
    <w:p>
      <w:pPr>
        <w:kinsoku/>
        <w:overflowPunct/>
        <w:topLinePunct w:val="0"/>
        <w:bidi w:val="0"/>
        <w:spacing w:line="400" w:lineRule="exact"/>
        <w:ind w:right="420"/>
        <w:rPr>
          <w:rFonts w:hint="eastAsia" w:ascii="仿宋" w:hAnsi="仿宋" w:eastAsia="仿宋" w:cs="仿宋"/>
          <w:color w:val="auto"/>
          <w:highlight w:val="none"/>
        </w:rPr>
      </w:pPr>
    </w:p>
    <w:p>
      <w:pPr>
        <w:kinsoku/>
        <w:overflowPunct/>
        <w:topLinePunct w:val="0"/>
        <w:bidi w:val="0"/>
        <w:spacing w:line="400" w:lineRule="exact"/>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SXQS-202404-GK028</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5DA0B"/>
    <w:multiLevelType w:val="multilevel"/>
    <w:tmpl w:val="8285DA0B"/>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CBC7EFC6"/>
    <w:multiLevelType w:val="singleLevel"/>
    <w:tmpl w:val="CBC7EFC6"/>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4D768425"/>
    <w:multiLevelType w:val="multilevel"/>
    <w:tmpl w:val="4D768425"/>
    <w:lvl w:ilvl="0" w:tentative="0">
      <w:start w:val="8"/>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4E25E7"/>
    <w:rsid w:val="01603EFD"/>
    <w:rsid w:val="02A37CB1"/>
    <w:rsid w:val="02BA45A3"/>
    <w:rsid w:val="04603F6E"/>
    <w:rsid w:val="04C92547"/>
    <w:rsid w:val="057109E0"/>
    <w:rsid w:val="05F02A3F"/>
    <w:rsid w:val="0608101F"/>
    <w:rsid w:val="079963C1"/>
    <w:rsid w:val="082936CA"/>
    <w:rsid w:val="08564759"/>
    <w:rsid w:val="09532A47"/>
    <w:rsid w:val="09CB21E3"/>
    <w:rsid w:val="0B0112EC"/>
    <w:rsid w:val="0B6D4294"/>
    <w:rsid w:val="0B8C698F"/>
    <w:rsid w:val="0B9864BB"/>
    <w:rsid w:val="0C032936"/>
    <w:rsid w:val="0CB4365E"/>
    <w:rsid w:val="0CE5044F"/>
    <w:rsid w:val="0D7239A6"/>
    <w:rsid w:val="0DA0109C"/>
    <w:rsid w:val="0DE545B5"/>
    <w:rsid w:val="0E2B1F99"/>
    <w:rsid w:val="0F096B8F"/>
    <w:rsid w:val="0F0A1DF9"/>
    <w:rsid w:val="0F114B2B"/>
    <w:rsid w:val="0F63063F"/>
    <w:rsid w:val="0F9D602C"/>
    <w:rsid w:val="0FF00494"/>
    <w:rsid w:val="10C81F6C"/>
    <w:rsid w:val="12557D59"/>
    <w:rsid w:val="128965E1"/>
    <w:rsid w:val="14281B3C"/>
    <w:rsid w:val="14396E9D"/>
    <w:rsid w:val="15490AE1"/>
    <w:rsid w:val="16D567E2"/>
    <w:rsid w:val="171B1048"/>
    <w:rsid w:val="173157AB"/>
    <w:rsid w:val="184C76ED"/>
    <w:rsid w:val="187A3B4C"/>
    <w:rsid w:val="18E60774"/>
    <w:rsid w:val="192B3AA3"/>
    <w:rsid w:val="1A485FB9"/>
    <w:rsid w:val="1ACA21FC"/>
    <w:rsid w:val="1B040045"/>
    <w:rsid w:val="1B6E7990"/>
    <w:rsid w:val="1C6568C1"/>
    <w:rsid w:val="1CAC0C08"/>
    <w:rsid w:val="1D2F1C3B"/>
    <w:rsid w:val="1D5E1F95"/>
    <w:rsid w:val="1D7A506B"/>
    <w:rsid w:val="1E4E52B5"/>
    <w:rsid w:val="1F0C73E0"/>
    <w:rsid w:val="1F3D4E2F"/>
    <w:rsid w:val="1F456624"/>
    <w:rsid w:val="213C759C"/>
    <w:rsid w:val="21DB4F4C"/>
    <w:rsid w:val="225D7ED6"/>
    <w:rsid w:val="24377DF9"/>
    <w:rsid w:val="24E274F4"/>
    <w:rsid w:val="253F5DF5"/>
    <w:rsid w:val="2728014B"/>
    <w:rsid w:val="27F019EE"/>
    <w:rsid w:val="27F95B73"/>
    <w:rsid w:val="280F0912"/>
    <w:rsid w:val="28497520"/>
    <w:rsid w:val="298011DE"/>
    <w:rsid w:val="29A80427"/>
    <w:rsid w:val="2A2A0A4E"/>
    <w:rsid w:val="2C9254B0"/>
    <w:rsid w:val="2CBC0949"/>
    <w:rsid w:val="2CFB1A42"/>
    <w:rsid w:val="2DA64CC9"/>
    <w:rsid w:val="2DF33D2D"/>
    <w:rsid w:val="2E47051C"/>
    <w:rsid w:val="2F80574D"/>
    <w:rsid w:val="2F977145"/>
    <w:rsid w:val="30CD01D9"/>
    <w:rsid w:val="31221C11"/>
    <w:rsid w:val="315E3BB3"/>
    <w:rsid w:val="33387A25"/>
    <w:rsid w:val="33F67A71"/>
    <w:rsid w:val="34766FB1"/>
    <w:rsid w:val="3513010A"/>
    <w:rsid w:val="35EC4954"/>
    <w:rsid w:val="35FB44EC"/>
    <w:rsid w:val="360B1E2F"/>
    <w:rsid w:val="38AD752A"/>
    <w:rsid w:val="38CB7945"/>
    <w:rsid w:val="38D67D40"/>
    <w:rsid w:val="3B597AE8"/>
    <w:rsid w:val="3C1F06C3"/>
    <w:rsid w:val="3C7921E9"/>
    <w:rsid w:val="3DB64D77"/>
    <w:rsid w:val="3DE15ED8"/>
    <w:rsid w:val="3F8A2B19"/>
    <w:rsid w:val="405939A2"/>
    <w:rsid w:val="40F41CF8"/>
    <w:rsid w:val="41446E23"/>
    <w:rsid w:val="414A7CB0"/>
    <w:rsid w:val="4212728F"/>
    <w:rsid w:val="427E60E8"/>
    <w:rsid w:val="42B34A7B"/>
    <w:rsid w:val="42D5327F"/>
    <w:rsid w:val="438822CB"/>
    <w:rsid w:val="43C144E6"/>
    <w:rsid w:val="43CA7F31"/>
    <w:rsid w:val="444E2219"/>
    <w:rsid w:val="45FA21F4"/>
    <w:rsid w:val="460E0F2F"/>
    <w:rsid w:val="478236BD"/>
    <w:rsid w:val="4AA414CB"/>
    <w:rsid w:val="4B5E6847"/>
    <w:rsid w:val="4B733E21"/>
    <w:rsid w:val="4B847D71"/>
    <w:rsid w:val="4C7307A7"/>
    <w:rsid w:val="4D8F3252"/>
    <w:rsid w:val="4E102281"/>
    <w:rsid w:val="4E957100"/>
    <w:rsid w:val="4F370F14"/>
    <w:rsid w:val="4F4B3D85"/>
    <w:rsid w:val="4F913BE1"/>
    <w:rsid w:val="4FBE4B37"/>
    <w:rsid w:val="504F7091"/>
    <w:rsid w:val="52FC6E8F"/>
    <w:rsid w:val="538F6154"/>
    <w:rsid w:val="53BD3A19"/>
    <w:rsid w:val="540222E1"/>
    <w:rsid w:val="547915B7"/>
    <w:rsid w:val="55222FC6"/>
    <w:rsid w:val="55437D62"/>
    <w:rsid w:val="55821D7C"/>
    <w:rsid w:val="56C740B3"/>
    <w:rsid w:val="56FD1D12"/>
    <w:rsid w:val="57995095"/>
    <w:rsid w:val="57E80FEC"/>
    <w:rsid w:val="583512EE"/>
    <w:rsid w:val="58B46E15"/>
    <w:rsid w:val="58F9403E"/>
    <w:rsid w:val="5996188C"/>
    <w:rsid w:val="59E95589"/>
    <w:rsid w:val="5A8C2C8F"/>
    <w:rsid w:val="5C941F2C"/>
    <w:rsid w:val="5CE67FA1"/>
    <w:rsid w:val="5E593C82"/>
    <w:rsid w:val="5EDA221B"/>
    <w:rsid w:val="5F0D2797"/>
    <w:rsid w:val="5F3E7330"/>
    <w:rsid w:val="5F465F16"/>
    <w:rsid w:val="5F561B6F"/>
    <w:rsid w:val="5F57E5CA"/>
    <w:rsid w:val="60596AB0"/>
    <w:rsid w:val="60C0277A"/>
    <w:rsid w:val="621A1E1B"/>
    <w:rsid w:val="62495FC2"/>
    <w:rsid w:val="62752540"/>
    <w:rsid w:val="62FE1710"/>
    <w:rsid w:val="63D41FBE"/>
    <w:rsid w:val="640B7FCA"/>
    <w:rsid w:val="641B55C8"/>
    <w:rsid w:val="64C5571C"/>
    <w:rsid w:val="64DF4A2F"/>
    <w:rsid w:val="64E1542E"/>
    <w:rsid w:val="654314F9"/>
    <w:rsid w:val="657D04C8"/>
    <w:rsid w:val="66747DFB"/>
    <w:rsid w:val="669C35D3"/>
    <w:rsid w:val="67782081"/>
    <w:rsid w:val="69331D52"/>
    <w:rsid w:val="69AF24F6"/>
    <w:rsid w:val="6B8E45DC"/>
    <w:rsid w:val="6C6C7CF4"/>
    <w:rsid w:val="6CFA4340"/>
    <w:rsid w:val="6CFB2798"/>
    <w:rsid w:val="6D42020F"/>
    <w:rsid w:val="6D530D49"/>
    <w:rsid w:val="6DE74B13"/>
    <w:rsid w:val="6FBB7B82"/>
    <w:rsid w:val="6FC37AD4"/>
    <w:rsid w:val="6FD41F9F"/>
    <w:rsid w:val="6FFC0139"/>
    <w:rsid w:val="710B34D8"/>
    <w:rsid w:val="712C663B"/>
    <w:rsid w:val="722236DA"/>
    <w:rsid w:val="72D37886"/>
    <w:rsid w:val="73D334D0"/>
    <w:rsid w:val="75176065"/>
    <w:rsid w:val="75421CD8"/>
    <w:rsid w:val="75A67813"/>
    <w:rsid w:val="76065B94"/>
    <w:rsid w:val="76245EC4"/>
    <w:rsid w:val="768865A9"/>
    <w:rsid w:val="76AC5D35"/>
    <w:rsid w:val="76B850E0"/>
    <w:rsid w:val="773033C1"/>
    <w:rsid w:val="773F4B38"/>
    <w:rsid w:val="780A252E"/>
    <w:rsid w:val="781C51FB"/>
    <w:rsid w:val="78367D6E"/>
    <w:rsid w:val="78AD1F79"/>
    <w:rsid w:val="791E7C0A"/>
    <w:rsid w:val="79341AE1"/>
    <w:rsid w:val="797818E2"/>
    <w:rsid w:val="799B3619"/>
    <w:rsid w:val="79B30E92"/>
    <w:rsid w:val="7B0D1B94"/>
    <w:rsid w:val="7C0A1320"/>
    <w:rsid w:val="7C7E0232"/>
    <w:rsid w:val="7DFF3A1B"/>
    <w:rsid w:val="7EA9101F"/>
    <w:rsid w:val="7EEA2777"/>
    <w:rsid w:val="7EED679E"/>
    <w:rsid w:val="7F005876"/>
    <w:rsid w:val="7FCE9F2A"/>
    <w:rsid w:val="E3EF4552"/>
    <w:rsid w:val="EFFFF557"/>
    <w:rsid w:val="F76D93BB"/>
    <w:rsid w:val="FF3F59ED"/>
    <w:rsid w:val="FFDE5C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sz w:val="24"/>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basedOn w:val="69"/>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basedOn w:val="69"/>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basedOn w:val="69"/>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0"/>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w:basedOn w:val="1"/>
    <w:autoRedefine/>
    <w:qFormat/>
    <w:uiPriority w:val="0"/>
    <w:pPr>
      <w:spacing w:after="120" w:afterLines="0" w:afterAutospacing="0"/>
    </w:pPr>
    <w:rPr>
      <w:sz w:val="24"/>
    </w:rPr>
  </w:style>
  <w:style w:type="paragraph" w:customStyle="1" w:styleId="965">
    <w:name w:val="Body Text Indent1"/>
    <w:basedOn w:val="1"/>
    <w:next w:val="1"/>
    <w:unhideWhenUsed/>
    <w:qFormat/>
    <w:uiPriority w:val="0"/>
    <w:pPr>
      <w:spacing w:beforeLines="0" w:after="120" w:afterLines="0"/>
      <w:ind w:left="420" w:leftChars="200"/>
    </w:pPr>
    <w:rPr>
      <w:rFonts w:hint="eastAsia"/>
      <w:color w:val="000000"/>
      <w:sz w:val="21"/>
      <w:szCs w:val="21"/>
    </w:rPr>
  </w:style>
  <w:style w:type="paragraph" w:customStyle="1" w:styleId="966">
    <w:name w:val="Body Text First Indent 21"/>
    <w:basedOn w:val="965"/>
    <w:autoRedefine/>
    <w:unhideWhenUsed/>
    <w:qFormat/>
    <w:uiPriority w:val="0"/>
    <w:pPr>
      <w:spacing w:beforeLines="0" w:afterLines="0"/>
      <w:ind w:firstLine="420"/>
    </w:pPr>
    <w:rPr>
      <w:rFonts w:hint="eastAsia" w:cs="宋体"/>
      <w:sz w:val="21"/>
      <w:szCs w:val="21"/>
    </w:rPr>
  </w:style>
  <w:style w:type="paragraph" w:customStyle="1" w:styleId="967">
    <w:name w:val="正文_0_0"/>
    <w:autoRedefine/>
    <w:unhideWhenUsed/>
    <w:qFormat/>
    <w:uiPriority w:val="0"/>
    <w:pPr>
      <w:widowControl w:val="0"/>
      <w:spacing w:beforeLines="0" w:afterLines="0"/>
      <w:jc w:val="both"/>
    </w:pPr>
    <w:rPr>
      <w:rFonts w:hint="default"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44990</Words>
  <Characters>47858</Characters>
  <Lines>1</Lines>
  <Paragraphs>1</Paragraphs>
  <TotalTime>28</TotalTime>
  <ScaleCrop>false</ScaleCrop>
  <LinksUpToDate>false</LinksUpToDate>
  <CharactersWithSpaces>55268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豆浆</cp:lastModifiedBy>
  <cp:lastPrinted>2021-12-29T11:06:00Z</cp:lastPrinted>
  <dcterms:modified xsi:type="dcterms:W3CDTF">2024-04-30T02:44:14Z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DF1DC4B3A2AB486FB80813EBCE2CBEF7_13</vt:lpwstr>
  </property>
</Properties>
</file>