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z w:val="56"/>
          <w:szCs w:val="56"/>
          <w:highlight w:val="none"/>
          <w:lang w:eastAsia="zh-CN"/>
        </w:rPr>
      </w:pPr>
      <w:bookmarkStart w:id="167" w:name="_GoBack"/>
      <w:r>
        <w:rPr>
          <w:rFonts w:hint="eastAsia" w:ascii="仿宋" w:hAnsi="仿宋" w:eastAsia="仿宋" w:cs="仿宋"/>
          <w:b/>
          <w:sz w:val="56"/>
          <w:szCs w:val="56"/>
          <w:highlight w:val="none"/>
          <w:lang w:eastAsia="zh-CN"/>
        </w:rPr>
        <w:t>绍兴市质量技术监督检测院大院内沥青混凝土路面面层维修改造项目</w:t>
      </w:r>
    </w:p>
    <w:p>
      <w:pPr>
        <w:jc w:val="center"/>
        <w:outlineLvl w:val="0"/>
        <w:rPr>
          <w:rFonts w:hint="eastAsia" w:ascii="仿宋" w:hAnsi="仿宋" w:eastAsia="仿宋" w:cs="仿宋"/>
          <w:b/>
          <w:sz w:val="72"/>
          <w:szCs w:val="72"/>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b/>
          <w:sz w:val="44"/>
          <w:szCs w:val="44"/>
          <w:highlight w:val="none"/>
        </w:rPr>
        <w:t xml:space="preserve"> </w:t>
      </w:r>
    </w:p>
    <w:p>
      <w:pPr>
        <w:spacing w:after="100" w:afterAutospacing="1" w:line="440" w:lineRule="exact"/>
        <w:jc w:val="center"/>
        <w:rPr>
          <w:rFonts w:hint="eastAsia" w:ascii="仿宋" w:hAnsi="仿宋" w:eastAsia="仿宋" w:cs="仿宋"/>
          <w:sz w:val="28"/>
          <w:szCs w:val="28"/>
          <w:highlight w:val="none"/>
          <w:lang w:val="en-US"/>
        </w:rPr>
      </w:pPr>
      <w:r>
        <w:rPr>
          <w:rFonts w:hint="eastAsia" w:ascii="仿宋" w:hAnsi="仿宋" w:eastAsia="仿宋" w:cs="仿宋"/>
          <w:sz w:val="28"/>
          <w:szCs w:val="28"/>
          <w:highlight w:val="none"/>
        </w:rPr>
        <w:t>招标编号:SXQS-202308-GK074</w:t>
      </w:r>
    </w:p>
    <w:p>
      <w:pPr>
        <w:pStyle w:val="41"/>
        <w:pBdr>
          <w:bottom w:val="none" w:color="auto" w:sz="0" w:space="0"/>
        </w:pBdr>
        <w:tabs>
          <w:tab w:val="clear" w:pos="4153"/>
          <w:tab w:val="clear" w:pos="8306"/>
        </w:tabs>
        <w:jc w:val="both"/>
        <w:rPr>
          <w:highlight w:val="none"/>
        </w:rPr>
      </w:pPr>
    </w:p>
    <w:p>
      <w:pPr>
        <w:jc w:val="center"/>
        <w:rPr>
          <w:rFonts w:hint="eastAsia" w:ascii="仿宋" w:hAnsi="仿宋" w:eastAsia="仿宋" w:cs="仿宋"/>
          <w:b/>
          <w:sz w:val="28"/>
          <w:szCs w:val="28"/>
          <w:highlight w:val="none"/>
        </w:rPr>
      </w:pP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240" w:lineRule="auto"/>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绍兴市质量技术监督检测院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jc w:val="both"/>
              <w:rPr>
                <w:rFonts w:hint="eastAsia" w:ascii="仿宋" w:hAnsi="仿宋" w:eastAsia="仿宋" w:cs="仿宋"/>
                <w:spacing w:val="93"/>
                <w:kern w:val="0"/>
                <w:sz w:val="28"/>
                <w:szCs w:val="28"/>
                <w:highlight w:val="none"/>
                <w:lang w:val="en-US" w:eastAsia="zh-CN"/>
              </w:rPr>
            </w:pPr>
            <w:r>
              <w:rPr>
                <w:rFonts w:hint="eastAsia" w:ascii="仿宋" w:hAnsi="仿宋" w:eastAsia="仿宋" w:cs="仿宋"/>
                <w:spacing w:val="0"/>
                <w:kern w:val="0"/>
                <w:sz w:val="28"/>
                <w:szCs w:val="28"/>
                <w:highlight w:val="none"/>
                <w:lang w:val="en-US" w:eastAsia="zh-CN"/>
              </w:rPr>
              <w:t>采购代理机构</w:t>
            </w:r>
            <w:r>
              <w:rPr>
                <w:rFonts w:hint="eastAsia" w:ascii="仿宋" w:hAnsi="仿宋" w:eastAsia="仿宋" w:cs="仿宋"/>
                <w:spacing w:val="93"/>
                <w:kern w:val="0"/>
                <w:sz w:val="28"/>
                <w:szCs w:val="28"/>
                <w:highlight w:val="none"/>
                <w:lang w:val="en-US" w:eastAsia="zh-CN"/>
              </w:rPr>
              <w:t>：</w:t>
            </w:r>
          </w:p>
        </w:tc>
        <w:tc>
          <w:tcPr>
            <w:tcW w:w="5445" w:type="dxa"/>
          </w:tcPr>
          <w:p>
            <w:pPr>
              <w:spacing w:line="240" w:lineRule="auto"/>
              <w:outlineLvl w:val="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pacing w:val="93"/>
                <w:kern w:val="0"/>
                <w:sz w:val="28"/>
                <w:szCs w:val="28"/>
                <w:highlight w:val="none"/>
                <w:lang w:val="en-US" w:eastAsia="zh-CN"/>
              </w:rPr>
            </w:pPr>
            <w:r>
              <w:rPr>
                <w:rFonts w:hint="eastAsia" w:ascii="仿宋" w:hAnsi="仿宋" w:eastAsia="仿宋" w:cs="仿宋"/>
                <w:spacing w:val="93"/>
                <w:kern w:val="0"/>
                <w:sz w:val="28"/>
                <w:szCs w:val="28"/>
                <w:highlight w:val="none"/>
                <w:lang w:val="en-US" w:eastAsia="zh-CN"/>
              </w:rPr>
              <w:t>监督单位：</w:t>
            </w:r>
          </w:p>
        </w:tc>
        <w:tc>
          <w:tcPr>
            <w:tcW w:w="5445" w:type="dxa"/>
          </w:tcPr>
          <w:p>
            <w:pPr>
              <w:spacing w:line="240" w:lineRule="auto"/>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八</w:t>
            </w:r>
            <w:r>
              <w:rPr>
                <w:rFonts w:hint="eastAsia" w:ascii="仿宋" w:hAnsi="仿宋" w:eastAsia="仿宋" w:cs="仿宋"/>
                <w:sz w:val="28"/>
                <w:szCs w:val="28"/>
                <w:highlight w:val="none"/>
              </w:rPr>
              <w:t>月</w:t>
            </w:r>
          </w:p>
        </w:tc>
      </w:tr>
    </w:tbl>
    <w:p>
      <w:pPr>
        <w:pStyle w:val="635"/>
        <w:rPr>
          <w:rFonts w:hint="eastAsia" w:ascii="仿宋" w:hAnsi="仿宋" w:eastAsia="仿宋" w:cs="仿宋"/>
          <w:highlight w:val="none"/>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绍兴市质量技术监督检测院大院内沥青混凝土路面面层维修改造项目</w:t>
      </w:r>
      <w:r>
        <w:rPr>
          <w:rFonts w:hint="eastAsia" w:ascii="仿宋" w:hAnsi="仿宋" w:eastAsia="仿宋" w:cs="仿宋"/>
          <w:color w:val="auto"/>
          <w:sz w:val="24"/>
          <w:highlight w:val="none"/>
        </w:rPr>
        <w:t>招标项目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3</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11</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SXQS-202308-GK074</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绍兴市质量技术监督检测院</w:t>
      </w:r>
      <w:r>
        <w:rPr>
          <w:rFonts w:hint="eastAsia" w:ascii="仿宋" w:hAnsi="仿宋" w:eastAsia="仿宋" w:cs="仿宋"/>
          <w:color w:val="auto"/>
          <w:sz w:val="24"/>
          <w:highlight w:val="none"/>
        </w:rPr>
        <w:t>大院内沥青混凝土路面面层维修改造项目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rPr>
        <w:t xml:space="preserve"> 6</w:t>
      </w:r>
      <w:r>
        <w:rPr>
          <w:rFonts w:hint="eastAsia" w:ascii="仿宋" w:hAnsi="仿宋" w:eastAsia="仿宋" w:cs="仿宋"/>
          <w:b w:val="0"/>
          <w:bCs/>
          <w:color w:val="auto"/>
          <w:sz w:val="24"/>
          <w:highlight w:val="none"/>
          <w:lang w:eastAsia="zh-CN"/>
        </w:rPr>
        <w:t>0</w:t>
      </w:r>
      <w:r>
        <w:rPr>
          <w:rFonts w:hint="eastAsia" w:ascii="仿宋" w:hAnsi="仿宋" w:eastAsia="仿宋" w:cs="仿宋"/>
          <w:color w:val="auto"/>
          <w:sz w:val="24"/>
          <w:highlight w:val="none"/>
          <w:lang w:val="en-US" w:eastAsia="zh-CN"/>
        </w:rPr>
        <w:t>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最高限价（元）： </w:t>
      </w:r>
      <w:r>
        <w:rPr>
          <w:rFonts w:hint="eastAsia" w:ascii="仿宋" w:hAnsi="仿宋" w:eastAsia="仿宋" w:cs="仿宋"/>
          <w:b w:val="0"/>
          <w:bCs/>
          <w:color w:val="auto"/>
          <w:sz w:val="24"/>
          <w:highlight w:val="none"/>
        </w:rPr>
        <w:t>60</w:t>
      </w:r>
      <w:r>
        <w:rPr>
          <w:rFonts w:hint="eastAsia" w:ascii="仿宋" w:hAnsi="仿宋" w:eastAsia="仿宋" w:cs="仿宋"/>
          <w:b w:val="0"/>
          <w:bCs/>
          <w:color w:val="auto"/>
          <w:sz w:val="24"/>
          <w:highlight w:val="none"/>
          <w:lang w:val="en-US" w:eastAsia="zh-CN"/>
        </w:rPr>
        <w:t>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rPr>
        <w:t>大院内沥青混凝土路面面层维修改造项目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rPr>
        <w:t>60</w:t>
      </w:r>
      <w:r>
        <w:rPr>
          <w:rFonts w:hint="eastAsia" w:ascii="仿宋" w:hAnsi="仿宋" w:eastAsia="仿宋" w:cs="仿宋"/>
          <w:b w:val="0"/>
          <w:bCs/>
          <w:color w:val="auto"/>
          <w:sz w:val="24"/>
          <w:highlight w:val="none"/>
          <w:lang w:val="en-US" w:eastAsia="zh-CN"/>
        </w:rPr>
        <w:t>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_GB2312" w:hAnsi="仿宋_GB2312" w:eastAsia="仿宋_GB2312" w:cs="仿宋_GB2312"/>
          <w:color w:val="000000"/>
          <w:sz w:val="24"/>
          <w:highlight w:val="none"/>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_GB2312" w:hAnsi="仿宋" w:eastAsia="仿宋_GB2312" w:cs="Arial"/>
          <w:color w:val="auto"/>
          <w:kern w:val="0"/>
          <w:sz w:val="24"/>
          <w:highlight w:val="none"/>
        </w:rPr>
        <w:sym w:font="Wingdings" w:char="00A8"/>
      </w:r>
      <w:r>
        <w:rPr>
          <w:rFonts w:hint="eastAsia" w:ascii="仿宋" w:hAnsi="仿宋" w:eastAsia="仿宋" w:cs="仿宋"/>
          <w:b/>
          <w:color w:val="auto"/>
          <w:sz w:val="24"/>
          <w:highlight w:val="none"/>
        </w:rPr>
        <w:t>是，</w:t>
      </w:r>
      <w:r>
        <w:rPr>
          <w:rFonts w:hint="eastAsia" w:ascii="仿宋_GB2312" w:hAnsi="仿宋" w:eastAsia="仿宋_GB2312" w:cs="Arial"/>
          <w:color w:val="auto"/>
          <w:kern w:val="0"/>
          <w:sz w:val="24"/>
          <w:highlight w:val="none"/>
        </w:rPr>
        <w:sym w:font="Wingdings" w:char="00FE"/>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具有沥青混凝土生产或销售许可，并具有摊铺能力的独立法人</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2023年9月11日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2023年9月11日9点30分00秒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b/>
          <w:color w:val="auto"/>
          <w:sz w:val="24"/>
          <w:highlight w:val="none"/>
        </w:rPr>
        <w:t>：</w:t>
      </w:r>
      <w:r>
        <w:rPr>
          <w:rFonts w:hint="eastAsia" w:ascii="仿宋" w:hAnsi="仿宋" w:eastAsia="仿宋" w:cs="仿宋"/>
          <w:color w:val="auto"/>
          <w:sz w:val="24"/>
          <w:highlight w:val="none"/>
          <w:u w:val="single"/>
        </w:rPr>
        <w:t>2023年9月11日9点30分00秒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highlight w:val="none"/>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96"/>
      <w:bookmarkStart w:id="7" w:name="_Toc28359019"/>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val="en-US" w:eastAsia="zh-CN"/>
        </w:rPr>
        <w:t>绍兴市质量技术监督检测院</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绍兴市越城区沥海街道滨海新城花宫道8号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lang w:val="en-US" w:eastAsia="zh-CN"/>
        </w:rPr>
        <w:t xml:space="preserve">马建华 </w:t>
      </w:r>
      <w:r>
        <w:rPr>
          <w:rFonts w:hint="eastAsia" w:ascii="仿宋_GB2312" w:hAnsi="新宋体" w:eastAsia="仿宋_GB2312"/>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_GB2312" w:hAnsi="新宋体" w:eastAsia="仿宋_GB2312"/>
          <w:color w:val="auto"/>
          <w:sz w:val="24"/>
          <w:highlight w:val="none"/>
          <w:lang w:val="en-US" w:eastAsia="zh-CN"/>
        </w:rPr>
        <w:t>0575-89197779</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质疑联系人： </w:t>
      </w:r>
      <w:r>
        <w:rPr>
          <w:rFonts w:hint="eastAsia" w:ascii="仿宋" w:hAnsi="仿宋" w:eastAsia="仿宋" w:cs="仿宋"/>
          <w:color w:val="auto"/>
          <w:sz w:val="24"/>
          <w:highlight w:val="none"/>
          <w:lang w:val="en-US" w:eastAsia="zh-CN"/>
        </w:rPr>
        <w:t>沈国炎</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w:t>
      </w:r>
      <w:r>
        <w:rPr>
          <w:rFonts w:hint="eastAsia" w:ascii="仿宋" w:hAnsi="仿宋" w:eastAsia="仿宋" w:cs="仿宋"/>
          <w:color w:val="auto"/>
          <w:sz w:val="24"/>
          <w:highlight w:val="none"/>
        </w:rPr>
        <w:t>88132729</w:t>
      </w:r>
    </w:p>
    <w:p>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28359020"/>
      <w:bookmarkStart w:id="11" w:name="_Toc28359097"/>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绍兴市越城区迪荡街道龙湖大厦17楼SP1703室</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项目联系人（询问）：韩萍</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 13989509672</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639"/>
      <w:bookmarkStart w:id="15" w:name="_Toc35393808"/>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val="en-US" w:eastAsia="zh-CN"/>
        </w:rPr>
        <w:t xml:space="preserve"> 张婷婷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0575-85209806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highlight w:val="none"/>
        </w:rPr>
        <w:t>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sym w:font="Wingdings 2" w:char="0052"/>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sym w:font="Wingdings 2" w:char="0052"/>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lang w:val="en-US" w:eastAsia="zh-CN"/>
              </w:rPr>
              <w:t>标项一</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建筑业</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19</w:t>
            </w:r>
          </w:p>
        </w:tc>
        <w:tc>
          <w:tcPr>
            <w:tcW w:w="8370" w:type="dxa"/>
            <w:gridSpan w:val="2"/>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keepNext w:val="0"/>
              <w:keepLines w:val="0"/>
              <w:pageBreakBefore w:val="0"/>
              <w:widowControl w:val="0"/>
              <w:suppressLineNumbers w:val="0"/>
              <w:kinsoku/>
              <w:wordWrap/>
              <w:overflowPunct/>
              <w:topLinePunct w:val="0"/>
              <w:bidi w:val="0"/>
              <w:adjustRightInd/>
              <w:snapToGrid w:val="0"/>
              <w:spacing w:beforeAutospacing="0" w:afterAutospacing="0" w:line="312" w:lineRule="auto"/>
              <w:ind w:left="0" w:leftChars="0" w:right="0" w:rightChars="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以中标通知中确定的中标总金额作为服务费的计算基数，具体比例参照《国家计委关于印发&lt;招标代理服务收费管理暂行办法&gt;的通知》（计价格[2002]1980号）文件规定的收费基准价格执行。收费标准：中标金额在100万以下部分为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最低收费标准</w:t>
            </w:r>
            <w:r>
              <w:rPr>
                <w:rFonts w:hint="eastAsia" w:ascii="仿宋" w:hAnsi="仿宋" w:eastAsia="仿宋" w:cs="仿宋"/>
                <w:color w:val="auto"/>
                <w:sz w:val="24"/>
                <w:highlight w:val="none"/>
                <w:lang w:val="en-US" w:eastAsia="zh-CN"/>
              </w:rPr>
              <w:t>4000</w:t>
            </w:r>
            <w:r>
              <w:rPr>
                <w:rFonts w:hint="eastAsia" w:ascii="仿宋" w:hAnsi="仿宋" w:eastAsia="仿宋" w:cs="仿宋"/>
                <w:color w:val="auto"/>
                <w:sz w:val="24"/>
                <w:highlight w:val="none"/>
              </w:rPr>
              <w:t>元。</w:t>
            </w:r>
          </w:p>
          <w:p>
            <w:pPr>
              <w:keepNext w:val="0"/>
              <w:keepLines w:val="0"/>
              <w:pageBreakBefore w:val="0"/>
              <w:widowControl w:val="0"/>
              <w:kinsoku/>
              <w:wordWrap/>
              <w:overflowPunct/>
              <w:topLinePunct w:val="0"/>
              <w:bidi w:val="0"/>
              <w:adjustRightInd/>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）中标服务费的交纳方式：</w:t>
            </w:r>
          </w:p>
          <w:p>
            <w:pPr>
              <w:keepNext w:val="0"/>
              <w:keepLines w:val="0"/>
              <w:pageBreakBefore w:val="0"/>
              <w:widowControl w:val="0"/>
              <w:kinsoku/>
              <w:wordWrap/>
              <w:overflowPunct/>
              <w:topLinePunct w:val="0"/>
              <w:bidi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keepNext w:val="0"/>
              <w:keepLines w:val="0"/>
              <w:pageBreakBefore w:val="0"/>
              <w:widowControl w:val="0"/>
              <w:kinsoku/>
              <w:wordWrap/>
              <w:overflowPunct/>
              <w:topLinePunct w:val="0"/>
              <w:bidi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公司名称：绍兴虬实企业管理咨询有限公司</w:t>
            </w:r>
          </w:p>
          <w:p>
            <w:pPr>
              <w:keepNext w:val="0"/>
              <w:keepLines w:val="0"/>
              <w:pageBreakBefore w:val="0"/>
              <w:widowControl w:val="0"/>
              <w:kinsoku/>
              <w:wordWrap/>
              <w:overflowPunct/>
              <w:topLinePunct w:val="0"/>
              <w:bidi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号：2006767942000015</w:t>
            </w:r>
          </w:p>
          <w:p>
            <w:pPr>
              <w:keepNext w:val="0"/>
              <w:keepLines w:val="0"/>
              <w:pageBreakBefore w:val="0"/>
              <w:widowControl w:val="0"/>
              <w:kinsoku/>
              <w:wordWrap/>
              <w:overflowPunct/>
              <w:topLinePunct w:val="0"/>
              <w:bidi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行：绍兴银行股份有限公司禹陵支行</w:t>
            </w:r>
          </w:p>
          <w:p>
            <w:pPr>
              <w:spacing w:line="336" w:lineRule="auto"/>
              <w:rPr>
                <w:rFonts w:hint="eastAsia" w:ascii="仿宋" w:hAnsi="仿宋" w:eastAsia="仿宋" w:cs="仿宋"/>
                <w:kern w:val="2"/>
                <w:sz w:val="21"/>
                <w:szCs w:val="24"/>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highlight w:val="none"/>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w:t>
      </w:r>
      <w:r>
        <w:rPr>
          <w:rFonts w:hint="eastAsia" w:ascii="仿宋" w:hAnsi="仿宋" w:eastAsia="仿宋" w:cs="仿宋"/>
          <w:sz w:val="24"/>
          <w:highlight w:val="none"/>
        </w:rPr>
        <w:t>“供应商”</w:t>
      </w:r>
      <w:r>
        <w:rPr>
          <w:rFonts w:hint="eastAsia" w:ascii="仿宋" w:hAnsi="仿宋" w:eastAsia="仿宋" w:cs="仿宋"/>
          <w:sz w:val="24"/>
          <w:highlight w:val="none"/>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”系指适用本项目的要求，“☐”系指不适用本项目的要求。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w:t>
      </w:r>
      <w:r>
        <w:rPr>
          <w:rFonts w:hint="eastAsia" w:ascii="仿宋_GB2312" w:hAnsi="仿宋" w:eastAsia="仿宋_GB2312"/>
          <w:sz w:val="24"/>
          <w:highlight w:val="none"/>
        </w:rPr>
        <w:t>项目中的非预留部分采购包，采购人、采购代理机构将对符合规定的小微企业报价给予10</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w:t>
      </w:r>
      <w:r>
        <w:rPr>
          <w:rFonts w:hint="eastAsia" w:ascii="仿宋_GB2312" w:hAnsi="仿宋" w:eastAsia="仿宋_GB2312"/>
          <w:sz w:val="24"/>
          <w:highlight w:val="none"/>
        </w:rPr>
        <w:t>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ascii="仿宋_GB2312" w:hAnsi="仿宋" w:eastAsia="仿宋_GB2312"/>
          <w:sz w:val="24"/>
          <w:highlight w:val="none"/>
        </w:rPr>
        <w:t>3.4</w:t>
      </w:r>
      <w:r>
        <w:rPr>
          <w:rFonts w:hint="eastAsia" w:ascii="仿宋_GB2312" w:eastAsia="仿宋_GB2312"/>
          <w:bCs/>
          <w:sz w:val="24"/>
          <w:highlight w:val="none"/>
        </w:rPr>
        <w:t>支持科技创新创新发展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hint="eastAsia"/>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2.2.3授权代表社保证明；</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pPr>
        <w:pStyle w:val="130"/>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19" w:name="_Toc91899903"/>
      <w:r>
        <w:rPr>
          <w:rFonts w:hint="eastAsia" w:ascii="仿宋" w:hAnsi="仿宋" w:eastAsia="仿宋" w:cs="仿宋"/>
          <w:b/>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20" w:name="_Hlt68072990"/>
      <w:bookmarkEnd w:id="20"/>
      <w:bookmarkStart w:id="21" w:name="_Hlt74729768"/>
      <w:bookmarkEnd w:id="21"/>
      <w:bookmarkStart w:id="22" w:name="_Hlt68403820"/>
      <w:bookmarkEnd w:id="22"/>
      <w:bookmarkStart w:id="23" w:name="_Hlt68073093"/>
      <w:bookmarkEnd w:id="23"/>
      <w:bookmarkStart w:id="24" w:name="_Hlt74707468"/>
      <w:bookmarkEnd w:id="24"/>
      <w:bookmarkStart w:id="25" w:name="_Hlt75236011"/>
      <w:bookmarkEnd w:id="25"/>
      <w:bookmarkStart w:id="26" w:name="_Hlt74714665"/>
      <w:bookmarkEnd w:id="26"/>
      <w:bookmarkStart w:id="27" w:name="_Hlt74730295"/>
      <w:bookmarkEnd w:id="27"/>
      <w:bookmarkStart w:id="28" w:name="_Hlt75236290"/>
      <w:bookmarkEnd w:id="28"/>
      <w:bookmarkStart w:id="29" w:name="_Hlt75236101"/>
      <w:bookmarkEnd w:id="29"/>
      <w:bookmarkStart w:id="30" w:name="_Hlt68057669"/>
      <w:bookmarkEnd w:id="30"/>
      <w:bookmarkStart w:id="31" w:name="_Hlt68072998"/>
      <w:bookmarkEnd w:id="31"/>
      <w:bookmarkStart w:id="32" w:name="_Toc81372776"/>
      <w:bookmarkStart w:id="33" w:name="_Toc81372953"/>
      <w:bookmarkStart w:id="34" w:name="_Toc84325929"/>
      <w:r>
        <w:rPr>
          <w:rFonts w:hint="eastAsia" w:ascii="仿宋" w:hAnsi="仿宋" w:eastAsia="仿宋" w:cs="仿宋"/>
          <w:b/>
          <w:sz w:val="32"/>
          <w:szCs w:val="32"/>
          <w:highlight w:val="none"/>
        </w:rPr>
        <w:t>五、授予合同</w:t>
      </w:r>
    </w:p>
    <w:bookmarkEnd w:id="32"/>
    <w:bookmarkEnd w:id="33"/>
    <w:bookmarkEnd w:id="34"/>
    <w:p>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w:t>
      </w:r>
      <w:r>
        <w:rPr>
          <w:rFonts w:hint="eastAsia" w:ascii="仿宋" w:hAnsi="仿宋" w:eastAsia="仿宋" w:cs="仿宋"/>
          <w:b/>
          <w:bCs/>
          <w:sz w:val="24"/>
          <w:highlight w:val="none"/>
          <w:lang w:val="en-US" w:eastAsia="zh-CN"/>
        </w:rPr>
        <w:t>3个工作日内</w:t>
      </w:r>
      <w:r>
        <w:rPr>
          <w:rFonts w:hint="eastAsia" w:ascii="仿宋" w:hAnsi="仿宋" w:eastAsia="仿宋" w:cs="仿宋"/>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highlight w:val="none"/>
        </w:rPr>
        <w:sectPr>
          <w:footerReference r:id="rId6" w:type="default"/>
          <w:pgSz w:w="11906" w:h="16838"/>
          <w:pgMar w:top="1474" w:right="1814" w:bottom="1474" w:left="1814" w:header="851" w:footer="992" w:gutter="0"/>
          <w:pgNumType w:fmt="decimal"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35" w:name="第四部分"/>
      <w:r>
        <w:rPr>
          <w:rFonts w:hint="eastAsia" w:ascii="仿宋" w:hAnsi="仿宋" w:eastAsia="仿宋" w:cs="仿宋"/>
          <w:b/>
          <w:sz w:val="36"/>
          <w:szCs w:val="36"/>
          <w:highlight w:val="none"/>
        </w:rPr>
        <w:t>第三部分   招标项目范围及要求</w:t>
      </w:r>
    </w:p>
    <w:bookmarkEnd w:id="35"/>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2"/>
          <w:szCs w:val="32"/>
          <w:highlight w:val="none"/>
        </w:rPr>
      </w:pPr>
      <w:bookmarkStart w:id="36" w:name="第五部分"/>
      <w:bookmarkStart w:id="37" w:name="_Toc86217003"/>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一、项</w:t>
      </w:r>
      <w:r>
        <w:rPr>
          <w:rFonts w:hint="eastAsia" w:ascii="仿宋" w:hAnsi="仿宋" w:eastAsia="仿宋" w:cs="仿宋"/>
          <w:b/>
          <w:sz w:val="28"/>
          <w:szCs w:val="28"/>
          <w:highlight w:val="none"/>
          <w:lang w:val="en-US" w:eastAsia="zh-CN"/>
        </w:rPr>
        <w:t>目概况及招标范围</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绍兴市质量技术监督检测院大院内摊铺4cm厚AC-13C细粒式沥青混凝土路面 950吨（约 9898平方米），内容包括：路基清理、路面破损处修补、现状井（雨水井、废水井、污水井、水表井等）升高，废料外运及处置、材料二次搬运、铺设石油沥青下封层、机械（或人工）摊铺细粒式沥青混凝土路面厚度 4cm。摊铺后，原有沥青路面标线重新划线。交货期为 60日历天，交货地点为绍兴市质量技术监督检测院大院内（具体地址按业主指定地点为准）。</w:t>
      </w:r>
    </w:p>
    <w:p>
      <w:pPr>
        <w:pStyle w:val="79"/>
        <w:numPr>
          <w:ilvl w:val="0"/>
          <w:numId w:val="0"/>
        </w:numPr>
        <w:ind w:firstLine="480" w:firstLineChars="200"/>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服务清单</w:t>
      </w:r>
    </w:p>
    <w:tbl>
      <w:tblPr>
        <w:tblStyle w:val="62"/>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52"/>
        <w:gridCol w:w="2366"/>
        <w:gridCol w:w="975"/>
        <w:gridCol w:w="1215"/>
        <w:gridCol w:w="3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1" w:hRule="atLeast"/>
        </w:trPr>
        <w:tc>
          <w:tcPr>
            <w:tcW w:w="652" w:type="dxa"/>
            <w:noWrap w:val="0"/>
            <w:vAlign w:val="center"/>
          </w:tcPr>
          <w:p>
            <w:pPr>
              <w:spacing w:line="360" w:lineRule="auto"/>
              <w:rPr>
                <w:rFonts w:hint="eastAsia" w:ascii="仿宋" w:hAnsi="仿宋" w:eastAsia="仿宋" w:cs="宋体"/>
                <w:bCs/>
                <w:sz w:val="24"/>
                <w:highlight w:val="none"/>
              </w:rPr>
            </w:pPr>
            <w:r>
              <w:rPr>
                <w:rFonts w:hint="eastAsia" w:ascii="仿宋" w:hAnsi="仿宋" w:eastAsia="仿宋" w:cs="宋体"/>
                <w:bCs/>
                <w:sz w:val="24"/>
                <w:highlight w:val="none"/>
              </w:rPr>
              <w:t>序号</w:t>
            </w:r>
          </w:p>
        </w:tc>
        <w:tc>
          <w:tcPr>
            <w:tcW w:w="2366" w:type="dxa"/>
            <w:noWrap w:val="0"/>
            <w:vAlign w:val="center"/>
          </w:tcPr>
          <w:p>
            <w:pPr>
              <w:spacing w:line="360" w:lineRule="auto"/>
              <w:ind w:firstLine="480" w:firstLineChars="200"/>
              <w:jc w:val="center"/>
              <w:rPr>
                <w:rFonts w:hint="eastAsia" w:ascii="仿宋" w:hAnsi="仿宋" w:eastAsia="仿宋" w:cs="宋体"/>
                <w:bCs/>
                <w:sz w:val="24"/>
                <w:highlight w:val="none"/>
              </w:rPr>
            </w:pPr>
            <w:r>
              <w:rPr>
                <w:rFonts w:hint="eastAsia" w:ascii="仿宋" w:hAnsi="仿宋" w:eastAsia="仿宋" w:cs="宋体"/>
                <w:bCs/>
                <w:sz w:val="24"/>
                <w:highlight w:val="none"/>
              </w:rPr>
              <w:t>项目</w:t>
            </w:r>
          </w:p>
        </w:tc>
        <w:tc>
          <w:tcPr>
            <w:tcW w:w="975" w:type="dxa"/>
            <w:noWrap w:val="0"/>
            <w:vAlign w:val="center"/>
          </w:tcPr>
          <w:p>
            <w:pPr>
              <w:spacing w:line="360" w:lineRule="auto"/>
              <w:jc w:val="center"/>
              <w:rPr>
                <w:rFonts w:hint="eastAsia" w:ascii="仿宋" w:hAnsi="仿宋" w:eastAsia="仿宋" w:cs="宋体"/>
                <w:bCs/>
                <w:sz w:val="24"/>
                <w:highlight w:val="none"/>
              </w:rPr>
            </w:pPr>
            <w:r>
              <w:rPr>
                <w:rFonts w:hint="eastAsia" w:ascii="仿宋" w:hAnsi="仿宋" w:eastAsia="仿宋" w:cs="宋体"/>
                <w:bCs/>
                <w:sz w:val="24"/>
                <w:highlight w:val="none"/>
              </w:rPr>
              <w:t>单位</w:t>
            </w:r>
          </w:p>
        </w:tc>
        <w:tc>
          <w:tcPr>
            <w:tcW w:w="1215" w:type="dxa"/>
            <w:noWrap w:val="0"/>
            <w:vAlign w:val="center"/>
          </w:tcPr>
          <w:p>
            <w:pPr>
              <w:spacing w:line="360"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数量</w:t>
            </w:r>
          </w:p>
        </w:tc>
        <w:tc>
          <w:tcPr>
            <w:tcW w:w="3272" w:type="dxa"/>
            <w:noWrap w:val="0"/>
            <w:vAlign w:val="center"/>
          </w:tcPr>
          <w:p>
            <w:pPr>
              <w:spacing w:line="360" w:lineRule="auto"/>
              <w:ind w:firstLine="480" w:firstLineChars="200"/>
              <w:jc w:val="center"/>
              <w:rPr>
                <w:rFonts w:hint="eastAsia" w:ascii="仿宋" w:hAnsi="仿宋" w:eastAsia="仿宋" w:cs="宋体"/>
                <w:bCs/>
                <w:sz w:val="24"/>
                <w:highlight w:val="none"/>
              </w:rPr>
            </w:pPr>
            <w:r>
              <w:rPr>
                <w:rFonts w:hint="eastAsia" w:ascii="仿宋" w:hAnsi="仿宋" w:eastAsia="仿宋" w:cs="宋体"/>
                <w:bCs/>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70" w:hRule="atLeast"/>
        </w:trPr>
        <w:tc>
          <w:tcPr>
            <w:tcW w:w="652" w:type="dxa"/>
            <w:noWrap w:val="0"/>
            <w:vAlign w:val="center"/>
          </w:tcPr>
          <w:p>
            <w:pPr>
              <w:spacing w:line="360" w:lineRule="auto"/>
              <w:jc w:val="center"/>
              <w:rPr>
                <w:rFonts w:hint="eastAsia" w:ascii="仿宋" w:hAnsi="仿宋" w:eastAsia="仿宋" w:cs="宋体"/>
                <w:bCs/>
                <w:sz w:val="24"/>
                <w:highlight w:val="none"/>
              </w:rPr>
            </w:pPr>
            <w:r>
              <w:rPr>
                <w:rFonts w:hint="eastAsia" w:ascii="仿宋" w:hAnsi="仿宋" w:eastAsia="仿宋" w:cs="宋体"/>
                <w:bCs/>
                <w:sz w:val="24"/>
                <w:highlight w:val="none"/>
              </w:rPr>
              <w:t>1</w:t>
            </w:r>
          </w:p>
        </w:tc>
        <w:tc>
          <w:tcPr>
            <w:tcW w:w="2366" w:type="dxa"/>
            <w:noWrap w:val="0"/>
            <w:vAlign w:val="center"/>
          </w:tcPr>
          <w:p>
            <w:pPr>
              <w:spacing w:line="360" w:lineRule="auto"/>
              <w:jc w:val="left"/>
              <w:rPr>
                <w:rFonts w:hint="eastAsia" w:ascii="仿宋" w:hAnsi="仿宋" w:eastAsia="仿宋" w:cs="宋体"/>
                <w:bCs/>
                <w:sz w:val="24"/>
                <w:highlight w:val="none"/>
              </w:rPr>
            </w:pPr>
            <w:r>
              <w:rPr>
                <w:rFonts w:hint="eastAsia" w:ascii="仿宋" w:hAnsi="仿宋" w:eastAsia="仿宋" w:cs="宋体"/>
                <w:bCs/>
                <w:sz w:val="24"/>
                <w:highlight w:val="none"/>
              </w:rPr>
              <w:t>大院内沥青混凝土路面面层维修</w:t>
            </w:r>
          </w:p>
        </w:tc>
        <w:tc>
          <w:tcPr>
            <w:tcW w:w="975" w:type="dxa"/>
            <w:noWrap w:val="0"/>
            <w:vAlign w:val="center"/>
          </w:tcPr>
          <w:p>
            <w:pPr>
              <w:spacing w:line="360" w:lineRule="auto"/>
              <w:jc w:val="center"/>
              <w:rPr>
                <w:rFonts w:hint="eastAsia" w:ascii="仿宋" w:hAnsi="仿宋" w:eastAsia="仿宋" w:cs="宋体"/>
                <w:bCs/>
                <w:sz w:val="24"/>
                <w:highlight w:val="none"/>
                <w:lang w:eastAsia="zh-CN"/>
              </w:rPr>
            </w:pPr>
            <w:r>
              <w:rPr>
                <w:rFonts w:hint="eastAsia" w:ascii="仿宋" w:hAnsi="仿宋" w:eastAsia="仿宋" w:cs="宋体"/>
                <w:bCs/>
                <w:sz w:val="24"/>
                <w:highlight w:val="none"/>
                <w:lang w:val="en-US" w:eastAsia="zh-CN"/>
              </w:rPr>
              <w:t>吨</w:t>
            </w:r>
          </w:p>
        </w:tc>
        <w:tc>
          <w:tcPr>
            <w:tcW w:w="1215" w:type="dxa"/>
            <w:noWrap w:val="0"/>
            <w:vAlign w:val="center"/>
          </w:tcPr>
          <w:p>
            <w:pPr>
              <w:spacing w:line="360" w:lineRule="auto"/>
              <w:ind w:firstLine="480" w:firstLineChars="200"/>
              <w:jc w:val="left"/>
              <w:rPr>
                <w:rFonts w:hint="default" w:ascii="仿宋" w:hAnsi="仿宋" w:eastAsia="仿宋" w:cs="宋体"/>
                <w:bCs/>
                <w:sz w:val="24"/>
                <w:highlight w:val="none"/>
                <w:lang w:val="en-US" w:eastAsia="zh-CN"/>
              </w:rPr>
            </w:pPr>
            <w:r>
              <w:rPr>
                <w:rFonts w:hint="eastAsia" w:ascii="仿宋" w:hAnsi="仿宋" w:eastAsia="仿宋" w:cs="宋体"/>
                <w:bCs/>
                <w:sz w:val="24"/>
                <w:highlight w:val="none"/>
                <w:lang w:val="en-US" w:eastAsia="zh-CN"/>
              </w:rPr>
              <w:t>950</w:t>
            </w:r>
          </w:p>
        </w:tc>
        <w:tc>
          <w:tcPr>
            <w:tcW w:w="3272" w:type="dxa"/>
            <w:noWrap w:val="0"/>
            <w:vAlign w:val="center"/>
          </w:tcPr>
          <w:p>
            <w:pPr>
              <w:spacing w:line="360" w:lineRule="auto"/>
              <w:jc w:val="left"/>
              <w:rPr>
                <w:rFonts w:hint="eastAsia" w:ascii="仿宋" w:hAnsi="仿宋" w:eastAsia="仿宋" w:cs="宋体"/>
                <w:bCs/>
                <w:sz w:val="24"/>
                <w:highlight w:val="none"/>
              </w:rPr>
            </w:pPr>
            <w:r>
              <w:rPr>
                <w:rFonts w:hint="eastAsia" w:ascii="仿宋" w:hAnsi="仿宋" w:eastAsia="仿宋" w:cs="宋体"/>
                <w:bCs/>
                <w:sz w:val="24"/>
                <w:highlight w:val="none"/>
              </w:rPr>
              <w:t>包括原沥青路面刨除，新沥青摊铺。详见“施工技术要求”</w:t>
            </w:r>
          </w:p>
          <w:p>
            <w:pPr>
              <w:spacing w:line="360" w:lineRule="auto"/>
              <w:jc w:val="left"/>
              <w:rPr>
                <w:rFonts w:hint="eastAsia" w:ascii="仿宋" w:hAnsi="仿宋" w:eastAsia="仿宋" w:cs="宋体"/>
                <w:bCs/>
                <w:sz w:val="24"/>
                <w:highlight w:val="none"/>
              </w:rPr>
            </w:pPr>
            <w:r>
              <w:rPr>
                <w:rFonts w:hint="eastAsia" w:ascii="仿宋" w:hAnsi="仿宋" w:eastAsia="仿宋" w:cs="宋体"/>
                <w:bCs/>
                <w:sz w:val="24"/>
                <w:highlight w:val="none"/>
              </w:rPr>
              <w:t>沥青规格：AC-13C细粒式沥青混凝土</w:t>
            </w:r>
          </w:p>
          <w:p>
            <w:pPr>
              <w:spacing w:line="360" w:lineRule="auto"/>
              <w:jc w:val="left"/>
              <w:rPr>
                <w:rFonts w:hint="eastAsia" w:ascii="仿宋" w:hAnsi="仿宋" w:eastAsia="仿宋" w:cs="宋体"/>
                <w:bCs/>
                <w:sz w:val="24"/>
                <w:highlight w:val="none"/>
              </w:rPr>
            </w:pPr>
            <w:r>
              <w:rPr>
                <w:rFonts w:hint="eastAsia" w:ascii="仿宋" w:hAnsi="仿宋" w:eastAsia="仿宋" w:cs="宋体"/>
                <w:bCs/>
                <w:sz w:val="24"/>
                <w:highlight w:val="none"/>
              </w:rPr>
              <w:t>沥青铺设厚度：4cm</w:t>
            </w:r>
          </w:p>
        </w:tc>
      </w:tr>
    </w:tbl>
    <w:p>
      <w:pPr>
        <w:spacing w:before="156" w:beforeLines="50" w:line="300" w:lineRule="auto"/>
        <w:rPr>
          <w:rFonts w:ascii="仿宋" w:hAnsi="仿宋" w:eastAsia="仿宋" w:cs="宋体"/>
          <w:b/>
          <w:sz w:val="28"/>
          <w:szCs w:val="28"/>
          <w:highlight w:val="none"/>
        </w:rPr>
      </w:pPr>
      <w:r>
        <w:rPr>
          <w:rFonts w:ascii="仿宋" w:hAnsi="仿宋" w:eastAsia="仿宋" w:cs="宋体"/>
          <w:b/>
          <w:sz w:val="24"/>
          <w:highlight w:val="none"/>
        </w:rPr>
        <w:t>二、</w:t>
      </w:r>
      <w:r>
        <w:rPr>
          <w:rFonts w:hint="eastAsia" w:ascii="仿宋" w:hAnsi="仿宋" w:eastAsia="仿宋" w:cs="宋体"/>
          <w:b/>
          <w:sz w:val="24"/>
          <w:highlight w:val="none"/>
        </w:rPr>
        <w:t>施工技术要求</w:t>
      </w:r>
    </w:p>
    <w:p>
      <w:pPr>
        <w:adjustRightInd w:val="0"/>
        <w:spacing w:line="336"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沥青路面施工应遵守（JTG F40--2004）之规定执行，还需符合以下技术要求：</w:t>
      </w:r>
    </w:p>
    <w:p>
      <w:pPr>
        <w:adjustRightInd w:val="0"/>
        <w:spacing w:line="336"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1</w:t>
      </w:r>
      <w:r>
        <w:rPr>
          <w:rFonts w:hint="eastAsia" w:ascii="仿宋" w:hAnsi="仿宋" w:eastAsia="仿宋" w:cs="宋体"/>
          <w:bCs/>
          <w:sz w:val="24"/>
          <w:highlight w:val="none"/>
          <w:lang w:val="en-US" w:eastAsia="zh-CN"/>
        </w:rPr>
        <w:t>.</w:t>
      </w:r>
      <w:r>
        <w:rPr>
          <w:rFonts w:hint="eastAsia" w:ascii="仿宋" w:hAnsi="仿宋" w:eastAsia="仿宋" w:cs="宋体"/>
          <w:bCs/>
          <w:sz w:val="24"/>
          <w:highlight w:val="none"/>
        </w:rPr>
        <w:t>铣刨前应进行现有路面高程测量，分别测出路边平石标高。根据现场测得数据进行内业准备，进行纵横调坡设计计算。按20米一个断面计算出各断面具体铣刨深度，制成表格作为施工时执行的依据。</w:t>
      </w:r>
    </w:p>
    <w:p>
      <w:pPr>
        <w:adjustRightInd w:val="0"/>
        <w:spacing w:line="336"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2</w:t>
      </w:r>
      <w:r>
        <w:rPr>
          <w:rFonts w:hint="eastAsia" w:ascii="仿宋" w:hAnsi="仿宋" w:eastAsia="仿宋" w:cs="宋体"/>
          <w:bCs/>
          <w:sz w:val="24"/>
          <w:highlight w:val="none"/>
          <w:lang w:val="en-US" w:eastAsia="zh-CN"/>
        </w:rPr>
        <w:t>.</w:t>
      </w:r>
      <w:r>
        <w:rPr>
          <w:rFonts w:hint="eastAsia" w:ascii="仿宋" w:hAnsi="仿宋" w:eastAsia="仿宋" w:cs="宋体"/>
          <w:bCs/>
          <w:sz w:val="24"/>
          <w:highlight w:val="none"/>
        </w:rPr>
        <w:t>路面调坡设计综合考虑纵坡、横坡两方面的因素并结合排水需求。将路面现状各断面相应点实测标高减去调坡设计计算出的各点标高，则为该断面相应点路面铣刨深度。将此数据整理列表，作为精铣刨施工的依据。原路面铣刨厚度不少于4cm。</w:t>
      </w:r>
    </w:p>
    <w:p>
      <w:pPr>
        <w:adjustRightInd w:val="0"/>
        <w:spacing w:line="336"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3</w:t>
      </w:r>
      <w:r>
        <w:rPr>
          <w:rFonts w:hint="eastAsia" w:ascii="仿宋" w:hAnsi="仿宋" w:eastAsia="仿宋" w:cs="宋体"/>
          <w:bCs/>
          <w:sz w:val="24"/>
          <w:highlight w:val="none"/>
          <w:lang w:val="en-US" w:eastAsia="zh-CN"/>
        </w:rPr>
        <w:t>.</w:t>
      </w:r>
      <w:r>
        <w:rPr>
          <w:rFonts w:hint="eastAsia" w:ascii="仿宋" w:hAnsi="仿宋" w:eastAsia="仿宋" w:cs="宋体"/>
          <w:bCs/>
          <w:sz w:val="24"/>
          <w:highlight w:val="none"/>
        </w:rPr>
        <w:t>项目实施前进对机械操作人员及其他参与施工的所有人员进行详细交底。施工交底包括施工技术交底与施工安全交底两方面，施工技术交底由本项目技负责人负责实施；施工安全交底由专职安全工程师负责实施。施工技术交底必须对所有施工人员讲解清楚路面精铣刨施工的意义、设计依据，具体施工方法与质量控制要点。提高施工及管理人员安全意识。</w:t>
      </w:r>
    </w:p>
    <w:p>
      <w:pPr>
        <w:adjustRightInd w:val="0"/>
        <w:spacing w:line="336"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4</w:t>
      </w:r>
      <w:r>
        <w:rPr>
          <w:rFonts w:hint="eastAsia" w:ascii="仿宋" w:hAnsi="仿宋" w:eastAsia="仿宋" w:cs="宋体"/>
          <w:bCs/>
          <w:sz w:val="24"/>
          <w:highlight w:val="none"/>
          <w:lang w:val="en-US" w:eastAsia="zh-CN"/>
        </w:rPr>
        <w:t>.</w:t>
      </w:r>
      <w:r>
        <w:rPr>
          <w:rFonts w:hint="eastAsia" w:ascii="仿宋" w:hAnsi="仿宋" w:eastAsia="仿宋" w:cs="宋体"/>
          <w:bCs/>
          <w:sz w:val="24"/>
          <w:highlight w:val="none"/>
        </w:rPr>
        <w:t>精铣刨施工对横向端头要进行切缝（缝深不小于3cm），端头无法铣刨到规定深度应用人工配合风镐剔除到要求的深度，根据合同要求的铣刨深度</w:t>
      </w:r>
      <w:r>
        <w:rPr>
          <w:rFonts w:hint="eastAsia" w:ascii="仿宋" w:hAnsi="仿宋" w:eastAsia="仿宋" w:cs="宋体"/>
          <w:bCs/>
          <w:sz w:val="24"/>
          <w:highlight w:val="none"/>
          <w:lang w:eastAsia="zh-CN"/>
        </w:rPr>
        <w:t>，</w:t>
      </w:r>
      <w:r>
        <w:rPr>
          <w:rFonts w:hint="eastAsia" w:ascii="仿宋" w:hAnsi="仿宋" w:eastAsia="仿宋" w:cs="宋体"/>
          <w:bCs/>
          <w:sz w:val="24"/>
          <w:highlight w:val="none"/>
        </w:rPr>
        <w:t>当一个铣刨段中包括几个连续铣刨区间（即区间连续，各区间的铣刨深度不同），可以实施连续铣刨拉毛，在铣刨中调整铣刨深度，保证路面纵向平顺。进行铣刨拉毛面的清扫工作，采用清扫车或人工进行遗留铣刨料的清扫。检查各铣刨拉毛面，当发生相邻两铣刨面产生大于5mm错台时，要再进行铣刨拉毛修理。对铣刨拉毛面的缺陷进行及时处理，如松散部位的清除与修复，裂缝处及时灌缝等。准备喷洒沥青的工作面，应彻底清扫铣刨拉毛面，用吸尘车吸尽铣刨路面细小颗粒或以高压空气将表面浮灰吹净，确保铣刨裸露面洁净、干燥。</w:t>
      </w:r>
    </w:p>
    <w:p>
      <w:pPr>
        <w:adjustRightInd w:val="0"/>
        <w:spacing w:line="336"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5</w:t>
      </w:r>
      <w:r>
        <w:rPr>
          <w:rFonts w:hint="eastAsia" w:ascii="仿宋" w:hAnsi="仿宋" w:eastAsia="仿宋" w:cs="宋体"/>
          <w:bCs/>
          <w:sz w:val="24"/>
          <w:highlight w:val="none"/>
          <w:lang w:val="en-US" w:eastAsia="zh-CN"/>
        </w:rPr>
        <w:t>.</w:t>
      </w:r>
      <w:r>
        <w:rPr>
          <w:rFonts w:hint="eastAsia" w:ascii="仿宋" w:hAnsi="仿宋" w:eastAsia="仿宋" w:cs="宋体"/>
          <w:bCs/>
          <w:sz w:val="24"/>
          <w:highlight w:val="none"/>
        </w:rPr>
        <w:t>在铣刨拉毛后的路面上摊铺一层1mm厚粘油层材料。当粘层有土块时应用水刷净，待表面干燥后喷洒。洒布沥青材料的气温不应低于10℃，风速适度。浓雾或下雨路面潮湿时不应施工。粘层沥青应均匀洒布或涂刷，喷洒过量处，应予刮除；在沥青洒布机喷洒不到的地方可采用手工洒布机。喷量超量或漏洒或少洒的地方应予纠正；喷洒区附近的结构物和树木表面应加以保护，以免溅上沥青受到污染；粘层沥青应在铺筑覆盖之前24小时内洒布或涂刷。喷洒粘层沥青后严禁除沥青混合料运输车外的其他车辆、行人通过。粘层沥青洒布后应紧接铺筑沥青层。当使用乳化沥青作粘层时，应待破乳、水分蒸发完后铺筑。 </w:t>
      </w:r>
    </w:p>
    <w:p>
      <w:pPr>
        <w:adjustRightInd w:val="0"/>
        <w:spacing w:line="336"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6</w:t>
      </w:r>
      <w:r>
        <w:rPr>
          <w:rFonts w:hint="eastAsia" w:ascii="仿宋" w:hAnsi="仿宋" w:eastAsia="仿宋" w:cs="宋体"/>
          <w:bCs/>
          <w:sz w:val="24"/>
          <w:highlight w:val="none"/>
          <w:lang w:val="en-US" w:eastAsia="zh-CN"/>
        </w:rPr>
        <w:t>.</w:t>
      </w:r>
      <w:r>
        <w:rPr>
          <w:rFonts w:hint="eastAsia" w:ascii="仿宋" w:hAnsi="仿宋" w:eastAsia="仿宋" w:cs="宋体"/>
          <w:bCs/>
          <w:sz w:val="24"/>
          <w:highlight w:val="none"/>
        </w:rPr>
        <w:t>摊铺施工应根据各种机械的施工能力相匹配的原则，确定适宜的施工机械，按生产能力决定机械数量与组合方式。 </w:t>
      </w:r>
    </w:p>
    <w:p>
      <w:pPr>
        <w:adjustRightInd w:val="0"/>
        <w:spacing w:line="336"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7</w:t>
      </w:r>
      <w:r>
        <w:rPr>
          <w:rFonts w:hint="eastAsia" w:ascii="仿宋" w:hAnsi="仿宋" w:eastAsia="仿宋" w:cs="宋体"/>
          <w:bCs/>
          <w:sz w:val="24"/>
          <w:highlight w:val="none"/>
          <w:lang w:val="en-US" w:eastAsia="zh-CN"/>
        </w:rPr>
        <w:t>.</w:t>
      </w:r>
      <w:r>
        <w:rPr>
          <w:rFonts w:hint="eastAsia" w:ascii="仿宋" w:hAnsi="仿宋" w:eastAsia="仿宋" w:cs="宋体"/>
          <w:bCs/>
          <w:sz w:val="24"/>
          <w:highlight w:val="none"/>
        </w:rPr>
        <w:t>要控制摊铺机的操作方</w:t>
      </w:r>
      <w:r>
        <w:rPr>
          <w:rFonts w:hint="eastAsia" w:ascii="仿宋" w:hAnsi="仿宋" w:eastAsia="仿宋" w:cs="宋体"/>
          <w:bCs/>
          <w:sz w:val="24"/>
          <w:highlight w:val="none"/>
        </w:rPr>
        <w:t>式——摊铺温度、摊铺速度、初步振捣夯实的方法和强度、自动找平方式等。 </w:t>
      </w:r>
    </w:p>
    <w:p>
      <w:pPr>
        <w:adjustRightInd w:val="0"/>
        <w:spacing w:line="336"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8</w:t>
      </w:r>
      <w:r>
        <w:rPr>
          <w:rFonts w:hint="eastAsia" w:ascii="仿宋" w:hAnsi="仿宋" w:eastAsia="仿宋" w:cs="宋体"/>
          <w:bCs/>
          <w:sz w:val="24"/>
          <w:highlight w:val="none"/>
          <w:lang w:val="en-US" w:eastAsia="zh-CN"/>
        </w:rPr>
        <w:t>.</w:t>
      </w:r>
      <w:r>
        <w:rPr>
          <w:rFonts w:hint="eastAsia" w:ascii="仿宋" w:hAnsi="仿宋" w:eastAsia="仿宋" w:cs="宋体"/>
          <w:bCs/>
          <w:sz w:val="24"/>
          <w:highlight w:val="none"/>
        </w:rPr>
        <w:t>摊铺路面碾压要控制碾压顺序、碾压温度、碾压速度及遍数、施工缝处理及沥青铺筑的松铺系数。 </w:t>
      </w:r>
    </w:p>
    <w:p>
      <w:pPr>
        <w:adjustRightInd w:val="0"/>
        <w:spacing w:line="336"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9</w:t>
      </w:r>
      <w:r>
        <w:rPr>
          <w:rFonts w:hint="eastAsia" w:ascii="仿宋" w:hAnsi="仿宋" w:eastAsia="仿宋" w:cs="宋体"/>
          <w:bCs/>
          <w:sz w:val="24"/>
          <w:highlight w:val="none"/>
          <w:lang w:val="en-US" w:eastAsia="zh-CN"/>
        </w:rPr>
        <w:t>.</w:t>
      </w:r>
      <w:r>
        <w:rPr>
          <w:rFonts w:hint="eastAsia" w:ascii="仿宋" w:hAnsi="仿宋" w:eastAsia="仿宋" w:cs="宋体"/>
          <w:bCs/>
          <w:sz w:val="24"/>
          <w:highlight w:val="none"/>
        </w:rPr>
        <w:t>确定施工产量及作业段的长度，修订施工组织计划。</w:t>
      </w:r>
    </w:p>
    <w:p>
      <w:pPr>
        <w:adjustRightInd w:val="0"/>
        <w:spacing w:line="336"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10</w:t>
      </w:r>
      <w:r>
        <w:rPr>
          <w:rFonts w:hint="eastAsia" w:ascii="仿宋" w:hAnsi="仿宋" w:eastAsia="仿宋" w:cs="宋体"/>
          <w:bCs/>
          <w:sz w:val="24"/>
          <w:highlight w:val="none"/>
          <w:lang w:val="en-US" w:eastAsia="zh-CN"/>
        </w:rPr>
        <w:t>.</w:t>
      </w:r>
      <w:r>
        <w:rPr>
          <w:rFonts w:hint="eastAsia" w:ascii="仿宋" w:hAnsi="仿宋" w:eastAsia="仿宋" w:cs="宋体"/>
          <w:bCs/>
          <w:sz w:val="24"/>
          <w:highlight w:val="none"/>
        </w:rPr>
        <w:t>沥青混凝土摊铺正常施工，摊铺温度不低于1</w:t>
      </w:r>
      <w:r>
        <w:rPr>
          <w:rFonts w:hint="eastAsia" w:ascii="仿宋" w:hAnsi="仿宋" w:eastAsia="仿宋" w:cs="宋体"/>
          <w:bCs/>
          <w:sz w:val="24"/>
          <w:highlight w:val="none"/>
          <w:lang w:val="en-US" w:eastAsia="zh-CN"/>
        </w:rPr>
        <w:t>3</w:t>
      </w:r>
      <w:r>
        <w:rPr>
          <w:rFonts w:hint="eastAsia" w:ascii="仿宋" w:hAnsi="仿宋" w:eastAsia="仿宋" w:cs="宋体"/>
          <w:bCs/>
          <w:sz w:val="24"/>
          <w:highlight w:val="none"/>
        </w:rPr>
        <w:t>0℃；沥青混凝土温度不超过175℃。摊铺前要对每车的沥青混合料进行检验，发现超温料、花白料、不合格材料要拒绝摊铺，退回废弃。 </w:t>
      </w:r>
    </w:p>
    <w:p>
      <w:pPr>
        <w:adjustRightInd w:val="0"/>
        <w:spacing w:line="336"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11</w:t>
      </w:r>
      <w:r>
        <w:rPr>
          <w:rFonts w:hint="eastAsia" w:ascii="仿宋" w:hAnsi="仿宋" w:eastAsia="仿宋" w:cs="宋体"/>
          <w:bCs/>
          <w:sz w:val="24"/>
          <w:highlight w:val="none"/>
          <w:lang w:val="en-US" w:eastAsia="zh-CN"/>
        </w:rPr>
        <w:t>.</w:t>
      </w:r>
      <w:r>
        <w:rPr>
          <w:rFonts w:hint="eastAsia" w:ascii="仿宋" w:hAnsi="仿宋" w:eastAsia="仿宋" w:cs="宋体"/>
          <w:bCs/>
          <w:sz w:val="24"/>
          <w:highlight w:val="none"/>
        </w:rPr>
        <w:t>摊铺机一定要保持摊铺的连续性，有专人指挥，一车卸完下一车要立即跟上，以均匀的速度行驶，以保证混合料均匀、不间断地摊铺。</w:t>
      </w:r>
    </w:p>
    <w:p>
      <w:pPr>
        <w:adjustRightInd w:val="0"/>
        <w:spacing w:line="336" w:lineRule="auto"/>
        <w:ind w:firstLine="480" w:firstLineChars="200"/>
        <w:jc w:val="both"/>
        <w:rPr>
          <w:rFonts w:hint="eastAsia" w:ascii="仿宋" w:hAnsi="仿宋" w:eastAsia="仿宋" w:cs="宋体"/>
          <w:bCs/>
          <w:sz w:val="24"/>
          <w:highlight w:val="none"/>
        </w:rPr>
      </w:pPr>
      <w:r>
        <w:rPr>
          <w:rFonts w:hint="eastAsia" w:ascii="仿宋" w:hAnsi="仿宋" w:eastAsia="仿宋" w:cs="宋体"/>
          <w:bCs/>
          <w:sz w:val="24"/>
          <w:highlight w:val="none"/>
        </w:rPr>
        <w:t>12</w:t>
      </w:r>
      <w:r>
        <w:rPr>
          <w:rFonts w:hint="eastAsia" w:ascii="仿宋" w:hAnsi="仿宋" w:eastAsia="仿宋" w:cs="宋体"/>
          <w:bCs/>
          <w:sz w:val="24"/>
          <w:highlight w:val="none"/>
          <w:lang w:val="en-US" w:eastAsia="zh-CN"/>
        </w:rPr>
        <w:t>.</w:t>
      </w:r>
      <w:r>
        <w:rPr>
          <w:rFonts w:hint="eastAsia" w:ascii="仿宋" w:hAnsi="仿宋" w:eastAsia="仿宋" w:cs="宋体"/>
          <w:bCs/>
          <w:sz w:val="24"/>
          <w:highlight w:val="none"/>
        </w:rPr>
        <w:t>对外形不规则路面、厚度不同、空间受到限制等摊铺机无法工作的地方，经监理工程师批准可以采用人工铺筑混合料。</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宋体"/>
          <w:bCs/>
          <w:sz w:val="24"/>
          <w:highlight w:val="none"/>
        </w:rPr>
        <w:t>13</w:t>
      </w:r>
      <w:r>
        <w:rPr>
          <w:rFonts w:hint="eastAsia" w:ascii="仿宋" w:hAnsi="仿宋" w:eastAsia="仿宋" w:cs="宋体"/>
          <w:bCs/>
          <w:sz w:val="24"/>
          <w:highlight w:val="none"/>
          <w:lang w:val="en-US" w:eastAsia="zh-CN"/>
        </w:rPr>
        <w:t>.</w:t>
      </w:r>
      <w:r>
        <w:rPr>
          <w:rFonts w:hint="eastAsia" w:ascii="仿宋" w:hAnsi="仿宋" w:eastAsia="仿宋" w:cs="宋体"/>
          <w:bCs/>
          <w:sz w:val="24"/>
          <w:highlight w:val="none"/>
        </w:rPr>
        <w:t>沥青路面摊铺表面结构均匀、密实，无撕裂，小波浪、局部粗糙、拉沟、积水等现象。</w:t>
      </w:r>
    </w:p>
    <w:p>
      <w:pPr>
        <w:spacing w:before="156" w:beforeLines="50" w:line="300" w:lineRule="auto"/>
        <w:rPr>
          <w:rFonts w:hint="eastAsia" w:ascii="仿宋" w:hAnsi="仿宋" w:eastAsia="仿宋" w:cs="宋体"/>
          <w:b/>
          <w:sz w:val="28"/>
          <w:szCs w:val="28"/>
          <w:highlight w:val="none"/>
          <w:lang w:val="en-US" w:eastAsia="zh-CN"/>
        </w:rPr>
      </w:pPr>
      <w:r>
        <w:rPr>
          <w:rFonts w:hint="eastAsia" w:ascii="仿宋" w:hAnsi="仿宋" w:eastAsia="仿宋" w:cs="宋体"/>
          <w:b/>
          <w:sz w:val="24"/>
          <w:highlight w:val="none"/>
          <w:lang w:eastAsia="zh-CN"/>
        </w:rPr>
        <w:t>三</w:t>
      </w:r>
      <w:r>
        <w:rPr>
          <w:rFonts w:ascii="仿宋" w:hAnsi="仿宋" w:eastAsia="仿宋" w:cs="宋体"/>
          <w:b/>
          <w:sz w:val="24"/>
          <w:highlight w:val="none"/>
        </w:rPr>
        <w:t>、验收</w:t>
      </w:r>
      <w:r>
        <w:rPr>
          <w:rFonts w:hint="eastAsia" w:ascii="仿宋" w:hAnsi="仿宋" w:eastAsia="仿宋" w:cs="宋体"/>
          <w:b/>
          <w:sz w:val="24"/>
          <w:highlight w:val="none"/>
          <w:lang w:val="en-US" w:eastAsia="zh-CN"/>
        </w:rPr>
        <w:t>服务</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1.</w:t>
      </w:r>
      <w:r>
        <w:rPr>
          <w:rFonts w:ascii="仿宋" w:hAnsi="仿宋" w:eastAsia="仿宋" w:cs="宋体"/>
          <w:sz w:val="24"/>
          <w:highlight w:val="none"/>
        </w:rPr>
        <w:t>按照现行的相关质量验收标准和采购人要求质量达到合格。</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2.本项目验收由采购人组织有关专业人员按国家相关标准、质量标准和采购文件要求</w:t>
      </w:r>
      <w:r>
        <w:rPr>
          <w:rFonts w:hint="eastAsia" w:ascii="仿宋" w:hAnsi="仿宋" w:eastAsia="仿宋" w:cs="宋体"/>
          <w:sz w:val="24"/>
          <w:highlight w:val="none"/>
        </w:rPr>
        <w:t>进行验收。</w:t>
      </w:r>
    </w:p>
    <w:p>
      <w:pPr>
        <w:spacing w:line="360" w:lineRule="auto"/>
        <w:ind w:firstLine="480" w:firstLineChars="200"/>
        <w:rPr>
          <w:rFonts w:ascii="仿宋" w:hAnsi="仿宋" w:eastAsia="仿宋" w:cs="宋体"/>
          <w:sz w:val="24"/>
          <w:highlight w:val="none"/>
          <w:shd w:val="clear" w:color="auto" w:fill="FFFFFF"/>
        </w:rPr>
      </w:pPr>
      <w:r>
        <w:rPr>
          <w:rFonts w:hint="eastAsia" w:ascii="仿宋" w:hAnsi="仿宋" w:eastAsia="仿宋" w:cs="宋体"/>
          <w:sz w:val="24"/>
          <w:highlight w:val="none"/>
        </w:rPr>
        <w:t>3.验收发现有质量、技术等问题导致验收不合格的，</w:t>
      </w:r>
      <w:r>
        <w:rPr>
          <w:rFonts w:hint="eastAsia" w:ascii="仿宋" w:hAnsi="等线" w:eastAsia="仿宋"/>
          <w:kern w:val="0"/>
          <w:sz w:val="24"/>
          <w:highlight w:val="none"/>
        </w:rPr>
        <w:t>中标单位应根据合同及采购人的要求</w:t>
      </w:r>
      <w:r>
        <w:rPr>
          <w:rFonts w:hint="eastAsia" w:ascii="仿宋" w:eastAsia="仿宋"/>
          <w:kern w:val="0"/>
          <w:sz w:val="24"/>
          <w:highlight w:val="none"/>
        </w:rPr>
        <w:t>在限期内</w:t>
      </w:r>
      <w:r>
        <w:rPr>
          <w:rFonts w:hint="eastAsia" w:ascii="仿宋" w:hAnsi="等线" w:eastAsia="仿宋"/>
          <w:kern w:val="0"/>
          <w:sz w:val="24"/>
          <w:highlight w:val="none"/>
        </w:rPr>
        <w:t>采取更换</w:t>
      </w:r>
      <w:r>
        <w:rPr>
          <w:rFonts w:hint="eastAsia" w:ascii="仿宋" w:hAnsi="等线" w:eastAsia="仿宋"/>
          <w:kern w:val="0"/>
          <w:sz w:val="24"/>
          <w:highlight w:val="none"/>
          <w:lang w:eastAsia="zh-CN"/>
        </w:rPr>
        <w:t>、整改</w:t>
      </w:r>
      <w:r>
        <w:rPr>
          <w:rFonts w:hint="eastAsia" w:ascii="仿宋" w:hAnsi="等线" w:eastAsia="仿宋"/>
          <w:kern w:val="0"/>
          <w:sz w:val="24"/>
          <w:highlight w:val="none"/>
        </w:rPr>
        <w:t>等处理措施</w:t>
      </w:r>
      <w:r>
        <w:rPr>
          <w:rFonts w:hint="eastAsia" w:ascii="仿宋" w:eastAsia="仿宋"/>
          <w:kern w:val="0"/>
          <w:sz w:val="24"/>
          <w:highlight w:val="none"/>
        </w:rPr>
        <w:t>，并承担由此发生的一切损失和费用。如</w:t>
      </w:r>
      <w:r>
        <w:rPr>
          <w:rFonts w:hint="eastAsia" w:ascii="仿宋" w:hAnsi="等线" w:eastAsia="仿宋"/>
          <w:kern w:val="0"/>
          <w:sz w:val="24"/>
          <w:highlight w:val="none"/>
        </w:rPr>
        <w:t>中标单位</w:t>
      </w:r>
      <w:r>
        <w:rPr>
          <w:rFonts w:hint="eastAsia" w:ascii="仿宋" w:eastAsia="仿宋"/>
          <w:kern w:val="0"/>
          <w:sz w:val="24"/>
          <w:highlight w:val="none"/>
        </w:rPr>
        <w:t>拒绝</w:t>
      </w:r>
      <w:r>
        <w:rPr>
          <w:rFonts w:hint="eastAsia" w:ascii="仿宋" w:hAnsi="等线" w:eastAsia="仿宋"/>
          <w:kern w:val="0"/>
          <w:sz w:val="24"/>
          <w:highlight w:val="none"/>
        </w:rPr>
        <w:t>根据合同及采购人的要求</w:t>
      </w:r>
      <w:r>
        <w:rPr>
          <w:rFonts w:hint="eastAsia" w:ascii="仿宋" w:eastAsia="仿宋"/>
          <w:kern w:val="0"/>
          <w:sz w:val="24"/>
          <w:highlight w:val="none"/>
        </w:rPr>
        <w:t>在限期内</w:t>
      </w:r>
      <w:r>
        <w:rPr>
          <w:rFonts w:hint="eastAsia" w:ascii="仿宋" w:hAnsi="等线" w:eastAsia="仿宋"/>
          <w:kern w:val="0"/>
          <w:sz w:val="24"/>
          <w:highlight w:val="none"/>
        </w:rPr>
        <w:t>采取更换</w:t>
      </w:r>
      <w:r>
        <w:rPr>
          <w:rFonts w:hint="eastAsia" w:ascii="仿宋" w:hAnsi="等线" w:eastAsia="仿宋"/>
          <w:kern w:val="0"/>
          <w:sz w:val="24"/>
          <w:highlight w:val="none"/>
          <w:lang w:eastAsia="zh-CN"/>
        </w:rPr>
        <w:t>、整改</w:t>
      </w:r>
      <w:r>
        <w:rPr>
          <w:rFonts w:hint="eastAsia" w:ascii="仿宋" w:hAnsi="等线" w:eastAsia="仿宋"/>
          <w:kern w:val="0"/>
          <w:sz w:val="24"/>
          <w:highlight w:val="none"/>
        </w:rPr>
        <w:t>等处理措施，</w:t>
      </w:r>
      <w:r>
        <w:rPr>
          <w:rFonts w:hint="eastAsia" w:ascii="仿宋" w:hAnsi="仿宋" w:eastAsia="仿宋" w:cs="宋体"/>
          <w:sz w:val="24"/>
          <w:highlight w:val="none"/>
        </w:rPr>
        <w:t>采购人有权解除合同并没收履约保证金，</w:t>
      </w:r>
      <w:r>
        <w:rPr>
          <w:rFonts w:hint="eastAsia" w:ascii="仿宋" w:hAnsi="仿宋" w:eastAsia="仿宋" w:cs="宋体"/>
          <w:sz w:val="24"/>
          <w:highlight w:val="none"/>
          <w:shd w:val="clear" w:color="auto" w:fill="FFFFFF"/>
        </w:rPr>
        <w:t>同时采购人将保留通过法律途径对中标单位进行索赔的权利。</w:t>
      </w:r>
    </w:p>
    <w:p>
      <w:pPr>
        <w:spacing w:before="156" w:beforeLines="50" w:line="300" w:lineRule="auto"/>
        <w:rPr>
          <w:rFonts w:hint="eastAsia" w:ascii="仿宋" w:hAnsi="仿宋" w:eastAsia="仿宋" w:cs="宋体"/>
          <w:sz w:val="24"/>
          <w:highlight w:val="none"/>
          <w:lang w:eastAsia="zh-CN"/>
        </w:rPr>
      </w:pPr>
      <w:r>
        <w:rPr>
          <w:rFonts w:hint="eastAsia" w:ascii="仿宋" w:hAnsi="仿宋" w:eastAsia="仿宋" w:cs="宋体"/>
          <w:b/>
          <w:sz w:val="24"/>
          <w:highlight w:val="none"/>
          <w:lang w:eastAsia="zh-CN"/>
        </w:rPr>
        <w:t>四</w:t>
      </w:r>
      <w:r>
        <w:rPr>
          <w:rFonts w:hint="eastAsia" w:ascii="仿宋" w:hAnsi="仿宋" w:eastAsia="仿宋" w:cs="宋体"/>
          <w:b/>
          <w:sz w:val="24"/>
          <w:highlight w:val="none"/>
        </w:rPr>
        <w:t>、售后</w:t>
      </w:r>
      <w:r>
        <w:rPr>
          <w:rFonts w:hint="eastAsia" w:ascii="仿宋" w:hAnsi="仿宋" w:eastAsia="仿宋" w:cs="宋体"/>
          <w:b/>
          <w:sz w:val="24"/>
          <w:highlight w:val="none"/>
          <w:lang w:eastAsia="zh-CN"/>
        </w:rPr>
        <w:t>服务</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1.</w:t>
      </w:r>
      <w:r>
        <w:rPr>
          <w:rFonts w:ascii="仿宋" w:hAnsi="仿宋" w:eastAsia="仿宋" w:cs="宋体"/>
          <w:sz w:val="24"/>
          <w:highlight w:val="none"/>
        </w:rPr>
        <w:t>供应商应提供不少于</w:t>
      </w:r>
      <w:r>
        <w:rPr>
          <w:rFonts w:hint="eastAsia" w:ascii="仿宋" w:hAnsi="仿宋" w:eastAsia="仿宋" w:cs="宋体"/>
          <w:sz w:val="24"/>
          <w:highlight w:val="none"/>
          <w:lang w:val="en-US" w:eastAsia="zh-CN"/>
        </w:rPr>
        <w:t>2</w:t>
      </w:r>
      <w:r>
        <w:rPr>
          <w:rFonts w:ascii="仿宋" w:hAnsi="仿宋" w:eastAsia="仿宋" w:cs="宋体"/>
          <w:sz w:val="24"/>
          <w:highlight w:val="none"/>
        </w:rPr>
        <w:t>年的质保期，在质量保证期内被证明有缺陷，包括内在缺陷或使用不适当原材料，采购人将委托有关</w:t>
      </w:r>
      <w:r>
        <w:rPr>
          <w:rFonts w:ascii="仿宋" w:hAnsi="仿宋" w:eastAsia="仿宋" w:cs="宋体"/>
          <w:sz w:val="24"/>
          <w:highlight w:val="none"/>
        </w:rPr>
        <w:t>部门进行检验，并依据检验证书向供应商索赔。在质保期限内发生质量问题，供应商须承担整改工程全部费用。</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2.质保期内，要求</w:t>
      </w:r>
      <w:r>
        <w:rPr>
          <w:rFonts w:hint="eastAsia" w:ascii="仿宋" w:hAnsi="仿宋" w:eastAsia="仿宋"/>
          <w:sz w:val="24"/>
          <w:highlight w:val="none"/>
        </w:rPr>
        <w:t>中标人在接到采购人的电话通知后积极响应并到达现场。</w:t>
      </w:r>
    </w:p>
    <w:p>
      <w:pPr>
        <w:spacing w:line="360" w:lineRule="auto"/>
        <w:ind w:firstLine="480" w:firstLineChars="200"/>
        <w:rPr>
          <w:rFonts w:hint="eastAsia" w:ascii="仿宋" w:hAnsi="仿宋" w:eastAsia="仿宋" w:cs="宋体"/>
          <w:b/>
          <w:sz w:val="24"/>
          <w:highlight w:val="none"/>
          <w:lang w:val="en-US" w:eastAsia="zh-CN"/>
        </w:rPr>
      </w:pPr>
      <w:r>
        <w:rPr>
          <w:rFonts w:hint="eastAsia" w:ascii="仿宋" w:hAnsi="仿宋" w:eastAsia="仿宋" w:cs="宋体"/>
          <w:sz w:val="24"/>
          <w:highlight w:val="none"/>
        </w:rPr>
        <w:t>3.中标人在投标文件中承诺质保期内提供的服务计划。</w:t>
      </w:r>
    </w:p>
    <w:p>
      <w:pPr>
        <w:spacing w:before="156" w:beforeLines="50" w:line="300" w:lineRule="auto"/>
        <w:rPr>
          <w:rFonts w:hint="default" w:ascii="仿宋" w:hAnsi="仿宋" w:eastAsia="仿宋" w:cs="宋体"/>
          <w:b/>
          <w:sz w:val="24"/>
          <w:highlight w:val="none"/>
          <w:lang w:val="en-US" w:eastAsia="zh-CN"/>
        </w:rPr>
      </w:pPr>
      <w:r>
        <w:rPr>
          <w:rFonts w:hint="eastAsia" w:ascii="仿宋" w:hAnsi="仿宋" w:eastAsia="仿宋" w:cs="宋体"/>
          <w:b/>
          <w:sz w:val="24"/>
          <w:highlight w:val="none"/>
          <w:lang w:val="en-US" w:eastAsia="zh-CN"/>
        </w:rPr>
        <w:t>五、付款方式</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lang w:val="en-US" w:eastAsia="zh-CN"/>
        </w:rPr>
        <w:t>按《浙江省财政厅关于进一步发 挥政府采购政策功能全力推动经济稳进提质的通知》(浙财采监(2022)3号)文件要求执行，具体付款方式由双方协商后在合同中明确。</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hint="eastAsia" w:ascii="仿宋" w:hAnsi="仿宋" w:eastAsia="仿宋" w:cs="仿宋"/>
          <w:b/>
          <w:sz w:val="28"/>
          <w:szCs w:val="28"/>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pPr>
        <w:pStyle w:val="700"/>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pPr>
        <w:spacing w:before="120" w:line="22" w:lineRule="atLeast"/>
        <w:rPr>
          <w:rFonts w:hint="eastAsia" w:ascii="仿宋" w:hAnsi="仿宋" w:eastAsia="仿宋" w:cs="仿宋"/>
          <w:sz w:val="24"/>
          <w:highlight w:val="none"/>
        </w:rPr>
      </w:pPr>
    </w:p>
    <w:p>
      <w:pPr>
        <w:pStyle w:val="5"/>
        <w:rPr>
          <w:rFonts w:hint="eastAsia" w:ascii="仿宋" w:hAnsi="仿宋" w:eastAsia="仿宋" w:cs="仿宋"/>
          <w:highlight w:val="none"/>
        </w:rPr>
      </w:pPr>
    </w:p>
    <w:p>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597"/>
        <w:spacing w:before="120" w:line="22" w:lineRule="atLeast"/>
        <w:rPr>
          <w:rFonts w:hint="eastAsia" w:ascii="仿宋" w:hAnsi="仿宋" w:eastAsia="仿宋" w:cs="仿宋"/>
          <w:szCs w:val="24"/>
          <w:highlight w:val="none"/>
        </w:rPr>
      </w:pPr>
    </w:p>
    <w:p>
      <w:pPr>
        <w:pStyle w:val="597"/>
        <w:spacing w:before="120" w:line="22" w:lineRule="atLeast"/>
        <w:rPr>
          <w:rFonts w:hint="eastAsia" w:ascii="仿宋" w:hAnsi="仿宋" w:eastAsia="仿宋" w:cs="仿宋"/>
          <w:szCs w:val="24"/>
          <w:highlight w:val="none"/>
        </w:rPr>
      </w:pPr>
    </w:p>
    <w:p>
      <w:pPr>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hint="eastAsia" w:ascii="仿宋" w:hAnsi="仿宋" w:eastAsia="仿宋" w:cs="仿宋"/>
          <w:kern w:val="0"/>
          <w:sz w:val="24"/>
          <w:highlight w:val="none"/>
        </w:rPr>
        <w:sectPr>
          <w:pgSz w:w="11907" w:h="16840"/>
          <w:pgMar w:top="1474" w:right="1814" w:bottom="1474" w:left="1814" w:header="851" w:footer="851" w:gutter="0"/>
          <w:pgNumType w:fmt="decimal"/>
          <w:cols w:space="720" w:num="1"/>
        </w:sectPr>
      </w:pPr>
    </w:p>
    <w:p>
      <w:pPr>
        <w:rPr>
          <w:rFonts w:hint="eastAsia" w:ascii="仿宋" w:hAnsi="仿宋" w:eastAsia="仿宋" w:cs="仿宋"/>
          <w:b/>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绍兴市质量技术监督检测院大院内沥青混凝土路面面层维修改造项目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rPr>
      </w:pPr>
      <w:bookmarkStart w:id="38" w:name="_Toc15367"/>
      <w:bookmarkStart w:id="39" w:name="_Toc22967"/>
      <w:bookmarkStart w:id="40" w:name="_Toc19273"/>
      <w:bookmarkStart w:id="41" w:name="_Toc28855"/>
      <w:bookmarkStart w:id="42" w:name="_Toc20421"/>
      <w:r>
        <w:rPr>
          <w:rFonts w:hint="eastAsia" w:ascii="仿宋" w:hAnsi="仿宋" w:eastAsia="仿宋" w:cs="仿宋"/>
          <w:b/>
          <w:sz w:val="24"/>
          <w:highlight w:val="none"/>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43" w:name="_Toc18585"/>
      <w:bookmarkStart w:id="44" w:name="_Toc6773"/>
      <w:bookmarkStart w:id="45" w:name="_Toc2918"/>
      <w:bookmarkStart w:id="46" w:name="_Toc22185"/>
      <w:bookmarkStart w:id="47" w:name="_Toc6311"/>
      <w:r>
        <w:rPr>
          <w:rFonts w:hint="eastAsia" w:ascii="仿宋" w:hAnsi="仿宋" w:eastAsia="仿宋" w:cs="仿宋"/>
          <w:b/>
          <w:sz w:val="24"/>
          <w:highlight w:val="none"/>
        </w:rPr>
        <w:t>1.2 标的</w:t>
      </w:r>
      <w:bookmarkEnd w:id="43"/>
      <w:bookmarkEnd w:id="44"/>
      <w:bookmarkEnd w:id="45"/>
      <w:bookmarkEnd w:id="46"/>
      <w:bookmarkEnd w:id="4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bookmarkStart w:id="48" w:name="_Toc4929"/>
      <w:bookmarkStart w:id="49" w:name="_Toc5635"/>
      <w:bookmarkStart w:id="50" w:name="_Toc1386"/>
      <w:bookmarkStart w:id="51" w:name="_Toc21124"/>
      <w:bookmarkStart w:id="52" w:name="_Toc13918"/>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1.3 价款</w:t>
      </w:r>
      <w:bookmarkEnd w:id="48"/>
      <w:bookmarkEnd w:id="49"/>
      <w:bookmarkEnd w:id="50"/>
      <w:bookmarkEnd w:id="51"/>
      <w:bookmarkEnd w:id="5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53" w:name="_Toc30506"/>
      <w:bookmarkStart w:id="54" w:name="_Toc14993"/>
      <w:bookmarkStart w:id="55" w:name="_Toc3654"/>
      <w:bookmarkStart w:id="56" w:name="_Toc30158"/>
      <w:bookmarkStart w:id="57" w:name="_Toc26916"/>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pStyle w:val="5"/>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highlight w:val="none"/>
          <w:lang w:val="en-US"/>
        </w:rPr>
      </w:pPr>
      <w:r>
        <w:rPr>
          <w:rFonts w:hint="eastAsia" w:ascii="仿宋" w:hAnsi="仿宋" w:eastAsia="仿宋" w:cs="仿宋"/>
          <w:sz w:val="24"/>
          <w:highlight w:val="none"/>
          <w:lang w:val="en-US"/>
        </w:rPr>
        <w:t xml:space="preserve">    </w:t>
      </w:r>
      <w:r>
        <w:rPr>
          <w:rFonts w:hint="eastAsia" w:ascii="仿宋" w:hAnsi="仿宋" w:eastAsia="仿宋" w:cs="仿宋"/>
          <w:b w:val="0"/>
          <w:bCs w:val="0"/>
          <w:sz w:val="24"/>
          <w:highlight w:val="none"/>
          <w:lang w:val="en-US"/>
        </w:rPr>
        <w:t>1.3.3其他计价方式：</w:t>
      </w:r>
      <w:r>
        <w:rPr>
          <w:rFonts w:hint="eastAsia" w:ascii="仿宋" w:hAnsi="仿宋" w:eastAsia="仿宋" w:cs="仿宋"/>
          <w:b w:val="0"/>
          <w:bCs w:val="0"/>
          <w:sz w:val="24"/>
          <w:highlight w:val="none"/>
          <w:u w:val="single"/>
          <w:lang w:val="en-US"/>
        </w:rPr>
        <w:t xml:space="preserve">                   </w:t>
      </w:r>
      <w:r>
        <w:rPr>
          <w:rFonts w:hint="eastAsia" w:ascii="仿宋" w:hAnsi="仿宋" w:eastAsia="仿宋" w:cs="仿宋"/>
          <w:b w:val="0"/>
          <w:bCs w:val="0"/>
          <w:sz w:val="24"/>
          <w:highlight w:val="none"/>
        </w:rPr>
        <w:t>。</w:t>
      </w:r>
    </w:p>
    <w:bookmarkEnd w:id="53"/>
    <w:bookmarkEnd w:id="54"/>
    <w:bookmarkEnd w:id="55"/>
    <w:bookmarkEnd w:id="56"/>
    <w:bookmarkEnd w:id="57"/>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highlight w:val="none"/>
        </w:rPr>
      </w:pPr>
      <w:bookmarkStart w:id="58" w:name="_Toc10340"/>
      <w:bookmarkStart w:id="59" w:name="_Toc22618"/>
      <w:bookmarkStart w:id="60" w:name="_Toc1814"/>
      <w:bookmarkStart w:id="61" w:name="_Toc8772"/>
      <w:bookmarkStart w:id="62" w:name="_Toc11108"/>
      <w:bookmarkStart w:id="63" w:name="_Toc31421"/>
      <w:bookmarkStart w:id="64" w:name="_Toc3625"/>
      <w:bookmarkStart w:id="65" w:name="_Toc4760"/>
      <w:r>
        <w:rPr>
          <w:rFonts w:hint="eastAsia" w:ascii="仿宋" w:hAnsi="仿宋" w:eastAsia="仿宋" w:cs="仿宋"/>
          <w:b/>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58"/>
      <w:bookmarkEnd w:id="59"/>
      <w:bookmarkEnd w:id="60"/>
      <w:r>
        <w:rPr>
          <w:rFonts w:hint="eastAsia" w:ascii="仿宋" w:hAnsi="仿宋" w:eastAsia="仿宋" w:cs="仿宋"/>
          <w:b/>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highlight w:val="none"/>
        </w:rPr>
      </w:pPr>
      <w:r>
        <w:rPr>
          <w:rFonts w:hint="eastAsia" w:ascii="仿宋" w:hAnsi="仿宋" w:eastAsia="仿宋" w:cs="仿宋"/>
          <w:b/>
          <w:bCs/>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highlight w:val="none"/>
        </w:rPr>
      </w:pPr>
      <w:bookmarkStart w:id="66" w:name="_Toc8586"/>
      <w:bookmarkStart w:id="67" w:name="_Toc5698"/>
      <w:bookmarkStart w:id="68" w:name="_Toc24662"/>
      <w:bookmarkStart w:id="69" w:name="_Toc3079"/>
      <w:bookmarkStart w:id="70" w:name="_Toc2375"/>
      <w:r>
        <w:rPr>
          <w:rFonts w:hint="eastAsia" w:ascii="仿宋" w:hAnsi="仿宋" w:eastAsia="仿宋" w:cs="仿宋"/>
          <w:bCs/>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u w:val="single"/>
        </w:rPr>
      </w:pPr>
      <w:r>
        <w:rPr>
          <w:rFonts w:hint="eastAsia" w:ascii="仿宋" w:hAnsi="仿宋" w:eastAsia="仿宋" w:cs="仿宋"/>
          <w:b/>
          <w:sz w:val="24"/>
          <w:highlight w:val="none"/>
        </w:rPr>
        <w:t>1.8违约责任</w:t>
      </w:r>
      <w:bookmarkEnd w:id="66"/>
      <w:bookmarkEnd w:id="67"/>
      <w:bookmarkEnd w:id="68"/>
      <w:bookmarkEnd w:id="69"/>
      <w:bookmarkEnd w:id="7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highlight w:val="none"/>
          <w:lang w:val="en-US"/>
        </w:rPr>
      </w:pPr>
      <w:r>
        <w:rPr>
          <w:rFonts w:hint="eastAsia" w:ascii="仿宋" w:hAns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%计算，最高限额为本合同总价的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71" w:name="_Toc32454"/>
      <w:bookmarkStart w:id="72" w:name="_Toc9497"/>
      <w:bookmarkStart w:id="73" w:name="_Toc30329"/>
      <w:bookmarkStart w:id="74" w:name="_Toc18683"/>
      <w:bookmarkStart w:id="75" w:name="_Toc26807"/>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76" w:name="_Toc16021"/>
      <w:bookmarkStart w:id="77" w:name="_Toc28375"/>
      <w:bookmarkStart w:id="78" w:name="_Toc15583"/>
      <w:r>
        <w:rPr>
          <w:rFonts w:hint="eastAsia" w:ascii="仿宋" w:hAnsi="仿宋" w:eastAsia="仿宋" w:cs="仿宋"/>
          <w:b/>
          <w:sz w:val="24"/>
          <w:highlight w:val="none"/>
        </w:rPr>
        <w:t>1.9合同争议的解决</w:t>
      </w:r>
      <w:bookmarkEnd w:id="76"/>
      <w:bookmarkEnd w:id="77"/>
      <w:bookmarkEnd w:id="7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79" w:name="_Toc7245"/>
      <w:bookmarkStart w:id="80" w:name="_Toc11173"/>
      <w:bookmarkStart w:id="81" w:name="_Toc15322"/>
      <w:r>
        <w:rPr>
          <w:rFonts w:hint="eastAsia" w:ascii="仿宋" w:hAnsi="仿宋" w:eastAsia="仿宋" w:cs="仿宋"/>
          <w:b/>
          <w:sz w:val="24"/>
          <w:highlight w:val="none"/>
        </w:rPr>
        <w:t>2.0 合同生效</w:t>
      </w:r>
      <w:bookmarkEnd w:id="79"/>
      <w:bookmarkEnd w:id="80"/>
      <w:bookmarkEnd w:id="8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widowControl/>
        <w:adjustRightInd/>
        <w:jc w:val="left"/>
        <w:rPr>
          <w:rFonts w:hint="eastAsia" w:ascii="仿宋" w:hAnsi="仿宋" w:eastAsia="仿宋" w:cs="仿宋"/>
          <w:b/>
          <w:sz w:val="24"/>
          <w:highlight w:val="none"/>
        </w:rPr>
      </w:pPr>
      <w:r>
        <w:rPr>
          <w:rFonts w:hint="eastAsia" w:ascii="仿宋" w:hAnsi="仿宋" w:eastAsia="仿宋" w:cs="仿宋"/>
          <w:b/>
          <w:highlight w:val="none"/>
        </w:rPr>
        <w:br w:type="page"/>
      </w:r>
    </w:p>
    <w:p>
      <w:pPr>
        <w:pStyle w:val="700"/>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pPr>
        <w:spacing w:line="560" w:lineRule="exact"/>
        <w:ind w:firstLine="482" w:firstLineChars="200"/>
        <w:outlineLvl w:val="0"/>
        <w:rPr>
          <w:rFonts w:hint="eastAsia" w:ascii="仿宋" w:hAnsi="仿宋" w:eastAsia="仿宋" w:cs="仿宋"/>
          <w:b/>
          <w:sz w:val="24"/>
          <w:highlight w:val="none"/>
        </w:rPr>
      </w:pPr>
      <w:bookmarkStart w:id="82" w:name="_Toc31297"/>
      <w:bookmarkStart w:id="83" w:name="_Toc19680"/>
      <w:bookmarkStart w:id="84" w:name="_Toc5228"/>
      <w:bookmarkStart w:id="85" w:name="_Toc25079"/>
      <w:bookmarkStart w:id="86" w:name="_Toc14021"/>
      <w:r>
        <w:rPr>
          <w:rFonts w:hint="eastAsia" w:ascii="仿宋" w:hAnsi="仿宋" w:eastAsia="仿宋" w:cs="仿宋"/>
          <w:b/>
          <w:sz w:val="24"/>
          <w:highlight w:val="none"/>
        </w:rPr>
        <w:t>2.1 定义</w:t>
      </w:r>
      <w:bookmarkEnd w:id="82"/>
      <w:bookmarkEnd w:id="83"/>
      <w:bookmarkEnd w:id="84"/>
      <w:bookmarkEnd w:id="85"/>
      <w:bookmarkEnd w:id="8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 “现场”系指合同约定提供服务的地点。</w:t>
      </w:r>
    </w:p>
    <w:p>
      <w:pPr>
        <w:spacing w:line="560" w:lineRule="exact"/>
        <w:ind w:firstLine="482" w:firstLineChars="200"/>
        <w:outlineLvl w:val="0"/>
        <w:rPr>
          <w:rFonts w:hint="eastAsia" w:ascii="仿宋" w:hAnsi="仿宋" w:eastAsia="仿宋" w:cs="仿宋"/>
          <w:b/>
          <w:sz w:val="24"/>
          <w:highlight w:val="none"/>
        </w:rPr>
      </w:pPr>
      <w:bookmarkStart w:id="87" w:name="_Toc16752"/>
      <w:bookmarkStart w:id="88" w:name="_Toc31402"/>
      <w:bookmarkStart w:id="89" w:name="_Toc19539"/>
      <w:bookmarkStart w:id="90" w:name="_Toc3769"/>
      <w:bookmarkStart w:id="91" w:name="_Toc23289"/>
      <w:r>
        <w:rPr>
          <w:rFonts w:hint="eastAsia" w:ascii="仿宋" w:hAnsi="仿宋" w:eastAsia="仿宋" w:cs="仿宋"/>
          <w:b/>
          <w:sz w:val="24"/>
          <w:highlight w:val="none"/>
        </w:rPr>
        <w:t>2.2 技术规范</w:t>
      </w:r>
      <w:bookmarkEnd w:id="87"/>
      <w:bookmarkEnd w:id="88"/>
      <w:bookmarkEnd w:id="89"/>
      <w:bookmarkEnd w:id="90"/>
      <w:bookmarkEnd w:id="9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highlight w:val="none"/>
        </w:rPr>
      </w:pPr>
      <w:bookmarkStart w:id="92" w:name="_Toc13673"/>
      <w:bookmarkStart w:id="93" w:name="_Toc12412"/>
      <w:bookmarkStart w:id="94" w:name="_Toc27945"/>
      <w:bookmarkStart w:id="95" w:name="_Toc4133"/>
      <w:bookmarkStart w:id="96" w:name="_Toc9161"/>
      <w:r>
        <w:rPr>
          <w:rFonts w:hint="eastAsia" w:ascii="仿宋" w:hAnsi="仿宋" w:eastAsia="仿宋" w:cs="仿宋"/>
          <w:b/>
          <w:sz w:val="24"/>
          <w:highlight w:val="none"/>
        </w:rPr>
        <w:t>2.3 知识产权</w:t>
      </w:r>
      <w:bookmarkEnd w:id="92"/>
      <w:bookmarkEnd w:id="93"/>
      <w:bookmarkEnd w:id="94"/>
      <w:bookmarkEnd w:id="95"/>
      <w:bookmarkEnd w:id="9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highlight w:val="none"/>
        </w:rPr>
      </w:pPr>
      <w:bookmarkStart w:id="97" w:name="_Toc32670"/>
      <w:bookmarkStart w:id="98" w:name="_Toc15447"/>
      <w:bookmarkStart w:id="99" w:name="_Toc26555"/>
      <w:bookmarkStart w:id="100" w:name="_Toc31233"/>
      <w:bookmarkStart w:id="101" w:name="_Toc22011"/>
      <w:r>
        <w:rPr>
          <w:rFonts w:hint="eastAsia" w:ascii="仿宋" w:hAnsi="仿宋" w:eastAsia="仿宋" w:cs="仿宋"/>
          <w:b/>
          <w:sz w:val="24"/>
          <w:highlight w:val="none"/>
        </w:rPr>
        <w:t>2.5 结算方式和付款条件</w:t>
      </w:r>
      <w:bookmarkEnd w:id="97"/>
      <w:bookmarkEnd w:id="98"/>
      <w:bookmarkEnd w:id="99"/>
      <w:bookmarkEnd w:id="100"/>
      <w:bookmarkEnd w:id="10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02" w:name="_Toc30507"/>
      <w:bookmarkStart w:id="103" w:name="_Toc13467"/>
      <w:bookmarkStart w:id="104" w:name="_Toc16163"/>
      <w:bookmarkStart w:id="105" w:name="_Toc13154"/>
      <w:bookmarkStart w:id="106" w:name="_Toc18990"/>
      <w:r>
        <w:rPr>
          <w:rFonts w:hint="eastAsia" w:ascii="仿宋" w:hAnsi="仿宋" w:eastAsia="仿宋" w:cs="仿宋"/>
          <w:b/>
          <w:sz w:val="24"/>
          <w:highlight w:val="none"/>
        </w:rPr>
        <w:t>2.6 技术资料和保密义务</w:t>
      </w:r>
      <w:bookmarkEnd w:id="102"/>
      <w:bookmarkEnd w:id="103"/>
      <w:bookmarkEnd w:id="104"/>
      <w:bookmarkEnd w:id="105"/>
      <w:bookmarkEnd w:id="10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highlight w:val="none"/>
        </w:rPr>
      </w:pPr>
      <w:bookmarkStart w:id="107" w:name="_Toc19069"/>
      <w:r>
        <w:rPr>
          <w:rFonts w:hint="eastAsia" w:ascii="仿宋" w:hAnsi="仿宋" w:eastAsia="仿宋" w:cs="仿宋"/>
          <w:b/>
          <w:sz w:val="24"/>
          <w:highlight w:val="none"/>
        </w:rPr>
        <w:t>2.7 质量保证</w:t>
      </w:r>
      <w:bookmarkEnd w:id="10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highlight w:val="none"/>
        </w:rPr>
      </w:pPr>
      <w:bookmarkStart w:id="108" w:name="_Toc22267"/>
      <w:r>
        <w:rPr>
          <w:rFonts w:hint="eastAsia" w:ascii="仿宋" w:hAnsi="仿宋" w:eastAsia="仿宋" w:cs="仿宋"/>
          <w:b/>
          <w:sz w:val="24"/>
          <w:highlight w:val="none"/>
        </w:rPr>
        <w:t>2.8 延迟履行</w:t>
      </w:r>
      <w:bookmarkEnd w:id="10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highlight w:val="none"/>
        </w:rPr>
      </w:pPr>
      <w:bookmarkStart w:id="109" w:name="_Toc10611"/>
      <w:r>
        <w:rPr>
          <w:rFonts w:hint="eastAsia" w:ascii="仿宋" w:hAnsi="仿宋" w:eastAsia="仿宋" w:cs="仿宋"/>
          <w:b/>
          <w:sz w:val="24"/>
          <w:highlight w:val="none"/>
        </w:rPr>
        <w:t>2.9 合同变更</w:t>
      </w:r>
      <w:bookmarkEnd w:id="10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highlight w:val="none"/>
        </w:rPr>
      </w:pPr>
      <w:bookmarkStart w:id="110" w:name="_Toc21830"/>
      <w:bookmarkStart w:id="111" w:name="_Toc42"/>
      <w:bookmarkStart w:id="112" w:name="_Toc10663"/>
      <w:bookmarkStart w:id="113" w:name="_Toc26689"/>
      <w:bookmarkStart w:id="114" w:name="_Toc23368"/>
      <w:r>
        <w:rPr>
          <w:rFonts w:hint="eastAsia" w:ascii="仿宋" w:hAnsi="仿宋" w:eastAsia="仿宋" w:cs="仿宋"/>
          <w:b/>
          <w:sz w:val="24"/>
          <w:highlight w:val="none"/>
        </w:rPr>
        <w:t>2.10 合同转让和分包</w:t>
      </w:r>
      <w:bookmarkEnd w:id="110"/>
      <w:bookmarkEnd w:id="111"/>
      <w:bookmarkEnd w:id="112"/>
      <w:bookmarkEnd w:id="113"/>
      <w:bookmarkEnd w:id="11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highlight w:val="none"/>
        </w:rPr>
      </w:pPr>
      <w:bookmarkStart w:id="115" w:name="_Toc14371"/>
      <w:bookmarkStart w:id="116" w:name="_Toc26633"/>
      <w:bookmarkStart w:id="117" w:name="_Toc32494"/>
      <w:bookmarkStart w:id="118" w:name="_Toc25571"/>
      <w:bookmarkStart w:id="119" w:name="_Toc4720"/>
      <w:r>
        <w:rPr>
          <w:rFonts w:hint="eastAsia" w:ascii="仿宋" w:hAnsi="仿宋" w:eastAsia="仿宋" w:cs="仿宋"/>
          <w:b/>
          <w:sz w:val="24"/>
          <w:highlight w:val="none"/>
        </w:rPr>
        <w:t>2.11 不可抗力</w:t>
      </w:r>
      <w:bookmarkEnd w:id="115"/>
      <w:bookmarkEnd w:id="116"/>
      <w:bookmarkEnd w:id="117"/>
      <w:bookmarkEnd w:id="118"/>
      <w:bookmarkEnd w:id="11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highlight w:val="none"/>
        </w:rPr>
      </w:pPr>
      <w:bookmarkStart w:id="120" w:name="_Toc25783"/>
      <w:bookmarkStart w:id="121" w:name="_Toc24465"/>
      <w:bookmarkStart w:id="122" w:name="_Toc3638"/>
      <w:bookmarkStart w:id="123" w:name="_Toc23854"/>
      <w:bookmarkStart w:id="124" w:name="_Toc14115"/>
      <w:r>
        <w:rPr>
          <w:rFonts w:hint="eastAsia" w:ascii="仿宋" w:hAnsi="仿宋" w:eastAsia="仿宋" w:cs="仿宋"/>
          <w:b/>
          <w:sz w:val="24"/>
          <w:highlight w:val="none"/>
        </w:rPr>
        <w:t>2.12 税费</w:t>
      </w:r>
      <w:bookmarkEnd w:id="120"/>
      <w:bookmarkEnd w:id="121"/>
      <w:bookmarkEnd w:id="122"/>
      <w:bookmarkEnd w:id="123"/>
      <w:bookmarkEnd w:id="12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highlight w:val="none"/>
        </w:rPr>
      </w:pPr>
      <w:bookmarkStart w:id="125" w:name="_Toc30105"/>
      <w:bookmarkStart w:id="126" w:name="_Toc26883"/>
      <w:bookmarkStart w:id="127" w:name="_Toc7315"/>
      <w:bookmarkStart w:id="128" w:name="_Toc25525"/>
      <w:bookmarkStart w:id="129" w:name="_Toc14814"/>
      <w:r>
        <w:rPr>
          <w:rFonts w:hint="eastAsia" w:ascii="仿宋" w:hAnsi="仿宋" w:eastAsia="仿宋" w:cs="仿宋"/>
          <w:b/>
          <w:sz w:val="24"/>
          <w:highlight w:val="none"/>
        </w:rPr>
        <w:t>2.13 乙方破产</w:t>
      </w:r>
      <w:bookmarkEnd w:id="125"/>
      <w:bookmarkEnd w:id="126"/>
      <w:bookmarkEnd w:id="127"/>
      <w:bookmarkEnd w:id="128"/>
      <w:bookmarkEnd w:id="12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highlight w:val="none"/>
        </w:rPr>
      </w:pPr>
      <w:bookmarkStart w:id="130" w:name="_Toc2016"/>
      <w:bookmarkStart w:id="131" w:name="_Toc1123"/>
      <w:bookmarkStart w:id="132" w:name="_Toc23323"/>
      <w:r>
        <w:rPr>
          <w:rFonts w:hint="eastAsia" w:ascii="仿宋" w:hAnsi="仿宋" w:eastAsia="仿宋" w:cs="仿宋"/>
          <w:b/>
          <w:sz w:val="24"/>
          <w:highlight w:val="none"/>
        </w:rPr>
        <w:t>2.14 合同中止、终止</w:t>
      </w:r>
      <w:bookmarkEnd w:id="130"/>
      <w:bookmarkEnd w:id="131"/>
      <w:bookmarkEnd w:id="13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highlight w:val="none"/>
        </w:rPr>
      </w:pPr>
      <w:bookmarkStart w:id="133" w:name="_Toc1969"/>
      <w:bookmarkStart w:id="134" w:name="_Toc14525"/>
      <w:bookmarkStart w:id="135" w:name="_Toc17363"/>
      <w:r>
        <w:rPr>
          <w:rFonts w:hint="eastAsia" w:ascii="仿宋" w:hAnsi="仿宋" w:eastAsia="仿宋" w:cs="仿宋"/>
          <w:b/>
          <w:sz w:val="24"/>
          <w:highlight w:val="none"/>
        </w:rPr>
        <w:t>2.15 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36" w:name="_Toc31892"/>
      <w:bookmarkStart w:id="137" w:name="_Toc25198"/>
      <w:bookmarkStart w:id="138" w:name="_Toc9808"/>
      <w:bookmarkStart w:id="139" w:name="_Toc12666"/>
      <w:bookmarkStart w:id="140" w:name="_Toc2308"/>
      <w:r>
        <w:rPr>
          <w:rFonts w:hint="eastAsia" w:ascii="仿宋" w:hAnsi="仿宋" w:eastAsia="仿宋" w:cs="仿宋"/>
          <w:b/>
          <w:sz w:val="24"/>
          <w:highlight w:val="none"/>
        </w:rPr>
        <w:t>2.16 通知和送达</w:t>
      </w:r>
      <w:bookmarkEnd w:id="136"/>
      <w:bookmarkEnd w:id="137"/>
      <w:bookmarkEnd w:id="138"/>
      <w:bookmarkEnd w:id="139"/>
      <w:bookmarkEnd w:id="140"/>
    </w:p>
    <w:p>
      <w:pPr>
        <w:spacing w:line="560" w:lineRule="exact"/>
        <w:ind w:firstLine="480" w:firstLineChars="200"/>
        <w:rPr>
          <w:rFonts w:hint="eastAsia" w:ascii="仿宋" w:hAnsi="仿宋" w:eastAsia="仿宋" w:cs="仿宋"/>
          <w:sz w:val="24"/>
          <w:highlight w:val="none"/>
        </w:rPr>
      </w:pPr>
      <w:bookmarkStart w:id="141" w:name="_Toc27674"/>
      <w:bookmarkStart w:id="142" w:name="_Toc18401"/>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spacing w:line="560" w:lineRule="exact"/>
        <w:ind w:firstLine="482" w:firstLineChars="200"/>
        <w:outlineLvl w:val="0"/>
        <w:rPr>
          <w:rFonts w:hint="eastAsia" w:ascii="仿宋" w:hAnsi="仿宋" w:eastAsia="仿宋" w:cs="仿宋"/>
          <w:b/>
          <w:sz w:val="24"/>
          <w:highlight w:val="none"/>
        </w:rPr>
      </w:pPr>
      <w:bookmarkStart w:id="143" w:name="_Toc5063"/>
      <w:bookmarkStart w:id="144" w:name="_Toc20808"/>
      <w:bookmarkStart w:id="145" w:name="_Toc27644"/>
      <w:bookmarkStart w:id="146" w:name="_Toc12254"/>
      <w:bookmarkStart w:id="147" w:name="_Toc28906"/>
      <w:r>
        <w:rPr>
          <w:rFonts w:hint="eastAsia" w:ascii="仿宋" w:hAnsi="仿宋" w:eastAsia="仿宋" w:cs="仿宋"/>
          <w:b/>
          <w:sz w:val="24"/>
          <w:highlight w:val="none"/>
        </w:rPr>
        <w:t>2.17 合同使用的文字和适用的法律</w:t>
      </w:r>
      <w:bookmarkEnd w:id="143"/>
      <w:bookmarkEnd w:id="144"/>
      <w:bookmarkEnd w:id="145"/>
      <w:bookmarkEnd w:id="146"/>
      <w:bookmarkEnd w:id="14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pPr>
        <w:spacing w:line="560" w:lineRule="exact"/>
        <w:ind w:firstLine="482" w:firstLineChars="200"/>
        <w:outlineLvl w:val="0"/>
        <w:rPr>
          <w:rFonts w:hint="eastAsia" w:ascii="仿宋" w:hAnsi="仿宋" w:eastAsia="仿宋" w:cs="仿宋"/>
          <w:b/>
          <w:sz w:val="24"/>
          <w:highlight w:val="none"/>
        </w:rPr>
      </w:pPr>
      <w:bookmarkStart w:id="148" w:name="_Toc4355"/>
      <w:bookmarkStart w:id="149" w:name="_Toc30599"/>
      <w:bookmarkStart w:id="150" w:name="_Toc18540"/>
      <w:r>
        <w:rPr>
          <w:rFonts w:hint="eastAsia" w:ascii="仿宋" w:hAnsi="仿宋" w:eastAsia="仿宋" w:cs="仿宋"/>
          <w:b/>
          <w:sz w:val="24"/>
          <w:highlight w:val="none"/>
        </w:rPr>
        <w:t>2.18 计量单位</w:t>
      </w:r>
      <w:bookmarkEnd w:id="148"/>
      <w:bookmarkEnd w:id="149"/>
      <w:bookmarkEnd w:id="15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highlight w:val="none"/>
        </w:rPr>
      </w:pPr>
      <w:bookmarkStart w:id="151" w:name="_Toc12773"/>
      <w:bookmarkStart w:id="152" w:name="_Toc10330"/>
      <w:bookmarkStart w:id="153" w:name="_Toc487900373"/>
      <w:bookmarkStart w:id="154" w:name="_Toc279701263"/>
      <w:bookmarkStart w:id="155" w:name="_Toc18567"/>
      <w:bookmarkStart w:id="156" w:name="_Toc259093692"/>
      <w:r>
        <w:rPr>
          <w:rFonts w:hint="eastAsia" w:ascii="仿宋" w:hAnsi="仿宋" w:eastAsia="仿宋" w:cs="仿宋"/>
          <w:b/>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rPr>
        <w:t>合同份数</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highlight w:val="none"/>
        </w:rPr>
      </w:pPr>
      <w:r>
        <w:rPr>
          <w:rFonts w:hint="eastAsia" w:ascii="仿宋" w:hAnsi="仿宋" w:eastAsia="仿宋" w:cs="仿宋"/>
          <w:kern w:val="0"/>
          <w:highlight w:val="none"/>
        </w:rPr>
        <w:br w:type="page"/>
      </w:r>
      <w:bookmarkStart w:id="157" w:name="_Toc331685784"/>
      <w:r>
        <w:rPr>
          <w:rFonts w:hint="eastAsia" w:ascii="仿宋" w:hAnsi="仿宋" w:eastAsia="仿宋" w:cs="仿宋"/>
          <w:b/>
          <w:sz w:val="24"/>
          <w:highlight w:val="none"/>
        </w:rPr>
        <w:t xml:space="preserve"> </w:t>
      </w:r>
      <w:bookmarkEnd w:id="157"/>
      <w:r>
        <w:rPr>
          <w:rFonts w:hint="eastAsia" w:ascii="仿宋" w:hAnsi="仿宋" w:eastAsia="仿宋" w:cs="仿宋"/>
          <w:b/>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2.19</w:t>
            </w:r>
          </w:p>
        </w:tc>
        <w:tc>
          <w:tcPr>
            <w:tcW w:w="8149" w:type="dxa"/>
          </w:tcPr>
          <w:p>
            <w:pPr>
              <w:spacing w:line="360" w:lineRule="auto"/>
              <w:rPr>
                <w:rFonts w:hint="eastAsia" w:ascii="仿宋" w:hAnsi="仿宋" w:eastAsia="仿宋" w:cs="仿宋"/>
                <w:sz w:val="24"/>
                <w:highlight w:val="none"/>
              </w:rPr>
            </w:pPr>
          </w:p>
        </w:tc>
      </w:tr>
    </w:tbl>
    <w:p>
      <w:pPr>
        <w:spacing w:line="360" w:lineRule="auto"/>
        <w:ind w:left="-420" w:leftChars="-200" w:right="-420" w:rightChars="-200" w:firstLine="480" w:firstLineChars="200"/>
        <w:rPr>
          <w:rFonts w:hint="eastAsia" w:ascii="仿宋" w:hAnsi="仿宋" w:eastAsia="仿宋" w:cs="仿宋"/>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70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70</w:t>
      </w:r>
      <w:r>
        <w:rPr>
          <w:rFonts w:hint="eastAsia" w:ascii="仿宋" w:hAnsi="仿宋" w:eastAsia="仿宋" w:cs="仿宋"/>
          <w:b/>
          <w:bCs/>
          <w:iCs/>
          <w:sz w:val="24"/>
          <w:highlight w:val="none"/>
        </w:rPr>
        <w:t>分）</w:t>
      </w:r>
    </w:p>
    <w:tbl>
      <w:tblPr>
        <w:tblStyle w:val="62"/>
        <w:tblW w:w="9838" w:type="dxa"/>
        <w:jc w:val="center"/>
        <w:tblLayout w:type="fixed"/>
        <w:tblCellMar>
          <w:top w:w="0" w:type="dxa"/>
          <w:left w:w="108" w:type="dxa"/>
          <w:bottom w:w="0" w:type="dxa"/>
          <w:right w:w="108" w:type="dxa"/>
        </w:tblCellMar>
      </w:tblPr>
      <w:tblGrid>
        <w:gridCol w:w="849"/>
        <w:gridCol w:w="1446"/>
        <w:gridCol w:w="6307"/>
        <w:gridCol w:w="1236"/>
      </w:tblGrid>
      <w:tr>
        <w:tblPrEx>
          <w:tblCellMar>
            <w:top w:w="0" w:type="dxa"/>
            <w:left w:w="108" w:type="dxa"/>
            <w:bottom w:w="0" w:type="dxa"/>
            <w:right w:w="108" w:type="dxa"/>
          </w:tblCellMar>
        </w:tblPrEx>
        <w:trPr>
          <w:trHeight w:val="561"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序号</w:t>
            </w:r>
          </w:p>
        </w:tc>
        <w:tc>
          <w:tcPr>
            <w:tcW w:w="14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评分项</w:t>
            </w:r>
          </w:p>
        </w:tc>
        <w:tc>
          <w:tcPr>
            <w:tcW w:w="6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评审依据及标准</w:t>
            </w:r>
          </w:p>
        </w:tc>
        <w:tc>
          <w:tcPr>
            <w:tcW w:w="123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分值</w:t>
            </w:r>
          </w:p>
        </w:tc>
      </w:tr>
      <w:tr>
        <w:tblPrEx>
          <w:tblCellMar>
            <w:top w:w="0" w:type="dxa"/>
            <w:left w:w="108" w:type="dxa"/>
            <w:bottom w:w="0" w:type="dxa"/>
            <w:right w:w="108" w:type="dxa"/>
          </w:tblCellMar>
        </w:tblPrEx>
        <w:trPr>
          <w:trHeight w:val="1134"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lang w:val="en-US" w:eastAsia="zh-CN"/>
              </w:rPr>
            </w:pPr>
            <w:r>
              <w:rPr>
                <w:rFonts w:hint="eastAsia" w:ascii="仿宋" w:hAnsi="仿宋" w:eastAsia="仿宋" w:cs="宋体"/>
                <w:b/>
                <w:bCs/>
                <w:sz w:val="24"/>
                <w:highlight w:val="none"/>
              </w:rPr>
              <w:t>1</w:t>
            </w:r>
          </w:p>
        </w:tc>
        <w:tc>
          <w:tcPr>
            <w:tcW w:w="144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lang w:eastAsia="zh-CN"/>
              </w:rPr>
            </w:pPr>
            <w:r>
              <w:rPr>
                <w:rFonts w:ascii="仿宋" w:hAnsi="仿宋" w:eastAsia="仿宋" w:cs="宋体"/>
                <w:b/>
                <w:bCs/>
                <w:sz w:val="24"/>
                <w:highlight w:val="none"/>
              </w:rPr>
              <w:t>项目业绩</w:t>
            </w:r>
          </w:p>
        </w:tc>
        <w:tc>
          <w:tcPr>
            <w:tcW w:w="6307" w:type="dxa"/>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仿宋" w:hAnsi="仿宋" w:eastAsia="仿宋" w:cs="仿宋"/>
                <w:sz w:val="24"/>
                <w:szCs w:val="24"/>
                <w:highlight w:val="none"/>
              </w:rPr>
            </w:pPr>
            <w:r>
              <w:rPr>
                <w:rFonts w:ascii="仿宋" w:hAnsi="仿宋" w:eastAsia="仿宋" w:cs="宋体"/>
                <w:bCs/>
                <w:sz w:val="24"/>
                <w:highlight w:val="none"/>
              </w:rPr>
              <w:t>投标人自</w:t>
            </w:r>
            <w:r>
              <w:rPr>
                <w:rFonts w:hint="eastAsia" w:ascii="仿宋" w:hAnsi="仿宋" w:eastAsia="仿宋" w:cs="宋体"/>
                <w:bCs/>
                <w:sz w:val="24"/>
                <w:highlight w:val="none"/>
              </w:rPr>
              <w:t>2020年1月1日以来（以合同签订时间为准）具有承接过的类似项目业绩，每提供一个合同得</w:t>
            </w:r>
            <w:r>
              <w:rPr>
                <w:rFonts w:hint="eastAsia" w:ascii="仿宋" w:hAnsi="仿宋" w:eastAsia="仿宋" w:cs="宋体"/>
                <w:bCs/>
                <w:sz w:val="24"/>
                <w:highlight w:val="none"/>
                <w:lang w:val="en-US" w:eastAsia="zh-CN"/>
              </w:rPr>
              <w:t>1</w:t>
            </w:r>
            <w:r>
              <w:rPr>
                <w:rFonts w:hint="eastAsia" w:ascii="仿宋" w:hAnsi="仿宋" w:eastAsia="仿宋" w:cs="宋体"/>
                <w:bCs/>
                <w:sz w:val="24"/>
                <w:highlight w:val="none"/>
              </w:rPr>
              <w:t>分，最高得</w:t>
            </w:r>
            <w:r>
              <w:rPr>
                <w:rFonts w:hint="eastAsia" w:ascii="仿宋" w:hAnsi="仿宋" w:eastAsia="仿宋" w:cs="宋体"/>
                <w:bCs/>
                <w:sz w:val="24"/>
                <w:highlight w:val="none"/>
                <w:lang w:val="en-US" w:eastAsia="zh-CN"/>
              </w:rPr>
              <w:t>3</w:t>
            </w:r>
            <w:r>
              <w:rPr>
                <w:rFonts w:hint="eastAsia" w:ascii="仿宋" w:hAnsi="仿宋" w:eastAsia="仿宋" w:cs="宋体"/>
                <w:bCs/>
                <w:sz w:val="24"/>
                <w:highlight w:val="none"/>
              </w:rPr>
              <w:t>分。</w:t>
            </w:r>
            <w:r>
              <w:rPr>
                <w:rFonts w:hint="eastAsia" w:ascii="仿宋" w:hAnsi="仿宋" w:eastAsia="仿宋" w:cs="宋体"/>
                <w:sz w:val="24"/>
                <w:highlight w:val="none"/>
              </w:rPr>
              <w:t>（注：提供合同（包括但不限于合同内容、双方签字盖章、签署时间等信息）复印件并加盖</w:t>
            </w:r>
            <w:r>
              <w:rPr>
                <w:rFonts w:hint="eastAsia" w:ascii="仿宋" w:hAnsi="仿宋" w:eastAsia="仿宋" w:cs="宋体"/>
                <w:sz w:val="24"/>
                <w:highlight w:val="none"/>
                <w:lang w:val="en-US" w:eastAsia="zh-CN"/>
              </w:rPr>
              <w:t>公</w:t>
            </w:r>
            <w:r>
              <w:rPr>
                <w:rFonts w:hint="eastAsia" w:ascii="仿宋" w:hAnsi="仿宋" w:eastAsia="仿宋" w:cs="宋体"/>
                <w:sz w:val="24"/>
                <w:highlight w:val="none"/>
              </w:rPr>
              <w:t>章，否则不得分。）</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lang w:eastAsia="zh-CN"/>
              </w:rPr>
            </w:pPr>
            <w:r>
              <w:rPr>
                <w:rFonts w:hint="eastAsia" w:ascii="仿宋" w:hAnsi="仿宋" w:eastAsia="仿宋" w:cs="宋体"/>
                <w:b/>
                <w:bCs/>
                <w:sz w:val="24"/>
                <w:highlight w:val="none"/>
                <w:lang w:val="en-US" w:eastAsia="zh-CN"/>
              </w:rPr>
              <w:t>3</w:t>
            </w:r>
            <w:r>
              <w:rPr>
                <w:rFonts w:hint="eastAsia" w:ascii="仿宋" w:hAnsi="仿宋" w:eastAsia="仿宋" w:cs="宋体"/>
                <w:b/>
                <w:bCs/>
                <w:sz w:val="24"/>
                <w:highlight w:val="none"/>
                <w:lang w:eastAsia="zh-CN"/>
              </w:rPr>
              <w:t>分</w:t>
            </w:r>
          </w:p>
        </w:tc>
      </w:tr>
      <w:tr>
        <w:tblPrEx>
          <w:tblCellMar>
            <w:top w:w="0" w:type="dxa"/>
            <w:left w:w="108" w:type="dxa"/>
            <w:bottom w:w="0" w:type="dxa"/>
            <w:right w:w="108" w:type="dxa"/>
          </w:tblCellMar>
        </w:tblPrEx>
        <w:trPr>
          <w:trHeight w:val="794"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lang w:val="en-US" w:eastAsia="zh-CN"/>
              </w:rPr>
            </w:pPr>
            <w:r>
              <w:rPr>
                <w:rFonts w:hint="eastAsia" w:ascii="仿宋" w:hAnsi="仿宋" w:eastAsia="仿宋" w:cs="宋体"/>
                <w:b/>
                <w:bCs/>
                <w:sz w:val="24"/>
                <w:highlight w:val="none"/>
              </w:rPr>
              <w:t>2</w:t>
            </w:r>
          </w:p>
        </w:tc>
        <w:tc>
          <w:tcPr>
            <w:tcW w:w="144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rPr>
            </w:pPr>
            <w:r>
              <w:rPr>
                <w:rFonts w:hint="eastAsia" w:ascii="仿宋" w:hAnsi="仿宋" w:eastAsia="仿宋" w:cs="宋体"/>
                <w:b/>
                <w:bCs/>
                <w:sz w:val="24"/>
                <w:highlight w:val="none"/>
              </w:rPr>
              <w:t>生产设备</w:t>
            </w:r>
          </w:p>
        </w:tc>
        <w:tc>
          <w:tcPr>
            <w:tcW w:w="6307"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仿宋" w:hAnsi="仿宋" w:eastAsia="仿宋" w:cs="宋体"/>
                <w:bCs/>
                <w:sz w:val="24"/>
                <w:highlight w:val="none"/>
              </w:rPr>
            </w:pPr>
            <w:r>
              <w:rPr>
                <w:rFonts w:hint="eastAsia" w:ascii="仿宋" w:hAnsi="仿宋" w:eastAsia="仿宋" w:cs="宋体"/>
                <w:bCs/>
                <w:sz w:val="24"/>
                <w:highlight w:val="none"/>
                <w:lang w:val="en-US" w:eastAsia="zh-CN"/>
              </w:rPr>
              <w:t>自有或租赁</w:t>
            </w:r>
            <w:r>
              <w:rPr>
                <w:rFonts w:hint="eastAsia" w:ascii="仿宋" w:hAnsi="仿宋" w:eastAsia="仿宋" w:cs="宋体"/>
                <w:bCs/>
                <w:sz w:val="24"/>
                <w:highlight w:val="none"/>
              </w:rPr>
              <w:t>符合《道路施工与养护机械设备沥青混合料搅拌设备》（GB/T 17808）规定的2000型间歇式沥青拌合楼得1分，3000型间歇式沥青拌合楼得</w:t>
            </w:r>
            <w:r>
              <w:rPr>
                <w:rFonts w:hint="eastAsia" w:ascii="仿宋" w:hAnsi="仿宋" w:eastAsia="仿宋" w:cs="宋体"/>
                <w:bCs/>
                <w:sz w:val="24"/>
                <w:highlight w:val="none"/>
                <w:lang w:val="en-US" w:eastAsia="zh-CN"/>
              </w:rPr>
              <w:t>3</w:t>
            </w:r>
            <w:r>
              <w:rPr>
                <w:rFonts w:hint="eastAsia" w:ascii="仿宋" w:hAnsi="仿宋" w:eastAsia="仿宋" w:cs="宋体"/>
                <w:bCs/>
                <w:sz w:val="24"/>
                <w:highlight w:val="none"/>
              </w:rPr>
              <w:t>分，4000型及以上间歇式沥青拌合楼得</w:t>
            </w:r>
            <w:r>
              <w:rPr>
                <w:rFonts w:hint="eastAsia" w:ascii="仿宋" w:hAnsi="仿宋" w:eastAsia="仿宋" w:cs="宋体"/>
                <w:bCs/>
                <w:sz w:val="24"/>
                <w:highlight w:val="none"/>
                <w:lang w:val="en-US" w:eastAsia="zh-CN"/>
              </w:rPr>
              <w:t>6</w:t>
            </w:r>
            <w:r>
              <w:rPr>
                <w:rFonts w:hint="eastAsia" w:ascii="仿宋" w:hAnsi="仿宋" w:eastAsia="仿宋" w:cs="宋体"/>
                <w:bCs/>
                <w:sz w:val="24"/>
                <w:highlight w:val="none"/>
              </w:rPr>
              <w:t>分，本项最高得</w:t>
            </w:r>
            <w:r>
              <w:rPr>
                <w:rFonts w:hint="eastAsia" w:ascii="仿宋" w:hAnsi="仿宋" w:eastAsia="仿宋" w:cs="宋体"/>
                <w:bCs/>
                <w:sz w:val="24"/>
                <w:highlight w:val="none"/>
                <w:lang w:val="en-US" w:eastAsia="zh-CN"/>
              </w:rPr>
              <w:t>6</w:t>
            </w:r>
            <w:r>
              <w:rPr>
                <w:rFonts w:hint="eastAsia" w:ascii="仿宋" w:hAnsi="仿宋" w:eastAsia="仿宋" w:cs="宋体"/>
                <w:bCs/>
                <w:sz w:val="24"/>
                <w:highlight w:val="none"/>
              </w:rPr>
              <w:t>分，按最高型号间歇式沥青拌合楼计分</w:t>
            </w:r>
            <w:r>
              <w:rPr>
                <w:rFonts w:hint="eastAsia" w:ascii="仿宋" w:hAnsi="仿宋" w:eastAsia="仿宋" w:cs="宋体"/>
                <w:bCs/>
                <w:sz w:val="24"/>
                <w:highlight w:val="none"/>
                <w:lang w:eastAsia="zh-CN"/>
              </w:rPr>
              <w:t>，</w:t>
            </w:r>
            <w:r>
              <w:rPr>
                <w:rFonts w:hint="eastAsia" w:ascii="仿宋" w:hAnsi="仿宋" w:eastAsia="仿宋" w:cs="宋体"/>
                <w:bCs/>
                <w:sz w:val="24"/>
                <w:highlight w:val="none"/>
              </w:rPr>
              <w:t>（需提供</w:t>
            </w:r>
            <w:r>
              <w:rPr>
                <w:rFonts w:hint="eastAsia" w:ascii="仿宋" w:hAnsi="仿宋" w:eastAsia="仿宋" w:cs="宋体"/>
                <w:bCs/>
                <w:sz w:val="24"/>
                <w:highlight w:val="none"/>
                <w:lang w:val="en-US" w:eastAsia="zh-CN"/>
              </w:rPr>
              <w:t>设备购置发票或租赁合同</w:t>
            </w:r>
            <w:r>
              <w:rPr>
                <w:rFonts w:hint="eastAsia" w:ascii="仿宋" w:hAnsi="仿宋" w:eastAsia="仿宋" w:cs="宋体"/>
                <w:bCs/>
                <w:sz w:val="24"/>
                <w:highlight w:val="none"/>
              </w:rPr>
              <w:t>，且提供的租赁合同不得在采购要素发布前</w:t>
            </w:r>
            <w:r>
              <w:rPr>
                <w:rFonts w:hint="eastAsia" w:ascii="仿宋" w:hAnsi="仿宋" w:eastAsia="仿宋" w:cs="宋体"/>
                <w:bCs/>
                <w:sz w:val="24"/>
                <w:highlight w:val="none"/>
                <w:lang w:val="en-US" w:eastAsia="zh-CN"/>
              </w:rPr>
              <w:t>六个月</w:t>
            </w:r>
            <w:r>
              <w:rPr>
                <w:rFonts w:hint="eastAsia" w:ascii="仿宋" w:hAnsi="仿宋" w:eastAsia="仿宋" w:cs="宋体"/>
                <w:bCs/>
                <w:sz w:val="24"/>
                <w:highlight w:val="none"/>
              </w:rPr>
              <w:t>内签订，否则不得分）。</w:t>
            </w:r>
          </w:p>
          <w:p>
            <w:pPr>
              <w:pStyle w:val="61"/>
              <w:ind w:left="0" w:leftChars="0" w:firstLine="0" w:firstLineChars="0"/>
              <w:rPr>
                <w:highlight w:val="none"/>
              </w:rPr>
            </w:pPr>
            <w:r>
              <w:rPr>
                <w:rFonts w:hint="eastAsia" w:ascii="仿宋" w:hAnsi="仿宋" w:eastAsia="仿宋" w:cs="宋体"/>
                <w:bCs/>
                <w:sz w:val="24"/>
                <w:highlight w:val="none"/>
              </w:rPr>
              <w:t>为保证混合料能及时供应，同时确保拌场地的合法性和有效性，投标人的拌合楼所属场地为自有的得</w:t>
            </w:r>
            <w:r>
              <w:rPr>
                <w:rFonts w:hint="eastAsia" w:ascii="仿宋" w:hAnsi="仿宋" w:eastAsia="仿宋" w:cs="宋体"/>
                <w:bCs/>
                <w:sz w:val="24"/>
                <w:highlight w:val="none"/>
                <w:lang w:val="en-US" w:eastAsia="zh-CN"/>
              </w:rPr>
              <w:t>6分</w:t>
            </w:r>
            <w:r>
              <w:rPr>
                <w:rFonts w:hint="eastAsia" w:ascii="仿宋" w:hAnsi="仿宋" w:eastAsia="仿宋" w:cs="宋体"/>
                <w:bCs/>
                <w:sz w:val="24"/>
                <w:highlight w:val="none"/>
              </w:rPr>
              <w:t>（需提供土地使用证书），租赁土地的得</w:t>
            </w:r>
            <w:r>
              <w:rPr>
                <w:rFonts w:hint="eastAsia" w:ascii="仿宋" w:hAnsi="仿宋" w:eastAsia="仿宋" w:cs="宋体"/>
                <w:bCs/>
                <w:sz w:val="24"/>
                <w:highlight w:val="none"/>
                <w:lang w:val="en-US" w:eastAsia="zh-CN"/>
              </w:rPr>
              <w:t>4</w:t>
            </w:r>
            <w:r>
              <w:rPr>
                <w:rFonts w:hint="eastAsia" w:ascii="仿宋" w:hAnsi="仿宋" w:eastAsia="仿宋" w:cs="宋体"/>
                <w:bCs/>
                <w:sz w:val="24"/>
                <w:highlight w:val="none"/>
              </w:rPr>
              <w:t>分（需提供土地租赁合同，且提供的土地租赁合同不得在采购要素发布前</w:t>
            </w:r>
            <w:r>
              <w:rPr>
                <w:rFonts w:hint="eastAsia" w:ascii="仿宋" w:hAnsi="仿宋" w:eastAsia="仿宋" w:cs="宋体"/>
                <w:bCs/>
                <w:sz w:val="24"/>
                <w:highlight w:val="none"/>
                <w:lang w:val="en-US" w:eastAsia="zh-CN"/>
              </w:rPr>
              <w:t>六个月</w:t>
            </w:r>
            <w:r>
              <w:rPr>
                <w:rFonts w:hint="eastAsia" w:ascii="仿宋" w:hAnsi="仿宋" w:eastAsia="仿宋" w:cs="宋体"/>
                <w:bCs/>
                <w:sz w:val="24"/>
                <w:highlight w:val="none"/>
              </w:rPr>
              <w:t>内签订，否则不得分），本项最高得</w:t>
            </w:r>
            <w:r>
              <w:rPr>
                <w:rFonts w:hint="eastAsia" w:ascii="仿宋" w:hAnsi="仿宋" w:eastAsia="仿宋" w:cs="宋体"/>
                <w:bCs/>
                <w:sz w:val="24"/>
                <w:highlight w:val="none"/>
                <w:lang w:val="en-US" w:eastAsia="zh-CN"/>
              </w:rPr>
              <w:t>6</w:t>
            </w:r>
            <w:r>
              <w:rPr>
                <w:rFonts w:hint="eastAsia" w:ascii="仿宋" w:hAnsi="仿宋" w:eastAsia="仿宋" w:cs="宋体"/>
                <w:bCs/>
                <w:sz w:val="24"/>
                <w:highlight w:val="none"/>
              </w:rPr>
              <w:t>分。</w:t>
            </w:r>
          </w:p>
          <w:p>
            <w:pPr>
              <w:spacing w:line="276" w:lineRule="auto"/>
              <w:rPr>
                <w:rFonts w:hint="eastAsia" w:ascii="仿宋" w:hAnsi="仿宋" w:eastAsia="仿宋" w:cs="仿宋"/>
                <w:sz w:val="24"/>
                <w:szCs w:val="24"/>
                <w:highlight w:val="none"/>
                <w:lang w:eastAsia="zh-CN"/>
              </w:rPr>
            </w:pPr>
            <w:r>
              <w:rPr>
                <w:rFonts w:hint="eastAsia" w:ascii="仿宋" w:hAnsi="仿宋" w:eastAsia="仿宋" w:cs="宋体"/>
                <w:bCs/>
                <w:sz w:val="24"/>
                <w:highlight w:val="none"/>
              </w:rPr>
              <w:t>（注：参于投标的拌和设备型号</w:t>
            </w:r>
            <w:r>
              <w:rPr>
                <w:rFonts w:hint="eastAsia" w:ascii="仿宋" w:hAnsi="仿宋" w:eastAsia="仿宋"/>
                <w:sz w:val="24"/>
                <w:highlight w:val="none"/>
              </w:rPr>
              <w:t>不得小于2000型，</w:t>
            </w:r>
            <w:r>
              <w:rPr>
                <w:rFonts w:hint="eastAsia" w:ascii="仿宋" w:hAnsi="仿宋" w:eastAsia="仿宋" w:cs="宋体"/>
                <w:bCs/>
                <w:sz w:val="24"/>
                <w:highlight w:val="none"/>
              </w:rPr>
              <w:t>拌和设备需通过环保部门相关环保验收，需提供证明材料并加盖公章，否则不得参与投标。）</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lang w:eastAsia="zh-CN"/>
              </w:rPr>
            </w:pPr>
            <w:r>
              <w:rPr>
                <w:rFonts w:hint="eastAsia" w:ascii="仿宋" w:hAnsi="仿宋" w:eastAsia="仿宋" w:cs="宋体"/>
                <w:b/>
                <w:bCs/>
                <w:sz w:val="24"/>
                <w:highlight w:val="none"/>
                <w:lang w:val="en-US" w:eastAsia="zh-CN"/>
              </w:rPr>
              <w:t>12</w:t>
            </w:r>
            <w:r>
              <w:rPr>
                <w:rFonts w:hint="eastAsia" w:ascii="仿宋" w:hAnsi="仿宋" w:eastAsia="仿宋" w:cs="宋体"/>
                <w:b/>
                <w:bCs/>
                <w:sz w:val="24"/>
                <w:highlight w:val="none"/>
                <w:lang w:eastAsia="zh-CN"/>
              </w:rPr>
              <w:t>分</w:t>
            </w:r>
          </w:p>
        </w:tc>
      </w:tr>
      <w:tr>
        <w:tblPrEx>
          <w:tblCellMar>
            <w:top w:w="0" w:type="dxa"/>
            <w:left w:w="108" w:type="dxa"/>
            <w:bottom w:w="0" w:type="dxa"/>
            <w:right w:w="108" w:type="dxa"/>
          </w:tblCellMar>
        </w:tblPrEx>
        <w:trPr>
          <w:trHeight w:val="1134" w:hRule="atLeast"/>
          <w:jc w:val="center"/>
        </w:trPr>
        <w:tc>
          <w:tcPr>
            <w:tcW w:w="849" w:type="dxa"/>
            <w:vMerge w:val="restart"/>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仿宋" w:hAnsi="仿宋" w:eastAsia="仿宋" w:cs="宋体"/>
                <w:b/>
                <w:bCs/>
                <w:sz w:val="24"/>
                <w:highlight w:val="none"/>
              </w:rPr>
            </w:pPr>
            <w:r>
              <w:rPr>
                <w:rFonts w:hint="eastAsia" w:ascii="仿宋" w:hAnsi="仿宋" w:eastAsia="仿宋" w:cs="宋体"/>
                <w:b/>
                <w:bCs/>
                <w:sz w:val="24"/>
                <w:highlight w:val="none"/>
              </w:rPr>
              <w:t>3</w:t>
            </w:r>
          </w:p>
          <w:p>
            <w:pPr>
              <w:spacing w:line="300" w:lineRule="auto"/>
              <w:jc w:val="center"/>
              <w:rPr>
                <w:rFonts w:hint="eastAsia" w:ascii="仿宋" w:hAnsi="仿宋" w:eastAsia="仿宋" w:cs="仿宋"/>
                <w:kern w:val="0"/>
                <w:sz w:val="24"/>
                <w:szCs w:val="24"/>
                <w:highlight w:val="none"/>
                <w:lang w:val="en-US" w:eastAsia="zh-CN"/>
              </w:rPr>
            </w:pPr>
          </w:p>
        </w:tc>
        <w:tc>
          <w:tcPr>
            <w:tcW w:w="1446" w:type="dxa"/>
            <w:vMerge w:val="restart"/>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rPr>
            </w:pPr>
            <w:r>
              <w:rPr>
                <w:rFonts w:hint="eastAsia" w:ascii="仿宋" w:hAnsi="仿宋" w:eastAsia="仿宋" w:cs="宋体"/>
                <w:b/>
                <w:bCs/>
                <w:sz w:val="24"/>
                <w:highlight w:val="none"/>
              </w:rPr>
              <w:t>质量控制</w:t>
            </w:r>
          </w:p>
        </w:tc>
        <w:tc>
          <w:tcPr>
            <w:tcW w:w="6307" w:type="dxa"/>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仿宋" w:hAnsi="仿宋" w:eastAsia="仿宋" w:cs="仿宋"/>
                <w:sz w:val="24"/>
                <w:szCs w:val="24"/>
                <w:highlight w:val="none"/>
                <w:lang w:eastAsia="zh-CN"/>
              </w:rPr>
            </w:pPr>
            <w:r>
              <w:rPr>
                <w:rFonts w:hint="eastAsia" w:ascii="仿宋" w:hAnsi="仿宋" w:eastAsia="仿宋" w:cs="宋体"/>
                <w:bCs/>
                <w:sz w:val="24"/>
                <w:highlight w:val="none"/>
              </w:rPr>
              <w:t>拌和质量及原材料质量：投标人承诺中标后按现行相关标准提供由国家认可的检测机构出具的三种沥青混合料检测报告（含生产配合比、原材料级配、马歇尔稳定度试验、沥青含量试验等）得</w:t>
            </w:r>
            <w:r>
              <w:rPr>
                <w:rFonts w:hint="eastAsia" w:ascii="仿宋" w:hAnsi="仿宋" w:eastAsia="仿宋" w:cs="宋体"/>
                <w:bCs/>
                <w:sz w:val="24"/>
                <w:highlight w:val="none"/>
                <w:lang w:val="en-US" w:eastAsia="zh-CN"/>
              </w:rPr>
              <w:t>3</w:t>
            </w:r>
            <w:r>
              <w:rPr>
                <w:rFonts w:hint="eastAsia" w:ascii="仿宋" w:hAnsi="仿宋" w:eastAsia="仿宋" w:cs="宋体"/>
                <w:bCs/>
                <w:sz w:val="24"/>
                <w:highlight w:val="none"/>
              </w:rPr>
              <w:t>分。（注：承诺函需加盖公章，格式自拟。）</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lang w:eastAsia="zh-CN"/>
              </w:rPr>
            </w:pPr>
            <w:r>
              <w:rPr>
                <w:rFonts w:hint="eastAsia" w:ascii="仿宋" w:hAnsi="仿宋" w:eastAsia="仿宋" w:cs="宋体"/>
                <w:b/>
                <w:bCs/>
                <w:sz w:val="24"/>
                <w:highlight w:val="none"/>
                <w:lang w:val="en-US" w:eastAsia="zh-CN"/>
              </w:rPr>
              <w:t>3</w:t>
            </w:r>
            <w:r>
              <w:rPr>
                <w:rFonts w:hint="eastAsia" w:ascii="仿宋" w:hAnsi="仿宋" w:eastAsia="仿宋" w:cs="宋体"/>
                <w:b/>
                <w:bCs/>
                <w:sz w:val="24"/>
                <w:highlight w:val="none"/>
                <w:lang w:eastAsia="zh-CN"/>
              </w:rPr>
              <w:t>分</w:t>
            </w:r>
          </w:p>
        </w:tc>
      </w:tr>
      <w:tr>
        <w:tblPrEx>
          <w:tblCellMar>
            <w:top w:w="0" w:type="dxa"/>
            <w:left w:w="108" w:type="dxa"/>
            <w:bottom w:w="0" w:type="dxa"/>
            <w:right w:w="108" w:type="dxa"/>
          </w:tblCellMar>
        </w:tblPrEx>
        <w:trPr>
          <w:trHeight w:val="1134" w:hRule="atLeast"/>
          <w:jc w:val="center"/>
        </w:trPr>
        <w:tc>
          <w:tcPr>
            <w:tcW w:w="84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lang w:val="en-US" w:eastAsia="zh-CN"/>
              </w:rPr>
            </w:pPr>
          </w:p>
        </w:tc>
        <w:tc>
          <w:tcPr>
            <w:tcW w:w="1446" w:type="dxa"/>
            <w:vMerge w:val="continue"/>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rPr>
            </w:pPr>
          </w:p>
        </w:tc>
        <w:tc>
          <w:tcPr>
            <w:tcW w:w="6307" w:type="dxa"/>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仿宋" w:hAnsi="仿宋" w:eastAsia="仿宋" w:cs="仿宋"/>
                <w:sz w:val="24"/>
                <w:szCs w:val="24"/>
                <w:highlight w:val="none"/>
                <w:lang w:eastAsia="zh-CN"/>
              </w:rPr>
            </w:pPr>
            <w:r>
              <w:rPr>
                <w:rFonts w:hint="eastAsia" w:ascii="仿宋" w:hAnsi="仿宋" w:eastAsia="仿宋" w:cs="宋体"/>
                <w:bCs/>
                <w:sz w:val="24"/>
                <w:highlight w:val="none"/>
              </w:rPr>
              <w:t>在供货过程中，投标人承诺</w:t>
            </w:r>
            <w:r>
              <w:rPr>
                <w:rFonts w:hint="eastAsia" w:ascii="仿宋" w:hAnsi="仿宋" w:eastAsia="仿宋" w:cs="Arial"/>
                <w:bCs/>
                <w:sz w:val="24"/>
                <w:highlight w:val="none"/>
              </w:rPr>
              <w:t>在符合相关标准自检频率的基础上，增加生产配合比验证、马歇尔稳定度试验和原材料自检检测频率的，每增加一次（含3种检测成果）得</w:t>
            </w:r>
            <w:r>
              <w:rPr>
                <w:rFonts w:hint="eastAsia" w:ascii="仿宋" w:hAnsi="仿宋" w:eastAsia="仿宋" w:cs="Arial"/>
                <w:bCs/>
                <w:sz w:val="24"/>
                <w:highlight w:val="none"/>
                <w:lang w:val="en-US" w:eastAsia="zh-CN"/>
              </w:rPr>
              <w:t>1</w:t>
            </w:r>
            <w:r>
              <w:rPr>
                <w:rFonts w:hint="eastAsia" w:ascii="仿宋" w:hAnsi="仿宋" w:eastAsia="仿宋" w:cs="Arial"/>
                <w:bCs/>
                <w:sz w:val="24"/>
                <w:highlight w:val="none"/>
              </w:rPr>
              <w:t>分，本项最高得</w:t>
            </w:r>
            <w:r>
              <w:rPr>
                <w:rFonts w:hint="eastAsia" w:ascii="仿宋" w:hAnsi="仿宋" w:eastAsia="仿宋" w:cs="Arial"/>
                <w:bCs/>
                <w:sz w:val="24"/>
                <w:highlight w:val="none"/>
                <w:lang w:val="en-US" w:eastAsia="zh-CN"/>
              </w:rPr>
              <w:t>3</w:t>
            </w:r>
            <w:r>
              <w:rPr>
                <w:rFonts w:hint="eastAsia" w:ascii="仿宋" w:hAnsi="仿宋" w:eastAsia="仿宋" w:cs="Arial"/>
                <w:bCs/>
                <w:sz w:val="24"/>
                <w:highlight w:val="none"/>
              </w:rPr>
              <w:t>分。</w:t>
            </w:r>
            <w:r>
              <w:rPr>
                <w:rFonts w:hint="eastAsia" w:ascii="仿宋" w:hAnsi="仿宋" w:eastAsia="仿宋" w:cs="宋体"/>
                <w:bCs/>
                <w:sz w:val="24"/>
                <w:highlight w:val="none"/>
              </w:rPr>
              <w:t>（注：承诺出具的检测报告应真实有效，并符合现行公路工程相关标准，作为项目验收和资金支付的依据；承诺函需加盖公章，格式自拟。）</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lang w:eastAsia="zh-CN"/>
              </w:rPr>
            </w:pPr>
            <w:r>
              <w:rPr>
                <w:rFonts w:hint="eastAsia" w:ascii="仿宋" w:hAnsi="仿宋" w:eastAsia="仿宋" w:cs="宋体"/>
                <w:b/>
                <w:bCs/>
                <w:sz w:val="24"/>
                <w:highlight w:val="none"/>
                <w:lang w:val="en-US" w:eastAsia="zh-CN"/>
              </w:rPr>
              <w:t>3</w:t>
            </w:r>
            <w:r>
              <w:rPr>
                <w:rFonts w:hint="eastAsia" w:ascii="仿宋" w:hAnsi="仿宋" w:eastAsia="仿宋" w:cs="宋体"/>
                <w:b/>
                <w:bCs/>
                <w:sz w:val="24"/>
                <w:highlight w:val="none"/>
                <w:lang w:eastAsia="zh-CN"/>
              </w:rPr>
              <w:t>分</w:t>
            </w:r>
          </w:p>
        </w:tc>
      </w:tr>
      <w:tr>
        <w:tblPrEx>
          <w:tblCellMar>
            <w:top w:w="0" w:type="dxa"/>
            <w:left w:w="108" w:type="dxa"/>
            <w:bottom w:w="0" w:type="dxa"/>
            <w:right w:w="108" w:type="dxa"/>
          </w:tblCellMar>
        </w:tblPrEx>
        <w:trPr>
          <w:trHeight w:val="1134" w:hRule="atLeast"/>
          <w:jc w:val="center"/>
        </w:trPr>
        <w:tc>
          <w:tcPr>
            <w:tcW w:w="84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lang w:val="en-US" w:eastAsia="zh-CN"/>
              </w:rPr>
            </w:pPr>
          </w:p>
        </w:tc>
        <w:tc>
          <w:tcPr>
            <w:tcW w:w="1446" w:type="dxa"/>
            <w:vMerge w:val="continue"/>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rPr>
            </w:pPr>
          </w:p>
        </w:tc>
        <w:tc>
          <w:tcPr>
            <w:tcW w:w="6307" w:type="dxa"/>
            <w:tcBorders>
              <w:top w:val="single" w:color="auto" w:sz="4" w:space="0"/>
              <w:left w:val="single" w:color="auto" w:sz="4" w:space="0"/>
              <w:bottom w:val="single" w:color="auto" w:sz="4" w:space="0"/>
              <w:right w:val="single" w:color="auto" w:sz="4" w:space="0"/>
            </w:tcBorders>
            <w:vAlign w:val="center"/>
          </w:tcPr>
          <w:p>
            <w:pPr>
              <w:pStyle w:val="61"/>
              <w:spacing w:line="276" w:lineRule="auto"/>
              <w:ind w:left="0" w:leftChars="0" w:firstLine="0" w:firstLineChars="0"/>
              <w:rPr>
                <w:rFonts w:hint="eastAsia" w:ascii="仿宋" w:hAnsi="仿宋" w:eastAsia="仿宋" w:cs="宋体"/>
                <w:bCs/>
                <w:sz w:val="24"/>
                <w:highlight w:val="none"/>
              </w:rPr>
            </w:pPr>
            <w:r>
              <w:rPr>
                <w:rFonts w:hint="eastAsia" w:ascii="仿宋" w:hAnsi="仿宋" w:eastAsia="仿宋" w:cs="宋体"/>
                <w:bCs/>
                <w:sz w:val="24"/>
                <w:highlight w:val="none"/>
              </w:rPr>
              <w:t>运输质量：因沥青混合料受天气及运距影响较大，为保证混合料质量，投标人应承诺到达施工现场温度应不低于140℃，正常施工摊铺温度应为130℃-140℃，得</w:t>
            </w:r>
            <w:r>
              <w:rPr>
                <w:rFonts w:hint="eastAsia" w:ascii="仿宋" w:hAnsi="仿宋" w:eastAsia="仿宋" w:cs="宋体"/>
                <w:bCs/>
                <w:sz w:val="24"/>
                <w:highlight w:val="none"/>
                <w:lang w:val="en-US" w:eastAsia="zh-CN"/>
              </w:rPr>
              <w:t>3</w:t>
            </w:r>
            <w:r>
              <w:rPr>
                <w:rFonts w:hint="eastAsia" w:ascii="仿宋" w:hAnsi="仿宋" w:eastAsia="仿宋" w:cs="宋体"/>
                <w:bCs/>
                <w:sz w:val="24"/>
                <w:highlight w:val="none"/>
              </w:rPr>
              <w:t>分。（注：承诺函需加盖公章，格式自拟。）</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lang w:val="en-US" w:eastAsia="zh-CN"/>
              </w:rPr>
              <w:t>3</w:t>
            </w:r>
            <w:r>
              <w:rPr>
                <w:rFonts w:hint="eastAsia" w:ascii="仿宋" w:hAnsi="仿宋" w:eastAsia="仿宋" w:cs="宋体"/>
                <w:b/>
                <w:bCs/>
                <w:sz w:val="24"/>
                <w:highlight w:val="none"/>
                <w:lang w:eastAsia="zh-CN"/>
              </w:rPr>
              <w:t>分</w:t>
            </w:r>
          </w:p>
        </w:tc>
      </w:tr>
      <w:tr>
        <w:tblPrEx>
          <w:tblCellMar>
            <w:top w:w="0" w:type="dxa"/>
            <w:left w:w="108" w:type="dxa"/>
            <w:bottom w:w="0" w:type="dxa"/>
            <w:right w:w="108" w:type="dxa"/>
          </w:tblCellMar>
        </w:tblPrEx>
        <w:trPr>
          <w:trHeight w:val="1134" w:hRule="atLeast"/>
          <w:jc w:val="center"/>
        </w:trPr>
        <w:tc>
          <w:tcPr>
            <w:tcW w:w="84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lang w:val="en-US" w:eastAsia="zh-CN"/>
              </w:rPr>
            </w:pPr>
          </w:p>
        </w:tc>
        <w:tc>
          <w:tcPr>
            <w:tcW w:w="1446" w:type="dxa"/>
            <w:vMerge w:val="continue"/>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rPr>
            </w:pPr>
          </w:p>
        </w:tc>
        <w:tc>
          <w:tcPr>
            <w:tcW w:w="6307" w:type="dxa"/>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仿宋" w:hAnsi="仿宋" w:eastAsia="仿宋" w:cs="宋体"/>
                <w:bCs/>
                <w:sz w:val="24"/>
                <w:highlight w:val="none"/>
              </w:rPr>
            </w:pPr>
            <w:r>
              <w:rPr>
                <w:rFonts w:hint="eastAsia" w:ascii="仿宋" w:hAnsi="仿宋" w:eastAsia="仿宋" w:cs="宋体"/>
                <w:bCs/>
                <w:sz w:val="24"/>
                <w:highlight w:val="none"/>
              </w:rPr>
              <w:t>质量管理体系：根据投标人提供针对本项目的质量保障方案，包括①质量保证体系（包括人员及制度）建立②质量目标、③质量控制节点、④产品供货质量保障措施</w:t>
            </w:r>
            <w:r>
              <w:rPr>
                <w:rFonts w:hint="eastAsia" w:ascii="仿宋" w:hAnsi="仿宋" w:eastAsia="仿宋" w:cs="宋体"/>
                <w:bCs/>
                <w:sz w:val="24"/>
                <w:highlight w:val="none"/>
                <w:lang w:eastAsia="zh-CN"/>
              </w:rPr>
              <w:t>。</w:t>
            </w:r>
            <w:r>
              <w:rPr>
                <w:rFonts w:hint="eastAsia" w:ascii="仿宋" w:hAnsi="仿宋" w:eastAsia="仿宋" w:cs="宋体"/>
                <w:bCs/>
                <w:sz w:val="24"/>
                <w:highlight w:val="none"/>
              </w:rPr>
              <w:t>由评审专家进行综合打分。（每项内容：阐述全面且合理的视为完全符合；阐述粗略、缺陷较多，部分合理的视为部分符合；未提供阐述或阐述不合理或不符合项目的视为不符合。每项内容，完全符合的得2分，部分符合最高得1分，不符合不得分。）</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rPr>
              <w:t>8</w:t>
            </w:r>
            <w:r>
              <w:rPr>
                <w:rFonts w:hint="eastAsia" w:ascii="仿宋" w:hAnsi="仿宋" w:eastAsia="仿宋" w:cs="宋体"/>
                <w:b/>
                <w:bCs/>
                <w:sz w:val="24"/>
                <w:highlight w:val="none"/>
                <w:lang w:eastAsia="zh-CN"/>
              </w:rPr>
              <w:t>分</w:t>
            </w:r>
          </w:p>
        </w:tc>
      </w:tr>
      <w:tr>
        <w:tblPrEx>
          <w:tblCellMar>
            <w:top w:w="0" w:type="dxa"/>
            <w:left w:w="108" w:type="dxa"/>
            <w:bottom w:w="0" w:type="dxa"/>
            <w:right w:w="108" w:type="dxa"/>
          </w:tblCellMar>
        </w:tblPrEx>
        <w:trPr>
          <w:trHeight w:val="1134" w:hRule="atLeast"/>
          <w:jc w:val="center"/>
        </w:trPr>
        <w:tc>
          <w:tcPr>
            <w:tcW w:w="84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lang w:val="en-US" w:eastAsia="zh-CN"/>
              </w:rPr>
            </w:pPr>
          </w:p>
        </w:tc>
        <w:tc>
          <w:tcPr>
            <w:tcW w:w="1446" w:type="dxa"/>
            <w:vMerge w:val="continue"/>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仿宋"/>
                <w:kern w:val="0"/>
                <w:sz w:val="24"/>
                <w:szCs w:val="24"/>
                <w:highlight w:val="none"/>
              </w:rPr>
            </w:pPr>
          </w:p>
        </w:tc>
        <w:tc>
          <w:tcPr>
            <w:tcW w:w="6307" w:type="dxa"/>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仿宋" w:hAnsi="仿宋" w:eastAsia="仿宋" w:cs="宋体"/>
                <w:bCs/>
                <w:sz w:val="24"/>
                <w:highlight w:val="none"/>
              </w:rPr>
            </w:pPr>
            <w:r>
              <w:rPr>
                <w:rFonts w:ascii="仿宋" w:hAnsi="仿宋" w:eastAsia="仿宋" w:cs="宋体"/>
                <w:bCs/>
                <w:sz w:val="24"/>
                <w:highlight w:val="none"/>
              </w:rPr>
              <w:t>验收保障方案</w:t>
            </w:r>
            <w:r>
              <w:rPr>
                <w:rFonts w:hint="eastAsia" w:ascii="仿宋" w:hAnsi="仿宋" w:eastAsia="仿宋" w:cs="宋体"/>
                <w:bCs/>
                <w:sz w:val="24"/>
                <w:highlight w:val="none"/>
              </w:rPr>
              <w:t>：配合做好</w:t>
            </w:r>
            <w:r>
              <w:rPr>
                <w:rFonts w:hint="eastAsia" w:ascii="仿宋" w:hAnsi="仿宋" w:eastAsia="仿宋" w:cs="宋体"/>
                <w:bCs/>
                <w:sz w:val="24"/>
                <w:highlight w:val="none"/>
                <w:lang w:eastAsia="zh-CN"/>
              </w:rPr>
              <w:t>采购单位</w:t>
            </w:r>
            <w:r>
              <w:rPr>
                <w:rFonts w:hint="eastAsia" w:ascii="仿宋" w:hAnsi="仿宋" w:eastAsia="仿宋" w:cs="宋体"/>
                <w:bCs/>
                <w:sz w:val="24"/>
                <w:highlight w:val="none"/>
              </w:rPr>
              <w:t>针对各自项目的验收工作，包括</w:t>
            </w:r>
            <w:r>
              <w:rPr>
                <w:rFonts w:hint="eastAsia" w:ascii="仿宋" w:hAnsi="仿宋" w:eastAsia="仿宋" w:cs="Arial"/>
                <w:bCs/>
                <w:sz w:val="24"/>
                <w:highlight w:val="none"/>
              </w:rPr>
              <w:t>①提供项目沥青混合料出场的自检材料（如生产配合比、马歇尔稳定度、沥青含量试验等）；</w:t>
            </w:r>
            <w:r>
              <w:rPr>
                <w:rFonts w:hint="eastAsia" w:ascii="仿宋" w:hAnsi="仿宋" w:eastAsia="仿宋" w:cs="宋体"/>
                <w:bCs/>
                <w:sz w:val="24"/>
                <w:highlight w:val="none"/>
              </w:rPr>
              <w:t>②</w:t>
            </w:r>
            <w:r>
              <w:rPr>
                <w:rFonts w:hint="eastAsia" w:ascii="仿宋" w:hAnsi="仿宋" w:eastAsia="仿宋" w:cs="Arial"/>
                <w:bCs/>
                <w:sz w:val="24"/>
                <w:highlight w:val="none"/>
              </w:rPr>
              <w:t>验收内容及验收注意事项</w:t>
            </w:r>
            <w:r>
              <w:rPr>
                <w:rFonts w:hint="eastAsia" w:ascii="仿宋" w:hAnsi="仿宋" w:eastAsia="仿宋" w:cs="宋体"/>
                <w:bCs/>
                <w:sz w:val="24"/>
                <w:highlight w:val="none"/>
              </w:rPr>
              <w:t>，由评审专家进行综合打分。</w:t>
            </w:r>
            <w:r>
              <w:rPr>
                <w:rFonts w:hint="eastAsia" w:ascii="仿宋" w:hAnsi="仿宋" w:eastAsia="仿宋"/>
                <w:bCs/>
                <w:sz w:val="24"/>
                <w:highlight w:val="none"/>
              </w:rPr>
              <w:t>（每项内容：阐述全面且合理的视为完全符合；</w:t>
            </w:r>
            <w:r>
              <w:rPr>
                <w:rFonts w:hint="eastAsia" w:ascii="仿宋" w:hAnsi="仿宋" w:eastAsia="仿宋" w:cs="宋体"/>
                <w:bCs/>
                <w:sz w:val="24"/>
                <w:highlight w:val="none"/>
              </w:rPr>
              <w:t>阐述粗略、缺陷较多，部分合理的视为部分符合；</w:t>
            </w:r>
            <w:r>
              <w:rPr>
                <w:rFonts w:hint="eastAsia" w:ascii="仿宋" w:hAnsi="仿宋" w:eastAsia="仿宋"/>
                <w:bCs/>
                <w:sz w:val="24"/>
                <w:highlight w:val="none"/>
              </w:rPr>
              <w:t>未提供阐述或阐述不合理或不符合项目的视为不符合。每项内容，完全符合的得</w:t>
            </w:r>
            <w:r>
              <w:rPr>
                <w:rFonts w:hint="eastAsia" w:ascii="仿宋" w:hAnsi="仿宋" w:eastAsia="仿宋"/>
                <w:bCs/>
                <w:sz w:val="24"/>
                <w:highlight w:val="none"/>
                <w:lang w:val="en-US" w:eastAsia="zh-CN"/>
              </w:rPr>
              <w:t>2</w:t>
            </w:r>
            <w:r>
              <w:rPr>
                <w:rFonts w:hint="eastAsia" w:ascii="仿宋" w:hAnsi="仿宋" w:eastAsia="仿宋"/>
                <w:bCs/>
                <w:sz w:val="24"/>
                <w:highlight w:val="none"/>
              </w:rPr>
              <w:t>分，部分符合最高得1分，不符合不得分。）</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lang w:val="en-US" w:eastAsia="zh-CN"/>
              </w:rPr>
              <w:t>4</w:t>
            </w:r>
            <w:r>
              <w:rPr>
                <w:rFonts w:hint="eastAsia" w:ascii="仿宋" w:hAnsi="仿宋" w:eastAsia="仿宋" w:cs="宋体"/>
                <w:b/>
                <w:bCs/>
                <w:sz w:val="24"/>
                <w:highlight w:val="none"/>
                <w:lang w:eastAsia="zh-CN"/>
              </w:rPr>
              <w:t>分</w:t>
            </w:r>
          </w:p>
        </w:tc>
      </w:tr>
      <w:tr>
        <w:tblPrEx>
          <w:tblCellMar>
            <w:top w:w="0" w:type="dxa"/>
            <w:left w:w="108" w:type="dxa"/>
            <w:bottom w:w="0" w:type="dxa"/>
            <w:right w:w="108" w:type="dxa"/>
          </w:tblCellMar>
        </w:tblPrEx>
        <w:trPr>
          <w:trHeight w:val="1134" w:hRule="atLeast"/>
          <w:jc w:val="center"/>
        </w:trPr>
        <w:tc>
          <w:tcPr>
            <w:tcW w:w="849" w:type="dxa"/>
            <w:vMerge w:val="restart"/>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宋体"/>
                <w:b/>
                <w:bCs/>
                <w:sz w:val="24"/>
                <w:highlight w:val="none"/>
              </w:rPr>
            </w:pPr>
          </w:p>
          <w:p>
            <w:pPr>
              <w:spacing w:line="300" w:lineRule="auto"/>
              <w:jc w:val="center"/>
              <w:rPr>
                <w:rFonts w:hint="eastAsia" w:ascii="仿宋" w:hAnsi="仿宋" w:eastAsia="仿宋" w:cs="仿宋"/>
                <w:kern w:val="0"/>
                <w:sz w:val="24"/>
                <w:szCs w:val="24"/>
                <w:highlight w:val="none"/>
                <w:lang w:val="en-US" w:eastAsia="zh-CN"/>
              </w:rPr>
            </w:pPr>
            <w:r>
              <w:rPr>
                <w:rFonts w:hint="eastAsia" w:ascii="仿宋" w:hAnsi="仿宋" w:eastAsia="仿宋" w:cs="宋体"/>
                <w:b/>
                <w:bCs/>
                <w:sz w:val="24"/>
                <w:highlight w:val="none"/>
              </w:rPr>
              <w:t>4</w:t>
            </w:r>
          </w:p>
        </w:tc>
        <w:tc>
          <w:tcPr>
            <w:tcW w:w="1446" w:type="dxa"/>
            <w:vMerge w:val="restart"/>
            <w:tcBorders>
              <w:top w:val="single" w:color="auto" w:sz="4" w:space="0"/>
              <w:left w:val="single" w:color="auto" w:sz="4" w:space="0"/>
              <w:bottom w:val="single" w:color="auto" w:sz="4" w:space="0"/>
              <w:right w:val="single" w:color="auto" w:sz="4" w:space="0"/>
            </w:tcBorders>
            <w:vAlign w:val="center"/>
          </w:tcPr>
          <w:p>
            <w:pPr>
              <w:spacing w:line="300" w:lineRule="auto"/>
              <w:rPr>
                <w:rFonts w:ascii="仿宋" w:hAnsi="仿宋" w:eastAsia="仿宋" w:cs="宋体"/>
                <w:b/>
                <w:bCs/>
                <w:sz w:val="24"/>
                <w:highlight w:val="none"/>
              </w:rPr>
            </w:pPr>
          </w:p>
          <w:p>
            <w:pPr>
              <w:spacing w:line="300" w:lineRule="auto"/>
              <w:jc w:val="center"/>
              <w:rPr>
                <w:rFonts w:hint="eastAsia" w:ascii="仿宋" w:hAnsi="仿宋" w:eastAsia="仿宋" w:cs="仿宋"/>
                <w:kern w:val="0"/>
                <w:sz w:val="24"/>
                <w:szCs w:val="24"/>
                <w:highlight w:val="none"/>
              </w:rPr>
            </w:pPr>
            <w:r>
              <w:rPr>
                <w:rFonts w:hint="eastAsia" w:ascii="仿宋" w:hAnsi="仿宋" w:eastAsia="仿宋" w:cs="宋体"/>
                <w:b/>
                <w:bCs/>
                <w:sz w:val="24"/>
                <w:highlight w:val="none"/>
              </w:rPr>
              <w:t>安全保障</w:t>
            </w:r>
          </w:p>
        </w:tc>
        <w:tc>
          <w:tcPr>
            <w:tcW w:w="6307" w:type="dxa"/>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仿宋" w:hAnsi="仿宋" w:eastAsia="仿宋" w:cs="宋体"/>
                <w:bCs/>
                <w:sz w:val="24"/>
                <w:highlight w:val="none"/>
              </w:rPr>
            </w:pPr>
            <w:r>
              <w:rPr>
                <w:rFonts w:hint="eastAsia" w:ascii="仿宋" w:hAnsi="仿宋" w:eastAsia="仿宋" w:cs="宋体"/>
                <w:bCs/>
                <w:sz w:val="24"/>
                <w:highlight w:val="none"/>
              </w:rPr>
              <w:t>安全管理方案：根据投标人提供针对本项目的运输</w:t>
            </w:r>
            <w:r>
              <w:rPr>
                <w:rFonts w:hint="eastAsia" w:ascii="仿宋" w:hAnsi="仿宋" w:eastAsia="仿宋" w:cs="宋体"/>
                <w:bCs/>
                <w:sz w:val="24"/>
                <w:highlight w:val="none"/>
                <w:lang w:eastAsia="zh-CN"/>
              </w:rPr>
              <w:t>、</w:t>
            </w:r>
            <w:r>
              <w:rPr>
                <w:rFonts w:hint="eastAsia" w:ascii="仿宋" w:hAnsi="仿宋" w:eastAsia="仿宋" w:cs="宋体"/>
                <w:bCs/>
                <w:sz w:val="24"/>
                <w:highlight w:val="none"/>
              </w:rPr>
              <w:t>卸料</w:t>
            </w:r>
            <w:r>
              <w:rPr>
                <w:rFonts w:hint="eastAsia" w:ascii="仿宋" w:hAnsi="仿宋" w:eastAsia="仿宋" w:cs="宋体"/>
                <w:bCs/>
                <w:sz w:val="24"/>
                <w:highlight w:val="none"/>
                <w:lang w:eastAsia="zh-CN"/>
              </w:rPr>
              <w:t>、施工等</w:t>
            </w:r>
            <w:r>
              <w:rPr>
                <w:rFonts w:hint="eastAsia" w:ascii="仿宋" w:hAnsi="仿宋" w:eastAsia="仿宋" w:cs="宋体"/>
                <w:bCs/>
                <w:sz w:val="24"/>
                <w:highlight w:val="none"/>
              </w:rPr>
              <w:t>安全管理方案，包括①项目安全管理制度、②项目实施过程中的风险分析及有效控制措施、③机械设备使用和车辆装卸运输过程的安全保证措施、④人员安全教育，由评审专家进行综合打分。（每项内容：阐述全面且合理的视为完全符合；阐述粗略、缺陷较多，部分合理的视为部分符合；未提供阐述或阐述不合理或不符合项目的视为不符合。每项内容，完全符合的得2分，部分符合最高得1分，不符合不得分。）</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rPr>
              <w:t>8</w:t>
            </w:r>
            <w:r>
              <w:rPr>
                <w:rFonts w:hint="eastAsia" w:ascii="仿宋" w:hAnsi="仿宋" w:eastAsia="仿宋" w:cs="宋体"/>
                <w:b/>
                <w:bCs/>
                <w:sz w:val="24"/>
                <w:highlight w:val="none"/>
                <w:lang w:eastAsia="zh-CN"/>
              </w:rPr>
              <w:t>分</w:t>
            </w:r>
          </w:p>
        </w:tc>
      </w:tr>
      <w:tr>
        <w:tblPrEx>
          <w:tblCellMar>
            <w:top w:w="0" w:type="dxa"/>
            <w:left w:w="108" w:type="dxa"/>
            <w:bottom w:w="0" w:type="dxa"/>
            <w:right w:w="108" w:type="dxa"/>
          </w:tblCellMar>
        </w:tblPrEx>
        <w:trPr>
          <w:trHeight w:val="1134" w:hRule="atLeast"/>
          <w:jc w:val="center"/>
        </w:trPr>
        <w:tc>
          <w:tcPr>
            <w:tcW w:w="84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p>
        </w:tc>
        <w:tc>
          <w:tcPr>
            <w:tcW w:w="1446" w:type="dxa"/>
            <w:vMerge w:val="continue"/>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p>
        </w:tc>
        <w:tc>
          <w:tcPr>
            <w:tcW w:w="6307" w:type="dxa"/>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仿宋" w:hAnsi="仿宋" w:eastAsia="仿宋" w:cs="宋体"/>
                <w:bCs/>
                <w:sz w:val="24"/>
                <w:highlight w:val="none"/>
              </w:rPr>
            </w:pPr>
            <w:r>
              <w:rPr>
                <w:rFonts w:hint="eastAsia" w:ascii="仿宋" w:hAnsi="仿宋" w:eastAsia="仿宋" w:cs="宋体"/>
                <w:bCs/>
                <w:sz w:val="24"/>
                <w:highlight w:val="none"/>
              </w:rPr>
              <w:t>应急管理方案：根据投标人提供针对本项目的应急保障方案，包括①应急管理组织及应急响应流程、②紧急情况等级及各级响应时间、③紧急情况应对措施，由评审专家进行综合打分。（每项内容：阐述全面且合理的视为完全符合；阐述粗略、缺陷较多，部分合理的视为部分符合；未提供阐述或阐述不合理或不符合项目的视为不符合。每项内容，完全符合的得2分，部分符合最高得1分，不符合不得分。）</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rPr>
              <w:t>6</w:t>
            </w:r>
            <w:r>
              <w:rPr>
                <w:rFonts w:hint="eastAsia" w:ascii="仿宋" w:hAnsi="仿宋" w:eastAsia="仿宋" w:cs="宋体"/>
                <w:b/>
                <w:bCs/>
                <w:sz w:val="24"/>
                <w:highlight w:val="none"/>
                <w:lang w:eastAsia="zh-CN"/>
              </w:rPr>
              <w:t>分</w:t>
            </w:r>
          </w:p>
        </w:tc>
      </w:tr>
      <w:tr>
        <w:tblPrEx>
          <w:tblCellMar>
            <w:top w:w="0" w:type="dxa"/>
            <w:left w:w="108" w:type="dxa"/>
            <w:bottom w:w="0" w:type="dxa"/>
            <w:right w:w="108" w:type="dxa"/>
          </w:tblCellMar>
        </w:tblPrEx>
        <w:trPr>
          <w:trHeight w:val="1134"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rPr>
              <w:t>5</w:t>
            </w:r>
          </w:p>
        </w:tc>
        <w:tc>
          <w:tcPr>
            <w:tcW w:w="144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rPr>
              <w:t>运输车辆</w:t>
            </w:r>
          </w:p>
        </w:tc>
        <w:tc>
          <w:tcPr>
            <w:tcW w:w="6307"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仿宋" w:hAnsi="仿宋" w:eastAsia="仿宋" w:cs="宋体"/>
                <w:bCs/>
                <w:sz w:val="24"/>
                <w:highlight w:val="none"/>
              </w:rPr>
            </w:pPr>
            <w:r>
              <w:rPr>
                <w:rFonts w:hint="eastAsia" w:ascii="仿宋" w:hAnsi="仿宋" w:eastAsia="仿宋" w:cs="宋体"/>
                <w:bCs/>
                <w:sz w:val="24"/>
                <w:highlight w:val="none"/>
              </w:rPr>
              <w:t>为便于供货管理，结合项目集中供料的实际情况，保证混合料在运输和卸料过程中的专业性，投标人应具备符合本项目实际且专业的混合料运输车队。运输车辆应符合现行道路运输和环保相关要求，做到密闭和覆盖，严禁抛洒滴漏，严禁超载超限，并办理营运证，排放标准应为国5及以上，且不少于</w:t>
            </w:r>
            <w:r>
              <w:rPr>
                <w:rFonts w:hint="eastAsia" w:ascii="仿宋" w:hAnsi="仿宋" w:eastAsia="仿宋" w:cs="宋体"/>
                <w:bCs/>
                <w:sz w:val="24"/>
                <w:highlight w:val="none"/>
                <w:lang w:val="en-US" w:eastAsia="zh-CN"/>
              </w:rPr>
              <w:t>3</w:t>
            </w:r>
            <w:r>
              <w:rPr>
                <w:rFonts w:hint="eastAsia" w:ascii="仿宋" w:hAnsi="仿宋" w:eastAsia="仿宋" w:cs="宋体"/>
                <w:bCs/>
                <w:sz w:val="24"/>
                <w:highlight w:val="none"/>
              </w:rPr>
              <w:t>辆。少于</w:t>
            </w:r>
            <w:r>
              <w:rPr>
                <w:rFonts w:hint="eastAsia" w:ascii="仿宋" w:hAnsi="仿宋" w:eastAsia="仿宋" w:cs="宋体"/>
                <w:bCs/>
                <w:sz w:val="24"/>
                <w:highlight w:val="none"/>
                <w:lang w:val="en-US" w:eastAsia="zh-CN"/>
              </w:rPr>
              <w:t>3</w:t>
            </w:r>
            <w:r>
              <w:rPr>
                <w:rFonts w:hint="eastAsia" w:ascii="仿宋" w:hAnsi="仿宋" w:eastAsia="仿宋" w:cs="宋体"/>
                <w:bCs/>
                <w:sz w:val="24"/>
                <w:highlight w:val="none"/>
              </w:rPr>
              <w:t>辆不得分。</w:t>
            </w:r>
          </w:p>
          <w:p>
            <w:pPr>
              <w:spacing w:line="276" w:lineRule="auto"/>
              <w:rPr>
                <w:rFonts w:hint="eastAsia" w:ascii="仿宋" w:hAnsi="仿宋" w:eastAsia="仿宋" w:cs="宋体"/>
                <w:bCs/>
                <w:sz w:val="24"/>
                <w:highlight w:val="none"/>
              </w:rPr>
            </w:pPr>
            <w:r>
              <w:rPr>
                <w:rFonts w:hint="eastAsia" w:ascii="仿宋" w:hAnsi="仿宋" w:eastAsia="仿宋" w:cs="宋体"/>
                <w:bCs/>
                <w:sz w:val="24"/>
                <w:highlight w:val="none"/>
              </w:rPr>
              <w:t>投标人承诺根据各项目实际情况合理安排车辆，建议车辆装载量从3吨到20吨不等，租赁或</w:t>
            </w:r>
            <w:r>
              <w:rPr>
                <w:rFonts w:hint="eastAsia" w:ascii="仿宋" w:hAnsi="仿宋" w:eastAsia="仿宋" w:cs="宋体"/>
                <w:bCs/>
                <w:sz w:val="24"/>
                <w:highlight w:val="none"/>
                <w:lang w:val="en-US" w:eastAsia="zh-CN"/>
              </w:rPr>
              <w:t>委托第三方专业运输车队</w:t>
            </w:r>
            <w:r>
              <w:rPr>
                <w:rFonts w:hint="eastAsia" w:ascii="仿宋" w:hAnsi="仿宋" w:eastAsia="仿宋" w:cs="宋体"/>
                <w:bCs/>
                <w:sz w:val="24"/>
                <w:highlight w:val="none"/>
              </w:rPr>
              <w:t>的最高得</w:t>
            </w:r>
            <w:r>
              <w:rPr>
                <w:rFonts w:hint="eastAsia" w:ascii="仿宋" w:hAnsi="仿宋" w:eastAsia="仿宋" w:cs="宋体"/>
                <w:bCs/>
                <w:sz w:val="24"/>
                <w:highlight w:val="none"/>
                <w:lang w:val="en-US" w:eastAsia="zh-CN"/>
              </w:rPr>
              <w:t>4</w:t>
            </w:r>
            <w:r>
              <w:rPr>
                <w:rFonts w:hint="eastAsia" w:ascii="仿宋" w:hAnsi="仿宋" w:eastAsia="仿宋" w:cs="宋体"/>
                <w:bCs/>
                <w:sz w:val="24"/>
                <w:highlight w:val="none"/>
              </w:rPr>
              <w:t>分，车辆全部自有的得6分，本项最高得分6分。（注：需提供相对应车辆的营运证明、车辆自有的登记证书或发票及租赁</w:t>
            </w:r>
            <w:r>
              <w:rPr>
                <w:rFonts w:hint="eastAsia" w:ascii="仿宋" w:hAnsi="仿宋" w:eastAsia="仿宋" w:cs="宋体"/>
                <w:bCs/>
                <w:sz w:val="24"/>
                <w:highlight w:val="none"/>
                <w:lang w:val="en-US" w:eastAsia="zh-CN"/>
              </w:rPr>
              <w:t>或委托</w:t>
            </w:r>
            <w:r>
              <w:rPr>
                <w:rFonts w:hint="eastAsia" w:ascii="仿宋" w:hAnsi="仿宋" w:eastAsia="仿宋" w:cs="宋体"/>
                <w:bCs/>
                <w:sz w:val="24"/>
                <w:highlight w:val="none"/>
              </w:rPr>
              <w:t>合同等相关材料，租赁</w:t>
            </w:r>
            <w:r>
              <w:rPr>
                <w:rFonts w:hint="eastAsia" w:ascii="仿宋" w:hAnsi="仿宋" w:eastAsia="仿宋" w:cs="宋体"/>
                <w:bCs/>
                <w:sz w:val="24"/>
                <w:highlight w:val="none"/>
                <w:lang w:val="en-US" w:eastAsia="zh-CN"/>
              </w:rPr>
              <w:t>或委托</w:t>
            </w:r>
            <w:r>
              <w:rPr>
                <w:rFonts w:hint="eastAsia" w:ascii="仿宋" w:hAnsi="仿宋" w:eastAsia="仿宋" w:cs="宋体"/>
                <w:bCs/>
                <w:sz w:val="24"/>
                <w:highlight w:val="none"/>
              </w:rPr>
              <w:t>合同不得在采购要素发布前</w:t>
            </w:r>
            <w:r>
              <w:rPr>
                <w:rFonts w:hint="eastAsia" w:ascii="仿宋" w:hAnsi="仿宋" w:eastAsia="仿宋" w:cs="宋体"/>
                <w:bCs/>
                <w:sz w:val="24"/>
                <w:highlight w:val="none"/>
                <w:lang w:val="en-US" w:eastAsia="zh-CN"/>
              </w:rPr>
              <w:t>六个月</w:t>
            </w:r>
            <w:r>
              <w:rPr>
                <w:rFonts w:hint="eastAsia" w:ascii="仿宋" w:hAnsi="仿宋" w:eastAsia="仿宋" w:cs="宋体"/>
                <w:bCs/>
                <w:sz w:val="24"/>
                <w:highlight w:val="none"/>
              </w:rPr>
              <w:t>内签订，否则不得分</w:t>
            </w:r>
            <w:r>
              <w:rPr>
                <w:rFonts w:hint="eastAsia" w:ascii="仿宋" w:hAnsi="仿宋" w:eastAsia="仿宋" w:cs="宋体"/>
                <w:bCs/>
                <w:sz w:val="24"/>
                <w:highlight w:val="none"/>
                <w:lang w:eastAsia="zh-CN"/>
              </w:rPr>
              <w:t>。</w:t>
            </w:r>
            <w:r>
              <w:rPr>
                <w:rFonts w:hint="eastAsia" w:ascii="仿宋" w:hAnsi="仿宋" w:eastAsia="仿宋" w:cs="宋体"/>
                <w:bCs/>
                <w:sz w:val="24"/>
                <w:highlight w:val="none"/>
              </w:rPr>
              <w:t>承诺函需加盖公章，格式自拟。）</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rPr>
              <w:t>6</w:t>
            </w:r>
            <w:r>
              <w:rPr>
                <w:rFonts w:hint="eastAsia" w:ascii="仿宋" w:hAnsi="仿宋" w:eastAsia="仿宋" w:cs="宋体"/>
                <w:b/>
                <w:bCs/>
                <w:sz w:val="24"/>
                <w:highlight w:val="none"/>
                <w:lang w:eastAsia="zh-CN"/>
              </w:rPr>
              <w:t>分</w:t>
            </w:r>
          </w:p>
        </w:tc>
      </w:tr>
      <w:tr>
        <w:tblPrEx>
          <w:tblCellMar>
            <w:top w:w="0" w:type="dxa"/>
            <w:left w:w="108" w:type="dxa"/>
            <w:bottom w:w="0" w:type="dxa"/>
            <w:right w:w="108" w:type="dxa"/>
          </w:tblCellMar>
        </w:tblPrEx>
        <w:trPr>
          <w:trHeight w:val="1134"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rPr>
              <w:t>6</w:t>
            </w:r>
          </w:p>
        </w:tc>
        <w:tc>
          <w:tcPr>
            <w:tcW w:w="144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lang w:eastAsia="zh-CN"/>
              </w:rPr>
              <w:t>实施</w:t>
            </w:r>
            <w:r>
              <w:rPr>
                <w:rFonts w:ascii="仿宋" w:hAnsi="仿宋" w:eastAsia="仿宋" w:cs="宋体"/>
                <w:b/>
                <w:bCs/>
                <w:sz w:val="24"/>
                <w:highlight w:val="none"/>
              </w:rPr>
              <w:t>方案</w:t>
            </w:r>
          </w:p>
        </w:tc>
        <w:tc>
          <w:tcPr>
            <w:tcW w:w="6307" w:type="dxa"/>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仿宋" w:hAnsi="仿宋" w:eastAsia="仿宋" w:cs="宋体"/>
                <w:bCs/>
                <w:sz w:val="24"/>
                <w:highlight w:val="none"/>
              </w:rPr>
            </w:pPr>
            <w:r>
              <w:rPr>
                <w:rFonts w:hint="eastAsia" w:ascii="仿宋" w:hAnsi="仿宋" w:eastAsia="仿宋" w:cs="宋体"/>
                <w:bCs/>
                <w:sz w:val="24"/>
                <w:highlight w:val="none"/>
              </w:rPr>
              <w:t>投标人提供针对本项目的</w:t>
            </w:r>
            <w:r>
              <w:rPr>
                <w:rFonts w:hint="eastAsia" w:ascii="仿宋" w:hAnsi="仿宋" w:eastAsia="仿宋" w:cs="宋体"/>
                <w:bCs/>
                <w:sz w:val="24"/>
                <w:highlight w:val="none"/>
                <w:lang w:eastAsia="zh-CN"/>
              </w:rPr>
              <w:t>实施</w:t>
            </w:r>
            <w:r>
              <w:rPr>
                <w:rFonts w:hint="eastAsia" w:ascii="仿宋" w:hAnsi="仿宋" w:eastAsia="仿宋" w:cs="宋体"/>
                <w:bCs/>
                <w:sz w:val="24"/>
                <w:highlight w:val="none"/>
              </w:rPr>
              <w:t>方案，包括①</w:t>
            </w:r>
            <w:r>
              <w:rPr>
                <w:rFonts w:hint="eastAsia" w:ascii="仿宋" w:hAnsi="仿宋" w:eastAsia="仿宋" w:cs="宋体"/>
                <w:bCs/>
                <w:sz w:val="24"/>
                <w:highlight w:val="none"/>
                <w:lang w:eastAsia="zh-CN"/>
              </w:rPr>
              <w:t>实施</w:t>
            </w:r>
            <w:r>
              <w:rPr>
                <w:rFonts w:hint="eastAsia" w:ascii="仿宋" w:hAnsi="仿宋" w:eastAsia="仿宋" w:cs="宋体"/>
                <w:bCs/>
                <w:sz w:val="24"/>
                <w:highlight w:val="none"/>
              </w:rPr>
              <w:t>进度计划、②包括车辆及人员配备、③装卸运输</w:t>
            </w:r>
            <w:r>
              <w:rPr>
                <w:rFonts w:hint="eastAsia" w:ascii="仿宋" w:hAnsi="仿宋" w:eastAsia="仿宋" w:cs="宋体"/>
                <w:bCs/>
                <w:sz w:val="24"/>
                <w:highlight w:val="none"/>
                <w:lang w:eastAsia="zh-CN"/>
              </w:rPr>
              <w:t>、</w:t>
            </w:r>
            <w:r>
              <w:rPr>
                <w:rFonts w:hint="eastAsia" w:ascii="仿宋" w:hAnsi="仿宋" w:eastAsia="仿宋" w:cs="宋体"/>
                <w:bCs/>
                <w:sz w:val="24"/>
                <w:highlight w:val="none"/>
              </w:rPr>
              <w:t>摊铺</w:t>
            </w:r>
            <w:r>
              <w:rPr>
                <w:rFonts w:hint="eastAsia" w:ascii="仿宋" w:hAnsi="仿宋" w:eastAsia="仿宋" w:cs="宋体"/>
                <w:bCs/>
                <w:sz w:val="24"/>
                <w:highlight w:val="none"/>
                <w:lang w:eastAsia="zh-CN"/>
              </w:rPr>
              <w:t>施工</w:t>
            </w:r>
            <w:r>
              <w:rPr>
                <w:rFonts w:hint="eastAsia" w:ascii="仿宋" w:hAnsi="仿宋" w:eastAsia="仿宋" w:cs="宋体"/>
                <w:bCs/>
                <w:sz w:val="24"/>
                <w:highlight w:val="none"/>
              </w:rPr>
              <w:t>等具体</w:t>
            </w:r>
            <w:r>
              <w:rPr>
                <w:rFonts w:hint="eastAsia" w:ascii="仿宋" w:hAnsi="仿宋" w:eastAsia="仿宋" w:cs="宋体"/>
                <w:bCs/>
                <w:sz w:val="24"/>
                <w:highlight w:val="none"/>
                <w:lang w:eastAsia="zh-CN"/>
              </w:rPr>
              <w:t>实施</w:t>
            </w:r>
            <w:r>
              <w:rPr>
                <w:rFonts w:hint="eastAsia" w:ascii="仿宋" w:hAnsi="仿宋" w:eastAsia="仿宋" w:cs="宋体"/>
                <w:bCs/>
                <w:sz w:val="24"/>
                <w:highlight w:val="none"/>
              </w:rPr>
              <w:t>流程,按期按量</w:t>
            </w:r>
            <w:r>
              <w:rPr>
                <w:rFonts w:hint="eastAsia" w:ascii="仿宋" w:hAnsi="仿宋" w:eastAsia="仿宋" w:cs="宋体"/>
                <w:bCs/>
                <w:sz w:val="24"/>
                <w:highlight w:val="none"/>
                <w:lang w:eastAsia="zh-CN"/>
              </w:rPr>
              <w:t>完工</w:t>
            </w:r>
            <w:r>
              <w:rPr>
                <w:rFonts w:hint="eastAsia" w:ascii="仿宋" w:hAnsi="仿宋" w:eastAsia="仿宋" w:cs="宋体"/>
                <w:bCs/>
                <w:sz w:val="24"/>
                <w:highlight w:val="none"/>
              </w:rPr>
              <w:t>保障措施，由评审专家进行综合打分。</w:t>
            </w:r>
            <w:r>
              <w:rPr>
                <w:rFonts w:hint="eastAsia" w:ascii="仿宋" w:hAnsi="仿宋" w:eastAsia="仿宋"/>
                <w:sz w:val="24"/>
                <w:highlight w:val="none"/>
              </w:rPr>
              <w:t>（每项内容：阐述全面且合理的视为完全符合；</w:t>
            </w:r>
            <w:r>
              <w:rPr>
                <w:rFonts w:hint="eastAsia" w:ascii="仿宋" w:hAnsi="仿宋" w:eastAsia="仿宋" w:cs="宋体"/>
                <w:sz w:val="24"/>
                <w:highlight w:val="none"/>
              </w:rPr>
              <w:t>阐述粗略、缺陷较多，部分合理的视为部分符合；</w:t>
            </w:r>
            <w:r>
              <w:rPr>
                <w:rFonts w:hint="eastAsia" w:ascii="仿宋" w:hAnsi="仿宋" w:eastAsia="仿宋"/>
                <w:sz w:val="24"/>
                <w:highlight w:val="none"/>
              </w:rPr>
              <w:t>未提供阐述或阐述不合理或不符合项目的视为不符合。每项内容，完全符合的得2分，部分符合最高得1分，不符合不得分。）</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rPr>
              <w:t>6</w:t>
            </w:r>
            <w:r>
              <w:rPr>
                <w:rFonts w:hint="eastAsia" w:ascii="仿宋" w:hAnsi="仿宋" w:eastAsia="仿宋" w:cs="宋体"/>
                <w:b/>
                <w:bCs/>
                <w:sz w:val="24"/>
                <w:highlight w:val="none"/>
                <w:lang w:eastAsia="zh-CN"/>
              </w:rPr>
              <w:t>分</w:t>
            </w:r>
          </w:p>
        </w:tc>
      </w:tr>
      <w:tr>
        <w:tblPrEx>
          <w:tblCellMar>
            <w:top w:w="0" w:type="dxa"/>
            <w:left w:w="108" w:type="dxa"/>
            <w:bottom w:w="0" w:type="dxa"/>
            <w:right w:w="108" w:type="dxa"/>
          </w:tblCellMar>
        </w:tblPrEx>
        <w:trPr>
          <w:trHeight w:val="749" w:hRule="atLeast"/>
          <w:jc w:val="center"/>
        </w:trPr>
        <w:tc>
          <w:tcPr>
            <w:tcW w:w="849" w:type="dxa"/>
            <w:vMerge w:val="restart"/>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rPr>
              <w:t>7</w:t>
            </w:r>
          </w:p>
        </w:tc>
        <w:tc>
          <w:tcPr>
            <w:tcW w:w="1446" w:type="dxa"/>
            <w:vMerge w:val="restart"/>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ascii="仿宋" w:hAnsi="仿宋" w:eastAsia="仿宋" w:cs="宋体"/>
                <w:b/>
                <w:bCs/>
                <w:sz w:val="24"/>
                <w:highlight w:val="none"/>
              </w:rPr>
              <w:t>服务</w:t>
            </w:r>
            <w:r>
              <w:rPr>
                <w:rFonts w:hint="eastAsia" w:ascii="仿宋" w:hAnsi="仿宋" w:eastAsia="仿宋" w:cs="宋体"/>
                <w:b/>
                <w:bCs/>
                <w:sz w:val="24"/>
                <w:highlight w:val="none"/>
              </w:rPr>
              <w:t>承诺</w:t>
            </w:r>
          </w:p>
        </w:tc>
        <w:tc>
          <w:tcPr>
            <w:tcW w:w="6307" w:type="dxa"/>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仿宋" w:hAnsi="仿宋" w:eastAsia="仿宋" w:cs="宋体"/>
                <w:bCs/>
                <w:sz w:val="24"/>
                <w:highlight w:val="none"/>
              </w:rPr>
            </w:pPr>
            <w:r>
              <w:rPr>
                <w:rFonts w:ascii="仿宋" w:hAnsi="仿宋" w:eastAsia="仿宋" w:cs="Arial"/>
                <w:sz w:val="24"/>
                <w:highlight w:val="none"/>
              </w:rPr>
              <w:t>售后服务热线：</w:t>
            </w:r>
            <w:r>
              <w:rPr>
                <w:rFonts w:hint="eastAsia" w:ascii="仿宋" w:hAnsi="仿宋" w:eastAsia="仿宋" w:cs="Arial"/>
                <w:sz w:val="24"/>
                <w:highlight w:val="none"/>
              </w:rPr>
              <w:t>投标人承诺提供24小时售后服务热线，并且提供固定售后服务电话，承诺项目实施期间可无条件优先向采购单位提供24小时不间断供应，并</w:t>
            </w:r>
            <w:r>
              <w:rPr>
                <w:rFonts w:ascii="仿宋" w:hAnsi="仿宋" w:eastAsia="仿宋" w:cs="宋体"/>
                <w:bCs/>
                <w:sz w:val="24"/>
                <w:highlight w:val="none"/>
              </w:rPr>
              <w:t>按照采购人的要求</w:t>
            </w:r>
            <w:r>
              <w:rPr>
                <w:rFonts w:hint="eastAsia" w:ascii="仿宋" w:hAnsi="仿宋" w:eastAsia="仿宋" w:cs="Arial"/>
                <w:sz w:val="24"/>
                <w:highlight w:val="none"/>
              </w:rPr>
              <w:t>做好供货工作的，得2分。</w:t>
            </w:r>
            <w:r>
              <w:rPr>
                <w:rFonts w:hint="eastAsia" w:ascii="仿宋" w:hAnsi="仿宋" w:eastAsia="仿宋" w:cs="宋体"/>
                <w:bCs/>
                <w:sz w:val="24"/>
                <w:highlight w:val="none"/>
              </w:rPr>
              <w:t>（注：商务技术文件中需提供相关承诺函（格式自拟）及售后服务电话号码并加盖投标人公章，否则不得分。）</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rPr>
              <w:t>2</w:t>
            </w:r>
            <w:r>
              <w:rPr>
                <w:rFonts w:hint="eastAsia" w:ascii="仿宋" w:hAnsi="仿宋" w:eastAsia="仿宋" w:cs="宋体"/>
                <w:b/>
                <w:bCs/>
                <w:sz w:val="24"/>
                <w:highlight w:val="none"/>
                <w:lang w:eastAsia="zh-CN"/>
              </w:rPr>
              <w:t>分</w:t>
            </w:r>
          </w:p>
        </w:tc>
      </w:tr>
      <w:tr>
        <w:tblPrEx>
          <w:tblCellMar>
            <w:top w:w="0" w:type="dxa"/>
            <w:left w:w="108" w:type="dxa"/>
            <w:bottom w:w="0" w:type="dxa"/>
            <w:right w:w="108" w:type="dxa"/>
          </w:tblCellMar>
        </w:tblPrEx>
        <w:trPr>
          <w:trHeight w:val="1134" w:hRule="atLeast"/>
          <w:jc w:val="center"/>
        </w:trPr>
        <w:tc>
          <w:tcPr>
            <w:tcW w:w="849" w:type="dxa"/>
            <w:vMerge w:val="continue"/>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p>
        </w:tc>
        <w:tc>
          <w:tcPr>
            <w:tcW w:w="1446" w:type="dxa"/>
            <w:vMerge w:val="continue"/>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p>
        </w:tc>
        <w:tc>
          <w:tcPr>
            <w:tcW w:w="6307" w:type="dxa"/>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仿宋" w:hAnsi="仿宋" w:eastAsia="仿宋" w:cs="宋体"/>
                <w:bCs/>
                <w:sz w:val="24"/>
                <w:highlight w:val="none"/>
              </w:rPr>
            </w:pPr>
            <w:r>
              <w:rPr>
                <w:rFonts w:ascii="仿宋" w:hAnsi="仿宋" w:eastAsia="仿宋" w:cs="宋体"/>
                <w:bCs/>
                <w:sz w:val="24"/>
                <w:highlight w:val="none"/>
              </w:rPr>
              <w:t>根据投标人提供针对本项目售后服务措施，包括</w:t>
            </w:r>
            <w:r>
              <w:rPr>
                <w:rFonts w:hint="eastAsia" w:ascii="仿宋" w:hAnsi="仿宋" w:eastAsia="仿宋" w:cs="Arial"/>
                <w:sz w:val="24"/>
                <w:highlight w:val="none"/>
              </w:rPr>
              <w:t>①各项目</w:t>
            </w:r>
            <w:r>
              <w:rPr>
                <w:rFonts w:hint="eastAsia" w:ascii="仿宋" w:hAnsi="仿宋" w:eastAsia="仿宋" w:cs="宋体"/>
                <w:bCs/>
                <w:sz w:val="24"/>
                <w:highlight w:val="none"/>
              </w:rPr>
              <w:t>质保期内</w:t>
            </w:r>
            <w:r>
              <w:rPr>
                <w:rFonts w:hint="eastAsia" w:ascii="仿宋" w:hAnsi="仿宋" w:eastAsia="仿宋" w:cs="Arial"/>
                <w:sz w:val="24"/>
                <w:highlight w:val="none"/>
              </w:rPr>
              <w:t>服务计划、②供货过程中出现混合料质量问题处理过程,混合料到场后配合做好质量检测及方量确认（包括人员配备）。由评审专家进行综合打分。</w:t>
            </w:r>
            <w:r>
              <w:rPr>
                <w:rFonts w:hint="eastAsia" w:ascii="仿宋" w:hAnsi="仿宋" w:eastAsia="仿宋"/>
                <w:sz w:val="24"/>
                <w:highlight w:val="none"/>
              </w:rPr>
              <w:t>（每项内容：阐述全面且合理的视为完全符合；</w:t>
            </w:r>
            <w:r>
              <w:rPr>
                <w:rFonts w:hint="eastAsia" w:ascii="仿宋" w:hAnsi="仿宋" w:eastAsia="仿宋" w:cs="宋体"/>
                <w:sz w:val="24"/>
                <w:highlight w:val="none"/>
              </w:rPr>
              <w:t>阐述粗略、缺陷较多，部分合理的视为部分符合；</w:t>
            </w:r>
            <w:r>
              <w:rPr>
                <w:rFonts w:hint="eastAsia" w:ascii="仿宋" w:hAnsi="仿宋" w:eastAsia="仿宋"/>
                <w:sz w:val="24"/>
                <w:highlight w:val="none"/>
              </w:rPr>
              <w:t>未提供阐述或阐述不合理或不符合项目的视为不符合。每项内容，完全符合的得</w:t>
            </w:r>
            <w:r>
              <w:rPr>
                <w:rFonts w:hint="eastAsia" w:ascii="仿宋" w:hAnsi="仿宋" w:eastAsia="仿宋"/>
                <w:sz w:val="24"/>
                <w:highlight w:val="none"/>
                <w:lang w:val="en-US" w:eastAsia="zh-CN"/>
              </w:rPr>
              <w:t>3</w:t>
            </w:r>
            <w:r>
              <w:rPr>
                <w:rFonts w:hint="eastAsia" w:ascii="仿宋" w:hAnsi="仿宋" w:eastAsia="仿宋"/>
                <w:sz w:val="24"/>
                <w:highlight w:val="none"/>
              </w:rPr>
              <w:t>分，基本符合得1分，不符合不得分。）</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eastAsia" w:ascii="仿宋" w:hAnsi="仿宋" w:eastAsia="仿宋" w:cs="宋体"/>
                <w:b/>
                <w:bCs/>
                <w:sz w:val="24"/>
                <w:highlight w:val="none"/>
              </w:rPr>
            </w:pPr>
            <w:r>
              <w:rPr>
                <w:rFonts w:hint="eastAsia" w:ascii="仿宋" w:hAnsi="仿宋" w:eastAsia="仿宋" w:cs="宋体"/>
                <w:b/>
                <w:bCs/>
                <w:sz w:val="24"/>
                <w:highlight w:val="none"/>
                <w:lang w:val="en-US" w:eastAsia="zh-CN"/>
              </w:rPr>
              <w:t>6</w:t>
            </w:r>
            <w:r>
              <w:rPr>
                <w:rFonts w:hint="eastAsia" w:ascii="仿宋" w:hAnsi="仿宋" w:eastAsia="仿宋" w:cs="宋体"/>
                <w:b/>
                <w:bCs/>
                <w:sz w:val="24"/>
                <w:highlight w:val="none"/>
                <w:lang w:eastAsia="zh-CN"/>
              </w:rPr>
              <w:t>分</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30</w:t>
      </w:r>
      <w:r>
        <w:rPr>
          <w:rFonts w:hint="eastAsia" w:ascii="仿宋" w:hAnsi="仿宋" w:eastAsia="仿宋" w:cs="仿宋"/>
          <w:b/>
          <w:bCs/>
          <w:iCs/>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即：投标报价得分=(评标基准价／投标报价)×30</w:t>
      </w:r>
    </w:p>
    <w:p>
      <w:pPr>
        <w:widowControl/>
        <w:adjustRightInd/>
        <w:jc w:val="center"/>
        <w:rPr>
          <w:rFonts w:hint="eastAsia" w:ascii="仿宋" w:hAnsi="仿宋" w:eastAsia="仿宋" w:cs="仿宋"/>
          <w:b/>
          <w:sz w:val="36"/>
          <w:szCs w:val="20"/>
          <w:highlight w:val="none"/>
        </w:rPr>
      </w:pPr>
    </w:p>
    <w:p>
      <w:pPr>
        <w:pStyle w:val="3"/>
        <w:rPr>
          <w:rFonts w:hint="eastAsia" w:ascii="仿宋" w:hAnsi="仿宋" w:eastAsia="仿宋" w:cs="仿宋"/>
          <w:b/>
          <w:sz w:val="36"/>
          <w:szCs w:val="20"/>
          <w:highlight w:val="none"/>
        </w:rPr>
      </w:pPr>
    </w:p>
    <w:p>
      <w:pPr>
        <w:pStyle w:val="2"/>
        <w:rPr>
          <w:rFonts w:hint="eastAsia" w:ascii="仿宋" w:hAnsi="仿宋" w:eastAsia="仿宋" w:cs="仿宋"/>
          <w:b/>
          <w:sz w:val="36"/>
          <w:szCs w:val="20"/>
          <w:highlight w:val="none"/>
        </w:rPr>
      </w:pPr>
    </w:p>
    <w:p>
      <w:pPr>
        <w:rPr>
          <w:rFonts w:hint="eastAsia" w:ascii="仿宋" w:hAnsi="仿宋" w:eastAsia="仿宋" w:cs="仿宋"/>
          <w:b/>
          <w:sz w:val="36"/>
          <w:szCs w:val="20"/>
          <w:highlight w:val="none"/>
        </w:rPr>
      </w:pPr>
    </w:p>
    <w:p>
      <w:pPr>
        <w:pStyle w:val="3"/>
        <w:rPr>
          <w:rFonts w:hint="eastAsia" w:ascii="仿宋" w:hAnsi="仿宋" w:eastAsia="仿宋" w:cs="仿宋"/>
          <w:b/>
          <w:sz w:val="36"/>
          <w:szCs w:val="20"/>
          <w:highlight w:val="none"/>
        </w:rPr>
      </w:pPr>
    </w:p>
    <w:p>
      <w:pPr>
        <w:pStyle w:val="2"/>
        <w:rPr>
          <w:rFonts w:hint="eastAsia" w:ascii="仿宋" w:hAnsi="仿宋" w:eastAsia="仿宋" w:cs="仿宋"/>
          <w:b/>
          <w:sz w:val="36"/>
          <w:szCs w:val="20"/>
          <w:highlight w:val="none"/>
        </w:rPr>
      </w:pPr>
    </w:p>
    <w:p>
      <w:pPr>
        <w:rPr>
          <w:rFonts w:hint="eastAsia" w:ascii="仿宋" w:hAnsi="仿宋" w:eastAsia="仿宋" w:cs="仿宋"/>
          <w:b/>
          <w:sz w:val="36"/>
          <w:szCs w:val="20"/>
          <w:highlight w:val="none"/>
        </w:rPr>
      </w:pPr>
    </w:p>
    <w:p>
      <w:pPr>
        <w:pStyle w:val="3"/>
        <w:rPr>
          <w:rFonts w:hint="eastAsia" w:ascii="仿宋" w:hAnsi="仿宋" w:eastAsia="仿宋" w:cs="仿宋"/>
          <w:b/>
          <w:sz w:val="36"/>
          <w:szCs w:val="20"/>
          <w:highlight w:val="none"/>
        </w:rPr>
      </w:pPr>
    </w:p>
    <w:p>
      <w:pPr>
        <w:pStyle w:val="2"/>
        <w:rPr>
          <w:rFonts w:hint="eastAsia" w:ascii="仿宋" w:hAnsi="仿宋" w:eastAsia="仿宋" w:cs="仿宋"/>
          <w:b/>
          <w:sz w:val="36"/>
          <w:szCs w:val="20"/>
          <w:highlight w:val="none"/>
        </w:rPr>
      </w:pPr>
    </w:p>
    <w:p>
      <w:pPr>
        <w:rPr>
          <w:rFonts w:hint="eastAsia" w:ascii="仿宋" w:hAnsi="仿宋" w:eastAsia="仿宋" w:cs="仿宋"/>
          <w:b/>
          <w:sz w:val="36"/>
          <w:szCs w:val="20"/>
          <w:highlight w:val="none"/>
        </w:rPr>
      </w:pPr>
    </w:p>
    <w:p>
      <w:pPr>
        <w:rPr>
          <w:rFonts w:hint="eastAsia" w:ascii="仿宋" w:hAnsi="仿宋" w:eastAsia="仿宋" w:cs="仿宋"/>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6"/>
      <w:r>
        <w:rPr>
          <w:rFonts w:hint="eastAsia" w:ascii="仿宋" w:hAnsi="仿宋" w:eastAsia="仿宋" w:cs="仿宋"/>
          <w:b/>
          <w:sz w:val="36"/>
          <w:szCs w:val="20"/>
          <w:highlight w:val="none"/>
        </w:rPr>
        <w:t xml:space="preserve"> </w:t>
      </w:r>
      <w:bookmarkEnd w:id="37"/>
      <w:r>
        <w:rPr>
          <w:rFonts w:hint="eastAsia" w:ascii="仿宋" w:hAnsi="仿宋" w:eastAsia="仿宋" w:cs="仿宋"/>
          <w:b/>
          <w:sz w:val="36"/>
          <w:szCs w:val="20"/>
          <w:highlight w:val="none"/>
        </w:rPr>
        <w:t>投标文件及其附件格式</w:t>
      </w:r>
    </w:p>
    <w:p>
      <w:pPr>
        <w:spacing w:line="360" w:lineRule="auto"/>
        <w:jc w:val="center"/>
        <w:outlineLvl w:val="0"/>
        <w:rPr>
          <w:rFonts w:hint="eastAsia" w:ascii="仿宋" w:hAnsi="仿宋" w:eastAsia="仿宋" w:cs="仿宋"/>
          <w:b/>
          <w:kern w:val="0"/>
          <w:sz w:val="36"/>
          <w:szCs w:val="36"/>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3"/>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pPr>
        <w:snapToGrid w:val="0"/>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绍兴市质量技术监督检测院大院内沥青混凝土路面面层维修改造项目</w:t>
      </w:r>
      <w:r>
        <w:rPr>
          <w:rFonts w:hint="eastAsia" w:ascii="仿宋" w:hAnsi="仿宋" w:eastAsia="仿宋" w:cs="仿宋"/>
          <w:color w:val="auto"/>
          <w:sz w:val="24"/>
          <w:highlight w:val="none"/>
        </w:rPr>
        <w:t>【招标编号：（采购编号）】政府采购活动</w:t>
      </w:r>
      <w:r>
        <w:rPr>
          <w:rFonts w:hint="eastAsia" w:ascii="仿宋" w:hAnsi="仿宋" w:eastAsia="仿宋" w:cs="仿宋"/>
          <w:sz w:val="24"/>
          <w:highlight w:val="none"/>
        </w:rPr>
        <w:t>，郑重承诺：</w:t>
      </w:r>
    </w:p>
    <w:p>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highlight w:val="none"/>
        </w:rPr>
      </w:pPr>
    </w:p>
    <w:p>
      <w:pPr>
        <w:spacing w:line="336" w:lineRule="auto"/>
        <w:jc w:val="center"/>
        <w:rPr>
          <w:rFonts w:hint="eastAsia" w:ascii="仿宋" w:hAnsi="仿宋" w:eastAsia="仿宋" w:cs="仿宋"/>
          <w:b/>
          <w:kern w:val="0"/>
          <w:sz w:val="36"/>
          <w:szCs w:val="36"/>
          <w:highlight w:val="none"/>
        </w:rPr>
      </w:pPr>
    </w:p>
    <w:p>
      <w:pPr>
        <w:spacing w:line="336" w:lineRule="auto"/>
        <w:jc w:val="center"/>
        <w:rPr>
          <w:rFonts w:hint="eastAsia" w:ascii="仿宋" w:hAnsi="仿宋" w:eastAsia="仿宋" w:cs="仿宋"/>
          <w:b/>
          <w:kern w:val="0"/>
          <w:sz w:val="36"/>
          <w:szCs w:val="36"/>
          <w:highlight w:val="none"/>
        </w:rPr>
      </w:pPr>
    </w:p>
    <w:p>
      <w:pPr>
        <w:spacing w:line="336" w:lineRule="auto"/>
        <w:jc w:val="center"/>
        <w:rPr>
          <w:rFonts w:hint="eastAsia"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4"/>
        <w:numPr>
          <w:ilvl w:val="0"/>
          <w:numId w:val="1"/>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pPr>
        <w:pStyle w:val="904"/>
        <w:numPr>
          <w:ilvl w:val="0"/>
          <w:numId w:val="1"/>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法定代表人授权书 ………………………………………………………… （页码）</w:t>
      </w:r>
    </w:p>
    <w:p>
      <w:pPr>
        <w:pStyle w:val="904"/>
        <w:numPr>
          <w:ilvl w:val="0"/>
          <w:numId w:val="1"/>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法定代表人及其授权代表身份证复印件（复印件）…………………………（页码）</w:t>
      </w:r>
    </w:p>
    <w:p>
      <w:pPr>
        <w:pStyle w:val="904"/>
        <w:numPr>
          <w:ilvl w:val="0"/>
          <w:numId w:val="1"/>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pPr>
        <w:pStyle w:val="904"/>
        <w:numPr>
          <w:ilvl w:val="0"/>
          <w:numId w:val="1"/>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pPr>
        <w:pStyle w:val="904"/>
        <w:numPr>
          <w:ilvl w:val="0"/>
          <w:numId w:val="1"/>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adjustRightInd w:val="0"/>
        <w:spacing w:line="360" w:lineRule="auto"/>
        <w:ind w:right="-510" w:rightChars="-243"/>
        <w:jc w:val="both"/>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11）</w:t>
      </w:r>
      <w:r>
        <w:rPr>
          <w:rFonts w:hint="eastAsia" w:ascii="仿宋_GB2312" w:hAnsi="仿宋_GB2312" w:eastAsia="仿宋_GB2312" w:cs="仿宋_GB2312"/>
          <w:sz w:val="24"/>
          <w:highlight w:val="none"/>
        </w:rPr>
        <w:t>供应商售后服务证明材料……………………………………………………（页码）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12</w:t>
      </w:r>
      <w:r>
        <w:rPr>
          <w:rFonts w:hint="eastAsia" w:ascii="仿宋_GB2312" w:hAnsi="仿宋_GB2312" w:eastAsia="仿宋_GB2312" w:cs="仿宋_GB2312"/>
          <w:kern w:val="0"/>
          <w:sz w:val="24"/>
          <w:highlight w:val="none"/>
        </w:rPr>
        <w:t>）项目小组人员名单………………………………………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jc w:val="both"/>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both"/>
        <w:rPr>
          <w:rFonts w:hint="eastAsia" w:ascii="仿宋" w:hAnsi="仿宋" w:eastAsia="仿宋" w:cs="仿宋"/>
          <w:b/>
          <w:kern w:val="0"/>
          <w:sz w:val="32"/>
          <w:szCs w:val="32"/>
          <w:highlight w:val="none"/>
          <w:lang w:val="zh-CN"/>
        </w:rPr>
      </w:pPr>
    </w:p>
    <w:p>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keepNext w:val="0"/>
        <w:keepLines w:val="0"/>
        <w:pageBreakBefore w:val="0"/>
        <w:kinsoku/>
        <w:wordWrap/>
        <w:overflowPunct/>
        <w:topLinePunct w:val="0"/>
        <w:autoSpaceDE/>
        <w:autoSpaceDN/>
        <w:bidi w:val="0"/>
        <w:snapToGrid w:val="0"/>
        <w:spacing w:line="400" w:lineRule="exact"/>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5"/>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sz w:val="24"/>
          <w:szCs w:val="24"/>
          <w:highlight w:val="none"/>
        </w:rPr>
      </w:pP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highlight w:val="none"/>
          <w:lang w:val="zh-CN"/>
        </w:rPr>
      </w:pPr>
    </w:p>
    <w:p>
      <w:pPr>
        <w:autoSpaceDE w:val="0"/>
        <w:autoSpaceDN w:val="0"/>
        <w:spacing w:line="360" w:lineRule="auto"/>
        <w:jc w:val="center"/>
        <w:rPr>
          <w:rFonts w:hint="eastAsia" w:ascii="仿宋" w:hAnsi="仿宋" w:eastAsia="仿宋" w:cs="仿宋"/>
          <w:b/>
          <w:kern w:val="0"/>
          <w:sz w:val="32"/>
          <w:szCs w:val="32"/>
          <w:highlight w:val="none"/>
          <w:lang w:val="zh-CN"/>
        </w:rPr>
      </w:pPr>
    </w:p>
    <w:p>
      <w:pPr>
        <w:autoSpaceDE w:val="0"/>
        <w:autoSpaceDN w:val="0"/>
        <w:spacing w:line="360" w:lineRule="auto"/>
        <w:jc w:val="center"/>
        <w:rPr>
          <w:rFonts w:hint="eastAsia" w:ascii="仿宋" w:hAnsi="仿宋" w:eastAsia="仿宋" w:cs="仿宋"/>
          <w:b/>
          <w:kern w:val="0"/>
          <w:sz w:val="32"/>
          <w:szCs w:val="32"/>
          <w:highlight w:val="none"/>
          <w:lang w:val="zh-CN"/>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四</w:t>
      </w:r>
      <w:r>
        <w:rPr>
          <w:rFonts w:hint="eastAsia" w:ascii="仿宋" w:hAnsi="仿宋" w:eastAsia="仿宋" w:cs="仿宋"/>
          <w:b/>
          <w:sz w:val="30"/>
          <w:szCs w:val="30"/>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pPr>
        <w:spacing w:line="440" w:lineRule="exact"/>
        <w:ind w:right="480"/>
        <w:rPr>
          <w:rFonts w:hint="eastAsia" w:ascii="仿宋" w:hAnsi="仿宋" w:eastAsia="仿宋" w:cs="仿宋"/>
          <w:sz w:val="24"/>
          <w:highlight w:val="none"/>
        </w:rPr>
      </w:pP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both"/>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bl>
    <w:p>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hint="eastAsia" w:ascii="仿宋" w:hAnsi="仿宋" w:eastAsia="仿宋" w:cs="仿宋"/>
          <w:b/>
          <w:kern w:val="0"/>
          <w:sz w:val="32"/>
          <w:szCs w:val="32"/>
          <w:highlight w:val="none"/>
        </w:rPr>
      </w:pPr>
    </w:p>
    <w:p>
      <w:pPr>
        <w:spacing w:line="360" w:lineRule="auto"/>
        <w:ind w:right="420"/>
        <w:rPr>
          <w:rFonts w:hint="eastAsia" w:ascii="仿宋" w:hAnsi="仿宋" w:eastAsia="仿宋" w:cs="仿宋"/>
          <w:b/>
          <w:bCs/>
          <w:sz w:val="32"/>
          <w:szCs w:val="32"/>
          <w:highlight w:val="none"/>
        </w:rPr>
      </w:pPr>
      <w:r>
        <w:rPr>
          <w:rFonts w:hint="eastAsia" w:ascii="仿宋" w:hAnsi="仿宋" w:eastAsia="仿宋" w:cs="仿宋"/>
          <w:sz w:val="24"/>
          <w:highlight w:val="none"/>
        </w:rPr>
        <w:t>注：按本格式和要求提供。</w:t>
      </w:r>
    </w:p>
    <w:p>
      <w:pPr>
        <w:widowControl/>
        <w:adjustRightInd/>
        <w:jc w:val="left"/>
        <w:rPr>
          <w:rFonts w:hint="eastAsia" w:ascii="仿宋" w:hAnsi="仿宋" w:eastAsia="仿宋" w:cs="仿宋"/>
          <w:b/>
          <w:bCs/>
          <w:sz w:val="32"/>
          <w:szCs w:val="32"/>
          <w:highlight w:val="none"/>
          <w:lang w:eastAsia="zh-CN"/>
        </w:rPr>
      </w:pPr>
    </w:p>
    <w:p>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eastAsia="zh-CN"/>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highlight w:val="none"/>
        </w:rPr>
      </w:pPr>
      <w:r>
        <w:rPr>
          <w:rFonts w:hint="eastAsia" w:ascii="仿宋" w:hAnsi="仿宋" w:eastAsia="仿宋" w:cs="仿宋"/>
          <w:color w:val="auto"/>
          <w:sz w:val="24"/>
          <w:highlight w:val="none"/>
        </w:rPr>
        <w:t>（采购人）、（采购代</w:t>
      </w:r>
      <w:r>
        <w:rPr>
          <w:rFonts w:hint="eastAsia" w:ascii="仿宋" w:hAnsi="仿宋" w:eastAsia="仿宋" w:cs="仿宋"/>
          <w:sz w:val="24"/>
          <w:highlight w:val="none"/>
        </w:rPr>
        <w:t>理机构）</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hint="eastAsia" w:ascii="仿宋" w:hAnsi="仿宋" w:eastAsia="仿宋" w:cs="仿宋"/>
          <w:b/>
          <w:bCs/>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hint="eastAsia" w:ascii="仿宋" w:hAnsi="仿宋" w:eastAsia="仿宋" w:cs="仿宋"/>
          <w:b/>
          <w:bCs/>
          <w:sz w:val="24"/>
          <w:highlight w:val="none"/>
        </w:rPr>
      </w:pPr>
    </w:p>
    <w:p>
      <w:pPr>
        <w:pStyle w:val="79"/>
        <w:jc w:val="center"/>
        <w:rPr>
          <w:rFonts w:hint="eastAsia" w:ascii="仿宋" w:hAnsi="仿宋" w:eastAsia="仿宋" w:cs="仿宋"/>
          <w:b/>
          <w:bCs/>
          <w:sz w:val="24"/>
          <w:highlight w:val="none"/>
        </w:rPr>
      </w:pPr>
    </w:p>
    <w:p>
      <w:pPr>
        <w:spacing w:line="360" w:lineRule="auto"/>
        <w:jc w:val="center"/>
        <w:rPr>
          <w:rFonts w:hint="eastAsia" w:ascii="仿宋_GB2312" w:hAnsi="仿宋_GB2312" w:eastAsia="仿宋_GB2312" w:cs="仿宋_GB2312"/>
          <w:b/>
          <w:sz w:val="32"/>
          <w:szCs w:val="32"/>
          <w:highlight w:val="none"/>
          <w:lang w:eastAsia="zh-CN"/>
        </w:rPr>
      </w:pPr>
    </w:p>
    <w:p>
      <w:pPr>
        <w:spacing w:line="360" w:lineRule="auto"/>
        <w:jc w:val="center"/>
        <w:rPr>
          <w:rFonts w:hint="eastAsia" w:ascii="仿宋_GB2312" w:hAnsi="仿宋_GB2312" w:eastAsia="仿宋_GB2312" w:cs="仿宋_GB2312"/>
          <w:b/>
          <w:sz w:val="32"/>
          <w:szCs w:val="32"/>
          <w:highlight w:val="none"/>
          <w:lang w:eastAsia="zh-CN"/>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eastAsia="zh-CN"/>
        </w:rPr>
        <w:t>七</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7"/>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八</w:t>
      </w:r>
      <w:r>
        <w:rPr>
          <w:rFonts w:hint="eastAsia" w:ascii="仿宋_GB2312" w:hAnsi="仿宋_GB2312" w:eastAsia="仿宋_GB2312" w:cs="仿宋_GB2312"/>
          <w:b/>
          <w:bCs/>
          <w:sz w:val="32"/>
          <w:szCs w:val="32"/>
          <w:highlight w:val="none"/>
        </w:rPr>
        <w:t>、技术解决方案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九、组织实施方案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hint="eastAsia" w:ascii="仿宋_GB2312" w:hAnsi="仿宋_GB2312" w:eastAsia="仿宋_GB2312" w:cs="仿宋_GB2312"/>
          <w:b/>
          <w:bCs/>
          <w:sz w:val="32"/>
          <w:szCs w:val="32"/>
          <w:highlight w:val="none"/>
          <w:lang w:eastAsia="zh-CN"/>
        </w:rPr>
      </w:pPr>
    </w:p>
    <w:p>
      <w:pPr>
        <w:spacing w:line="360" w:lineRule="auto"/>
        <w:jc w:val="center"/>
        <w:rPr>
          <w:rFonts w:hint="eastAsia" w:ascii="仿宋_GB2312" w:hAnsi="仿宋_GB2312" w:eastAsia="仿宋_GB2312" w:cs="仿宋_GB2312"/>
          <w:b/>
          <w:bCs/>
          <w:sz w:val="32"/>
          <w:szCs w:val="32"/>
          <w:highlight w:val="none"/>
          <w:lang w:eastAsia="zh-CN"/>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rPr>
        <w:t>、售后服务方案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_GB2312" w:hAnsi="仿宋_GB2312" w:eastAsia="仿宋_GB2312" w:cs="仿宋_GB2312"/>
          <w:b/>
          <w:sz w:val="30"/>
          <w:szCs w:val="30"/>
          <w:highlight w:val="none"/>
          <w:lang w:eastAsia="zh-CN"/>
        </w:rPr>
      </w:pPr>
    </w:p>
    <w:p>
      <w:pPr>
        <w:spacing w:line="360" w:lineRule="auto"/>
        <w:jc w:val="center"/>
        <w:rPr>
          <w:rFonts w:hint="eastAsia" w:ascii="仿宋_GB2312" w:hAnsi="仿宋_GB2312" w:eastAsia="仿宋_GB2312" w:cs="仿宋_GB2312"/>
          <w:b/>
          <w:sz w:val="30"/>
          <w:szCs w:val="30"/>
          <w:highlight w:val="none"/>
          <w:lang w:eastAsia="zh-CN"/>
        </w:rPr>
      </w:pPr>
    </w:p>
    <w:p>
      <w:pPr>
        <w:pStyle w:val="79"/>
        <w:rPr>
          <w:rFonts w:hint="eastAsia"/>
          <w:highlight w:val="none"/>
          <w:lang w:eastAsia="zh-CN"/>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十一</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pPr>
        <w:spacing w:line="336" w:lineRule="auto"/>
        <w:ind w:firstLine="3600" w:firstLineChars="1500"/>
        <w:rPr>
          <w:rFonts w:hint="eastAsia" w:ascii="仿宋" w:hAnsi="仿宋" w:eastAsia="仿宋" w:cs="仿宋"/>
          <w:sz w:val="24"/>
          <w:highlight w:val="none"/>
        </w:rPr>
      </w:pPr>
    </w:p>
    <w:p>
      <w:pPr>
        <w:pStyle w:val="79"/>
        <w:rPr>
          <w:rFonts w:hint="eastAsia"/>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79"/>
        <w:rPr>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十二</w:t>
      </w:r>
      <w:r>
        <w:rPr>
          <w:rFonts w:hint="eastAsia" w:ascii="仿宋_GB2312" w:hAnsi="仿宋_GB2312" w:eastAsia="仿宋_GB2312" w:cs="仿宋_GB2312"/>
          <w:b/>
          <w:bCs/>
          <w:sz w:val="32"/>
          <w:szCs w:val="32"/>
          <w:highlight w:val="none"/>
        </w:rPr>
        <w:t>、项目小组人员名单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both"/>
        <w:rPr>
          <w:rFonts w:hint="eastAsia" w:ascii="仿宋_GB2312" w:hAnsi="仿宋_GB2312" w:eastAsia="仿宋_GB2312" w:cs="仿宋_GB2312"/>
          <w:kern w:val="0"/>
          <w:sz w:val="24"/>
          <w:highlight w:val="none"/>
          <w:lang w:val="zh-CN"/>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十三</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18"/>
          <w:szCs w:val="18"/>
          <w:highlight w:val="none"/>
        </w:rPr>
      </w:pPr>
    </w:p>
    <w:p>
      <w:pPr>
        <w:pStyle w:val="79"/>
        <w:rPr>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十六</w:t>
      </w:r>
      <w:r>
        <w:rPr>
          <w:rFonts w:hint="eastAsia" w:ascii="仿宋_GB2312" w:hAnsi="仿宋_GB2312" w:eastAsia="仿宋_GB2312" w:cs="仿宋_GB2312"/>
          <w:b/>
          <w:bCs/>
          <w:sz w:val="32"/>
          <w:szCs w:val="32"/>
          <w:highlight w:val="none"/>
        </w:rPr>
        <w:t>、验收方案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十七</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0"/>
        <w:rPr>
          <w:rFonts w:hint="eastAsia"/>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pPr>
        <w:pStyle w:val="3"/>
        <w:numPr>
          <w:ilvl w:val="0"/>
          <w:numId w:val="0"/>
        </w:numPr>
        <w:snapToGrid w:val="0"/>
        <w:spacing w:line="360" w:lineRule="auto"/>
        <w:rPr>
          <w:rFonts w:hint="eastAsia" w:ascii="仿宋" w:hAnsi="仿宋" w:eastAsia="仿宋" w:cs="仿宋"/>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both"/>
        <w:rPr>
          <w:rFonts w:hint="eastAsia" w:ascii="仿宋" w:hAnsi="仿宋" w:eastAsia="仿宋" w:cs="仿宋"/>
          <w:b/>
          <w:kern w:val="0"/>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绍兴市质量技术监督检测院大院内沥青混凝土路面面层维修改造项目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highlight w:val="none"/>
              </w:rPr>
            </w:pPr>
          </w:p>
        </w:tc>
        <w:tc>
          <w:tcPr>
            <w:tcW w:w="992" w:type="dxa"/>
            <w:vAlign w:val="center"/>
          </w:tcPr>
          <w:p>
            <w:pPr>
              <w:snapToGrid w:val="0"/>
              <w:spacing w:line="360" w:lineRule="auto"/>
              <w:jc w:val="center"/>
              <w:rPr>
                <w:rFonts w:hint="eastAsia" w:ascii="仿宋" w:hAnsi="仿宋" w:eastAsia="仿宋" w:cs="仿宋"/>
                <w:sz w:val="24"/>
                <w:highlight w:val="none"/>
              </w:rPr>
            </w:pPr>
          </w:p>
        </w:tc>
        <w:tc>
          <w:tcPr>
            <w:tcW w:w="2268" w:type="dxa"/>
            <w:vAlign w:val="center"/>
          </w:tcPr>
          <w:p>
            <w:pPr>
              <w:snapToGrid w:val="0"/>
              <w:spacing w:line="360" w:lineRule="auto"/>
              <w:jc w:val="center"/>
              <w:rPr>
                <w:rFonts w:hint="eastAsia" w:ascii="仿宋" w:hAnsi="仿宋" w:eastAsia="仿宋" w:cs="仿宋"/>
                <w:sz w:val="24"/>
                <w:highlight w:val="none"/>
              </w:rPr>
            </w:pPr>
          </w:p>
        </w:tc>
        <w:tc>
          <w:tcPr>
            <w:tcW w:w="2410" w:type="dxa"/>
            <w:vAlign w:val="center"/>
          </w:tcPr>
          <w:p>
            <w:pPr>
              <w:snapToGrid w:val="0"/>
              <w:spacing w:line="360" w:lineRule="auto"/>
              <w:jc w:val="center"/>
              <w:rPr>
                <w:rFonts w:hint="eastAsia" w:ascii="仿宋" w:hAnsi="仿宋" w:eastAsia="仿宋" w:cs="仿宋"/>
                <w:sz w:val="24"/>
                <w:highlight w:val="none"/>
              </w:rPr>
            </w:pPr>
          </w:p>
        </w:tc>
        <w:tc>
          <w:tcPr>
            <w:tcW w:w="2268" w:type="dxa"/>
            <w:vAlign w:val="center"/>
          </w:tcPr>
          <w:p>
            <w:pPr>
              <w:snapToGrid w:val="0"/>
              <w:spacing w:line="360" w:lineRule="auto"/>
              <w:jc w:val="center"/>
              <w:rPr>
                <w:rFonts w:hint="eastAsia" w:ascii="仿宋" w:hAnsi="仿宋" w:eastAsia="仿宋" w:cs="仿宋"/>
                <w:sz w:val="24"/>
                <w:highlight w:val="none"/>
              </w:rPr>
            </w:pPr>
          </w:p>
        </w:tc>
        <w:tc>
          <w:tcPr>
            <w:tcW w:w="2126" w:type="dxa"/>
            <w:vAlign w:val="center"/>
          </w:tcPr>
          <w:p>
            <w:pPr>
              <w:spacing w:line="360" w:lineRule="auto"/>
              <w:jc w:val="center"/>
              <w:rPr>
                <w:rFonts w:hint="eastAsia" w:ascii="仿宋" w:hAnsi="仿宋" w:eastAsia="仿宋" w:cs="仿宋"/>
                <w:sz w:val="24"/>
                <w:highlight w:val="none"/>
              </w:rPr>
            </w:pPr>
          </w:p>
        </w:tc>
        <w:tc>
          <w:tcPr>
            <w:tcW w:w="2127" w:type="dxa"/>
          </w:tcPr>
          <w:p>
            <w:pPr>
              <w:spacing w:line="360" w:lineRule="auto"/>
              <w:jc w:val="center"/>
              <w:rPr>
                <w:rFonts w:hint="eastAsia" w:ascii="仿宋" w:hAnsi="仿宋" w:eastAsia="仿宋" w:cs="仿宋"/>
                <w:sz w:val="24"/>
                <w:highlight w:val="none"/>
              </w:rPr>
            </w:pPr>
          </w:p>
        </w:tc>
        <w:tc>
          <w:tcPr>
            <w:tcW w:w="2126"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highlight w:val="none"/>
              </w:rPr>
            </w:pPr>
          </w:p>
        </w:tc>
        <w:tc>
          <w:tcPr>
            <w:tcW w:w="992" w:type="dxa"/>
            <w:vAlign w:val="center"/>
          </w:tcPr>
          <w:p>
            <w:pPr>
              <w:snapToGrid w:val="0"/>
              <w:spacing w:line="360" w:lineRule="auto"/>
              <w:jc w:val="center"/>
              <w:rPr>
                <w:rFonts w:hint="eastAsia" w:ascii="仿宋" w:hAnsi="仿宋" w:eastAsia="仿宋" w:cs="仿宋"/>
                <w:sz w:val="24"/>
                <w:highlight w:val="none"/>
              </w:rPr>
            </w:pPr>
          </w:p>
        </w:tc>
        <w:tc>
          <w:tcPr>
            <w:tcW w:w="2268" w:type="dxa"/>
            <w:vAlign w:val="center"/>
          </w:tcPr>
          <w:p>
            <w:pPr>
              <w:snapToGrid w:val="0"/>
              <w:spacing w:line="360" w:lineRule="auto"/>
              <w:jc w:val="center"/>
              <w:rPr>
                <w:rFonts w:hint="eastAsia" w:ascii="仿宋" w:hAnsi="仿宋" w:eastAsia="仿宋" w:cs="仿宋"/>
                <w:sz w:val="24"/>
                <w:highlight w:val="none"/>
              </w:rPr>
            </w:pPr>
          </w:p>
        </w:tc>
        <w:tc>
          <w:tcPr>
            <w:tcW w:w="2410" w:type="dxa"/>
            <w:vAlign w:val="center"/>
          </w:tcPr>
          <w:p>
            <w:pPr>
              <w:snapToGrid w:val="0"/>
              <w:spacing w:line="360" w:lineRule="auto"/>
              <w:jc w:val="center"/>
              <w:rPr>
                <w:rFonts w:hint="eastAsia" w:ascii="仿宋" w:hAnsi="仿宋" w:eastAsia="仿宋" w:cs="仿宋"/>
                <w:sz w:val="24"/>
                <w:highlight w:val="none"/>
              </w:rPr>
            </w:pPr>
          </w:p>
        </w:tc>
        <w:tc>
          <w:tcPr>
            <w:tcW w:w="2268" w:type="dxa"/>
            <w:vAlign w:val="center"/>
          </w:tcPr>
          <w:p>
            <w:pPr>
              <w:snapToGrid w:val="0"/>
              <w:spacing w:line="360" w:lineRule="auto"/>
              <w:jc w:val="center"/>
              <w:rPr>
                <w:rFonts w:hint="eastAsia" w:ascii="仿宋" w:hAnsi="仿宋" w:eastAsia="仿宋" w:cs="仿宋"/>
                <w:sz w:val="24"/>
                <w:highlight w:val="none"/>
              </w:rPr>
            </w:pPr>
          </w:p>
        </w:tc>
        <w:tc>
          <w:tcPr>
            <w:tcW w:w="2126" w:type="dxa"/>
            <w:vAlign w:val="center"/>
          </w:tcPr>
          <w:p>
            <w:pPr>
              <w:spacing w:line="360" w:lineRule="auto"/>
              <w:jc w:val="center"/>
              <w:rPr>
                <w:rFonts w:hint="eastAsia" w:ascii="仿宋" w:hAnsi="仿宋" w:eastAsia="仿宋" w:cs="仿宋"/>
                <w:sz w:val="24"/>
                <w:highlight w:val="none"/>
              </w:rPr>
            </w:pPr>
          </w:p>
        </w:tc>
        <w:tc>
          <w:tcPr>
            <w:tcW w:w="2127" w:type="dxa"/>
          </w:tcPr>
          <w:p>
            <w:pPr>
              <w:spacing w:line="360" w:lineRule="auto"/>
              <w:jc w:val="center"/>
              <w:rPr>
                <w:rFonts w:hint="eastAsia" w:ascii="仿宋" w:hAnsi="仿宋" w:eastAsia="仿宋" w:cs="仿宋"/>
                <w:sz w:val="24"/>
                <w:highlight w:val="none"/>
              </w:rPr>
            </w:pPr>
          </w:p>
        </w:tc>
        <w:tc>
          <w:tcPr>
            <w:tcW w:w="2126"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8647" w:type="dxa"/>
            <w:gridSpan w:val="4"/>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8647" w:type="dxa"/>
            <w:gridSpan w:val="4"/>
          </w:tcPr>
          <w:p>
            <w:pPr>
              <w:spacing w:line="360" w:lineRule="auto"/>
              <w:jc w:val="center"/>
              <w:rPr>
                <w:rFonts w:hint="eastAsia" w:ascii="仿宋" w:hAnsi="仿宋" w:eastAsia="仿宋" w:cs="仿宋"/>
                <w:sz w:val="24"/>
                <w:highlight w:val="none"/>
              </w:rPr>
            </w:pPr>
          </w:p>
        </w:tc>
      </w:tr>
    </w:tbl>
    <w:p>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r>
        <w:rPr>
          <w:rFonts w:hint="eastAsia" w:ascii="仿宋" w:hAnsi="仿宋" w:eastAsia="仿宋" w:cs="仿宋"/>
          <w:highlight w:val="none"/>
        </w:rPr>
        <w:t>附件</w:t>
      </w: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绍兴市质量技术监督检测院大院内沥青混凝土路面面层维修改造项目</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4</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绍兴市质量技术监督检测院大院内沥青混凝土路面面层维修改造项目</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58" w:name="_Hlk101131882"/>
      <w:r>
        <w:rPr>
          <w:rFonts w:hint="eastAsia" w:ascii="仿宋" w:hAnsi="仿宋" w:eastAsia="仿宋" w:cs="仿宋"/>
          <w:kern w:val="0"/>
          <w:sz w:val="24"/>
          <w:highlight w:val="none"/>
          <w:u w:val="single"/>
        </w:rPr>
        <w:t>联合体成员X,……</w:t>
      </w:r>
      <w:bookmarkEnd w:id="158"/>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59"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59"/>
      <w:r>
        <w:rPr>
          <w:rFonts w:hint="eastAsia" w:ascii="仿宋" w:hAnsi="仿宋" w:eastAsia="仿宋" w:cs="仿宋"/>
          <w:b/>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60"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6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ind w:firstLine="3666" w:firstLineChars="1100"/>
        <w:rPr>
          <w:rFonts w:hint="eastAsia" w:ascii="仿宋" w:hAnsi="仿宋" w:eastAsia="仿宋" w:cs="仿宋"/>
          <w:b/>
          <w:spacing w:val="6"/>
          <w:sz w:val="32"/>
          <w:szCs w:val="32"/>
          <w:highlight w:val="none"/>
        </w:rPr>
      </w:pPr>
    </w:p>
    <w:p>
      <w:pPr>
        <w:widowControl/>
        <w:adjustRightInd/>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5</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color w:val="auto"/>
          <w:sz w:val="24"/>
          <w:highlight w:val="none"/>
          <w:lang w:eastAsia="zh-CN"/>
        </w:rPr>
        <w:t>绍兴市质量技术监督检测院大院内沥青混凝土路面面层维修改造项目</w:t>
      </w:r>
      <w:r>
        <w:rPr>
          <w:rFonts w:hint="eastAsia" w:ascii="仿宋" w:hAnsi="仿宋" w:eastAsia="仿宋" w:cs="仿宋"/>
          <w:color w:val="auto"/>
          <w:sz w:val="24"/>
          <w:highlight w:val="none"/>
        </w:rPr>
        <w:t>【招标编号：（采购编号）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highlight w:val="none"/>
        </w:rPr>
      </w:pPr>
      <w:r>
        <w:rPr>
          <w:rFonts w:hint="eastAsia" w:ascii="仿宋" w:hAnsi="仿宋" w:eastAsia="仿宋" w:cs="仿宋"/>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highlight w:val="none"/>
        </w:rPr>
      </w:pPr>
      <w:r>
        <w:rPr>
          <w:rFonts w:hint="eastAsia" w:ascii="仿宋" w:hAnsi="仿宋" w:eastAsia="仿宋" w:cs="仿宋"/>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79"/>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79"/>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79"/>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79"/>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79"/>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79"/>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79"/>
        <w:rPr>
          <w:rFonts w:hint="eastAsia"/>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bookmarkStart w:id="161" w:name="OLE_LINK13"/>
      <w:bookmarkStart w:id="162" w:name="OLE_LINK14"/>
      <w:r>
        <w:rPr>
          <w:rFonts w:hint="eastAsia" w:ascii="仿宋" w:hAnsi="仿宋" w:eastAsia="仿宋" w:cs="仿宋"/>
          <w:b/>
          <w:spacing w:val="6"/>
          <w:sz w:val="32"/>
          <w:szCs w:val="32"/>
          <w:highlight w:val="none"/>
        </w:rPr>
        <w:t>残疾人福利性单位声明函</w:t>
      </w:r>
    </w:p>
    <w:bookmarkEnd w:id="161"/>
    <w:bookmarkEnd w:id="162"/>
    <w:p>
      <w:pPr>
        <w:spacing w:line="360" w:lineRule="auto"/>
        <w:rPr>
          <w:rFonts w:hint="eastAsia" w:ascii="仿宋" w:hAnsi="仿宋" w:eastAsia="仿宋" w:cs="仿宋"/>
          <w:b/>
          <w:spacing w:val="6"/>
          <w:sz w:val="30"/>
          <w:szCs w:val="30"/>
          <w:highlight w:val="none"/>
        </w:rPr>
      </w:pP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rPr>
        <w:t>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绍兴市质量技术监督检测院大院内沥青混凝土路面面层维修改造项目</w:t>
      </w:r>
      <w:r>
        <w:rPr>
          <w:rFonts w:hint="eastAsia" w:ascii="仿宋" w:hAnsi="仿宋" w:eastAsia="仿宋" w:cs="仿宋"/>
          <w:color w:val="auto"/>
          <w:sz w:val="24"/>
          <w:highlight w:val="none"/>
        </w:rPr>
        <w:t>__</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3"/>
        <w:rPr>
          <w:rFonts w:hint="eastAsia" w:ascii="仿宋" w:hAnsi="仿宋" w:eastAsia="仿宋" w:cs="仿宋"/>
          <w:highlight w:val="none"/>
        </w:rPr>
      </w:pPr>
    </w:p>
    <w:p>
      <w:pPr>
        <w:snapToGrid w:val="0"/>
        <w:spacing w:line="360" w:lineRule="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7</w:t>
      </w:r>
      <w:r>
        <w:rPr>
          <w:rFonts w:hint="eastAsia" w:ascii="仿宋" w:hAnsi="仿宋" w:eastAsia="仿宋" w:cs="仿宋"/>
          <w:b/>
          <w:kern w:val="0"/>
          <w:sz w:val="32"/>
          <w:szCs w:val="32"/>
          <w:highlight w:val="none"/>
        </w:rPr>
        <w:t>：中小企业声明函</w:t>
      </w:r>
    </w:p>
    <w:p>
      <w:pPr>
        <w:spacing w:line="360" w:lineRule="auto"/>
        <w:jc w:val="center"/>
        <w:rPr>
          <w:rFonts w:hint="eastAsia" w:ascii="仿宋" w:hAnsi="仿宋" w:eastAsia="仿宋" w:cs="仿宋"/>
          <w:sz w:val="24"/>
          <w:highlight w:val="none"/>
          <w:u w:val="single"/>
        </w:rPr>
      </w:pPr>
    </w:p>
    <w:p>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sz w:val="24"/>
          <w:highlight w:val="none"/>
        </w:rPr>
        <w:t>本公司（联合体）郑重</w:t>
      </w:r>
      <w:r>
        <w:rPr>
          <w:rFonts w:hint="eastAsia" w:ascii="仿宋" w:hAnsi="仿宋" w:eastAsia="仿宋" w:cs="仿宋"/>
          <w:color w:val="auto"/>
          <w:sz w:val="24"/>
          <w:highlight w:val="none"/>
        </w:rPr>
        <w:t xml:space="preserve">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绍兴市质量技术监督检测院大院内沥青混凝土路面面层维修改造项目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highlight w:val="none"/>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sz w:val="24"/>
          <w:highlight w:val="none"/>
        </w:rPr>
      </w:pPr>
      <w:r>
        <w:rPr>
          <w:rFonts w:hint="eastAsia" w:ascii="仿宋" w:hAnsi="仿宋" w:eastAsia="仿宋" w:cs="仿宋"/>
          <w:sz w:val="24"/>
          <w:highlight w:val="none"/>
        </w:rPr>
        <w:t>投标人名称（电子签名）：</w:t>
      </w:r>
    </w:p>
    <w:p>
      <w:pPr>
        <w:spacing w:line="360" w:lineRule="auto"/>
        <w:ind w:right="1120" w:firstLine="4680" w:firstLineChars="1950"/>
        <w:rPr>
          <w:rFonts w:hint="eastAsia" w:ascii="仿宋" w:hAnsi="仿宋" w:eastAsia="仿宋" w:cs="仿宋"/>
          <w:sz w:val="24"/>
          <w:highlight w:val="none"/>
        </w:rPr>
      </w:pPr>
      <w:r>
        <w:rPr>
          <w:rFonts w:hint="eastAsia" w:ascii="仿宋" w:hAnsi="仿宋" w:eastAsia="仿宋" w:cs="仿宋"/>
          <w:sz w:val="24"/>
          <w:highlight w:val="none"/>
        </w:rPr>
        <w:t>日 期：</w:t>
      </w:r>
    </w:p>
    <w:p>
      <w:pPr>
        <w:spacing w:line="360" w:lineRule="auto"/>
        <w:ind w:firstLine="310" w:firstLineChars="147"/>
        <w:jc w:val="left"/>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 xml:space="preserve">   注：</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hint="eastAsia" w:ascii="仿宋" w:hAnsi="仿宋" w:eastAsia="仿宋" w:cs="仿宋"/>
          <w:highlight w:val="none"/>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3"/>
        <w:rPr>
          <w:rFonts w:hint="eastAsia"/>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ind w:right="420"/>
        <w:rPr>
          <w:rFonts w:hint="eastAsia" w:ascii="仿宋" w:hAnsi="仿宋" w:eastAsia="仿宋" w:cs="仿宋"/>
          <w:highlight w:val="none"/>
        </w:rPr>
      </w:pPr>
    </w:p>
    <w:p>
      <w:pPr>
        <w:spacing w:line="360" w:lineRule="auto"/>
        <w:rPr>
          <w:rFonts w:ascii="宋体" w:hAnsi="宋体" w:cs="宋体"/>
          <w:bCs/>
          <w:sz w:val="24"/>
          <w:highlight w:val="none"/>
        </w:rPr>
      </w:pPr>
    </w:p>
    <w:bookmarkEnd w:id="167"/>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36110187"/>
    <w:bookmarkStart w:id="165" w:name="_Toc91899912"/>
    <w:bookmarkStart w:id="166" w:name="_Toc13184514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lang w:val="en-US"/>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文件编号:SXQS-202308-GK074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b w:val="0"/>
        <w:i/>
        <w:sz w:val="18"/>
        <w:u w:val="single"/>
        <w:lang w:val="en-US"/>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文件编号:SXQS-202308-GK074</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文件编号:SXQS-202308-GK074</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文件编号:SXQS-202308-GK074</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b w:val="0"/>
        <w:i/>
        <w:sz w:val="18"/>
        <w:u w:val="single"/>
        <w:lang w:val="en-US"/>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文件编号:SXQS-202308-GK074</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hMDM2NWNhNTc5OTRhOWYyODEyNTg3OTkzZTZlZWUifQ=="/>
  </w:docVars>
  <w:rsids>
    <w:rsidRoot w:val="00172A27"/>
    <w:rsid w:val="082936CA"/>
    <w:rsid w:val="0B6D4294"/>
    <w:rsid w:val="0F096B8F"/>
    <w:rsid w:val="0F63063F"/>
    <w:rsid w:val="16D567E2"/>
    <w:rsid w:val="18E60774"/>
    <w:rsid w:val="1C6568C1"/>
    <w:rsid w:val="1D2F1C3B"/>
    <w:rsid w:val="27F95B73"/>
    <w:rsid w:val="29A80427"/>
    <w:rsid w:val="2C9254B0"/>
    <w:rsid w:val="2CBC0949"/>
    <w:rsid w:val="2DA64CC9"/>
    <w:rsid w:val="30CD01D9"/>
    <w:rsid w:val="31221C11"/>
    <w:rsid w:val="33387A25"/>
    <w:rsid w:val="38CB7945"/>
    <w:rsid w:val="3B597AE8"/>
    <w:rsid w:val="3C1F06C3"/>
    <w:rsid w:val="3DB64D77"/>
    <w:rsid w:val="3DE15ED8"/>
    <w:rsid w:val="405939A2"/>
    <w:rsid w:val="427E60E8"/>
    <w:rsid w:val="444E2219"/>
    <w:rsid w:val="4E102281"/>
    <w:rsid w:val="4F4B3D85"/>
    <w:rsid w:val="56C740B3"/>
    <w:rsid w:val="56FD1D12"/>
    <w:rsid w:val="57995095"/>
    <w:rsid w:val="57E80FEC"/>
    <w:rsid w:val="583512EE"/>
    <w:rsid w:val="58F9403E"/>
    <w:rsid w:val="5996188C"/>
    <w:rsid w:val="5A8C2C8F"/>
    <w:rsid w:val="5F561B6F"/>
    <w:rsid w:val="5F57E5CA"/>
    <w:rsid w:val="62752540"/>
    <w:rsid w:val="62FE1710"/>
    <w:rsid w:val="63D41FBE"/>
    <w:rsid w:val="64C5571C"/>
    <w:rsid w:val="64DF4A2F"/>
    <w:rsid w:val="654314F9"/>
    <w:rsid w:val="66747DFB"/>
    <w:rsid w:val="669C35D3"/>
    <w:rsid w:val="67782081"/>
    <w:rsid w:val="6B8E45DC"/>
    <w:rsid w:val="6CFB2798"/>
    <w:rsid w:val="6D4F418A"/>
    <w:rsid w:val="6FC37AD4"/>
    <w:rsid w:val="6FD41F9F"/>
    <w:rsid w:val="72D37886"/>
    <w:rsid w:val="75A67813"/>
    <w:rsid w:val="76065B94"/>
    <w:rsid w:val="768865A9"/>
    <w:rsid w:val="78AD1F79"/>
    <w:rsid w:val="799B3619"/>
    <w:rsid w:val="7DFF3A1B"/>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First Indent"/>
    <w:basedOn w:val="3"/>
    <w:next w:val="1"/>
    <w:link w:val="319"/>
    <w:qFormat/>
    <w:uiPriority w:val="0"/>
    <w:pPr>
      <w:ind w:firstLine="420"/>
    </w:pPr>
    <w:rPr>
      <w:rFonts w:hAnsi="Calibri" w:cs="Times New Roman"/>
      <w:snapToGrid/>
      <w:szCs w:val="20"/>
    </w:rPr>
  </w:style>
  <w:style w:type="paragraph" w:styleId="3">
    <w:name w:val="Body Text"/>
    <w:basedOn w:val="1"/>
    <w:next w:val="2"/>
    <w:link w:val="428"/>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87</Pages>
  <Words>45258</Words>
  <Characters>48125</Characters>
  <Paragraphs>1943</Paragraphs>
  <TotalTime>7</TotalTime>
  <ScaleCrop>false</ScaleCrop>
  <LinksUpToDate>false</LinksUpToDate>
  <CharactersWithSpaces>55534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豆浆</cp:lastModifiedBy>
  <cp:lastPrinted>2021-12-28T19:06:00Z</cp:lastPrinted>
  <dcterms:modified xsi:type="dcterms:W3CDTF">2023-08-21T07:03:15Z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C1CB36CE5CFE41BDBCD4016BF2C79177_13</vt:lpwstr>
  </property>
</Properties>
</file>