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pacing w:val="-12"/>
          <w:sz w:val="52"/>
          <w:szCs w:val="52"/>
          <w:highlight w:val="none"/>
          <w:lang w:eastAsia="zh-CN"/>
        </w:rPr>
        <w:t>绍兴市社会科学界联合会《绍兴大典》出版项目（第一辑）</w:t>
      </w:r>
    </w:p>
    <w:p>
      <w:pPr>
        <w:pStyle w:val="9"/>
        <w:rPr>
          <w:rFonts w:hint="eastAsia" w:ascii="仿宋" w:hAnsi="仿宋" w:eastAsia="仿宋" w:cs="仿宋"/>
          <w:b/>
          <w:color w:val="auto"/>
          <w:sz w:val="21"/>
          <w:szCs w:val="21"/>
          <w:highlight w:val="none"/>
        </w:rPr>
      </w:pPr>
    </w:p>
    <w:p>
      <w:pPr>
        <w:rPr>
          <w:rFonts w:hint="eastAsia" w:ascii="仿宋" w:hAnsi="仿宋" w:eastAsia="仿宋" w:cs="仿宋"/>
          <w:color w:val="auto"/>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both"/>
        <w:outlineLvl w:val="0"/>
        <w:rPr>
          <w:rFonts w:hint="eastAsia" w:ascii="仿宋" w:hAnsi="仿宋" w:eastAsia="仿宋" w:cs="仿宋"/>
          <w:color w:val="auto"/>
          <w:sz w:val="44"/>
          <w:highlight w:val="none"/>
        </w:rPr>
      </w:pPr>
    </w:p>
    <w:p>
      <w:pPr>
        <w:pStyle w:val="9"/>
        <w:rPr>
          <w:rFonts w:hint="eastAsia" w:ascii="仿宋" w:hAnsi="仿宋" w:eastAsia="仿宋" w:cs="仿宋"/>
          <w:color w:val="auto"/>
          <w:highlight w:val="none"/>
        </w:rPr>
      </w:pPr>
    </w:p>
    <w:p>
      <w:pPr>
        <w:jc w:val="center"/>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磋商编号</w:t>
      </w:r>
      <w:r>
        <w:rPr>
          <w:rFonts w:hint="eastAsia" w:ascii="仿宋" w:hAnsi="仿宋" w:eastAsia="仿宋" w:cs="仿宋"/>
          <w:b/>
          <w:bCs/>
          <w:color w:val="auto"/>
          <w:sz w:val="28"/>
          <w:szCs w:val="28"/>
          <w:highlight w:val="none"/>
          <w:lang w:eastAsia="zh-CN"/>
        </w:rPr>
        <w:t>：CGSHZJ-2022-N000784</w:t>
      </w:r>
    </w:p>
    <w:tbl>
      <w:tblPr>
        <w:tblStyle w:val="88"/>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绍兴市社会科学界联合会</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hint="eastAsia" w:ascii="仿宋" w:hAnsi="仿宋" w:eastAsia="仿宋" w:cs="仿宋"/>
                <w:color w:val="auto"/>
                <w:spacing w:val="93"/>
                <w:kern w:val="0"/>
                <w:sz w:val="28"/>
                <w:szCs w:val="28"/>
                <w:highlight w:val="none"/>
              </w:rPr>
            </w:pP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绍兴市政务服务办公室</w:t>
            </w:r>
          </w:p>
        </w:tc>
      </w:tr>
      <w:tr>
        <w:tblPrEx>
          <w:tblCellMar>
            <w:top w:w="0" w:type="dxa"/>
            <w:left w:w="108" w:type="dxa"/>
            <w:bottom w:w="0" w:type="dxa"/>
            <w:right w:w="108" w:type="dxa"/>
          </w:tblCellMar>
        </w:tblPrEx>
        <w:trPr>
          <w:trHeight w:val="80"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eastAsia="zh-CN"/>
              </w:rPr>
              <w:t>〇</w:t>
            </w:r>
            <w:r>
              <w:rPr>
                <w:rFonts w:hint="eastAsia" w:ascii="仿宋" w:hAnsi="仿宋" w:eastAsia="仿宋" w:cs="仿宋"/>
                <w:color w:val="auto"/>
                <w:sz w:val="28"/>
                <w:szCs w:val="28"/>
                <w:highlight w:val="none"/>
              </w:rPr>
              <w:t>二二年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p>
    <w:p>
      <w:pPr>
        <w:ind w:right="1189" w:rightChars="566"/>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仿宋_GB2312" w:eastAsia="仿宋_GB2312"/>
          <w:b/>
          <w:color w:val="auto"/>
          <w:sz w:val="44"/>
          <w:szCs w:val="44"/>
          <w:highlight w:val="none"/>
        </w:rPr>
      </w:pPr>
    </w:p>
    <w:p>
      <w:pPr>
        <w:jc w:val="center"/>
        <w:rPr>
          <w:rFonts w:ascii="仿宋_GB2312" w:eastAsia="仿宋_GB2312"/>
          <w:color w:val="auto"/>
          <w:highlight w:val="none"/>
        </w:rPr>
      </w:pP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竞争性磋商公告</w:t>
      </w: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磋商须知</w:t>
      </w: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磋商项目范围及要求</w:t>
      </w: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磋商方法及标准</w:t>
      </w:r>
    </w:p>
    <w:p>
      <w:pPr>
        <w:snapToGrid w:val="0"/>
        <w:spacing w:line="480" w:lineRule="auto"/>
        <w:ind w:firstLine="1276" w:firstLineChars="353"/>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磋商响应文件及其附件格式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widowControl/>
        <w:jc w:val="left"/>
        <w:rPr>
          <w:rFonts w:ascii="仿宋_GB2312" w:hAnsi="宋体" w:eastAsia="仿宋_GB2312"/>
          <w:color w:val="auto"/>
          <w:sz w:val="36"/>
          <w:szCs w:val="36"/>
          <w:highlight w:val="none"/>
        </w:rPr>
      </w:pPr>
      <w:r>
        <w:rPr>
          <w:rFonts w:hint="eastAsia" w:ascii="仿宋_GB2312" w:hAnsi="宋体" w:eastAsia="仿宋_GB2312"/>
          <w:color w:val="auto"/>
          <w:sz w:val="36"/>
          <w:szCs w:val="36"/>
          <w:highlight w:val="none"/>
        </w:rPr>
        <w:br w:type="page"/>
      </w:r>
    </w:p>
    <w:p>
      <w:pPr>
        <w:snapToGrid w:val="0"/>
        <w:spacing w:line="420" w:lineRule="exact"/>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竞争性磋商公告</w:t>
      </w:r>
    </w:p>
    <w:p>
      <w:pPr>
        <w:rPr>
          <w:rFonts w:ascii="仿宋_GB2312" w:eastAsia="仿宋_GB2312"/>
          <w:color w:val="auto"/>
          <w:highlight w:val="none"/>
        </w:rPr>
      </w:pPr>
    </w:p>
    <w:tbl>
      <w:tblPr>
        <w:tblStyle w:val="8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lang w:eastAsia="zh-CN"/>
              </w:rPr>
              <w:t>绍兴市社会科学界联合会《绍兴大典》出版项目（第一辑）</w:t>
            </w:r>
            <w:r>
              <w:rPr>
                <w:rFonts w:hint="eastAsia" w:ascii="仿宋_GB2312" w:hAnsi="新宋体" w:eastAsia="仿宋_GB2312"/>
                <w:color w:val="auto"/>
                <w:szCs w:val="24"/>
                <w:highlight w:val="none"/>
              </w:rPr>
              <w:t>的潜在供应商应在</w:t>
            </w:r>
            <w:r>
              <w:rPr>
                <w:rStyle w:val="280"/>
                <w:rFonts w:hint="eastAsia" w:ascii="仿宋_GB2312" w:hAnsi="仿宋" w:eastAsia="仿宋_GB2312"/>
                <w:color w:val="auto"/>
                <w:sz w:val="27"/>
                <w:szCs w:val="27"/>
                <w:highlight w:val="none"/>
              </w:rPr>
              <w:t>https://www.zcygov.cn</w:t>
            </w:r>
            <w:r>
              <w:rPr>
                <w:rFonts w:hint="eastAsia" w:ascii="仿宋_GB2312" w:hAnsi="新宋体" w:eastAsia="仿宋_GB2312"/>
                <w:color w:val="auto"/>
                <w:szCs w:val="24"/>
                <w:highlight w:val="none"/>
              </w:rPr>
              <w:t>获取（下载）采购文件，并于</w:t>
            </w:r>
            <w:r>
              <w:rPr>
                <w:rFonts w:hint="eastAsia" w:ascii="仿宋_GB2312" w:hAnsi="新宋体" w:eastAsia="仿宋_GB2312"/>
                <w:color w:val="auto"/>
                <w:szCs w:val="24"/>
                <w:highlight w:val="none"/>
                <w:lang w:val="en-US" w:eastAsia="zh-CN"/>
              </w:rPr>
              <w:t>12</w:t>
            </w:r>
            <w:r>
              <w:rPr>
                <w:rFonts w:hint="eastAsia" w:ascii="仿宋_GB2312" w:hAnsi="新宋体" w:eastAsia="仿宋_GB2312"/>
                <w:color w:val="auto"/>
                <w:szCs w:val="24"/>
                <w:highlight w:val="none"/>
                <w:lang w:eastAsia="zh-CN"/>
              </w:rPr>
              <w:t>月</w:t>
            </w:r>
            <w:r>
              <w:rPr>
                <w:rFonts w:hint="eastAsia" w:ascii="仿宋_GB2312" w:hAnsi="新宋体" w:eastAsia="仿宋_GB2312"/>
                <w:color w:val="auto"/>
                <w:szCs w:val="24"/>
                <w:highlight w:val="none"/>
                <w:lang w:val="en-US" w:eastAsia="zh-CN"/>
              </w:rPr>
              <w:t>19</w:t>
            </w:r>
            <w:r>
              <w:rPr>
                <w:rFonts w:hint="eastAsia" w:ascii="仿宋_GB2312" w:hAnsi="新宋体" w:eastAsia="仿宋_GB2312"/>
                <w:color w:val="auto"/>
                <w:szCs w:val="24"/>
                <w:highlight w:val="none"/>
              </w:rPr>
              <w:t xml:space="preserve">日 </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:00 （北京时间）前递交（上传）响应文件。</w:t>
            </w:r>
          </w:p>
        </w:tc>
      </w:tr>
    </w:tbl>
    <w:p>
      <w:pPr>
        <w:pStyle w:val="156"/>
        <w:keepNext w:val="0"/>
        <w:keepLines w:val="0"/>
        <w:pageBreakBefore w:val="0"/>
        <w:kinsoku/>
        <w:wordWrap/>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一、项目基本情况</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项目编号：</w:t>
      </w:r>
      <w:r>
        <w:rPr>
          <w:rFonts w:hint="eastAsia" w:ascii="仿宋_GB2312" w:hAnsi="新宋体" w:eastAsia="仿宋_GB2312"/>
          <w:color w:val="auto"/>
          <w:szCs w:val="24"/>
          <w:highlight w:val="none"/>
          <w:lang w:eastAsia="zh-CN"/>
        </w:rPr>
        <w:t>CGSHZJ-2022-N000784</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项目名称：</w:t>
      </w:r>
      <w:r>
        <w:rPr>
          <w:rFonts w:hint="eastAsia" w:ascii="仿宋_GB2312" w:hAnsi="新宋体" w:eastAsia="仿宋_GB2312"/>
          <w:color w:val="auto"/>
          <w:szCs w:val="24"/>
          <w:highlight w:val="none"/>
          <w:lang w:eastAsia="zh-CN"/>
        </w:rPr>
        <w:t>绍兴市社会科学界联合会《绍兴大典》出版项目（第一辑）</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采购方式：竞争性磋商</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eastAsia="zh-CN"/>
        </w:rPr>
        <w:t>6993500</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最高限价（元）：</w:t>
      </w:r>
      <w:r>
        <w:rPr>
          <w:rFonts w:hint="eastAsia" w:ascii="仿宋_GB2312" w:hAnsi="新宋体" w:eastAsia="仿宋_GB2312"/>
          <w:color w:val="auto"/>
          <w:szCs w:val="24"/>
          <w:highlight w:val="none"/>
          <w:lang w:eastAsia="zh-CN"/>
        </w:rPr>
        <w:t>6993500</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 xml:space="preserve">  标项名称: </w:t>
      </w:r>
      <w:r>
        <w:rPr>
          <w:rFonts w:hint="eastAsia" w:ascii="仿宋_GB2312" w:hAnsi="新宋体" w:eastAsia="仿宋_GB2312"/>
          <w:color w:val="auto"/>
          <w:szCs w:val="24"/>
          <w:highlight w:val="none"/>
          <w:lang w:eastAsia="zh-CN"/>
        </w:rPr>
        <w:t>绍兴市社会科学界联合会《绍兴大典》出版项目（第一辑）</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  数量:1</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  预算金额（元）:</w:t>
      </w:r>
      <w:r>
        <w:rPr>
          <w:rFonts w:hint="eastAsia" w:ascii="仿宋_GB2312" w:hAnsi="新宋体" w:eastAsia="仿宋_GB2312"/>
          <w:color w:val="auto"/>
          <w:szCs w:val="24"/>
          <w:highlight w:val="none"/>
          <w:lang w:eastAsia="zh-CN"/>
        </w:rPr>
        <w:t>6993500</w:t>
      </w:r>
      <w:r>
        <w:rPr>
          <w:rFonts w:hint="eastAsia" w:ascii="仿宋_GB2312" w:hAnsi="新宋体" w:eastAsia="仿宋_GB2312"/>
          <w:color w:val="auto"/>
          <w:szCs w:val="24"/>
          <w:highlight w:val="none"/>
        </w:rPr>
        <w:t>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简要规格描述或项目基本概况介绍、用途：详见采购文件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  备注：无</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合同履约期限：按双方合同约定条款执行。</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本项目（</w:t>
      </w:r>
      <w:r>
        <w:rPr>
          <w:rFonts w:hint="eastAsia" w:ascii="仿宋_GB2312" w:hAnsi="新宋体" w:eastAsia="仿宋_GB2312"/>
          <w:color w:val="auto"/>
          <w:szCs w:val="24"/>
          <w:highlight w:val="none"/>
          <w:lang w:eastAsia="zh-CN"/>
        </w:rPr>
        <w:t>否</w:t>
      </w:r>
      <w:r>
        <w:rPr>
          <w:rFonts w:hint="eastAsia" w:ascii="仿宋_GB2312" w:hAnsi="新宋体" w:eastAsia="仿宋_GB2312"/>
          <w:color w:val="auto"/>
          <w:szCs w:val="24"/>
          <w:highlight w:val="none"/>
        </w:rPr>
        <w:t>）接受联合体投标。</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二、申请人的资格要求：</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2.以联合体形式参与磋商的，提供联合体协议（本项目不接受联合体投标或者供应商不以联合体形式参与磋商的，则不需要提供）；</w:t>
      </w:r>
    </w:p>
    <w:p>
      <w:pPr>
        <w:pStyle w:val="156"/>
        <w:keepNext w:val="0"/>
        <w:keepLines w:val="0"/>
        <w:pageBreakBefore w:val="0"/>
        <w:kinsoku/>
        <w:wordWrap/>
        <w:overflowPunct/>
        <w:topLinePunct w:val="0"/>
        <w:autoSpaceDE/>
        <w:autoSpaceDN/>
        <w:bidi w:val="0"/>
        <w:adjustRightInd/>
        <w:spacing w:afterLines="0" w:line="440" w:lineRule="exact"/>
        <w:ind w:left="0" w:leftChars="0" w:firstLine="0" w:firstLineChars="0"/>
        <w:textAlignment w:val="auto"/>
        <w:rPr>
          <w:rFonts w:ascii="仿宋_GB2312" w:hAnsi="仿宋"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156"/>
        <w:keepNext w:val="0"/>
        <w:keepLines w:val="0"/>
        <w:pageBreakBefore w:val="0"/>
        <w:kinsoku/>
        <w:wordWrap/>
        <w:overflowPunct/>
        <w:topLinePunct w:val="0"/>
        <w:autoSpaceDE/>
        <w:autoSpaceDN/>
        <w:bidi w:val="0"/>
        <w:adjustRightInd/>
        <w:spacing w:afterLines="0" w:line="440" w:lineRule="exact"/>
        <w:ind w:left="0" w:leftChars="0" w:firstLine="420"/>
        <w:textAlignment w:val="auto"/>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keepNext w:val="0"/>
        <w:keepLines w:val="0"/>
        <w:pageBreakBefore w:val="0"/>
        <w:kinsoku/>
        <w:wordWrap/>
        <w:overflowPunct/>
        <w:topLinePunct w:val="0"/>
        <w:autoSpaceDE/>
        <w:autoSpaceDN/>
        <w:bidi w:val="0"/>
        <w:adjustRightInd/>
        <w:spacing w:line="440" w:lineRule="exact"/>
        <w:ind w:left="0" w:leftChars="0" w:firstLine="480" w:firstLineChars="200"/>
        <w:textAlignment w:val="auto"/>
        <w:rPr>
          <w:rFonts w:ascii="仿宋_GB2312" w:hAnsi="仿宋"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keepNext w:val="0"/>
        <w:keepLines w:val="0"/>
        <w:pageBreakBefore w:val="0"/>
        <w:kinsoku/>
        <w:wordWrap/>
        <w:overflowPunct/>
        <w:topLinePunct w:val="0"/>
        <w:autoSpaceDE/>
        <w:autoSpaceDN/>
        <w:bidi w:val="0"/>
        <w:adjustRightInd/>
        <w:spacing w:line="440" w:lineRule="exact"/>
        <w:ind w:left="0" w:leftChars="0" w:firstLine="897" w:firstLineChars="374"/>
        <w:textAlignment w:val="auto"/>
        <w:rPr>
          <w:rFonts w:ascii="仿宋_GB2312" w:hAnsi="仿宋"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keepNext w:val="0"/>
        <w:keepLines w:val="0"/>
        <w:pageBreakBefore w:val="0"/>
        <w:kinsoku/>
        <w:wordWrap/>
        <w:overflowPunct/>
        <w:topLinePunct w:val="0"/>
        <w:autoSpaceDE/>
        <w:autoSpaceDN/>
        <w:bidi w:val="0"/>
        <w:adjustRightInd/>
        <w:spacing w:line="440" w:lineRule="exact"/>
        <w:ind w:left="0" w:lef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236598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keepNext w:val="0"/>
        <w:keepLines w:val="0"/>
        <w:pageBreakBefore w:val="0"/>
        <w:kinsoku/>
        <w:wordWrap/>
        <w:overflowPunct/>
        <w:topLinePunct w:val="0"/>
        <w:autoSpaceDE/>
        <w:autoSpaceDN/>
        <w:bidi w:val="0"/>
        <w:adjustRightInd/>
        <w:spacing w:line="440" w:lineRule="exact"/>
        <w:ind w:left="0" w:lef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keepNext w:val="0"/>
        <w:keepLines w:val="0"/>
        <w:pageBreakBefore w:val="0"/>
        <w:kinsoku/>
        <w:wordWrap/>
        <w:overflowPunct/>
        <w:topLinePunct w:val="0"/>
        <w:autoSpaceDE/>
        <w:autoSpaceDN/>
        <w:bidi w:val="0"/>
        <w:adjustRightInd/>
        <w:spacing w:line="440" w:lineRule="exact"/>
        <w:ind w:left="0" w:lef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46959412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keepNext w:val="0"/>
        <w:keepLines w:val="0"/>
        <w:pageBreakBefore w:val="0"/>
        <w:kinsoku/>
        <w:wordWrap/>
        <w:overflowPunct/>
        <w:topLinePunct w:val="0"/>
        <w:autoSpaceDE/>
        <w:autoSpaceDN/>
        <w:bidi w:val="0"/>
        <w:adjustRightInd/>
        <w:spacing w:line="440" w:lineRule="exact"/>
        <w:ind w:left="0" w:leftChars="0"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keepNext w:val="0"/>
        <w:keepLines w:val="0"/>
        <w:pageBreakBefore w:val="0"/>
        <w:kinsoku/>
        <w:wordWrap/>
        <w:overflowPunct/>
        <w:topLinePunct w:val="0"/>
        <w:autoSpaceDE/>
        <w:autoSpaceDN/>
        <w:bidi w:val="0"/>
        <w:adjustRightInd/>
        <w:spacing w:line="440" w:lineRule="exact"/>
        <w:ind w:left="0" w:leftChars="0"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w:t>
      </w:r>
      <w:r>
        <w:rPr>
          <w:rFonts w:hint="eastAsia" w:ascii="仿宋_GB2312" w:hAnsi="仿宋" w:eastAsia="仿宋_GB2312"/>
          <w:color w:val="auto"/>
          <w:sz w:val="24"/>
          <w:highlight w:val="none"/>
          <w:lang w:eastAsia="zh-CN"/>
        </w:rPr>
        <w:t>达到</w:t>
      </w:r>
      <w:r>
        <w:rPr>
          <w:rFonts w:hint="eastAsia" w:ascii="仿宋_GB2312" w:hAnsi="仿宋" w:eastAsia="仿宋_GB2312"/>
          <w:color w:val="auto"/>
          <w:sz w:val="24"/>
          <w:highlight w:val="none"/>
        </w:rPr>
        <w:t>，分包意向协议中中小企业合同金额应当达到达到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156"/>
        <w:keepNext w:val="0"/>
        <w:keepLines w:val="0"/>
        <w:pageBreakBefore w:val="0"/>
        <w:numPr>
          <w:ilvl w:val="0"/>
          <w:numId w:val="3"/>
        </w:numPr>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本项目的特定资格要</w:t>
      </w:r>
      <w:r>
        <w:rPr>
          <w:rFonts w:hint="eastAsia" w:ascii="仿宋_GB2312" w:hAnsi="仿宋" w:eastAsia="仿宋_GB2312" w:cs="宋体"/>
          <w:color w:val="auto"/>
          <w:spacing w:val="8"/>
          <w:kern w:val="0"/>
          <w:sz w:val="24"/>
          <w:szCs w:val="24"/>
          <w:highlight w:val="none"/>
          <w:lang w:val="en-US" w:eastAsia="zh-CN" w:bidi="ar-SA"/>
        </w:rPr>
        <w:t>求：</w:t>
      </w:r>
      <w:r>
        <w:rPr>
          <w:rFonts w:hint="default" w:ascii="仿宋_GB2312" w:hAnsi="仿宋" w:eastAsia="仿宋_GB2312" w:cs="宋体"/>
          <w:color w:val="auto"/>
          <w:spacing w:val="8"/>
          <w:kern w:val="0"/>
          <w:sz w:val="24"/>
          <w:szCs w:val="24"/>
          <w:highlight w:val="none"/>
          <w:lang w:val="en-US" w:eastAsia="zh-CN" w:bidi="ar-SA"/>
        </w:rPr>
        <w:t>具有有效的图书出版许可证</w:t>
      </w:r>
      <w:r>
        <w:rPr>
          <w:rFonts w:hint="eastAsia" w:ascii="仿宋_GB2312" w:hAnsi="新宋体" w:eastAsia="仿宋_GB2312"/>
          <w:color w:val="auto"/>
          <w:szCs w:val="24"/>
          <w:highlight w:val="none"/>
          <w:lang w:val="en-US" w:eastAsia="zh-CN"/>
        </w:rPr>
        <w:t>。</w:t>
      </w:r>
    </w:p>
    <w:p>
      <w:pPr>
        <w:pStyle w:val="156"/>
        <w:keepNext w:val="0"/>
        <w:keepLines w:val="0"/>
        <w:pageBreakBefore w:val="0"/>
        <w:numPr>
          <w:ilvl w:val="0"/>
          <w:numId w:val="3"/>
        </w:numPr>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三、获取（下载）采购文件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时间：/至</w:t>
      </w:r>
      <w:r>
        <w:rPr>
          <w:rFonts w:hint="eastAsia" w:ascii="仿宋_GB2312" w:hAnsi="新宋体" w:eastAsia="仿宋_GB2312"/>
          <w:color w:val="auto"/>
          <w:szCs w:val="24"/>
          <w:highlight w:val="none"/>
          <w:lang w:eastAsia="zh-CN"/>
        </w:rPr>
        <w:t>2022年</w:t>
      </w:r>
      <w:r>
        <w:rPr>
          <w:rFonts w:hint="eastAsia" w:ascii="仿宋_GB2312" w:hAnsi="新宋体" w:eastAsia="仿宋_GB2312"/>
          <w:color w:val="auto"/>
          <w:szCs w:val="24"/>
          <w:highlight w:val="none"/>
          <w:lang w:val="en-US" w:eastAsia="zh-CN"/>
        </w:rPr>
        <w:t>12</w:t>
      </w:r>
      <w:r>
        <w:rPr>
          <w:rFonts w:hint="eastAsia" w:ascii="仿宋_GB2312" w:hAnsi="新宋体" w:eastAsia="仿宋_GB2312"/>
          <w:color w:val="auto"/>
          <w:szCs w:val="24"/>
          <w:highlight w:val="none"/>
          <w:lang w:eastAsia="zh-CN"/>
        </w:rPr>
        <w:t>月</w:t>
      </w:r>
      <w:r>
        <w:rPr>
          <w:rFonts w:hint="eastAsia" w:ascii="仿宋_GB2312" w:hAnsi="新宋体" w:eastAsia="仿宋_GB2312"/>
          <w:color w:val="auto"/>
          <w:szCs w:val="24"/>
          <w:highlight w:val="none"/>
          <w:lang w:val="en-US" w:eastAsia="zh-CN"/>
        </w:rPr>
        <w:t>19</w:t>
      </w:r>
      <w:r>
        <w:rPr>
          <w:rFonts w:hint="eastAsia" w:ascii="仿宋_GB2312" w:hAnsi="新宋体" w:eastAsia="仿宋_GB2312"/>
          <w:color w:val="auto"/>
          <w:szCs w:val="24"/>
          <w:highlight w:val="none"/>
        </w:rPr>
        <w:t>日，每天上午00:00至12:00 ，下午12:00至23:59（北京时间，线上获取法定节假日均可，线下获取文件法定节假日除外）</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地点（网址）：</w:t>
      </w:r>
      <w:r>
        <w:rPr>
          <w:rFonts w:hint="eastAsia" w:ascii="仿宋_GB2312" w:hAnsi="新宋体" w:eastAsia="仿宋_GB2312" w:cs="Arial"/>
          <w:bCs/>
          <w:color w:val="auto"/>
          <w:highlight w:val="none"/>
        </w:rPr>
        <w:t>http://www.zcygov.cn/</w:t>
      </w:r>
      <w:r>
        <w:rPr>
          <w:rFonts w:hint="eastAsia" w:ascii="仿宋_GB2312" w:hAnsi="新宋体" w:eastAsia="仿宋_GB2312"/>
          <w:color w:val="auto"/>
          <w:szCs w:val="24"/>
          <w:highlight w:val="none"/>
        </w:rPr>
        <w:t>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方式：</w:t>
      </w:r>
      <w:r>
        <w:rPr>
          <w:rFonts w:hint="eastAsia" w:ascii="仿宋_GB2312" w:hAnsi="新宋体" w:eastAsia="仿宋_GB2312" w:cs="Arial"/>
          <w:bCs/>
          <w:color w:val="auto"/>
          <w:highlight w:val="none"/>
        </w:rPr>
        <w:t>供应商登陆政采云平台http://www.zcygov.cn/，在线申请获取采购文件（进入“项目采购”应用，在获取采购文件菜单中选择项目，申请获取采购文件）。</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售价（元）：0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四、响应文件提交（上传）</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截止时间：</w:t>
      </w:r>
      <w:r>
        <w:rPr>
          <w:rFonts w:hint="eastAsia" w:ascii="仿宋_GB2312" w:hAnsi="新宋体" w:eastAsia="仿宋_GB2312"/>
          <w:color w:val="auto"/>
          <w:szCs w:val="24"/>
          <w:highlight w:val="none"/>
          <w:lang w:eastAsia="zh-CN"/>
        </w:rPr>
        <w:t>2022年</w:t>
      </w:r>
      <w:r>
        <w:rPr>
          <w:rFonts w:hint="eastAsia" w:ascii="仿宋_GB2312" w:hAnsi="新宋体" w:eastAsia="仿宋_GB2312"/>
          <w:color w:val="auto"/>
          <w:szCs w:val="24"/>
          <w:highlight w:val="none"/>
          <w:lang w:val="en-US" w:eastAsia="zh-CN"/>
        </w:rPr>
        <w:t>12</w:t>
      </w:r>
      <w:r>
        <w:rPr>
          <w:rFonts w:hint="eastAsia" w:ascii="仿宋_GB2312" w:hAnsi="新宋体" w:eastAsia="仿宋_GB2312"/>
          <w:color w:val="auto"/>
          <w:szCs w:val="24"/>
          <w:highlight w:val="none"/>
          <w:lang w:eastAsia="zh-CN"/>
        </w:rPr>
        <w:t>月</w:t>
      </w:r>
      <w:r>
        <w:rPr>
          <w:rFonts w:hint="eastAsia" w:ascii="仿宋_GB2312" w:hAnsi="新宋体" w:eastAsia="仿宋_GB2312"/>
          <w:color w:val="auto"/>
          <w:szCs w:val="24"/>
          <w:highlight w:val="none"/>
          <w:lang w:val="en-US" w:eastAsia="zh-CN"/>
        </w:rPr>
        <w:t>19</w:t>
      </w:r>
      <w:r>
        <w:rPr>
          <w:rFonts w:hint="eastAsia" w:ascii="仿宋_GB2312" w:hAnsi="新宋体" w:eastAsia="仿宋_GB2312"/>
          <w:color w:val="auto"/>
          <w:szCs w:val="24"/>
          <w:highlight w:val="none"/>
        </w:rPr>
        <w:t xml:space="preserve">日 </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:00（北京时间）</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地点（网址）：政采云平台</w:t>
      </w:r>
      <w:r>
        <w:rPr>
          <w:rFonts w:hint="eastAsia" w:ascii="仿宋_GB2312" w:hAnsi="新宋体" w:eastAsia="仿宋_GB2312" w:cs="Arial"/>
          <w:bCs/>
          <w:color w:val="auto"/>
          <w:highlight w:val="none"/>
        </w:rPr>
        <w:t>http://www.zcygov.cn/</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五、响应文件开启</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b/>
          <w:color w:val="auto"/>
          <w:szCs w:val="24"/>
          <w:highlight w:val="none"/>
        </w:rPr>
      </w:pPr>
      <w:r>
        <w:rPr>
          <w:rFonts w:hint="eastAsia" w:ascii="仿宋_GB2312" w:hAnsi="新宋体" w:eastAsia="仿宋_GB2312"/>
          <w:color w:val="auto"/>
          <w:szCs w:val="24"/>
          <w:highlight w:val="none"/>
        </w:rPr>
        <w:t>开启时间：</w:t>
      </w:r>
      <w:r>
        <w:rPr>
          <w:rFonts w:hint="eastAsia" w:ascii="仿宋_GB2312" w:hAnsi="新宋体" w:eastAsia="仿宋_GB2312"/>
          <w:color w:val="auto"/>
          <w:szCs w:val="24"/>
          <w:highlight w:val="none"/>
          <w:lang w:eastAsia="zh-CN"/>
        </w:rPr>
        <w:t>2022年</w:t>
      </w:r>
      <w:r>
        <w:rPr>
          <w:rFonts w:hint="eastAsia" w:ascii="仿宋_GB2312" w:hAnsi="新宋体" w:eastAsia="仿宋_GB2312"/>
          <w:color w:val="auto"/>
          <w:szCs w:val="24"/>
          <w:highlight w:val="none"/>
          <w:lang w:val="en-US" w:eastAsia="zh-CN"/>
        </w:rPr>
        <w:t>12</w:t>
      </w:r>
      <w:r>
        <w:rPr>
          <w:rFonts w:hint="eastAsia" w:ascii="仿宋_GB2312" w:hAnsi="新宋体" w:eastAsia="仿宋_GB2312"/>
          <w:color w:val="auto"/>
          <w:szCs w:val="24"/>
          <w:highlight w:val="none"/>
          <w:lang w:eastAsia="zh-CN"/>
        </w:rPr>
        <w:t>月</w:t>
      </w:r>
      <w:r>
        <w:rPr>
          <w:rFonts w:hint="eastAsia" w:ascii="仿宋_GB2312" w:hAnsi="新宋体" w:eastAsia="仿宋_GB2312"/>
          <w:color w:val="auto"/>
          <w:szCs w:val="24"/>
          <w:highlight w:val="none"/>
          <w:lang w:val="en-US" w:eastAsia="zh-CN"/>
        </w:rPr>
        <w:t>19</w:t>
      </w:r>
      <w:r>
        <w:rPr>
          <w:rFonts w:hint="eastAsia" w:ascii="仿宋_GB2312" w:hAnsi="新宋体" w:eastAsia="仿宋_GB2312"/>
          <w:color w:val="auto"/>
          <w:szCs w:val="24"/>
          <w:highlight w:val="none"/>
        </w:rPr>
        <w:t xml:space="preserve">日 </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:00（北京时间）</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地点（网址）：绍兴市迪荡新城惠利街20号鼎盛时代大厦四楼绍兴市公共资源交易中心</w:t>
      </w:r>
      <w:r>
        <w:rPr>
          <w:rFonts w:hint="eastAsia" w:ascii="仿宋_GB2312" w:hAnsi="新宋体" w:eastAsia="仿宋_GB2312"/>
          <w:color w:val="auto"/>
          <w:szCs w:val="24"/>
          <w:highlight w:val="none"/>
          <w:lang w:val="en-US" w:eastAsia="zh-CN"/>
        </w:rPr>
        <w:t>415</w:t>
      </w:r>
      <w:r>
        <w:rPr>
          <w:rFonts w:hint="eastAsia" w:ascii="仿宋_GB2312" w:hAnsi="新宋体" w:eastAsia="仿宋_GB2312"/>
          <w:color w:val="auto"/>
          <w:szCs w:val="24"/>
          <w:highlight w:val="none"/>
        </w:rPr>
        <w:t>室，在政府采购云平台（www.zcygov.cn）上开启响应文件。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六、公告期限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自本公告发布之日起3个工作日。</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七、其他补充事宜</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w:t>
      </w:r>
      <w:r>
        <w:rPr>
          <w:rFonts w:hint="eastAsia" w:ascii="仿宋_GB2312" w:hAnsi="仿宋" w:eastAsia="仿宋_GB2312"/>
          <w:color w:val="auto"/>
          <w:highlight w:val="none"/>
        </w:rPr>
        <w:t>（1）需要落实的政府采购政策：包括节约资源、保护环境、支持创新、促进中小企业发展等。详见招标文件的第二部分总则。（2）电子招投标的说明：</w:t>
      </w:r>
      <w:r>
        <w:rPr>
          <w:rFonts w:hint="eastAsia" w:ascii="仿宋_GB2312" w:hAnsi="仿宋" w:eastAsia="仿宋_GB2312" w:cs="仿宋_GB2312"/>
          <w:color w:val="auto"/>
          <w:highlight w:val="none"/>
        </w:rPr>
        <w:t>①电子招投标：本项目以数据电文形式，依托“政府采购云平台（www.zcygov.cn）”进行招投标活动，不接受纸质磋商响应文件；②磋商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磋商响应文件的制作：在“政采云电子交易客户端”中完成“填写基本信息”、“导入投标文件”、“标书关联”、“标书检查”、“电子签名”、“生成电子标书”等操作；</w:t>
      </w:r>
      <w:r>
        <w:rPr>
          <w:rFonts w:hint="eastAsia" w:ascii="仿宋_GB2312" w:hAnsi="仿宋" w:eastAsia="仿宋_GB2312"/>
          <w:color w:val="auto"/>
          <w:highlight w:val="none"/>
        </w:rPr>
        <w:t>⑤采购人、采购机构将依托政采云平台完成本项目的电子交易活动，平台不接受未按上述方式获取磋商文件的供应商进行磋商活动； ⑥对未按上述方式获取磋商文件的供应商对该文件提出的质疑，采购人或采购代理机构将不予处理；⑦不提供磋商文件纸质版；</w:t>
      </w:r>
      <w:r>
        <w:rPr>
          <w:rFonts w:hint="eastAsia" w:ascii="仿宋_GB2312" w:hAnsi="仿宋" w:eastAsia="仿宋_GB2312" w:cs="仿宋_GB2312"/>
          <w:color w:val="auto"/>
          <w:highlight w:val="none"/>
        </w:rPr>
        <w:t>⑧磋商响应文件的传输递交：供应商在投标截止时间前将加密的磋商响应文件上传至政府采购云平台；</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磋商响应文件的解密：供应商按照平台提示和磋商文件的规定在半小时内完成在线解密。通过“政府采购云平台”上传递交的磋商响应文件无法按时解密</w:t>
      </w:r>
      <w:r>
        <w:rPr>
          <w:rFonts w:hint="eastAsia" w:ascii="仿宋_GB2312" w:hAnsi="仿宋" w:eastAsia="仿宋_GB2312" w:cs="仿宋_GB2312"/>
          <w:b/>
          <w:color w:val="auto"/>
          <w:highlight w:val="none"/>
        </w:rPr>
        <w:t>（供应商应特别注意CA锁有效性，CA锁延期、补办后，虽硬件介质不变，但锁的证书Key号发生改变，视为不同锁，会导致磋商时无法解密磋商响应文件）</w:t>
      </w:r>
      <w:r>
        <w:rPr>
          <w:rFonts w:hint="eastAsia" w:ascii="仿宋_GB2312" w:hAnsi="仿宋" w:eastAsia="仿宋_GB2312" w:cs="仿宋_GB2312"/>
          <w:color w:val="auto"/>
          <w:highlight w:val="none"/>
        </w:rPr>
        <w:t>，视为磋商响应文件撤回；⑩具体操作指南：详见政采云平台“服务中心-帮助文档-项目采购-操作流程-电子招投标-政府采购项目电子交易管理操作指南-供应商”。</w:t>
      </w:r>
      <w:r>
        <w:rPr>
          <w:rFonts w:hint="eastAsia" w:ascii="仿宋_GB2312" w:hAnsi="新宋体" w:eastAsia="仿宋_GB2312"/>
          <w:color w:val="auto"/>
          <w:szCs w:val="24"/>
          <w:highlight w:val="none"/>
        </w:rPr>
        <w:t>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八、对本次采购提出询问、质疑、投诉，请按以下方式联系</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绍兴市社会科学界联合会</w:t>
      </w:r>
      <w:r>
        <w:rPr>
          <w:rFonts w:hint="eastAsia" w:ascii="仿宋_GB2312" w:hAnsi="新宋体" w:eastAsia="仿宋_GB2312"/>
          <w:color w:val="auto"/>
          <w:szCs w:val="24"/>
          <w:highlight w:val="none"/>
        </w:rPr>
        <w:t>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仿宋_GB2312" w:eastAsia="仿宋_GB2312" w:cs="仿宋_GB2312"/>
          <w:color w:val="auto"/>
          <w:kern w:val="0"/>
          <w:sz w:val="24"/>
          <w:highlight w:val="none"/>
        </w:rPr>
      </w:pPr>
      <w:r>
        <w:rPr>
          <w:rFonts w:hint="eastAsia" w:ascii="仿宋_GB2312" w:hAnsi="新宋体" w:eastAsia="仿宋_GB2312"/>
          <w:color w:val="auto"/>
          <w:szCs w:val="24"/>
          <w:highlight w:val="none"/>
        </w:rPr>
        <w:t>地址：</w:t>
      </w:r>
      <w:r>
        <w:rPr>
          <w:rFonts w:hint="eastAsia" w:ascii="仿宋_GB2312" w:hAnsi="仿宋_GB2312" w:eastAsia="仿宋_GB2312" w:cs="仿宋_GB2312"/>
          <w:color w:val="auto"/>
          <w:kern w:val="0"/>
          <w:sz w:val="24"/>
          <w:highlight w:val="none"/>
        </w:rPr>
        <w:t>绍兴市越城区灵芝街道洋江西路589号</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rPr>
        <w:t>项目联系人（询问）：</w:t>
      </w:r>
      <w:r>
        <w:rPr>
          <w:rFonts w:hint="eastAsia" w:ascii="仿宋_GB2312" w:hAnsi="仿宋_GB2312" w:eastAsia="仿宋_GB2312" w:cs="仿宋_GB2312"/>
          <w:color w:val="auto"/>
          <w:kern w:val="0"/>
          <w:sz w:val="24"/>
          <w:highlight w:val="none"/>
          <w:lang w:eastAsia="zh-CN"/>
        </w:rPr>
        <w:t>黄锡云</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rPr>
        <w:t>项目联系方式（询问）：</w:t>
      </w:r>
      <w:r>
        <w:rPr>
          <w:rFonts w:hint="eastAsia" w:ascii="仿宋_GB2312" w:hAnsi="仿宋_GB2312" w:eastAsia="仿宋_GB2312" w:cs="仿宋_GB2312"/>
          <w:color w:val="auto"/>
          <w:kern w:val="0"/>
          <w:sz w:val="24"/>
          <w:highlight w:val="none"/>
          <w:lang w:val="en-US" w:eastAsia="zh-CN"/>
        </w:rPr>
        <w:t>13906751756</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质疑联系人：赵纯青</w:t>
      </w:r>
    </w:p>
    <w:p>
      <w:pPr>
        <w:keepNext w:val="0"/>
        <w:keepLines w:val="0"/>
        <w:pageBreakBefore w:val="0"/>
        <w:kinsoku/>
        <w:wordWrap/>
        <w:overflowPunct/>
        <w:topLinePunct w:val="0"/>
        <w:autoSpaceDE/>
        <w:autoSpaceDN/>
        <w:bidi w:val="0"/>
        <w:adjustRightInd/>
        <w:spacing w:line="440" w:lineRule="exact"/>
        <w:ind w:left="0" w:leftChars="0" w:firstLine="480" w:firstLineChars="200"/>
        <w:textAlignment w:val="auto"/>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rPr>
        <w:t>质疑联系方式：</w:t>
      </w:r>
      <w:r>
        <w:rPr>
          <w:rFonts w:hint="eastAsia" w:ascii="仿宋_GB2312" w:hAnsi="仿宋_GB2312" w:eastAsia="仿宋_GB2312" w:cs="仿宋_GB2312"/>
          <w:color w:val="auto"/>
          <w:kern w:val="0"/>
          <w:sz w:val="24"/>
          <w:highlight w:val="none"/>
          <w:lang w:val="en-US" w:eastAsia="zh-CN"/>
        </w:rPr>
        <w:t>0575-85125385</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2.采购代理机构信息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名称：绍兴虬实企业管理咨询有限公司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地址：绍兴市越城区迪荡街道龙湖大厦17楼SP1703室</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传真：/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项目联系人（询问）：韩萍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项目联系方式（询问）：13989509672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质疑联系人：</w:t>
      </w:r>
      <w:r>
        <w:rPr>
          <w:rFonts w:hint="eastAsia" w:ascii="仿宋_GB2312" w:hAnsi="仿宋_GB2312" w:eastAsia="仿宋_GB2312" w:cs="仿宋_GB2312"/>
          <w:color w:val="auto"/>
          <w:kern w:val="0"/>
          <w:sz w:val="24"/>
          <w:highlight w:val="none"/>
          <w:lang w:eastAsia="zh-CN"/>
        </w:rPr>
        <w:t>金琼洁</w:t>
      </w:r>
      <w:r>
        <w:rPr>
          <w:rFonts w:hint="eastAsia" w:ascii="仿宋_GB2312" w:hAnsi="仿宋_GB2312" w:eastAsia="仿宋_GB2312" w:cs="仿宋_GB2312"/>
          <w:color w:val="auto"/>
          <w:kern w:val="0"/>
          <w:sz w:val="24"/>
          <w:highlight w:val="none"/>
        </w:rPr>
        <w:t>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质疑联系方式：0575-85352613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3.同级政府采购监督管理部门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名称：绍兴市财政局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地址：绍兴市越城区凤林西路151号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传真：/       </w:t>
      </w:r>
    </w:p>
    <w:p>
      <w:pPr>
        <w:keepNext w:val="0"/>
        <w:keepLines w:val="0"/>
        <w:pageBreakBefore w:val="0"/>
        <w:widowControl/>
        <w:kinsoku/>
        <w:wordWrap/>
        <w:overflowPunct/>
        <w:topLinePunct w:val="0"/>
        <w:autoSpaceDE/>
        <w:autoSpaceDN/>
        <w:bidi w:val="0"/>
        <w:adjustRightInd/>
        <w:snapToGrid w:val="0"/>
        <w:spacing w:line="440" w:lineRule="exact"/>
        <w:ind w:left="0" w:lef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联系人 ：宋晓林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jc w:val="left"/>
        <w:textAlignment w:val="auto"/>
        <w:rPr>
          <w:rFonts w:hint="eastAsia" w:ascii="仿宋_GB2312" w:hAnsi="新宋体" w:eastAsia="仿宋_GB2312"/>
          <w:color w:val="auto"/>
          <w:szCs w:val="24"/>
          <w:highlight w:val="none"/>
          <w:lang w:eastAsia="zh-CN"/>
        </w:rPr>
      </w:pPr>
      <w:r>
        <w:rPr>
          <w:rFonts w:hint="eastAsia" w:ascii="仿宋_GB2312" w:hAnsi="仿宋_GB2312" w:eastAsia="仿宋_GB2312" w:cs="仿宋_GB2312"/>
          <w:color w:val="auto"/>
          <w:kern w:val="0"/>
          <w:sz w:val="24"/>
          <w:highlight w:val="none"/>
        </w:rPr>
        <w:t xml:space="preserve">监督投诉电话：0575-85209697  </w:t>
      </w:r>
      <w:r>
        <w:rPr>
          <w:rFonts w:hint="eastAsia" w:ascii="仿宋_GB2312" w:hAnsi="新宋体" w:eastAsia="仿宋_GB2312"/>
          <w:color w:val="auto"/>
          <w:szCs w:val="24"/>
          <w:highlight w:val="none"/>
        </w:rPr>
        <w:t>        </w:t>
      </w:r>
    </w:p>
    <w:p>
      <w:pPr>
        <w:pStyle w:val="156"/>
        <w:keepNext w:val="0"/>
        <w:keepLines w:val="0"/>
        <w:pageBreakBefore w:val="0"/>
        <w:kinsoku/>
        <w:wordWrap/>
        <w:overflowPunct/>
        <w:topLinePunct w:val="0"/>
        <w:autoSpaceDE/>
        <w:autoSpaceDN/>
        <w:bidi w:val="0"/>
        <w:adjustRightInd/>
        <w:spacing w:afterLines="0" w:line="440" w:lineRule="exact"/>
        <w:ind w:left="0" w:lef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kinsoku/>
        <w:wordWrap/>
        <w:overflowPunct/>
        <w:topLinePunct w:val="0"/>
        <w:autoSpaceDE/>
        <w:autoSpaceDN/>
        <w:bidi w:val="0"/>
        <w:adjustRightInd/>
        <w:spacing w:line="440" w:lineRule="exact"/>
        <w:ind w:left="0" w:leftChars="0"/>
        <w:jc w:val="center"/>
        <w:textAlignment w:val="auto"/>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CA问题联系电话（人工）：汇信CA 400-888-4636；天谷CA 400-087-8198。</w:t>
      </w:r>
    </w:p>
    <w:p>
      <w:pPr>
        <w:jc w:val="both"/>
        <w:rPr>
          <w:rFonts w:ascii="仿宋_GB2312" w:hAnsi="宋体" w:eastAsia="仿宋_GB2312"/>
          <w:b/>
          <w:color w:val="auto"/>
          <w:sz w:val="36"/>
          <w:szCs w:val="36"/>
          <w:highlight w:val="none"/>
        </w:rPr>
      </w:pP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磋商须知</w:t>
      </w:r>
    </w:p>
    <w:p>
      <w:pPr>
        <w:ind w:left="238"/>
        <w:jc w:val="center"/>
        <w:rPr>
          <w:rFonts w:ascii="仿宋_GB2312" w:hAnsi="宋体" w:eastAsia="仿宋_GB2312"/>
          <w:b/>
          <w:color w:val="auto"/>
          <w:sz w:val="30"/>
          <w:szCs w:val="36"/>
          <w:highlight w:val="none"/>
        </w:rPr>
      </w:pPr>
      <w:r>
        <w:rPr>
          <w:rFonts w:hint="eastAsia" w:ascii="仿宋_GB2312" w:hAnsi="宋体" w:eastAsia="仿宋_GB2312"/>
          <w:b/>
          <w:color w:val="auto"/>
          <w:sz w:val="30"/>
          <w:szCs w:val="36"/>
          <w:highlight w:val="none"/>
        </w:rPr>
        <w:t>前附表</w:t>
      </w:r>
    </w:p>
    <w:tbl>
      <w:tblPr>
        <w:tblStyle w:val="8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beforeLines="50" w:afterLines="30" w:line="3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1" w:type="dxa"/>
            <w:gridSpan w:val="2"/>
            <w:vAlign w:val="center"/>
          </w:tcPr>
          <w:p>
            <w:pPr>
              <w:spacing w:beforeLines="50" w:afterLines="30" w:line="3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磋商响应人应当提交的资格、资信证明文件</w:t>
            </w:r>
            <w:r>
              <w:rPr>
                <w:rFonts w:hint="eastAsia" w:ascii="仿宋_GB2312" w:hAnsi="仿宋_GB2312" w:eastAsia="仿宋_GB2312" w:cs="仿宋_GB2312"/>
                <w:color w:val="auto"/>
                <w:sz w:val="24"/>
                <w:highlight w:val="none"/>
              </w:rPr>
              <w:t>：</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供应商本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磋商有效期：</w:t>
            </w:r>
            <w:r>
              <w:rPr>
                <w:rFonts w:hint="eastAsia" w:ascii="仿宋_GB2312" w:hAnsi="仿宋" w:eastAsia="仿宋_GB2312" w:cs="仿宋_GB2312"/>
                <w:color w:val="auto"/>
                <w:sz w:val="24"/>
                <w:highlight w:val="none"/>
              </w:rPr>
              <w:t>有效期为从提交磋商响应文件的截止之日起90天。</w:t>
            </w:r>
            <w:r>
              <w:rPr>
                <w:rFonts w:hint="eastAsia" w:ascii="仿宋_GB2312" w:hAnsi="仿宋_GB2312" w:eastAsia="仿宋_GB2312" w:cs="仿宋_GB2312"/>
                <w:b/>
                <w:color w:val="auto"/>
                <w:sz w:val="24"/>
                <w:highlight w:val="none"/>
              </w:rPr>
              <w:t>磋商响应人</w:t>
            </w:r>
            <w:r>
              <w:rPr>
                <w:rFonts w:hint="eastAsia" w:ascii="仿宋_GB2312" w:hAnsi="仿宋" w:eastAsia="仿宋_GB2312" w:cs="仿宋_GB2312"/>
                <w:b/>
                <w:color w:val="auto"/>
                <w:sz w:val="24"/>
                <w:highlight w:val="none"/>
              </w:rPr>
              <w:t>的磋商文件中承</w:t>
            </w:r>
            <w:r>
              <w:rPr>
                <w:rFonts w:hint="eastAsia" w:ascii="仿宋_GB2312" w:hAnsi="仿宋" w:eastAsia="仿宋_GB2312" w:cs="仿宋_GB2312"/>
                <w:b/>
                <w:color w:val="auto"/>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1" w:type="dxa"/>
            <w:gridSpan w:val="2"/>
            <w:vAlign w:val="center"/>
          </w:tcPr>
          <w:p>
            <w:pPr>
              <w:spacing w:line="42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1"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hint="eastAsia" w:ascii="仿宋_GB2312" w:hAnsi="仿宋" w:eastAsia="仿宋_GB2312" w:cs="Arial"/>
                <w:color w:val="auto"/>
                <w:kern w:val="0"/>
                <w:sz w:val="24"/>
                <w:highlight w:val="none"/>
              </w:rPr>
              <w:sym w:font="Wingdings" w:char="00A8"/>
            </w:r>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hint="eastAsia" w:ascii="仿宋_GB2312" w:hAnsi="仿宋" w:eastAsia="仿宋_GB2312" w:cs="Arial"/>
                <w:color w:val="auto"/>
                <w:kern w:val="0"/>
                <w:sz w:val="24"/>
                <w:highlight w:val="none"/>
              </w:rPr>
              <w:sym w:font="Wingdings" w:char="F0FE"/>
            </w:r>
            <w:r>
              <w:rPr>
                <w:rFonts w:hint="eastAsia"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1"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磋商响应文件份数：</w:t>
            </w:r>
            <w:r>
              <w:rPr>
                <w:rFonts w:hint="eastAsia" w:ascii="仿宋_GB2312" w:hAnsi="宋体" w:eastAsia="仿宋_GB2312"/>
                <w:color w:val="auto"/>
                <w:sz w:val="24"/>
                <w:highlight w:val="none"/>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1" w:type="dxa"/>
            <w:gridSpan w:val="2"/>
            <w:vAlign w:val="center"/>
          </w:tcPr>
          <w:p>
            <w:pPr>
              <w:autoSpaceDE w:val="0"/>
              <w:autoSpaceDN w:val="0"/>
              <w:spacing w:line="420" w:lineRule="exact"/>
              <w:textAlignment w:val="bottom"/>
              <w:rPr>
                <w:rFonts w:ascii="仿宋_GB2312" w:hAnsi="宋体" w:eastAsia="仿宋_GB2312"/>
                <w:b/>
                <w:color w:val="auto"/>
                <w:sz w:val="24"/>
                <w:highlight w:val="none"/>
              </w:rPr>
            </w:pPr>
            <w:r>
              <w:rPr>
                <w:rFonts w:hint="eastAsia" w:ascii="仿宋_GB2312" w:hAnsi="仿宋" w:eastAsia="仿宋_GB2312" w:cs="仿宋_GB2312"/>
                <w:b/>
                <w:color w:val="auto"/>
                <w:kern w:val="0"/>
                <w:sz w:val="24"/>
                <w:highlight w:val="none"/>
                <w:lang w:val="zh-CN"/>
              </w:rPr>
              <w:t>磋商次序：</w:t>
            </w:r>
            <w:r>
              <w:rPr>
                <w:rFonts w:hint="eastAsia" w:ascii="仿宋_GB2312" w:hAnsi="仿宋" w:eastAsia="仿宋_GB2312" w:cs="仿宋_GB2312"/>
                <w:color w:val="auto"/>
                <w:kern w:val="0"/>
                <w:sz w:val="24"/>
                <w:highlight w:val="none"/>
                <w:lang w:val="zh-CN"/>
              </w:rPr>
              <w:t>以政采云平台中</w:t>
            </w:r>
            <w:r>
              <w:rPr>
                <w:rFonts w:hint="eastAsia" w:ascii="仿宋_GB2312" w:hAnsi="仿宋" w:eastAsia="仿宋_GB2312" w:cs="Arial"/>
                <w:bCs/>
                <w:color w:val="auto"/>
                <w:sz w:val="24"/>
                <w:highlight w:val="none"/>
              </w:rPr>
              <w:t>响应</w:t>
            </w:r>
            <w:r>
              <w:rPr>
                <w:rFonts w:hint="eastAsia" w:ascii="仿宋_GB2312" w:hAnsi="仿宋" w:eastAsia="仿宋_GB2312" w:cs="仿宋_GB2312"/>
                <w:color w:val="auto"/>
                <w:kern w:val="0"/>
                <w:sz w:val="24"/>
                <w:highlight w:val="none"/>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1" w:type="dxa"/>
            <w:gridSpan w:val="2"/>
            <w:vAlign w:val="center"/>
          </w:tcPr>
          <w:p>
            <w:pPr>
              <w:autoSpaceDE w:val="0"/>
              <w:autoSpaceDN w:val="0"/>
              <w:spacing w:line="440" w:lineRule="exact"/>
              <w:textAlignment w:val="bottom"/>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3220618"/>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20" w:lineRule="exact"/>
              <w:textAlignment w:val="bottom"/>
              <w:rPr>
                <w:rFonts w:ascii="仿宋_GB2312" w:hAnsi="仿宋" w:eastAsia="仿宋_GB2312" w:cs="仿宋_GB2312"/>
                <w:b/>
                <w:color w:val="auto"/>
                <w:kern w:val="0"/>
                <w:sz w:val="24"/>
                <w:highlight w:val="none"/>
                <w:lang w:val="zh-CN"/>
              </w:rPr>
            </w:pPr>
            <w:sdt>
              <w:sdtPr>
                <w:rPr>
                  <w:rFonts w:hint="eastAsia" w:ascii="仿宋_GB2312" w:hAnsi="仿宋" w:eastAsia="仿宋_GB2312" w:cs="Arial"/>
                  <w:color w:val="auto"/>
                  <w:kern w:val="0"/>
                  <w:sz w:val="24"/>
                  <w:highlight w:val="none"/>
                </w:rPr>
                <w:id w:val="-94006690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szCs w:val="21"/>
                  <w:highlight w:val="none"/>
                </w:rPr>
                <w:id w:val="-740788832"/>
              </w:sdtPr>
              <w:sdtEndPr>
                <w:rPr>
                  <w:rFonts w:hint="eastAsia" w:ascii="仿宋_GB2312" w:hAnsi="仿宋" w:eastAsia="仿宋_GB2312" w:cs="Arial"/>
                  <w:color w:val="auto"/>
                  <w:kern w:val="0"/>
                  <w:sz w:val="24"/>
                  <w:szCs w:val="21"/>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B要求提供，</w:t>
            </w:r>
          </w:p>
          <w:p>
            <w:pPr>
              <w:spacing w:line="360" w:lineRule="auto"/>
              <w:rPr>
                <w:rFonts w:hint="eastAsia" w:ascii="仿宋_GB2312" w:hAnsi="仿宋" w:eastAsia="仿宋_GB2312"/>
                <w:color w:val="auto"/>
                <w:sz w:val="24"/>
                <w:highlight w:val="none"/>
                <w:u w:val="single"/>
                <w:lang w:eastAsia="zh-CN"/>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样本</w:t>
            </w:r>
            <w:r>
              <w:rPr>
                <w:rFonts w:hint="eastAsia" w:ascii="仿宋_GB2312" w:hAnsi="仿宋" w:eastAsia="仿宋_GB2312"/>
                <w:color w:val="auto"/>
                <w:sz w:val="24"/>
                <w:highlight w:val="none"/>
                <w:u w:val="single"/>
                <w:lang w:val="en-US" w:eastAsia="zh-CN"/>
              </w:rPr>
              <w:t>2种</w:t>
            </w:r>
            <w:r>
              <w:rPr>
                <w:rFonts w:hint="eastAsia" w:ascii="仿宋_GB2312" w:hAnsi="仿宋" w:eastAsia="仿宋_GB2312"/>
                <w:color w:val="auto"/>
                <w:sz w:val="24"/>
                <w:highlight w:val="none"/>
                <w:u w:val="none"/>
                <w:lang w:eastAsia="zh-CN"/>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snapToGrid w:val="0"/>
                <w:color w:val="auto"/>
                <w:kern w:val="28"/>
                <w:sz w:val="24"/>
                <w:highlight w:val="none"/>
                <w:lang w:eastAsia="zh-CN"/>
              </w:rPr>
              <w:t>详见</w:t>
            </w:r>
            <w:r>
              <w:rPr>
                <w:rFonts w:hint="eastAsia" w:ascii="仿宋_GB2312" w:hAnsi="仿宋" w:eastAsia="仿宋_GB2312"/>
                <w:color w:val="auto"/>
                <w:sz w:val="24"/>
                <w:highlight w:val="none"/>
                <w:u w:val="single"/>
              </w:rPr>
              <w:t xml:space="preserve"> 评标办法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840616632"/>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t>☑</w:t>
                    </w:r>
                  </w:sdtContent>
                </w:sdt>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lang w:eastAsia="zh-CN"/>
              </w:rPr>
              <w:t>2022年12月16日17：00 前送达</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kern w:val="0"/>
                <w:sz w:val="24"/>
                <w:highlight w:val="none"/>
                <w:u w:val="single"/>
              </w:rPr>
              <w:t>绍兴市越城区迪荡街道龙湖大厦17楼SP1703室</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韩萍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13989509672  </w:t>
            </w:r>
            <w:r>
              <w:rPr>
                <w:rFonts w:hint="eastAsia" w:ascii="仿宋_GB2312" w:hAnsi="仿宋" w:eastAsia="仿宋_GB2312"/>
                <w:color w:val="auto"/>
                <w:sz w:val="24"/>
                <w:highlight w:val="none"/>
              </w:rPr>
              <w:t>。请供应商在上述时间内提供样品。超过截止时间的，采购人或采购代理机构将不予接收，并将清场并封闭样品现场。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37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szCs w:val="21"/>
                  <w:highlight w:val="none"/>
                </w:rPr>
                <w:id w:val="611332032"/>
              </w:sdtPr>
              <w:sdtEndPr>
                <w:rPr>
                  <w:rFonts w:hint="eastAsia" w:ascii="仿宋_GB2312" w:hAnsi="宋体" w:eastAsia="仿宋_GB2312" w:cs="Times New Roman"/>
                  <w:b/>
                  <w:color w:val="auto"/>
                  <w:kern w:val="2"/>
                  <w:sz w:val="24"/>
                  <w:szCs w:val="21"/>
                  <w:highlight w:val="none"/>
                </w:rPr>
              </w:sdtEndPr>
              <w:sdtContent>
                <w:sdt>
                  <w:sdtPr>
                    <w:rPr>
                      <w:rFonts w:hint="eastAsia" w:ascii="仿宋_GB2312" w:hAnsi="仿宋" w:eastAsia="仿宋_GB2312" w:cs="Arial"/>
                      <w:color w:val="auto"/>
                      <w:kern w:val="0"/>
                      <w:sz w:val="24"/>
                      <w:highlight w:val="none"/>
                    </w:rPr>
                    <w:id w:val="611332033"/>
                  </w:sdtPr>
                  <w:sdtEndPr>
                    <w:rPr>
                      <w:rFonts w:hint="eastAsia" w:ascii="仿宋_GB2312" w:hAnsi="宋体" w:eastAsia="仿宋_GB2312" w:cs="Times New Roman"/>
                      <w:b/>
                      <w:color w:val="auto"/>
                      <w:kern w:val="2"/>
                      <w:sz w:val="24"/>
                      <w:highlight w:val="none"/>
                    </w:rPr>
                  </w:sdtEndPr>
                  <w:sdtContent>
                    <w:r>
                      <w:rPr>
                        <w:rFonts w:hint="eastAsia" w:ascii="仿宋_GB2312" w:hAnsi="宋体" w:eastAsia="仿宋_GB2312"/>
                        <w:b/>
                        <w:color w:val="auto"/>
                        <w:sz w:val="24"/>
                        <w:highlight w:val="none"/>
                      </w:rPr>
                      <w:sym w:font="Wingdings" w:char="00FE"/>
                    </w:r>
                  </w:sdtContent>
                </w:sdt>
              </w:sdtContent>
            </w:sdt>
            <w:r>
              <w:rPr>
                <w:rFonts w:hint="eastAsia" w:ascii="仿宋_GB2312" w:hAnsi="宋体" w:eastAsia="仿宋_GB2312"/>
                <w:b/>
                <w:color w:val="auto"/>
                <w:sz w:val="24"/>
                <w:highlight w:val="none"/>
              </w:rPr>
              <w:t>A无方案讲解演示。</w:t>
            </w:r>
          </w:p>
          <w:p>
            <w:pPr>
              <w:rPr>
                <w:rFonts w:ascii="仿宋_GB2312" w:hAnsi="宋体" w:eastAsia="仿宋_GB2312"/>
                <w:b/>
                <w:color w:val="auto"/>
                <w:sz w:val="24"/>
                <w:highlight w:val="none"/>
              </w:rPr>
            </w:pPr>
            <w:r>
              <w:rPr>
                <w:rFonts w:hint="eastAsia" w:ascii="仿宋_GB2312" w:hAnsi="宋体" w:eastAsia="仿宋_GB2312"/>
                <w:b/>
                <w:color w:val="auto"/>
                <w:sz w:val="24"/>
                <w:highlight w:val="none"/>
              </w:rPr>
              <w:t>□B有方案讲解演示：</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在磋商时安排每个供应商进行</w:t>
            </w:r>
            <w:r>
              <w:rPr>
                <w:rFonts w:hint="eastAsia" w:ascii="仿宋_GB2312" w:hAnsi="仿宋" w:eastAsia="仿宋_GB2312"/>
                <w:color w:val="auto"/>
                <w:kern w:val="0"/>
                <w:sz w:val="24"/>
                <w:highlight w:val="none"/>
              </w:rPr>
              <w:t>方案讲解演示</w:t>
            </w:r>
            <w:r>
              <w:rPr>
                <w:rFonts w:hint="eastAsia" w:ascii="仿宋_GB2312" w:hAnsi="仿宋" w:eastAsia="仿宋_GB2312" w:cs="仿宋_GB2312"/>
                <w:color w:val="auto"/>
                <w:kern w:val="0"/>
                <w:sz w:val="24"/>
                <w:highlight w:val="none"/>
                <w:lang w:val="zh-CN"/>
              </w:rPr>
              <w:t>，讲解</w:t>
            </w:r>
            <w:r>
              <w:rPr>
                <w:rFonts w:hint="eastAsia" w:ascii="仿宋_GB2312" w:hAnsi="仿宋" w:eastAsia="仿宋_GB2312" w:cs="仿宋_GB2312"/>
                <w:color w:val="auto"/>
                <w:sz w:val="24"/>
                <w:highlight w:val="none"/>
              </w:rPr>
              <w:t>演示结束</w:t>
            </w:r>
            <w:r>
              <w:rPr>
                <w:rFonts w:hint="eastAsia" w:ascii="仿宋_GB2312" w:hAnsi="仿宋" w:eastAsia="仿宋_GB2312" w:cs="仿宋_GB2312"/>
                <w:color w:val="auto"/>
                <w:kern w:val="0"/>
                <w:sz w:val="24"/>
                <w:highlight w:val="none"/>
                <w:lang w:val="zh-CN"/>
              </w:rPr>
              <w:t>后按要求解答磋商小组的提问。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讲解演示设备：</w:t>
            </w:r>
            <w:r>
              <w:rPr>
                <w:rFonts w:hint="eastAsia" w:ascii="仿宋_GB2312" w:hAnsi="仿宋" w:eastAsia="仿宋_GB2312" w:cs="仿宋_GB2312"/>
                <w:color w:val="auto"/>
                <w:kern w:val="0"/>
                <w:sz w:val="24"/>
                <w:highlight w:val="none"/>
                <w:lang w:val="zh-CN"/>
              </w:rPr>
              <w:t>讲解</w:t>
            </w:r>
            <w:r>
              <w:rPr>
                <w:rFonts w:hint="eastAsia" w:ascii="仿宋_GB2312" w:hAnsi="仿宋_GB2312" w:eastAsia="仿宋_GB2312" w:cs="仿宋_GB2312"/>
                <w:color w:val="auto"/>
                <w:sz w:val="24"/>
                <w:highlight w:val="none"/>
              </w:rPr>
              <w:t>演示所需设备由供应商自行准备。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讲解演示时间：</w:t>
            </w:r>
            <w:r>
              <w:rPr>
                <w:rFonts w:hint="eastAsia" w:ascii="仿宋_GB2312" w:hAnsi="仿宋" w:eastAsia="仿宋_GB2312" w:cs="仿宋_GB2312"/>
                <w:color w:val="auto"/>
                <w:kern w:val="0"/>
                <w:sz w:val="24"/>
                <w:highlight w:val="none"/>
                <w:lang w:val="zh-CN"/>
              </w:rPr>
              <w:t>每个供应商讲解演示开始前的调试准备时间不超过15分钟，讲解演示时间不超过15分钟，</w:t>
            </w:r>
            <w:r>
              <w:rPr>
                <w:rFonts w:hint="eastAsia" w:ascii="仿宋_GB2312" w:hAnsi="仿宋_GB2312" w:eastAsia="仿宋_GB2312" w:cs="仿宋_GB2312"/>
                <w:color w:val="auto"/>
                <w:sz w:val="24"/>
                <w:highlight w:val="none"/>
              </w:rPr>
              <w:t>不包含评审专家提问解答时间。</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讲解演示次序：</w:t>
            </w:r>
            <w:r>
              <w:rPr>
                <w:rFonts w:hint="eastAsia" w:ascii="仿宋_GB2312" w:hAnsi="仿宋" w:eastAsia="仿宋_GB2312" w:cs="仿宋_GB2312"/>
                <w:color w:val="auto"/>
                <w:kern w:val="0"/>
                <w:sz w:val="24"/>
                <w:highlight w:val="none"/>
                <w:lang w:val="zh-CN"/>
              </w:rPr>
              <w:t>以政采云平台中磋商</w:t>
            </w:r>
            <w:r>
              <w:rPr>
                <w:rFonts w:hint="eastAsia" w:ascii="仿宋_GB2312" w:hAnsi="仿宋" w:eastAsia="仿宋_GB2312" w:cs="Arial"/>
                <w:bCs/>
                <w:color w:val="auto"/>
                <w:sz w:val="24"/>
                <w:highlight w:val="none"/>
              </w:rPr>
              <w:t>响应</w:t>
            </w:r>
            <w:r>
              <w:rPr>
                <w:rFonts w:hint="eastAsia" w:ascii="仿宋_GB2312" w:hAnsi="仿宋" w:eastAsia="仿宋_GB2312" w:cs="仿宋_GB2312"/>
                <w:color w:val="auto"/>
                <w:kern w:val="0"/>
                <w:sz w:val="24"/>
                <w:highlight w:val="none"/>
                <w:lang w:val="zh-CN"/>
              </w:rPr>
              <w:t>文件解密时间的先后顺序为准。</w:t>
            </w:r>
          </w:p>
          <w:p>
            <w:pPr>
              <w:spacing w:line="440" w:lineRule="exact"/>
              <w:ind w:firstLine="1200" w:firstLineChars="5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单一供应商未能在规定时间内完成讲解演示设备调试的或讲解演示过程中出现视频中断、无法连接讲解演示视频的，则由下一顺位的供应商进行讲解演示，同时可再给予该供应商一次重新讲解演示的机会，但讲解演示顺序排至所有讲解演示供应商的最末位，出现同类问题的其他供应商亦按此方法处理。</w:t>
            </w:r>
          </w:p>
          <w:p>
            <w:pPr>
              <w:spacing w:line="42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讲解演示途径：</w:t>
            </w:r>
            <w:r>
              <w:rPr>
                <w:rFonts w:hint="eastAsia" w:ascii="仿宋_GB2312" w:hAnsi="仿宋" w:eastAsia="仿宋_GB2312" w:cs="仿宋_GB2312"/>
                <w:color w:val="auto"/>
                <w:kern w:val="0"/>
                <w:sz w:val="24"/>
                <w:highlight w:val="none"/>
                <w:lang w:val="zh-CN"/>
              </w:rPr>
              <w:t>通过“政采云平台”（请在360浏览器上运行）屏幕共享方式进行演示，其中涉及需要安装的软件供应商应在磋商前自行下载安装，确保网络、摄像头、麦克风、讲解演示环境等讲解演示所需设备和系统正常稳定，并提前熟悉操作和使用。</w:t>
            </w:r>
          </w:p>
          <w:p>
            <w:pPr>
              <w:spacing w:line="360" w:lineRule="auto"/>
              <w:rPr>
                <w:rFonts w:ascii="仿宋_GB2312" w:hAnsi="宋体" w:eastAsia="仿宋_GB2312"/>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6"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szCs w:val="21"/>
                  <w:highlight w:val="none"/>
                </w:rPr>
                <w:id w:val="-751813434"/>
              </w:sdtPr>
              <w:sdtEndPr>
                <w:rPr>
                  <w:rFonts w:hint="eastAsia" w:ascii="仿宋_GB2312" w:hAnsi="仿宋" w:eastAsia="仿宋_GB2312" w:cs="Arial"/>
                  <w:color w:val="auto"/>
                  <w:kern w:val="0"/>
                  <w:sz w:val="24"/>
                  <w:szCs w:val="21"/>
                  <w:highlight w:val="none"/>
                </w:rPr>
              </w:sdtEndPr>
              <w:sdtContent>
                <w:sdt>
                  <w:sdtPr>
                    <w:rPr>
                      <w:rFonts w:hint="eastAsia" w:ascii="仿宋_GB2312" w:hAnsi="仿宋" w:eastAsia="仿宋_GB2312" w:cs="Arial"/>
                      <w:color w:val="auto"/>
                      <w:kern w:val="0"/>
                      <w:sz w:val="24"/>
                      <w:szCs w:val="21"/>
                      <w:highlight w:val="none"/>
                    </w:rPr>
                    <w:id w:val="-751813434"/>
                  </w:sdtPr>
                  <w:sdtEndPr>
                    <w:rPr>
                      <w:rFonts w:hint="eastAsia" w:ascii="仿宋_GB2312" w:hAnsi="仿宋" w:eastAsia="仿宋_GB2312" w:cs="Arial"/>
                      <w:color w:val="auto"/>
                      <w:kern w:val="0"/>
                      <w:sz w:val="24"/>
                      <w:szCs w:val="21"/>
                      <w:highlight w:val="none"/>
                    </w:rPr>
                  </w:sdtEndPr>
                  <w:sdtContent>
                    <w:r>
                      <w:rPr>
                        <w:rFonts w:hint="eastAsia" w:ascii="仿宋_GB2312" w:hAnsi="仿宋"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83321284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77808574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6" w:type="dxa"/>
            <w:vAlign w:val="center"/>
          </w:tcPr>
          <w:p>
            <w:pPr>
              <w:spacing w:line="360" w:lineRule="auto"/>
              <w:rPr>
                <w:rFonts w:ascii="仿宋_GB2312" w:hAnsi="仿宋"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w:t>
            </w:r>
          </w:p>
          <w:p>
            <w:pPr>
              <w:snapToGrid w:val="0"/>
              <w:spacing w:line="400" w:lineRule="exact"/>
              <w:rPr>
                <w:rFonts w:hint="eastAsia" w:ascii="仿宋_GB2312" w:hAnsi="仿宋_GB2312" w:eastAsia="仿宋_GB2312" w:cs="仿宋_GB2312"/>
                <w:color w:val="auto"/>
                <w:sz w:val="24"/>
                <w:highlight w:val="none"/>
                <w:lang w:eastAsia="zh-CN"/>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szCs w:val="21"/>
                          <w:highlight w:val="none"/>
                        </w:rPr>
                        <w:id w:val="8287208"/>
                      </w:sdtPr>
                      <w:sdtEndPr>
                        <w:rPr>
                          <w:rFonts w:hint="eastAsia" w:ascii="仿宋_GB2312" w:hAnsi="仿宋" w:eastAsia="仿宋_GB2312" w:cs="Arial"/>
                          <w:color w:val="auto"/>
                          <w:kern w:val="0"/>
                          <w:sz w:val="24"/>
                          <w:szCs w:val="21"/>
                          <w:highlight w:val="none"/>
                        </w:rPr>
                      </w:sdtEndPr>
                      <w:sdtContent>
                        <w:r>
                          <w:rPr>
                            <w:rFonts w:hint="eastAsia"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13</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6" w:type="dxa"/>
            <w:vAlign w:val="center"/>
          </w:tcPr>
          <w:p>
            <w:pPr>
              <w:snapToGrid w:val="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（1）标的：</w:t>
            </w:r>
            <w:r>
              <w:rPr>
                <w:rFonts w:hint="eastAsia" w:ascii="仿宋_GB2312" w:hAnsi="仿宋" w:eastAsia="仿宋_GB2312" w:cs="Arial"/>
                <w:color w:val="auto"/>
                <w:kern w:val="0"/>
                <w:sz w:val="24"/>
                <w:highlight w:val="none"/>
                <w:u w:val="single"/>
              </w:rPr>
              <w:t xml:space="preserve"> </w:t>
            </w:r>
            <w:r>
              <w:rPr>
                <w:rFonts w:hint="eastAsia" w:ascii="仿宋_GB2312" w:hAnsi="新宋体" w:eastAsia="仿宋_GB2312"/>
                <w:color w:val="auto"/>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szCs w:val="24"/>
                <w:highlight w:val="none"/>
                <w:u w:val="single"/>
                <w:lang w:val="en-US" w:eastAsia="zh-CN"/>
              </w:rPr>
              <w:t>其他未列明</w:t>
            </w:r>
            <w:r>
              <w:rPr>
                <w:rFonts w:hint="eastAsia" w:ascii="仿宋_GB2312" w:hAnsi="仿宋" w:eastAsia="仿宋_GB2312" w:cs="Arial"/>
                <w:color w:val="auto"/>
                <w:kern w:val="0"/>
                <w:sz w:val="24"/>
                <w:highlight w:val="none"/>
              </w:rPr>
              <w:t>行业；</w:t>
            </w:r>
          </w:p>
          <w:p>
            <w:pPr>
              <w:snapToGrid w:val="0"/>
              <w:rPr>
                <w:rFonts w:ascii="仿宋_GB2312"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55" w:type="dxa"/>
            <w:vMerge w:val="restart"/>
            <w:vAlign w:val="center"/>
          </w:tcPr>
          <w:p>
            <w:pPr>
              <w:snapToGrid w:val="0"/>
              <w:spacing w:line="40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供应商信用信息事项</w:t>
            </w:r>
          </w:p>
        </w:tc>
        <w:tc>
          <w:tcPr>
            <w:tcW w:w="7516" w:type="dxa"/>
            <w:vAlign w:val="center"/>
          </w:tcPr>
          <w:p>
            <w:pPr>
              <w:snapToGrid w:val="0"/>
              <w:spacing w:line="40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采购人或采购人委托的磋商小组或采购代理机构将通过“信用中国”网站(www.creditchina.gov.cn)、中国政府采购网(www.ccgp.gov.cn)渠道查询</w:t>
            </w:r>
            <w:r>
              <w:rPr>
                <w:rFonts w:hint="eastAsia" w:ascii="仿宋_GB2312" w:hAnsi="仿宋_GB2312" w:eastAsia="仿宋_GB2312" w:cs="仿宋_GB2312"/>
                <w:b/>
                <w:color w:val="auto"/>
                <w:sz w:val="24"/>
                <w:highlight w:val="none"/>
              </w:rPr>
              <w:t>磋商当天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69" w:type="dxa"/>
            <w:vMerge w:val="continue"/>
            <w:vAlign w:val="center"/>
          </w:tcPr>
          <w:p>
            <w:pPr>
              <w:spacing w:line="40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00" w:lineRule="exact"/>
              <w:rPr>
                <w:rFonts w:ascii="仿宋_GB2312" w:hAnsi="仿宋_GB2312" w:eastAsia="仿宋_GB2312" w:cs="仿宋_GB2312"/>
                <w:b/>
                <w:color w:val="auto"/>
                <w:sz w:val="24"/>
                <w:highlight w:val="none"/>
              </w:rPr>
            </w:pPr>
          </w:p>
        </w:tc>
        <w:tc>
          <w:tcPr>
            <w:tcW w:w="7516" w:type="dxa"/>
            <w:vAlign w:val="center"/>
          </w:tcPr>
          <w:p>
            <w:pPr>
              <w:snapToGrid w:val="0"/>
              <w:spacing w:line="40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采购人或采购人委托的磋商小组或采购代理机构现场查询供应商的信用记录，查询结果经确认后与</w:t>
            </w:r>
            <w:r>
              <w:rPr>
                <w:rFonts w:hint="eastAsia" w:ascii="仿宋_GB2312" w:hAnsi="仿宋_GB2312" w:eastAsia="仿宋_GB2312" w:cs="仿宋_GB2312"/>
                <w:color w:val="auto"/>
                <w:sz w:val="24"/>
                <w:highlight w:val="none"/>
              </w:rPr>
              <w:t>磋商响应</w:t>
            </w:r>
            <w:r>
              <w:rPr>
                <w:rFonts w:hint="eastAsia" w:ascii="仿宋_GB2312" w:hAnsi="宋体" w:eastAsia="仿宋_GB2312"/>
                <w:color w:val="auto"/>
                <w:sz w:val="24"/>
                <w:highlight w:val="none"/>
              </w:rPr>
              <w:t>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0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00" w:lineRule="exact"/>
              <w:rPr>
                <w:rFonts w:ascii="仿宋_GB2312" w:hAnsi="仿宋_GB2312" w:eastAsia="仿宋_GB2312" w:cs="仿宋_GB2312"/>
                <w:b/>
                <w:color w:val="auto"/>
                <w:sz w:val="24"/>
                <w:highlight w:val="none"/>
              </w:rPr>
            </w:pPr>
          </w:p>
        </w:tc>
        <w:tc>
          <w:tcPr>
            <w:tcW w:w="7516" w:type="dxa"/>
            <w:vAlign w:val="center"/>
          </w:tcPr>
          <w:p>
            <w:pPr>
              <w:snapToGrid w:val="0"/>
              <w:spacing w:line="40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经查询列入失信被执行人名单、重大税收违法案件当事人名单、政府采购严重违法失信行为记录名单的供应商将被拒绝参与政府采购活动。</w:t>
            </w:r>
          </w:p>
          <w:p>
            <w:pPr>
              <w:snapToGrid w:val="0"/>
              <w:spacing w:line="400" w:lineRule="exact"/>
              <w:rPr>
                <w:rFonts w:ascii="仿宋_GB2312" w:hAnsi="仿宋_GB2312" w:eastAsia="仿宋_GB2312" w:cs="仿宋_GB2312"/>
                <w:b/>
                <w:color w:val="auto"/>
                <w:sz w:val="24"/>
                <w:highlight w:val="none"/>
              </w:rPr>
            </w:pPr>
            <w:r>
              <w:rPr>
                <w:rFonts w:hint="eastAsia" w:ascii="仿宋_GB2312" w:hAnsi="宋体" w:eastAsia="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highlight w:val="none"/>
              </w:rPr>
            </w:pPr>
          </w:p>
        </w:tc>
        <w:tc>
          <w:tcPr>
            <w:tcW w:w="837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磋商注意事项：</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1.本项目实行网上磋商，采用电子磋商响应文件。若供应商参与磋商，自行承担磋商一切费用。</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注：供应商CA相关操作可参考政采云平台</w:t>
            </w:r>
            <w:r>
              <w:rPr>
                <w:rFonts w:hint="eastAsia" w:ascii="仿宋_GB2312" w:hAnsi="新宋体" w:eastAsia="仿宋_GB2312"/>
                <w:color w:val="auto"/>
                <w:highlight w:val="none"/>
              </w:rPr>
              <w:t>https://www.zcygov.cn/</w:t>
            </w:r>
            <w:r>
              <w:rPr>
                <w:rFonts w:hint="eastAsia" w:ascii="仿宋_GB2312" w:hAnsi="仿宋" w:eastAsia="仿宋_GB2312"/>
                <w:color w:val="auto"/>
                <w:sz w:val="24"/>
                <w:highlight w:val="none"/>
              </w:rPr>
              <w:t>《CA申领操作指南》和《CA管理操作指南》。完成CA数字证书办理在资料齐全的情况下预计7个工作日左右，建议供应商获取磋商文件后立即办理。</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3.磋商响应文件制作、递交、解密：</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3.1应按照本项目磋商文件和政采云平台的要求编制、加密传输磋商响应文件。供应商在使用系统进行磋商响应的过程中遇到涉及平台使用的任何问题，可致电政采云平台技术支持热线咨询，联系方式：400-881-7190。</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3.2供应商通过“政采云”平台制作电子磋商响应文件，磋商响应文件制作详见“供应商-政府采购项目电子交易操作指南”。</w:t>
            </w:r>
          </w:p>
          <w:p>
            <w:pPr>
              <w:snapToGrid w:val="0"/>
              <w:spacing w:line="440" w:lineRule="exact"/>
              <w:rPr>
                <w:rFonts w:ascii="仿宋" w:hAnsi="仿宋" w:eastAsia="仿宋"/>
                <w:color w:val="auto"/>
                <w:sz w:val="24"/>
                <w:highlight w:val="none"/>
              </w:rPr>
            </w:pPr>
            <w:r>
              <w:rPr>
                <w:rFonts w:hint="eastAsia" w:ascii="仿宋_GB2312" w:hAnsi="仿宋" w:eastAsia="仿宋_GB2312"/>
                <w:color w:val="auto"/>
                <w:sz w:val="24"/>
                <w:highlight w:val="none"/>
              </w:rPr>
              <w:t>3.3</w:t>
            </w:r>
            <w:r>
              <w:rPr>
                <w:rFonts w:hint="eastAsia" w:ascii="仿宋_GB2312" w:hAnsi="新宋体" w:eastAsia="仿宋_GB2312" w:cs="Arial"/>
                <w:color w:val="auto"/>
                <w:sz w:val="24"/>
                <w:highlight w:val="none"/>
              </w:rPr>
              <w:t>响应文件开启后3</w:t>
            </w:r>
            <w:r>
              <w:rPr>
                <w:rFonts w:ascii="仿宋_GB2312" w:hAnsi="新宋体" w:eastAsia="仿宋_GB2312" w:cs="Arial"/>
                <w:color w:val="auto"/>
                <w:sz w:val="24"/>
                <w:highlight w:val="none"/>
              </w:rPr>
              <w:t>0</w:t>
            </w:r>
            <w:r>
              <w:rPr>
                <w:rFonts w:hint="eastAsia" w:ascii="仿宋_GB2312" w:hAnsi="新宋体" w:eastAsia="仿宋_GB2312" w:cs="Arial"/>
                <w:color w:val="auto"/>
                <w:sz w:val="24"/>
                <w:highlight w:val="none"/>
              </w:rPr>
              <w:t>分钟内供应商可以登录“政采云”平台，用“项目采购-开标评标”功能进行解密磋商响应文件。若供应商</w:t>
            </w:r>
            <w:r>
              <w:rPr>
                <w:rFonts w:hint="eastAsia" w:ascii="仿宋_GB2312" w:hAnsi="宋体" w:eastAsia="仿宋_GB2312"/>
                <w:b/>
                <w:color w:val="auto"/>
                <w:sz w:val="24"/>
                <w:highlight w:val="none"/>
                <w:u w:val="single"/>
              </w:rPr>
              <w:t>未按时解密的</w:t>
            </w:r>
            <w:r>
              <w:rPr>
                <w:rFonts w:hint="eastAsia" w:ascii="仿宋_GB2312" w:hAnsi="新宋体" w:eastAsia="仿宋_GB2312" w:cs="Arial"/>
                <w:color w:val="auto"/>
                <w:sz w:val="24"/>
                <w:highlight w:val="none"/>
              </w:rPr>
              <w:t>，</w:t>
            </w:r>
            <w:r>
              <w:rPr>
                <w:rFonts w:hint="eastAsia" w:ascii="仿宋_GB2312" w:hAnsi="宋体" w:eastAsia="仿宋_GB2312"/>
                <w:b/>
                <w:color w:val="auto"/>
                <w:sz w:val="24"/>
                <w:highlight w:val="none"/>
                <w:u w:val="single"/>
              </w:rPr>
              <w:t>视为磋商响应文件撤回</w:t>
            </w:r>
            <w:r>
              <w:rPr>
                <w:rFonts w:hint="eastAsia" w:ascii="仿宋_GB2312" w:hAnsi="新宋体" w:eastAsia="仿宋_GB2312"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1"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联合体响应磋商的或者以分包方式履行合同的，联合体各方（供应商与分包供应商）分别提供与联合体协议（分包意向协议）中规定的分工内容相应的业绩证明材料，业绩数量以提供材料较少的一方为准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371"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816336663"/>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366108627"/>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联合体响应磋商的，联合体各方均需按招标文件第五部分评审标准要求提供资信证明文件，否则视为不符合相关要求。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联合体响应磋商的，联合体中有一方或者联合体成员根据分工按招标文件第五部分评审标准要求提供资信证明文件的，视为符合了相关要求。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20</w:t>
            </w:r>
          </w:p>
        </w:tc>
        <w:tc>
          <w:tcPr>
            <w:tcW w:w="8371" w:type="dxa"/>
            <w:gridSpan w:val="2"/>
            <w:vAlign w:val="center"/>
          </w:tcPr>
          <w:p>
            <w:pPr>
              <w:spacing w:line="360" w:lineRule="auto"/>
              <w:rPr>
                <w:rFonts w:hint="eastAsia" w:hAnsi="仿宋" w:eastAsia="仿宋" w:cs="仿宋"/>
                <w:color w:val="auto"/>
                <w:sz w:val="24"/>
                <w:highlight w:val="none"/>
              </w:rPr>
            </w:pPr>
            <w:r>
              <w:rPr>
                <w:rFonts w:hint="eastAsia" w:ascii="仿宋" w:hAnsi="仿宋" w:eastAsia="仿宋"/>
                <w:b/>
                <w:color w:val="auto"/>
                <w:sz w:val="24"/>
                <w:highlight w:val="none"/>
              </w:rPr>
              <w:t>中标单位需支付以下费用，并在投标报价中自行考虑：</w:t>
            </w:r>
          </w:p>
          <w:p>
            <w:pPr>
              <w:spacing w:line="360" w:lineRule="auto"/>
              <w:rPr>
                <w:rFonts w:eastAsia="仿宋" w:cs="仿宋"/>
                <w:color w:val="auto"/>
                <w:sz w:val="24"/>
                <w:highlight w:val="none"/>
              </w:rPr>
            </w:pPr>
            <w:r>
              <w:rPr>
                <w:rFonts w:hint="eastAsia" w:hAnsi="仿宋" w:eastAsia="仿宋" w:cs="仿宋"/>
                <w:color w:val="auto"/>
                <w:sz w:val="24"/>
                <w:highlight w:val="none"/>
              </w:rPr>
              <w:t>其他：代理服务费</w:t>
            </w:r>
          </w:p>
          <w:p>
            <w:pPr>
              <w:numPr>
                <w:ilvl w:val="0"/>
                <w:numId w:val="4"/>
              </w:numPr>
              <w:spacing w:line="360" w:lineRule="auto"/>
              <w:rPr>
                <w:rFonts w:hint="eastAsia"/>
                <w:color w:val="auto"/>
                <w:highlight w:val="none"/>
              </w:rPr>
            </w:pPr>
            <w:r>
              <w:rPr>
                <w:rFonts w:hint="eastAsia" w:hAnsi="仿宋" w:eastAsia="仿宋" w:cs="仿宋"/>
                <w:color w:val="auto"/>
                <w:sz w:val="24"/>
                <w:highlight w:val="none"/>
              </w:rPr>
              <w:t>以中标通知中确定的中标总金额作为服务费的计算基数，具体比例参照《国家计委关于印发&lt;招标代理服务收费管理暂行办法&gt;的通知》（计价格[2002]1980号）文件规定的收费基准价格执行。收费标准：中标金额在100万以下部分为1.5%，100万元到500万元部分为0.8%</w:t>
            </w:r>
            <w:r>
              <w:rPr>
                <w:rFonts w:eastAsia="仿宋_GB2312"/>
                <w:color w:val="auto"/>
                <w:sz w:val="24"/>
                <w:highlight w:val="none"/>
              </w:rPr>
              <w:t>，500万元以上至1000万元部分为0.</w:t>
            </w:r>
            <w:r>
              <w:rPr>
                <w:rFonts w:hint="eastAsia" w:eastAsia="仿宋_GB2312"/>
                <w:color w:val="auto"/>
                <w:sz w:val="24"/>
                <w:highlight w:val="none"/>
                <w:lang w:val="en-US" w:eastAsia="zh-CN"/>
              </w:rPr>
              <w:t>45</w:t>
            </w:r>
            <w:r>
              <w:rPr>
                <w:rFonts w:eastAsia="仿宋_GB2312"/>
                <w:color w:val="auto"/>
                <w:sz w:val="24"/>
                <w:highlight w:val="none"/>
              </w:rPr>
              <w:t>%</w:t>
            </w:r>
            <w:r>
              <w:rPr>
                <w:rFonts w:hint="eastAsia" w:hAnsi="仿宋" w:eastAsia="仿宋" w:cs="仿宋"/>
                <w:color w:val="auto"/>
                <w:sz w:val="24"/>
                <w:highlight w:val="none"/>
              </w:rPr>
              <w:t>。</w:t>
            </w:r>
          </w:p>
          <w:p>
            <w:pPr>
              <w:spacing w:line="360" w:lineRule="auto"/>
              <w:rPr>
                <w:rFonts w:hint="eastAsia" w:hAnsi="仿宋" w:eastAsia="仿宋" w:cs="仿宋"/>
                <w:color w:val="auto"/>
                <w:sz w:val="24"/>
                <w:highlight w:val="none"/>
              </w:rPr>
            </w:pPr>
            <w:r>
              <w:rPr>
                <w:rFonts w:hint="eastAsia" w:hAnsi="仿宋" w:eastAsia="仿宋" w:cs="仿宋"/>
                <w:color w:val="auto"/>
                <w:sz w:val="24"/>
                <w:highlight w:val="none"/>
              </w:rPr>
              <w:t>2.代理服务费的交纳方式：</w:t>
            </w:r>
          </w:p>
          <w:p>
            <w:pPr>
              <w:spacing w:line="360" w:lineRule="auto"/>
              <w:rPr>
                <w:rFonts w:hint="eastAsia" w:hAnsi="仿宋" w:eastAsia="仿宋" w:cs="仿宋"/>
                <w:color w:val="auto"/>
                <w:sz w:val="24"/>
                <w:highlight w:val="none"/>
              </w:rPr>
            </w:pPr>
            <w:r>
              <w:rPr>
                <w:rFonts w:hint="eastAsia" w:hAnsi="仿宋" w:eastAsia="仿宋" w:cs="仿宋"/>
                <w:color w:val="auto"/>
                <w:sz w:val="24"/>
                <w:highlight w:val="none"/>
              </w:rPr>
              <w:t>用银行支票、汇票、电汇、现金等付款方式直接交纳代理服务费。</w:t>
            </w:r>
          </w:p>
          <w:p>
            <w:pPr>
              <w:spacing w:line="360" w:lineRule="auto"/>
              <w:rPr>
                <w:rFonts w:hint="eastAsia" w:hAnsi="仿宋" w:eastAsia="仿宋" w:cs="仿宋"/>
                <w:color w:val="auto"/>
                <w:sz w:val="24"/>
                <w:highlight w:val="none"/>
              </w:rPr>
            </w:pPr>
            <w:r>
              <w:rPr>
                <w:rFonts w:hint="eastAsia" w:hAnsi="仿宋" w:eastAsia="仿宋" w:cs="仿宋"/>
                <w:color w:val="auto"/>
                <w:sz w:val="24"/>
                <w:highlight w:val="none"/>
              </w:rPr>
              <w:t>公司名称：绍兴虬实企业管理咨询有限公司</w:t>
            </w:r>
          </w:p>
          <w:p>
            <w:pPr>
              <w:spacing w:line="360" w:lineRule="auto"/>
              <w:rPr>
                <w:rFonts w:hint="eastAsia" w:hAnsi="仿宋" w:eastAsia="仿宋" w:cs="仿宋"/>
                <w:color w:val="auto"/>
                <w:sz w:val="24"/>
                <w:highlight w:val="none"/>
              </w:rPr>
            </w:pPr>
            <w:r>
              <w:rPr>
                <w:rFonts w:hint="eastAsia" w:hAnsi="仿宋" w:eastAsia="仿宋" w:cs="仿宋"/>
                <w:color w:val="auto"/>
                <w:sz w:val="24"/>
                <w:highlight w:val="none"/>
              </w:rPr>
              <w:t>账    号：2006767942000015</w:t>
            </w:r>
          </w:p>
          <w:p>
            <w:pPr>
              <w:spacing w:line="360" w:lineRule="auto"/>
              <w:rPr>
                <w:rFonts w:hint="eastAsia" w:hAnsi="仿宋" w:eastAsia="仿宋" w:cs="仿宋"/>
                <w:color w:val="auto"/>
                <w:sz w:val="24"/>
                <w:highlight w:val="none"/>
              </w:rPr>
            </w:pPr>
            <w:r>
              <w:rPr>
                <w:rFonts w:hint="eastAsia" w:hAnsi="仿宋" w:eastAsia="仿宋" w:cs="仿宋"/>
                <w:color w:val="auto"/>
                <w:sz w:val="24"/>
                <w:highlight w:val="none"/>
              </w:rPr>
              <w:t>开 户 行：绍兴银行股份有限公司禹陵支行</w:t>
            </w:r>
          </w:p>
          <w:p>
            <w:pPr>
              <w:spacing w:line="440" w:lineRule="exact"/>
              <w:rPr>
                <w:rFonts w:hint="eastAsia" w:ascii="仿宋_GB2312" w:hAnsi="宋体" w:eastAsia="仿宋_GB2312" w:cs="宋体"/>
                <w:color w:val="auto"/>
                <w:kern w:val="0"/>
                <w:sz w:val="24"/>
                <w:szCs w:val="21"/>
                <w:highlight w:val="none"/>
              </w:rPr>
            </w:pPr>
            <w:r>
              <w:rPr>
                <w:rFonts w:hint="eastAsia"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解释：凡涉及本磋商文件的解释权属于采购人、</w:t>
            </w:r>
            <w:r>
              <w:rPr>
                <w:rFonts w:hint="eastAsia" w:ascii="仿宋_GB2312" w:hAnsi="宋体" w:eastAsia="仿宋_GB2312"/>
                <w:color w:val="auto"/>
                <w:sz w:val="24"/>
                <w:highlight w:val="none"/>
                <w:lang w:eastAsia="zh-CN"/>
              </w:rPr>
              <w:t>采购代理机构</w:t>
            </w:r>
            <w:r>
              <w:rPr>
                <w:rFonts w:hint="eastAsia" w:ascii="仿宋_GB2312" w:hAnsi="宋体" w:eastAsia="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注：成交候选供应商放弃成交资格或因质疑、投诉被取消成交资格或不能履行合同的，本项目应重新开展采购活动。</w:t>
            </w:r>
          </w:p>
        </w:tc>
      </w:tr>
    </w:tbl>
    <w:p>
      <w:pPr>
        <w:pageBreakBefore/>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1.项目说明</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1.1本磋商文件适用于本次所述项目的磋商、</w:t>
      </w:r>
      <w:r>
        <w:rPr>
          <w:rFonts w:hint="eastAsia" w:ascii="仿宋_GB2312" w:hAnsi="仿宋" w:eastAsia="仿宋_GB2312"/>
          <w:color w:val="auto"/>
          <w:sz w:val="24"/>
          <w:highlight w:val="none"/>
        </w:rPr>
        <w:t>资格审查及信用信息查询、合同、验收等行为（法律、法规另有规定的，从其规定）。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1.2供应商一旦参与本次磋商活动，即被视为接受了本磋商文件的所有内容，如有任何异议，均应在法定时间内提出。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1.4本磋商文件所称公章是指单位法定名称章或者冠以法定名称的投标业务专用章。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定义</w:t>
      </w:r>
    </w:p>
    <w:p>
      <w:pPr>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2.1政府采购当事人及监管部门：</w:t>
      </w:r>
      <w:r>
        <w:rPr>
          <w:rFonts w:hint="eastAsia" w:ascii="仿宋_GB2312" w:hAnsi="仿宋_GB2312" w:eastAsia="仿宋_GB2312" w:cs="仿宋_GB2312"/>
          <w:color w:val="auto"/>
          <w:sz w:val="24"/>
          <w:highlight w:val="none"/>
          <w:lang w:eastAsia="zh-CN"/>
        </w:rPr>
        <w:t>绍兴市社会科学界联合会</w:t>
      </w:r>
      <w:r>
        <w:rPr>
          <w:rFonts w:hint="eastAsia" w:ascii="仿宋_GB2312" w:hAnsi="仿宋_GB2312" w:eastAsia="仿宋_GB2312" w:cs="仿宋_GB2312"/>
          <w:color w:val="auto"/>
          <w:sz w:val="24"/>
          <w:highlight w:val="none"/>
        </w:rPr>
        <w:t>为本项目的采购人（合同中的甲方）；</w:t>
      </w:r>
      <w:r>
        <w:rPr>
          <w:rFonts w:hint="eastAsia" w:ascii="仿宋_GB2312" w:hAnsi="仿宋_GB2312" w:eastAsia="仿宋_GB2312" w:cs="仿宋_GB2312"/>
          <w:color w:val="auto"/>
          <w:sz w:val="24"/>
          <w:highlight w:val="none"/>
          <w:lang w:eastAsia="zh-CN"/>
        </w:rPr>
        <w:t>绍兴虬实企业管理咨询有限公司</w:t>
      </w:r>
      <w:r>
        <w:rPr>
          <w:rFonts w:hint="eastAsia" w:ascii="仿宋_GB2312" w:hAnsi="仿宋_GB2312" w:eastAsia="仿宋_GB2312" w:cs="仿宋_GB2312"/>
          <w:color w:val="auto"/>
          <w:sz w:val="24"/>
          <w:highlight w:val="none"/>
        </w:rPr>
        <w:t>为采购代理机构；参加磋商响应的法人、其他组织或者自然人为磋商响应人；经磋商评审后产生并经采购单位确认的磋商响应人为成交候选人，同时发布成交公告后无异议并签订合同的成交供应商为合同中的乙方；绍兴市财政局为政府采购监督管理部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 “产品”系指供方按磋商文件规定，经合法途径取得的，须向采购人提供的一切产品、保险、税金、安装、施工、调试、备品备件</w:t>
      </w:r>
      <w:r>
        <w:rPr>
          <w:rFonts w:hint="eastAsia" w:ascii="仿宋_GB2312" w:hAnsi="宋体" w:eastAsia="仿宋_GB2312"/>
          <w:color w:val="auto"/>
          <w:sz w:val="24"/>
          <w:highlight w:val="none"/>
          <w:lang w:eastAsia="zh-CN"/>
        </w:rPr>
        <w:t>及其他有关</w:t>
      </w:r>
      <w:r>
        <w:rPr>
          <w:rFonts w:hint="eastAsia" w:ascii="仿宋_GB2312" w:hAnsi="宋体" w:eastAsia="仿宋_GB2312"/>
          <w:color w:val="auto"/>
          <w:sz w:val="24"/>
          <w:highlight w:val="none"/>
        </w:rPr>
        <w:t>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 “服务”系指磋商文件规定供应商须承担的安装、调试、技术协助、校准、培训、技术指导以及其他类似的义务。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2.4 “项目”系指供应商按磋商文件规定向采购人提供的产品和服务。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2.5“授权代表”系指法定代表人的被授权委托人。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highlight w:val="none"/>
        </w:rPr>
      </w:pPr>
      <w:r>
        <w:rPr>
          <w:rFonts w:hint="eastAsia" w:ascii="仿宋_GB2312" w:hAnsi="宋体" w:eastAsia="仿宋_GB2312"/>
          <w:color w:val="auto"/>
          <w:sz w:val="24"/>
          <w:highlight w:val="none"/>
        </w:rPr>
        <w:t>2.7“★”系指实质性指标要求条款，“▲”系指主要性能指标要求条款。如任意一条打“★”的指标出现负偏离视为实质性不响应磋商文件要求，作无效磋商处理；如任意一条打“▲”的指标出现负偏离按评分标准作扣分处理。</w:t>
      </w:r>
      <w:r>
        <w:rPr>
          <w:rFonts w:hint="eastAsia" w:ascii="仿宋_GB2312" w:hAnsi="仿宋" w:eastAsia="仿宋_GB2312"/>
          <w:color w:val="auto"/>
          <w:sz w:val="24"/>
          <w:highlight w:val="none"/>
        </w:rPr>
        <w:t>“</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778085741"/>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hint="eastAsia" w:ascii="仿宋_GB2312" w:hAnsi="仿宋" w:eastAsia="仿宋_GB2312"/>
          <w:color w:val="auto"/>
          <w:sz w:val="24"/>
          <w:highlight w:val="none"/>
        </w:rPr>
        <w:t>” 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77808574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 系指不适用本项目的要求。</w:t>
      </w:r>
    </w:p>
    <w:p>
      <w:pPr>
        <w:snapToGrid w:val="0"/>
        <w:spacing w:line="440" w:lineRule="exact"/>
        <w:jc w:val="left"/>
        <w:rPr>
          <w:rFonts w:ascii="仿宋_GB2312" w:hAnsi="宋体" w:eastAsia="仿宋_GB2312"/>
          <w:color w:val="auto"/>
          <w:sz w:val="24"/>
          <w:highlight w:val="none"/>
        </w:rPr>
      </w:pPr>
      <w:r>
        <w:rPr>
          <w:rFonts w:hint="eastAsia" w:ascii="仿宋_GB2312" w:hAnsi="仿宋" w:eastAsia="仿宋_GB2312"/>
          <w:color w:val="auto"/>
          <w:sz w:val="24"/>
          <w:highlight w:val="none"/>
        </w:rPr>
        <w:t>2.8因特殊原因需要使用冠以法定名称的业务专用章的，参与磋商时须提供《业务专用章使用说明函》(详见附件)。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修缮、装修类项目采购建材的，采购人应将绿色建筑和绿色建材性能、指标等作为实质性条件纳入磋商文件和合同。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3.3.4小微企业应按照磋商文件格式要求提供《中小企业声明函》。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4.1供应商磋商所使用的资格、信誉、荣誉、业绩与企业认证必须为本单位所拥有。供应商磋商所使用的项目实施人员必须为本单位正式员工。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4.2供应商应仔细阅读磋商文件的所有内容，按照磋商文件的要求提交磋商响应文件，并对所提供的全部资料的真实性承担法律责任。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二、磋商文件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1．政府采购方式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本项目采用</w:t>
      </w:r>
      <w:r>
        <w:rPr>
          <w:rFonts w:hint="eastAsia" w:ascii="仿宋_GB2312" w:hAnsi="宋体" w:eastAsia="仿宋_GB2312"/>
          <w:b/>
          <w:color w:val="auto"/>
          <w:kern w:val="0"/>
          <w:sz w:val="24"/>
          <w:highlight w:val="none"/>
        </w:rPr>
        <w:t>竞争性磋商</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如某一标项实质性响应磋商文件的供应商不足三家时，由采购人重新组织开展采购活动或按有关规定实施。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本次竞争性磋商设定上限价，上限价即谈判公告中公布的各分标项预算金额。（各分标项之间的预算金额不能互相调整）</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磋商委托</w:t>
      </w:r>
    </w:p>
    <w:p>
      <w:pPr>
        <w:pStyle w:val="21"/>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本项目为电子投标项目，供应商的法定代表人或其授权代表或个体工商户不需要参加现场投标和开标。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磋商费用</w:t>
      </w:r>
    </w:p>
    <w:p>
      <w:pPr>
        <w:pStyle w:val="21"/>
        <w:spacing w:afterLines="0" w:line="440" w:lineRule="exact"/>
        <w:ind w:left="0" w:firstLine="480" w:firstLineChars="200"/>
        <w:rPr>
          <w:rFonts w:hint="default" w:ascii="仿宋_GB2312" w:hAnsi="宋体" w:eastAsia="仿宋_GB2312"/>
          <w:color w:val="auto"/>
          <w:highlight w:val="none"/>
        </w:rPr>
      </w:pPr>
      <w:r>
        <w:rPr>
          <w:rFonts w:hint="eastAsia" w:ascii="仿宋_GB2312" w:hAnsi="宋体" w:eastAsia="仿宋_GB2312"/>
          <w:color w:val="auto"/>
          <w:highlight w:val="none"/>
        </w:rPr>
        <w:t>供应商应自行承担编制磋商响应文件及参加本次磋商所涉及的一切费用。不管磋商结果如何，采购人对上述费用不负任何责任。</w:t>
      </w:r>
      <w:r>
        <w:rPr>
          <w:rFonts w:hint="eastAsia" w:ascii="仿宋_GB2312" w:hAnsi="宋体" w:eastAsia="仿宋_GB2312"/>
          <w:color w:val="auto"/>
          <w:highlight w:val="none"/>
          <w:lang w:val="en-US" w:eastAsia="zh-CN"/>
        </w:rPr>
        <w:t>中标人须向招标代理机构交纳代理服务费，具体详见投标人须知前附表。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磋商文件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磋商文件包括本磋商文件及所有的磋商答疑记录（澄清、修改）和发出的补充通知</w:t>
      </w:r>
      <w:r>
        <w:rPr>
          <w:rFonts w:hint="eastAsia" w:ascii="仿宋_GB2312" w:hAnsi="宋体" w:eastAsia="仿宋_GB2312"/>
          <w:color w:val="auto"/>
          <w:sz w:val="24"/>
          <w:highlight w:val="none"/>
        </w:rPr>
        <w:t>。</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4.2磋商文件的澄清 </w:t>
      </w:r>
    </w:p>
    <w:p>
      <w:pPr>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供应商对磋商文件如有疑点要求澄清，可用书面形式（包括并不仅限于纸质、信件和数据电文（包括电报、电传、传真、电子数据交换和电子邮件</w:t>
      </w:r>
      <w:r>
        <w:rPr>
          <w:rFonts w:hint="eastAsia" w:ascii="仿宋_GB2312" w:hAnsi="宋体" w:eastAsia="仿宋_GB2312"/>
          <w:color w:val="auto"/>
          <w:highlight w:val="none"/>
        </w:rPr>
        <w:t>）)</w:t>
      </w:r>
      <w:r>
        <w:rPr>
          <w:rFonts w:hint="eastAsia" w:ascii="仿宋_GB2312" w:hAnsi="宋体" w:eastAsia="仿宋_GB2312"/>
          <w:color w:val="auto"/>
          <w:sz w:val="24"/>
          <w:highlight w:val="none"/>
        </w:rPr>
        <w:t>等通知采购人，但通知不得迟于磋商截止前7日使采购人收到，采购人将用书面形式予以答复。如有必要，可将不说明来源的答复发给所有供应商。</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4.3磋商文件的修改</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4.4本项目各标段内，如出现打有“★”的指标为实质性指标，任意一条出现负偏离的均视同为实质性不响应磋商文件要求，作无效磋商处理。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三、磋商响应文件</w:t>
      </w:r>
    </w:p>
    <w:p>
      <w:pPr>
        <w:numPr>
          <w:ilvl w:val="0"/>
          <w:numId w:val="5"/>
        </w:num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磋商响应文件的语言及计量单位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1.1供应商应仔细阅读磋商文件中的所有内容，按照磋商文件要求，详细编制磋商响应文件，并保证磋商响应文件的正确性和真实性。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磋商响应文件以及供应商与采购人、采购</w:t>
      </w:r>
      <w:r>
        <w:rPr>
          <w:rFonts w:hint="eastAsia" w:ascii="仿宋_GB2312" w:hAnsi="宋体" w:eastAsia="仿宋_GB2312"/>
          <w:color w:val="auto"/>
          <w:sz w:val="24"/>
          <w:highlight w:val="none"/>
          <w:lang w:eastAsia="zh-CN"/>
        </w:rPr>
        <w:t>代理</w:t>
      </w:r>
      <w:r>
        <w:rPr>
          <w:rFonts w:hint="eastAsia" w:ascii="仿宋_GB2312" w:hAnsi="宋体" w:eastAsia="仿宋_GB2312"/>
          <w:color w:val="auto"/>
          <w:sz w:val="24"/>
          <w:highlight w:val="none"/>
        </w:rPr>
        <w:t>机构就有关磋商事宜的所有来往函电，均应以中文书写（技术术语除外）。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磋商计量单位，除磋商文件中有特殊要求外，应采用中华人民共和国法定计量单位，货币单位：人民币元。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1.4不按磋商文件的要求提供的磋商响应文件可能导致被拒绝。</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1.5磋商响应文件的形式和效力</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1.5.1磋商响应文件为电子投标文件，电子投标文件按“政采云供应商项目采购-电子招投标操作指南”及本磋商文件要求制作、加密传输。</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1.5.2磋商响应文件的效力：</w:t>
      </w:r>
    </w:p>
    <w:p>
      <w:pPr>
        <w:snapToGrid w:val="0"/>
        <w:spacing w:line="440" w:lineRule="exact"/>
        <w:ind w:firstLine="472" w:firstLineChars="196"/>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磋商响应文件未在磋商截止时间前完成传输的，视为磋商响应文件撤回；磋商响应文件未按时解密，亦视为投标文件撤回。</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磋商响应文件的组成</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磋商响应文件由“报价文件资料”、“商务技术（资信）文件资料”两部分组成，</w:t>
      </w:r>
      <w:r>
        <w:rPr>
          <w:rFonts w:hint="eastAsia" w:ascii="仿宋_GB2312" w:hAnsi="宋体" w:eastAsia="仿宋_GB2312"/>
          <w:b/>
          <w:color w:val="auto"/>
          <w:sz w:val="24"/>
          <w:highlight w:val="none"/>
        </w:rPr>
        <w:t>其中电子磋商响应文件中所须加盖公章部分均应采用电子签章。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 “报价文件资料”应包含以下内容（正本用原件）：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2.1.1磋商响应函（格式见第六部分附件）； </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2.1.2报价一览表（格式见第六部分附件）； </w:t>
      </w:r>
    </w:p>
    <w:p>
      <w:pPr>
        <w:tabs>
          <w:tab w:val="left" w:pos="3870"/>
          <w:tab w:val="left" w:pos="4085"/>
        </w:tabs>
        <w:snapToGrid w:val="0"/>
        <w:spacing w:line="440" w:lineRule="exact"/>
        <w:jc w:val="left"/>
        <w:rPr>
          <w:rFonts w:ascii="仿宋_GB2312" w:hAnsi="宋体" w:eastAsia="仿宋_GB2312"/>
          <w:color w:val="auto"/>
          <w:sz w:val="24"/>
          <w:szCs w:val="20"/>
          <w:highlight w:val="none"/>
        </w:rPr>
      </w:pPr>
      <w:r>
        <w:rPr>
          <w:rFonts w:hint="eastAsia" w:ascii="仿宋_GB2312" w:hAnsi="宋体" w:eastAsia="仿宋_GB2312"/>
          <w:color w:val="auto"/>
          <w:sz w:val="24"/>
          <w:highlight w:val="none"/>
        </w:rPr>
        <w:t>2.1.3中</w:t>
      </w:r>
      <w:r>
        <w:rPr>
          <w:rFonts w:hint="eastAsia" w:ascii="仿宋_GB2312" w:hAnsi="宋体" w:eastAsia="仿宋_GB2312"/>
          <w:color w:val="auto"/>
          <w:sz w:val="24"/>
          <w:szCs w:val="20"/>
          <w:highlight w:val="none"/>
        </w:rPr>
        <w:t>小企业声明函（如有，格式见第六部分附件）；</w:t>
      </w:r>
    </w:p>
    <w:p>
      <w:pPr>
        <w:tabs>
          <w:tab w:val="left" w:pos="3870"/>
          <w:tab w:val="left" w:pos="4085"/>
        </w:tabs>
        <w:snapToGrid w:val="0"/>
        <w:spacing w:line="440" w:lineRule="exact"/>
        <w:jc w:val="left"/>
        <w:rPr>
          <w:rFonts w:ascii="仿宋_GB2312" w:hAnsi="宋体" w:eastAsia="仿宋_GB2312"/>
          <w:color w:val="auto"/>
          <w:sz w:val="24"/>
          <w:szCs w:val="20"/>
          <w:highlight w:val="none"/>
        </w:rPr>
      </w:pPr>
      <w:r>
        <w:rPr>
          <w:rFonts w:hint="eastAsia" w:ascii="仿宋_GB2312" w:hAnsi="宋体" w:eastAsia="仿宋_GB2312"/>
          <w:color w:val="auto"/>
          <w:sz w:val="24"/>
          <w:szCs w:val="20"/>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以上文件组成“报价文件资料”。供应商在“报价文件资料”中应对磋商文件作实质性响应，该项内容将作为磋商重要指标。</w:t>
      </w:r>
    </w:p>
    <w:p>
      <w:pPr>
        <w:pStyle w:val="37"/>
        <w:tabs>
          <w:tab w:val="left" w:pos="18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color w:val="auto"/>
          <w:highlight w:val="none"/>
        </w:rPr>
        <w:t>2.2 “商务技术（资信）文件资料”应包括以下内容（正本用原件）：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rPr>
          <w:rFonts w:ascii="仿宋_GB2312" w:hAnsi="Arial" w:eastAsia="仿宋_GB2312" w:cs="Arial"/>
          <w:color w:val="auto"/>
          <w:kern w:val="0"/>
          <w:sz w:val="24"/>
          <w:highlight w:val="none"/>
        </w:rPr>
      </w:pPr>
      <w:r>
        <w:rPr>
          <w:rFonts w:hint="eastAsia" w:ascii="仿宋_GB2312" w:hAnsi="宋体" w:eastAsia="仿宋_GB2312"/>
          <w:color w:val="auto"/>
          <w:sz w:val="24"/>
          <w:highlight w:val="none"/>
        </w:rPr>
        <w:t>2.2.4</w:t>
      </w:r>
      <w:r>
        <w:rPr>
          <w:rFonts w:hint="eastAsia" w:ascii="仿宋_GB2312" w:hAnsi="仿宋_GB2312" w:eastAsia="仿宋_GB2312" w:cs="仿宋_GB2312"/>
          <w:color w:val="auto"/>
          <w:sz w:val="24"/>
          <w:highlight w:val="none"/>
        </w:rPr>
        <w:t>资格审查有关的书面承诺函（</w:t>
      </w:r>
      <w:r>
        <w:rPr>
          <w:rFonts w:hint="eastAsia" w:ascii="仿宋_GB2312" w:hAnsi="宋体" w:eastAsia="仿宋_GB2312"/>
          <w:color w:val="auto"/>
          <w:sz w:val="24"/>
          <w:highlight w:val="none"/>
        </w:rPr>
        <w:t>格式见第六部分附件</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证明其符合磋商文件</w:t>
      </w:r>
      <w:r>
        <w:rPr>
          <w:rFonts w:hint="eastAsia" w:ascii="仿宋_GB2312" w:hAnsi="Arial" w:eastAsia="仿宋_GB2312" w:cs="Arial"/>
          <w:color w:val="auto"/>
          <w:kern w:val="0"/>
          <w:sz w:val="24"/>
          <w:highlight w:val="none"/>
        </w:rPr>
        <w:t>规定的供应商资格要求</w:t>
      </w:r>
      <w:r>
        <w:rPr>
          <w:rFonts w:hint="eastAsia" w:ascii="仿宋_GB2312" w:hAnsi="仿宋_GB2312" w:eastAsia="仿宋_GB2312" w:cs="仿宋_GB2312"/>
          <w:color w:val="auto"/>
          <w:kern w:val="0"/>
          <w:sz w:val="24"/>
          <w:highlight w:val="none"/>
        </w:rPr>
        <w:t>。</w:t>
      </w:r>
    </w:p>
    <w:p>
      <w:pPr>
        <w:pStyle w:val="46"/>
        <w:spacing w:line="440" w:lineRule="exact"/>
        <w:ind w:firstLine="480" w:firstLineChars="200"/>
        <w:rPr>
          <w:rFonts w:ascii="仿宋_GB2312" w:hAnsi="仿宋_GB2312" w:eastAsia="仿宋_GB2312" w:cs="仿宋_GB2312"/>
          <w:color w:val="auto"/>
          <w:sz w:val="24"/>
          <w:highlight w:val="none"/>
        </w:rPr>
      </w:pPr>
      <w:bookmarkStart w:id="0" w:name="_Hlt68403820"/>
      <w:bookmarkEnd w:id="0"/>
      <w:bookmarkStart w:id="1" w:name="_Hlt68072998"/>
      <w:bookmarkEnd w:id="1"/>
      <w:bookmarkStart w:id="2" w:name="_Hlt68073093"/>
      <w:bookmarkEnd w:id="2"/>
      <w:r>
        <w:rPr>
          <w:rFonts w:hint="eastAsia" w:ascii="仿宋_GB2312" w:hAnsi="仿宋" w:eastAsia="仿宋_GB2312"/>
          <w:color w:val="auto"/>
          <w:sz w:val="24"/>
          <w:highlight w:val="none"/>
        </w:rPr>
        <w:t>（1）</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46"/>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sz w:val="24"/>
          <w:highlight w:val="none"/>
        </w:rPr>
        <w:t>)符合特定资格条件（如果项目要求）的有关证明材料（复印件）；</w:t>
      </w:r>
    </w:p>
    <w:p>
      <w:pPr>
        <w:pStyle w:val="46"/>
        <w:snapToGrid w:val="0"/>
        <w:spacing w:line="440" w:lineRule="exact"/>
        <w:rPr>
          <w:rFonts w:ascii="仿宋_GB2312" w:hAnsi="仿宋_GB2312" w:eastAsia="仿宋_GB2312" w:cs="仿宋_GB2312"/>
          <w:color w:val="auto"/>
          <w:sz w:val="24"/>
          <w:highlight w:val="none"/>
          <w:lang w:val="zh-CN"/>
        </w:rPr>
      </w:pPr>
      <w:r>
        <w:rPr>
          <w:rFonts w:hint="eastAsia" w:ascii="仿宋_GB2312" w:hAnsi="宋体" w:eastAsia="仿宋_GB2312"/>
          <w:color w:val="auto"/>
          <w:sz w:val="24"/>
          <w:highlight w:val="none"/>
        </w:rPr>
        <w:t>2.2.5</w:t>
      </w:r>
      <w:r>
        <w:rPr>
          <w:rFonts w:hint="eastAsia" w:ascii="仿宋_GB2312" w:hAnsi="仿宋_GB2312" w:eastAsia="仿宋_GB2312" w:cs="仿宋_GB2312"/>
          <w:color w:val="auto"/>
          <w:sz w:val="24"/>
          <w:highlight w:val="none"/>
          <w:lang w:val="zh-CN"/>
        </w:rPr>
        <w:t>供应商应提供针对项目的完整技术解决方案：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提供主要磋商产品的技术参数证明材料（如原厂技术说明、官网截图、产品彩页等），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（所有技术指标表述均应采用中文，如当前公布的技术指标只有英文表述的，必须由供应商作出中文注释，否则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磋商小组技术扣分直至认定为磋商无效都将是供应商的责任）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本项目如需采购政府强制采购的节能产品的或</w:t>
      </w:r>
      <w:r>
        <w:rPr>
          <w:rFonts w:hint="eastAsia" w:ascii="仿宋_GB2312" w:hAnsi="仿宋" w:eastAsia="仿宋_GB2312"/>
          <w:color w:val="auto"/>
          <w:sz w:val="24"/>
          <w:highlight w:val="none"/>
        </w:rPr>
        <w:t>磋商响应人提供的产品是环境标志产品，</w:t>
      </w:r>
      <w:r>
        <w:rPr>
          <w:rFonts w:hint="eastAsia" w:ascii="仿宋_GB2312" w:hAnsi="仿宋" w:eastAsia="仿宋_GB2312" w:cs="仿宋_GB2312"/>
          <w:color w:val="auto"/>
          <w:sz w:val="24"/>
          <w:highlight w:val="none"/>
        </w:rPr>
        <w:t>磋商响应人须按格式提供节能产品、环境标志产品认证证书复印件。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2.2.6优惠条件：供应商承诺给予采购人的各种优惠条件，包括设备价格、运输、保险、安装调试、付款条件、技术服务、售后服务等方面的优惠；当优惠条件涉及“报价单”中的各项费用时，必须与最后报价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2.2.8</w:t>
      </w:r>
      <w:r>
        <w:rPr>
          <w:rFonts w:hint="eastAsia" w:ascii="仿宋_GB2312" w:hAnsi="仿宋_GB2312" w:eastAsia="仿宋_GB2312" w:cs="仿宋_GB2312"/>
          <w:color w:val="auto"/>
          <w:sz w:val="24"/>
          <w:highlight w:val="none"/>
        </w:rPr>
        <w:t>供应商在磋商响应文件技术偏离说明表中，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2.2.11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2.2.13</w:t>
      </w:r>
      <w:r>
        <w:rPr>
          <w:rFonts w:hint="eastAsia" w:ascii="仿宋_GB2312" w:hAnsi="仿宋_GB2312" w:eastAsia="仿宋_GB2312" w:cs="仿宋_GB2312"/>
          <w:color w:val="auto"/>
          <w:kern w:val="0"/>
          <w:sz w:val="24"/>
          <w:highlight w:val="none"/>
          <w:lang w:val="zh-CN"/>
        </w:rPr>
        <w:t>培训计划（如有）；</w:t>
      </w:r>
    </w:p>
    <w:p>
      <w:pPr>
        <w:tabs>
          <w:tab w:val="left" w:pos="0"/>
          <w:tab w:val="left" w:pos="840"/>
        </w:tabs>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2.2.15</w:t>
      </w:r>
      <w:r>
        <w:rPr>
          <w:rFonts w:hint="eastAsia" w:ascii="仿宋_GB2312" w:hAnsi="仿宋_GB2312" w:eastAsia="仿宋_GB2312" w:cs="仿宋_GB2312"/>
          <w:snapToGrid w:val="0"/>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r>
        <w:rPr>
          <w:rFonts w:hint="eastAsia" w:ascii="仿宋_GB2312" w:hAnsi="仿宋_GB2312" w:eastAsia="仿宋_GB2312" w:cs="仿宋_GB2312"/>
          <w:color w:val="auto"/>
          <w:sz w:val="24"/>
          <w:highlight w:val="none"/>
          <w:lang w:val="zh-CN"/>
        </w:rPr>
        <w:t>；</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2.2.16廉政承诺书</w:t>
      </w:r>
      <w:r>
        <w:rPr>
          <w:rFonts w:hint="eastAsia" w:ascii="仿宋_GB2312" w:hAnsi="宋体" w:eastAsia="仿宋_GB2312"/>
          <w:color w:val="auto"/>
          <w:sz w:val="24"/>
          <w:highlight w:val="none"/>
        </w:rPr>
        <w:t>（格式见第六部分附件）；</w:t>
      </w:r>
    </w:p>
    <w:p>
      <w:pPr>
        <w:pStyle w:val="37"/>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2.2.17联合协议（如有）；</w:t>
      </w:r>
    </w:p>
    <w:p>
      <w:pPr>
        <w:pStyle w:val="37"/>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2.2.18分包意向协议（如有）；</w:t>
      </w:r>
    </w:p>
    <w:p>
      <w:pPr>
        <w:pStyle w:val="37"/>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2.2.19中小企业声明函（如有）；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2.2.20</w:t>
      </w:r>
      <w:r>
        <w:rPr>
          <w:rFonts w:hint="eastAsia" w:ascii="仿宋_GB2312" w:hAnsi="宋体" w:eastAsia="仿宋_GB2312"/>
          <w:color w:val="auto"/>
          <w:sz w:val="24"/>
          <w:highlight w:val="none"/>
          <w:u w:val="wave"/>
        </w:rPr>
        <w:t>未尽事宜请各投标单位按评分标准和相对应标项相关要求制作</w:t>
      </w:r>
      <w:r>
        <w:rPr>
          <w:rFonts w:hint="eastAsia" w:ascii="仿宋_GB2312" w:hAnsi="宋体" w:eastAsia="仿宋_GB2312"/>
          <w:color w:val="auto"/>
          <w:sz w:val="24"/>
          <w:highlight w:val="none"/>
        </w:rPr>
        <w:t>；</w:t>
      </w:r>
    </w:p>
    <w:p>
      <w:pPr>
        <w:pStyle w:val="37"/>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2.2.21投标人需要说明的其他文件和说明（格式自拟）。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以上文件组成“商务技术（资信）文件资料”。供应商在“商务技术（资信）文件资料”中应对磋商文件作实质性响应，该项内容将作为磋商重要指标。</w:t>
      </w:r>
    </w:p>
    <w:p>
      <w:pPr>
        <w:pStyle w:val="37"/>
        <w:tabs>
          <w:tab w:val="left" w:pos="1854"/>
          <w:tab w:val="clear" w:pos="482"/>
        </w:tabs>
        <w:spacing w:afterLines="0" w:line="440" w:lineRule="exact"/>
        <w:ind w:left="0" w:right="-78" w:rightChars="-37" w:firstLine="480" w:firstLineChars="200"/>
        <w:rPr>
          <w:rFonts w:ascii="仿宋_GB2312" w:hAnsi="宋体" w:eastAsia="仿宋_GB2312"/>
          <w:b/>
          <w:color w:val="auto"/>
          <w:highlight w:val="none"/>
        </w:rPr>
      </w:pPr>
      <w:r>
        <w:rPr>
          <w:rFonts w:hint="eastAsia" w:ascii="仿宋_GB2312" w:hAnsi="宋体" w:eastAsia="仿宋_GB2312"/>
          <w:color w:val="auto"/>
          <w:highlight w:val="none"/>
        </w:rPr>
        <w:t>不按磋商文件的要求提供的磋商响应文件和资料，可能会被磋商小组视为未实质性响应，其风险应由磋商响应人自行承担。</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3.报价</w:t>
      </w:r>
    </w:p>
    <w:p>
      <w:pPr>
        <w:pStyle w:val="46"/>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3.1应按磋商文件中《报价一览表》要求填写。</w:t>
      </w:r>
    </w:p>
    <w:p>
      <w:pPr>
        <w:pStyle w:val="46"/>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46"/>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3.3磋商文件未列明，而</w:t>
      </w:r>
      <w:r>
        <w:rPr>
          <w:rFonts w:hint="eastAsia" w:ascii="仿宋_GB2312" w:hAnsi="宋体" w:eastAsia="仿宋_GB2312"/>
          <w:color w:val="auto"/>
          <w:sz w:val="24"/>
          <w:highlight w:val="none"/>
        </w:rPr>
        <w:t>供应商</w:t>
      </w:r>
      <w:r>
        <w:rPr>
          <w:rFonts w:hint="eastAsia" w:ascii="仿宋_GB2312" w:hAnsi="宋体" w:eastAsia="仿宋_GB2312"/>
          <w:color w:val="auto"/>
          <w:sz w:val="24"/>
          <w:szCs w:val="24"/>
          <w:highlight w:val="none"/>
        </w:rPr>
        <w:t>认为必需的费用也需列入报价。</w:t>
      </w:r>
    </w:p>
    <w:p>
      <w:pPr>
        <w:pStyle w:val="46"/>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highlight w:val="none"/>
        </w:rPr>
        <w:t>3.4若磋商响应人各分标项最后报价超过采购人设定的各分标项上限价，将失去成交候选供应商资格。</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w:t>
      </w:r>
      <w:r>
        <w:rPr>
          <w:rFonts w:hint="eastAsia" w:ascii="仿宋_GB2312" w:hAnsi="宋体" w:eastAsia="仿宋_GB2312"/>
          <w:b/>
          <w:color w:val="auto"/>
          <w:sz w:val="24"/>
          <w:highlight w:val="none"/>
        </w:rPr>
        <w:t>磋商最后报价只允许有一个报价，有选择的报价将不予接受（除指定外）。</w:t>
      </w:r>
    </w:p>
    <w:p>
      <w:pPr>
        <w:pStyle w:val="21"/>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4.磋商响应文件的有效期</w:t>
      </w:r>
    </w:p>
    <w:p>
      <w:pPr>
        <w:pStyle w:val="21"/>
        <w:spacing w:afterLines="0" w:line="440" w:lineRule="atLeast"/>
        <w:ind w:left="0" w:firstLine="0"/>
        <w:rPr>
          <w:rFonts w:ascii="仿宋_GB2312" w:hAnsi="仿宋" w:eastAsia="仿宋_GB2312" w:cs="仿宋_GB2312"/>
          <w:b/>
          <w:color w:val="auto"/>
          <w:szCs w:val="21"/>
          <w:highlight w:val="none"/>
        </w:rPr>
      </w:pPr>
      <w:r>
        <w:rPr>
          <w:rFonts w:hint="eastAsia" w:ascii="仿宋_GB2312" w:hAnsi="宋体" w:eastAsia="仿宋_GB2312"/>
          <w:color w:val="auto"/>
          <w:szCs w:val="24"/>
          <w:highlight w:val="none"/>
        </w:rPr>
        <w:t>4.1</w:t>
      </w:r>
      <w:r>
        <w:rPr>
          <w:rFonts w:hint="eastAsia" w:ascii="仿宋_GB2312" w:hAnsi="仿宋" w:eastAsia="仿宋_GB2312" w:cs="仿宋_GB2312"/>
          <w:color w:val="auto"/>
          <w:highlight w:val="none"/>
        </w:rPr>
        <w:t>有效期为从提交磋商响应文件的截止之日起90天。</w:t>
      </w:r>
      <w:r>
        <w:rPr>
          <w:rFonts w:hint="eastAsia" w:ascii="仿宋_GB2312" w:hAnsi="仿宋" w:eastAsia="仿宋_GB2312" w:cs="仿宋_GB2312"/>
          <w:b/>
          <w:color w:val="auto"/>
          <w:highlight w:val="none"/>
        </w:rPr>
        <w:t>供应商的磋商响应文件中承</w:t>
      </w:r>
      <w:r>
        <w:rPr>
          <w:rFonts w:hint="eastAsia" w:ascii="仿宋_GB2312" w:hAnsi="仿宋" w:eastAsia="仿宋_GB2312" w:cs="仿宋_GB2312"/>
          <w:b/>
          <w:color w:val="auto"/>
          <w:szCs w:val="21"/>
          <w:highlight w:val="none"/>
        </w:rPr>
        <w:t>诺的磋商有效期少于磋商文件中载明的磋商有效期的，磋商无效。</w:t>
      </w:r>
    </w:p>
    <w:p>
      <w:pPr>
        <w:pStyle w:val="21"/>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4.2在特殊情况下，采购人可与供应商协商延长磋商响应文件的有效期，这种要求和答复均以书面形式进行。</w:t>
      </w:r>
    </w:p>
    <w:p>
      <w:pPr>
        <w:pStyle w:val="21"/>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4.3供应商可拒绝接受延期要求而不会导致磋商保证金被没收。同意延长有效期的供应商不能修改磋商响应文件。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5.磋商响应文件的规定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5.1磋商响应文件由“商务技术（资信）文件资料”和“报价文件资料”两部分文件组成，应按统一格式填写。</w:t>
      </w:r>
    </w:p>
    <w:p>
      <w:pPr>
        <w:pStyle w:val="46"/>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 xml:space="preserve">5.2磋商响应文件须按附件格式要求进行电子签章，供应商应写全称。 </w:t>
      </w:r>
    </w:p>
    <w:p>
      <w:pPr>
        <w:pStyle w:val="46"/>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5.3磋商响应文件不得涂改，若有修改错漏处，须加盖单位公章（或电子签章）或者法定代表人或其授权代表签字或盖章。</w:t>
      </w:r>
    </w:p>
    <w:p>
      <w:pPr>
        <w:pStyle w:val="46"/>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5.4磋商响应文件因字迹潦草或表达不清所引起的后果由供应商负责。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5.5供应商应认真阅读磋商文件中所有的内容。如果供应商编制的磋商响应文件实质上不响应磋商文件的要求，其磋商响应文件将被磋商小组拒绝。</w:t>
      </w:r>
    </w:p>
    <w:p>
      <w:pPr>
        <w:spacing w:line="440" w:lineRule="exact"/>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5.6</w:t>
      </w:r>
      <w:r>
        <w:rPr>
          <w:rFonts w:hint="eastAsia" w:ascii="仿宋_GB2312" w:hAnsi="仿宋_GB2312" w:eastAsia="仿宋_GB2312" w:cs="仿宋_GB2312"/>
          <w:b/>
          <w:color w:val="auto"/>
          <w:sz w:val="24"/>
          <w:highlight w:val="none"/>
        </w:rPr>
        <w:t>电子磋商响应文件：供应商应根据“政采云供应商项目采购-电子招投标操作指南”及本磋商</w:t>
      </w:r>
      <w:r>
        <w:rPr>
          <w:rFonts w:hint="eastAsia" w:ascii="仿宋_GB2312" w:hAnsi="仿宋_GB2312" w:eastAsia="仿宋_GB2312" w:cs="仿宋_GB2312"/>
          <w:b/>
          <w:color w:val="auto"/>
          <w:sz w:val="24"/>
          <w:highlight w:val="none"/>
          <w:lang w:eastAsia="zh-CN"/>
        </w:rPr>
        <w:t>文件</w:t>
      </w:r>
      <w:r>
        <w:rPr>
          <w:rFonts w:hint="eastAsia" w:ascii="仿宋_GB2312" w:hAnsi="仿宋_GB2312" w:eastAsia="仿宋_GB2312" w:cs="仿宋_GB2312"/>
          <w:b/>
          <w:color w:val="auto"/>
          <w:sz w:val="24"/>
          <w:highlight w:val="none"/>
        </w:rPr>
        <w:t>规定的格式和顺序编制电子磋商响应文件并进行关联定位。</w:t>
      </w:r>
    </w:p>
    <w:p>
      <w:pPr>
        <w:snapToGrid w:val="0"/>
        <w:spacing w:line="440" w:lineRule="exact"/>
        <w:jc w:val="left"/>
        <w:rPr>
          <w:rFonts w:ascii="仿宋_GB2312" w:hAnsi="仿宋" w:eastAsia="仿宋_GB2312" w:cs="仿宋_GB2312"/>
          <w:b/>
          <w:color w:val="auto"/>
          <w:sz w:val="24"/>
          <w:highlight w:val="none"/>
        </w:rPr>
      </w:pPr>
      <w:r>
        <w:rPr>
          <w:rFonts w:hint="eastAsia" w:ascii="仿宋_GB2312" w:hAnsi="宋体" w:eastAsia="仿宋_GB2312"/>
          <w:b/>
          <w:color w:val="auto"/>
          <w:sz w:val="24"/>
          <w:highlight w:val="none"/>
        </w:rPr>
        <w:t>6.</w:t>
      </w:r>
      <w:r>
        <w:rPr>
          <w:rFonts w:hint="eastAsia" w:ascii="仿宋_GB2312" w:hAnsi="仿宋" w:eastAsia="仿宋_GB2312" w:cs="仿宋_GB2312"/>
          <w:b/>
          <w:color w:val="auto"/>
          <w:sz w:val="24"/>
          <w:highlight w:val="none"/>
        </w:rPr>
        <w:t>磋商响应文件的提交</w:t>
      </w:r>
    </w:p>
    <w:p>
      <w:pPr>
        <w:pStyle w:val="46"/>
        <w:spacing w:line="440" w:lineRule="exact"/>
        <w:ind w:firstLine="480" w:firstLineChars="200"/>
        <w:jc w:val="left"/>
        <w:rPr>
          <w:rFonts w:ascii="仿宋_GB2312" w:hAnsi="宋体" w:eastAsia="仿宋_GB2312"/>
          <w:color w:val="auto"/>
          <w:kern w:val="0"/>
          <w:sz w:val="24"/>
          <w:highlight w:val="none"/>
        </w:rPr>
      </w:pPr>
      <w:r>
        <w:rPr>
          <w:rFonts w:hint="eastAsia" w:ascii="仿宋_GB2312" w:eastAsia="仿宋_GB2312"/>
          <w:color w:val="auto"/>
          <w:sz w:val="24"/>
          <w:highlight w:val="none"/>
        </w:rPr>
        <w:t>供应商应按“磋商公告”规定的时间、方式将磋商响应文件提交给采购机构，</w:t>
      </w:r>
      <w:r>
        <w:rPr>
          <w:rFonts w:hint="eastAsia" w:ascii="仿宋_GB2312" w:eastAsia="仿宋_GB2312"/>
          <w:b/>
          <w:color w:val="auto"/>
          <w:sz w:val="24"/>
          <w:highlight w:val="none"/>
        </w:rPr>
        <w:t>采购机构将拒绝接受逾期提交的磋商响应文件。</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b/>
          <w:color w:val="auto"/>
          <w:kern w:val="0"/>
          <w:sz w:val="24"/>
          <w:highlight w:val="none"/>
        </w:rPr>
        <w:t>磋商响应文件的补充和修改</w:t>
      </w:r>
    </w:p>
    <w:p>
      <w:pPr>
        <w:widowControl/>
        <w:snapToGrid w:val="0"/>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供应商应当在磋商响应截止时间前完成电子磋商响应文件的传输递交，响应截止时间前可以补充、修改或者撤回电子磋商响应文件。补充或者修改电子磋商响应文件的，应当先行撤回原文件，补充、修改后重新传输递交。响应截止时间前未完成传输的，视为磋商响应文件撤回。</w:t>
      </w:r>
    </w:p>
    <w:p>
      <w:pPr>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四、磋商和评审</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1．磋商程序</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1.1响应截止时间后，主持人宣布磋商开始。</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1.2供应商登录政采云平台，用“项目采购-开标评标”功能对电子磋商响应文件进行在线解密。在线解密电子磋商响应文件时间为磋商截止时间起30分钟内。</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1.3确定各供应商磋商、演示顺序（如有要求）。</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1.4磋商小组对磋商响应文件进行评估和比较。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1.5磋商小组与单一供应商分别进行磋商。</w:t>
      </w:r>
    </w:p>
    <w:p>
      <w:pPr>
        <w:snapToGrid w:val="0"/>
        <w:spacing w:line="480" w:lineRule="exact"/>
        <w:jc w:val="left"/>
        <w:rPr>
          <w:rFonts w:ascii="仿宋_GB2312" w:eastAsia="仿宋_GB2312"/>
          <w:color w:val="auto"/>
          <w:sz w:val="24"/>
          <w:highlight w:val="none"/>
        </w:rPr>
      </w:pPr>
      <w:r>
        <w:rPr>
          <w:rFonts w:hint="eastAsia" w:ascii="仿宋_GB2312" w:eastAsia="仿宋_GB2312"/>
          <w:bCs/>
          <w:color w:val="auto"/>
          <w:sz w:val="24"/>
          <w:highlight w:val="none"/>
        </w:rPr>
        <w:t>1.6</w:t>
      </w:r>
      <w:r>
        <w:rPr>
          <w:rFonts w:hint="eastAsia" w:ascii="仿宋_GB2312" w:eastAsia="仿宋_GB2312"/>
          <w:color w:val="auto"/>
          <w:sz w:val="24"/>
          <w:highlight w:val="none"/>
        </w:rPr>
        <w:t>磋商小组要求所有实质性响应的供应商在规定时间内提交最后报价</w:t>
      </w:r>
      <w:r>
        <w:rPr>
          <w:rFonts w:hint="eastAsia" w:ascii="仿宋_GB2312" w:hAnsi="宋体" w:eastAsia="仿宋_GB2312"/>
          <w:color w:val="auto"/>
          <w:sz w:val="24"/>
          <w:highlight w:val="none"/>
        </w:rPr>
        <w:t>（</w:t>
      </w:r>
      <w:r>
        <w:rPr>
          <w:rFonts w:hint="eastAsia" w:ascii="仿宋_GB2312" w:eastAsia="仿宋_GB2312"/>
          <w:color w:val="auto"/>
          <w:sz w:val="24"/>
          <w:highlight w:val="none"/>
        </w:rPr>
        <w:t>只公开最后报价，</w:t>
      </w:r>
      <w:r>
        <w:rPr>
          <w:rFonts w:hint="eastAsia" w:ascii="仿宋_GB2312" w:hAnsi="宋体" w:eastAsia="仿宋_GB2312"/>
          <w:color w:val="auto"/>
          <w:sz w:val="24"/>
          <w:highlight w:val="none"/>
        </w:rPr>
        <w:t>最后报价不得高于初次报价）</w:t>
      </w:r>
      <w:r>
        <w:rPr>
          <w:rFonts w:hint="eastAsia" w:ascii="仿宋_GB2312" w:eastAsia="仿宋_GB2312"/>
          <w:color w:val="auto"/>
          <w:sz w:val="24"/>
          <w:highlight w:val="none"/>
        </w:rPr>
        <w:t>。</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1.8主持人公布磋商结果。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特别说明：政采云公司如对电子化磋商程序有调整的，按调整后的程序操作。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2.1电子交易平台发生故障而无法登录访问的；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2.2电子交易平台应用或数据库出现错误，不能进行正常操作的；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2.3电子交易平台发现严重安全漏洞，有潜在泄密危险的；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2.4病毒发作导致不能进行正常操作的；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2.5其他无法保证电子交易的公平、公正和安全的情况。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3．磋商内容</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3.1本次磋商内容为在磋商文件范围内就供应商的磋商响应文件，磋商小组与供应商在技术、价格、服务、合同等问题进行磋商，最终确定成交与否。</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3.2磋商应作书面记录，供应商并就磋商内容作出书面承诺，并由供应商电子签章后生效，作为磋商响应文件的一部分。</w:t>
      </w:r>
    </w:p>
    <w:p>
      <w:pPr>
        <w:spacing w:line="440" w:lineRule="exact"/>
        <w:rPr>
          <w:rFonts w:ascii="仿宋_GB2312" w:hAnsi="宋体" w:eastAsia="仿宋_GB2312"/>
          <w:color w:val="auto"/>
          <w:kern w:val="0"/>
          <w:sz w:val="24"/>
          <w:highlight w:val="none"/>
        </w:rPr>
      </w:pPr>
      <w:r>
        <w:rPr>
          <w:rFonts w:hint="eastAsia" w:ascii="仿宋_GB2312" w:hAnsi="宋体" w:eastAsia="仿宋_GB2312"/>
          <w:color w:val="auto"/>
          <w:sz w:val="24"/>
          <w:highlight w:val="none"/>
        </w:rPr>
        <w:t>3.3磋商文件有实质性变动的，磋商小组以书面形式通知所有参加磋商的供应商。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4．磋商</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4.1</w:t>
      </w:r>
      <w:r>
        <w:rPr>
          <w:rFonts w:hint="eastAsia" w:ascii="仿宋_GB2312" w:hAnsi="宋体" w:eastAsia="仿宋_GB2312" w:cs="宋体"/>
          <w:color w:val="auto"/>
          <w:sz w:val="24"/>
          <w:highlight w:val="none"/>
        </w:rPr>
        <w:t>磋商小组由采购人依法组建，负责评审活动。磋商小组遵循公开、公平、公正、科学合理、竞争择优的原则。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4.2磋商小组由采购人代表和有关方面的专家组成，成员人数为3人以上单数。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4.3磋商小组负责对供应商资格的最终审定。</w:t>
      </w:r>
    </w:p>
    <w:p>
      <w:pPr>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供应商通过政采云平台交换的数据电文必须进行电子签章。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4.6</w:t>
      </w:r>
      <w:r>
        <w:rPr>
          <w:rFonts w:hint="eastAsia" w:ascii="仿宋_GB2312" w:hAnsi="宋体" w:eastAsia="仿宋_GB2312"/>
          <w:color w:val="auto"/>
          <w:sz w:val="24"/>
          <w:highlight w:val="none"/>
        </w:rPr>
        <w:t>磋商小组</w:t>
      </w:r>
      <w:r>
        <w:rPr>
          <w:rFonts w:hint="eastAsia" w:ascii="仿宋_GB2312" w:hAnsi="宋体" w:eastAsia="仿宋_GB2312"/>
          <w:color w:val="auto"/>
          <w:kern w:val="0"/>
          <w:sz w:val="24"/>
          <w:highlight w:val="none"/>
        </w:rPr>
        <w:t>对磋商响应文件的判定，只依据磋商响应文件和磋商文件内容本身，不依据任何外来证明。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4.7磋商小组不向落标方解释落标的原因，不退还磋商响应文件。</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5．磋商响应文件的初审鉴定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5.1.1依据法律、法规和磋商文件规定，对磋商响应文件中对资格证明、磋商保证金等进行审查，以确定供应商是否具备磋商资格。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6. 对明显的文字和计算错误的修正原则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6.1磋商响应文件中报价一览表（报价表）内容与磋商响应文件中相应内容不一致的，以报价一览表（报价表）为准；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6.3单价金额小数点或者百分比有明显错位的，以报价一览表的总价为准，并修改单价；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6.4总价金额与按单价汇总金额不一致的，以单价金额计算结果为准。</w:t>
      </w:r>
    </w:p>
    <w:p>
      <w:pPr>
        <w:spacing w:line="480" w:lineRule="exact"/>
        <w:ind w:firstLine="480" w:firstLineChars="20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修正后的报价按照财政部公布第87号令《政府采购货物和服务招标投标管理办法》</w:t>
      </w:r>
      <w:r>
        <w:rPr>
          <w:rFonts w:hint="eastAsia" w:ascii="仿宋_GB2312" w:hAnsi="宋体" w:eastAsia="仿宋_GB2312" w:cs="宋体"/>
          <w:color w:val="auto"/>
          <w:sz w:val="24"/>
          <w:highlight w:val="none"/>
        </w:rPr>
        <w:t>第五十一条第二款的规定经磋商响应人确认后产生约束力，磋商响应人不确认的，其磋商无效。</w:t>
      </w:r>
    </w:p>
    <w:p>
      <w:pPr>
        <w:spacing w:line="48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7.磋商响应文件的评审、比较和否决</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7.1磋商小组将对在实质上响应磋商文件要求的磋商响应文件进行评估和比较。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7.2磋商小组可以书面形式要求供应商就磋商响应文件含义不明确的内容进行书面说明并提供相关材料。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7.3如发现与磋商文件要求相偏离的，磋商小组应对其偏离情形进行必要的书面核实。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7.4如属于实质性偏离或符合无效响应条件的，磋商小组应当询问相关供应商，并允许其进行陈述申辩，但不允许对偏离条款撤回。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7.5比较与评价。磋商小组依据磋商文件规定的评审标准和方法，对磋商响应文件进行商务和技术评估，综合比较与评价。</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7.6汇总（商务技术得分情况）。磋商小组各成员应当独立对每个供应商的磋商响应文件进行评价，并汇总商务技术得分情况。</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 报价审核。对符合采购需求且通过商务技术（资信）评审的供应商的报价的合理性、准确性等进行审查核实。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7.7.3如需磋商价格修正，按财政部第87号令第五十九条的规定对磋商价格进行修正。</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7.8磋商小组依据磋商文件规定的评标标准和方法，对磋商响应文件进行评审和比较后，向</w:t>
      </w:r>
      <w:r>
        <w:rPr>
          <w:rFonts w:hint="eastAsia" w:ascii="仿宋_GB2312" w:hAnsi="宋体" w:eastAsia="仿宋_GB2312" w:cs="宋体"/>
          <w:color w:val="auto"/>
          <w:sz w:val="24"/>
          <w:highlight w:val="none"/>
          <w:lang w:eastAsia="zh-CN"/>
        </w:rPr>
        <w:t>本公司</w:t>
      </w:r>
      <w:r>
        <w:rPr>
          <w:rFonts w:hint="eastAsia" w:ascii="仿宋_GB2312" w:hAnsi="宋体" w:eastAsia="仿宋_GB2312" w:cs="宋体"/>
          <w:color w:val="auto"/>
          <w:sz w:val="24"/>
          <w:highlight w:val="none"/>
        </w:rPr>
        <w:t>提供书面磋商报告，并按得分高低排序推荐中标候选供应商。</w:t>
      </w:r>
    </w:p>
    <w:p>
      <w:pPr>
        <w:pStyle w:val="21"/>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8.磋商响应文件的澄清</w:t>
      </w:r>
    </w:p>
    <w:p>
      <w:pPr>
        <w:pStyle w:val="21"/>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46"/>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9．无效磋商的情形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磋商响应文件有下列情形之一的作无效磋商响应处理：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9.1磋商响应文件未按照磋商文件规定要求电子签章、签字或盖章的；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9.4供应商未提供磋商文件中规定的基本资格条件书面承诺函的，或供应商未提供有效的特定资格证明文件的，视为供应商不具备磋商文件中规定的资格要求；</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9.5</w:t>
      </w:r>
      <w:r>
        <w:rPr>
          <w:rFonts w:hint="eastAsia" w:ascii="仿宋_GB2312" w:hAnsi="宋体" w:eastAsia="仿宋_GB2312"/>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9.6《法定代表人授权委托书》或《法定代表人身份证明书》填写不全、错误、未加盖公章(《法定代表人授权委托书》要求“电子签章”和“签字或盖章”缺一不可）的；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9.7授权代表非磋商响应单位正式职工（以社保证明为准，如授权代表为离退休返聘人员的，需提供退休证明及单位聘用证明</w:t>
      </w:r>
      <w:r>
        <w:rPr>
          <w:rFonts w:hint="eastAsia" w:ascii="仿宋_GB2312" w:hAnsi="新宋体" w:eastAsia="仿宋_GB2312" w:cs="Arial"/>
          <w:b/>
          <w:bCs/>
          <w:color w:val="auto"/>
          <w:sz w:val="24"/>
          <w:highlight w:val="none"/>
        </w:rPr>
        <w:t>)，</w:t>
      </w:r>
      <w:r>
        <w:rPr>
          <w:rFonts w:hint="eastAsia" w:ascii="仿宋_GB2312" w:hAnsi="宋体" w:eastAsia="仿宋_GB2312"/>
          <w:b/>
          <w:color w:val="auto"/>
          <w:kern w:val="0"/>
          <w:sz w:val="24"/>
          <w:highlight w:val="none"/>
        </w:rPr>
        <w:t>法定代表人及个体工商户除外；</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w:t>
      </w:r>
      <w:r>
        <w:rPr>
          <w:rFonts w:hint="eastAsia" w:ascii="仿宋_GB2312" w:hAnsi="宋体" w:eastAsia="仿宋_GB2312"/>
          <w:b/>
          <w:color w:val="auto"/>
          <w:sz w:val="24"/>
          <w:highlight w:val="none"/>
        </w:rPr>
        <w:t>8磋商响应文件中的磋商响应函无供应商电子签章或填写不全的；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9.9</w:t>
      </w:r>
      <w:r>
        <w:rPr>
          <w:rFonts w:hint="eastAsia" w:ascii="仿宋_GB2312" w:hAnsi="宋体" w:eastAsia="仿宋_GB2312"/>
          <w:b/>
          <w:color w:val="auto"/>
          <w:sz w:val="24"/>
          <w:highlight w:val="none"/>
        </w:rPr>
        <w:t>供应商递交两份或两份以上内容不同的磋商响应文件，且未声明哪一份有效的；</w:t>
      </w:r>
    </w:p>
    <w:p>
      <w:pPr>
        <w:pStyle w:val="46"/>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highlight w:val="none"/>
        </w:rPr>
        <w:t>9.10报价一经涂改，涂改处无磋商响应单位电子签章或者未经法定代表人或授权代表签字或盖章的；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9.11</w:t>
      </w:r>
      <w:r>
        <w:rPr>
          <w:rFonts w:hint="eastAsia" w:ascii="仿宋_GB2312" w:hAnsi="宋体" w:eastAsia="仿宋_GB2312"/>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pPr>
        <w:pStyle w:val="46"/>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9.12出现同一标的物或本次磋商产品(服务)内的主要产品(重要组成部分)出现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描述不一致或前后描述不一致，经磋商小组认定后为无法评审的；</w:t>
      </w:r>
    </w:p>
    <w:p>
      <w:pPr>
        <w:pStyle w:val="46"/>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9.13</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技术偏离说明表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9.14</w:t>
      </w:r>
      <w:r>
        <w:rPr>
          <w:rFonts w:hint="eastAsia" w:ascii="仿宋_GB2312" w:hAnsi="宋体" w:eastAsia="仿宋_GB2312"/>
          <w:b/>
          <w:color w:val="auto"/>
          <w:kern w:val="0"/>
          <w:sz w:val="24"/>
          <w:highlight w:val="none"/>
        </w:rPr>
        <w:t>磋商响应文件有采购人不能接受的条件；</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9.15</w:t>
      </w:r>
      <w:r>
        <w:rPr>
          <w:rFonts w:hint="eastAsia" w:ascii="仿宋_GB2312" w:hAnsi="宋体" w:eastAsia="仿宋_GB2312"/>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9.16最后</w:t>
      </w:r>
      <w:r>
        <w:rPr>
          <w:rFonts w:hint="eastAsia" w:ascii="仿宋_GB2312" w:eastAsia="仿宋_GB2312"/>
          <w:b/>
          <w:color w:val="auto"/>
          <w:sz w:val="24"/>
          <w:highlight w:val="none"/>
        </w:rPr>
        <w:t>报价超过预算金额或上限价的；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9.17磋商小组认定有重大偏差或实质性不响应磋商文件要求的；</w:t>
      </w:r>
    </w:p>
    <w:p>
      <w:pPr>
        <w:tabs>
          <w:tab w:val="left" w:pos="3870"/>
          <w:tab w:val="left" w:pos="4085"/>
        </w:tabs>
        <w:snapToGrid w:val="0"/>
        <w:spacing w:line="440" w:lineRule="exact"/>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9.19《报价一览表》填写不完整或字迹不能辨认或有漏项的；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9.20供应商对根据修正原则修正后的报价不确认的；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9.21供应商提供虚假材料磋商的（包括但不限于以下情节）；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9.21.1使用伪造、变造的许可证件；</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9.21.2提供虚假的财务状况或者业绩；</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9.21.3提供虚假的项目负责人或者主要技术人员简历、劳动关系证明；</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9.22有下列情形之一的，视为供应商串通磋商，其磋商无效：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9.22.1不同供应商的磋商响应文件由同一单位或者个人编制；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9.22.2不同供应商委托同一单位或者个人办理磋商事宜；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9.22.3不同供应商的磋商响应文件载明的项目管理成员或者联系人员为同一人；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9.22.4不同供应商的磋商响应文件异常一致或者磋商报价呈规律性差异；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9.22.5不同供应商的磋商响应文件相互混装；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9.23有下列情形之一的，属于恶意串通，其磋商无效：</w:t>
      </w:r>
    </w:p>
    <w:p>
      <w:pPr>
        <w:spacing w:line="360" w:lineRule="auto"/>
        <w:ind w:firstLine="525" w:firstLineChars="250"/>
        <w:rPr>
          <w:rFonts w:ascii="仿宋_GB2312" w:hAnsi="仿宋" w:eastAsia="仿宋_GB2312" w:cs="仿宋_GB2312"/>
          <w:color w:val="auto"/>
          <w:sz w:val="24"/>
          <w:szCs w:val="21"/>
          <w:highlight w:val="none"/>
        </w:rPr>
      </w:pPr>
      <w:r>
        <w:rPr>
          <w:rFonts w:hint="eastAsia" w:ascii="仿宋_GB2312" w:hAnsi="仿宋" w:eastAsia="仿宋_GB2312"/>
          <w:color w:val="auto"/>
          <w:highlight w:val="none"/>
        </w:rPr>
        <w:t>9.23.1</w:t>
      </w:r>
      <w:r>
        <w:rPr>
          <w:rFonts w:hint="eastAsia" w:ascii="仿宋_GB2312" w:hAnsi="仿宋" w:eastAsia="仿宋_GB2312" w:cs="仿宋_GB2312"/>
          <w:color w:val="auto"/>
          <w:sz w:val="24"/>
          <w:szCs w:val="21"/>
          <w:highlight w:val="none"/>
        </w:rPr>
        <w:t>供应商直接或者间接从采购人或者采购机构处获得其他供应商的相关情况并修改其磋商响应文件；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9.23.2供应商按照采购人或者采购机构的授意撤换、修改磋商响应文件；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9.23.3供应商之间协商报价、技术方案等磋商响应文件的实质性内容；</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9.23.4属于同一集团、协会、商会等组织成员的供应商按照该组织要求协同参加政府采购活动；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9.23.5供应商之间事先约定由某一特定供应商中标、成交；</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宋体" w:eastAsia="仿宋_GB2312"/>
          <w:b/>
          <w:color w:val="auto"/>
          <w:sz w:val="24"/>
          <w:highlight w:val="none"/>
        </w:rPr>
      </w:pPr>
      <w:r>
        <w:rPr>
          <w:rFonts w:hint="eastAsia" w:ascii="仿宋_GB2312" w:hAnsi="仿宋" w:eastAsia="仿宋_GB2312" w:cs="仿宋_GB2312"/>
          <w:color w:val="auto"/>
          <w:sz w:val="24"/>
          <w:szCs w:val="21"/>
          <w:highlight w:val="none"/>
        </w:rPr>
        <w:t>9.23.7供应商与采购人或者采购机构之间、供应商相互之间，为谋求特定供应商中标、成交或者排斥其他供应商的其他串通行为。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9.24其他违反法律、法规的情形。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10. 磋商过程保密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10.1</w:t>
      </w:r>
      <w:r>
        <w:rPr>
          <w:rFonts w:hint="eastAsia" w:ascii="仿宋_GB2312" w:hAnsi="仿宋" w:eastAsia="仿宋_GB2312" w:cs="仿宋_GB2312"/>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10.2 在磋商期间，供应商企图影响采购人、采购</w:t>
      </w:r>
      <w:r>
        <w:rPr>
          <w:rFonts w:hint="eastAsia" w:ascii="仿宋_GB2312" w:hAnsi="宋体" w:eastAsia="仿宋_GB2312"/>
          <w:color w:val="auto"/>
          <w:kern w:val="0"/>
          <w:sz w:val="24"/>
          <w:highlight w:val="none"/>
          <w:lang w:eastAsia="zh-CN"/>
        </w:rPr>
        <w:t>代理</w:t>
      </w:r>
      <w:r>
        <w:rPr>
          <w:rFonts w:hint="eastAsia" w:ascii="仿宋_GB2312" w:hAnsi="宋体" w:eastAsia="仿宋_GB2312"/>
          <w:color w:val="auto"/>
          <w:kern w:val="0"/>
          <w:sz w:val="24"/>
          <w:highlight w:val="none"/>
        </w:rPr>
        <w:t>机构或</w:t>
      </w:r>
      <w:r>
        <w:rPr>
          <w:rFonts w:hint="eastAsia" w:ascii="仿宋_GB2312" w:hAnsi="宋体" w:eastAsia="仿宋_GB2312"/>
          <w:color w:val="auto"/>
          <w:sz w:val="24"/>
          <w:highlight w:val="none"/>
        </w:rPr>
        <w:t>磋商小组</w:t>
      </w:r>
      <w:r>
        <w:rPr>
          <w:rFonts w:hint="eastAsia" w:ascii="仿宋_GB2312" w:hAnsi="宋体" w:eastAsia="仿宋_GB2312"/>
          <w:color w:val="auto"/>
          <w:kern w:val="0"/>
          <w:sz w:val="24"/>
          <w:highlight w:val="none"/>
        </w:rPr>
        <w:t>的任何活动，都将导致磋商被拒绝，并由其承担相应的法律责任。</w:t>
      </w:r>
    </w:p>
    <w:p>
      <w:pPr>
        <w:pStyle w:val="46"/>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五、授予合同</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1．</w:t>
      </w:r>
      <w:bookmarkStart w:id="3" w:name="_Toc84325929"/>
      <w:bookmarkStart w:id="4" w:name="_Toc81372953"/>
      <w:bookmarkStart w:id="5" w:name="_Toc81372776"/>
      <w:r>
        <w:rPr>
          <w:rFonts w:hint="eastAsia" w:ascii="仿宋_GB2312" w:hAnsi="宋体" w:eastAsia="仿宋_GB2312"/>
          <w:b/>
          <w:color w:val="auto"/>
          <w:sz w:val="24"/>
          <w:highlight w:val="none"/>
        </w:rPr>
        <w:t>成交条件</w:t>
      </w:r>
    </w:p>
    <w:p>
      <w:pPr>
        <w:pStyle w:val="21"/>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1.1磋商响应文件基本符合磋商文件要求；</w:t>
      </w:r>
    </w:p>
    <w:p>
      <w:pPr>
        <w:pStyle w:val="21"/>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1.2供应商有很好的执行合同的能力；</w:t>
      </w:r>
    </w:p>
    <w:p>
      <w:pPr>
        <w:pStyle w:val="21"/>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1.3实施方案最合理并对采购人最为有利，最大限度满足磋商文件的要求；</w:t>
      </w:r>
    </w:p>
    <w:p>
      <w:pPr>
        <w:pStyle w:val="21"/>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1.4供应商能够提供质量技术、商务经济占综合优势的系统及服务。</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2.成交确认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2.1采购人应当在收到评审报告之日起５个工作日内，在评审报告提出的成交候选供应商单中确定成交供应商。</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2.2采购人逾期未确定成交供应商的，视为确定评审报告提出的成交候选供应商为成交供应商。</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2.3采购人应在确认成交供应商前再次对资格条件和相关证件材料进一步查验核实。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3．成交通知</w:t>
      </w:r>
    </w:p>
    <w:bookmarkEnd w:id="3"/>
    <w:bookmarkEnd w:id="4"/>
    <w:bookmarkEnd w:id="5"/>
    <w:p>
      <w:pPr>
        <w:pStyle w:val="144"/>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对成交结果在指定媒体</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95"/>
          <w:rFonts w:hint="eastAsia" w:ascii="仿宋_GB2312" w:hAnsi="Helvetica" w:eastAsia="仿宋_GB2312" w:cs="Helvetica"/>
          <w:color w:val="auto"/>
          <w:kern w:val="0"/>
          <w:highlight w:val="none"/>
        </w:rPr>
        <w:t>http://zfcg.czt.zj.gov.cn/</w:t>
      </w:r>
      <w:r>
        <w:rPr>
          <w:rStyle w:val="95"/>
          <w:rFonts w:hint="eastAsia" w:ascii="仿宋_GB2312" w:hAnsi="Helvetica" w:eastAsia="仿宋_GB2312" w:cs="Helvetica"/>
          <w:color w:val="auto"/>
          <w:kern w:val="0"/>
          <w:highlight w:val="none"/>
        </w:rPr>
        <w:fldChar w:fldCharType="end"/>
      </w:r>
      <w:r>
        <w:rPr>
          <w:rFonts w:hint="eastAsia" w:ascii="仿宋_GB2312" w:hAnsi="Helvetica" w:eastAsia="仿宋_GB2312" w:cs="Helvetica"/>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95"/>
          <w:rFonts w:hint="eastAsia" w:ascii="仿宋_GB2312" w:eastAsia="仿宋_GB2312"/>
          <w:color w:val="auto"/>
          <w:highlight w:val="none"/>
        </w:rPr>
        <w:t>http://ggb.sx.gov.cn</w:t>
      </w:r>
      <w:r>
        <w:rPr>
          <w:rStyle w:val="95"/>
          <w:rFonts w:hint="eastAsia" w:ascii="仿宋_GB2312" w:eastAsia="仿宋_GB2312"/>
          <w:color w:val="auto"/>
          <w:highlight w:val="none"/>
        </w:rPr>
        <w:fldChar w:fldCharType="end"/>
      </w:r>
      <w:r>
        <w:rPr>
          <w:rFonts w:hint="eastAsia" w:ascii="仿宋_GB2312" w:hAnsi="Helvetica" w:eastAsia="仿宋_GB2312" w:cs="Helvetica"/>
          <w:color w:val="auto"/>
          <w:kern w:val="0"/>
          <w:highlight w:val="none"/>
        </w:rPr>
        <w:t>）发布成交公告，成交公告期限为1个工作日。</w:t>
      </w:r>
    </w:p>
    <w:p>
      <w:pPr>
        <w:spacing w:line="440" w:lineRule="exact"/>
        <w:jc w:val="lef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3.2采购机构通过政采云平台向成交供应商签发成交通知书。请成交供应商自行登录政采云平台下载并打印成交通知书。在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发出成交通知书前，成交供应商如有违反有关法律法规和本项目要求行为的，则取消该成交供应商的成交资格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3.3采购人、</w:t>
      </w:r>
      <w:r>
        <w:rPr>
          <w:rFonts w:hint="eastAsia" w:ascii="仿宋_GB2312" w:hAnsi="宋体" w:eastAsia="仿宋_GB2312"/>
          <w:color w:val="auto"/>
          <w:sz w:val="24"/>
          <w:highlight w:val="none"/>
          <w:lang w:eastAsia="zh-CN"/>
        </w:rPr>
        <w:t>采购代理机构</w:t>
      </w:r>
      <w:r>
        <w:rPr>
          <w:rFonts w:hint="eastAsia" w:ascii="仿宋_GB2312" w:hAnsi="宋体" w:eastAsia="仿宋_GB2312"/>
          <w:color w:val="auto"/>
          <w:sz w:val="24"/>
          <w:highlight w:val="none"/>
        </w:rPr>
        <w:t>对成交结果不作任何说明和解释，也不回答任何提问。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w:t>
      </w:r>
      <w:r>
        <w:rPr>
          <w:rFonts w:ascii="仿宋_GB2312" w:hAnsi="宋体" w:eastAsia="仿宋_GB2312"/>
          <w:color w:val="auto"/>
          <w:sz w:val="24"/>
          <w:highlight w:val="none"/>
        </w:rPr>
        <w:t>项目验收结束</w:t>
      </w:r>
      <w:r>
        <w:rPr>
          <w:rFonts w:hint="eastAsia" w:ascii="仿宋_GB2312" w:hAnsi="宋体" w:eastAsia="仿宋_GB2312"/>
          <w:color w:val="auto"/>
          <w:sz w:val="24"/>
          <w:highlight w:val="none"/>
        </w:rPr>
        <w:t>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color w:val="auto"/>
          <w:sz w:val="24"/>
          <w:highlight w:val="none"/>
        </w:rPr>
      </w:pPr>
      <w:r>
        <w:rPr>
          <w:rFonts w:ascii="仿宋_GB2312" w:hAnsi="宋体" w:eastAsia="仿宋_GB2312"/>
          <w:color w:val="auto"/>
          <w:sz w:val="24"/>
          <w:highlight w:val="none"/>
        </w:rPr>
        <w:t>4.4政府采购货物和服务项目不得收取质量保证金。</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5．合同签订及备案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5.1成交人应当在成交通知书发出之日起30天内与采购人签订合同，自采购合同签订之日起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，通过电子交易平台进行备案。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5.2如成交人为联合体的，由联合体成员各方法定代表人或其授权代表与采购人代表签订合同。</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6.2采购人可以邀请参加本项目的其他供应商或者第三方机构参与验收。参与验收的供应商或者第三方机构的意见作为验收书的参考资料一并存档。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采购人负责加强对成交人的履约管理，并按照采购合同约定，及时向成交人支付采购资金。对于成交人违反采购合同约定的行为，采购人应当及时处理，依法追究其违约责任。</w:t>
      </w:r>
    </w:p>
    <w:p>
      <w:pPr>
        <w:tabs>
          <w:tab w:val="left" w:pos="6780"/>
        </w:tabs>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r>
        <w:rPr>
          <w:rFonts w:hint="eastAsia" w:ascii="仿宋_GB2312" w:hAnsi="宋体" w:eastAsia="仿宋_GB2312"/>
          <w:b/>
          <w:color w:val="auto"/>
          <w:sz w:val="24"/>
          <w:highlight w:val="none"/>
        </w:rPr>
        <w:tab/>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autoSpaceDE w:val="0"/>
        <w:autoSpaceDN w:val="0"/>
        <w:spacing w:line="360" w:lineRule="auto"/>
        <w:ind w:firstLine="470" w:firstLineChars="196"/>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2.1供应商认为磋商文件、采购过程和成交结果使自己的权益受到损害的，可以在知道或者应知其权益受到损害之日起七个工作日内，以书面形式向采购机构提出质疑，否则，采购机构不予受理：</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磋商文件提出质疑的，质疑期限为供应商获得磋商文件之日或者磋商公告期限届满之日起计算，但磋商文件在磋商公告期限届满之日后获得的，应当自磋商公告截止之日起计算，且应当在采购响应截止时间之前提出。</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（2）对磋商过程提出质疑的，质疑期限为各磋商程序环节结束之日起计算。</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（3）对成交结果提出质疑的，质疑期限自成交结果公告（包括结果变更公告等）期限届满之日起计算。</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3.供应商提交的质疑书需一式三份，质疑书至少应包括下列主要内容：</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46"/>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4.</w:t>
      </w:r>
      <w:r>
        <w:rPr>
          <w:rFonts w:hint="eastAsia" w:ascii="仿宋_GB2312" w:hAnsi="仿宋" w:eastAsia="仿宋_GB2312"/>
          <w:color w:val="auto"/>
          <w:sz w:val="24"/>
          <w:szCs w:val="20"/>
          <w:highlight w:val="none"/>
        </w:rPr>
        <w:tab/>
      </w:r>
      <w:r>
        <w:rPr>
          <w:rFonts w:hint="eastAsia" w:ascii="仿宋_GB2312" w:hAnsi="仿宋" w:eastAsia="仿宋_GB2312"/>
          <w:color w:val="auto"/>
          <w:sz w:val="24"/>
          <w:szCs w:val="20"/>
          <w:highlight w:val="none"/>
        </w:rPr>
        <w:t>原则上由采购人回复的质疑：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（1）对采购文件中特定资格条件、采购需求、评分办法提出的质疑；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（2）对采购过程中有关现场考察或开标前答疑会事项提出的质疑。</w:t>
      </w:r>
    </w:p>
    <w:p>
      <w:pPr>
        <w:spacing w:line="360" w:lineRule="auto"/>
        <w:ind w:firstLine="720" w:firstLineChars="3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原则上由采购代理机构回复的质疑：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（1）除特定资格条件、采购需求、评分办法外，对采购文件中其他内容提出的质疑；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（2）除有关现场考察或开标前答疑会事项外，对采购过程中其它事项提出的质疑；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（3）对采购结果提出的质疑。</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spacing w:line="360" w:lineRule="auto"/>
        <w:ind w:firstLine="480" w:firstLineChars="200"/>
        <w:rPr>
          <w:rFonts w:ascii="仿宋_GB2312" w:hAnsi="仿宋" w:eastAsia="仿宋_GB2312"/>
          <w:color w:val="auto"/>
          <w:sz w:val="24"/>
          <w:szCs w:val="20"/>
          <w:highlight w:val="none"/>
        </w:rPr>
      </w:pPr>
      <w:r>
        <w:rPr>
          <w:rFonts w:hint="eastAsia" w:ascii="仿宋_GB2312" w:hAnsi="仿宋" w:eastAsia="仿宋_GB2312"/>
          <w:color w:val="auto"/>
          <w:sz w:val="24"/>
          <w:szCs w:val="20"/>
          <w:highlight w:val="none"/>
        </w:rPr>
        <w:t>6.询问或者质疑事项可能影响采购结果的，采购人应当暂停签订合同，已经签订合同的，应当中止履行合同。</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s="宋体"/>
          <w:color w:val="auto"/>
          <w:kern w:val="0"/>
          <w:sz w:val="24"/>
          <w:szCs w:val="20"/>
          <w:highlight w:val="none"/>
        </w:rPr>
        <w:t>7.质疑函范本、投诉书范本请到浙江政府采购网下载专区下载。</w:t>
      </w:r>
    </w:p>
    <w:p>
      <w:pPr>
        <w:keepNext w:val="0"/>
        <w:keepLines w:val="0"/>
        <w:pageBreakBefore/>
        <w:widowControl w:val="0"/>
        <w:kinsoku/>
        <w:wordWrap/>
        <w:overflowPunct/>
        <w:topLinePunct w:val="0"/>
        <w:autoSpaceDE/>
        <w:autoSpaceDN/>
        <w:bidi w:val="0"/>
        <w:snapToGrid w:val="0"/>
        <w:spacing w:line="440" w:lineRule="exact"/>
        <w:jc w:val="center"/>
        <w:textAlignment w:val="auto"/>
        <w:rPr>
          <w:rFonts w:ascii="仿宋_GB2312" w:hAnsi="宋体" w:eastAsia="仿宋_GB2312"/>
          <w:b/>
          <w:color w:val="auto"/>
          <w:sz w:val="24"/>
          <w:highlight w:val="none"/>
        </w:rPr>
      </w:pPr>
      <w:bookmarkStart w:id="6" w:name="_Toc81372787"/>
      <w:bookmarkStart w:id="7" w:name="_Toc84325981"/>
      <w:bookmarkStart w:id="8" w:name="_Toc80157775"/>
      <w:bookmarkStart w:id="9" w:name="_Toc81372964"/>
      <w:r>
        <w:rPr>
          <w:rFonts w:hint="eastAsia" w:ascii="仿宋_GB2312" w:hAnsi="宋体" w:eastAsia="仿宋_GB2312"/>
          <w:b/>
          <w:color w:val="auto"/>
          <w:sz w:val="36"/>
          <w:szCs w:val="36"/>
          <w:highlight w:val="none"/>
        </w:rPr>
        <w:t>第三部分 磋商项目范围及要求</w:t>
      </w:r>
    </w:p>
    <w:p>
      <w:pPr>
        <w:keepNext w:val="0"/>
        <w:keepLines w:val="0"/>
        <w:widowControl w:val="0"/>
        <w:kinsoku/>
        <w:wordWrap/>
        <w:overflowPunct/>
        <w:topLinePunct w:val="0"/>
        <w:autoSpaceDE/>
        <w:autoSpaceDN/>
        <w:bidi w:val="0"/>
        <w:snapToGrid w:val="0"/>
        <w:spacing w:line="440" w:lineRule="exact"/>
        <w:textAlignment w:val="auto"/>
        <w:rPr>
          <w:rFonts w:hint="eastAsia" w:ascii="仿宋_GB2312" w:eastAsia="仿宋_GB2312"/>
          <w:b/>
          <w:color w:val="auto"/>
          <w:sz w:val="24"/>
          <w:szCs w:val="22"/>
          <w:highlight w:val="none"/>
          <w:bdr w:val="single" w:color="auto" w:sz="4" w:space="0"/>
        </w:rPr>
      </w:pPr>
    </w:p>
    <w:p>
      <w:pPr>
        <w:keepNext w:val="0"/>
        <w:keepLines w:val="0"/>
        <w:widowControl w:val="0"/>
        <w:kinsoku/>
        <w:wordWrap/>
        <w:overflowPunct/>
        <w:topLinePunct w:val="0"/>
        <w:autoSpaceDE/>
        <w:autoSpaceDN/>
        <w:bidi w:val="0"/>
        <w:snapToGrid w:val="0"/>
        <w:spacing w:line="440" w:lineRule="exact"/>
        <w:textAlignment w:val="auto"/>
        <w:rPr>
          <w:rFonts w:ascii="仿宋_GB2312" w:eastAsia="仿宋_GB2312"/>
          <w:b/>
          <w:color w:val="auto"/>
          <w:sz w:val="24"/>
          <w:szCs w:val="22"/>
          <w:highlight w:val="none"/>
        </w:rPr>
      </w:pPr>
      <w:r>
        <w:rPr>
          <w:rFonts w:hint="eastAsia" w:ascii="仿宋_GB2312" w:eastAsia="仿宋_GB2312"/>
          <w:b/>
          <w:color w:val="auto"/>
          <w:sz w:val="24"/>
          <w:szCs w:val="22"/>
          <w:highlight w:val="none"/>
          <w:bdr w:val="single" w:color="auto" w:sz="4" w:space="0"/>
        </w:rPr>
        <w:t>01标</w:t>
      </w:r>
      <w:r>
        <w:rPr>
          <w:rFonts w:hint="eastAsia" w:ascii="仿宋_GB2312" w:eastAsia="仿宋_GB2312"/>
          <w:b/>
          <w:color w:val="auto"/>
          <w:sz w:val="24"/>
          <w:szCs w:val="22"/>
          <w:highlight w:val="none"/>
          <w:lang w:eastAsia="zh-CN"/>
        </w:rPr>
        <w:t>绍兴市社会科学界联合会《绍兴大典》出版项目（第一辑）（</w:t>
      </w:r>
      <w:r>
        <w:rPr>
          <w:rFonts w:hint="eastAsia" w:ascii="仿宋_GB2312" w:eastAsia="仿宋_GB2312"/>
          <w:b/>
          <w:color w:val="auto"/>
          <w:sz w:val="24"/>
          <w:szCs w:val="22"/>
          <w:highlight w:val="none"/>
        </w:rPr>
        <w:t>预算：</w:t>
      </w:r>
      <w:r>
        <w:rPr>
          <w:rFonts w:hint="eastAsia" w:ascii="仿宋_GB2312" w:eastAsia="仿宋_GB2312"/>
          <w:b/>
          <w:color w:val="auto"/>
          <w:sz w:val="24"/>
          <w:szCs w:val="22"/>
          <w:highlight w:val="none"/>
          <w:lang w:val="en-US" w:eastAsia="zh-CN"/>
        </w:rPr>
        <w:t>699.35</w:t>
      </w:r>
      <w:r>
        <w:rPr>
          <w:rFonts w:hint="eastAsia" w:ascii="仿宋_GB2312" w:eastAsia="仿宋_GB2312"/>
          <w:b/>
          <w:color w:val="auto"/>
          <w:sz w:val="24"/>
          <w:szCs w:val="22"/>
          <w:highlight w:val="none"/>
        </w:rPr>
        <w:t>万元）</w:t>
      </w:r>
    </w:p>
    <w:p>
      <w:pPr>
        <w:keepNext w:val="0"/>
        <w:keepLines w:val="0"/>
        <w:widowControl w:val="0"/>
        <w:kinsoku/>
        <w:wordWrap/>
        <w:overflowPunct/>
        <w:topLinePunct w:val="0"/>
        <w:autoSpaceDE/>
        <w:autoSpaceDN/>
        <w:bidi w:val="0"/>
        <w:spacing w:line="440" w:lineRule="exact"/>
        <w:ind w:firstLine="482" w:firstLineChars="200"/>
        <w:textAlignment w:val="auto"/>
        <w:rPr>
          <w:rFonts w:ascii="仿宋_GB2312" w:hAnsi="方正黑体_GBK" w:eastAsia="仿宋_GB2312" w:cs="方正黑体_GBK"/>
          <w:b/>
          <w:color w:val="auto"/>
          <w:sz w:val="24"/>
          <w:highlight w:val="none"/>
        </w:rPr>
      </w:pPr>
      <w:r>
        <w:rPr>
          <w:rFonts w:hint="eastAsia" w:ascii="仿宋_GB2312" w:hAnsi="方正黑体_GBK" w:eastAsia="仿宋_GB2312" w:cs="方正黑体_GBK"/>
          <w:b/>
          <w:color w:val="auto"/>
          <w:sz w:val="24"/>
          <w:highlight w:val="none"/>
        </w:rPr>
        <w:t>一、项目背景</w:t>
      </w:r>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绍兴大典》是绍兴市委、市政府为贯彻落实习近平总书记系列重要讲话精神以及中办、国办印发的《关于推进新时代古籍工作的意见》精神，走人文为魂、生态塑韵的城市发展之路，奋力打造新时代文化文明高地，重辉“文献名邦”而实施的重点文化工程。</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default"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工作内容</w:t>
      </w:r>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配合绍兴市社会科学界联合会出版发行《绍兴大典•史部》，包括《绍兴大典•史部》府县志精装本与《绍兴大典•史部》府志县志古籍再造本。工作内容包括但不限于以下几点：（1）文稿编辑与修改，包含文字撰稿、采编、校审等；（2）排版设计，包含装帧设计、版面制作、插图、校对等；（3）出版，获得国际标准书号（ISBN）；（4）印刷，包括印前校样、印刷、包装和送货等，</w:t>
      </w:r>
      <w:r>
        <w:rPr>
          <w:rFonts w:hint="eastAsia" w:ascii="仿宋" w:hAnsi="仿宋" w:eastAsia="仿宋"/>
          <w:b w:val="0"/>
          <w:bCs w:val="0"/>
          <w:color w:val="auto"/>
          <w:sz w:val="24"/>
          <w:highlight w:val="none"/>
        </w:rPr>
        <w:t>《绍兴大典•史部》府</w:t>
      </w:r>
      <w:r>
        <w:rPr>
          <w:rFonts w:hint="eastAsia" w:ascii="仿宋" w:hAnsi="仿宋" w:eastAsia="仿宋"/>
          <w:b w:val="0"/>
          <w:bCs w:val="0"/>
          <w:color w:val="auto"/>
          <w:sz w:val="24"/>
          <w:highlight w:val="none"/>
          <w:lang w:eastAsia="zh-CN"/>
        </w:rPr>
        <w:t>县</w:t>
      </w:r>
      <w:r>
        <w:rPr>
          <w:rFonts w:hint="eastAsia" w:ascii="仿宋" w:hAnsi="仿宋" w:eastAsia="仿宋"/>
          <w:b w:val="0"/>
          <w:bCs w:val="0"/>
          <w:color w:val="auto"/>
          <w:sz w:val="24"/>
          <w:highlight w:val="none"/>
        </w:rPr>
        <w:t>志精装本</w:t>
      </w:r>
      <w:r>
        <w:rPr>
          <w:rFonts w:hint="eastAsia" w:ascii="仿宋" w:hAnsi="仿宋" w:eastAsia="仿宋"/>
          <w:b w:val="0"/>
          <w:bCs w:val="0"/>
          <w:color w:val="auto"/>
          <w:sz w:val="24"/>
          <w:highlight w:val="none"/>
          <w:lang w:eastAsia="zh-CN"/>
        </w:rPr>
        <w:t>第一期</w:t>
      </w:r>
      <w:r>
        <w:rPr>
          <w:rFonts w:hint="eastAsia" w:ascii="仿宋_GB2312" w:eastAsia="仿宋_GB2312"/>
          <w:color w:val="auto"/>
          <w:sz w:val="24"/>
          <w:highlight w:val="none"/>
          <w:lang w:val="en-US" w:eastAsia="zh-CN"/>
        </w:rPr>
        <w:t>印装500套，</w:t>
      </w:r>
      <w:r>
        <w:rPr>
          <w:rFonts w:hint="eastAsia" w:ascii="仿宋" w:hAnsi="仿宋" w:eastAsia="仿宋"/>
          <w:b w:val="0"/>
          <w:bCs w:val="0"/>
          <w:color w:val="auto"/>
          <w:sz w:val="24"/>
          <w:highlight w:val="none"/>
        </w:rPr>
        <w:t>《绍兴大典•史部》府志县志古籍再造本</w:t>
      </w:r>
      <w:r>
        <w:rPr>
          <w:rFonts w:hint="eastAsia" w:ascii="仿宋" w:hAnsi="仿宋" w:eastAsia="仿宋"/>
          <w:b w:val="0"/>
          <w:bCs w:val="0"/>
          <w:color w:val="auto"/>
          <w:sz w:val="24"/>
          <w:highlight w:val="none"/>
          <w:lang w:val="en-US" w:eastAsia="zh-CN"/>
        </w:rPr>
        <w:t>印</w:t>
      </w:r>
      <w:r>
        <w:rPr>
          <w:rFonts w:hint="eastAsia" w:ascii="仿宋_GB2312" w:eastAsia="仿宋_GB2312"/>
          <w:color w:val="auto"/>
          <w:sz w:val="24"/>
          <w:highlight w:val="none"/>
          <w:lang w:val="en-US" w:eastAsia="zh-CN"/>
        </w:rPr>
        <w:t>装</w:t>
      </w:r>
      <w:r>
        <w:rPr>
          <w:rFonts w:hint="eastAsia" w:ascii="仿宋" w:hAnsi="仿宋" w:eastAsia="仿宋"/>
          <w:b w:val="0"/>
          <w:bCs w:val="0"/>
          <w:color w:val="auto"/>
          <w:sz w:val="24"/>
          <w:highlight w:val="none"/>
          <w:lang w:val="en-US" w:eastAsia="zh-CN"/>
        </w:rPr>
        <w:t>500套</w:t>
      </w:r>
      <w:r>
        <w:rPr>
          <w:rFonts w:hint="eastAsia" w:ascii="仿宋_GB2312" w:eastAsia="仿宋_GB2312"/>
          <w:color w:val="auto"/>
          <w:sz w:val="24"/>
          <w:highlight w:val="none"/>
          <w:lang w:val="en-US" w:eastAsia="zh-CN"/>
        </w:rPr>
        <w:t>。</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审稿团队</w:t>
      </w:r>
    </w:p>
    <w:p>
      <w:pPr>
        <w:keepNext w:val="0"/>
        <w:keepLines w:val="0"/>
        <w:widowControl w:val="0"/>
        <w:numPr>
          <w:ilvl w:val="0"/>
          <w:numId w:val="0"/>
        </w:numPr>
        <w:kinsoku/>
        <w:wordWrap/>
        <w:overflowPunct/>
        <w:topLinePunct w:val="0"/>
        <w:autoSpaceDE/>
        <w:autoSpaceDN/>
        <w:bidi w:val="0"/>
        <w:spacing w:line="440" w:lineRule="exact"/>
        <w:ind w:firstLine="480" w:firstLineChars="200"/>
        <w:textAlignment w:val="auto"/>
        <w:rPr>
          <w:rFonts w:hint="eastAsia"/>
          <w:color w:val="auto"/>
          <w:highlight w:val="none"/>
          <w:lang w:val="en-US" w:eastAsia="zh-CN"/>
        </w:rPr>
      </w:pPr>
      <w:r>
        <w:rPr>
          <w:rFonts w:hint="eastAsia" w:ascii="仿宋_GB2312" w:hAnsi="方正黑体_GBK" w:eastAsia="仿宋_GB2312" w:cs="方正黑体_GBK"/>
          <w:b w:val="0"/>
          <w:bCs/>
          <w:color w:val="auto"/>
          <w:sz w:val="24"/>
          <w:highlight w:val="none"/>
          <w:lang w:val="en-US" w:eastAsia="zh-CN"/>
        </w:rPr>
        <w:t>根据《绍兴大典》编纂委员会要求，由投标人负责邀请相关专家学者组成对本次招标项目所有内容的审稿专家组。专家组必须包括浙江省内知名文史学者、绍兴文化学者等。</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default"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工作要求</w:t>
      </w:r>
    </w:p>
    <w:p>
      <w:pPr>
        <w:pStyle w:val="46"/>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由投标人按照绍兴市社会科学界联合会、《绍兴大典》编纂委员会的要求安排封面、内文版式设计，图文录排，编辑校对，用纸、印刷、装订、运送等。具体要求如下：</w:t>
      </w:r>
    </w:p>
    <w:p>
      <w:pPr>
        <w:pStyle w:val="46"/>
        <w:pageBreakBefore w:val="0"/>
        <w:widowControl w:val="0"/>
        <w:numPr>
          <w:ilvl w:val="0"/>
          <w:numId w:val="7"/>
        </w:numPr>
        <w:kinsoku/>
        <w:wordWrap/>
        <w:overflowPunct/>
        <w:topLinePunct w:val="0"/>
        <w:autoSpaceDE/>
        <w:autoSpaceDN/>
        <w:bidi w:val="0"/>
        <w:adjustRightInd/>
        <w:snapToGrid/>
        <w:spacing w:line="400" w:lineRule="exact"/>
        <w:ind w:left="0" w:leftChars="0" w:right="0" w:rightChars="0" w:firstLine="482" w:firstLineChars="200"/>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《绍兴大典•史部》府</w:t>
      </w:r>
      <w:r>
        <w:rPr>
          <w:rFonts w:hint="eastAsia" w:ascii="仿宋" w:hAnsi="仿宋" w:eastAsia="仿宋" w:cs="仿宋"/>
          <w:b/>
          <w:bCs/>
          <w:color w:val="auto"/>
          <w:sz w:val="24"/>
          <w:szCs w:val="24"/>
          <w:highlight w:val="none"/>
          <w:lang w:eastAsia="zh-CN"/>
        </w:rPr>
        <w:t>县</w:t>
      </w:r>
      <w:r>
        <w:rPr>
          <w:rFonts w:hint="eastAsia" w:ascii="仿宋" w:hAnsi="仿宋" w:eastAsia="仿宋" w:cs="仿宋"/>
          <w:b/>
          <w:bCs/>
          <w:color w:val="auto"/>
          <w:sz w:val="24"/>
          <w:szCs w:val="24"/>
          <w:highlight w:val="none"/>
        </w:rPr>
        <w:t>志精装本</w:t>
      </w:r>
    </w:p>
    <w:p>
      <w:pPr>
        <w:keepNext w:val="0"/>
        <w:keepLines w:val="0"/>
        <w:widowControl w:val="0"/>
        <w:kinsoku/>
        <w:wordWrap/>
        <w:overflowPunct/>
        <w:topLinePunct w:val="0"/>
        <w:autoSpaceDE/>
        <w:autoSpaceDN/>
        <w:bidi w:val="0"/>
        <w:spacing w:line="440" w:lineRule="exact"/>
        <w:ind w:firstLine="482" w:firstLineChars="200"/>
        <w:textAlignment w:val="auto"/>
        <w:rPr>
          <w:rFonts w:hint="eastAsia" w:ascii="仿宋_GB2312" w:hAnsi="Times New Roman" w:eastAsia="仿宋_GB2312" w:cs="Times New Roman"/>
          <w:b/>
          <w:bCs/>
          <w:color w:val="auto"/>
          <w:sz w:val="24"/>
          <w:highlight w:val="none"/>
          <w:lang w:val="en-US" w:eastAsia="zh-CN"/>
        </w:rPr>
      </w:pPr>
      <w:r>
        <w:rPr>
          <w:rFonts w:hint="eastAsia" w:ascii="仿宋_GB2312" w:eastAsia="仿宋_GB2312" w:cs="Times New Roman"/>
          <w:b/>
          <w:bCs/>
          <w:color w:val="auto"/>
          <w:sz w:val="24"/>
          <w:highlight w:val="none"/>
          <w:lang w:val="en-US" w:eastAsia="zh-CN"/>
        </w:rPr>
        <w:t>1.</w:t>
      </w:r>
      <w:r>
        <w:rPr>
          <w:rFonts w:hint="eastAsia" w:ascii="仿宋_GB2312" w:hAnsi="Times New Roman" w:eastAsia="仿宋_GB2312" w:cs="Times New Roman"/>
          <w:b/>
          <w:bCs/>
          <w:color w:val="auto"/>
          <w:sz w:val="24"/>
          <w:highlight w:val="none"/>
          <w:lang w:val="en-US" w:eastAsia="zh-CN"/>
        </w:rPr>
        <w:t>影印出版清单</w:t>
      </w:r>
    </w:p>
    <w:tbl>
      <w:tblPr>
        <w:tblStyle w:val="88"/>
        <w:tblW w:w="8049" w:type="dxa"/>
        <w:jc w:val="center"/>
        <w:tblLayout w:type="autofit"/>
        <w:tblCellMar>
          <w:top w:w="0" w:type="dxa"/>
          <w:left w:w="108" w:type="dxa"/>
          <w:bottom w:w="0" w:type="dxa"/>
          <w:right w:w="108" w:type="dxa"/>
        </w:tblCellMar>
      </w:tblPr>
      <w:tblGrid>
        <w:gridCol w:w="1426"/>
        <w:gridCol w:w="4232"/>
        <w:gridCol w:w="1003"/>
        <w:gridCol w:w="1388"/>
      </w:tblGrid>
      <w:tr>
        <w:trPr>
          <w:trHeight w:val="591" w:hRule="atLeast"/>
          <w:jc w:val="center"/>
        </w:trPr>
        <w:tc>
          <w:tcPr>
            <w:tcW w:w="1426" w:type="dxa"/>
            <w:tcBorders>
              <w:top w:val="single" w:color="auto" w:sz="4" w:space="0"/>
              <w:left w:val="single" w:color="auto" w:sz="4" w:space="0"/>
              <w:bottom w:val="single" w:color="auto" w:sz="8" w:space="0"/>
              <w:right w:val="single" w:color="auto" w:sz="4" w:space="0"/>
            </w:tcBorders>
            <w:noWrap w:val="0"/>
            <w:vAlign w:val="center"/>
          </w:tcPr>
          <w:p>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影印项目</w:t>
            </w:r>
          </w:p>
        </w:tc>
        <w:tc>
          <w:tcPr>
            <w:tcW w:w="4232" w:type="dxa"/>
            <w:tcBorders>
              <w:top w:val="single" w:color="auto" w:sz="8" w:space="0"/>
              <w:left w:val="single" w:color="auto" w:sz="4" w:space="0"/>
              <w:bottom w:val="single" w:color="auto" w:sz="8" w:space="0"/>
              <w:right w:val="single" w:color="auto" w:sz="8" w:space="0"/>
            </w:tcBorders>
            <w:noWrap w:val="0"/>
            <w:vAlign w:val="center"/>
          </w:tcPr>
          <w:p>
            <w:pPr>
              <w:widowControl/>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内容</w:t>
            </w:r>
          </w:p>
        </w:tc>
        <w:tc>
          <w:tcPr>
            <w:tcW w:w="100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c>
          <w:tcPr>
            <w:tcW w:w="1388"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页数（筒页）</w:t>
            </w:r>
          </w:p>
        </w:tc>
      </w:tr>
      <w:tr>
        <w:tblPrEx>
          <w:tblCellMar>
            <w:top w:w="0" w:type="dxa"/>
            <w:left w:w="108" w:type="dxa"/>
            <w:bottom w:w="0" w:type="dxa"/>
            <w:right w:w="108" w:type="dxa"/>
          </w:tblCellMar>
        </w:tblPrEx>
        <w:trPr>
          <w:trHeight w:val="2459" w:hRule="atLeast"/>
          <w:jc w:val="center"/>
        </w:trPr>
        <w:tc>
          <w:tcPr>
            <w:tcW w:w="1426" w:type="dxa"/>
            <w:vMerge w:val="restart"/>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《绍兴大典•史部》府</w:t>
            </w:r>
            <w:r>
              <w:rPr>
                <w:rFonts w:hint="eastAsia" w:ascii="仿宋" w:hAnsi="仿宋" w:eastAsia="仿宋" w:cs="仿宋"/>
                <w:color w:val="auto"/>
                <w:sz w:val="24"/>
                <w:szCs w:val="24"/>
                <w:highlight w:val="none"/>
                <w:lang w:eastAsia="zh-CN"/>
              </w:rPr>
              <w:t>县</w:t>
            </w:r>
            <w:r>
              <w:rPr>
                <w:rFonts w:hint="eastAsia" w:ascii="仿宋" w:hAnsi="仿宋" w:eastAsia="仿宋" w:cs="仿宋"/>
                <w:color w:val="auto"/>
                <w:sz w:val="24"/>
                <w:szCs w:val="24"/>
                <w:highlight w:val="none"/>
              </w:rPr>
              <w:t>志精装本</w:t>
            </w:r>
          </w:p>
        </w:tc>
        <w:tc>
          <w:tcPr>
            <w:tcW w:w="4232" w:type="dxa"/>
            <w:tcBorders>
              <w:top w:val="nil"/>
              <w:left w:val="single" w:color="auto" w:sz="4" w:space="0"/>
              <w:bottom w:val="single" w:color="auto" w:sz="8" w:space="0"/>
              <w:right w:val="single" w:color="auto" w:sz="8" w:space="0"/>
            </w:tcBorders>
            <w:noWrap w:val="0"/>
            <w:vAlign w:val="center"/>
          </w:tcPr>
          <w:p>
            <w:pPr>
              <w:widowControl/>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本部分包括《嘉泰会稽志》、《宝庆会稽续志》、《绍兴府志辑本》（永乐大典本）、《﹝万历﹞绍兴府志》、《﹝康熙﹞绍兴府志》（康熙十二年）、《﹝康熙﹞绍兴府志》（康熙二十二年）、《﹝康熙﹞绍兴府志》（康熙五十八年）、《﹝乾隆﹞绍兴府志》（乾隆五十七年）、</w:t>
            </w:r>
            <w:r>
              <w:rPr>
                <w:rFonts w:hint="eastAsia" w:ascii="仿宋" w:hAnsi="仿宋" w:eastAsia="仿宋" w:cs="仿宋"/>
                <w:color w:val="auto"/>
                <w:sz w:val="24"/>
                <w:szCs w:val="24"/>
                <w:highlight w:val="none"/>
                <w:lang w:eastAsia="zh-CN"/>
              </w:rPr>
              <w:t>《乾隆绍兴府志校记》、</w:t>
            </w:r>
            <w:r>
              <w:rPr>
                <w:rFonts w:hint="eastAsia" w:ascii="仿宋" w:hAnsi="仿宋" w:eastAsia="仿宋" w:cs="仿宋"/>
                <w:color w:val="auto"/>
                <w:sz w:val="24"/>
                <w:szCs w:val="24"/>
                <w:highlight w:val="none"/>
              </w:rPr>
              <w:t>《绍兴府志修志资料》</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种。</w:t>
            </w:r>
          </w:p>
        </w:tc>
        <w:tc>
          <w:tcPr>
            <w:tcW w:w="1003" w:type="dxa"/>
            <w:tcBorders>
              <w:top w:val="nil"/>
              <w:left w:val="nil"/>
              <w:bottom w:val="single" w:color="auto" w:sz="8" w:space="0"/>
              <w:right w:val="single" w:color="auto" w:sz="8" w:space="0"/>
            </w:tcBorders>
            <w:noWrap w:val="0"/>
            <w:vAlign w:val="center"/>
          </w:tcPr>
          <w:p>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约56</w:t>
            </w:r>
            <w:r>
              <w:rPr>
                <w:rFonts w:hint="eastAsia" w:ascii="仿宋" w:hAnsi="仿宋" w:eastAsia="仿宋" w:cs="仿宋"/>
                <w:color w:val="auto"/>
                <w:kern w:val="0"/>
                <w:sz w:val="24"/>
                <w:szCs w:val="24"/>
                <w:highlight w:val="none"/>
              </w:rPr>
              <w:t>册</w:t>
            </w:r>
          </w:p>
        </w:tc>
        <w:tc>
          <w:tcPr>
            <w:tcW w:w="1388" w:type="dxa"/>
            <w:tcBorders>
              <w:top w:val="nil"/>
              <w:left w:val="nil"/>
              <w:bottom w:val="single" w:color="auto" w:sz="8" w:space="0"/>
              <w:right w:val="single" w:color="auto" w:sz="8" w:space="0"/>
            </w:tcBorders>
            <w:noWrap w:val="0"/>
            <w:vAlign w:val="center"/>
          </w:tcPr>
          <w:p>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约</w:t>
            </w:r>
            <w:r>
              <w:rPr>
                <w:rFonts w:hint="eastAsia" w:ascii="仿宋" w:hAnsi="仿宋" w:eastAsia="仿宋" w:cs="仿宋"/>
                <w:color w:val="auto"/>
                <w:sz w:val="24"/>
                <w:szCs w:val="24"/>
                <w:highlight w:val="none"/>
              </w:rPr>
              <w:t>28000</w:t>
            </w:r>
            <w:r>
              <w:rPr>
                <w:rFonts w:hint="eastAsia" w:ascii="仿宋" w:hAnsi="仿宋" w:eastAsia="仿宋" w:cs="仿宋"/>
                <w:color w:val="auto"/>
                <w:kern w:val="0"/>
                <w:sz w:val="24"/>
                <w:szCs w:val="24"/>
                <w:highlight w:val="none"/>
              </w:rPr>
              <w:t>页</w:t>
            </w:r>
          </w:p>
        </w:tc>
      </w:tr>
      <w:tr>
        <w:tblPrEx>
          <w:tblCellMar>
            <w:top w:w="0" w:type="dxa"/>
            <w:left w:w="108" w:type="dxa"/>
            <w:bottom w:w="0" w:type="dxa"/>
            <w:right w:w="108" w:type="dxa"/>
          </w:tblCellMar>
        </w:tblPrEx>
        <w:trPr>
          <w:trHeight w:val="2188" w:hRule="atLeast"/>
          <w:jc w:val="center"/>
        </w:trPr>
        <w:tc>
          <w:tcPr>
            <w:tcW w:w="1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szCs w:val="24"/>
                <w:highlight w:val="none"/>
              </w:rPr>
            </w:pPr>
          </w:p>
        </w:tc>
        <w:tc>
          <w:tcPr>
            <w:tcW w:w="4232" w:type="dxa"/>
            <w:tcBorders>
              <w:top w:val="nil"/>
              <w:left w:val="single" w:color="auto" w:sz="4" w:space="0"/>
              <w:bottom w:val="single" w:color="auto" w:sz="8" w:space="0"/>
              <w:right w:val="single" w:color="auto" w:sz="8" w:space="0"/>
            </w:tcBorders>
            <w:noWrap w:val="0"/>
            <w:vAlign w:val="center"/>
          </w:tcPr>
          <w:p>
            <w:pPr>
              <w:widowControl/>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县志部分主要有</w:t>
            </w:r>
            <w:r>
              <w:rPr>
                <w:rFonts w:hint="eastAsia" w:ascii="仿宋" w:hAnsi="仿宋" w:eastAsia="仿宋" w:cs="仿宋"/>
                <w:color w:val="auto"/>
                <w:sz w:val="24"/>
                <w:szCs w:val="24"/>
                <w:highlight w:val="none"/>
              </w:rPr>
              <w:t>《﹝嘉靖﹞山阴县志》、《</w:t>
            </w:r>
            <w:r>
              <w:rPr>
                <w:rFonts w:hint="eastAsia" w:ascii="仿宋" w:hAnsi="仿宋" w:eastAsia="仿宋" w:cs="仿宋"/>
                <w:color w:val="auto"/>
                <w:sz w:val="24"/>
                <w:szCs w:val="24"/>
                <w:highlight w:val="none"/>
                <w:lang w:eastAsia="zh-CN"/>
              </w:rPr>
              <w:t>雍正</w:t>
            </w:r>
            <w:r>
              <w:rPr>
                <w:rFonts w:hint="eastAsia" w:ascii="仿宋" w:hAnsi="仿宋" w:eastAsia="仿宋" w:cs="仿宋"/>
                <w:color w:val="auto"/>
                <w:sz w:val="24"/>
                <w:szCs w:val="24"/>
                <w:highlight w:val="none"/>
              </w:rPr>
              <w:t>山阴县志》、《﹝康熙﹞山阴县志》、《﹝嘉庆﹞山阴县志》、《山阴县志校记》，《﹝万历﹞会稽县志》、《﹝康熙﹞会稽县志》（康熙十三年）、《﹝康熙﹞会稽县志》（康熙二十二年）、《﹝道光﹞会稽县志稿》共9种</w:t>
            </w:r>
            <w:r>
              <w:rPr>
                <w:rFonts w:hint="eastAsia" w:ascii="仿宋" w:hAnsi="仿宋" w:eastAsia="仿宋" w:cs="仿宋"/>
                <w:color w:val="auto"/>
                <w:sz w:val="24"/>
                <w:szCs w:val="24"/>
                <w:highlight w:val="none"/>
                <w:lang w:eastAsia="zh-CN"/>
              </w:rPr>
              <w:t>。</w:t>
            </w:r>
          </w:p>
        </w:tc>
        <w:tc>
          <w:tcPr>
            <w:tcW w:w="1003" w:type="dxa"/>
            <w:tcBorders>
              <w:top w:val="nil"/>
              <w:left w:val="nil"/>
              <w:bottom w:val="single" w:color="auto" w:sz="8" w:space="0"/>
              <w:right w:val="single" w:color="auto" w:sz="8" w:space="0"/>
            </w:tcBorders>
            <w:noWrap w:val="0"/>
            <w:vAlign w:val="center"/>
          </w:tcPr>
          <w:p>
            <w:pPr>
              <w:widowControl/>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约16</w:t>
            </w:r>
            <w:r>
              <w:rPr>
                <w:rFonts w:hint="eastAsia" w:ascii="仿宋" w:hAnsi="仿宋" w:eastAsia="仿宋" w:cs="仿宋"/>
                <w:color w:val="auto"/>
                <w:kern w:val="0"/>
                <w:sz w:val="24"/>
                <w:szCs w:val="24"/>
                <w:highlight w:val="none"/>
              </w:rPr>
              <w:t>册</w:t>
            </w:r>
          </w:p>
        </w:tc>
        <w:tc>
          <w:tcPr>
            <w:tcW w:w="1388" w:type="dxa"/>
            <w:tcBorders>
              <w:top w:val="nil"/>
              <w:left w:val="nil"/>
              <w:bottom w:val="single" w:color="auto" w:sz="8" w:space="0"/>
              <w:right w:val="single" w:color="auto" w:sz="8" w:space="0"/>
            </w:tcBorders>
            <w:noWrap w:val="0"/>
            <w:vAlign w:val="center"/>
          </w:tcPr>
          <w:p>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约7800页</w:t>
            </w:r>
          </w:p>
        </w:tc>
      </w:tr>
    </w:tbl>
    <w:p>
      <w:pPr>
        <w:pStyle w:val="46"/>
        <w:pageBreakBefore w:val="0"/>
        <w:widowControl w:val="0"/>
        <w:numPr>
          <w:ilvl w:val="0"/>
          <w:numId w:val="0"/>
        </w:numPr>
        <w:kinsoku/>
        <w:wordWrap/>
        <w:overflowPunct/>
        <w:topLinePunct w:val="0"/>
        <w:autoSpaceDE/>
        <w:autoSpaceDN/>
        <w:bidi w:val="0"/>
        <w:adjustRightInd/>
        <w:snapToGrid/>
        <w:spacing w:line="400" w:lineRule="exact"/>
        <w:ind w:leftChars="200" w:right="0" w:rightChars="0"/>
        <w:jc w:val="both"/>
        <w:textAlignment w:val="auto"/>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color w:val="auto"/>
          <w:sz w:val="24"/>
          <w:highlight w:val="none"/>
          <w:lang w:val="en-US" w:eastAsia="zh-CN"/>
        </w:rPr>
        <w:t>2.出版、印刷、装帧要求</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（1）开本为：16开（185 mm×260 mm）；</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（2）出版页面：筒子页的半叶排一面，约35800页，</w:t>
      </w:r>
      <w:r>
        <w:rPr>
          <w:rFonts w:hint="eastAsia" w:ascii="仿宋" w:hAnsi="仿宋" w:eastAsia="仿宋" w:cs="仿宋"/>
          <w:color w:val="auto"/>
          <w:kern w:val="0"/>
          <w:sz w:val="24"/>
          <w:szCs w:val="24"/>
          <w:highlight w:val="none"/>
          <w:lang w:val="en-US" w:eastAsia="zh-CN"/>
        </w:rPr>
        <w:t>约</w:t>
      </w:r>
      <w:r>
        <w:rPr>
          <w:rFonts w:hint="eastAsia" w:ascii="仿宋_GB2312" w:hAnsi="方正黑体_GBK" w:eastAsia="仿宋_GB2312" w:cs="方正黑体_GBK"/>
          <w:b w:val="0"/>
          <w:bCs/>
          <w:color w:val="auto"/>
          <w:kern w:val="2"/>
          <w:sz w:val="24"/>
          <w:szCs w:val="24"/>
          <w:highlight w:val="none"/>
          <w:lang w:val="en-US" w:eastAsia="zh-CN" w:bidi="ar-SA"/>
        </w:rPr>
        <w:t>72册；</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（3）内文用纸：100克纯质纸；</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 w:hAnsi="仿宋" w:eastAsia="仿宋" w:cs="仿宋"/>
          <w:b w:val="0"/>
          <w:bCs/>
          <w:color w:val="auto"/>
          <w:spacing w:val="15"/>
          <w:sz w:val="24"/>
          <w:szCs w:val="24"/>
          <w:highlight w:val="none"/>
          <w:lang w:val="en-US" w:eastAsia="zh-CN"/>
        </w:rPr>
      </w:pPr>
      <w:r>
        <w:rPr>
          <w:rFonts w:hint="eastAsia" w:ascii="仿宋_GB2312" w:hAnsi="方正黑体_GBK" w:eastAsia="仿宋_GB2312" w:cs="方正黑体_GBK"/>
          <w:b w:val="0"/>
          <w:bCs/>
          <w:color w:val="auto"/>
          <w:kern w:val="2"/>
          <w:sz w:val="24"/>
          <w:szCs w:val="24"/>
          <w:highlight w:val="none"/>
          <w:lang w:val="en-US" w:eastAsia="zh-CN" w:bidi="ar-SA"/>
        </w:rPr>
        <w:t>（4）封</w:t>
      </w:r>
      <w:r>
        <w:rPr>
          <w:rFonts w:hint="eastAsia" w:ascii="仿宋" w:hAnsi="仿宋" w:eastAsia="仿宋" w:cs="仿宋"/>
          <w:b w:val="0"/>
          <w:bCs/>
          <w:color w:val="auto"/>
          <w:spacing w:val="15"/>
          <w:sz w:val="24"/>
          <w:szCs w:val="24"/>
          <w:highlight w:val="none"/>
          <w:lang w:val="en-US" w:eastAsia="zh-CN"/>
        </w:rPr>
        <w:t>面用纸：特种纸+布面精装；</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（5）印刷标准：双色印刷；</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（6）装帧标准：纸面布脊精装；</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default"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（7）数量：印装500套。</w:t>
      </w:r>
    </w:p>
    <w:p>
      <w:pPr>
        <w:pStyle w:val="46"/>
        <w:keepNext w:val="0"/>
        <w:keepLines w:val="0"/>
        <w:pageBreakBefore w:val="0"/>
        <w:widowControl w:val="0"/>
        <w:numPr>
          <w:ilvl w:val="0"/>
          <w:numId w:val="7"/>
        </w:numPr>
        <w:tabs>
          <w:tab w:val="left" w:pos="1455"/>
        </w:tabs>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《绍兴大典•史部》府志县志古籍再造本</w:t>
      </w:r>
    </w:p>
    <w:p>
      <w:pPr>
        <w:pStyle w:val="46"/>
        <w:pageBreakBefore w:val="0"/>
        <w:widowControl w:val="0"/>
        <w:numPr>
          <w:ilvl w:val="0"/>
          <w:numId w:val="0"/>
        </w:numPr>
        <w:kinsoku/>
        <w:wordWrap/>
        <w:overflowPunct/>
        <w:topLinePunct w:val="0"/>
        <w:autoSpaceDE/>
        <w:autoSpaceDN/>
        <w:bidi w:val="0"/>
        <w:adjustRightInd/>
        <w:snapToGrid/>
        <w:spacing w:line="400" w:lineRule="exact"/>
        <w:ind w:leftChars="200" w:right="0" w:rightChars="0"/>
        <w:jc w:val="both"/>
        <w:textAlignment w:val="auto"/>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color w:val="auto"/>
          <w:sz w:val="24"/>
          <w:highlight w:val="none"/>
          <w:lang w:val="en-US" w:eastAsia="zh-CN"/>
        </w:rPr>
        <w:t>1.出版、印刷、装帧要求</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嘉泰会稽志》、《宝庆会稽续志》、《绍兴府志辑本》（永乐大典本）做再造善本，每册约80个筒子页。《嘉泰会稽志》一函十册，《宝庆会稽续志》一函三册，手工宣纸，双色印刷；《绍兴府志辑本》（永乐大典本）一函一册，手工宣纸，四色印刷，线装，</w:t>
      </w:r>
      <w:r>
        <w:rPr>
          <w:rFonts w:hint="eastAsia" w:ascii="仿宋" w:hAnsi="仿宋" w:eastAsia="仿宋" w:cs="仿宋"/>
          <w:b w:val="0"/>
          <w:bCs/>
          <w:color w:val="auto"/>
          <w:spacing w:val="15"/>
          <w:sz w:val="24"/>
          <w:szCs w:val="24"/>
          <w:highlight w:val="none"/>
          <w:lang w:val="en-US" w:eastAsia="zh-CN"/>
        </w:rPr>
        <w:t>绫面，配函套和书袋。按原书尺寸,</w:t>
      </w:r>
      <w:r>
        <w:rPr>
          <w:rFonts w:hint="eastAsia" w:ascii="仿宋_GB2312" w:hAnsi="方正黑体_GBK" w:eastAsia="仿宋_GB2312" w:cs="方正黑体_GBK"/>
          <w:b w:val="0"/>
          <w:bCs/>
          <w:color w:val="auto"/>
          <w:kern w:val="2"/>
          <w:sz w:val="24"/>
          <w:szCs w:val="24"/>
          <w:highlight w:val="none"/>
          <w:lang w:val="en-US" w:eastAsia="zh-CN" w:bidi="ar-SA"/>
        </w:rPr>
        <w:t>印装500套。</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仿宋_GB2312" w:hAnsi="方正黑体_GBK" w:eastAsia="仿宋_GB2312" w:cs="方正黑体_GBK"/>
          <w:b/>
          <w:bCs w:val="0"/>
          <w:color w:val="auto"/>
          <w:kern w:val="2"/>
          <w:sz w:val="24"/>
          <w:szCs w:val="24"/>
          <w:highlight w:val="none"/>
          <w:lang w:val="en-US" w:eastAsia="zh-CN" w:bidi="ar-SA"/>
        </w:rPr>
      </w:pPr>
      <w:r>
        <w:rPr>
          <w:rFonts w:hint="eastAsia" w:ascii="仿宋_GB2312" w:hAnsi="方正黑体_GBK" w:eastAsia="仿宋_GB2312" w:cs="方正黑体_GBK"/>
          <w:b/>
          <w:bCs w:val="0"/>
          <w:color w:val="auto"/>
          <w:kern w:val="2"/>
          <w:sz w:val="24"/>
          <w:szCs w:val="24"/>
          <w:highlight w:val="none"/>
          <w:lang w:val="en-US" w:eastAsia="zh-CN" w:bidi="ar-SA"/>
        </w:rPr>
        <w:t>（三）总体要求</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（1）印刷装订质量：符合新闻出版署发布的中华人民共和国出版行业标准《书刊印刷标准CY/T1～3－91，CY/T7.1～7.9－91，CY/T12～17－95》的规定。</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（2）封面、扉页、版式、装帧等应由投标人中标后设计多套方案，由采购人选择。排版按照图书排版规范。</w:t>
      </w:r>
    </w:p>
    <w:p>
      <w:pPr>
        <w:pStyle w:val="46"/>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★（3）每种一个书号。</w:t>
      </w:r>
    </w:p>
    <w:p>
      <w:pPr>
        <w:pStyle w:val="4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kern w:val="2"/>
          <w:sz w:val="24"/>
          <w:szCs w:val="24"/>
          <w:highlight w:val="none"/>
          <w:lang w:val="en-US" w:eastAsia="zh-CN" w:bidi="ar-SA"/>
        </w:rPr>
        <w:t>★（4）书稿需经认真审校，保证图书质量并符合国家相关出版要求。</w:t>
      </w:r>
    </w:p>
    <w:p>
      <w:pPr>
        <w:pStyle w:val="46"/>
        <w:keepNext w:val="0"/>
        <w:keepLines w:val="0"/>
        <w:pageBreakBefore w:val="0"/>
        <w:widowControl w:val="0"/>
        <w:tabs>
          <w:tab w:val="left" w:pos="1455"/>
        </w:tabs>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仿宋" w:hAnsi="仿宋" w:eastAsia="仿宋" w:cs="仿宋"/>
          <w:b/>
          <w:bCs w:val="0"/>
          <w:color w:val="auto"/>
          <w:sz w:val="24"/>
          <w:szCs w:val="24"/>
          <w:highlight w:val="none"/>
          <w:lang w:val="en-US" w:eastAsia="zh-CN"/>
        </w:rPr>
      </w:pPr>
      <w:r>
        <w:rPr>
          <w:rFonts w:hint="eastAsia" w:ascii="仿宋_GB2312" w:hAnsi="方正黑体_GBK" w:eastAsia="仿宋_GB2312" w:cs="方正黑体_GBK"/>
          <w:b w:val="0"/>
          <w:bCs/>
          <w:color w:val="auto"/>
          <w:kern w:val="2"/>
          <w:sz w:val="24"/>
          <w:szCs w:val="24"/>
          <w:highlight w:val="none"/>
          <w:lang w:val="en-US" w:eastAsia="zh-CN" w:bidi="ar-SA"/>
        </w:rPr>
        <w:t>★（5）投标人对印刷的书籍需要打小样，经采购人书面确认后制作。</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审读要求</w:t>
      </w:r>
    </w:p>
    <w:p>
      <w:pPr>
        <w:keepNext w:val="0"/>
        <w:keepLines w:val="0"/>
        <w:widowControl w:val="0"/>
        <w:numPr>
          <w:ilvl w:val="0"/>
          <w:numId w:val="0"/>
        </w:numPr>
        <w:kinsoku/>
        <w:wordWrap/>
        <w:overflowPunct/>
        <w:topLinePunct w:val="0"/>
        <w:autoSpaceDE/>
        <w:autoSpaceDN/>
        <w:bidi w:val="0"/>
        <w:spacing w:line="440" w:lineRule="exact"/>
        <w:ind w:firstLine="480" w:firstLineChars="200"/>
        <w:textAlignment w:val="auto"/>
        <w:rPr>
          <w:rFonts w:hint="eastAsia" w:ascii="仿宋_GB2312" w:hAnsi="方正黑体_GBK" w:eastAsia="仿宋_GB2312" w:cs="方正黑体_GBK"/>
          <w:b w:val="0"/>
          <w:bCs/>
          <w:color w:val="auto"/>
          <w:kern w:val="2"/>
          <w:sz w:val="24"/>
          <w:szCs w:val="24"/>
          <w:highlight w:val="none"/>
          <w:lang w:val="en-US" w:eastAsia="zh-CN" w:bidi="ar-SA"/>
        </w:rPr>
      </w:pPr>
      <w:r>
        <w:rPr>
          <w:rFonts w:hint="eastAsia" w:ascii="仿宋_GB2312" w:hAnsi="方正黑体_GBK" w:eastAsia="仿宋_GB2312" w:cs="方正黑体_GBK"/>
          <w:b w:val="0"/>
          <w:bCs/>
          <w:color w:val="auto"/>
          <w:sz w:val="24"/>
          <w:highlight w:val="none"/>
          <w:lang w:val="en-US" w:eastAsia="zh-CN"/>
        </w:rPr>
        <w:t xml:space="preserve"> </w:t>
      </w:r>
      <w:r>
        <w:rPr>
          <w:rFonts w:hint="eastAsia" w:ascii="仿宋_GB2312" w:hAnsi="方正黑体_GBK" w:eastAsia="仿宋_GB2312" w:cs="方正黑体_GBK"/>
          <w:b w:val="0"/>
          <w:bCs/>
          <w:color w:val="auto"/>
          <w:kern w:val="2"/>
          <w:sz w:val="24"/>
          <w:szCs w:val="24"/>
          <w:highlight w:val="none"/>
          <w:lang w:val="en-US" w:eastAsia="zh-CN" w:bidi="ar-SA"/>
        </w:rPr>
        <w:t>在对本次招标项目的所有内容三审三校之前，由中标人组织专家学者从学术和出版的领域提出审读意见，并将审读意见反馈给绍兴市社会科学界联合会和《绍兴大典》编纂委员会存档。</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人员要求</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lang w:eastAsia="zh-CN"/>
        </w:rPr>
        <w:t>投标人</w:t>
      </w:r>
      <w:r>
        <w:rPr>
          <w:rFonts w:hint="eastAsia" w:ascii="仿宋" w:hAnsi="仿宋" w:eastAsia="仿宋" w:cs="仿宋"/>
          <w:color w:val="auto"/>
          <w:sz w:val="24"/>
          <w:szCs w:val="24"/>
          <w:highlight w:val="none"/>
          <w:shd w:val="clear" w:color="auto" w:fill="FFFFFF"/>
        </w:rPr>
        <w:t>应提交预期为本项目工作的组织结构图、所有人员的资格和姓名，包括项目负责人、项目涉及的各相关领域专家 、研究人员等。未经采购人同意，不得更换人员。</w:t>
      </w:r>
    </w:p>
    <w:p>
      <w:pPr>
        <w:keepNext w:val="0"/>
        <w:keepLines w:val="0"/>
        <w:pageBreakBefore w:val="0"/>
        <w:widowControl w:val="0"/>
        <w:kinsoku/>
        <w:wordWrap/>
        <w:overflowPunct/>
        <w:topLinePunct w:val="0"/>
        <w:autoSpaceDE/>
        <w:autoSpaceDN/>
        <w:bidi w:val="0"/>
        <w:adjustRightInd w:val="0"/>
        <w:snapToGrid/>
        <w:spacing w:afterAutospacing="0" w:line="440" w:lineRule="exact"/>
        <w:ind w:firstLine="480" w:firstLineChars="200"/>
        <w:jc w:val="left"/>
        <w:textAlignment w:val="auto"/>
        <w:rPr>
          <w:rFonts w:hint="default" w:ascii="仿宋" w:hAnsi="仿宋" w:eastAsia="仿宋" w:cs="仿宋"/>
          <w:color w:val="auto"/>
          <w:sz w:val="24"/>
          <w:szCs w:val="24"/>
          <w:highlight w:val="none"/>
          <w:shd w:val="clear" w:color="auto" w:fill="FFFFFF"/>
          <w:lang w:val="en-US" w:eastAsia="zh-CN"/>
        </w:rPr>
      </w:pPr>
      <w:r>
        <w:rPr>
          <w:rFonts w:hint="eastAsia" w:ascii="仿宋_GB2312" w:hAnsi="宋体" w:eastAsia="仿宋_GB2312"/>
          <w:color w:val="auto"/>
          <w:sz w:val="24"/>
          <w:highlight w:val="none"/>
        </w:rPr>
        <w:t>★</w:t>
      </w:r>
      <w:r>
        <w:rPr>
          <w:rFonts w:hint="eastAsia" w:ascii="仿宋" w:hAnsi="仿宋" w:eastAsia="仿宋" w:cs="仿宋"/>
          <w:color w:val="auto"/>
          <w:sz w:val="24"/>
          <w:szCs w:val="24"/>
          <w:highlight w:val="none"/>
          <w:shd w:val="clear" w:color="auto" w:fill="FFFFFF"/>
          <w:lang w:eastAsia="zh-CN"/>
        </w:rPr>
        <w:t>投标人</w:t>
      </w:r>
      <w:r>
        <w:rPr>
          <w:rFonts w:hint="eastAsia" w:ascii="仿宋" w:hAnsi="仿宋" w:eastAsia="仿宋" w:cs="仿宋"/>
          <w:color w:val="auto"/>
          <w:sz w:val="24"/>
          <w:szCs w:val="24"/>
          <w:highlight w:val="none"/>
          <w:shd w:val="clear" w:color="auto" w:fill="FFFFFF"/>
        </w:rPr>
        <w:t>需</w:t>
      </w:r>
      <w:r>
        <w:rPr>
          <w:rFonts w:hint="eastAsia" w:ascii="仿宋" w:hAnsi="仿宋" w:eastAsia="仿宋"/>
          <w:b w:val="0"/>
          <w:bCs w:val="0"/>
          <w:color w:val="auto"/>
          <w:sz w:val="24"/>
          <w:highlight w:val="none"/>
          <w:lang w:val="en-US" w:eastAsia="zh-CN"/>
        </w:rPr>
        <w:t>设立专门项目组、专人专职进行项目管理。</w:t>
      </w:r>
      <w:r>
        <w:rPr>
          <w:rFonts w:hint="eastAsia" w:ascii="仿宋" w:hAnsi="仿宋" w:eastAsia="仿宋" w:cs="仿宋"/>
          <w:color w:val="auto"/>
          <w:sz w:val="24"/>
          <w:szCs w:val="24"/>
          <w:highlight w:val="none"/>
          <w:shd w:val="clear" w:color="auto" w:fill="FFFFFF"/>
        </w:rPr>
        <w:t>投入 1 名项目总负责人负责本项目相关的各项工作 。</w:t>
      </w:r>
      <w:r>
        <w:rPr>
          <w:rFonts w:hint="eastAsia" w:ascii="仿宋" w:hAnsi="仿宋" w:eastAsia="仿宋" w:cs="仿宋"/>
          <w:color w:val="auto"/>
          <w:sz w:val="24"/>
          <w:szCs w:val="24"/>
          <w:highlight w:val="none"/>
          <w:shd w:val="clear" w:color="auto" w:fill="FFFFFF"/>
          <w:lang w:eastAsia="zh-CN"/>
        </w:rPr>
        <w:t>投标人</w:t>
      </w:r>
      <w:r>
        <w:rPr>
          <w:rFonts w:hint="eastAsia" w:ascii="仿宋" w:hAnsi="仿宋" w:eastAsia="仿宋" w:cs="仿宋"/>
          <w:color w:val="auto"/>
          <w:sz w:val="24"/>
          <w:szCs w:val="24"/>
          <w:highlight w:val="none"/>
          <w:shd w:val="clear" w:color="auto" w:fill="FFFFFF"/>
        </w:rPr>
        <w:t>拟投入的其他团队人员（不含项目负责人）不少于 5 人</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shd w:val="clear" w:color="auto" w:fill="FFFFFF"/>
          <w:lang w:val="en-US" w:eastAsia="zh-CN"/>
        </w:rPr>
        <w:t>团队成员需符合国家规定的资格条件的出版专业人员。</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其他工作要求</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1.按国家法律、法规及行政主管部门的有关规定，结合项目实际情况提供出版服务；在绍兴市社会科学界联合会的领导与指导下，制定项目的工作程序，按时按质完成项目工作内容。</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default"/>
          <w:color w:val="auto"/>
          <w:highlight w:val="none"/>
          <w:lang w:val="en-US" w:eastAsia="zh-CN"/>
        </w:rPr>
      </w:pPr>
      <w:r>
        <w:rPr>
          <w:rFonts w:hint="eastAsia" w:ascii="仿宋_GB2312" w:hAnsi="宋体" w:eastAsia="仿宋_GB2312"/>
          <w:color w:val="auto"/>
          <w:sz w:val="24"/>
          <w:highlight w:val="none"/>
        </w:rPr>
        <w:t>★</w:t>
      </w:r>
      <w:r>
        <w:rPr>
          <w:rFonts w:hint="eastAsia" w:ascii="仿宋" w:hAnsi="仿宋" w:eastAsia="仿宋"/>
          <w:b w:val="0"/>
          <w:bCs w:val="0"/>
          <w:color w:val="auto"/>
          <w:sz w:val="24"/>
          <w:highlight w:val="none"/>
          <w:lang w:val="en-US" w:eastAsia="zh-CN"/>
        </w:rPr>
        <w:t>2.知识产权：项目原来出版部分的书籍涉及著作权、版权等事宜由投标人自行解决。本项目所包含的内容和素材资料的著作权与使用权均归属于采购人。投标人须承诺所交付使用成品未侵犯他人的商标权、专利权、著作权、肖像权等在先权利，否则因此产生的一切法律后果以及责任由投标人承担。</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3.未经采购人同意，投标人不得将采购人所提供的文件、资料等，随意传播给其他单位或个人。</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4.服务标准：出版服务形成的实施方案及报告通过政府相关部门或</w:t>
      </w:r>
      <w:r>
        <w:rPr>
          <w:rFonts w:hint="eastAsia" w:ascii="仿宋_GB2312" w:hAnsi="方正黑体_GBK" w:eastAsia="仿宋_GB2312" w:cs="方正黑体_GBK"/>
          <w:b w:val="0"/>
          <w:bCs/>
          <w:color w:val="auto"/>
          <w:kern w:val="2"/>
          <w:sz w:val="24"/>
          <w:szCs w:val="24"/>
          <w:highlight w:val="none"/>
          <w:lang w:val="en-US" w:eastAsia="zh-CN" w:bidi="ar-SA"/>
        </w:rPr>
        <w:t>编纂委员会</w:t>
      </w:r>
      <w:r>
        <w:rPr>
          <w:rFonts w:hint="eastAsia" w:ascii="仿宋" w:hAnsi="仿宋" w:eastAsia="仿宋"/>
          <w:b w:val="0"/>
          <w:bCs w:val="0"/>
          <w:color w:val="auto"/>
          <w:sz w:val="24"/>
          <w:highlight w:val="none"/>
          <w:lang w:val="en-US" w:eastAsia="zh-CN"/>
        </w:rPr>
        <w:t>审定验收，会议审定通过后即为成果符合验收要求。</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5.在签订合同之后，如提出修改，具体项目和条件由投标人与采购人商定，作为合同附件。</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eastAsia="仿宋"/>
          <w:color w:val="auto"/>
          <w:highlight w:val="none"/>
          <w:lang w:val="en-US" w:eastAsia="zh-CN"/>
        </w:rPr>
      </w:pPr>
      <w:r>
        <w:rPr>
          <w:rFonts w:hint="eastAsia" w:ascii="仿宋" w:hAnsi="仿宋" w:eastAsia="仿宋" w:cs="仿宋"/>
          <w:color w:val="auto"/>
          <w:sz w:val="24"/>
          <w:szCs w:val="24"/>
          <w:highlight w:val="none"/>
          <w:shd w:val="clear" w:color="auto" w:fill="FFFFFF"/>
          <w:lang w:val="en-US" w:eastAsia="zh-CN"/>
        </w:rPr>
        <w:t>6.</w:t>
      </w:r>
      <w:r>
        <w:rPr>
          <w:rFonts w:hint="eastAsia" w:ascii="仿宋" w:hAnsi="仿宋" w:eastAsia="仿宋" w:cs="仿宋"/>
          <w:color w:val="auto"/>
          <w:sz w:val="24"/>
          <w:szCs w:val="24"/>
          <w:highlight w:val="none"/>
          <w:shd w:val="clear" w:color="auto" w:fill="FFFFFF"/>
        </w:rPr>
        <w:t>交货地点：</w:t>
      </w:r>
      <w:r>
        <w:rPr>
          <w:rFonts w:hint="eastAsia" w:ascii="仿宋" w:hAnsi="仿宋" w:eastAsia="仿宋" w:cs="仿宋"/>
          <w:color w:val="auto"/>
          <w:sz w:val="24"/>
          <w:szCs w:val="24"/>
          <w:highlight w:val="none"/>
          <w:shd w:val="clear" w:color="auto" w:fill="FFFFFF"/>
          <w:lang w:eastAsia="zh-CN"/>
        </w:rPr>
        <w:t>采购人</w:t>
      </w:r>
      <w:r>
        <w:rPr>
          <w:rFonts w:hint="eastAsia" w:ascii="仿宋" w:hAnsi="仿宋" w:eastAsia="仿宋" w:cs="仿宋"/>
          <w:color w:val="auto"/>
          <w:sz w:val="24"/>
          <w:szCs w:val="24"/>
          <w:highlight w:val="none"/>
          <w:shd w:val="clear" w:color="auto" w:fill="FFFFFF"/>
        </w:rPr>
        <w:t>指定地点</w:t>
      </w:r>
      <w:r>
        <w:rPr>
          <w:rFonts w:hint="eastAsia" w:ascii="仿宋" w:hAnsi="仿宋" w:eastAsia="仿宋" w:cs="仿宋"/>
          <w:color w:val="auto"/>
          <w:sz w:val="24"/>
          <w:szCs w:val="24"/>
          <w:highlight w:val="none"/>
          <w:shd w:val="clear" w:color="auto" w:fill="FFFFFF"/>
          <w:lang w:val="en-US" w:eastAsia="zh-CN"/>
        </w:rPr>
        <w:t>。</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进度要求</w:t>
      </w:r>
    </w:p>
    <w:p>
      <w:pPr>
        <w:keepNext w:val="0"/>
        <w:keepLines w:val="0"/>
        <w:widowControl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合同签订生效后，在202</w:t>
      </w:r>
      <w:r>
        <w:rPr>
          <w:rFonts w:hint="eastAsia" w:ascii="仿宋" w:hAnsi="仿宋" w:eastAsia="仿宋" w:cs="仿宋"/>
          <w:color w:val="auto"/>
          <w:sz w:val="24"/>
          <w:szCs w:val="24"/>
          <w:highlight w:val="none"/>
          <w:shd w:val="clear" w:color="auto" w:fill="FFFFFF"/>
          <w:lang w:val="en-US" w:eastAsia="zh-CN"/>
        </w:rPr>
        <w:t>3</w:t>
      </w:r>
      <w:r>
        <w:rPr>
          <w:rFonts w:hint="eastAsia" w:ascii="仿宋" w:hAnsi="仿宋" w:eastAsia="仿宋" w:cs="仿宋"/>
          <w:color w:val="auto"/>
          <w:sz w:val="24"/>
          <w:szCs w:val="24"/>
          <w:highlight w:val="none"/>
          <w:shd w:val="clear" w:color="auto" w:fill="FFFFFF"/>
        </w:rPr>
        <w:t>年</w:t>
      </w:r>
      <w:r>
        <w:rPr>
          <w:rFonts w:hint="eastAsia" w:ascii="仿宋" w:hAnsi="仿宋" w:eastAsia="仿宋" w:cs="仿宋"/>
          <w:color w:val="auto"/>
          <w:sz w:val="24"/>
          <w:szCs w:val="24"/>
          <w:highlight w:val="none"/>
          <w:shd w:val="clear" w:color="auto" w:fill="FFFFFF"/>
          <w:lang w:val="en-US" w:eastAsia="zh-CN"/>
        </w:rPr>
        <w:t>4</w:t>
      </w:r>
      <w:r>
        <w:rPr>
          <w:rFonts w:hint="eastAsia" w:ascii="仿宋" w:hAnsi="仿宋" w:eastAsia="仿宋" w:cs="仿宋"/>
          <w:color w:val="auto"/>
          <w:sz w:val="24"/>
          <w:szCs w:val="24"/>
          <w:highlight w:val="none"/>
          <w:shd w:val="clear" w:color="auto" w:fill="FFFFFF"/>
        </w:rPr>
        <w:t>月30日前</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shd w:val="clear" w:color="auto" w:fill="FFFFFF"/>
        </w:rPr>
        <w:t>完成</w:t>
      </w:r>
      <w:r>
        <w:rPr>
          <w:rFonts w:hint="eastAsia" w:ascii="仿宋_GB2312" w:hAnsi="方正黑体_GBK" w:eastAsia="仿宋_GB2312" w:cs="方正黑体_GBK"/>
          <w:b w:val="0"/>
          <w:bCs/>
          <w:color w:val="auto"/>
          <w:kern w:val="2"/>
          <w:sz w:val="24"/>
          <w:szCs w:val="24"/>
          <w:highlight w:val="none"/>
          <w:lang w:val="en-US" w:eastAsia="zh-CN" w:bidi="ar-SA"/>
        </w:rPr>
        <w:t>对本次招标项目所有内容</w:t>
      </w:r>
      <w:r>
        <w:rPr>
          <w:rFonts w:hint="eastAsia" w:ascii="仿宋" w:hAnsi="仿宋" w:eastAsia="仿宋" w:cs="仿宋"/>
          <w:color w:val="auto"/>
          <w:sz w:val="24"/>
          <w:szCs w:val="24"/>
          <w:highlight w:val="none"/>
          <w:shd w:val="clear" w:color="auto" w:fill="FFFFFF"/>
        </w:rPr>
        <w:t>的出版发行。</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项目验收</w:t>
      </w:r>
      <w:bookmarkStart w:id="167" w:name="_GoBack"/>
      <w:bookmarkEnd w:id="167"/>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b w:val="0"/>
          <w:bCs w:val="0"/>
          <w:color w:val="auto"/>
          <w:sz w:val="24"/>
          <w:highlight w:val="none"/>
        </w:rPr>
      </w:pPr>
      <w:r>
        <w:rPr>
          <w:rFonts w:hint="eastAsia" w:ascii="仿宋" w:hAnsi="仿宋" w:eastAsia="仿宋"/>
          <w:b w:val="0"/>
          <w:bCs w:val="0"/>
          <w:color w:val="auto"/>
          <w:sz w:val="24"/>
          <w:highlight w:val="none"/>
        </w:rPr>
        <w:t xml:space="preserve">1. </w:t>
      </w:r>
      <w:r>
        <w:rPr>
          <w:rFonts w:hint="eastAsia" w:ascii="仿宋" w:hAnsi="仿宋" w:eastAsia="仿宋"/>
          <w:b w:val="0"/>
          <w:bCs w:val="0"/>
          <w:color w:val="auto"/>
          <w:sz w:val="24"/>
          <w:highlight w:val="none"/>
          <w:lang w:eastAsia="zh-CN"/>
        </w:rPr>
        <w:t>采购人</w:t>
      </w:r>
      <w:r>
        <w:rPr>
          <w:rFonts w:hint="eastAsia" w:ascii="仿宋" w:hAnsi="仿宋" w:eastAsia="仿宋"/>
          <w:b w:val="0"/>
          <w:bCs w:val="0"/>
          <w:color w:val="auto"/>
          <w:sz w:val="24"/>
          <w:highlight w:val="none"/>
        </w:rPr>
        <w:t>对</w:t>
      </w:r>
      <w:r>
        <w:rPr>
          <w:rFonts w:hint="eastAsia" w:ascii="仿宋" w:hAnsi="仿宋" w:eastAsia="仿宋"/>
          <w:b w:val="0"/>
          <w:bCs w:val="0"/>
          <w:color w:val="auto"/>
          <w:sz w:val="24"/>
          <w:highlight w:val="none"/>
          <w:lang w:eastAsia="zh-CN"/>
        </w:rPr>
        <w:t>投标人</w:t>
      </w:r>
      <w:r>
        <w:rPr>
          <w:rFonts w:hint="eastAsia" w:ascii="仿宋" w:hAnsi="仿宋" w:eastAsia="仿宋"/>
          <w:b w:val="0"/>
          <w:bCs w:val="0"/>
          <w:color w:val="auto"/>
          <w:sz w:val="24"/>
          <w:highlight w:val="none"/>
        </w:rPr>
        <w:t>提交的图书，依据技术规格、质量要求和国家有关质量标准进行实物验收。</w:t>
      </w:r>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b w:val="0"/>
          <w:bCs w:val="0"/>
          <w:color w:val="auto"/>
          <w:sz w:val="24"/>
          <w:highlight w:val="none"/>
        </w:rPr>
      </w:pPr>
      <w:r>
        <w:rPr>
          <w:rFonts w:hint="eastAsia" w:ascii="仿宋" w:hAnsi="仿宋" w:eastAsia="仿宋"/>
          <w:b w:val="0"/>
          <w:bCs w:val="0"/>
          <w:color w:val="auto"/>
          <w:sz w:val="24"/>
          <w:highlight w:val="none"/>
        </w:rPr>
        <w:t>2.</w:t>
      </w:r>
      <w:r>
        <w:rPr>
          <w:rFonts w:hint="eastAsia" w:ascii="仿宋" w:hAnsi="仿宋" w:eastAsia="仿宋"/>
          <w:b w:val="0"/>
          <w:bCs w:val="0"/>
          <w:color w:val="auto"/>
          <w:sz w:val="24"/>
          <w:highlight w:val="none"/>
          <w:lang w:eastAsia="zh-CN"/>
        </w:rPr>
        <w:t>投标人</w:t>
      </w:r>
      <w:r>
        <w:rPr>
          <w:rFonts w:hint="eastAsia" w:ascii="仿宋" w:hAnsi="仿宋" w:eastAsia="仿宋"/>
          <w:b w:val="0"/>
          <w:bCs w:val="0"/>
          <w:color w:val="auto"/>
          <w:sz w:val="24"/>
          <w:highlight w:val="none"/>
        </w:rPr>
        <w:t>应于投标书中提供验收标准和检测办法，并在验收中提供</w:t>
      </w:r>
      <w:r>
        <w:rPr>
          <w:rFonts w:hint="eastAsia" w:ascii="仿宋" w:hAnsi="仿宋" w:eastAsia="仿宋"/>
          <w:b w:val="0"/>
          <w:bCs w:val="0"/>
          <w:color w:val="auto"/>
          <w:sz w:val="24"/>
          <w:highlight w:val="none"/>
          <w:lang w:eastAsia="zh-CN"/>
        </w:rPr>
        <w:t>采购人</w:t>
      </w:r>
      <w:r>
        <w:rPr>
          <w:rFonts w:hint="eastAsia" w:ascii="仿宋" w:hAnsi="仿宋" w:eastAsia="仿宋"/>
          <w:b w:val="0"/>
          <w:bCs w:val="0"/>
          <w:color w:val="auto"/>
          <w:sz w:val="24"/>
          <w:highlight w:val="none"/>
        </w:rPr>
        <w:t>认可的相应检测手段，验收标准应</w:t>
      </w:r>
      <w:r>
        <w:rPr>
          <w:rFonts w:hint="eastAsia" w:ascii="仿宋" w:hAnsi="仿宋" w:eastAsia="仿宋"/>
          <w:b w:val="0"/>
          <w:bCs w:val="0"/>
          <w:color w:val="auto"/>
          <w:sz w:val="24"/>
          <w:highlight w:val="none"/>
          <w:lang w:eastAsia="zh-CN"/>
        </w:rPr>
        <w:t>符合</w:t>
      </w:r>
      <w:r>
        <w:rPr>
          <w:rFonts w:hint="eastAsia" w:ascii="仿宋" w:hAnsi="仿宋" w:eastAsia="仿宋"/>
          <w:b w:val="0"/>
          <w:bCs w:val="0"/>
          <w:color w:val="auto"/>
          <w:sz w:val="24"/>
          <w:highlight w:val="none"/>
        </w:rPr>
        <w:t>国家、地方</w:t>
      </w:r>
      <w:r>
        <w:rPr>
          <w:rFonts w:hint="eastAsia" w:ascii="仿宋" w:hAnsi="仿宋" w:eastAsia="仿宋"/>
          <w:b w:val="0"/>
          <w:bCs w:val="0"/>
          <w:color w:val="auto"/>
          <w:sz w:val="24"/>
          <w:highlight w:val="none"/>
          <w:lang w:eastAsia="zh-CN"/>
        </w:rPr>
        <w:t>及</w:t>
      </w:r>
      <w:r>
        <w:rPr>
          <w:rFonts w:hint="eastAsia" w:ascii="仿宋" w:hAnsi="仿宋" w:eastAsia="仿宋"/>
          <w:b w:val="0"/>
          <w:bCs w:val="0"/>
          <w:color w:val="auto"/>
          <w:sz w:val="24"/>
          <w:highlight w:val="none"/>
        </w:rPr>
        <w:t>行业的标准，如若中标，经</w:t>
      </w:r>
      <w:r>
        <w:rPr>
          <w:rFonts w:hint="eastAsia" w:ascii="仿宋" w:hAnsi="仿宋" w:eastAsia="仿宋"/>
          <w:b w:val="0"/>
          <w:bCs w:val="0"/>
          <w:color w:val="auto"/>
          <w:sz w:val="24"/>
          <w:highlight w:val="none"/>
          <w:lang w:eastAsia="zh-CN"/>
        </w:rPr>
        <w:t>采购人</w:t>
      </w:r>
      <w:r>
        <w:rPr>
          <w:rFonts w:hint="eastAsia" w:ascii="仿宋" w:hAnsi="仿宋" w:eastAsia="仿宋"/>
          <w:b w:val="0"/>
          <w:bCs w:val="0"/>
          <w:color w:val="auto"/>
          <w:sz w:val="24"/>
          <w:highlight w:val="none"/>
        </w:rPr>
        <w:t>确认后作为验收的依据。</w:t>
      </w:r>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b w:val="0"/>
          <w:bCs w:val="0"/>
          <w:color w:val="auto"/>
          <w:sz w:val="24"/>
          <w:highlight w:val="none"/>
        </w:rPr>
      </w:pPr>
      <w:r>
        <w:rPr>
          <w:rFonts w:hint="eastAsia" w:ascii="仿宋" w:hAnsi="仿宋" w:eastAsia="仿宋"/>
          <w:b w:val="0"/>
          <w:bCs w:val="0"/>
          <w:color w:val="auto"/>
          <w:sz w:val="24"/>
          <w:highlight w:val="none"/>
        </w:rPr>
        <w:t>3.验收中发现标的物达不到验收标准或合同规定的技术指标，</w:t>
      </w:r>
      <w:r>
        <w:rPr>
          <w:rFonts w:hint="eastAsia" w:ascii="仿宋" w:hAnsi="仿宋" w:eastAsia="仿宋"/>
          <w:b w:val="0"/>
          <w:bCs w:val="0"/>
          <w:color w:val="auto"/>
          <w:sz w:val="24"/>
          <w:highlight w:val="none"/>
          <w:lang w:eastAsia="zh-CN"/>
        </w:rPr>
        <w:t>投标人</w:t>
      </w:r>
      <w:r>
        <w:rPr>
          <w:rFonts w:hint="eastAsia" w:ascii="仿宋" w:hAnsi="仿宋" w:eastAsia="仿宋"/>
          <w:b w:val="0"/>
          <w:bCs w:val="0"/>
          <w:color w:val="auto"/>
          <w:sz w:val="24"/>
          <w:highlight w:val="none"/>
        </w:rPr>
        <w:t>必须更换，并</w:t>
      </w:r>
      <w:r>
        <w:rPr>
          <w:rFonts w:hint="eastAsia" w:ascii="仿宋" w:hAnsi="仿宋" w:eastAsia="仿宋"/>
          <w:b w:val="0"/>
          <w:bCs w:val="0"/>
          <w:color w:val="auto"/>
          <w:sz w:val="24"/>
          <w:highlight w:val="none"/>
          <w:lang w:eastAsia="zh-CN"/>
        </w:rPr>
        <w:t>承</w:t>
      </w:r>
      <w:r>
        <w:rPr>
          <w:rFonts w:hint="eastAsia" w:ascii="仿宋" w:hAnsi="仿宋" w:eastAsia="仿宋"/>
          <w:b w:val="0"/>
          <w:bCs w:val="0"/>
          <w:color w:val="auto"/>
          <w:sz w:val="24"/>
          <w:highlight w:val="none"/>
        </w:rPr>
        <w:t>担由此给</w:t>
      </w:r>
      <w:r>
        <w:rPr>
          <w:rFonts w:hint="eastAsia" w:ascii="仿宋" w:hAnsi="仿宋" w:eastAsia="仿宋"/>
          <w:b w:val="0"/>
          <w:bCs w:val="0"/>
          <w:color w:val="auto"/>
          <w:sz w:val="24"/>
          <w:highlight w:val="none"/>
          <w:lang w:eastAsia="zh-CN"/>
        </w:rPr>
        <w:t>采购人</w:t>
      </w:r>
      <w:r>
        <w:rPr>
          <w:rFonts w:hint="eastAsia" w:ascii="仿宋" w:hAnsi="仿宋" w:eastAsia="仿宋"/>
          <w:b w:val="0"/>
          <w:bCs w:val="0"/>
          <w:color w:val="auto"/>
          <w:sz w:val="24"/>
          <w:highlight w:val="none"/>
        </w:rPr>
        <w:t>造成的损失，直到验收合格为止。</w:t>
      </w:r>
    </w:p>
    <w:p>
      <w:pPr>
        <w:keepNext w:val="0"/>
        <w:keepLines w:val="0"/>
        <w:widowControl w:val="0"/>
        <w:kinsoku/>
        <w:wordWrap/>
        <w:overflowPunct/>
        <w:topLinePunct w:val="0"/>
        <w:autoSpaceDE/>
        <w:autoSpaceDN/>
        <w:bidi w:val="0"/>
        <w:spacing w:line="440" w:lineRule="exact"/>
        <w:ind w:firstLine="480" w:firstLineChars="200"/>
        <w:textAlignment w:val="auto"/>
        <w:rPr>
          <w:rFonts w:hint="eastAsia"/>
          <w:color w:val="auto"/>
          <w:highlight w:val="none"/>
          <w:lang w:val="en-US" w:eastAsia="zh-CN"/>
        </w:rPr>
      </w:pPr>
      <w:r>
        <w:rPr>
          <w:rFonts w:hint="eastAsia" w:ascii="仿宋" w:hAnsi="仿宋" w:eastAsia="仿宋"/>
          <w:b w:val="0"/>
          <w:bCs w:val="0"/>
          <w:color w:val="auto"/>
          <w:sz w:val="24"/>
          <w:highlight w:val="none"/>
        </w:rPr>
        <w:t>4. 验收费用由中标</w:t>
      </w:r>
      <w:r>
        <w:rPr>
          <w:rFonts w:hint="eastAsia" w:ascii="仿宋" w:hAnsi="仿宋" w:eastAsia="仿宋"/>
          <w:b w:val="0"/>
          <w:bCs w:val="0"/>
          <w:color w:val="auto"/>
          <w:sz w:val="24"/>
          <w:highlight w:val="none"/>
          <w:lang w:eastAsia="zh-CN"/>
        </w:rPr>
        <w:t>人</w:t>
      </w:r>
      <w:r>
        <w:rPr>
          <w:rFonts w:hint="eastAsia" w:ascii="仿宋" w:hAnsi="仿宋" w:eastAsia="仿宋"/>
          <w:b w:val="0"/>
          <w:bCs w:val="0"/>
          <w:color w:val="auto"/>
          <w:sz w:val="24"/>
          <w:highlight w:val="none"/>
        </w:rPr>
        <w:t>承担。</w:t>
      </w:r>
    </w:p>
    <w:p>
      <w:pPr>
        <w:keepNext w:val="0"/>
        <w:keepLines w:val="0"/>
        <w:widowControl w:val="0"/>
        <w:numPr>
          <w:ilvl w:val="0"/>
          <w:numId w:val="6"/>
        </w:numPr>
        <w:kinsoku/>
        <w:wordWrap/>
        <w:overflowPunct/>
        <w:topLinePunct w:val="0"/>
        <w:autoSpaceDE/>
        <w:autoSpaceDN/>
        <w:bidi w:val="0"/>
        <w:spacing w:line="440" w:lineRule="exact"/>
        <w:ind w:left="148" w:leftChars="0" w:firstLine="482" w:firstLineChars="0"/>
        <w:textAlignment w:val="auto"/>
        <w:rPr>
          <w:rFonts w:hint="eastAsia" w:ascii="仿宋_GB2312" w:hAnsi="方正黑体_GBK" w:eastAsia="仿宋_GB2312" w:cs="方正黑体_GBK"/>
          <w:b/>
          <w:color w:val="auto"/>
          <w:sz w:val="24"/>
          <w:highlight w:val="none"/>
          <w:lang w:val="en-US" w:eastAsia="zh-CN"/>
        </w:rPr>
      </w:pPr>
      <w:r>
        <w:rPr>
          <w:rFonts w:hint="eastAsia" w:ascii="仿宋_GB2312" w:hAnsi="方正黑体_GBK" w:eastAsia="仿宋_GB2312" w:cs="方正黑体_GBK"/>
          <w:b/>
          <w:color w:val="auto"/>
          <w:sz w:val="24"/>
          <w:highlight w:val="none"/>
          <w:lang w:val="en-US" w:eastAsia="zh-CN"/>
        </w:rPr>
        <w:t>结算及付款方式</w:t>
      </w:r>
    </w:p>
    <w:p>
      <w:pPr>
        <w:keepNext w:val="0"/>
        <w:keepLines w:val="0"/>
        <w:widowControl w:val="0"/>
        <w:kinsoku/>
        <w:wordWrap/>
        <w:overflowPunct/>
        <w:topLinePunct w:val="0"/>
        <w:autoSpaceDE/>
        <w:autoSpaceDN/>
        <w:bidi w:val="0"/>
        <w:snapToGrid w:val="0"/>
        <w:spacing w:line="440" w:lineRule="exact"/>
        <w:ind w:firstLine="480" w:firstLineChars="200"/>
        <w:textAlignment w:val="auto"/>
        <w:rPr>
          <w:rFonts w:ascii="仿宋_GB2312" w:eastAsia="仿宋_GB2312"/>
          <w:b/>
          <w:color w:val="auto"/>
          <w:sz w:val="24"/>
          <w:szCs w:val="22"/>
          <w:highlight w:val="none"/>
        </w:rPr>
      </w:pPr>
      <w:r>
        <w:rPr>
          <w:rFonts w:hint="eastAsia" w:ascii="仿宋" w:eastAsia="仿宋"/>
          <w:color w:val="auto"/>
          <w:kern w:val="0"/>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pageBreakBefore/>
        <w:spacing w:line="540" w:lineRule="exact"/>
        <w:ind w:left="-283" w:leftChars="-135" w:right="-651" w:rightChars="-310"/>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合同主要条款</w:t>
      </w:r>
    </w:p>
    <w:p>
      <w:pPr>
        <w:ind w:left="-283" w:leftChars="-135" w:right="-651" w:rightChars="-310"/>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pPr>
        <w:spacing w:line="480" w:lineRule="auto"/>
        <w:ind w:left="-283" w:leftChars="-135" w:right="-651" w:rightChars="-310"/>
        <w:jc w:val="center"/>
        <w:rPr>
          <w:rFonts w:ascii="楷体" w:hAnsi="楷体" w:eastAsia="楷体"/>
          <w:b/>
          <w:color w:val="auto"/>
          <w:sz w:val="28"/>
          <w:szCs w:val="28"/>
          <w:highlight w:val="none"/>
        </w:rPr>
      </w:pPr>
    </w:p>
    <w:p>
      <w:pPr>
        <w:spacing w:line="480" w:lineRule="auto"/>
        <w:ind w:left="-283" w:leftChars="-135" w:right="-651" w:rightChars="-310"/>
        <w:jc w:val="center"/>
        <w:rPr>
          <w:rFonts w:ascii="仿宋" w:hAnsi="仿宋" w:eastAsia="仿宋"/>
          <w:b/>
          <w:color w:val="auto"/>
          <w:sz w:val="24"/>
          <w:highlight w:val="none"/>
        </w:rPr>
      </w:pPr>
    </w:p>
    <w:p>
      <w:pPr>
        <w:spacing w:line="480" w:lineRule="auto"/>
        <w:ind w:left="-283" w:leftChars="-135" w:right="-651" w:rightChars="-310"/>
        <w:jc w:val="center"/>
        <w:rPr>
          <w:rFonts w:ascii="仿宋" w:hAnsi="仿宋" w:eastAsia="仿宋"/>
          <w:b/>
          <w:color w:val="auto"/>
          <w:sz w:val="24"/>
          <w:highlight w:val="none"/>
        </w:rPr>
      </w:pPr>
    </w:p>
    <w:p>
      <w:pPr>
        <w:spacing w:line="480" w:lineRule="auto"/>
        <w:ind w:left="-283" w:leftChars="-135" w:right="-651" w:rightChars="-310"/>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spacing w:line="480" w:lineRule="auto"/>
        <w:ind w:left="-283" w:leftChars="-135" w:right="-651" w:rightChars="-310"/>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pPr>
        <w:pStyle w:val="5"/>
        <w:ind w:left="-283" w:leftChars="-135" w:right="-651" w:rightChars="-310"/>
        <w:rPr>
          <w:rFonts w:ascii="仿宋" w:hAnsi="仿宋" w:eastAsia="仿宋"/>
          <w:color w:val="auto"/>
          <w:highlight w:val="none"/>
        </w:rPr>
      </w:pPr>
    </w:p>
    <w:p>
      <w:pPr>
        <w:pStyle w:val="5"/>
        <w:ind w:left="-283" w:leftChars="-135" w:right="-651" w:rightChars="-310"/>
        <w:rPr>
          <w:rFonts w:ascii="仿宋" w:hAnsi="仿宋" w:eastAsia="仿宋"/>
          <w:color w:val="auto"/>
          <w:highlight w:val="none"/>
        </w:rPr>
      </w:pPr>
    </w:p>
    <w:p>
      <w:pPr>
        <w:pStyle w:val="5"/>
        <w:ind w:left="-283" w:leftChars="-135" w:right="-651" w:rightChars="-310" w:firstLine="562"/>
        <w:jc w:val="center"/>
        <w:rPr>
          <w:rFonts w:ascii="仿宋" w:hAnsi="仿宋" w:eastAsia="仿宋"/>
          <w:b/>
          <w:color w:val="auto"/>
          <w:sz w:val="28"/>
          <w:highlight w:val="none"/>
        </w:rPr>
      </w:pPr>
      <w:r>
        <w:rPr>
          <w:rFonts w:hint="eastAsia" w:ascii="仿宋" w:hAnsi="仿宋" w:eastAsia="仿宋"/>
          <w:b/>
          <w:color w:val="auto"/>
          <w:sz w:val="28"/>
          <w:highlight w:val="none"/>
        </w:rPr>
        <w:t xml:space="preserve">第一部分  </w:t>
      </w:r>
      <w:r>
        <w:rPr>
          <w:rFonts w:ascii="仿宋" w:hAnsi="仿宋" w:eastAsia="仿宋"/>
          <w:b/>
          <w:color w:val="auto"/>
          <w:sz w:val="28"/>
          <w:highlight w:val="none"/>
        </w:rPr>
        <w:t xml:space="preserve"> </w:t>
      </w:r>
      <w:r>
        <w:rPr>
          <w:rFonts w:hint="eastAsia" w:ascii="仿宋" w:hAnsi="仿宋" w:eastAsia="仿宋"/>
          <w:b/>
          <w:color w:val="auto"/>
          <w:sz w:val="28"/>
          <w:highlight w:val="none"/>
        </w:rPr>
        <w:t>合同书</w:t>
      </w:r>
    </w:p>
    <w:p>
      <w:pPr>
        <w:pStyle w:val="5"/>
        <w:ind w:left="-283" w:leftChars="-135" w:right="-651" w:rightChars="-310"/>
        <w:rPr>
          <w:rFonts w:ascii="仿宋" w:hAnsi="仿宋" w:eastAsia="仿宋"/>
          <w:color w:val="auto"/>
          <w:highlight w:val="none"/>
        </w:rPr>
      </w:pPr>
    </w:p>
    <w:p>
      <w:pPr>
        <w:pStyle w:val="5"/>
        <w:ind w:left="-283" w:leftChars="-135" w:right="-651" w:rightChars="-310"/>
        <w:rPr>
          <w:rFonts w:ascii="仿宋" w:hAnsi="仿宋" w:eastAsia="仿宋"/>
          <w:color w:val="auto"/>
          <w:highlight w:val="none"/>
        </w:rPr>
      </w:pPr>
    </w:p>
    <w:p>
      <w:pPr>
        <w:spacing w:before="120" w:line="22" w:lineRule="atLeast"/>
        <w:ind w:left="-283" w:leftChars="-135" w:right="-651" w:rightChars="-310"/>
        <w:rPr>
          <w:rFonts w:ascii="仿宋" w:hAnsi="仿宋" w:eastAsia="仿宋"/>
          <w:color w:val="auto"/>
          <w:sz w:val="24"/>
          <w:highlight w:val="none"/>
        </w:rPr>
      </w:pPr>
    </w:p>
    <w:p>
      <w:pPr>
        <w:spacing w:before="120" w:line="22" w:lineRule="atLeast"/>
        <w:ind w:left="708" w:leftChars="337" w:right="-651" w:rightChars="-31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290"/>
        <w:spacing w:before="120" w:line="22" w:lineRule="atLeast"/>
        <w:ind w:left="708" w:leftChars="337" w:right="-651" w:rightChars="-310"/>
        <w:rPr>
          <w:rFonts w:ascii="仿宋" w:hAnsi="仿宋" w:eastAsia="仿宋"/>
          <w:color w:val="auto"/>
          <w:szCs w:val="24"/>
          <w:highlight w:val="none"/>
        </w:rPr>
      </w:pPr>
    </w:p>
    <w:p>
      <w:pPr>
        <w:pStyle w:val="290"/>
        <w:spacing w:before="120" w:line="22" w:lineRule="atLeast"/>
        <w:ind w:left="708" w:leftChars="337" w:right="-651" w:rightChars="-310"/>
        <w:rPr>
          <w:rFonts w:ascii="仿宋" w:hAnsi="仿宋" w:eastAsia="仿宋"/>
          <w:color w:val="auto"/>
          <w:szCs w:val="24"/>
          <w:highlight w:val="none"/>
        </w:rPr>
      </w:pPr>
    </w:p>
    <w:p>
      <w:pPr>
        <w:ind w:left="708" w:leftChars="337" w:right="-651" w:rightChars="-310"/>
        <w:rPr>
          <w:rFonts w:ascii="仿宋" w:hAnsi="仿宋" w:eastAsia="仿宋"/>
          <w:color w:val="auto"/>
          <w:sz w:val="24"/>
          <w:highlight w:val="none"/>
        </w:rPr>
      </w:pPr>
    </w:p>
    <w:p>
      <w:pPr>
        <w:spacing w:before="120" w:line="22" w:lineRule="atLeast"/>
        <w:ind w:left="708" w:leftChars="337" w:right="-651" w:rightChars="-31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ind w:left="708" w:leftChars="337" w:right="-651" w:rightChars="-310"/>
        <w:rPr>
          <w:rFonts w:ascii="仿宋" w:hAnsi="仿宋" w:eastAsia="仿宋"/>
          <w:color w:val="auto"/>
          <w:sz w:val="24"/>
          <w:highlight w:val="none"/>
        </w:rPr>
      </w:pPr>
    </w:p>
    <w:p>
      <w:pPr>
        <w:spacing w:before="120" w:line="22" w:lineRule="atLeast"/>
        <w:ind w:left="708" w:leftChars="337" w:right="-651" w:rightChars="-31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ind w:left="-283" w:leftChars="-135" w:right="-651" w:rightChars="-310"/>
        <w:rPr>
          <w:rFonts w:ascii="仿宋" w:hAnsi="仿宋" w:eastAsia="仿宋"/>
          <w:color w:val="auto"/>
          <w:sz w:val="24"/>
          <w:highlight w:val="none"/>
        </w:rPr>
      </w:pPr>
    </w:p>
    <w:p>
      <w:pPr>
        <w:spacing w:before="120" w:line="22" w:lineRule="atLeast"/>
        <w:ind w:left="-283" w:leftChars="-135" w:right="-651" w:rightChars="-310"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ind w:left="-283" w:leftChars="-135" w:right="-651" w:rightChars="-310"/>
        <w:rPr>
          <w:rFonts w:ascii="仿宋" w:hAnsi="仿宋" w:eastAsia="仿宋"/>
          <w:color w:val="auto"/>
          <w:sz w:val="24"/>
          <w:highlight w:val="none"/>
        </w:rPr>
      </w:pPr>
    </w:p>
    <w:p>
      <w:pPr>
        <w:spacing w:before="120" w:line="22" w:lineRule="atLeast"/>
        <w:ind w:left="-283" w:leftChars="-135" w:right="-651" w:rightChars="-310"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ind w:left="-283" w:leftChars="-135" w:right="-651" w:rightChars="-310"/>
        <w:jc w:val="left"/>
        <w:rPr>
          <w:rFonts w:ascii="仿宋" w:hAnsi="仿宋" w:eastAsia="仿宋"/>
          <w:color w:val="auto"/>
          <w:kern w:val="0"/>
          <w:sz w:val="24"/>
          <w:highlight w:val="none"/>
        </w:rPr>
        <w:sectPr>
          <w:footerReference r:id="rId3" w:type="default"/>
          <w:pgSz w:w="11907" w:h="16840"/>
          <w:pgMar w:top="1474" w:right="1814" w:bottom="1474" w:left="1814" w:header="851" w:footer="851" w:gutter="0"/>
          <w:cols w:space="720" w:num="1"/>
          <w:titlePg/>
          <w:docGrid w:linePitch="286" w:charSpace="0"/>
        </w:sectPr>
      </w:pP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年</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月</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日</w:t>
      </w:r>
      <w:r>
        <w:rPr>
          <w:rFonts w:hint="eastAsia" w:ascii="仿宋" w:hAnsi="仿宋" w:eastAsia="仿宋"/>
          <w:color w:val="auto"/>
          <w:sz w:val="24"/>
          <w:highlight w:val="none"/>
        </w:rPr>
        <w:t>，</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为该项目成交供应商。现于成交通知书发出之日起三十日内，按照采购文件确定的事项签订本合同。</w:t>
      </w:r>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0" w:name="_Toc24059"/>
      <w:bookmarkStart w:id="11" w:name="_Toc3029"/>
      <w:bookmarkStart w:id="12" w:name="_Toc2232"/>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10"/>
      <w:bookmarkEnd w:id="11"/>
      <w:bookmarkEnd w:id="12"/>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成交通知书；</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磋商响应文件（含澄清或者说明文件）；</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磋商文件（含澄清或者修改文件）；</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3" w:name="_Toc21295"/>
      <w:bookmarkStart w:id="14" w:name="_Toc24300"/>
      <w:bookmarkStart w:id="15" w:name="_Toc27126"/>
      <w:r>
        <w:rPr>
          <w:rFonts w:ascii="仿宋" w:hAnsi="仿宋" w:eastAsia="仿宋"/>
          <w:b/>
          <w:color w:val="auto"/>
          <w:sz w:val="24"/>
          <w:highlight w:val="none"/>
        </w:rPr>
        <w:t xml:space="preserve">1.2 </w:t>
      </w:r>
      <w:bookmarkEnd w:id="13"/>
      <w:bookmarkEnd w:id="14"/>
      <w:bookmarkEnd w:id="15"/>
      <w:r>
        <w:rPr>
          <w:rFonts w:hint="eastAsia" w:ascii="仿宋" w:hAnsi="仿宋" w:eastAsia="仿宋"/>
          <w:b/>
          <w:color w:val="auto"/>
          <w:sz w:val="24"/>
          <w:highlight w:val="none"/>
        </w:rPr>
        <w:t>服务</w:t>
      </w:r>
    </w:p>
    <w:p>
      <w:pPr>
        <w:spacing w:line="560" w:lineRule="exact"/>
        <w:ind w:left="-283" w:leftChars="-135" w:right="-651" w:rightChars="-310"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left="-283" w:leftChars="-135" w:right="-651" w:rightChars="-310"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服务期限和内容：</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服务提供地点及方式：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6" w:name="_Toc21631"/>
      <w:bookmarkStart w:id="17" w:name="_Toc21551"/>
      <w:bookmarkStart w:id="18" w:name="_Toc23292"/>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16"/>
      <w:bookmarkEnd w:id="17"/>
      <w:bookmarkEnd w:id="18"/>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元（大写：</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元人民币）。</w:t>
      </w:r>
    </w:p>
    <w:p>
      <w:pPr>
        <w:spacing w:line="560" w:lineRule="exact"/>
        <w:ind w:left="-283" w:leftChars="-135" w:right="-651" w:rightChars="-310"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8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9"/>
              <w:spacing w:line="560" w:lineRule="exact"/>
              <w:ind w:left="-283" w:leftChars="-135" w:right="-651" w:rightChars="-310" w:firstLine="200"/>
              <w:jc w:val="center"/>
              <w:rPr>
                <w:rFonts w:ascii="仿宋" w:hAnsi="仿宋" w:eastAsia="仿宋"/>
                <w:color w:val="auto"/>
                <w:sz w:val="24"/>
                <w:szCs w:val="24"/>
                <w:highlight w:val="none"/>
              </w:rPr>
            </w:pPr>
          </w:p>
        </w:tc>
      </w:tr>
    </w:tbl>
    <w:p>
      <w:pPr>
        <w:spacing w:line="440" w:lineRule="exact"/>
        <w:ind w:left="-283" w:leftChars="-135" w:right="-651" w:rightChars="-310" w:firstLine="482" w:firstLineChars="200"/>
        <w:outlineLvl w:val="0"/>
        <w:rPr>
          <w:rFonts w:ascii="仿宋" w:hAnsi="仿宋" w:eastAsia="仿宋"/>
          <w:b/>
          <w:color w:val="auto"/>
          <w:sz w:val="24"/>
          <w:highlight w:val="none"/>
        </w:rPr>
      </w:pPr>
      <w:bookmarkStart w:id="19" w:name="_Toc10340"/>
      <w:bookmarkStart w:id="20" w:name="_Toc1814"/>
      <w:bookmarkStart w:id="21" w:name="_Toc22618"/>
      <w:bookmarkStart w:id="22" w:name="_Toc32071"/>
      <w:bookmarkStart w:id="23" w:name="_Toc2846"/>
      <w:bookmarkStart w:id="24" w:name="_Toc19304"/>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19"/>
      <w:bookmarkEnd w:id="20"/>
      <w:bookmarkEnd w:id="21"/>
      <w:r>
        <w:rPr>
          <w:rFonts w:hint="eastAsia" w:ascii="仿宋" w:hAnsi="仿宋" w:eastAsia="仿宋"/>
          <w:b/>
          <w:color w:val="auto"/>
          <w:sz w:val="24"/>
          <w:highlight w:val="none"/>
        </w:rPr>
        <w:t>方式、时间和条件</w:t>
      </w:r>
    </w:p>
    <w:p>
      <w:pPr>
        <w:pStyle w:val="291"/>
        <w:spacing w:before="0" w:beforeAutospacing="0" w:after="0" w:afterAutospacing="0" w:line="440" w:lineRule="exact"/>
        <w:ind w:left="-283" w:leftChars="-135" w:right="-651" w:rightChars="-310"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pPr>
        <w:spacing w:line="44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1.4.2</w:t>
      </w:r>
      <w:r>
        <w:rPr>
          <w:rFonts w:hint="eastAsia" w:ascii="仿宋" w:hAnsi="仿宋" w:eastAsia="仿宋"/>
          <w:color w:val="auto"/>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440" w:lineRule="exact"/>
        <w:ind w:left="-283" w:leftChars="-135" w:right="-651" w:rightChars="-310"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left="-283" w:leftChars="-135" w:right="-651" w:rightChars="-310" w:firstLine="482" w:firstLineChars="200"/>
        <w:outlineLvl w:val="0"/>
        <w:rPr>
          <w:rFonts w:ascii="仿宋" w:hAnsi="仿宋" w:eastAsia="仿宋"/>
          <w:b/>
          <w:color w:val="auto"/>
          <w:sz w:val="24"/>
          <w:highlight w:val="none"/>
        </w:rPr>
      </w:pPr>
      <w:r>
        <w:rPr>
          <w:rFonts w:ascii="仿宋" w:hAnsi="仿宋" w:eastAsia="仿宋"/>
          <w:b/>
          <w:color w:val="auto"/>
          <w:sz w:val="24"/>
          <w:highlight w:val="none"/>
        </w:rPr>
        <w:t>1.5</w:t>
      </w:r>
      <w:bookmarkEnd w:id="22"/>
      <w:bookmarkEnd w:id="23"/>
      <w:bookmarkEnd w:id="24"/>
      <w:bookmarkStart w:id="25" w:name="_Toc19554"/>
      <w:bookmarkStart w:id="26" w:name="_Toc27250"/>
      <w:bookmarkStart w:id="27" w:name="_Toc21423"/>
      <w:r>
        <w:rPr>
          <w:rFonts w:hint="eastAsia" w:ascii="仿宋" w:hAnsi="仿宋" w:eastAsia="仿宋"/>
          <w:b/>
          <w:color w:val="auto"/>
          <w:sz w:val="24"/>
          <w:highlight w:val="none"/>
        </w:rPr>
        <w:t>违约责任</w:t>
      </w:r>
      <w:bookmarkEnd w:id="25"/>
      <w:bookmarkEnd w:id="26"/>
      <w:bookmarkEnd w:id="27"/>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元</w:t>
      </w:r>
      <w:r>
        <w:rPr>
          <w:rFonts w:hint="eastAsia" w:ascii="仿宋" w:hAnsi="仿宋" w:eastAsia="仿宋"/>
          <w:color w:val="auto"/>
          <w:sz w:val="24"/>
          <w:highlight w:val="none"/>
        </w:rPr>
        <w:t>/次</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rPr>
        <w:t>%；未按要求提供服务的违约金计算数额达到前述最高限额之日起，甲方有权在要求乙方支付违约金的同时，书面通知乙方解除本合同；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%；迟延付款的违约金计算数额达到前述最高限额之日起，乙方有权在要求甲方支付违约金的同时，书面通知甲方解除本合同；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right="-651" w:rightChars="-310"/>
        <w:rPr>
          <w:color w:val="auto"/>
          <w:highlight w:val="none"/>
        </w:rPr>
      </w:pPr>
      <w:r>
        <w:rPr>
          <w:rFonts w:hint="eastAsia" w:ascii="仿宋" w:hAnsi="仿宋" w:eastAsia="仿宋"/>
          <w:color w:val="auto"/>
          <w:sz w:val="24"/>
          <w:highlight w:val="none"/>
        </w:rPr>
        <w:t>1.5.7违约责任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spacing w:line="560" w:lineRule="exact"/>
        <w:ind w:right="-651" w:rightChars="-310"/>
        <w:outlineLvl w:val="0"/>
        <w:rPr>
          <w:rFonts w:ascii="仿宋" w:hAnsi="仿宋" w:eastAsia="仿宋"/>
          <w:b/>
          <w:color w:val="auto"/>
          <w:sz w:val="24"/>
          <w:highlight w:val="none"/>
        </w:rPr>
      </w:pPr>
      <w:bookmarkStart w:id="28" w:name="_Toc15583"/>
      <w:bookmarkStart w:id="29" w:name="_Toc28375"/>
      <w:bookmarkStart w:id="30" w:name="_Toc16021"/>
      <w:r>
        <w:rPr>
          <w:rFonts w:ascii="仿宋" w:hAnsi="仿宋" w:eastAsia="仿宋"/>
          <w:b/>
          <w:color w:val="auto"/>
          <w:sz w:val="24"/>
          <w:highlight w:val="none"/>
        </w:rPr>
        <w:t>1.</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合同争议的解决</w:t>
      </w:r>
      <w:bookmarkEnd w:id="28"/>
      <w:bookmarkEnd w:id="29"/>
      <w:bookmarkEnd w:id="30"/>
    </w:p>
    <w:p>
      <w:pPr>
        <w:spacing w:line="560" w:lineRule="exact"/>
        <w:ind w:left="-283" w:leftChars="-135" w:right="-651" w:rightChars="-31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pPr>
        <w:spacing w:line="560" w:lineRule="exact"/>
        <w:ind w:left="-43" w:leftChars="-135" w:right="-651" w:rightChars="-310" w:hanging="240" w:hangingChars="1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6</w:t>
      </w:r>
      <w:r>
        <w:rPr>
          <w:rFonts w:ascii="仿宋" w:hAnsi="仿宋" w:eastAsia="仿宋"/>
          <w:color w:val="auto"/>
          <w:sz w:val="24"/>
          <w:highlight w:val="none"/>
        </w:rPr>
        <w:t xml:space="preserve">.1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r>
        <w:rPr>
          <w:rFonts w:ascii="仿宋" w:hAnsi="仿宋" w:eastAsia="仿宋"/>
          <w:color w:val="auto"/>
          <w:sz w:val="24"/>
          <w:highlight w:val="none"/>
        </w:rPr>
        <w:t>1.</w:t>
      </w:r>
      <w:r>
        <w:rPr>
          <w:rFonts w:hint="eastAsia" w:ascii="仿宋" w:hAnsi="仿宋" w:eastAsia="仿宋"/>
          <w:color w:val="auto"/>
          <w:sz w:val="24"/>
          <w:highlight w:val="none"/>
        </w:rPr>
        <w:t>6</w:t>
      </w:r>
      <w:r>
        <w:rPr>
          <w:rFonts w:ascii="仿宋" w:hAnsi="仿宋" w:eastAsia="仿宋"/>
          <w:color w:val="auto"/>
          <w:sz w:val="24"/>
          <w:highlight w:val="none"/>
        </w:rPr>
        <w:t xml:space="preserve">.2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31" w:name="_Toc15322"/>
      <w:bookmarkStart w:id="32" w:name="_Toc11173"/>
      <w:bookmarkStart w:id="33" w:name="_Toc7245"/>
      <w:r>
        <w:rPr>
          <w:rFonts w:ascii="仿宋" w:hAnsi="仿宋" w:eastAsia="仿宋"/>
          <w:b/>
          <w:color w:val="auto"/>
          <w:sz w:val="24"/>
          <w:highlight w:val="none"/>
        </w:rPr>
        <w:t>1.</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合同生效</w:t>
      </w:r>
      <w:bookmarkEnd w:id="31"/>
      <w:bookmarkEnd w:id="32"/>
      <w:bookmarkEnd w:id="33"/>
    </w:p>
    <w:p>
      <w:pPr>
        <w:spacing w:line="560" w:lineRule="exact"/>
        <w:ind w:left="-283" w:leftChars="-135" w:right="-651" w:rightChars="-310"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pPr>
        <w:autoSpaceDE w:val="0"/>
        <w:autoSpaceDN w:val="0"/>
        <w:spacing w:line="560" w:lineRule="exact"/>
        <w:ind w:left="-283" w:leftChars="-135" w:right="-651" w:rightChars="-310"/>
        <w:rPr>
          <w:rFonts w:ascii="仿宋" w:hAnsi="仿宋" w:eastAsia="仿宋"/>
          <w:color w:val="auto"/>
          <w:sz w:val="24"/>
          <w:highlight w:val="none"/>
          <w:lang w:val="zh-CN"/>
        </w:rPr>
      </w:pP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color w:val="auto"/>
          <w:sz w:val="24"/>
          <w:highlight w:val="none"/>
          <w:lang w:val="zh-CN"/>
        </w:rPr>
        <w:t xml:space="preserve">                             </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统一社会信用代码或身份证号码：</w:t>
      </w:r>
    </w:p>
    <w:p>
      <w:pPr>
        <w:autoSpaceDE w:val="0"/>
        <w:autoSpaceDN w:val="0"/>
        <w:spacing w:line="560" w:lineRule="exact"/>
        <w:ind w:left="-283" w:leftChars="-135" w:right="-651" w:rightChars="-310"/>
        <w:rPr>
          <w:rFonts w:ascii="仿宋" w:hAnsi="仿宋" w:eastAsia="仿宋"/>
          <w:color w:val="auto"/>
          <w:sz w:val="24"/>
          <w:highlight w:val="none"/>
          <w:lang w:val="zh-CN"/>
        </w:rPr>
      </w:pP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住所：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住所：</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法定代表人</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联系人：</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联系人：</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约定送达地址：</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邮政编码：</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pPr>
        <w:autoSpaceDE w:val="0"/>
        <w:autoSpaceDN w:val="0"/>
        <w:spacing w:line="560" w:lineRule="exact"/>
        <w:ind w:left="-283" w:leftChars="-135" w:right="-651" w:rightChars="-310"/>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pPr>
        <w:autoSpaceDE w:val="0"/>
        <w:autoSpaceDN w:val="0"/>
        <w:spacing w:line="560" w:lineRule="exact"/>
        <w:ind w:left="-283" w:leftChars="-135" w:right="-651" w:rightChars="-310"/>
        <w:rPr>
          <w:rFonts w:ascii="仿宋" w:hAnsi="仿宋" w:eastAsia="仿宋"/>
          <w:color w:val="auto"/>
          <w:sz w:val="24"/>
          <w:highlight w:val="none"/>
        </w:rPr>
      </w:pPr>
      <w:r>
        <w:rPr>
          <w:rFonts w:hint="eastAsia" w:ascii="仿宋" w:hAnsi="仿宋" w:eastAsia="仿宋"/>
          <w:color w:val="auto"/>
          <w:sz w:val="24"/>
          <w:highlight w:val="none"/>
          <w:lang w:val="zh-CN"/>
        </w:rPr>
        <w:t>电子邮箱：</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电子邮箱：</w:t>
      </w:r>
    </w:p>
    <w:p>
      <w:pPr>
        <w:autoSpaceDE w:val="0"/>
        <w:autoSpaceDN w:val="0"/>
        <w:spacing w:line="560" w:lineRule="exact"/>
        <w:ind w:left="-283" w:leftChars="-135" w:right="-651" w:rightChars="-310"/>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pPr>
        <w:autoSpaceDE w:val="0"/>
        <w:autoSpaceDN w:val="0"/>
        <w:spacing w:line="560" w:lineRule="exact"/>
        <w:ind w:left="-283" w:leftChars="-135" w:right="-651" w:rightChars="-310"/>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pPr>
        <w:autoSpaceDE w:val="0"/>
        <w:autoSpaceDN w:val="0"/>
        <w:spacing w:line="560" w:lineRule="exact"/>
        <w:ind w:left="-283" w:leftChars="-135" w:right="-651" w:rightChars="-310"/>
        <w:rPr>
          <w:rFonts w:ascii="仿宋" w:hAnsi="仿宋" w:eastAsia="仿宋"/>
          <w:color w:val="auto"/>
          <w:sz w:val="24"/>
          <w:highlight w:val="none"/>
        </w:rPr>
      </w:pPr>
      <w:r>
        <w:rPr>
          <w:rFonts w:hint="eastAsia" w:ascii="仿宋" w:hAnsi="仿宋" w:eastAsia="仿宋"/>
          <w:color w:val="auto"/>
          <w:sz w:val="24"/>
          <w:highlight w:val="none"/>
        </w:rPr>
        <w:t>开户账号：</w:t>
      </w:r>
      <w:r>
        <w:rPr>
          <w:rFonts w:ascii="仿宋" w:hAnsi="仿宋" w:eastAsia="仿宋"/>
          <w:color w:val="auto"/>
          <w:sz w:val="24"/>
          <w:highlight w:val="none"/>
          <w:lang w:val="zh-CN"/>
        </w:rPr>
        <w:t xml:space="preserve">                               </w:t>
      </w:r>
      <w:r>
        <w:rPr>
          <w:rFonts w:hint="eastAsia" w:ascii="仿宋" w:hAnsi="仿宋" w:eastAsia="仿宋"/>
          <w:color w:val="auto"/>
          <w:sz w:val="24"/>
          <w:highlight w:val="none"/>
        </w:rPr>
        <w:t>开户账号：</w:t>
      </w:r>
    </w:p>
    <w:p>
      <w:pPr>
        <w:widowControl/>
        <w:spacing w:line="560" w:lineRule="exact"/>
        <w:ind w:left="-283" w:leftChars="-135" w:right="-651" w:rightChars="-310"/>
        <w:jc w:val="left"/>
        <w:rPr>
          <w:rFonts w:ascii="仿宋" w:hAnsi="仿宋" w:eastAsia="仿宋"/>
          <w:b/>
          <w:color w:val="auto"/>
          <w:sz w:val="24"/>
          <w:highlight w:val="none"/>
        </w:rPr>
      </w:pPr>
      <w:bookmarkStart w:id="34" w:name="_Toc331685783"/>
    </w:p>
    <w:p>
      <w:pPr>
        <w:pStyle w:val="5"/>
        <w:spacing w:line="560" w:lineRule="exact"/>
        <w:ind w:left="-283" w:leftChars="-135" w:right="-651" w:rightChars="-310" w:firstLine="422"/>
        <w:jc w:val="center"/>
        <w:rPr>
          <w:rFonts w:ascii="仿宋" w:hAnsi="仿宋" w:eastAsia="仿宋"/>
          <w:b/>
          <w:color w:val="auto"/>
          <w:highlight w:val="none"/>
        </w:rPr>
      </w:pPr>
    </w:p>
    <w:p>
      <w:pPr>
        <w:pStyle w:val="5"/>
        <w:spacing w:line="560" w:lineRule="exact"/>
        <w:ind w:left="-283" w:leftChars="-135" w:right="-651" w:rightChars="-310" w:firstLine="422"/>
        <w:jc w:val="center"/>
        <w:rPr>
          <w:rFonts w:ascii="仿宋" w:hAnsi="仿宋" w:eastAsia="仿宋"/>
          <w:b/>
          <w:color w:val="auto"/>
          <w:highlight w:val="none"/>
        </w:rPr>
      </w:pPr>
    </w:p>
    <w:p>
      <w:pPr>
        <w:pStyle w:val="5"/>
        <w:spacing w:line="560" w:lineRule="exact"/>
        <w:ind w:left="-283" w:leftChars="-135" w:right="-651" w:rightChars="-310" w:firstLine="422"/>
        <w:jc w:val="center"/>
        <w:rPr>
          <w:rFonts w:ascii="仿宋" w:hAnsi="仿宋" w:eastAsia="仿宋"/>
          <w:b/>
          <w:color w:val="auto"/>
          <w:highlight w:val="none"/>
        </w:rPr>
      </w:pPr>
      <w:r>
        <w:rPr>
          <w:rFonts w:hint="eastAsia" w:ascii="仿宋" w:hAnsi="仿宋" w:eastAsia="仿宋"/>
          <w:b/>
          <w:color w:val="auto"/>
          <w:highlight w:val="none"/>
        </w:rPr>
        <w:t>第二部分</w:t>
      </w:r>
      <w:r>
        <w:rPr>
          <w:rFonts w:ascii="仿宋" w:hAnsi="仿宋" w:eastAsia="仿宋"/>
          <w:b/>
          <w:color w:val="auto"/>
          <w:highlight w:val="none"/>
        </w:rPr>
        <w:t xml:space="preserve"> </w:t>
      </w:r>
      <w:r>
        <w:rPr>
          <w:rFonts w:hint="eastAsia" w:ascii="仿宋" w:hAnsi="仿宋" w:eastAsia="仿宋"/>
          <w:b/>
          <w:color w:val="auto"/>
          <w:highlight w:val="none"/>
        </w:rPr>
        <w:t>合同一般条款</w:t>
      </w:r>
      <w:bookmarkEnd w:id="34"/>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35" w:name="_Toc279701240"/>
      <w:bookmarkStart w:id="36" w:name="_Ref467379195"/>
      <w:bookmarkStart w:id="37" w:name="_Ref467379205"/>
      <w:bookmarkStart w:id="38" w:name="_Ref467379094"/>
      <w:bookmarkStart w:id="39" w:name="_Ref467378404"/>
      <w:bookmarkStart w:id="40" w:name="_Ref467378463"/>
      <w:bookmarkStart w:id="41" w:name="_Toc487900349"/>
      <w:bookmarkStart w:id="42" w:name="_Ref467379214"/>
      <w:bookmarkStart w:id="43" w:name="_Toc16917"/>
      <w:bookmarkStart w:id="44" w:name="_Toc259093669"/>
      <w:bookmarkStart w:id="45" w:name="_Toc28763"/>
      <w:bookmarkStart w:id="46" w:name="_Toc19614"/>
      <w:bookmarkStart w:id="47" w:name="_Ref467378499"/>
      <w:bookmarkStart w:id="48" w:name="_Ref467379101"/>
      <w:bookmarkStart w:id="49" w:name="_Ref467379109"/>
      <w:bookmarkStart w:id="50" w:name="_Ref467379225"/>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“合同”系指采购人和成交供应商签订的载明双方当事人所达成的协议，并包括所有的附件、附录和构成合同的其他文件。</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“合同价”系指根据合同约定，成交供应商在完全履行合同义务后，采购人应支付给成交供应商的价格。</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“服务”系指成交供应商根据合同约定应向采购人提供的服务。</w:t>
      </w:r>
    </w:p>
    <w:p>
      <w:pPr>
        <w:spacing w:line="560" w:lineRule="exact"/>
        <w:ind w:left="-283" w:leftChars="-135" w:right="-651" w:rightChars="-310" w:firstLine="480" w:firstLineChars="200"/>
        <w:rPr>
          <w:rFonts w:ascii="仿宋" w:hAnsi="仿宋" w:eastAsia="仿宋"/>
          <w:color w:val="auto"/>
          <w:sz w:val="24"/>
          <w:highlight w:val="none"/>
        </w:rPr>
      </w:pPr>
      <w:bookmarkStart w:id="51"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“甲方”系指与成交供应商签署合同的采购人</w:t>
      </w:r>
      <w:bookmarkEnd w:id="51"/>
      <w:r>
        <w:rPr>
          <w:rFonts w:hint="eastAsia" w:ascii="仿宋" w:hAnsi="仿宋" w:eastAsia="仿宋"/>
          <w:color w:val="auto"/>
          <w:sz w:val="24"/>
          <w:highlight w:val="none"/>
        </w:rPr>
        <w:t>。</w:t>
      </w:r>
    </w:p>
    <w:p>
      <w:pPr>
        <w:spacing w:line="560" w:lineRule="exact"/>
        <w:ind w:left="-283" w:leftChars="-135" w:right="-651" w:rightChars="-310" w:firstLine="480" w:firstLineChars="200"/>
        <w:rPr>
          <w:rFonts w:ascii="仿宋" w:hAnsi="仿宋" w:eastAsia="仿宋"/>
          <w:color w:val="auto"/>
          <w:sz w:val="24"/>
          <w:highlight w:val="none"/>
        </w:rPr>
      </w:pPr>
      <w:bookmarkStart w:id="52"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“乙方”系指根据合同约定提供服务的成交供应商</w:t>
      </w:r>
      <w:bookmarkEnd w:id="52"/>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left="-283" w:leftChars="-135" w:right="-651" w:rightChars="-310" w:firstLine="480" w:firstLineChars="200"/>
        <w:rPr>
          <w:rFonts w:ascii="仿宋" w:hAnsi="仿宋" w:eastAsia="仿宋"/>
          <w:color w:val="auto"/>
          <w:sz w:val="24"/>
          <w:highlight w:val="none"/>
        </w:rPr>
      </w:pPr>
      <w:bookmarkStart w:id="53"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“现场”系指合同约定服务提供地点。</w:t>
      </w:r>
      <w:bookmarkEnd w:id="53"/>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54" w:name="_Toc487900350"/>
      <w:bookmarkStart w:id="55" w:name="_Toc13336"/>
      <w:bookmarkStart w:id="56" w:name="_Toc32504"/>
      <w:bookmarkStart w:id="57" w:name="_Toc259093670"/>
      <w:bookmarkStart w:id="58" w:name="_Toc27635"/>
      <w:bookmarkStart w:id="59" w:name="_Toc279701241"/>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54"/>
      <w:bookmarkEnd w:id="55"/>
      <w:bookmarkEnd w:id="56"/>
      <w:bookmarkEnd w:id="57"/>
      <w:bookmarkEnd w:id="58"/>
      <w:bookmarkEnd w:id="59"/>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服务所应遵守的相关要求应与采购文件规定的相关要求</w:t>
      </w:r>
      <w:r>
        <w:rPr>
          <w:rFonts w:ascii="仿宋" w:hAnsi="仿宋" w:eastAsia="仿宋"/>
          <w:color w:val="auto"/>
          <w:sz w:val="24"/>
          <w:highlight w:val="none"/>
        </w:rPr>
        <w:t>及其偏差表(如果被甲方接受的话)相一致；如果采购文件中没有相应说明，那么应以国家有关部门最新颁布的相应标准和规范为准。</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60" w:name="_Toc31634"/>
      <w:bookmarkStart w:id="61" w:name="_Toc279701242"/>
      <w:bookmarkStart w:id="62" w:name="_Toc487900351"/>
      <w:bookmarkStart w:id="63" w:name="_Toc259093671"/>
      <w:bookmarkStart w:id="64" w:name="_Toc9829"/>
      <w:bookmarkStart w:id="65" w:name="_Toc27853"/>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60"/>
      <w:bookmarkEnd w:id="61"/>
      <w:bookmarkEnd w:id="62"/>
      <w:bookmarkEnd w:id="63"/>
      <w:bookmarkEnd w:id="64"/>
      <w:bookmarkEnd w:id="65"/>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2.3.</w:t>
      </w:r>
      <w:r>
        <w:rPr>
          <w:rFonts w:hint="eastAsia" w:ascii="仿宋" w:hAnsi="仿宋" w:eastAsia="仿宋"/>
          <w:color w:val="auto"/>
          <w:sz w:val="24"/>
          <w:highlight w:val="none"/>
        </w:rPr>
        <w:t>2</w:t>
      </w:r>
      <w:r>
        <w:rPr>
          <w:rFonts w:ascii="仿宋" w:hAnsi="仿宋" w:eastAsia="仿宋"/>
          <w:color w:val="auto"/>
          <w:sz w:val="24"/>
          <w:highlight w:val="none"/>
        </w:rPr>
        <w:t>具有知识产权的计算机软件等开发</w:t>
      </w:r>
      <w:r>
        <w:rPr>
          <w:rFonts w:hint="eastAsia" w:ascii="仿宋" w:hAnsi="仿宋" w:eastAsia="仿宋"/>
          <w:color w:val="auto"/>
          <w:sz w:val="24"/>
          <w:highlight w:val="none"/>
        </w:rPr>
        <w:t>服务</w:t>
      </w:r>
      <w:r>
        <w:rPr>
          <w:rFonts w:ascii="仿宋" w:hAnsi="仿宋" w:eastAsia="仿宋"/>
          <w:color w:val="auto"/>
          <w:sz w:val="24"/>
          <w:highlight w:val="none"/>
        </w:rPr>
        <w:t>的知识产权归属，详见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66" w:name="_Toc11932"/>
      <w:bookmarkStart w:id="67" w:name="_Toc4194"/>
      <w:bookmarkStart w:id="68" w:name="_Toc29149"/>
      <w:r>
        <w:rPr>
          <w:rFonts w:ascii="仿宋" w:hAnsi="仿宋" w:eastAsia="仿宋"/>
          <w:b/>
          <w:color w:val="auto"/>
          <w:sz w:val="24"/>
          <w:highlight w:val="none"/>
        </w:rPr>
        <w:t xml:space="preserve">2.4 </w:t>
      </w:r>
      <w:r>
        <w:rPr>
          <w:rFonts w:hint="eastAsia" w:ascii="仿宋" w:hAnsi="仿宋" w:eastAsia="仿宋"/>
          <w:b/>
          <w:color w:val="auto"/>
          <w:sz w:val="24"/>
          <w:highlight w:val="none"/>
        </w:rPr>
        <w:t>包装和装运</w:t>
      </w:r>
      <w:bookmarkEnd w:id="66"/>
      <w:bookmarkEnd w:id="67"/>
      <w:bookmarkEnd w:id="68"/>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2.4.</w:t>
      </w:r>
      <w:r>
        <w:rPr>
          <w:rFonts w:hint="eastAsia" w:ascii="仿宋" w:hAnsi="仿宋" w:eastAsia="仿宋"/>
          <w:color w:val="auto"/>
          <w:sz w:val="24"/>
          <w:highlight w:val="none"/>
        </w:rPr>
        <w:t>1</w:t>
      </w:r>
      <w:r>
        <w:rPr>
          <w:rFonts w:ascii="仿宋" w:hAnsi="仿宋" w:eastAsia="仿宋"/>
          <w:color w:val="auto"/>
          <w:sz w:val="24"/>
          <w:highlight w:val="none"/>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2.4.2 </w:t>
      </w:r>
      <w:r>
        <w:rPr>
          <w:rFonts w:hint="eastAsia" w:ascii="仿宋" w:hAnsi="仿宋" w:eastAsia="仿宋"/>
          <w:color w:val="auto"/>
          <w:sz w:val="24"/>
          <w:highlight w:val="none"/>
        </w:rPr>
        <w:t>涉及服务的要求和通知，详见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69" w:name="_Ref467379536"/>
      <w:bookmarkStart w:id="70" w:name="_Ref467379527"/>
      <w:bookmarkStart w:id="71" w:name="_Ref467378591"/>
      <w:bookmarkStart w:id="72" w:name="_Ref467379542"/>
      <w:bookmarkStart w:id="73" w:name="_Toc259093674"/>
      <w:bookmarkStart w:id="74" w:name="_Toc279701245"/>
      <w:bookmarkStart w:id="75" w:name="_Toc487900354"/>
      <w:bookmarkStart w:id="76" w:name="_Ref467378541"/>
      <w:bookmarkStart w:id="77" w:name="_Toc19074"/>
      <w:bookmarkStart w:id="78" w:name="_Toc26182"/>
      <w:bookmarkStart w:id="79" w:name="_Toc30272"/>
      <w:r>
        <w:rPr>
          <w:rFonts w:ascii="仿宋" w:hAnsi="仿宋" w:eastAsia="仿宋"/>
          <w:b/>
          <w:color w:val="auto"/>
          <w:sz w:val="24"/>
          <w:highlight w:val="none"/>
        </w:rPr>
        <w:t>2.</w:t>
      </w:r>
      <w:bookmarkEnd w:id="69"/>
      <w:bookmarkEnd w:id="70"/>
      <w:bookmarkEnd w:id="71"/>
      <w:bookmarkEnd w:id="72"/>
      <w:bookmarkEnd w:id="73"/>
      <w:bookmarkEnd w:id="74"/>
      <w:bookmarkEnd w:id="75"/>
      <w:bookmarkEnd w:id="76"/>
      <w:r>
        <w:rPr>
          <w:rFonts w:ascii="仿宋" w:hAnsi="仿宋" w:eastAsia="仿宋"/>
          <w:b/>
          <w:color w:val="auto"/>
          <w:sz w:val="24"/>
          <w:highlight w:val="none"/>
        </w:rPr>
        <w:t xml:space="preserve">5 </w:t>
      </w:r>
      <w:r>
        <w:rPr>
          <w:rFonts w:hint="eastAsia" w:ascii="仿宋" w:hAnsi="仿宋" w:eastAsia="仿宋"/>
          <w:b/>
          <w:color w:val="auto"/>
          <w:sz w:val="24"/>
          <w:highlight w:val="none"/>
        </w:rPr>
        <w:t>履约检查和问题反馈</w:t>
      </w:r>
      <w:bookmarkEnd w:id="77"/>
      <w:bookmarkEnd w:id="78"/>
      <w:bookmarkEnd w:id="79"/>
    </w:p>
    <w:p>
      <w:pPr>
        <w:spacing w:line="560" w:lineRule="exact"/>
        <w:ind w:left="-283" w:leftChars="-135" w:right="-651" w:rightChars="-310" w:firstLine="480" w:firstLineChars="200"/>
        <w:rPr>
          <w:rFonts w:ascii="仿宋" w:hAnsi="仿宋" w:eastAsia="仿宋"/>
          <w:color w:val="auto"/>
          <w:sz w:val="24"/>
          <w:highlight w:val="none"/>
        </w:rPr>
      </w:pPr>
      <w:bookmarkStart w:id="80" w:name="_Ref467379657"/>
      <w:r>
        <w:rPr>
          <w:rFonts w:ascii="仿宋" w:hAnsi="仿宋" w:eastAsia="仿宋"/>
          <w:color w:val="auto"/>
          <w:sz w:val="24"/>
          <w:highlight w:val="none"/>
        </w:rPr>
        <w:t>2.5.1</w:t>
      </w:r>
      <w:bookmarkEnd w:id="80"/>
      <w:bookmarkStart w:id="81" w:name="_Toc186431854"/>
      <w:bookmarkStart w:id="82" w:name="_Ref467379793"/>
      <w:bookmarkStart w:id="83" w:name="_Toc279701247"/>
      <w:bookmarkStart w:id="84" w:name="_Ref467379807"/>
      <w:bookmarkStart w:id="85" w:name="_Toc487900357"/>
      <w:bookmarkStart w:id="86" w:name="_Toc259093676"/>
      <w:r>
        <w:rPr>
          <w:rFonts w:hint="eastAsia" w:ascii="仿宋" w:hAnsi="仿宋" w:eastAsia="仿宋"/>
          <w:color w:val="auto"/>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2.5.2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olor w:val="auto"/>
          <w:sz w:val="24"/>
          <w:highlight w:val="none"/>
        </w:rPr>
        <w:t>。</w:t>
      </w:r>
    </w:p>
    <w:bookmarkEnd w:id="82"/>
    <w:bookmarkEnd w:id="83"/>
    <w:bookmarkEnd w:id="84"/>
    <w:bookmarkEnd w:id="85"/>
    <w:bookmarkEnd w:id="86"/>
    <w:bookmarkEnd w:id="87"/>
    <w:p>
      <w:pPr>
        <w:spacing w:line="560" w:lineRule="exact"/>
        <w:ind w:left="-283" w:leftChars="-135" w:right="-651" w:rightChars="-310" w:firstLine="482" w:firstLineChars="200"/>
        <w:outlineLvl w:val="0"/>
        <w:rPr>
          <w:rFonts w:ascii="仿宋" w:hAnsi="仿宋" w:eastAsia="仿宋"/>
          <w:b/>
          <w:color w:val="auto"/>
          <w:sz w:val="24"/>
          <w:highlight w:val="none"/>
        </w:rPr>
      </w:pPr>
      <w:bookmarkStart w:id="88" w:name="_Ref467379852"/>
      <w:bookmarkStart w:id="89" w:name="_Ref467379863"/>
      <w:bookmarkStart w:id="90" w:name="_Toc487900358"/>
      <w:bookmarkStart w:id="91" w:name="_Ref467379923"/>
      <w:bookmarkStart w:id="92" w:name="_Toc279701248"/>
      <w:bookmarkStart w:id="93" w:name="_Toc259093677"/>
      <w:bookmarkStart w:id="94" w:name="_Toc774"/>
      <w:bookmarkStart w:id="95" w:name="_Toc16110"/>
      <w:bookmarkStart w:id="96" w:name="_Toc3225"/>
      <w:r>
        <w:rPr>
          <w:rFonts w:ascii="仿宋" w:hAnsi="仿宋" w:eastAsia="仿宋"/>
          <w:b/>
          <w:color w:val="auto"/>
          <w:sz w:val="24"/>
          <w:highlight w:val="none"/>
        </w:rPr>
        <w:t xml:space="preserve">2.6 </w:t>
      </w:r>
      <w:r>
        <w:rPr>
          <w:rFonts w:hint="eastAsia" w:ascii="仿宋" w:hAnsi="仿宋" w:eastAsia="仿宋"/>
          <w:b/>
          <w:color w:val="auto"/>
          <w:sz w:val="24"/>
          <w:highlight w:val="none"/>
        </w:rPr>
        <w:t>技术资料</w:t>
      </w:r>
      <w:bookmarkEnd w:id="88"/>
      <w:bookmarkEnd w:id="89"/>
      <w:bookmarkEnd w:id="90"/>
      <w:bookmarkEnd w:id="91"/>
      <w:bookmarkEnd w:id="92"/>
      <w:bookmarkEnd w:id="93"/>
      <w:r>
        <w:rPr>
          <w:rFonts w:hint="eastAsia" w:ascii="仿宋" w:hAnsi="仿宋" w:eastAsia="仿宋"/>
          <w:b/>
          <w:color w:val="auto"/>
          <w:sz w:val="24"/>
          <w:highlight w:val="none"/>
        </w:rPr>
        <w:t>和保密义务</w:t>
      </w:r>
      <w:bookmarkEnd w:id="94"/>
      <w:bookmarkEnd w:id="95"/>
      <w:bookmarkEnd w:id="96"/>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2.6.1 </w:t>
      </w:r>
      <w:r>
        <w:rPr>
          <w:rFonts w:hint="eastAsia" w:ascii="仿宋" w:hAnsi="仿宋" w:eastAsia="仿宋"/>
          <w:color w:val="auto"/>
          <w:sz w:val="24"/>
          <w:highlight w:val="none"/>
        </w:rPr>
        <w:t>乙方有权依据合同约定和项目需要，向甲方了解有关情况，调阅有关资料等，甲方应予积极配合；</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2.6.2 </w:t>
      </w:r>
      <w:r>
        <w:rPr>
          <w:rFonts w:hint="eastAsia" w:ascii="仿宋" w:hAnsi="仿宋" w:eastAsia="仿宋"/>
          <w:color w:val="auto"/>
          <w:sz w:val="24"/>
          <w:highlight w:val="none"/>
        </w:rPr>
        <w:t>乙方有义务妥善保管和保护由甲方提供的前款信息和资料等；</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2.6.3 </w:t>
      </w:r>
      <w:r>
        <w:rPr>
          <w:rFonts w:hint="eastAsia" w:ascii="仿宋" w:hAnsi="仿宋" w:eastAsia="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97" w:name="_Toc7860"/>
      <w:r>
        <w:rPr>
          <w:rFonts w:ascii="仿宋" w:hAnsi="仿宋" w:eastAsia="仿宋"/>
          <w:b/>
          <w:color w:val="auto"/>
          <w:sz w:val="24"/>
          <w:highlight w:val="none"/>
        </w:rPr>
        <w:t xml:space="preserve">2.7 </w:t>
      </w:r>
      <w:r>
        <w:rPr>
          <w:rFonts w:hint="eastAsia" w:ascii="仿宋" w:hAnsi="仿宋" w:eastAsia="仿宋"/>
          <w:b/>
          <w:color w:val="auto"/>
          <w:sz w:val="24"/>
          <w:highlight w:val="none"/>
        </w:rPr>
        <w:t>质量保证</w:t>
      </w:r>
      <w:bookmarkEnd w:id="97"/>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2.7.1 </w:t>
      </w:r>
      <w:r>
        <w:rPr>
          <w:rFonts w:hint="eastAsia" w:ascii="仿宋" w:hAnsi="仿宋" w:eastAsia="仿宋"/>
          <w:color w:val="auto"/>
          <w:sz w:val="24"/>
          <w:highlight w:val="none"/>
        </w:rPr>
        <w:t>乙方应建立和完善履行合同的内部质量保证体系，并提供相关内部规章制度给甲方，以便甲方进行监督检查；</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 xml:space="preserve">2.7.2 </w:t>
      </w:r>
      <w:r>
        <w:rPr>
          <w:rFonts w:hint="eastAsia" w:ascii="仿宋" w:hAnsi="仿宋" w:eastAsia="仿宋"/>
          <w:color w:val="auto"/>
          <w:sz w:val="24"/>
          <w:highlight w:val="none"/>
        </w:rPr>
        <w:t>乙方应保证履行合同的人员数量和素质、软件和硬件设备的配置、场地、环境和设施等满足全面履行合同的要求，并应接受甲方的监督检查。</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98" w:name="_Toc17244"/>
      <w:bookmarkStart w:id="99" w:name="_Toc279701252"/>
      <w:bookmarkStart w:id="100" w:name="_Toc259093681"/>
      <w:bookmarkStart w:id="101" w:name="_Toc487900362"/>
      <w:r>
        <w:rPr>
          <w:rFonts w:ascii="仿宋" w:hAnsi="仿宋" w:eastAsia="仿宋"/>
          <w:b/>
          <w:color w:val="auto"/>
          <w:sz w:val="24"/>
          <w:highlight w:val="none"/>
        </w:rPr>
        <w:t>2.8 服务</w:t>
      </w:r>
      <w:r>
        <w:rPr>
          <w:rFonts w:hint="eastAsia" w:ascii="仿宋" w:hAnsi="仿宋" w:eastAsia="仿宋"/>
          <w:b/>
          <w:color w:val="auto"/>
          <w:sz w:val="24"/>
          <w:highlight w:val="none"/>
        </w:rPr>
        <w:t>的风险负担</w:t>
      </w:r>
      <w:bookmarkEnd w:id="98"/>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服务过程中涉及的风险负担详见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02" w:name="_Toc14055"/>
      <w:r>
        <w:rPr>
          <w:rFonts w:ascii="仿宋" w:hAnsi="仿宋" w:eastAsia="仿宋"/>
          <w:b/>
          <w:color w:val="auto"/>
          <w:sz w:val="24"/>
          <w:highlight w:val="none"/>
        </w:rPr>
        <w:t xml:space="preserve">2.9 </w:t>
      </w:r>
      <w:r>
        <w:rPr>
          <w:rFonts w:hint="eastAsia" w:ascii="仿宋" w:hAnsi="仿宋" w:eastAsia="仿宋"/>
          <w:b/>
          <w:color w:val="auto"/>
          <w:sz w:val="24"/>
          <w:highlight w:val="none"/>
        </w:rPr>
        <w:t>延迟</w:t>
      </w:r>
      <w:bookmarkEnd w:id="99"/>
      <w:bookmarkEnd w:id="100"/>
      <w:bookmarkEnd w:id="101"/>
      <w:bookmarkEnd w:id="102"/>
      <w:r>
        <w:rPr>
          <w:rFonts w:hint="eastAsia" w:ascii="仿宋" w:hAnsi="仿宋" w:eastAsia="仿宋"/>
          <w:b/>
          <w:color w:val="auto"/>
          <w:sz w:val="24"/>
          <w:highlight w:val="none"/>
        </w:rPr>
        <w:t>交付</w:t>
      </w:r>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03" w:name="_Toc7502"/>
      <w:bookmarkStart w:id="104" w:name="_Ref467378121"/>
      <w:bookmarkStart w:id="105" w:name="_Toc487900364"/>
      <w:bookmarkStart w:id="106" w:name="_Toc279701254"/>
      <w:bookmarkStart w:id="107" w:name="_Toc259093683"/>
      <w:r>
        <w:rPr>
          <w:rFonts w:ascii="仿宋" w:hAnsi="仿宋" w:eastAsia="仿宋"/>
          <w:b/>
          <w:color w:val="auto"/>
          <w:sz w:val="24"/>
          <w:highlight w:val="none"/>
        </w:rPr>
        <w:t>2.</w:t>
      </w:r>
      <w:r>
        <w:rPr>
          <w:rFonts w:hint="eastAsia" w:ascii="仿宋" w:hAnsi="仿宋" w:eastAsia="仿宋"/>
          <w:b/>
          <w:color w:val="auto"/>
          <w:sz w:val="24"/>
          <w:highlight w:val="none"/>
        </w:rPr>
        <w:t>10合同变更</w:t>
      </w:r>
      <w:bookmarkEnd w:id="103"/>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11" w:name="_Toc10366"/>
      <w:bookmarkStart w:id="112" w:name="_Toc22955"/>
      <w:bookmarkStart w:id="113" w:name="_Toc15237"/>
      <w:r>
        <w:rPr>
          <w:rFonts w:ascii="仿宋" w:hAnsi="仿宋" w:eastAsia="仿宋"/>
          <w:b/>
          <w:color w:val="auto"/>
          <w:sz w:val="24"/>
          <w:highlight w:val="none"/>
        </w:rPr>
        <w:t>2.</w:t>
      </w:r>
      <w:r>
        <w:rPr>
          <w:rFonts w:hint="eastAsia" w:ascii="仿宋" w:hAnsi="仿宋" w:eastAsia="仿宋"/>
          <w:b/>
          <w:color w:val="auto"/>
          <w:sz w:val="24"/>
          <w:highlight w:val="none"/>
        </w:rPr>
        <w:t>11合同转让</w:t>
      </w:r>
      <w:bookmarkEnd w:id="108"/>
      <w:bookmarkEnd w:id="109"/>
      <w:bookmarkEnd w:id="110"/>
      <w:r>
        <w:rPr>
          <w:rFonts w:hint="eastAsia" w:ascii="仿宋" w:hAnsi="仿宋" w:eastAsia="仿宋"/>
          <w:b/>
          <w:color w:val="auto"/>
          <w:sz w:val="24"/>
          <w:highlight w:val="none"/>
        </w:rPr>
        <w:t>和分包</w:t>
      </w:r>
      <w:bookmarkEnd w:id="111"/>
      <w:bookmarkEnd w:id="112"/>
      <w:bookmarkEnd w:id="113"/>
      <w:r>
        <w:rPr>
          <w:rFonts w:hint="eastAsia" w:ascii="仿宋" w:hAnsi="仿宋" w:eastAsia="仿宋"/>
          <w:b/>
          <w:color w:val="auto"/>
          <w:sz w:val="24"/>
          <w:highlight w:val="none"/>
        </w:rPr>
        <w:t>（如有）</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11</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11</w:t>
      </w:r>
      <w:r>
        <w:rPr>
          <w:rFonts w:ascii="仿宋" w:hAnsi="仿宋" w:eastAsia="仿宋"/>
          <w:color w:val="auto"/>
          <w:sz w:val="24"/>
          <w:highlight w:val="none"/>
        </w:rPr>
        <w:t>.2乙方采取分包方式履行合同的，甲方可直接向分包供应商支付款项。</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14" w:name="_Toc16508"/>
      <w:bookmarkStart w:id="115" w:name="_Toc13566"/>
      <w:bookmarkStart w:id="116" w:name="_Toc14066"/>
      <w:r>
        <w:rPr>
          <w:rFonts w:ascii="仿宋" w:hAnsi="仿宋" w:eastAsia="仿宋"/>
          <w:b/>
          <w:color w:val="auto"/>
          <w:sz w:val="24"/>
          <w:highlight w:val="none"/>
        </w:rPr>
        <w:t>2.1</w:t>
      </w:r>
      <w:r>
        <w:rPr>
          <w:rFonts w:hint="eastAsia" w:ascii="仿宋" w:hAnsi="仿宋" w:eastAsia="仿宋"/>
          <w:b/>
          <w:color w:val="auto"/>
          <w:sz w:val="24"/>
          <w:highlight w:val="none"/>
        </w:rPr>
        <w:t>2不可抗力</w:t>
      </w:r>
      <w:bookmarkEnd w:id="114"/>
      <w:bookmarkEnd w:id="115"/>
      <w:bookmarkEnd w:id="116"/>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12</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12</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12</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17" w:name="_Toc487900365"/>
      <w:bookmarkStart w:id="118" w:name="_Toc6969"/>
      <w:bookmarkStart w:id="119" w:name="_Toc30676"/>
      <w:bookmarkStart w:id="120" w:name="_Toc689"/>
      <w:bookmarkStart w:id="121" w:name="_Toc279701255"/>
      <w:bookmarkStart w:id="122" w:name="_Toc259093684"/>
      <w:r>
        <w:rPr>
          <w:rFonts w:ascii="仿宋" w:hAnsi="仿宋" w:eastAsia="仿宋"/>
          <w:b/>
          <w:color w:val="auto"/>
          <w:sz w:val="24"/>
          <w:highlight w:val="none"/>
        </w:rPr>
        <w:t>2.</w:t>
      </w:r>
      <w:r>
        <w:rPr>
          <w:rFonts w:hint="eastAsia" w:ascii="仿宋" w:hAnsi="仿宋" w:eastAsia="仿宋"/>
          <w:b/>
          <w:color w:val="auto"/>
          <w:sz w:val="24"/>
          <w:highlight w:val="none"/>
        </w:rPr>
        <w:t>13</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17"/>
      <w:bookmarkEnd w:id="118"/>
      <w:bookmarkEnd w:id="119"/>
      <w:bookmarkEnd w:id="120"/>
      <w:bookmarkEnd w:id="121"/>
      <w:bookmarkEnd w:id="122"/>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23" w:name="_Toc487900368"/>
      <w:bookmarkStart w:id="124" w:name="_Toc7102"/>
      <w:bookmarkStart w:id="125" w:name="_Toc8298"/>
      <w:bookmarkStart w:id="126" w:name="_Toc279701258"/>
      <w:bookmarkStart w:id="127" w:name="_Toc16959"/>
      <w:bookmarkStart w:id="128" w:name="_Toc259093687"/>
      <w:r>
        <w:rPr>
          <w:rFonts w:ascii="仿宋" w:hAnsi="仿宋" w:eastAsia="仿宋"/>
          <w:b/>
          <w:color w:val="auto"/>
          <w:sz w:val="24"/>
          <w:highlight w:val="none"/>
        </w:rPr>
        <w:t>2.</w:t>
      </w:r>
      <w:r>
        <w:rPr>
          <w:rFonts w:hint="eastAsia" w:ascii="仿宋" w:hAnsi="仿宋" w:eastAsia="仿宋"/>
          <w:b/>
          <w:color w:val="auto"/>
          <w:sz w:val="24"/>
          <w:highlight w:val="none"/>
        </w:rPr>
        <w:t>14</w:t>
      </w:r>
      <w:r>
        <w:rPr>
          <w:rFonts w:ascii="仿宋" w:hAnsi="仿宋" w:eastAsia="仿宋"/>
          <w:b/>
          <w:color w:val="auto"/>
          <w:sz w:val="24"/>
          <w:highlight w:val="none"/>
        </w:rPr>
        <w:t>乙方破产</w:t>
      </w:r>
      <w:bookmarkEnd w:id="123"/>
      <w:bookmarkEnd w:id="124"/>
      <w:bookmarkEnd w:id="125"/>
      <w:bookmarkEnd w:id="126"/>
      <w:bookmarkEnd w:id="127"/>
      <w:bookmarkEnd w:id="128"/>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29" w:name="_Toc29333"/>
      <w:bookmarkStart w:id="130" w:name="_Toc6134"/>
      <w:bookmarkStart w:id="131" w:name="_Toc15387"/>
      <w:r>
        <w:rPr>
          <w:rFonts w:ascii="仿宋" w:hAnsi="仿宋" w:eastAsia="仿宋"/>
          <w:b/>
          <w:color w:val="auto"/>
          <w:sz w:val="24"/>
          <w:highlight w:val="none"/>
        </w:rPr>
        <w:t>2.1</w:t>
      </w:r>
      <w:r>
        <w:rPr>
          <w:rFonts w:hint="eastAsia" w:ascii="仿宋" w:hAnsi="仿宋" w:eastAsia="仿宋"/>
          <w:b/>
          <w:color w:val="auto"/>
          <w:sz w:val="24"/>
          <w:highlight w:val="none"/>
        </w:rPr>
        <w:t>5合同中止、终止</w:t>
      </w:r>
      <w:bookmarkEnd w:id="129"/>
      <w:bookmarkEnd w:id="130"/>
      <w:bookmarkEnd w:id="131"/>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5</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5</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32" w:name="_Toc6596"/>
      <w:bookmarkStart w:id="133" w:name="_Toc14563"/>
      <w:bookmarkStart w:id="134" w:name="_Toc1125"/>
      <w:r>
        <w:rPr>
          <w:rFonts w:ascii="仿宋" w:hAnsi="仿宋" w:eastAsia="仿宋"/>
          <w:b/>
          <w:color w:val="auto"/>
          <w:sz w:val="24"/>
          <w:highlight w:val="none"/>
        </w:rPr>
        <w:t>2.1</w:t>
      </w:r>
      <w:r>
        <w:rPr>
          <w:rFonts w:hint="eastAsia" w:ascii="仿宋" w:hAnsi="仿宋" w:eastAsia="仿宋"/>
          <w:b/>
          <w:color w:val="auto"/>
          <w:sz w:val="24"/>
          <w:highlight w:val="none"/>
        </w:rPr>
        <w:t>6</w:t>
      </w:r>
      <w:r>
        <w:rPr>
          <w:rFonts w:ascii="仿宋" w:hAnsi="仿宋" w:eastAsia="仿宋"/>
          <w:b/>
          <w:color w:val="auto"/>
          <w:sz w:val="24"/>
          <w:highlight w:val="none"/>
        </w:rPr>
        <w:t>检验和验收</w:t>
      </w:r>
      <w:bookmarkEnd w:id="132"/>
      <w:bookmarkEnd w:id="133"/>
      <w:bookmarkEnd w:id="134"/>
    </w:p>
    <w:p>
      <w:pPr>
        <w:tabs>
          <w:tab w:val="left" w:pos="360"/>
          <w:tab w:val="left" w:pos="540"/>
          <w:tab w:val="left" w:pos="1080"/>
        </w:tabs>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6</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w:t>
      </w:r>
      <w:r>
        <w:rPr>
          <w:rFonts w:ascii="仿宋" w:hAnsi="仿宋" w:eastAsia="仿宋"/>
          <w:color w:val="auto"/>
          <w:sz w:val="24"/>
          <w:highlight w:val="none"/>
        </w:rPr>
        <w:t>的质量、数量等方面进行详细、全面的检验，并向甲方出具证明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color w:val="auto"/>
          <w:sz w:val="24"/>
          <w:highlight w:val="none"/>
        </w:rPr>
        <w:t>合同专用条款约定时间内组织验收，并可依法邀请相关方参加，验收应出具验收书。</w:t>
      </w:r>
    </w:p>
    <w:p>
      <w:pPr>
        <w:tabs>
          <w:tab w:val="left" w:pos="360"/>
          <w:tab w:val="left" w:pos="540"/>
          <w:tab w:val="left" w:pos="1080"/>
        </w:tabs>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6.2</w:t>
      </w:r>
      <w:r>
        <w:rPr>
          <w:rFonts w:ascii="仿宋" w:hAnsi="仿宋" w:eastAsia="仿宋"/>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6</w:t>
      </w:r>
      <w:r>
        <w:rPr>
          <w:rFonts w:ascii="仿宋" w:hAnsi="仿宋" w:eastAsia="仿宋"/>
          <w:color w:val="auto"/>
          <w:sz w:val="24"/>
          <w:highlight w:val="none"/>
        </w:rPr>
        <w:t>.</w:t>
      </w:r>
      <w:r>
        <w:rPr>
          <w:rFonts w:hint="eastAsia" w:ascii="仿宋" w:hAnsi="仿宋" w:eastAsia="仿宋"/>
          <w:color w:val="auto"/>
          <w:sz w:val="24"/>
          <w:highlight w:val="none"/>
        </w:rPr>
        <w:t>3</w:t>
      </w:r>
      <w:r>
        <w:rPr>
          <w:rFonts w:ascii="仿宋" w:hAnsi="仿宋" w:eastAsia="仿宋"/>
          <w:color w:val="auto"/>
          <w:sz w:val="24"/>
          <w:highlight w:val="none"/>
        </w:rPr>
        <w:t xml:space="preserve">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04"/>
    <w:bookmarkEnd w:id="105"/>
    <w:bookmarkEnd w:id="106"/>
    <w:bookmarkEnd w:id="107"/>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35" w:name="_Toc259093690"/>
      <w:bookmarkStart w:id="136" w:name="_Toc279701261"/>
      <w:bookmarkStart w:id="137" w:name="_Toc487900371"/>
      <w:bookmarkStart w:id="138" w:name="_Toc25182"/>
      <w:bookmarkStart w:id="139" w:name="_Toc11284"/>
      <w:bookmarkStart w:id="140" w:name="_Toc19604"/>
      <w:r>
        <w:rPr>
          <w:rFonts w:ascii="仿宋" w:hAnsi="仿宋" w:eastAsia="仿宋"/>
          <w:b/>
          <w:color w:val="auto"/>
          <w:sz w:val="24"/>
          <w:highlight w:val="none"/>
        </w:rPr>
        <w:t>2.1</w:t>
      </w:r>
      <w:r>
        <w:rPr>
          <w:rFonts w:hint="eastAsia" w:ascii="仿宋" w:hAnsi="仿宋" w:eastAsia="仿宋"/>
          <w:b/>
          <w:color w:val="auto"/>
          <w:sz w:val="24"/>
          <w:highlight w:val="none"/>
        </w:rPr>
        <w:t>7通知</w:t>
      </w:r>
      <w:bookmarkEnd w:id="135"/>
      <w:bookmarkEnd w:id="136"/>
      <w:bookmarkEnd w:id="137"/>
      <w:r>
        <w:rPr>
          <w:rFonts w:hint="eastAsia" w:ascii="仿宋" w:hAnsi="仿宋" w:eastAsia="仿宋"/>
          <w:b/>
          <w:color w:val="auto"/>
          <w:sz w:val="24"/>
          <w:highlight w:val="none"/>
        </w:rPr>
        <w:t>和送达</w:t>
      </w:r>
      <w:bookmarkEnd w:id="138"/>
      <w:bookmarkEnd w:id="139"/>
      <w:bookmarkEnd w:id="140"/>
    </w:p>
    <w:p>
      <w:pPr>
        <w:spacing w:line="560" w:lineRule="exact"/>
        <w:ind w:left="-283" w:leftChars="-135" w:right="-651" w:rightChars="-310" w:firstLine="480" w:firstLineChars="200"/>
        <w:rPr>
          <w:rFonts w:ascii="仿宋" w:hAnsi="仿宋" w:eastAsia="仿宋"/>
          <w:color w:val="auto"/>
          <w:sz w:val="24"/>
          <w:highlight w:val="none"/>
        </w:rPr>
      </w:pPr>
      <w:bookmarkStart w:id="141" w:name="_Toc6698"/>
      <w:bookmarkStart w:id="142" w:name="_Toc3135"/>
      <w:bookmarkStart w:id="143" w:name="_Toc487900372"/>
      <w:bookmarkStart w:id="144" w:name="_Toc259093691"/>
      <w:bookmarkStart w:id="145" w:name="_Toc279701262"/>
      <w:r>
        <w:rPr>
          <w:rFonts w:ascii="仿宋" w:hAnsi="仿宋" w:eastAsia="仿宋"/>
          <w:color w:val="auto"/>
          <w:sz w:val="24"/>
          <w:highlight w:val="none"/>
        </w:rPr>
        <w:t>2.1</w:t>
      </w:r>
      <w:r>
        <w:rPr>
          <w:rFonts w:hint="eastAsia" w:ascii="仿宋" w:hAnsi="仿宋" w:eastAsia="仿宋"/>
          <w:color w:val="auto"/>
          <w:sz w:val="24"/>
          <w:highlight w:val="none"/>
        </w:rPr>
        <w:t>7</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w:t>
      </w:r>
      <w:r>
        <w:rPr>
          <w:rFonts w:ascii="仿宋" w:hAnsi="仿宋" w:eastAsia="仿宋"/>
          <w:color w:val="auto"/>
          <w:sz w:val="24"/>
          <w:highlight w:val="non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发出的所有通知、文件、材料，均视为已向对方当事人送达；任何一方变更上述送达方式或者地址的，应于</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left="-283" w:leftChars="-135" w:right="-651" w:rightChars="-310" w:firstLine="480" w:firstLineChars="200"/>
        <w:rPr>
          <w:rFonts w:ascii="仿宋" w:hAnsi="仿宋" w:eastAsia="仿宋"/>
          <w:color w:val="auto"/>
          <w:sz w:val="24"/>
          <w:highlight w:val="none"/>
        </w:rPr>
      </w:pPr>
      <w:bookmarkStart w:id="146" w:name="_Toc23128"/>
      <w:bookmarkStart w:id="147" w:name="_Toc23294"/>
      <w:r>
        <w:rPr>
          <w:rFonts w:ascii="仿宋" w:hAnsi="仿宋" w:eastAsia="仿宋"/>
          <w:color w:val="auto"/>
          <w:sz w:val="24"/>
          <w:highlight w:val="none"/>
        </w:rPr>
        <w:t>2.1</w:t>
      </w:r>
      <w:r>
        <w:rPr>
          <w:rFonts w:hint="eastAsia" w:ascii="仿宋" w:hAnsi="仿宋" w:eastAsia="仿宋"/>
          <w:color w:val="auto"/>
          <w:sz w:val="24"/>
          <w:highlight w:val="none"/>
        </w:rPr>
        <w:t>7</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46"/>
      <w:bookmarkEnd w:id="147"/>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48" w:name="_Toc30599"/>
      <w:bookmarkStart w:id="149" w:name="_Toc4355"/>
      <w:bookmarkStart w:id="150" w:name="_Toc18540"/>
      <w:r>
        <w:rPr>
          <w:rFonts w:ascii="仿宋" w:hAnsi="仿宋" w:eastAsia="仿宋"/>
          <w:b/>
          <w:color w:val="auto"/>
          <w:sz w:val="24"/>
          <w:highlight w:val="none"/>
        </w:rPr>
        <w:t>2.1</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43"/>
      <w:bookmarkEnd w:id="144"/>
      <w:bookmarkEnd w:id="145"/>
      <w:bookmarkEnd w:id="148"/>
      <w:bookmarkEnd w:id="149"/>
      <w:bookmarkEnd w:id="150"/>
    </w:p>
    <w:p>
      <w:pPr>
        <w:spacing w:line="560" w:lineRule="exact"/>
        <w:ind w:left="-283" w:leftChars="-135" w:right="-651" w:rightChars="-310"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51" w:name="_Toc12773"/>
      <w:bookmarkStart w:id="152" w:name="_Toc279701263"/>
      <w:bookmarkStart w:id="153" w:name="_Toc259093692"/>
      <w:bookmarkStart w:id="154" w:name="_Toc18567"/>
      <w:bookmarkStart w:id="155" w:name="_Toc487900373"/>
      <w:bookmarkStart w:id="156" w:name="_Toc10330"/>
      <w:r>
        <w:rPr>
          <w:rFonts w:ascii="仿宋" w:hAnsi="仿宋" w:eastAsia="仿宋"/>
          <w:b/>
          <w:color w:val="auto"/>
          <w:sz w:val="24"/>
          <w:highlight w:val="none"/>
        </w:rPr>
        <w:t>2.1</w:t>
      </w:r>
      <w:r>
        <w:rPr>
          <w:rFonts w:hint="eastAsia" w:ascii="仿宋" w:hAnsi="仿宋" w:eastAsia="仿宋"/>
          <w:b/>
          <w:color w:val="auto"/>
          <w:sz w:val="24"/>
          <w:highlight w:val="none"/>
        </w:rPr>
        <w:t>9</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合同使用的文字和适用的法律</w:t>
      </w:r>
      <w:bookmarkEnd w:id="151"/>
      <w:bookmarkEnd w:id="152"/>
      <w:bookmarkEnd w:id="153"/>
      <w:bookmarkEnd w:id="154"/>
      <w:bookmarkEnd w:id="155"/>
      <w:bookmarkEnd w:id="156"/>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9</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9</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57" w:name="_Toc259093693"/>
      <w:bookmarkStart w:id="158" w:name="_Toc279701264"/>
      <w:bookmarkStart w:id="159" w:name="_Toc3148"/>
      <w:bookmarkStart w:id="160" w:name="_Toc16673"/>
      <w:bookmarkStart w:id="161" w:name="_Toc12004"/>
      <w:bookmarkStart w:id="162" w:name="_Toc487900374"/>
      <w:r>
        <w:rPr>
          <w:rFonts w:ascii="仿宋" w:hAnsi="仿宋" w:eastAsia="仿宋"/>
          <w:b/>
          <w:color w:val="auto"/>
          <w:sz w:val="24"/>
          <w:highlight w:val="none"/>
        </w:rPr>
        <w:t>2.</w:t>
      </w:r>
      <w:r>
        <w:rPr>
          <w:rFonts w:hint="eastAsia" w:ascii="仿宋" w:hAnsi="仿宋" w:eastAsia="仿宋"/>
          <w:b/>
          <w:color w:val="auto"/>
          <w:sz w:val="24"/>
          <w:highlight w:val="none"/>
        </w:rPr>
        <w:t>20</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履约保证金</w:t>
      </w:r>
      <w:bookmarkEnd w:id="157"/>
      <w:bookmarkEnd w:id="158"/>
      <w:bookmarkEnd w:id="159"/>
      <w:bookmarkEnd w:id="160"/>
      <w:bookmarkEnd w:id="161"/>
    </w:p>
    <w:p>
      <w:pPr>
        <w:spacing w:line="560" w:lineRule="exact"/>
        <w:ind w:left="-283" w:leftChars="-135" w:right="-651" w:rightChars="-310" w:firstLine="480" w:firstLineChars="200"/>
        <w:outlineLvl w:val="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 xml:space="preserve">.1 </w:t>
      </w:r>
      <w:r>
        <w:rPr>
          <w:rFonts w:hint="eastAsia" w:ascii="仿宋" w:hAnsi="仿宋" w:eastAsia="仿宋"/>
          <w:color w:val="auto"/>
          <w:sz w:val="24"/>
          <w:highlight w:val="none"/>
        </w:rPr>
        <w:t>采购文件要求乙方提交履约保证金的，乙方应按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约定的方式，以支票、汇票、本票或者金融机构、担保机构出具的保函等非现金形式，提交不超过合同金额</w:t>
      </w:r>
      <w:r>
        <w:rPr>
          <w:rFonts w:hint="eastAsia" w:ascii="仿宋" w:hAnsi="仿宋" w:eastAsia="仿宋"/>
          <w:color w:val="auto"/>
          <w:highlight w:val="none"/>
        </w:rPr>
        <w:t>1</w:t>
      </w:r>
      <w:r>
        <w:rPr>
          <w:rFonts w:ascii="仿宋" w:hAnsi="仿宋" w:eastAsia="仿宋"/>
          <w:color w:val="auto"/>
          <w:highlight w:val="none"/>
        </w:rPr>
        <w:t>%</w:t>
      </w:r>
      <w:r>
        <w:rPr>
          <w:rFonts w:ascii="仿宋" w:hAnsi="仿宋" w:eastAsia="仿宋"/>
          <w:color w:val="auto"/>
          <w:sz w:val="24"/>
          <w:highlight w:val="none"/>
        </w:rPr>
        <w:t>的履约保证金；鼓励和支持乙方以银行、保险公司出具的保函形式提供履约保证。</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%计算，最高限额为本合同履约保证金的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 xml:space="preserve">%； </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left="-283" w:leftChars="-135" w:right="-651" w:rightChars="-310" w:firstLine="480" w:firstLineChars="200"/>
        <w:rPr>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pPr>
        <w:spacing w:line="560" w:lineRule="exact"/>
        <w:ind w:left="-283" w:leftChars="-135" w:right="-651" w:rightChars="-310"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21</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62"/>
    <w:p>
      <w:pPr>
        <w:spacing w:line="560" w:lineRule="exact"/>
        <w:ind w:left="-283" w:leftChars="-135" w:right="-651" w:rightChars="-310" w:firstLine="482" w:firstLineChars="200"/>
        <w:outlineLvl w:val="0"/>
        <w:rPr>
          <w:rFonts w:ascii="仿宋" w:hAnsi="仿宋" w:eastAsia="仿宋"/>
          <w:b/>
          <w:color w:val="auto"/>
          <w:sz w:val="24"/>
          <w:highlight w:val="none"/>
        </w:rPr>
      </w:pPr>
      <w:bookmarkStart w:id="163" w:name="_Toc6885"/>
      <w:bookmarkStart w:id="164" w:name="_Toc19890"/>
      <w:bookmarkStart w:id="165" w:name="_Toc14001"/>
      <w:r>
        <w:rPr>
          <w:rFonts w:ascii="仿宋" w:hAnsi="仿宋" w:eastAsia="仿宋"/>
          <w:b/>
          <w:color w:val="auto"/>
          <w:sz w:val="24"/>
          <w:highlight w:val="none"/>
        </w:rPr>
        <w:t>2.</w:t>
      </w:r>
      <w:r>
        <w:rPr>
          <w:rFonts w:hint="eastAsia" w:ascii="仿宋" w:hAnsi="仿宋" w:eastAsia="仿宋"/>
          <w:b/>
          <w:color w:val="auto"/>
          <w:sz w:val="24"/>
          <w:highlight w:val="none"/>
        </w:rPr>
        <w:t>22合同份数</w:t>
      </w:r>
      <w:bookmarkEnd w:id="163"/>
      <w:bookmarkEnd w:id="164"/>
      <w:bookmarkEnd w:id="165"/>
    </w:p>
    <w:p>
      <w:pPr>
        <w:spacing w:line="560" w:lineRule="exact"/>
        <w:ind w:left="-283" w:leftChars="-135" w:right="-651" w:rightChars="-310"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pPr>
        <w:spacing w:line="56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5"/>
        <w:spacing w:line="560" w:lineRule="exact"/>
        <w:ind w:left="-283" w:leftChars="-135" w:right="-651" w:rightChars="-310"/>
        <w:jc w:val="center"/>
        <w:rPr>
          <w:rFonts w:ascii="仿宋" w:hAnsi="仿宋" w:eastAsia="仿宋"/>
          <w:b/>
          <w:color w:val="auto"/>
          <w:highlight w:val="none"/>
        </w:rPr>
      </w:pPr>
      <w:r>
        <w:rPr>
          <w:rFonts w:ascii="仿宋" w:hAnsi="仿宋" w:eastAsia="仿宋" w:cstheme="minorBidi"/>
          <w:color w:val="auto"/>
          <w:kern w:val="0"/>
          <w:highlight w:val="none"/>
        </w:rPr>
        <w:br w:type="page"/>
      </w:r>
      <w:bookmarkStart w:id="166" w:name="_Toc331685784"/>
      <w:r>
        <w:rPr>
          <w:rFonts w:hint="eastAsia" w:ascii="仿宋" w:hAnsi="仿宋" w:eastAsia="仿宋"/>
          <w:b/>
          <w:color w:val="auto"/>
          <w:highlight w:val="none"/>
        </w:rPr>
        <w:t xml:space="preserve"> </w:t>
      </w:r>
      <w:bookmarkEnd w:id="166"/>
      <w:r>
        <w:rPr>
          <w:rFonts w:hint="eastAsia" w:ascii="仿宋" w:hAnsi="仿宋" w:eastAsia="仿宋"/>
          <w:b/>
          <w:color w:val="auto"/>
          <w:highlight w:val="none"/>
        </w:rPr>
        <w:t>第三部分</w:t>
      </w:r>
      <w:r>
        <w:rPr>
          <w:rFonts w:ascii="仿宋" w:hAnsi="仿宋" w:eastAsia="仿宋"/>
          <w:b/>
          <w:color w:val="auto"/>
          <w:highlight w:val="none"/>
        </w:rPr>
        <w:t xml:space="preserve">  </w:t>
      </w:r>
      <w:r>
        <w:rPr>
          <w:rFonts w:hint="eastAsia" w:ascii="仿宋" w:hAnsi="仿宋" w:eastAsia="仿宋"/>
          <w:b/>
          <w:color w:val="auto"/>
          <w:highlight w:val="none"/>
        </w:rPr>
        <w:t>合同专用条款</w:t>
      </w:r>
    </w:p>
    <w:p>
      <w:pPr>
        <w:spacing w:line="560" w:lineRule="exact"/>
        <w:ind w:left="-283" w:leftChars="-135" w:right="-651" w:rightChars="-310" w:firstLine="480" w:firstLineChars="200"/>
        <w:rPr>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88"/>
        <w:tblW w:w="9117" w:type="dxa"/>
        <w:tblInd w:w="-2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59"/>
        <w:gridCol w:w="75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559" w:type="dxa"/>
            <w:tcBorders>
              <w:left w:val="single" w:color="auto" w:sz="4" w:space="0"/>
            </w:tcBorders>
            <w:vAlign w:val="center"/>
          </w:tcPr>
          <w:p>
            <w:pPr>
              <w:spacing w:line="360" w:lineRule="auto"/>
              <w:ind w:left="-283" w:leftChars="-135" w:right="-651" w:rightChars="-310"/>
              <w:jc w:val="center"/>
              <w:rPr>
                <w:rFonts w:ascii="仿宋_GB2312" w:hAnsi="楷体" w:eastAsia="仿宋_GB2312"/>
                <w:b/>
                <w:color w:val="auto"/>
                <w:sz w:val="24"/>
                <w:highlight w:val="none"/>
              </w:rPr>
            </w:pPr>
            <w:r>
              <w:rPr>
                <w:rFonts w:hint="eastAsia" w:ascii="仿宋_GB2312" w:hAnsi="楷体" w:eastAsia="仿宋_GB2312"/>
                <w:b/>
                <w:color w:val="auto"/>
                <w:sz w:val="24"/>
                <w:highlight w:val="none"/>
              </w:rPr>
              <w:t>条款号</w:t>
            </w:r>
          </w:p>
        </w:tc>
        <w:tc>
          <w:tcPr>
            <w:tcW w:w="7558" w:type="dxa"/>
            <w:vAlign w:val="center"/>
          </w:tcPr>
          <w:p>
            <w:pPr>
              <w:spacing w:line="360" w:lineRule="auto"/>
              <w:ind w:left="-283" w:leftChars="-135" w:right="-651" w:rightChars="-310"/>
              <w:jc w:val="center"/>
              <w:rPr>
                <w:rFonts w:ascii="仿宋_GB2312" w:hAnsi="楷体" w:eastAsia="仿宋_GB2312"/>
                <w:b/>
                <w:color w:val="auto"/>
                <w:sz w:val="24"/>
                <w:highlight w:val="none"/>
              </w:rPr>
            </w:pPr>
            <w:r>
              <w:rPr>
                <w:rFonts w:hint="eastAsia" w:ascii="仿宋_GB2312" w:hAnsi="楷体" w:eastAsia="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1.4.4</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1.5.</w:t>
            </w:r>
            <w:r>
              <w:rPr>
                <w:rFonts w:hint="eastAsia" w:ascii="仿宋" w:hAnsi="仿宋" w:eastAsia="仿宋"/>
                <w:color w:val="auto"/>
                <w:sz w:val="24"/>
                <w:highlight w:val="none"/>
              </w:rPr>
              <w:t>7</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1.6</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1.6.1</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1.6.2</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2.3.</w:t>
            </w:r>
            <w:r>
              <w:rPr>
                <w:rFonts w:hint="eastAsia" w:ascii="仿宋" w:hAnsi="仿宋" w:eastAsia="仿宋"/>
                <w:color w:val="auto"/>
                <w:sz w:val="24"/>
                <w:highlight w:val="none"/>
              </w:rPr>
              <w:t>2</w:t>
            </w:r>
          </w:p>
        </w:tc>
        <w:tc>
          <w:tcPr>
            <w:tcW w:w="7558" w:type="dxa"/>
            <w:vAlign w:val="center"/>
          </w:tcPr>
          <w:p>
            <w:pPr>
              <w:spacing w:line="360" w:lineRule="auto"/>
              <w:ind w:left="-283" w:leftChars="-135" w:right="-651" w:rightChars="-31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2.4.2</w:t>
            </w:r>
          </w:p>
        </w:tc>
        <w:tc>
          <w:tcPr>
            <w:tcW w:w="7558" w:type="dxa"/>
            <w:vAlign w:val="center"/>
          </w:tcPr>
          <w:p>
            <w:pPr>
              <w:spacing w:line="360" w:lineRule="auto"/>
              <w:ind w:left="-283" w:leftChars="-135" w:right="-651" w:rightChars="-31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2.8</w:t>
            </w:r>
          </w:p>
        </w:tc>
        <w:tc>
          <w:tcPr>
            <w:tcW w:w="7558" w:type="dxa"/>
            <w:vAlign w:val="center"/>
          </w:tcPr>
          <w:p>
            <w:pPr>
              <w:spacing w:line="360" w:lineRule="auto"/>
              <w:ind w:left="-283" w:leftChars="-135" w:right="-651" w:rightChars="-31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12</w:t>
            </w:r>
            <w:r>
              <w:rPr>
                <w:rFonts w:ascii="仿宋" w:hAnsi="仿宋" w:eastAsia="仿宋"/>
                <w:color w:val="auto"/>
                <w:sz w:val="24"/>
                <w:highlight w:val="none"/>
              </w:rPr>
              <w:t>.</w:t>
            </w:r>
            <w:r>
              <w:rPr>
                <w:rFonts w:hint="eastAsia" w:ascii="仿宋" w:hAnsi="仿宋" w:eastAsia="仿宋"/>
                <w:color w:val="auto"/>
                <w:sz w:val="24"/>
                <w:highlight w:val="none"/>
              </w:rPr>
              <w:t>3</w:t>
            </w:r>
          </w:p>
        </w:tc>
        <w:tc>
          <w:tcPr>
            <w:tcW w:w="7558" w:type="dxa"/>
            <w:vAlign w:val="center"/>
          </w:tcPr>
          <w:p>
            <w:pPr>
              <w:spacing w:line="360" w:lineRule="auto"/>
              <w:ind w:left="-283" w:leftChars="-135" w:right="-651" w:rightChars="-31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2.12.4</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tcPr>
          <w:p>
            <w:pPr>
              <w:spacing w:line="360" w:lineRule="auto"/>
              <w:ind w:left="-283" w:leftChars="-135" w:right="-651" w:rightChars="-310"/>
              <w:jc w:val="center"/>
              <w:rPr>
                <w:rFonts w:ascii="仿宋" w:hAnsi="仿宋" w:eastAsia="仿宋"/>
                <w:color w:val="auto"/>
                <w:sz w:val="24"/>
                <w:highlight w:val="none"/>
              </w:rPr>
            </w:pPr>
            <w:r>
              <w:rPr>
                <w:rFonts w:hint="eastAsia" w:ascii="仿宋" w:hAnsi="仿宋" w:eastAsia="仿宋"/>
                <w:color w:val="auto"/>
                <w:sz w:val="24"/>
                <w:highlight w:val="none"/>
              </w:rPr>
              <w:t>2.16.2</w:t>
            </w:r>
          </w:p>
        </w:tc>
        <w:tc>
          <w:tcPr>
            <w:tcW w:w="7558" w:type="dxa"/>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w:t>
            </w:r>
            <w:r>
              <w:rPr>
                <w:rFonts w:hint="eastAsia" w:ascii="仿宋" w:hAnsi="仿宋" w:eastAsia="仿宋"/>
                <w:color w:val="auto"/>
                <w:sz w:val="24"/>
                <w:highlight w:val="none"/>
              </w:rPr>
              <w:t>1</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559" w:type="dxa"/>
            <w:tcBorders>
              <w:left w:val="single" w:color="auto" w:sz="4" w:space="0"/>
            </w:tcBorders>
            <w:vAlign w:val="center"/>
          </w:tcPr>
          <w:p>
            <w:pPr>
              <w:spacing w:line="360" w:lineRule="auto"/>
              <w:ind w:left="-283" w:leftChars="-135" w:right="-651" w:rightChars="-310"/>
              <w:jc w:val="center"/>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20</w:t>
            </w:r>
            <w:r>
              <w:rPr>
                <w:rFonts w:ascii="仿宋" w:hAnsi="仿宋" w:eastAsia="仿宋"/>
                <w:color w:val="auto"/>
                <w:sz w:val="24"/>
                <w:highlight w:val="none"/>
              </w:rPr>
              <w:t>.</w:t>
            </w:r>
            <w:r>
              <w:rPr>
                <w:rFonts w:hint="eastAsia" w:ascii="仿宋" w:hAnsi="仿宋" w:eastAsia="仿宋"/>
                <w:color w:val="auto"/>
                <w:sz w:val="24"/>
                <w:highlight w:val="none"/>
              </w:rPr>
              <w:t>2</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559" w:type="dxa"/>
            <w:tcBorders>
              <w:left w:val="single" w:color="auto" w:sz="4" w:space="0"/>
            </w:tcBorders>
            <w:vAlign w:val="center"/>
          </w:tcPr>
          <w:p>
            <w:pPr>
              <w:spacing w:line="360" w:lineRule="auto"/>
              <w:ind w:left="-283" w:leftChars="-135" w:right="-651" w:rightChars="-310" w:firstLine="480" w:firstLineChars="200"/>
              <w:jc w:val="center"/>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7558" w:type="dxa"/>
            <w:vAlign w:val="center"/>
          </w:tcPr>
          <w:p>
            <w:pPr>
              <w:spacing w:line="360" w:lineRule="auto"/>
              <w:ind w:left="-283" w:leftChars="-135" w:right="-651" w:rightChars="-310"/>
              <w:rPr>
                <w:rFonts w:ascii="仿宋" w:hAnsi="仿宋" w:eastAsia="仿宋"/>
                <w:color w:val="auto"/>
                <w:sz w:val="24"/>
                <w:highlight w:val="none"/>
              </w:rPr>
            </w:pPr>
          </w:p>
        </w:tc>
      </w:tr>
    </w:tbl>
    <w:p>
      <w:pPr>
        <w:spacing w:line="360" w:lineRule="auto"/>
        <w:ind w:left="-283" w:leftChars="-135" w:right="-651" w:rightChars="-310" w:firstLine="480" w:firstLineChars="200"/>
        <w:rPr>
          <w:rFonts w:ascii="仿宋" w:hAnsi="仿宋" w:eastAsia="仿宋"/>
          <w:color w:val="auto"/>
          <w:sz w:val="24"/>
          <w:highlight w:val="none"/>
        </w:rPr>
      </w:pPr>
    </w:p>
    <w:p>
      <w:pPr>
        <w:spacing w:line="380" w:lineRule="exact"/>
        <w:ind w:left="-283" w:leftChars="-135" w:right="-651" w:rightChars="-310" w:firstLine="480" w:firstLineChars="200"/>
        <w:jc w:val="left"/>
        <w:rPr>
          <w:rFonts w:ascii="仿宋_GB2312" w:hAnsi="宋体" w:eastAsia="仿宋_GB2312"/>
          <w:b/>
          <w:color w:val="auto"/>
          <w:sz w:val="36"/>
          <w:szCs w:val="36"/>
          <w:highlight w:val="none"/>
        </w:rPr>
      </w:pPr>
      <w:r>
        <w:rPr>
          <w:rFonts w:hint="eastAsia" w:ascii="仿宋_GB2312" w:hAnsi="宋体" w:eastAsia="仿宋_GB2312"/>
          <w:color w:val="auto"/>
          <w:sz w:val="24"/>
          <w:highlight w:val="none"/>
        </w:rPr>
        <w:t>（注：在正式签约时，根据上述精神应拟就更为详尽的合同书）</w:t>
      </w:r>
    </w:p>
    <w:p>
      <w:pPr>
        <w:snapToGrid w:val="0"/>
        <w:spacing w:line="440" w:lineRule="exact"/>
        <w:ind w:left="-283" w:leftChars="-135" w:right="-651" w:rightChars="-310"/>
        <w:jc w:val="center"/>
        <w:rPr>
          <w:rFonts w:ascii="仿宋_GB2312" w:hAnsi="宋体" w:eastAsia="仿宋_GB2312"/>
          <w:b/>
          <w:color w:val="auto"/>
          <w:sz w:val="36"/>
          <w:szCs w:val="36"/>
          <w:highlight w:val="none"/>
        </w:rPr>
      </w:pPr>
    </w:p>
    <w:p>
      <w:pPr>
        <w:pStyle w:val="46"/>
        <w:keepNext w:val="0"/>
        <w:keepLines w:val="0"/>
        <w:pageBreakBefore/>
        <w:kinsoku/>
        <w:wordWrap/>
        <w:overflowPunct/>
        <w:topLinePunct w:val="0"/>
        <w:bidi w:val="0"/>
        <w:spacing w:line="360" w:lineRule="exact"/>
        <w:ind w:firstLine="726"/>
        <w:jc w:val="center"/>
        <w:textAlignment w:val="auto"/>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磋商方法及标准</w:t>
      </w:r>
    </w:p>
    <w:p>
      <w:pPr>
        <w:keepNext w:val="0"/>
        <w:keepLines w:val="0"/>
        <w:kinsoku/>
        <w:wordWrap/>
        <w:overflowPunct/>
        <w:topLinePunct w:val="0"/>
        <w:bidi w:val="0"/>
        <w:spacing w:line="360" w:lineRule="exact"/>
        <w:jc w:val="left"/>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rPr>
        <w:t>1、磋商方法：</w:t>
      </w:r>
    </w:p>
    <w:p>
      <w:pPr>
        <w:keepNext w:val="0"/>
        <w:keepLines w:val="0"/>
        <w:kinsoku/>
        <w:wordWrap/>
        <w:overflowPunct/>
        <w:topLinePunct w:val="0"/>
        <w:bidi w:val="0"/>
        <w:spacing w:line="360" w:lineRule="exact"/>
        <w:ind w:firstLine="480" w:firstLineChars="20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为成交候选供应商。评审得分相同的，按照最后报价由低到高的顺序推荐。评审得分且最后报价相同的，按照技术指标优劣顺序推荐。</w:t>
      </w:r>
    </w:p>
    <w:p>
      <w:pPr>
        <w:keepNext w:val="0"/>
        <w:keepLines w:val="0"/>
        <w:kinsoku/>
        <w:wordWrap/>
        <w:overflowPunct/>
        <w:topLinePunct w:val="0"/>
        <w:bidi w:val="0"/>
        <w:spacing w:line="360" w:lineRule="exact"/>
        <w:ind w:firstLine="472" w:firstLineChars="196"/>
        <w:jc w:val="left"/>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kinsoku/>
        <w:wordWrap/>
        <w:overflowPunct/>
        <w:topLinePunct w:val="0"/>
        <w:bidi w:val="0"/>
        <w:spacing w:line="360" w:lineRule="exact"/>
        <w:ind w:firstLine="482" w:firstLineChars="200"/>
        <w:jc w:val="lef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kinsoku/>
        <w:wordWrap/>
        <w:overflowPunct/>
        <w:topLinePunct w:val="0"/>
        <w:bidi w:val="0"/>
        <w:spacing w:line="360" w:lineRule="exac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2.评审标准：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90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分。评分依下述所列为评审打分依据，分值如下（计算分值时，按其算术平均值保留小数2位）。</w:t>
      </w:r>
    </w:p>
    <w:p>
      <w:pPr>
        <w:keepNext w:val="0"/>
        <w:keepLines w:val="0"/>
        <w:kinsoku/>
        <w:wordWrap/>
        <w:overflowPunct/>
        <w:topLinePunct w:val="0"/>
        <w:bidi w:val="0"/>
        <w:spacing w:line="360" w:lineRule="exact"/>
        <w:textAlignment w:val="auto"/>
        <w:rPr>
          <w:rFonts w:ascii="仿宋_GB2312" w:eastAsia="仿宋_GB2312"/>
          <w:b/>
          <w:color w:val="auto"/>
          <w:sz w:val="24"/>
          <w:highlight w:val="none"/>
        </w:rPr>
      </w:pPr>
      <w:r>
        <w:rPr>
          <w:rFonts w:hint="eastAsia" w:ascii="仿宋_GB2312" w:eastAsia="仿宋_GB2312"/>
          <w:b/>
          <w:color w:val="auto"/>
          <w:sz w:val="24"/>
          <w:highlight w:val="none"/>
        </w:rPr>
        <w:t>2.1</w:t>
      </w:r>
      <w:r>
        <w:rPr>
          <w:rFonts w:hint="eastAsia" w:ascii="仿宋_GB2312" w:hAnsi="宋体" w:eastAsia="仿宋_GB2312"/>
          <w:b/>
          <w:bCs/>
          <w:iCs/>
          <w:color w:val="auto"/>
          <w:sz w:val="24"/>
          <w:highlight w:val="none"/>
        </w:rPr>
        <w:t>商务技术分（</w:t>
      </w:r>
      <w:r>
        <w:rPr>
          <w:rFonts w:hint="eastAsia" w:ascii="仿宋_GB2312" w:eastAsia="仿宋_GB2312"/>
          <w:b/>
          <w:color w:val="auto"/>
          <w:sz w:val="24"/>
          <w:highlight w:val="none"/>
          <w:lang w:val="en-US" w:eastAsia="zh-CN"/>
        </w:rPr>
        <w:t>9</w:t>
      </w:r>
      <w:r>
        <w:rPr>
          <w:rFonts w:hint="eastAsia" w:ascii="仿宋_GB2312" w:eastAsia="仿宋_GB2312"/>
          <w:b/>
          <w:color w:val="auto"/>
          <w:sz w:val="24"/>
          <w:highlight w:val="none"/>
        </w:rPr>
        <w:t>0分</w:t>
      </w:r>
      <w:r>
        <w:rPr>
          <w:rFonts w:hint="eastAsia" w:ascii="仿宋_GB2312" w:hAnsi="宋体" w:eastAsia="仿宋_GB2312"/>
          <w:b/>
          <w:bCs/>
          <w:iCs/>
          <w:color w:val="auto"/>
          <w:sz w:val="24"/>
          <w:highlight w:val="none"/>
        </w:rPr>
        <w:t>）</w:t>
      </w:r>
      <w:bookmarkEnd w:id="6"/>
      <w:bookmarkEnd w:id="7"/>
      <w:bookmarkEnd w:id="8"/>
      <w:bookmarkEnd w:id="9"/>
    </w:p>
    <w:tbl>
      <w:tblPr>
        <w:tblStyle w:val="88"/>
        <w:tblW w:w="9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9"/>
        <w:gridCol w:w="1215"/>
        <w:gridCol w:w="6705"/>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trPr>
        <w:tc>
          <w:tcPr>
            <w:tcW w:w="589" w:type="dxa"/>
            <w:vAlign w:val="center"/>
          </w:tcPr>
          <w:p>
            <w:pPr>
              <w:keepNext w:val="0"/>
              <w:keepLines w:val="0"/>
              <w:widowControl/>
              <w:kinsoku/>
              <w:wordWrap/>
              <w:overflowPunct/>
              <w:topLinePunct w:val="0"/>
              <w:bidi w:val="0"/>
              <w:spacing w:line="360" w:lineRule="exact"/>
              <w:jc w:val="center"/>
              <w:textAlignment w:val="auto"/>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序号</w:t>
            </w:r>
          </w:p>
        </w:tc>
        <w:tc>
          <w:tcPr>
            <w:tcW w:w="1215" w:type="dxa"/>
            <w:vAlign w:val="center"/>
          </w:tcPr>
          <w:p>
            <w:pPr>
              <w:keepNext w:val="0"/>
              <w:keepLines w:val="0"/>
              <w:widowControl/>
              <w:kinsoku/>
              <w:wordWrap/>
              <w:overflowPunct/>
              <w:topLinePunct w:val="0"/>
              <w:bidi w:val="0"/>
              <w:spacing w:line="360" w:lineRule="exact"/>
              <w:ind w:right="2"/>
              <w:jc w:val="center"/>
              <w:textAlignment w:val="auto"/>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评审</w:t>
            </w:r>
          </w:p>
          <w:p>
            <w:pPr>
              <w:keepNext w:val="0"/>
              <w:keepLines w:val="0"/>
              <w:widowControl/>
              <w:kinsoku/>
              <w:wordWrap/>
              <w:overflowPunct/>
              <w:topLinePunct w:val="0"/>
              <w:bidi w:val="0"/>
              <w:spacing w:line="360" w:lineRule="exact"/>
              <w:ind w:right="2"/>
              <w:jc w:val="center"/>
              <w:textAlignment w:val="auto"/>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项目</w:t>
            </w:r>
          </w:p>
        </w:tc>
        <w:tc>
          <w:tcPr>
            <w:tcW w:w="6705" w:type="dxa"/>
            <w:vAlign w:val="center"/>
          </w:tcPr>
          <w:p>
            <w:pPr>
              <w:keepNext w:val="0"/>
              <w:keepLines w:val="0"/>
              <w:widowControl/>
              <w:kinsoku/>
              <w:wordWrap/>
              <w:overflowPunct/>
              <w:topLinePunct w:val="0"/>
              <w:bidi w:val="0"/>
              <w:spacing w:line="360" w:lineRule="exact"/>
              <w:jc w:val="center"/>
              <w:textAlignment w:val="auto"/>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评分标准</w:t>
            </w:r>
          </w:p>
        </w:tc>
        <w:tc>
          <w:tcPr>
            <w:tcW w:w="614" w:type="dxa"/>
            <w:vAlign w:val="center"/>
          </w:tcPr>
          <w:p>
            <w:pPr>
              <w:keepNext w:val="0"/>
              <w:keepLines w:val="0"/>
              <w:widowControl/>
              <w:kinsoku/>
              <w:wordWrap/>
              <w:overflowPunct/>
              <w:topLinePunct w:val="0"/>
              <w:bidi w:val="0"/>
              <w:spacing w:line="360" w:lineRule="exact"/>
              <w:jc w:val="center"/>
              <w:textAlignment w:val="auto"/>
              <w:rPr>
                <w:rFonts w:hint="eastAsia" w:ascii="仿宋" w:hAnsi="仿宋" w:eastAsia="仿宋" w:cs="仿宋"/>
                <w:b/>
                <w:bCs/>
                <w:color w:val="auto"/>
                <w:kern w:val="0"/>
                <w:sz w:val="21"/>
                <w:szCs w:val="21"/>
                <w:highlight w:val="none"/>
                <w:lang w:val="en-US" w:eastAsia="zh-CN" w:bidi="ar-SA"/>
              </w:rPr>
            </w:pPr>
            <w:r>
              <w:rPr>
                <w:rFonts w:hint="eastAsia" w:ascii="仿宋" w:hAnsi="仿宋" w:eastAsia="仿宋" w:cs="仿宋"/>
                <w:b/>
                <w:bCs/>
                <w:color w:val="auto"/>
                <w:kern w:val="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trPr>
        <w:tc>
          <w:tcPr>
            <w:tcW w:w="589" w:type="dxa"/>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215" w:type="dxa"/>
            <w:vAlign w:val="center"/>
          </w:tcPr>
          <w:p>
            <w:pPr>
              <w:keepNext w:val="0"/>
              <w:keepLines w:val="0"/>
              <w:widowControl/>
              <w:kinsoku/>
              <w:wordWrap/>
              <w:overflowPunct/>
              <w:topLinePunct w:val="0"/>
              <w:bidi w:val="0"/>
              <w:spacing w:line="360" w:lineRule="exact"/>
              <w:ind w:right="2"/>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企业荣誉</w:t>
            </w:r>
          </w:p>
        </w:tc>
        <w:tc>
          <w:tcPr>
            <w:tcW w:w="6705" w:type="dxa"/>
            <w:vAlign w:val="center"/>
          </w:tcPr>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1、投标人自2019年1月1日以来（以奖项落款时间为准）</w:t>
            </w:r>
          </w:p>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获得中国出版政府奖先进出版单位奖得3分，中国出版政府奖优秀出版人物奖得2分，中国出版政府奖图书奖得1分，本项累计最高得6分。</w:t>
            </w:r>
          </w:p>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2、投标人自2019年1月1日以来（以奖项落款时间为准）</w:t>
            </w:r>
          </w:p>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获得中国出版协会古籍工作委员会古籍整理奖项的，一等奖得2分，二等奖得1分，三等奖得0.5分，本项累计最高得4分。</w:t>
            </w:r>
          </w:p>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投标人自2019年1月1日以来承担的国家级出版项目（国家出版基金项目、国家哲学社会科学成果文库项目、国家社科基金特别委托课题或重大招标课题等）为准，20项以上得5分，15-20项（含）得2分，10-15项（含）得1分，10项（含）以下不得分。</w:t>
            </w:r>
          </w:p>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kern w:val="2"/>
                <w:sz w:val="24"/>
                <w:szCs w:val="24"/>
                <w:highlight w:val="none"/>
                <w:lang w:val="en-US" w:eastAsia="zh-CN" w:bidi="ar-SA"/>
              </w:rPr>
              <w:t>证明材料以获奖文件或获奖证书或网上公示页为准以及出版项目相关证明材料，复印件加盖单位公章。</w:t>
            </w:r>
          </w:p>
        </w:tc>
        <w:tc>
          <w:tcPr>
            <w:tcW w:w="614" w:type="dxa"/>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trPr>
        <w:tc>
          <w:tcPr>
            <w:tcW w:w="589" w:type="dxa"/>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15" w:type="dxa"/>
            <w:vAlign w:val="center"/>
          </w:tcPr>
          <w:p>
            <w:pPr>
              <w:keepNext w:val="0"/>
              <w:keepLines w:val="0"/>
              <w:widowControl/>
              <w:kinsoku/>
              <w:wordWrap/>
              <w:overflowPunct/>
              <w:topLinePunct w:val="0"/>
              <w:bidi w:val="0"/>
              <w:spacing w:line="360" w:lineRule="exact"/>
              <w:ind w:right="2"/>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社会影响力</w:t>
            </w:r>
          </w:p>
        </w:tc>
        <w:tc>
          <w:tcPr>
            <w:tcW w:w="6705" w:type="dxa"/>
            <w:vAlign w:val="center"/>
          </w:tcPr>
          <w:p>
            <w:pPr>
              <w:pStyle w:val="46"/>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投标人自2019年1月1日以来（以奖项落款时间为准）</w:t>
            </w:r>
          </w:p>
          <w:p>
            <w:pPr>
              <w:pStyle w:val="46"/>
              <w:keepNext w:val="0"/>
              <w:keepLines w:val="0"/>
              <w:numPr>
                <w:ilvl w:val="0"/>
                <w:numId w:val="0"/>
              </w:numPr>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获得年度中国好书荣誉，每有一次得1分，本项累计最高得2分。</w:t>
            </w:r>
          </w:p>
          <w:p>
            <w:pPr>
              <w:pStyle w:val="46"/>
              <w:keepNext w:val="0"/>
              <w:keepLines w:val="0"/>
              <w:numPr>
                <w:ilvl w:val="0"/>
                <w:numId w:val="0"/>
              </w:numPr>
              <w:kinsoku/>
              <w:wordWrap/>
              <w:overflowPunct/>
              <w:topLinePunct w:val="0"/>
              <w:bidi w:val="0"/>
              <w:adjustRightInd w:val="0"/>
              <w:snapToGri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证明材料以获奖文件或获奖证书或网上公示页为准，复印件加盖单位公章。</w:t>
            </w:r>
          </w:p>
        </w:tc>
        <w:tc>
          <w:tcPr>
            <w:tcW w:w="614" w:type="dxa"/>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trPr>
        <w:tc>
          <w:tcPr>
            <w:tcW w:w="589" w:type="dxa"/>
            <w:vAlign w:val="center"/>
          </w:tcPr>
          <w:p>
            <w:pPr>
              <w:keepNext w:val="0"/>
              <w:keepLines w:val="0"/>
              <w:widowControl/>
              <w:kinsoku/>
              <w:wordWrap/>
              <w:overflowPunct/>
              <w:topLinePunct w:val="0"/>
              <w:bidi w:val="0"/>
              <w:spacing w:line="360" w:lineRule="exact"/>
              <w:jc w:val="center"/>
              <w:textAlignment w:val="auto"/>
              <w:rPr>
                <w:rFonts w:hint="eastAsia" w:ascii="仿宋" w:hAnsi="仿宋" w:eastAsia="仿宋" w:cs="仿宋"/>
                <w:b/>
                <w:bCs/>
                <w:color w:val="auto"/>
                <w:kern w:val="0"/>
                <w:szCs w:val="21"/>
                <w:highlight w:val="none"/>
                <w:lang w:val="en-US" w:eastAsia="zh-CN"/>
              </w:rPr>
            </w:pPr>
            <w:r>
              <w:rPr>
                <w:rFonts w:hint="eastAsia" w:ascii="仿宋" w:hAnsi="仿宋" w:eastAsia="仿宋" w:cs="仿宋"/>
                <w:color w:val="auto"/>
                <w:sz w:val="24"/>
                <w:highlight w:val="none"/>
                <w:lang w:val="en-US" w:eastAsia="zh-CN"/>
              </w:rPr>
              <w:t>3</w:t>
            </w:r>
          </w:p>
        </w:tc>
        <w:tc>
          <w:tcPr>
            <w:tcW w:w="1215" w:type="dxa"/>
            <w:vAlign w:val="center"/>
          </w:tcPr>
          <w:p>
            <w:pPr>
              <w:keepNext w:val="0"/>
              <w:keepLines w:val="0"/>
              <w:widowControl/>
              <w:kinsoku/>
              <w:wordWrap/>
              <w:overflowPunct/>
              <w:topLinePunct w:val="0"/>
              <w:bidi w:val="0"/>
              <w:spacing w:line="360" w:lineRule="exact"/>
              <w:ind w:right="-63" w:rightChars="-3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同类业绩</w:t>
            </w:r>
          </w:p>
        </w:tc>
        <w:tc>
          <w:tcPr>
            <w:tcW w:w="6705" w:type="dxa"/>
            <w:vAlign w:val="center"/>
          </w:tcPr>
          <w:p>
            <w:pPr>
              <w:keepNext w:val="0"/>
              <w:keepLines w:val="0"/>
              <w:kinsoku/>
              <w:wordWrap/>
              <w:overflowPunct/>
              <w:topLinePunct w:val="0"/>
              <w:bidi w:val="0"/>
              <w:spacing w:line="360" w:lineRule="exact"/>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2019年1月1日至磋商截止时间（以合同签订日期为准），具有类似业绩的，每个得0.5分，最高得1分。</w:t>
            </w:r>
          </w:p>
          <w:p>
            <w:pPr>
              <w:keepNext w:val="0"/>
              <w:keepLines w:val="0"/>
              <w:kinsoku/>
              <w:wordWrap/>
              <w:overflowPunct/>
              <w:topLinePunct w:val="0"/>
              <w:bidi w:val="0"/>
              <w:spacing w:line="360" w:lineRule="exact"/>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highlight w:val="none"/>
                <w:lang w:val="zh-CN" w:eastAsia="zh-Hans"/>
              </w:rPr>
              <w:t>提供合同复印件加盖投标单位公章</w:t>
            </w:r>
          </w:p>
        </w:tc>
        <w:tc>
          <w:tcPr>
            <w:tcW w:w="614" w:type="dxa"/>
            <w:vAlign w:val="center"/>
          </w:tcPr>
          <w:p>
            <w:pPr>
              <w:keepNext w:val="0"/>
              <w:keepLines w:val="0"/>
              <w:widowControl/>
              <w:kinsoku/>
              <w:wordWrap/>
              <w:overflowPunct/>
              <w:topLinePunct w:val="0"/>
              <w:bidi w:val="0"/>
              <w:spacing w:line="360" w:lineRule="exact"/>
              <w:ind w:right="-63" w:rightChars="-3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4" w:hRule="atLeast"/>
        </w:trPr>
        <w:tc>
          <w:tcPr>
            <w:tcW w:w="589" w:type="dxa"/>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215" w:type="dxa"/>
            <w:vAlign w:val="center"/>
          </w:tcPr>
          <w:p>
            <w:pPr>
              <w:keepNext w:val="0"/>
              <w:keepLines w:val="0"/>
              <w:kinsoku/>
              <w:wordWrap/>
              <w:overflowPunct/>
              <w:topLinePunct w:val="0"/>
              <w:bidi w:val="0"/>
              <w:adjustRightInd w:val="0"/>
              <w:snapToGrid w:val="0"/>
              <w:spacing w:line="36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项目理解程度</w:t>
            </w:r>
          </w:p>
        </w:tc>
        <w:tc>
          <w:tcPr>
            <w:tcW w:w="6705" w:type="dxa"/>
            <w:vAlign w:val="center"/>
          </w:tcPr>
          <w:p>
            <w:pPr>
              <w:keepNext w:val="0"/>
              <w:keepLines w:val="0"/>
              <w:numPr>
                <w:ilvl w:val="0"/>
                <w:numId w:val="0"/>
              </w:numPr>
              <w:kinsoku/>
              <w:wordWrap/>
              <w:overflowPunct/>
              <w:topLinePunct w:val="0"/>
              <w:bidi w:val="0"/>
              <w:adjustRightInd w:val="0"/>
              <w:snapToGrid w:val="0"/>
              <w:spacing w:line="36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根据投标人是否已充分了解项目现状和背景，是否完全理解项目需求情况，是否能就项目建设重难点提出具体的分析和措施，由专家横向比较，综合评分，优秀得6.1-9分；良好得3.1-6分；一般得0-3分。</w:t>
            </w:r>
          </w:p>
        </w:tc>
        <w:tc>
          <w:tcPr>
            <w:tcW w:w="614" w:type="dxa"/>
            <w:vAlign w:val="center"/>
          </w:tcPr>
          <w:p>
            <w:pPr>
              <w:keepNext w:val="0"/>
              <w:keepLines w:val="0"/>
              <w:widowControl/>
              <w:kinsoku/>
              <w:wordWrap/>
              <w:overflowPunct/>
              <w:topLinePunct w:val="0"/>
              <w:bidi w:val="0"/>
              <w:spacing w:line="360" w:lineRule="exact"/>
              <w:ind w:right="-63" w:rightChars="-3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2" w:hRule="atLeast"/>
        </w:trPr>
        <w:tc>
          <w:tcPr>
            <w:tcW w:w="589" w:type="dxa"/>
            <w:tcBorders>
              <w:bottom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eastAsia" w:ascii="仿宋" w:hAnsi="仿宋" w:eastAsia="仿宋" w:cs="仿宋"/>
                <w:bCs/>
                <w:color w:val="auto"/>
                <w:kern w:val="0"/>
                <w:sz w:val="24"/>
                <w:highlight w:val="none"/>
                <w:lang w:eastAsia="zh-CN"/>
              </w:rPr>
            </w:pPr>
            <w:r>
              <w:rPr>
                <w:rFonts w:hint="eastAsia" w:ascii="仿宋" w:hAnsi="仿宋" w:eastAsia="仿宋" w:cs="仿宋"/>
                <w:bCs/>
                <w:color w:val="auto"/>
                <w:kern w:val="0"/>
                <w:sz w:val="24"/>
                <w:highlight w:val="none"/>
                <w:lang w:val="en-US" w:eastAsia="zh-CN"/>
              </w:rPr>
              <w:t>5</w:t>
            </w:r>
          </w:p>
        </w:tc>
        <w:tc>
          <w:tcPr>
            <w:tcW w:w="1215" w:type="dxa"/>
            <w:tcBorders>
              <w:bottom w:val="single" w:color="auto" w:sz="4" w:space="0"/>
            </w:tcBorders>
            <w:vAlign w:val="center"/>
          </w:tcPr>
          <w:p>
            <w:pPr>
              <w:keepNext w:val="0"/>
              <w:keepLines w:val="0"/>
              <w:kinsoku/>
              <w:wordWrap/>
              <w:overflowPunct/>
              <w:topLinePunct w:val="0"/>
              <w:bidi w:val="0"/>
              <w:adjustRightInd w:val="0"/>
              <w:snapToGrid w:val="0"/>
              <w:spacing w:line="36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项目实施方案</w:t>
            </w:r>
          </w:p>
        </w:tc>
        <w:tc>
          <w:tcPr>
            <w:tcW w:w="6705" w:type="dxa"/>
            <w:tcBorders>
              <w:bottom w:val="single" w:color="auto" w:sz="4" w:space="0"/>
            </w:tcBorders>
            <w:vAlign w:val="center"/>
          </w:tcPr>
          <w:p>
            <w:pPr>
              <w:keepNext w:val="0"/>
              <w:keepLines w:val="0"/>
              <w:kinsoku/>
              <w:wordWrap/>
              <w:overflowPunct/>
              <w:topLinePunct w:val="0"/>
              <w:bidi w:val="0"/>
              <w:adjustRightInd w:val="0"/>
              <w:snapToGrid w:val="0"/>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根据投标人针对本项目实施方案的总体框架，工作流程，工作思路是否科学、先进、合理、完整、可行，由专家横向比较，综合评分，优秀得6.1-9分；良好得3.1-6分；一般得0-3分。</w:t>
            </w:r>
          </w:p>
        </w:tc>
        <w:tc>
          <w:tcPr>
            <w:tcW w:w="614" w:type="dxa"/>
            <w:tcBorders>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jc w:val="center"/>
              <w:textAlignment w:val="auto"/>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2" w:hRule="atLeast"/>
        </w:trPr>
        <w:tc>
          <w:tcPr>
            <w:tcW w:w="589" w:type="dxa"/>
            <w:tcBorders>
              <w:top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6</w:t>
            </w:r>
          </w:p>
        </w:tc>
        <w:tc>
          <w:tcPr>
            <w:tcW w:w="1215" w:type="dxa"/>
            <w:tcBorders>
              <w:top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项目服务团队</w:t>
            </w:r>
          </w:p>
          <w:p>
            <w:pPr>
              <w:keepNext w:val="0"/>
              <w:keepLines w:val="0"/>
              <w:kinsoku/>
              <w:wordWrap/>
              <w:overflowPunct/>
              <w:topLinePunct w:val="0"/>
              <w:autoSpaceDE w:val="0"/>
              <w:autoSpaceDN w:val="0"/>
              <w:bidi w:val="0"/>
              <w:adjustRightInd w:val="0"/>
              <w:snapToGrid w:val="0"/>
              <w:spacing w:line="36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6705" w:type="dxa"/>
            <w:tcBorders>
              <w:top w:val="single" w:color="auto" w:sz="4" w:space="0"/>
              <w:bottom w:val="single" w:color="auto" w:sz="4" w:space="0"/>
            </w:tcBorders>
            <w:vAlign w:val="center"/>
          </w:tcPr>
          <w:p>
            <w:pPr>
              <w:pStyle w:val="28"/>
              <w:keepNext w:val="0"/>
              <w:keepLines w:val="0"/>
              <w:numPr>
                <w:ilvl w:val="0"/>
                <w:numId w:val="8"/>
              </w:numPr>
              <w:kinsoku/>
              <w:wordWrap/>
              <w:overflowPunct/>
              <w:topLinePunct w:val="0"/>
              <w:bidi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根据投标人拟投入本项目服务团队人员的技术基础、素质、资质、古籍出版类项目工作经验等情况，横向比较，酌情打分。优秀得4.1-6分，良好得2.1-4分，一般得0-2分。</w:t>
            </w:r>
          </w:p>
          <w:p>
            <w:pPr>
              <w:pStyle w:val="28"/>
              <w:keepNext w:val="0"/>
              <w:keepLines w:val="0"/>
              <w:numPr>
                <w:ilvl w:val="0"/>
                <w:numId w:val="8"/>
              </w:numPr>
              <w:kinsoku/>
              <w:wordWrap/>
              <w:overflowPunct/>
              <w:topLinePunct w:val="0"/>
              <w:bidi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项目负责人具有研究生学历同时具有正高职称的得3分，具有研究生学历同时具有副高职称的得1分，具有本科学历同时具有中级职称的得0.5分，其他不得分。</w:t>
            </w:r>
          </w:p>
          <w:p>
            <w:pPr>
              <w:pStyle w:val="28"/>
              <w:keepNext w:val="0"/>
              <w:keepLines w:val="0"/>
              <w:numPr>
                <w:ilvl w:val="0"/>
                <w:numId w:val="8"/>
              </w:numPr>
              <w:kinsoku/>
              <w:wordWrap/>
              <w:overflowPunct/>
              <w:topLinePunct w:val="0"/>
              <w:bidi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项目组其他成员具有研究生学历同时具有副高或以上职称的每人得2分，具有本科学历同时具有中级职称的得1分，其他不得分，本项累计最高得6分；</w:t>
            </w:r>
          </w:p>
          <w:p>
            <w:pPr>
              <w:pStyle w:val="28"/>
              <w:keepNext w:val="0"/>
              <w:keepLines w:val="0"/>
              <w:numPr>
                <w:ilvl w:val="0"/>
                <w:numId w:val="0"/>
              </w:numPr>
              <w:kinsoku/>
              <w:wordWrap/>
              <w:overflowPunct/>
              <w:topLinePunct w:val="0"/>
              <w:bidi w:val="0"/>
              <w:spacing w:line="360" w:lineRule="exac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证明材料以</w:t>
            </w:r>
            <w:r>
              <w:rPr>
                <w:rFonts w:hint="eastAsia" w:ascii="仿宋" w:hAnsi="仿宋" w:eastAsia="仿宋" w:cs="仿宋"/>
                <w:b/>
                <w:bCs/>
                <w:color w:val="auto"/>
                <w:kern w:val="2"/>
                <w:sz w:val="24"/>
                <w:szCs w:val="24"/>
                <w:highlight w:val="none"/>
                <w:lang w:val="zh-CN" w:eastAsia="zh-CN" w:bidi="ar-SA"/>
              </w:rPr>
              <w:t>项目组人员学历或职称证书及</w:t>
            </w:r>
            <w:r>
              <w:rPr>
                <w:rFonts w:hint="eastAsia" w:ascii="仿宋" w:hAnsi="仿宋" w:eastAsia="仿宋" w:cs="仿宋"/>
                <w:b/>
                <w:bCs/>
                <w:color w:val="auto"/>
                <w:kern w:val="2"/>
                <w:sz w:val="24"/>
                <w:szCs w:val="24"/>
                <w:highlight w:val="none"/>
                <w:lang w:val="en-US" w:eastAsia="zh-CN" w:bidi="ar-SA"/>
              </w:rPr>
              <w:t>单位出具的社保证明为准，复印件加盖单位公章，否则不得分。</w:t>
            </w:r>
          </w:p>
        </w:tc>
        <w:tc>
          <w:tcPr>
            <w:tcW w:w="614" w:type="dxa"/>
            <w:tcBorders>
              <w:top w:val="single" w:color="auto" w:sz="4" w:space="0"/>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ind w:firstLine="120" w:firstLineChars="50"/>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2" w:hRule="atLeast"/>
        </w:trPr>
        <w:tc>
          <w:tcPr>
            <w:tcW w:w="589" w:type="dxa"/>
            <w:tcBorders>
              <w:top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7</w:t>
            </w:r>
          </w:p>
        </w:tc>
        <w:tc>
          <w:tcPr>
            <w:tcW w:w="1215" w:type="dxa"/>
            <w:tcBorders>
              <w:top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工作组织计划</w:t>
            </w:r>
          </w:p>
        </w:tc>
        <w:tc>
          <w:tcPr>
            <w:tcW w:w="6705" w:type="dxa"/>
            <w:tcBorders>
              <w:top w:val="single" w:color="auto" w:sz="4" w:space="0"/>
              <w:bottom w:val="single" w:color="auto" w:sz="4" w:space="0"/>
            </w:tcBorders>
            <w:vAlign w:val="center"/>
          </w:tcPr>
          <w:p>
            <w:pPr>
              <w:pStyle w:val="28"/>
              <w:keepNext w:val="0"/>
              <w:keepLines w:val="0"/>
              <w:kinsoku/>
              <w:wordWrap/>
              <w:overflowPunct/>
              <w:topLinePunct w:val="0"/>
              <w:bidi w:val="0"/>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根据投标人提供的工作组织计划是否详细、明确；后续实施服务</w:t>
            </w:r>
            <w:r>
              <w:rPr>
                <w:rFonts w:hint="eastAsia" w:ascii="仿宋" w:hAnsi="仿宋" w:eastAsia="仿宋" w:cs="仿宋"/>
                <w:color w:val="auto"/>
                <w:sz w:val="24"/>
                <w:highlight w:val="none"/>
                <w:lang w:val="en-US" w:eastAsia="zh-CN"/>
              </w:rPr>
              <w:t>保障措施的有效性、可行性</w:t>
            </w:r>
            <w:r>
              <w:rPr>
                <w:rFonts w:hint="eastAsia" w:ascii="仿宋" w:hAnsi="仿宋" w:eastAsia="仿宋" w:cs="仿宋"/>
                <w:color w:val="auto"/>
                <w:sz w:val="24"/>
                <w:highlight w:val="none"/>
                <w:lang w:eastAsia="zh-CN"/>
              </w:rPr>
              <w:t>，</w:t>
            </w:r>
            <w:r>
              <w:rPr>
                <w:rFonts w:hint="eastAsia" w:ascii="仿宋" w:hAnsi="仿宋" w:eastAsia="仿宋" w:cs="仿宋"/>
                <w:color w:val="auto"/>
                <w:kern w:val="2"/>
                <w:sz w:val="24"/>
                <w:szCs w:val="24"/>
                <w:highlight w:val="none"/>
                <w:lang w:val="en-US" w:eastAsia="zh-CN" w:bidi="ar-SA"/>
              </w:rPr>
              <w:t>由专家横向比较，综合评分，</w:t>
            </w:r>
            <w:r>
              <w:rPr>
                <w:rFonts w:hint="eastAsia" w:ascii="仿宋" w:hAnsi="仿宋" w:eastAsia="仿宋" w:cs="仿宋"/>
                <w:color w:val="auto"/>
                <w:sz w:val="24"/>
                <w:highlight w:val="none"/>
                <w:lang w:eastAsia="zh-CN"/>
              </w:rPr>
              <w:t>优秀得</w:t>
            </w:r>
            <w:r>
              <w:rPr>
                <w:rFonts w:hint="eastAsia" w:ascii="仿宋" w:hAnsi="仿宋" w:eastAsia="仿宋" w:cs="仿宋"/>
                <w:color w:val="auto"/>
                <w:sz w:val="24"/>
                <w:highlight w:val="none"/>
                <w:lang w:val="en-US" w:eastAsia="zh-CN"/>
              </w:rPr>
              <w:t>4.1-6分；良好得2.1-4分；一般得0-2分</w:t>
            </w:r>
            <w:r>
              <w:rPr>
                <w:rFonts w:hint="eastAsia" w:ascii="仿宋_GB2312" w:hAnsi="仿宋_GB2312" w:eastAsia="仿宋_GB2312" w:cs="仿宋_GB2312"/>
                <w:bCs/>
                <w:color w:val="auto"/>
                <w:sz w:val="24"/>
                <w:highlight w:val="none"/>
              </w:rPr>
              <w:t>。</w:t>
            </w:r>
          </w:p>
        </w:tc>
        <w:tc>
          <w:tcPr>
            <w:tcW w:w="614" w:type="dxa"/>
            <w:tcBorders>
              <w:top w:val="single" w:color="auto" w:sz="4" w:space="0"/>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ind w:firstLine="120" w:firstLineChars="50"/>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2" w:hRule="atLeast"/>
        </w:trPr>
        <w:tc>
          <w:tcPr>
            <w:tcW w:w="589" w:type="dxa"/>
            <w:tcBorders>
              <w:top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8</w:t>
            </w:r>
          </w:p>
        </w:tc>
        <w:tc>
          <w:tcPr>
            <w:tcW w:w="1215" w:type="dxa"/>
            <w:tcBorders>
              <w:top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2"/>
                <w:sz w:val="24"/>
                <w:szCs w:val="24"/>
                <w:highlight w:val="none"/>
                <w:lang w:val="en-US" w:eastAsia="zh-CN" w:bidi="ar-SA"/>
              </w:rPr>
              <w:t>项目质量控制及措施</w:t>
            </w:r>
          </w:p>
        </w:tc>
        <w:tc>
          <w:tcPr>
            <w:tcW w:w="6705" w:type="dxa"/>
            <w:tcBorders>
              <w:top w:val="single" w:color="auto" w:sz="4" w:space="0"/>
              <w:bottom w:val="single" w:color="auto" w:sz="4" w:space="0"/>
            </w:tcBorders>
            <w:vAlign w:val="center"/>
          </w:tcPr>
          <w:p>
            <w:pPr>
              <w:pStyle w:val="28"/>
              <w:keepNext w:val="0"/>
              <w:keepLines w:val="0"/>
              <w:kinsoku/>
              <w:wordWrap/>
              <w:overflowPunct/>
              <w:topLinePunct w:val="0"/>
              <w:bidi w:val="0"/>
              <w:spacing w:line="36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2"/>
                <w:sz w:val="24"/>
                <w:szCs w:val="24"/>
                <w:highlight w:val="none"/>
                <w:lang w:val="en-US" w:eastAsia="zh-CN" w:bidi="ar-SA"/>
              </w:rPr>
              <w:t>投标人具有完善的质量控制及措施，根据投标人提供的质量控制方案（如：</w:t>
            </w:r>
            <w:r>
              <w:rPr>
                <w:rFonts w:hint="eastAsia" w:ascii="仿宋" w:hAnsi="仿宋" w:eastAsia="仿宋" w:cs="仿宋"/>
                <w:color w:val="auto"/>
                <w:sz w:val="24"/>
                <w:highlight w:val="none"/>
                <w:lang w:val="en-US" w:eastAsia="zh-CN"/>
              </w:rPr>
              <w:t>版式设计、</w:t>
            </w:r>
            <w:r>
              <w:rPr>
                <w:rFonts w:hint="eastAsia" w:ascii="仿宋" w:hAnsi="仿宋" w:eastAsia="仿宋" w:cs="仿宋"/>
                <w:color w:val="auto"/>
                <w:kern w:val="2"/>
                <w:sz w:val="24"/>
                <w:szCs w:val="24"/>
                <w:highlight w:val="none"/>
                <w:lang w:val="en-US" w:eastAsia="zh-CN" w:bidi="ar-SA"/>
              </w:rPr>
              <w:t>出版内容质量、印刷材质、装订质量控制方案等）和相应措施，由专家横向比较，综合评分，</w:t>
            </w:r>
            <w:r>
              <w:rPr>
                <w:rFonts w:hint="eastAsia" w:ascii="仿宋" w:hAnsi="仿宋" w:eastAsia="仿宋" w:cs="仿宋"/>
                <w:color w:val="auto"/>
                <w:sz w:val="24"/>
                <w:highlight w:val="none"/>
                <w:lang w:eastAsia="zh-CN"/>
              </w:rPr>
              <w:t>优秀得</w:t>
            </w:r>
            <w:r>
              <w:rPr>
                <w:rFonts w:hint="eastAsia" w:ascii="仿宋" w:hAnsi="仿宋" w:eastAsia="仿宋" w:cs="仿宋"/>
                <w:color w:val="auto"/>
                <w:sz w:val="24"/>
                <w:highlight w:val="none"/>
                <w:lang w:val="en-US" w:eastAsia="zh-CN"/>
              </w:rPr>
              <w:t>6.1-9分；良好得3.1-6分；一般得0-3分</w:t>
            </w:r>
            <w:r>
              <w:rPr>
                <w:rFonts w:hint="eastAsia" w:ascii="仿宋_GB2312" w:hAnsi="仿宋_GB2312" w:eastAsia="仿宋_GB2312" w:cs="仿宋_GB2312"/>
                <w:bCs/>
                <w:color w:val="auto"/>
                <w:sz w:val="24"/>
                <w:highlight w:val="none"/>
              </w:rPr>
              <w:t>。</w:t>
            </w:r>
          </w:p>
        </w:tc>
        <w:tc>
          <w:tcPr>
            <w:tcW w:w="614" w:type="dxa"/>
            <w:tcBorders>
              <w:top w:val="single" w:color="auto" w:sz="4" w:space="0"/>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ind w:firstLine="120" w:firstLineChars="50"/>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2" w:hRule="atLeast"/>
        </w:trPr>
        <w:tc>
          <w:tcPr>
            <w:tcW w:w="589" w:type="dxa"/>
            <w:tcBorders>
              <w:top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1215" w:type="dxa"/>
            <w:tcBorders>
              <w:top w:val="single" w:color="auto" w:sz="4" w:space="0"/>
            </w:tcBorders>
            <w:vAlign w:val="center"/>
          </w:tcPr>
          <w:p>
            <w:pPr>
              <w:pStyle w:val="46"/>
              <w:keepNext w:val="0"/>
              <w:keepLines w:val="0"/>
              <w:kinsoku/>
              <w:wordWrap/>
              <w:overflowPunct/>
              <w:topLinePunct w:val="0"/>
              <w:bidi w:val="0"/>
              <w:adjustRightInd w:val="0"/>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售后服务情况</w:t>
            </w:r>
          </w:p>
        </w:tc>
        <w:tc>
          <w:tcPr>
            <w:tcW w:w="6705" w:type="dxa"/>
            <w:tcBorders>
              <w:top w:val="single" w:color="auto" w:sz="4" w:space="0"/>
              <w:bottom w:val="single" w:color="auto" w:sz="4" w:space="0"/>
            </w:tcBorders>
            <w:vAlign w:val="center"/>
          </w:tcPr>
          <w:p>
            <w:pPr>
              <w:pStyle w:val="46"/>
              <w:keepNext w:val="0"/>
              <w:keepLines w:val="0"/>
              <w:kinsoku/>
              <w:wordWrap/>
              <w:overflowPunct/>
              <w:topLinePunct w:val="0"/>
              <w:bidi w:val="0"/>
              <w:adjustRightIn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根据投标人对本项目的售后服务承诺，响应情况（包括图书出版内容的质量把关、印刷品质量、装订出错免费重印等）及保证措施（如赔偿方案）情况酌情打分。优秀得6.1-10分，良好得3.1-6分，一般得0-3分。</w:t>
            </w:r>
          </w:p>
        </w:tc>
        <w:tc>
          <w:tcPr>
            <w:tcW w:w="614" w:type="dxa"/>
            <w:tcBorders>
              <w:top w:val="single" w:color="auto" w:sz="4" w:space="0"/>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ind w:firstLine="120" w:firstLineChars="50"/>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9" w:hRule="atLeast"/>
        </w:trPr>
        <w:tc>
          <w:tcPr>
            <w:tcW w:w="589" w:type="dxa"/>
            <w:tcBorders>
              <w:top w:val="single" w:color="auto" w:sz="4" w:space="0"/>
              <w:right w:val="single" w:color="auto" w:sz="4" w:space="0"/>
            </w:tcBorders>
            <w:vAlign w:val="center"/>
          </w:tcPr>
          <w:p>
            <w:pPr>
              <w:keepNext w:val="0"/>
              <w:keepLines w:val="0"/>
              <w:widowControl/>
              <w:kinsoku/>
              <w:wordWrap/>
              <w:overflowPunct/>
              <w:topLinePunct w:val="0"/>
              <w:bidi w:val="0"/>
              <w:spacing w:line="36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w:t>
            </w:r>
          </w:p>
        </w:tc>
        <w:tc>
          <w:tcPr>
            <w:tcW w:w="1215" w:type="dxa"/>
            <w:tcBorders>
              <w:top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样品质量</w:t>
            </w:r>
          </w:p>
        </w:tc>
        <w:tc>
          <w:tcPr>
            <w:tcW w:w="6705" w:type="dxa"/>
            <w:tcBorders>
              <w:top w:val="single" w:color="auto" w:sz="4" w:space="0"/>
              <w:bottom w:val="single" w:color="auto" w:sz="4" w:space="0"/>
            </w:tcBorders>
            <w:vAlign w:val="center"/>
          </w:tcPr>
          <w:p>
            <w:pPr>
              <w:pStyle w:val="46"/>
              <w:keepNext w:val="0"/>
              <w:keepLines w:val="0"/>
              <w:kinsoku/>
              <w:wordWrap/>
              <w:overflowPunct/>
              <w:topLinePunct w:val="0"/>
              <w:bidi w:val="0"/>
              <w:adjustRightInd w:val="0"/>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根据投标人提供的古籍精装本及古籍再造本样本的工艺主要技术、特点和质量水平、设计理念符合程度等</w:t>
            </w:r>
            <w:r>
              <w:rPr>
                <w:rFonts w:hint="eastAsia" w:ascii="仿宋" w:hAnsi="仿宋" w:eastAsia="仿宋" w:cs="仿宋"/>
                <w:b w:val="0"/>
                <w:bCs w:val="0"/>
                <w:color w:val="auto"/>
                <w:kern w:val="2"/>
                <w:sz w:val="24"/>
                <w:szCs w:val="24"/>
                <w:highlight w:val="none"/>
                <w:lang w:val="en-US" w:eastAsia="zh-CN" w:bidi="ar-SA"/>
              </w:rPr>
              <w:t>（包括样品的封面、内页、装订情况、纸张质量等）。</w:t>
            </w:r>
            <w:r>
              <w:rPr>
                <w:rFonts w:hint="eastAsia" w:ascii="仿宋" w:hAnsi="仿宋" w:eastAsia="仿宋" w:cs="仿宋"/>
                <w:color w:val="auto"/>
                <w:sz w:val="24"/>
                <w:highlight w:val="none"/>
                <w:lang w:val="en-US" w:eastAsia="zh-CN"/>
              </w:rPr>
              <w:t>由专家横向比较，综合评分，</w:t>
            </w:r>
            <w:r>
              <w:rPr>
                <w:rFonts w:hint="eastAsia" w:ascii="仿宋" w:hAnsi="仿宋" w:eastAsia="仿宋" w:cs="仿宋"/>
                <w:color w:val="auto"/>
                <w:kern w:val="2"/>
                <w:sz w:val="24"/>
                <w:szCs w:val="24"/>
                <w:highlight w:val="none"/>
                <w:lang w:val="en-US" w:eastAsia="zh-CN" w:bidi="ar-SA"/>
              </w:rPr>
              <w:t>优秀得9.1-14分，良好得4.1-9分，一般得0-4分。</w:t>
            </w:r>
          </w:p>
          <w:p>
            <w:pPr>
              <w:pStyle w:val="28"/>
              <w:keepNext w:val="0"/>
              <w:keepLines w:val="0"/>
              <w:kinsoku/>
              <w:wordWrap/>
              <w:overflowPunct/>
              <w:topLinePunct w:val="0"/>
              <w:bidi w:val="0"/>
              <w:spacing w:line="360" w:lineRule="exac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备注：样品作为商务技术文件组成部分，单独密封在密封袋中，并在封皮上标注项目名称和投标人名称加盖投标人公章，并于2022年12月16日17：00 前递交至绍兴虬实企业管理咨询有限公司，未在规定时间送达或未提供样品，本项不得分。</w:t>
            </w:r>
          </w:p>
        </w:tc>
        <w:tc>
          <w:tcPr>
            <w:tcW w:w="614" w:type="dxa"/>
            <w:tcBorders>
              <w:top w:val="single" w:color="auto" w:sz="4" w:space="0"/>
              <w:bottom w:val="single" w:color="auto" w:sz="4" w:space="0"/>
            </w:tcBorders>
            <w:vAlign w:val="center"/>
          </w:tcPr>
          <w:p>
            <w:pPr>
              <w:keepNext w:val="0"/>
              <w:keepLines w:val="0"/>
              <w:kinsoku/>
              <w:wordWrap/>
              <w:overflowPunct/>
              <w:topLinePunct w:val="0"/>
              <w:autoSpaceDE w:val="0"/>
              <w:autoSpaceDN w:val="0"/>
              <w:bidi w:val="0"/>
              <w:adjustRightInd w:val="0"/>
              <w:snapToGrid w:val="0"/>
              <w:spacing w:line="360" w:lineRule="exact"/>
              <w:ind w:firstLine="120" w:firstLineChars="50"/>
              <w:jc w:val="center"/>
              <w:textAlignment w:val="auto"/>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14</w:t>
            </w:r>
          </w:p>
        </w:tc>
      </w:tr>
    </w:tbl>
    <w:p>
      <w:pPr>
        <w:keepNext w:val="0"/>
        <w:keepLines w:val="0"/>
        <w:kinsoku/>
        <w:wordWrap/>
        <w:overflowPunct/>
        <w:topLinePunct w:val="0"/>
        <w:bidi w:val="0"/>
        <w:spacing w:line="360" w:lineRule="exact"/>
        <w:textAlignment w:val="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对省级以上主管部门认定的首台套产品，自纳入《省推广应用指导目录》起三年内参加政府采购活动，视同已具备相应销售业绩，业绩分为满分。</w:t>
      </w:r>
    </w:p>
    <w:p>
      <w:pPr>
        <w:keepNext w:val="0"/>
        <w:keepLines w:val="0"/>
        <w:kinsoku/>
        <w:wordWrap/>
        <w:overflowPunct/>
        <w:topLinePunct w:val="0"/>
        <w:bidi w:val="0"/>
        <w:spacing w:line="360" w:lineRule="exact"/>
        <w:textAlignment w:val="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10</w:t>
      </w:r>
      <w:r>
        <w:rPr>
          <w:rFonts w:hint="eastAsia" w:ascii="仿宋_GB2312" w:hAnsi="宋体" w:eastAsia="仿宋_GB2312"/>
          <w:b/>
          <w:bCs/>
          <w:iCs/>
          <w:color w:val="auto"/>
          <w:sz w:val="24"/>
          <w:highlight w:val="none"/>
        </w:rPr>
        <w:t>分</w:t>
      </w:r>
    </w:p>
    <w:p>
      <w:pPr>
        <w:keepNext w:val="0"/>
        <w:keepLines w:val="0"/>
        <w:kinsoku/>
        <w:wordWrap/>
        <w:overflowPunct/>
        <w:topLinePunct w:val="0"/>
        <w:bidi w:val="0"/>
        <w:spacing w:line="360" w:lineRule="exact"/>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2.2.1磋商基准价：即满足磋商文件要求且最后报价最低的供应商的价格为磋商基准价，其价格分为满分。</w:t>
      </w:r>
    </w:p>
    <w:p>
      <w:pPr>
        <w:keepNext w:val="0"/>
        <w:keepLines w:val="0"/>
        <w:kinsoku/>
        <w:wordWrap/>
        <w:overflowPunct/>
        <w:topLinePunct w:val="0"/>
        <w:bidi w:val="0"/>
        <w:spacing w:line="360" w:lineRule="exact"/>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2.2.2其他供应商的价格分统一按照下列公式计算：</w:t>
      </w:r>
    </w:p>
    <w:p>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exact"/>
        <w:textAlignment w:val="auto"/>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磋商报价得分=(磋商基准价／最后磋商报价)×价格权值×100</w:t>
      </w:r>
    </w:p>
    <w:p>
      <w:pPr>
        <w:keepNext w:val="0"/>
        <w:keepLines w:val="0"/>
        <w:kinsoku/>
        <w:wordWrap/>
        <w:overflowPunct/>
        <w:topLinePunct w:val="0"/>
        <w:bidi w:val="0"/>
        <w:spacing w:line="360" w:lineRule="exact"/>
        <w:textAlignment w:val="auto"/>
        <w:rPr>
          <w:rFonts w:ascii="Times New Roman" w:hAnsi="Times New Roman" w:eastAsia="宋体" w:cs="Times New Roman"/>
          <w:color w:val="auto"/>
          <w:kern w:val="2"/>
          <w:sz w:val="21"/>
          <w:szCs w:val="24"/>
          <w:highlight w:val="none"/>
          <w:lang w:val="en-US" w:eastAsia="zh-CN" w:bidi="ar-SA"/>
        </w:rPr>
      </w:pPr>
    </w:p>
    <w:p>
      <w:pPr>
        <w:keepNext w:val="0"/>
        <w:keepLines w:val="0"/>
        <w:kinsoku/>
        <w:wordWrap/>
        <w:overflowPunct/>
        <w:topLinePunct w:val="0"/>
        <w:bidi w:val="0"/>
        <w:spacing w:line="360" w:lineRule="exact"/>
        <w:ind w:firstLine="204" w:firstLineChars="0"/>
        <w:jc w:val="left"/>
        <w:textAlignment w:val="auto"/>
        <w:rPr>
          <w:color w:val="auto"/>
          <w:highlight w:val="none"/>
          <w:lang w:val="en-US" w:eastAsia="zh-CN"/>
        </w:rPr>
      </w:pPr>
      <w:r>
        <w:rPr>
          <w:rFonts w:hint="eastAsia" w:ascii="仿宋_GB2312" w:eastAsia="仿宋_GB2312"/>
          <w:b/>
          <w:bCs/>
          <w:color w:val="auto"/>
          <w:sz w:val="30"/>
          <w:szCs w:val="30"/>
          <w:highlight w:val="none"/>
          <w:lang w:val="en-US" w:eastAsia="zh-CN"/>
        </w:rPr>
        <w:t>注：本项目报价最多2轮磋商，各有效磋商单位最后一轮磋商价格作为最终报价。</w:t>
      </w:r>
    </w:p>
    <w:p>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磋商响应文件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供应商按照以下格式编制磋商响应文件，并将报价文件、商务技术（资信）文件分别装订成册。</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（1）磋商响应函……………………………………………………（页码）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（2）报价一览表……………………………………………………（页码）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w:t>
      </w:r>
      <w:r>
        <w:rPr>
          <w:rFonts w:hint="eastAsia" w:ascii="仿宋_GB2312" w:hAnsi="仿宋" w:eastAsia="仿宋_GB2312" w:cs="仿宋_GB2312"/>
          <w:color w:val="auto"/>
          <w:kern w:val="0"/>
          <w:sz w:val="24"/>
          <w:highlight w:val="none"/>
        </w:rPr>
        <w:t>中小企业声明函</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）残疾人福利性单位声明函</w:t>
      </w:r>
      <w:r>
        <w:rPr>
          <w:rFonts w:hint="eastAsia" w:ascii="仿宋_GB2312" w:hAnsi="仿宋_GB2312" w:eastAsia="仿宋_GB2312" w:cs="仿宋_GB2312"/>
          <w:color w:val="auto"/>
          <w:kern w:val="0"/>
          <w:sz w:val="24"/>
          <w:highlight w:val="none"/>
        </w:rPr>
        <w:t>……………………………………（页码）</w:t>
      </w:r>
    </w:p>
    <w:p>
      <w:pPr>
        <w:spacing w:line="360" w:lineRule="auto"/>
        <w:ind w:left="2" w:firstLine="480" w:firstLineChars="200"/>
        <w:rPr>
          <w:rFonts w:ascii="仿宋_GB2312" w:hAnsi="仿宋_GB2312" w:eastAsia="仿宋_GB2312" w:cs="仿宋_GB2312"/>
          <w:color w:val="auto"/>
          <w:sz w:val="24"/>
          <w:highlight w:val="none"/>
        </w:rPr>
      </w:pPr>
    </w:p>
    <w:p>
      <w:pPr>
        <w:pStyle w:val="36"/>
        <w:spacing w:line="800" w:lineRule="atLeast"/>
        <w:ind w:left="0" w:leftChars="0"/>
        <w:rPr>
          <w:rFonts w:ascii="仿宋_GB2312" w:hAnsi="宋体" w:eastAsia="仿宋_GB2312"/>
          <w:b/>
          <w:color w:val="auto"/>
          <w:sz w:val="36"/>
          <w:szCs w:val="36"/>
          <w:highlight w:val="none"/>
        </w:rPr>
      </w:pPr>
    </w:p>
    <w:p>
      <w:pPr>
        <w:pStyle w:val="36"/>
        <w:spacing w:line="800" w:lineRule="atLeast"/>
        <w:ind w:left="0" w:leftChars="0"/>
        <w:rPr>
          <w:rFonts w:ascii="仿宋_GB2312" w:hAnsi="宋体" w:eastAsia="仿宋_GB2312"/>
          <w:b/>
          <w:color w:val="auto"/>
          <w:sz w:val="36"/>
          <w:szCs w:val="36"/>
          <w:highlight w:val="none"/>
        </w:rPr>
      </w:pPr>
    </w:p>
    <w:p>
      <w:pPr>
        <w:pStyle w:val="36"/>
        <w:spacing w:line="800" w:lineRule="atLeast"/>
        <w:ind w:left="0" w:leftChars="0"/>
        <w:rPr>
          <w:rFonts w:ascii="仿宋_GB2312" w:hAnsi="宋体" w:eastAsia="仿宋_GB2312"/>
          <w:b/>
          <w:color w:val="auto"/>
          <w:sz w:val="36"/>
          <w:szCs w:val="36"/>
          <w:highlight w:val="none"/>
        </w:rPr>
      </w:pPr>
    </w:p>
    <w:p>
      <w:pPr>
        <w:pStyle w:val="36"/>
        <w:spacing w:line="800" w:lineRule="atLeast"/>
        <w:ind w:left="0" w:leftChars="0"/>
        <w:rPr>
          <w:rFonts w:ascii="仿宋_GB2312" w:hAnsi="宋体" w:eastAsia="仿宋_GB2312"/>
          <w:b/>
          <w:color w:val="auto"/>
          <w:sz w:val="36"/>
          <w:szCs w:val="36"/>
          <w:highlight w:val="none"/>
        </w:rPr>
      </w:pPr>
    </w:p>
    <w:p>
      <w:pPr>
        <w:pStyle w:val="36"/>
        <w:spacing w:line="800" w:lineRule="atLeast"/>
        <w:ind w:left="0" w:leftChars="0"/>
        <w:rPr>
          <w:rFonts w:ascii="仿宋_GB2312" w:hAnsi="宋体" w:eastAsia="仿宋_GB2312"/>
          <w:b/>
          <w:color w:val="auto"/>
          <w:sz w:val="36"/>
          <w:szCs w:val="36"/>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1、磋商响应函（格式）</w:t>
      </w:r>
    </w:p>
    <w:p>
      <w:pPr>
        <w:pStyle w:val="156"/>
        <w:spacing w:afterLines="0" w:line="40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eastAsia="zh-CN"/>
        </w:rPr>
        <w:t>绍兴市社会科学界联合会</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u w:val="single"/>
          <w:lang w:eastAsia="zh-CN"/>
        </w:rPr>
        <w:t>绍兴虬实企业管理咨询有限公司</w:t>
      </w:r>
      <w:r>
        <w:rPr>
          <w:rFonts w:hint="eastAsia" w:ascii="仿宋_GB2312" w:hAnsi="宋体" w:eastAsia="仿宋_GB2312"/>
          <w:color w:val="auto"/>
          <w:szCs w:val="24"/>
          <w:highlight w:val="none"/>
          <w:u w:val="single"/>
        </w:rPr>
        <w:t xml:space="preserve"> </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根据贵方磋商文件（</w:t>
      </w:r>
      <w:r>
        <w:rPr>
          <w:rFonts w:hint="eastAsia" w:ascii="仿宋_GB2312" w:hAnsi="宋体" w:eastAsia="仿宋_GB2312"/>
          <w:b/>
          <w:color w:val="auto"/>
          <w:szCs w:val="24"/>
          <w:highlight w:val="none"/>
          <w:u w:val="single"/>
        </w:rPr>
        <w:t>填写磋商编号：</w:t>
      </w:r>
      <w:r>
        <w:rPr>
          <w:rFonts w:hint="eastAsia" w:ascii="仿宋_GB2312" w:hAnsi="宋体" w:eastAsia="仿宋_GB2312"/>
          <w:color w:val="auto"/>
          <w:szCs w:val="24"/>
          <w:highlight w:val="none"/>
          <w:u w:val="single"/>
        </w:rPr>
        <w:t xml:space="preserve">     </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代表供应商</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提交磋商响应文件。</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我方已完全明白磋商文件的所有条款要求，兹声明同意如下：</w:t>
      </w:r>
    </w:p>
    <w:p>
      <w:pPr>
        <w:pStyle w:val="15"/>
        <w:tabs>
          <w:tab w:val="clear" w:pos="1697"/>
        </w:tabs>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 xml:space="preserve"> 我方同意在供应商</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规定的响应日期起遵守本磋商响应文件中的承诺且在响应有效期满之前均具有约束力</w:t>
      </w:r>
      <w:r>
        <w:rPr>
          <w:rFonts w:hint="eastAsia" w:ascii="仿宋_GB2312" w:hAnsi="宋体" w:eastAsia="仿宋_GB2312"/>
          <w:color w:val="auto"/>
          <w:szCs w:val="24"/>
          <w:highlight w:val="none"/>
        </w:rPr>
        <w:t>。</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color w:val="auto"/>
          <w:szCs w:val="24"/>
          <w:highlight w:val="none"/>
        </w:rPr>
        <w:t>同意向</w:t>
      </w:r>
      <w:r>
        <w:rPr>
          <w:rFonts w:hint="eastAsia" w:ascii="仿宋" w:hAnsi="仿宋" w:eastAsia="仿宋" w:cs="仿宋"/>
          <w:color w:val="auto"/>
          <w:highlight w:val="none"/>
        </w:rPr>
        <w:t>绍兴虬实企业管理咨询有限公司</w:t>
      </w:r>
      <w:r>
        <w:rPr>
          <w:rFonts w:hint="eastAsia" w:ascii="仿宋_GB2312" w:hAnsi="宋体" w:eastAsia="仿宋_GB2312"/>
          <w:color w:val="auto"/>
          <w:szCs w:val="24"/>
          <w:highlight w:val="none"/>
        </w:rPr>
        <w:t>提供可能另外要求的与磋商有关的任何数据或资料；</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5"/>
        <w:tabs>
          <w:tab w:val="clear" w:pos="1697"/>
        </w:tabs>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仿宋" w:eastAsia="仿宋_GB2312" w:cs="仿宋_GB2312"/>
          <w:color w:val="auto"/>
          <w:highlight w:val="none"/>
        </w:rPr>
        <w:t>磋商有效期为从提交磋商响应文件的截止之日起90天。</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w:t>
      </w:r>
      <w:r>
        <w:rPr>
          <w:rFonts w:hint="eastAsia" w:ascii="仿宋_GB2312" w:hAnsi="仿宋_GB2312" w:eastAsia="仿宋_GB2312" w:cs="仿宋_GB2312"/>
          <w:color w:val="auto"/>
          <w:sz w:val="24"/>
          <w:highlight w:val="none"/>
          <w:lang w:eastAsia="zh-CN"/>
        </w:rPr>
        <w:t>其他</w:t>
      </w:r>
      <w:r>
        <w:rPr>
          <w:rFonts w:hint="eastAsia" w:ascii="仿宋_GB2312" w:hAnsi="仿宋_GB2312" w:eastAsia="仿宋_GB2312" w:cs="仿宋_GB2312"/>
          <w:color w:val="auto"/>
          <w:sz w:val="24"/>
          <w:highlight w:val="none"/>
        </w:rPr>
        <w:t>供应商或者采购代理机构恶意串通的；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w:t>
      </w:r>
      <w:r>
        <w:rPr>
          <w:rFonts w:hint="eastAsia" w:ascii="仿宋_GB2312" w:hAnsi="仿宋_GB2312" w:eastAsia="仿宋_GB2312" w:cs="仿宋_GB2312"/>
          <w:color w:val="auto"/>
          <w:sz w:val="24"/>
          <w:highlight w:val="none"/>
          <w:lang w:eastAsia="zh-CN"/>
        </w:rPr>
        <w:t>采购过程</w:t>
      </w:r>
      <w:r>
        <w:rPr>
          <w:rFonts w:hint="eastAsia" w:ascii="仿宋_GB2312" w:hAnsi="仿宋_GB2312" w:eastAsia="仿宋_GB2312" w:cs="仿宋_GB2312"/>
          <w:color w:val="auto"/>
          <w:sz w:val="24"/>
          <w:highlight w:val="none"/>
        </w:rPr>
        <w:t>中与采购人进行协商谈判的；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 xml:space="preserve">开户银行：                          </w:t>
      </w:r>
      <w:r>
        <w:rPr>
          <w:rFonts w:hint="eastAsia" w:ascii="仿宋_GB2312" w:hAnsi="宋体" w:eastAsia="仿宋_GB2312"/>
          <w:color w:val="auto"/>
          <w:szCs w:val="24"/>
          <w:highlight w:val="none"/>
          <w:lang w:eastAsia="zh-CN"/>
        </w:rPr>
        <w:t>账号</w:t>
      </w:r>
      <w:r>
        <w:rPr>
          <w:rFonts w:hint="eastAsia" w:ascii="仿宋_GB2312" w:hAnsi="宋体" w:eastAsia="仿宋_GB2312"/>
          <w:color w:val="auto"/>
          <w:szCs w:val="24"/>
          <w:highlight w:val="none"/>
        </w:rPr>
        <w:t>：</w:t>
      </w:r>
    </w:p>
    <w:p>
      <w:pPr>
        <w:pStyle w:val="156"/>
        <w:spacing w:afterLines="0" w:line="400" w:lineRule="exact"/>
        <w:ind w:firstLine="480"/>
        <w:rPr>
          <w:rFonts w:ascii="仿宋_GB2312" w:hAnsi="宋体" w:eastAsia="仿宋_GB2312"/>
          <w:color w:val="auto"/>
          <w:szCs w:val="24"/>
          <w:highlight w:val="none"/>
        </w:rPr>
      </w:pPr>
    </w:p>
    <w:p>
      <w:pPr>
        <w:pStyle w:val="156"/>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法定代表人或其授权代表(签字或签章)：</w:t>
      </w:r>
    </w:p>
    <w:p>
      <w:pPr>
        <w:pStyle w:val="15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 xml:space="preserve">供应商(电子签章)：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2、报价一览表（格式）</w:t>
      </w: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r>
        <w:rPr>
          <w:rFonts w:hint="eastAsia" w:ascii="仿宋_GB2312" w:hAnsi="宋体" w:eastAsia="仿宋_GB2312"/>
          <w:color w:val="auto"/>
          <w:sz w:val="24"/>
          <w:highlight w:val="none"/>
          <w:u w:val="single"/>
        </w:rPr>
        <w:t xml:space="preserve">                                    </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r>
        <w:rPr>
          <w:rFonts w:hint="eastAsia" w:ascii="仿宋_GB2312" w:hAnsi="宋体" w:eastAsia="仿宋_GB2312"/>
          <w:color w:val="auto"/>
          <w:sz w:val="24"/>
          <w:highlight w:val="none"/>
          <w:u w:val="single"/>
        </w:rPr>
        <w:t xml:space="preserve">                                      </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磋商编号：</w:t>
      </w:r>
      <w:r>
        <w:rPr>
          <w:rFonts w:hint="eastAsia" w:ascii="仿宋_GB2312" w:hAnsi="宋体" w:eastAsia="仿宋_GB2312"/>
          <w:color w:val="auto"/>
          <w:sz w:val="24"/>
          <w:highlight w:val="none"/>
          <w:u w:val="single"/>
        </w:rPr>
        <w:t xml:space="preserve">                                      </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8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型号和规格</w:t>
            </w:r>
            <w:r>
              <w:rPr>
                <w:rFonts w:hint="eastAsia" w:ascii="仿宋_GB2312" w:hAnsi="宋体" w:eastAsia="仿宋_GB2312"/>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color w:val="auto"/>
                <w:spacing w:val="20"/>
                <w:sz w:val="18"/>
                <w:szCs w:val="18"/>
                <w:highlight w:val="none"/>
              </w:rPr>
            </w:pPr>
            <w:r>
              <w:rPr>
                <w:rFonts w:hint="eastAsia" w:ascii="仿宋_GB2312" w:hAnsi="宋体" w:eastAsia="仿宋_GB2312"/>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1.报价一经涂改，应在涂改处加盖供应商电子签章或者由法定代表人或其授权代表签字或盖章，否则报价无效。</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2.采购人不接受某一标项中有2个(含)以上的报价或方案，若供应商在此表中有2个（含）以上的报价或方案，其投标无效。</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3.供应商需按本表格式填写，如无对应内容，则填写：“无或/”。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auto"/>
          <w:sz w:val="24"/>
          <w:highlight w:val="none"/>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highlight w:val="none"/>
          <w:lang w:val="zh-CN"/>
        </w:rPr>
      </w:pPr>
      <w:r>
        <w:rPr>
          <w:rFonts w:hint="eastAsia" w:ascii="仿宋_GB2312" w:hAnsi="宋体" w:eastAsia="仿宋_GB2312"/>
          <w:b/>
          <w:color w:val="auto"/>
          <w:sz w:val="24"/>
          <w:highlight w:val="none"/>
        </w:rPr>
        <w:t>6</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予以公示。请把上述涉及的内容完整填写在报价一览表中。</w:t>
      </w:r>
    </w:p>
    <w:p>
      <w:pPr>
        <w:spacing w:line="360" w:lineRule="auto"/>
        <w:ind w:left="-3" w:leftChars="-72" w:right="-817" w:rightChars="-389" w:hanging="148" w:hangingChars="6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磋商响应人（电子签章）：</w:t>
      </w:r>
    </w:p>
    <w:p>
      <w:pPr>
        <w:spacing w:line="360" w:lineRule="auto"/>
        <w:outlineLvl w:val="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spacing w:line="360" w:lineRule="auto"/>
        <w:jc w:val="center"/>
        <w:outlineLvl w:val="0"/>
        <w:rPr>
          <w:rFonts w:ascii="仿宋_GB2312" w:hAnsi="宋体" w:eastAsia="仿宋_GB2312"/>
          <w:color w:val="auto"/>
          <w:sz w:val="24"/>
          <w:highlight w:val="none"/>
        </w:rPr>
      </w:pPr>
    </w:p>
    <w:p>
      <w:pPr>
        <w:spacing w:line="360" w:lineRule="auto"/>
        <w:jc w:val="center"/>
        <w:outlineLvl w:val="0"/>
        <w:rPr>
          <w:rFonts w:ascii="仿宋_GB2312" w:hAnsi="宋体" w:eastAsia="仿宋_GB2312"/>
          <w:color w:val="auto"/>
          <w:sz w:val="24"/>
          <w:highlight w:val="none"/>
        </w:rPr>
      </w:pPr>
    </w:p>
    <w:p>
      <w:pPr>
        <w:spacing w:line="360" w:lineRule="auto"/>
        <w:jc w:val="center"/>
        <w:outlineLvl w:val="0"/>
        <w:rPr>
          <w:rFonts w:ascii="仿宋_GB2312" w:hAnsi="宋体" w:eastAsia="仿宋_GB2312"/>
          <w:color w:val="auto"/>
          <w:sz w:val="24"/>
          <w:highlight w:val="none"/>
        </w:rPr>
      </w:pPr>
    </w:p>
    <w:p>
      <w:pPr>
        <w:spacing w:line="360" w:lineRule="auto"/>
        <w:jc w:val="center"/>
        <w:outlineLvl w:val="0"/>
        <w:rPr>
          <w:rFonts w:ascii="仿宋_GB2312" w:hAnsi="宋体" w:eastAsia="仿宋_GB2312"/>
          <w:color w:val="auto"/>
          <w:sz w:val="24"/>
          <w:highlight w:val="none"/>
        </w:rPr>
      </w:pPr>
    </w:p>
    <w:p>
      <w:pPr>
        <w:pageBreakBefore/>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227"/>
        <w:spacing w:line="360" w:lineRule="auto"/>
        <w:ind w:left="0" w:right="-510" w:rightChars="-243" w:firstLine="0" w:firstLineChars="0"/>
        <w:rPr>
          <w:rFonts w:hAnsi="仿宋_GB2312" w:cs="仿宋_GB2312"/>
          <w:color w:val="auto"/>
          <w:highlight w:val="none"/>
        </w:rPr>
      </w:pPr>
      <w:r>
        <w:rPr>
          <w:rFonts w:hint="eastAsia" w:hAnsi="仿宋_GB2312" w:cs="仿宋_GB2312"/>
          <w:color w:val="auto"/>
          <w:highlight w:val="none"/>
        </w:rPr>
        <w:t>（1）法定代表人授权委托书……………………………………………………（页码）</w:t>
      </w:r>
    </w:p>
    <w:p>
      <w:pPr>
        <w:pStyle w:val="227"/>
        <w:spacing w:line="360" w:lineRule="auto"/>
        <w:ind w:left="0" w:right="-510" w:rightChars="-243"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227"/>
        <w:spacing w:line="360" w:lineRule="auto"/>
        <w:ind w:left="0" w:right="-510" w:rightChars="-243"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（3）法定代表人及其授权代表的身份证（复印件）……………………………（页码）（4）法定代表人身份证明书………………………………………………………（页码）</w:t>
      </w:r>
    </w:p>
    <w:p>
      <w:pPr>
        <w:spacing w:line="360" w:lineRule="auto"/>
        <w:ind w:right="-368" w:rightChars="-175"/>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（5）资格审查有关的书面承诺函</w:t>
      </w:r>
      <w:r>
        <w:rPr>
          <w:rFonts w:hint="eastAsia" w:hAnsi="仿宋_GB2312" w:cs="仿宋_GB2312"/>
          <w:color w:val="auto"/>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adjustRightInd w:val="0"/>
        <w:spacing w:line="360" w:lineRule="auto"/>
        <w:ind w:left="2"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（6）符合特定资格条件（如果项目要求）的有关证明材料（复印件）………（页码）</w:t>
      </w:r>
    </w:p>
    <w:p>
      <w:pPr>
        <w:adjustRightInd w:val="0"/>
        <w:spacing w:line="360" w:lineRule="auto"/>
        <w:ind w:left="2"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（7）供应商售后服务证明材料……………………………………………………（页码）</w:t>
      </w:r>
    </w:p>
    <w:p>
      <w:pPr>
        <w:adjustRightInd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adjustRightInd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（9）廉政承诺书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（11）技术偏离说明表………………………………………………</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（19）</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（20）</w:t>
      </w:r>
      <w:r>
        <w:rPr>
          <w:rFonts w:hint="eastAsia" w:ascii="仿宋_GB2312" w:hAnsi="仿宋_GB2312" w:eastAsia="仿宋_GB2312" w:cs="仿宋_GB2312"/>
          <w:color w:val="auto"/>
          <w:kern w:val="0"/>
          <w:sz w:val="24"/>
          <w:highlight w:val="none"/>
          <w:lang w:val="zh-CN"/>
        </w:rPr>
        <w:t>联合协议（如有）…………………………………………………</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（21）</w:t>
      </w:r>
      <w:r>
        <w:rPr>
          <w:rFonts w:hint="eastAsia" w:ascii="仿宋_GB2312" w:hAnsi="仿宋_GB2312" w:eastAsia="仿宋_GB2312" w:cs="仿宋_GB2312"/>
          <w:color w:val="auto"/>
          <w:kern w:val="0"/>
          <w:sz w:val="24"/>
          <w:highlight w:val="none"/>
          <w:lang w:val="zh-CN"/>
        </w:rPr>
        <w:t>分包意向协议（如有）……………………………………</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rPr>
        <w:t>）中小企业声明函</w:t>
      </w:r>
      <w:r>
        <w:rPr>
          <w:rFonts w:hint="eastAsia" w:ascii="仿宋_GB2312" w:hAnsi="仿宋_GB2312" w:eastAsia="仿宋_GB2312" w:cs="仿宋_GB2312"/>
          <w:color w:val="auto"/>
          <w:kern w:val="0"/>
          <w:sz w:val="24"/>
          <w:highlight w:val="none"/>
          <w:lang w:val="zh-CN"/>
        </w:rPr>
        <w:t>（如有）</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注：以上目录是基本格式要求，各供应商可根据自身情况和评分标准进一步细化。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r>
        <w:rPr>
          <w:rFonts w:hint="eastAsia" w:ascii="仿宋_GB2312" w:hAnsi="仿宋" w:eastAsia="仿宋_GB2312" w:cs="仿宋_GB2312"/>
          <w:b/>
          <w:color w:val="auto"/>
          <w:kern w:val="0"/>
          <w:sz w:val="32"/>
          <w:szCs w:val="32"/>
          <w:highlight w:val="none"/>
          <w:lang w:val="zh-CN"/>
        </w:rPr>
        <w:t>（适用于非联合体投标）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（填写供应商单位全称）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绍兴市社会科学界联合会</w:t>
      </w:r>
      <w:r>
        <w:rPr>
          <w:rFonts w:hint="eastAsia" w:ascii="仿宋_GB2312" w:hAnsi="宋体" w:eastAsia="仿宋_GB2312"/>
          <w:color w:val="auto"/>
          <w:sz w:val="24"/>
          <w:highlight w:val="none"/>
          <w:u w:val="single"/>
        </w:rPr>
        <w:t>、</w:t>
      </w:r>
      <w:r>
        <w:rPr>
          <w:rFonts w:hint="eastAsia" w:ascii="仿宋_GB2312" w:hAnsi="宋体" w:eastAsia="仿宋_GB2312"/>
          <w:color w:val="auto"/>
          <w:sz w:val="24"/>
          <w:highlight w:val="none"/>
          <w:u w:val="single"/>
          <w:lang w:eastAsia="zh-CN"/>
        </w:rPr>
        <w:t>绍兴虬实企业管理咨询有限公司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lang w:eastAsia="zh-CN"/>
        </w:rPr>
        <w:t>绍兴市社会科学界联合会《绍兴大典》出版项目（第一辑）</w:t>
      </w:r>
      <w:r>
        <w:rPr>
          <w:rFonts w:hint="eastAsia" w:ascii="仿宋_GB2312" w:hAnsi="宋体" w:eastAsia="仿宋_GB2312"/>
          <w:color w:val="auto"/>
          <w:sz w:val="24"/>
          <w:highlight w:val="none"/>
        </w:rPr>
        <w:t>磋商活动。授权代表在磋商、合同签订过程中所签署的一切文件和处理与之有关的一切事务，我均予以承认。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磋商响应人（电子签章）：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法定代表人授权委托书（格式） </w:t>
      </w:r>
      <w:r>
        <w:rPr>
          <w:rFonts w:hint="eastAsia" w:ascii="仿宋_GB2312" w:hAnsi="仿宋" w:eastAsia="仿宋_GB2312" w:cs="仿宋_GB2312"/>
          <w:b/>
          <w:color w:val="auto"/>
          <w:kern w:val="0"/>
          <w:sz w:val="32"/>
          <w:szCs w:val="32"/>
          <w:highlight w:val="none"/>
          <w:lang w:val="zh-CN"/>
        </w:rPr>
        <w:t>（适用于联合体投标）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绍兴市社会科学界联合会</w:t>
      </w:r>
      <w:r>
        <w:rPr>
          <w:rFonts w:hint="eastAsia" w:ascii="仿宋_GB2312" w:hAnsi="宋体" w:eastAsia="仿宋_GB2312"/>
          <w:color w:val="auto"/>
          <w:sz w:val="24"/>
          <w:highlight w:val="none"/>
          <w:u w:val="single"/>
        </w:rPr>
        <w:t>、</w:t>
      </w:r>
      <w:r>
        <w:rPr>
          <w:rFonts w:hint="eastAsia" w:ascii="仿宋_GB2312" w:hAnsi="宋体" w:eastAsia="仿宋_GB2312"/>
          <w:color w:val="auto"/>
          <w:sz w:val="24"/>
          <w:highlight w:val="none"/>
          <w:u w:val="single"/>
          <w:lang w:eastAsia="zh-CN"/>
        </w:rPr>
        <w:t>绍兴虬实企业管理咨询有限公司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lang w:eastAsia="zh-CN"/>
        </w:rPr>
        <w:t>绍兴市社会科学界联合会《绍兴大典》出版项目（第一辑）</w:t>
      </w:r>
      <w:r>
        <w:rPr>
          <w:rFonts w:hint="eastAsia" w:ascii="仿宋_GB2312" w:hAnsi="宋体" w:eastAsia="仿宋_GB2312"/>
          <w:color w:val="auto"/>
          <w:sz w:val="24"/>
          <w:highlight w:val="none"/>
        </w:rPr>
        <w:t>磋商活动。授权代表在磋商、合同签订过程中所签署的一切文件和处理与之有关的一切事务，我方均予以承认。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jc w:val="right"/>
        <w:rPr>
          <w:color w:val="auto"/>
          <w:highlight w:val="none"/>
        </w:rPr>
      </w:pPr>
    </w:p>
    <w:p>
      <w:pPr>
        <w:snapToGrid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 xml:space="preserve">年  </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月   日</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磋商响应截止时间一个月以内的社保机构盖公章的授权代表社保缴纳证明（如授权代表为离退休返聘人员的，磋商响应文件技术部分内需提供退休证明及单位聘用证明；如由第三方代理社保事项的，则需提供加盖供应商公章的委托代理协议复印件），格式自拟。</w:t>
      </w:r>
      <w:r>
        <w:rPr>
          <w:rFonts w:hint="eastAsia" w:ascii="仿宋_GB2312" w:hAnsi="宋体" w:eastAsia="仿宋_GB2312"/>
          <w:b/>
          <w:color w:val="auto"/>
          <w:sz w:val="24"/>
          <w:highlight w:val="none"/>
        </w:rPr>
        <w:t>未提供上述证明的磋商做无效标处理。</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r>
        <w:rPr>
          <w:rFonts w:hint="eastAsia" w:ascii="仿宋_GB2312" w:hAnsi="宋体" w:eastAsia="仿宋_GB2312"/>
          <w:color w:val="auto"/>
          <w:sz w:val="24"/>
          <w:highlight w:val="none"/>
          <w:u w:val="single"/>
        </w:rPr>
        <w:t xml:space="preserve">                       </w:t>
      </w:r>
    </w:p>
    <w:p>
      <w:pPr>
        <w:spacing w:line="44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地    址：</w:t>
      </w:r>
      <w:r>
        <w:rPr>
          <w:rFonts w:hint="eastAsia" w:ascii="仿宋_GB2312" w:hAnsi="宋体" w:eastAsia="仿宋_GB2312"/>
          <w:color w:val="auto"/>
          <w:sz w:val="24"/>
          <w:highlight w:val="none"/>
          <w:u w:val="single"/>
        </w:rPr>
        <w:t xml:space="preserve">                       </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r>
        <w:rPr>
          <w:rFonts w:hint="eastAsia" w:ascii="仿宋_GB2312" w:hAnsi="宋体" w:eastAsia="仿宋_GB2312"/>
          <w:color w:val="auto"/>
          <w:sz w:val="24"/>
          <w:highlight w:val="none"/>
          <w:u w:val="single"/>
        </w:rPr>
        <w:t xml:space="preserve">                       </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r>
        <w:rPr>
          <w:rFonts w:hint="eastAsia" w:ascii="仿宋_GB2312" w:hAnsi="宋体" w:eastAsia="仿宋_GB2312"/>
          <w:color w:val="auto"/>
          <w:sz w:val="24"/>
          <w:highlight w:val="none"/>
          <w:u w:val="single"/>
        </w:rPr>
        <w:t xml:space="preserve">                     </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r>
        <w:rPr>
          <w:rFonts w:hint="eastAsia" w:ascii="仿宋_GB2312" w:hAnsi="宋体" w:eastAsia="仿宋_GB2312"/>
          <w:color w:val="auto"/>
          <w:sz w:val="24"/>
          <w:highlight w:val="none"/>
          <w:u w:val="single"/>
        </w:rPr>
        <w:t xml:space="preserve">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（填写供应商名称）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供应商：                             （电子签章）</w:t>
      </w:r>
    </w:p>
    <w:p>
      <w:pPr>
        <w:spacing w:line="440" w:lineRule="exact"/>
        <w:ind w:right="480"/>
        <w:rPr>
          <w:rFonts w:ascii="仿宋_GB2312" w:hAnsi="宋体" w:eastAsia="仿宋_GB2312"/>
          <w:color w:val="auto"/>
          <w:sz w:val="24"/>
          <w:highlight w:val="none"/>
        </w:rPr>
      </w:pPr>
    </w:p>
    <w:p>
      <w:pPr>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    月    日</w:t>
      </w:r>
    </w:p>
    <w:p>
      <w:pPr>
        <w:spacing w:line="360" w:lineRule="auto"/>
        <w:jc w:val="center"/>
        <w:rPr>
          <w:rFonts w:ascii="仿宋_GB2312" w:hAnsi="宋体" w:eastAsia="仿宋_GB2312"/>
          <w:b/>
          <w:color w:val="auto"/>
          <w:sz w:val="30"/>
          <w:szCs w:val="30"/>
          <w:highlight w:val="none"/>
        </w:rPr>
      </w:pPr>
    </w:p>
    <w:p>
      <w:pPr>
        <w:snapToGrid w:val="0"/>
        <w:spacing w:line="360" w:lineRule="auto"/>
        <w:rPr>
          <w:rFonts w:ascii="仿宋_GB2312" w:hAnsi="宋体" w:eastAsia="仿宋_GB2312"/>
          <w:b/>
          <w:color w:val="auto"/>
          <w:sz w:val="30"/>
          <w:szCs w:val="30"/>
          <w:highlight w:val="none"/>
        </w:rPr>
      </w:pPr>
    </w:p>
    <w:p>
      <w:pPr>
        <w:snapToGrid w:val="0"/>
        <w:spacing w:line="360" w:lineRule="auto"/>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5</w:t>
      </w:r>
      <w:r>
        <w:rPr>
          <w:rFonts w:hint="eastAsia" w:ascii="仿宋_GB2312" w:hAnsi="仿宋_GB2312" w:eastAsia="仿宋_GB2312" w:cs="仿宋_GB2312"/>
          <w:b/>
          <w:color w:val="auto"/>
          <w:kern w:val="0"/>
          <w:sz w:val="30"/>
          <w:szCs w:val="30"/>
          <w:highlight w:val="none"/>
          <w:lang w:val="zh-CN"/>
        </w:rPr>
        <w:t>、</w:t>
      </w:r>
      <w:r>
        <w:rPr>
          <w:rFonts w:hint="eastAsia" w:ascii="仿宋_GB2312" w:hAnsi="宋体" w:eastAsia="仿宋_GB2312"/>
          <w:b/>
          <w:color w:val="auto"/>
          <w:sz w:val="30"/>
          <w:szCs w:val="30"/>
          <w:highlight w:val="none"/>
        </w:rPr>
        <w:t>资格审查有关的书面承诺函</w:t>
      </w:r>
    </w:p>
    <w:p>
      <w:pPr>
        <w:snapToGrid w:val="0"/>
        <w:spacing w:beforeLines="50" w:line="360" w:lineRule="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lang w:eastAsia="zh-CN"/>
        </w:rPr>
        <w:t>绍兴市社会科学界联合会</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绍兴虬实企业管理咨询有限公司</w:t>
      </w:r>
      <w:r>
        <w:rPr>
          <w:rFonts w:hint="eastAsia" w:ascii="仿宋_GB2312" w:hAnsi="仿宋_GB2312" w:eastAsia="仿宋_GB2312" w:cs="仿宋_GB2312"/>
          <w:color w:val="auto"/>
          <w:kern w:val="0"/>
          <w:sz w:val="24"/>
          <w:highlight w:val="none"/>
          <w:lang w:val="zh-CN"/>
        </w:rPr>
        <w:t>：</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我方郑重承诺，已具有</w:t>
      </w:r>
      <w:r>
        <w:rPr>
          <w:rFonts w:hint="eastAsia" w:ascii="仿宋_GB2312" w:hAnsi="仿宋" w:eastAsia="仿宋_GB2312" w:cs="仿宋_GB2312"/>
          <w:color w:val="auto"/>
          <w:sz w:val="24"/>
          <w:highlight w:val="none"/>
          <w:lang w:eastAsia="zh-CN"/>
        </w:rPr>
        <w:t>绍兴市社会科学界联合会《绍兴大典》出版项目（第一辑）</w:t>
      </w:r>
      <w:r>
        <w:rPr>
          <w:rFonts w:hint="eastAsia" w:ascii="仿宋_GB2312" w:hAnsi="仿宋" w:eastAsia="仿宋_GB2312" w:cs="仿宋_GB2312"/>
          <w:color w:val="auto"/>
          <w:sz w:val="24"/>
          <w:highlight w:val="none"/>
        </w:rPr>
        <w:t>（磋商编号:</w:t>
      </w:r>
      <w:r>
        <w:rPr>
          <w:rFonts w:hint="eastAsia" w:ascii="仿宋_GB2312" w:hAnsi="仿宋" w:eastAsia="仿宋_GB2312" w:cs="仿宋_GB2312"/>
          <w:color w:val="auto"/>
          <w:sz w:val="24"/>
          <w:highlight w:val="none"/>
          <w:lang w:eastAsia="zh-CN"/>
        </w:rPr>
        <w:t>CGSHZJ-2022-N000784</w:t>
      </w:r>
      <w:r>
        <w:rPr>
          <w:rFonts w:hint="eastAsia" w:ascii="仿宋_GB2312" w:hAnsi="仿宋" w:eastAsia="仿宋_GB2312" w:cs="仿宋_GB2312"/>
          <w:color w:val="auto"/>
          <w:sz w:val="24"/>
          <w:highlight w:val="none"/>
        </w:rPr>
        <w:t>）磋商文件中关于申请人资格要求的下列条件：</w:t>
      </w:r>
    </w:p>
    <w:p>
      <w:pPr>
        <w:pStyle w:val="156"/>
        <w:spacing w:after="156" w:line="440" w:lineRule="exact"/>
        <w:ind w:firstLine="480"/>
        <w:jc w:val="left"/>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w:t>
      </w:r>
      <w:r>
        <w:rPr>
          <w:rFonts w:hint="eastAsia" w:ascii="仿宋_GB2312" w:hAnsi="新宋体" w:eastAsia="仿宋_GB2312"/>
          <w:color w:val="auto"/>
          <w:szCs w:val="24"/>
          <w:highlight w:val="none"/>
        </w:rPr>
        <w:t>符合《中华人民共和国政府采购法》第二十二条的规定：</w:t>
      </w:r>
      <w:r>
        <w:rPr>
          <w:rFonts w:ascii="仿宋_GB2312" w:hAnsi="仿宋" w:eastAsia="仿宋_GB2312" w:cs="仿宋_GB2312"/>
          <w:color w:val="auto"/>
          <w:highlight w:val="none"/>
        </w:rPr>
        <w:t xml:space="preserve"> </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(一）具有独立承担民事责任的能力（</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 w:eastAsia="仿宋_GB2312" w:cs="仿宋_GB2312"/>
          <w:color w:val="auto"/>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声明参加本次政府采购活动前三年内未</w:t>
      </w:r>
      <w:r>
        <w:rPr>
          <w:rFonts w:hint="eastAsia" w:ascii="仿宋_GB2312" w:hAnsi="仿宋_GB2312" w:eastAsia="仿宋_GB2312" w:cs="仿宋_GB2312"/>
          <w:color w:val="auto"/>
          <w:sz w:val="24"/>
          <w:szCs w:val="20"/>
          <w:highlight w:val="none"/>
        </w:rPr>
        <w:t>被列入“黑名单”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磋商响应人(电子签章)：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   日</w:t>
      </w:r>
    </w:p>
    <w:p>
      <w:pPr>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（由供应商根据磋商公告中合格的供应商应具备的特定资格要求编制）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7、供应商售后服务能力证明材料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8、</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8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pStyle w:val="239"/>
        <w:ind w:firstLine="0"/>
        <w:jc w:val="both"/>
        <w:rPr>
          <w:rFonts w:hAnsi="仿宋_GB2312" w:cs="仿宋_GB2312"/>
          <w:color w:val="auto"/>
          <w:highlight w:val="none"/>
        </w:rPr>
      </w:pPr>
    </w:p>
    <w:p>
      <w:pPr>
        <w:pStyle w:val="239"/>
        <w:pageBreakBefore/>
        <w:ind w:firstLine="0"/>
        <w:jc w:val="both"/>
        <w:rPr>
          <w:rFonts w:hAnsi="仿宋_GB2312" w:cs="仿宋_GB2312"/>
          <w:color w:val="auto"/>
          <w:highlight w:val="none"/>
        </w:rPr>
      </w:pPr>
      <w:r>
        <w:rPr>
          <w:rFonts w:hint="eastAsia" w:hAnsi="仿宋_GB2312" w:cs="仿宋_GB2312"/>
          <w:color w:val="auto"/>
          <w:highlight w:val="none"/>
        </w:rPr>
        <w:t>9、廉政承诺书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eastAsia="zh-CN"/>
        </w:rPr>
        <w:t>绍兴市社会科学界联合会</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项目竞争性磋商要求参加磋商。在这次磋商过程中和成交后，我们将严格遵守国家法律法规要求，并郑重承诺：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有权立即取消我单位磋商、成交或在建项目的建设资格，有权拒绝我单位在一定时期内进入你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8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pt;width:442.5pt;" o:ole="t" filled="f" o:preferrelative="t" stroked="f" coordsize="21600,21600">
            <v:path/>
            <v:fill on="f" focussize="0,0"/>
            <v:stroke on="f" joinstyle="miter"/>
            <v:imagedata r:id="rId9" o:title=""/>
            <o:lock v:ext="edit" aspectratio="t"/>
            <w10:wrap type="none"/>
            <w10:anchorlock/>
          </v:shape>
          <o:OLEObject Type="Embed" ProgID="Package" ShapeID="_x0000_i1025" DrawAspect="Content" ObjectID="_1468075725" r:id="rId8">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6" DrawAspect="Content" ObjectID="_1468075726" r:id="rId1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11、技术偏离说明表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（由供应商根据采购需求及磋商文件要求编制）</w:t>
      </w:r>
    </w:p>
    <w:tbl>
      <w:tblPr>
        <w:tblStyle w:val="8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磋商文件要求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磋商响应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磋商文件技术要求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请填写磋商产品技术指标对应详细描述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磋商文件“</w:t>
      </w:r>
      <w:r>
        <w:rPr>
          <w:rFonts w:hint="eastAsia" w:ascii="仿宋_GB2312" w:hAnsi="宋体" w:eastAsia="仿宋_GB2312"/>
          <w:color w:val="auto"/>
          <w:sz w:val="24"/>
          <w:highlight w:val="none"/>
        </w:rPr>
        <w:t>磋商项目说明及要求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供应商递交的技术规格书中必须真实逐条列明，否则由供应商自行承担相关风险。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8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8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8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14、项目小组人员名单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8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8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15、</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360" w:lineRule="auto"/>
        <w:rPr>
          <w:rFonts w:ascii="仿宋_GB2312" w:hAnsi="仿宋_GB2312" w:eastAsia="仿宋_GB2312" w:cs="仿宋_GB2312"/>
          <w:color w:val="auto"/>
          <w:sz w:val="18"/>
          <w:szCs w:val="18"/>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16、</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8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18、验收方案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19、认为需要的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360" w:lineRule="auto"/>
        <w:rPr>
          <w:rFonts w:ascii="仿宋_GB2312" w:hAnsi="仿宋_GB2312" w:eastAsia="仿宋_GB2312" w:cs="仿宋_GB2312"/>
          <w:color w:val="auto"/>
          <w:sz w:val="24"/>
          <w:highlight w:val="none"/>
        </w:rPr>
      </w:pPr>
    </w:p>
    <w:p>
      <w:pPr>
        <w:snapToGrid w:val="0"/>
        <w:spacing w:line="360" w:lineRule="auto"/>
        <w:ind w:right="960"/>
        <w:jc w:val="righ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磋商响应人（电子签章）：</w:t>
      </w:r>
    </w:p>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r>
        <w:rPr>
          <w:rFonts w:hint="eastAsia" w:ascii="仿宋_GB2312" w:hAnsi="仿宋_GB2312" w:eastAsia="仿宋_GB2312" w:cs="仿宋_GB2312"/>
          <w:color w:val="auto"/>
          <w:kern w:val="0"/>
          <w:sz w:val="24"/>
          <w:highlight w:val="none"/>
        </w:rPr>
        <w:t xml:space="preserve">                   </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                                             日期：  年  月   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（以联合体形式响应磋商的，提供联合协议；本项目不接受联合体磋商或者供应商不以联合体形式响应磋商的，则不需要提供）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组成一个联合体，以一个供应商的身份</w:t>
      </w:r>
      <w:r>
        <w:rPr>
          <w:rFonts w:hint="eastAsia" w:ascii="仿宋_GB2312" w:hAnsi="仿宋" w:eastAsia="仿宋_GB2312" w:cs="仿宋_GB2312"/>
          <w:color w:val="auto"/>
          <w:kern w:val="0"/>
          <w:sz w:val="24"/>
          <w:highlight w:val="none"/>
        </w:rPr>
        <w:t>响应</w:t>
      </w:r>
      <w:r>
        <w:rPr>
          <w:rFonts w:hint="eastAsia" w:ascii="仿宋_GB2312" w:hAnsi="仿宋" w:eastAsia="仿宋_GB2312" w:cs="仿宋_GB2312"/>
          <w:color w:val="auto"/>
          <w:sz w:val="24"/>
          <w:highlight w:val="none"/>
        </w:rPr>
        <w:t>（项目名称）【磋商编号：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磋商。</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，代表所有联合体成员负责磋商和合同实施阶段的主办、协调工作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授权代表根据磋商文件规定及磋商响应内容而对采购人、采购机构所作的任何合法承诺，包括书面澄清及相应等均对联合投标各方产生约束力。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三、本次联合磋商中，分工如下：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（未预留份额专门面向中小企业采购的的采购项目，以及预留份额中的非预留部分采购包，接受联合体磋商的，联合体其中一方提供的货物全部由小微企业制造，且其合同份额占到合同总金额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须提供</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中小企业声明函</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五、如果成交，</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六、有关本次联合磋商的其他事宜：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zh-CN"/>
        </w:rPr>
        <w:t>电子签章</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成交后以分包方式履行合同的，提供分包意向协议；采购人不同意分包或者供应商成交后不以分包方式履行合同的，则不需要提供。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（项目名称）【磋商编号：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的成交供应商，将依法采取分包方式履行合同。</w:t>
      </w: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576"/>
        <w:rPr>
          <w:color w:val="auto"/>
          <w:highlight w:val="none"/>
        </w:rPr>
      </w:pPr>
      <w:r>
        <w:rPr>
          <w:rFonts w:hint="eastAsia" w:cs="仿宋_GB2312"/>
          <w:color w:val="auto"/>
          <w:kern w:val="0"/>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的，对大中型企业的报价给予6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w:t>
      </w:r>
      <w:r>
        <w:rPr>
          <w:rFonts w:hint="eastAsia" w:ascii="仿宋_GB2312" w:hAnsi="仿宋" w:eastAsia="仿宋_GB2312" w:cs="仿宋_GB2312"/>
          <w:color w:val="auto"/>
          <w:kern w:val="0"/>
          <w:sz w:val="24"/>
          <w:highlight w:val="none"/>
          <w:lang w:val="zh-CN"/>
        </w:rPr>
        <w:t>供应</w:t>
      </w:r>
      <w:r>
        <w:rPr>
          <w:rFonts w:ascii="仿宋_GB2312" w:hAnsi="仿宋" w:eastAsia="仿宋_GB2312" w:cs="仿宋_GB2312"/>
          <w:color w:val="auto"/>
          <w:kern w:val="0"/>
          <w:sz w:val="24"/>
          <w:highlight w:val="none"/>
          <w:lang w:val="zh-CN"/>
        </w:rPr>
        <w:t>商名称(</w:t>
      </w:r>
      <w:r>
        <w:rPr>
          <w:rFonts w:hint="eastAsia" w:ascii="仿宋_GB2312" w:hAnsi="仿宋_GB2312" w:eastAsia="仿宋_GB2312" w:cs="仿宋_GB2312"/>
          <w:color w:val="auto"/>
          <w:kern w:val="0"/>
          <w:sz w:val="24"/>
          <w:highlight w:val="none"/>
          <w:lang w:val="zh-CN"/>
        </w:rPr>
        <w:t>电子签章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22、落实政府采购政策需满足的资格要求</w:t>
      </w:r>
    </w:p>
    <w:p>
      <w:pPr>
        <w:spacing w:line="440" w:lineRule="exact"/>
        <w:rPr>
          <w:rFonts w:ascii="仿宋_GB2312" w:hAnsi="仿宋" w:eastAsia="仿宋_GB2312"/>
          <w:b/>
          <w:color w:val="auto"/>
          <w:sz w:val="24"/>
          <w:highlight w:val="none"/>
        </w:rPr>
      </w:pPr>
      <w:r>
        <w:rPr>
          <w:rFonts w:hint="eastAsia" w:ascii="仿宋_GB2312" w:hAnsi="仿宋" w:eastAsia="仿宋_GB2312" w:cs="仿宋_GB2312"/>
          <w:b/>
          <w:color w:val="auto"/>
          <w:sz w:val="24"/>
          <w:highlight w:val="none"/>
        </w:rPr>
        <w:t>（根据磋商公告</w:t>
      </w:r>
      <w:r>
        <w:rPr>
          <w:rFonts w:hint="eastAsia" w:ascii="仿宋_GB2312" w:hAnsi="仿宋" w:eastAsia="仿宋_GB2312"/>
          <w:b/>
          <w:color w:val="auto"/>
          <w:sz w:val="24"/>
          <w:highlight w:val="none"/>
        </w:rPr>
        <w:t>落实政府采购政策需满足的资格要求选择提供相应的材料；未要求的，无需提供</w:t>
      </w:r>
      <w:r>
        <w:rPr>
          <w:rFonts w:hint="eastAsia" w:ascii="仿宋_GB2312" w:hAnsi="仿宋" w:eastAsia="仿宋_GB2312" w:cs="仿宋_GB2312"/>
          <w:b/>
          <w:color w:val="auto"/>
          <w:sz w:val="24"/>
          <w:highlight w:val="none"/>
        </w:rPr>
        <w:t>）</w:t>
      </w:r>
    </w:p>
    <w:p>
      <w:pPr>
        <w:snapToGrid w:val="0"/>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w:t>
      </w:r>
      <w:r>
        <w:rPr>
          <w:rFonts w:ascii="仿宋_GB2312" w:hAnsi="仿宋" w:eastAsia="仿宋_GB2312" w:cs="仿宋_GB2312"/>
          <w:color w:val="auto"/>
          <w:sz w:val="24"/>
          <w:highlight w:val="none"/>
        </w:rPr>
        <w:t xml:space="preserve"> </w:t>
      </w:r>
    </w:p>
    <w:p>
      <w:pPr>
        <w:widowControl/>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联合协议中中小企业合同金额应当达到磋商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组成一个联合体，以一个供应商的身份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（项目名称）【磋商编号：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磋商。</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，代表所有联合体成员负责磋商响应和合同实施阶段的主办、协调工作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授权代表根据磋商文件规定及磋商响应内容而对采购人、采购机构所作的任何合法承诺，包括书面澄清及相应等均对联合磋商各方产生约束力。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三、本次联合磋商中，分工如下：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五、如果成交，</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六、有关本次联合磋商的其他事宜：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right="960" w:firstLine="5760" w:firstLineChars="2400"/>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 xml:space="preserve">  年</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 xml:space="preserve">  月 </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 xml:space="preserve">  日</w:t>
      </w:r>
    </w:p>
    <w:p>
      <w:pPr>
        <w:pageBreakBefore/>
        <w:spacing w:line="360" w:lineRule="auto"/>
        <w:ind w:firstLine="482" w:firstLineChars="200"/>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color w:val="auto"/>
          <w:sz w:val="24"/>
          <w:highlight w:val="none"/>
        </w:rPr>
        <w:t>，分包意向协议中中小企业合同金额应当达到磋商公告载明的比例；如果供应商本身提供所有标的均由中小企业制造或承接，视同符合了资格条件，无需再向中小企业分包，无需提供分包意向协议。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成交后以分包方式履行合同的，提供分包意向协议；采购人不同意分包或者供应商成交后不以分包方式履行合同的，则不需要提供。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（项目名称）【磋商编号：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的成交供应商，将依法采取分包方式履行合同。</w:t>
      </w: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（供应商名称）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w:t>
      </w:r>
      <w:r>
        <w:rPr>
          <w:rFonts w:hint="eastAsia" w:ascii="仿宋_GB2312" w:hAnsi="仿宋" w:eastAsia="仿宋_GB2312" w:cs="仿宋_GB2312"/>
          <w:color w:val="auto"/>
          <w:kern w:val="0"/>
          <w:sz w:val="24"/>
          <w:highlight w:val="none"/>
          <w:lang w:val="zh-CN"/>
        </w:rPr>
        <w:t>应商名称），具备承担</w:t>
      </w:r>
      <w:r>
        <w:rPr>
          <w:rFonts w:ascii="仿宋_GB2312" w:hAnsi="仿宋" w:eastAsia="仿宋_GB2312" w:cs="仿宋_GB2312"/>
          <w:color w:val="auto"/>
          <w:kern w:val="0"/>
          <w:sz w:val="24"/>
          <w:highlight w:val="non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jc w:val="left"/>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w:t>
      </w:r>
    </w:p>
    <w:p>
      <w:pPr>
        <w:snapToGrid w:val="0"/>
        <w:ind w:left="5758" w:leftChars="342" w:hanging="5040" w:hangingChars="2100"/>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供应商</w:t>
      </w:r>
      <w:r>
        <w:rPr>
          <w:rFonts w:ascii="仿宋_GB2312" w:hAnsi="仿宋" w:eastAsia="仿宋_GB2312" w:cs="仿宋_GB2312"/>
          <w:color w:val="auto"/>
          <w:kern w:val="0"/>
          <w:sz w:val="24"/>
          <w:highlight w:val="none"/>
          <w:lang w:val="zh-CN"/>
        </w:rPr>
        <w:t>名称(电子签名)：</w:t>
      </w:r>
    </w:p>
    <w:p>
      <w:pPr>
        <w:snapToGrid w:val="0"/>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ind w:firstLine="6000" w:firstLineChars="25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w:t>
      </w:r>
    </w:p>
    <w:p>
      <w:pPr>
        <w:snapToGrid w:val="0"/>
        <w:jc w:val="righ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w:t>
      </w:r>
      <w:r>
        <w:rPr>
          <w:rFonts w:hint="eastAsia"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lang w:val="zh-CN"/>
        </w:rPr>
        <w:t xml:space="preserve">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_GB2312"/>
          <w:color w:val="auto"/>
          <w:sz w:val="24"/>
          <w:highlight w:val="none"/>
          <w:u w:val="single"/>
        </w:rPr>
      </w:pP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供应商</w:t>
      </w:r>
      <w:r>
        <w:rPr>
          <w:rFonts w:ascii="仿宋" w:hAnsi="仿宋" w:eastAsia="仿宋" w:cs="仿宋_GB2312"/>
          <w:color w:val="auto"/>
          <w:sz w:val="24"/>
          <w:highlight w:val="none"/>
        </w:rPr>
        <w:t>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【磋商编号：（采购编号）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采购活动中作如下说明：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r>
        <w:rPr>
          <w:rFonts w:ascii="仿宋" w:hAnsi="仿宋" w:eastAsia="仿宋" w:cs="宋体"/>
          <w:color w:val="auto"/>
          <w:sz w:val="24"/>
          <w:highlight w:val="none"/>
        </w:rPr>
        <w:t xml:space="preserve">   </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供应商（法定名称章）：</w:t>
      </w:r>
    </w:p>
    <w:p>
      <w:pPr>
        <w:ind w:right="907"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w:t>
      </w:r>
      <w:r>
        <w:rPr>
          <w:rFonts w:hint="eastAsia" w:ascii="仿宋" w:hAnsi="仿宋" w:eastAsia="仿宋" w:cs="宋体"/>
          <w:color w:val="auto"/>
          <w:sz w:val="24"/>
          <w:highlight w:val="none"/>
        </w:rPr>
        <w:t xml:space="preserve"> </w:t>
      </w:r>
      <w:r>
        <w:rPr>
          <w:rFonts w:ascii="仿宋" w:hAnsi="仿宋" w:eastAsia="仿宋" w:cs="宋体"/>
          <w:color w:val="auto"/>
          <w:sz w:val="24"/>
          <w:highlight w:val="none"/>
        </w:rPr>
        <w:t>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供应法定名称章（印模）</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供应商“</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snapToGrid w:val="0"/>
        <w:spacing w:line="360" w:lineRule="auto"/>
        <w:jc w:val="left"/>
        <w:rPr>
          <w:rFonts w:ascii="仿宋_GB2312" w:hAnsi="仿宋" w:eastAsia="仿宋_GB2312" w:cs="仿宋_GB2312"/>
          <w:color w:val="auto"/>
          <w:kern w:val="0"/>
          <w:sz w:val="24"/>
          <w:highlight w:val="none"/>
          <w:lang w:val="zh-CN"/>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jc w:val="right"/>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r>
        <w:rPr>
          <w:rFonts w:ascii="仿宋_GB2312" w:hAnsi="仿宋_GB2312" w:eastAsia="仿宋_GB2312" w:cs="仿宋_GB2312"/>
          <w:color w:val="auto"/>
          <w:sz w:val="24"/>
          <w:highlight w:val="none"/>
        </w:rPr>
        <w:t xml:space="preserve"> </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jc w:val="right"/>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right"/>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r>
        <w:rPr>
          <w:rFonts w:ascii="仿宋_GB2312" w:hAnsi="仿宋_GB2312" w:eastAsia="仿宋_GB2312" w:cs="仿宋_GB2312"/>
          <w:color w:val="auto"/>
          <w:sz w:val="24"/>
          <w:highlight w:val="none"/>
        </w:rPr>
        <w:t xml:space="preserve"> </w:t>
      </w:r>
    </w:p>
    <w:p>
      <w:pPr>
        <w:pageBreakBefore/>
        <w:spacing w:line="588" w:lineRule="exact"/>
        <w:jc w:val="center"/>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jc w:val="right"/>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7" o:spt="75" type="#_x0000_t75" style="height:42pt;width:390pt;" o:ole="t" filled="f" o:preferrelative="t" stroked="f" coordsize="21600,21600">
            <v:path/>
            <v:fill on="f" focussize="0,0"/>
            <v:stroke on="f" joinstyle="miter"/>
            <v:imagedata r:id="rId13" o:title=""/>
            <o:lock v:ext="edit" aspectratio="t"/>
            <w10:wrap type="none"/>
            <w10:anchorlock/>
          </v:shape>
          <o:OLEObject Type="Embed" ProgID="Package" ShapeID="_x0000_i1027" DrawAspect="Content" ObjectID="_1468075727" r:id="rId12">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pPr>
        <w:spacing w:line="360" w:lineRule="auto"/>
        <w:rPr>
          <w:rFonts w:ascii="仿宋_GB2312" w:hAnsi="仿宋_GB2312" w:eastAsia="仿宋_GB2312" w:cs="仿宋_GB2312"/>
          <w:color w:val="auto"/>
          <w:kern w:val="0"/>
          <w:sz w:val="24"/>
          <w:highlight w:val="none"/>
          <w:lang w:val="zh-CN"/>
        </w:rPr>
      </w:pPr>
    </w:p>
    <w:p>
      <w:pPr>
        <w:jc w:val="center"/>
        <w:rPr>
          <w:rFonts w:ascii="仿宋_GB2312" w:hAnsi="仿宋" w:eastAsia="仿宋_GB2312" w:cs="仿宋"/>
          <w:b/>
          <w:bCs/>
          <w:color w:val="auto"/>
          <w:sz w:val="44"/>
          <w:szCs w:val="44"/>
          <w:highlight w:val="none"/>
        </w:rPr>
      </w:pPr>
      <w:r>
        <w:rPr>
          <w:rFonts w:hint="eastAsia" w:ascii="仿宋_GB2312" w:hAnsi="仿宋" w:eastAsia="仿宋_GB2312" w:cs="仿宋"/>
          <w:b/>
          <w:bCs/>
          <w:color w:val="auto"/>
          <w:sz w:val="44"/>
          <w:szCs w:val="44"/>
          <w:highlight w:val="none"/>
        </w:rPr>
        <w:t>质疑函范本</w:t>
      </w:r>
    </w:p>
    <w:p>
      <w:pPr>
        <w:adjustRightInd w:val="0"/>
        <w:snapToGrid w:val="0"/>
        <w:spacing w:beforeLines="100" w:line="360" w:lineRule="auto"/>
        <w:rPr>
          <w:rFonts w:ascii="仿宋_GB2312" w:hAnsi="黑体" w:eastAsia="仿宋_GB2312" w:cs="仿宋"/>
          <w:bCs/>
          <w:color w:val="auto"/>
          <w:sz w:val="32"/>
          <w:szCs w:val="32"/>
          <w:highlight w:val="none"/>
        </w:rPr>
      </w:pPr>
      <w:r>
        <w:rPr>
          <w:rFonts w:hint="eastAsia" w:ascii="仿宋_GB2312" w:hAnsi="黑体" w:eastAsia="仿宋_GB2312" w:cs="仿宋"/>
          <w:bCs/>
          <w:color w:val="auto"/>
          <w:sz w:val="32"/>
          <w:szCs w:val="32"/>
          <w:highlight w:val="none"/>
        </w:rPr>
        <w:t>一、质疑供应商基本信息</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质疑供应商：</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地址：</w:t>
      </w:r>
      <w:r>
        <w:rPr>
          <w:rFonts w:hint="eastAsia" w:ascii="仿宋_GB2312" w:hAnsi="仿宋" w:eastAsia="仿宋_GB2312" w:cs="仿宋"/>
          <w:color w:val="auto"/>
          <w:sz w:val="32"/>
          <w:szCs w:val="32"/>
          <w:highlight w:val="none"/>
          <w:u w:val="dotted"/>
        </w:rPr>
        <w:t xml:space="preserve">                          </w:t>
      </w:r>
      <w:r>
        <w:rPr>
          <w:rFonts w:hint="eastAsia" w:ascii="仿宋_GB2312" w:hAnsi="仿宋" w:eastAsia="仿宋_GB2312" w:cs="仿宋"/>
          <w:color w:val="auto"/>
          <w:sz w:val="32"/>
          <w:szCs w:val="32"/>
          <w:highlight w:val="none"/>
        </w:rPr>
        <w:t>邮编：</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联系人：</w:t>
      </w:r>
      <w:r>
        <w:rPr>
          <w:rFonts w:hint="eastAsia" w:ascii="仿宋_GB2312" w:hAnsi="仿宋" w:eastAsia="仿宋_GB2312" w:cs="仿宋"/>
          <w:color w:val="auto"/>
          <w:sz w:val="32"/>
          <w:szCs w:val="32"/>
          <w:highlight w:val="none"/>
          <w:u w:val="dotted"/>
        </w:rPr>
        <w:t xml:space="preserve">                      </w:t>
      </w:r>
      <w:r>
        <w:rPr>
          <w:rFonts w:hint="eastAsia" w:ascii="仿宋_GB2312" w:hAnsi="仿宋" w:eastAsia="仿宋_GB2312" w:cs="仿宋"/>
          <w:color w:val="auto"/>
          <w:sz w:val="32"/>
          <w:szCs w:val="32"/>
          <w:highlight w:val="none"/>
        </w:rPr>
        <w:t>联系电话：</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授权代表：</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联系电话：</w:t>
      </w:r>
      <w:r>
        <w:rPr>
          <w:rFonts w:hint="eastAsia" w:ascii="仿宋_GB2312" w:hAnsi="仿宋" w:eastAsia="仿宋_GB2312" w:cs="仿宋"/>
          <w:color w:val="auto"/>
          <w:sz w:val="32"/>
          <w:szCs w:val="32"/>
          <w:highlight w:val="none"/>
          <w:u w:val="dotted"/>
        </w:rPr>
        <w:t xml:space="preserve">                                           </w:t>
      </w:r>
      <w:r>
        <w:rPr>
          <w:rFonts w:hint="eastAsia" w:ascii="仿宋_GB2312" w:hAnsi="仿宋" w:eastAsia="仿宋_GB2312" w:cs="仿宋"/>
          <w:color w:val="auto"/>
          <w:sz w:val="32"/>
          <w:szCs w:val="32"/>
          <w:highlight w:val="none"/>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 xml:space="preserve">地址： </w:t>
      </w:r>
      <w:r>
        <w:rPr>
          <w:rFonts w:hint="eastAsia" w:ascii="仿宋_GB2312" w:hAnsi="仿宋" w:eastAsia="仿宋_GB2312" w:cs="仿宋"/>
          <w:color w:val="auto"/>
          <w:sz w:val="32"/>
          <w:szCs w:val="32"/>
          <w:highlight w:val="none"/>
          <w:u w:val="dotted"/>
        </w:rPr>
        <w:t xml:space="preserve">                        </w:t>
      </w:r>
      <w:r>
        <w:rPr>
          <w:rFonts w:hint="eastAsia" w:ascii="仿宋_GB2312" w:hAnsi="仿宋" w:eastAsia="仿宋_GB2312" w:cs="仿宋"/>
          <w:color w:val="auto"/>
          <w:sz w:val="32"/>
          <w:szCs w:val="32"/>
          <w:highlight w:val="none"/>
        </w:rPr>
        <w:t>邮编：</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黑体" w:eastAsia="仿宋_GB2312" w:cs="仿宋"/>
          <w:bCs/>
          <w:color w:val="auto"/>
          <w:sz w:val="32"/>
          <w:szCs w:val="32"/>
          <w:highlight w:val="none"/>
        </w:rPr>
      </w:pPr>
      <w:r>
        <w:rPr>
          <w:rFonts w:hint="eastAsia" w:ascii="仿宋_GB2312" w:hAnsi="黑体" w:eastAsia="仿宋_GB2312" w:cs="仿宋"/>
          <w:bCs/>
          <w:color w:val="auto"/>
          <w:sz w:val="32"/>
          <w:szCs w:val="32"/>
          <w:highlight w:val="none"/>
        </w:rPr>
        <w:t>二、质疑项目基本情况</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质疑项目的名称：</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质疑项目的编号：</w:t>
      </w:r>
      <w:r>
        <w:rPr>
          <w:rFonts w:hint="eastAsia" w:ascii="仿宋_GB2312" w:hAnsi="仿宋" w:eastAsia="仿宋_GB2312" w:cs="仿宋"/>
          <w:color w:val="auto"/>
          <w:sz w:val="32"/>
          <w:szCs w:val="32"/>
          <w:highlight w:val="none"/>
          <w:u w:val="dotted"/>
        </w:rPr>
        <w:t xml:space="preserve">               </w:t>
      </w:r>
      <w:r>
        <w:rPr>
          <w:rFonts w:hint="eastAsia" w:ascii="仿宋_GB2312" w:hAnsi="仿宋" w:eastAsia="仿宋_GB2312" w:cs="仿宋"/>
          <w:color w:val="auto"/>
          <w:sz w:val="32"/>
          <w:szCs w:val="32"/>
          <w:highlight w:val="none"/>
        </w:rPr>
        <w:t>包号：</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采购人名称：</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采购文件获取日期：</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黑体" w:eastAsia="仿宋_GB2312" w:cs="仿宋"/>
          <w:bCs/>
          <w:color w:val="auto"/>
          <w:sz w:val="32"/>
          <w:szCs w:val="32"/>
          <w:highlight w:val="none"/>
        </w:rPr>
      </w:pPr>
      <w:r>
        <w:rPr>
          <w:rFonts w:hint="eastAsia" w:ascii="仿宋_GB2312" w:hAnsi="黑体" w:eastAsia="仿宋_GB2312" w:cs="仿宋"/>
          <w:bCs/>
          <w:color w:val="auto"/>
          <w:sz w:val="32"/>
          <w:szCs w:val="32"/>
          <w:highlight w:val="none"/>
        </w:rPr>
        <w:t>三、质疑事项具体内容</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质疑事项1：</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事实依据：</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法律依据：</w:t>
      </w: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u w:val="dotted"/>
        </w:rPr>
        <w:t xml:space="preserve">                                                     </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质疑事项2</w:t>
      </w:r>
    </w:p>
    <w:p>
      <w:pPr>
        <w:adjustRightInd w:val="0"/>
        <w:snapToGrid w:val="0"/>
        <w:spacing w:line="360" w:lineRule="auto"/>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w:t>
      </w:r>
    </w:p>
    <w:p>
      <w:pPr>
        <w:adjustRightInd w:val="0"/>
        <w:snapToGrid w:val="0"/>
        <w:spacing w:line="360" w:lineRule="auto"/>
        <w:rPr>
          <w:rFonts w:ascii="仿宋_GB2312" w:hAnsi="黑体" w:eastAsia="仿宋_GB2312" w:cs="仿宋"/>
          <w:bCs/>
          <w:color w:val="auto"/>
          <w:sz w:val="32"/>
          <w:szCs w:val="32"/>
          <w:highlight w:val="none"/>
        </w:rPr>
      </w:pPr>
      <w:r>
        <w:rPr>
          <w:rFonts w:hint="eastAsia" w:ascii="仿宋_GB2312" w:hAnsi="黑体" w:eastAsia="仿宋_GB2312" w:cs="仿宋"/>
          <w:bCs/>
          <w:color w:val="auto"/>
          <w:sz w:val="32"/>
          <w:szCs w:val="32"/>
          <w:highlight w:val="none"/>
        </w:rPr>
        <w:t>四、与质疑事项相关的质疑请求</w:t>
      </w:r>
    </w:p>
    <w:p>
      <w:pPr>
        <w:adjustRightInd w:val="0"/>
        <w:snapToGrid w:val="0"/>
        <w:spacing w:line="360" w:lineRule="auto"/>
        <w:rPr>
          <w:rFonts w:ascii="仿宋_GB2312" w:hAnsi="仿宋" w:eastAsia="仿宋_GB2312" w:cs="仿宋"/>
          <w:color w:val="auto"/>
          <w:sz w:val="32"/>
          <w:szCs w:val="32"/>
          <w:highlight w:val="none"/>
          <w:u w:val="dotted"/>
        </w:rPr>
      </w:pPr>
      <w:r>
        <w:rPr>
          <w:rFonts w:hint="eastAsia" w:ascii="仿宋_GB2312" w:hAnsi="仿宋" w:eastAsia="仿宋_GB2312" w:cs="仿宋"/>
          <w:color w:val="auto"/>
          <w:sz w:val="32"/>
          <w:szCs w:val="32"/>
          <w:highlight w:val="none"/>
        </w:rPr>
        <w:t>请求：</w:t>
      </w:r>
      <w:r>
        <w:rPr>
          <w:rFonts w:hint="eastAsia" w:ascii="仿宋_GB2312" w:hAnsi="仿宋" w:eastAsia="仿宋_GB2312" w:cs="仿宋"/>
          <w:color w:val="auto"/>
          <w:sz w:val="32"/>
          <w:szCs w:val="32"/>
          <w:highlight w:val="none"/>
          <w:u w:val="dotted"/>
        </w:rPr>
        <w:t xml:space="preserve">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_GB2312" w:hAnsi="仿宋" w:eastAsia="仿宋_GB2312" w:cs="仿宋"/>
          <w:color w:val="auto"/>
          <w:sz w:val="32"/>
          <w:szCs w:val="32"/>
          <w:highlight w:val="none"/>
        </w:rPr>
      </w:pPr>
    </w:p>
    <w:p>
      <w:pPr>
        <w:adjustRightInd w:val="0"/>
        <w:snapToGrid w:val="0"/>
        <w:spacing w:line="360" w:lineRule="auto"/>
        <w:rPr>
          <w:rFonts w:ascii="仿宋_GB2312" w:hAnsi="仿宋" w:eastAsia="仿宋_GB2312" w:cs="仿宋"/>
          <w:color w:val="auto"/>
          <w:sz w:val="32"/>
          <w:szCs w:val="32"/>
          <w:highlight w:val="none"/>
        </w:rPr>
      </w:pPr>
    </w:p>
    <w:p>
      <w:pPr>
        <w:jc w:val="center"/>
        <w:rPr>
          <w:rFonts w:ascii="仿宋_GB2312" w:hAnsi="仿宋" w:eastAsia="仿宋_GB2312" w:cs="仿宋"/>
          <w:b/>
          <w:bCs/>
          <w:color w:val="auto"/>
          <w:sz w:val="32"/>
          <w:szCs w:val="32"/>
          <w:highlight w:val="none"/>
        </w:rPr>
      </w:pPr>
    </w:p>
    <w:p>
      <w:pPr>
        <w:rPr>
          <w:rFonts w:ascii="仿宋_GB2312" w:hAnsi="黑体" w:eastAsia="仿宋_GB2312"/>
          <w:b/>
          <w:color w:val="auto"/>
          <w:sz w:val="32"/>
          <w:szCs w:val="32"/>
          <w:highlight w:val="none"/>
        </w:rPr>
      </w:pPr>
      <w:r>
        <w:rPr>
          <w:rFonts w:hint="eastAsia" w:ascii="仿宋_GB2312" w:hAnsi="黑体" w:eastAsia="仿宋_GB2312"/>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rPr>
          <w:rFonts w:hint="eastAsia"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br w:type="page"/>
      </w:r>
    </w:p>
    <w:p>
      <w:pPr>
        <w:widowControl/>
        <w:shd w:val="clear" w:color="auto" w:fill="FFFFFF"/>
        <w:spacing w:line="600" w:lineRule="atLeast"/>
        <w:jc w:val="center"/>
        <w:textAlignment w:val="baseline"/>
        <w:rPr>
          <w:rFonts w:hint="eastAsia" w:ascii="仿宋_GB2312" w:hAnsi="宋体" w:eastAsia="仿宋_GB2312" w:cs="宋体"/>
          <w:b/>
          <w:bCs/>
          <w:color w:val="auto"/>
          <w:kern w:val="0"/>
          <w:sz w:val="36"/>
          <w:szCs w:val="36"/>
          <w:highlight w:val="none"/>
          <w:lang w:eastAsia="zh-CN"/>
        </w:rPr>
      </w:pPr>
      <w:r>
        <w:rPr>
          <w:rFonts w:hint="eastAsia" w:ascii="仿宋_GB2312" w:hAnsi="宋体" w:eastAsia="仿宋_GB2312" w:cs="宋体"/>
          <w:b/>
          <w:bCs/>
          <w:color w:val="auto"/>
          <w:kern w:val="0"/>
          <w:sz w:val="36"/>
          <w:szCs w:val="36"/>
          <w:highlight w:val="none"/>
        </w:rPr>
        <w:t>国家统计局关于印发《统计上</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国家统计局</w:t>
      </w:r>
      <w:r>
        <w:rPr>
          <w:rFonts w:hint="eastAsia" w:ascii="宋体" w:hAnsi="宋体" w:eastAsia="仿宋_GB2312" w:cs="宋体"/>
          <w:color w:val="auto"/>
          <w:kern w:val="0"/>
          <w:szCs w:val="21"/>
          <w:highlight w:val="none"/>
        </w:rPr>
        <w:t>  </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2017年12月28日</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附表：统计上大中小微型企业划分标准</w:t>
      </w:r>
    </w:p>
    <w:p>
      <w:pPr>
        <w:widowControl/>
        <w:jc w:val="left"/>
        <w:rPr>
          <w:rFonts w:hint="eastAsia" w:ascii="仿宋_GB2312" w:hAnsi="宋体" w:eastAsia="仿宋_GB2312" w:cs="宋体"/>
          <w:color w:val="auto"/>
          <w:kern w:val="0"/>
          <w:sz w:val="24"/>
          <w:highlight w:val="none"/>
          <w:lang w:eastAsia="zh-CN"/>
        </w:rPr>
      </w:pPr>
    </w:p>
    <w:p>
      <w:pPr>
        <w:pStyle w:val="9"/>
        <w:rPr>
          <w:rFonts w:hint="eastAsia"/>
          <w:color w:val="auto"/>
          <w:highlight w:val="none"/>
          <w:lang w:eastAsia="zh-CN"/>
        </w:rPr>
      </w:pP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统计上大中小微型企业划分标准</w:t>
      </w:r>
    </w:p>
    <w:tbl>
      <w:tblPr>
        <w:tblStyle w:val="88"/>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农、林、牧、渔业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Y≥20000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500≤Y＜20000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50≤Y＜500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工业 *</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300≤X＜1000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20≤X＜300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Y≥40000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2000≤Y＜40000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300≤Y＜2000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建筑业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Y≥80000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6000≤Y＜80000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300≤Y＜6000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资产总额(Z)</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Z≥80000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5000≤Z＜80000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300≤Z＜5000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批发业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20≤X＜200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5≤X＜20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Y≥40000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5000≤Y＜40000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1000≤Y＜5000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零售业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10≤X＜50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Y≥20000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500≤Y＜20000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100≤Y＜500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交通运输业 *</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300≤X＜1000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20≤X＜300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Y≥30000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3000≤Y＜30000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200≤Y＜3000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仓储业*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100≤X＜200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Y≥30000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1000≤Y＜30000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100≤Y＜1000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邮政业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300≤X＜1000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20≤X＜300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Y≥30000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2000≤Y＜30000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100≤Y＜2000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住宿业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2000≤Y＜10000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100≤Y＜2000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餐饮业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2000≤Y＜10000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100≤Y＜2000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信息传输业 *</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X≥2000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100≤X＜2000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1000≤Y＜100000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100≤Y＜1000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软件和信息技术服务业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1000≤Y＜10000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50≤Y＜1000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房地产开发经营</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Y≥200000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1000≤Y＜200000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100≤Y＜1000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资产总额(Z)</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Z≥10000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5000≤Z＜10000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2000≤Z＜5000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物业管理</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300≤X＜1000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营业收入(Y)</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Y≥5000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1000≤Y＜5000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500≤Y＜1000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租赁和商务服务业</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color w:val="auto"/>
                <w:kern w:val="0"/>
                <w:sz w:val="24"/>
                <w:highlight w:val="none"/>
              </w:rPr>
            </w:pP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资产总额(Z)</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万元</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Z≥120000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8000≤Z＜120000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100≤Z＜8000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其他未列明行业 *</w:t>
            </w:r>
          </w:p>
        </w:tc>
        <w:tc>
          <w:tcPr>
            <w:tcW w:w="156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从业人员(X)</w:t>
            </w:r>
          </w:p>
        </w:tc>
        <w:tc>
          <w:tcPr>
            <w:tcW w:w="67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人</w:t>
            </w:r>
          </w:p>
        </w:tc>
        <w:tc>
          <w:tcPr>
            <w:tcW w:w="123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X≥300</w:t>
            </w:r>
          </w:p>
        </w:tc>
        <w:tc>
          <w:tcPr>
            <w:tcW w:w="1891"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100≤X＜300</w:t>
            </w:r>
          </w:p>
        </w:tc>
        <w:tc>
          <w:tcPr>
            <w:tcW w:w="1730"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10≤X＜100</w:t>
            </w:r>
          </w:p>
        </w:tc>
        <w:tc>
          <w:tcPr>
            <w:tcW w:w="1203"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X＜10</w:t>
            </w:r>
          </w:p>
        </w:tc>
      </w:tr>
    </w:tbl>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仿宋_GB2312" w:hAnsi="宋体" w:eastAsia="仿宋_GB2312" w:cs="宋体"/>
          <w:color w:val="auto"/>
          <w:kern w:val="0"/>
          <w:szCs w:val="21"/>
          <w:highlight w:val="none"/>
        </w:rPr>
        <w:t>说明： 　　</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3.企业划分指标以现行统计制度为准。</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（3）资产总额，采用资产总计代替。</w:t>
      </w:r>
    </w:p>
    <w:p>
      <w:pPr>
        <w:widowControl/>
        <w:jc w:val="left"/>
        <w:rPr>
          <w:rFonts w:hint="eastAsia" w:ascii="仿宋_GB2312" w:hAnsi="宋体" w:eastAsia="仿宋_GB2312" w:cs="宋体"/>
          <w:color w:val="auto"/>
          <w:kern w:val="0"/>
          <w:sz w:val="24"/>
          <w:highlight w:val="none"/>
          <w:lang w:eastAsia="zh-CN"/>
        </w:rPr>
      </w:pPr>
    </w:p>
    <w:p>
      <w:pPr>
        <w:pStyle w:val="9"/>
        <w:rPr>
          <w:rFonts w:hint="eastAsia"/>
          <w:color w:val="auto"/>
          <w:highlight w:val="none"/>
          <w:lang w:eastAsia="zh-CN"/>
        </w:rPr>
      </w:pPr>
    </w:p>
    <w:p>
      <w:pPr>
        <w:widowControl/>
        <w:shd w:val="clear" w:color="auto" w:fill="FFFFFF"/>
        <w:spacing w:before="150" w:line="600" w:lineRule="atLeast"/>
        <w:ind w:left="-424" w:leftChars="-202"/>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highlight w:val="none"/>
        </w:rPr>
      </w:pPr>
      <w:r>
        <w:rPr>
          <w:rFonts w:hint="eastAsia" w:ascii="仿宋_GB2312" w:hAnsi="宋体" w:eastAsia="仿宋_GB2312" w:cs="宋体"/>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highlight w:val="none"/>
        </w:rPr>
      </w:pPr>
      <w:r>
        <w:rPr>
          <w:rFonts w:hint="eastAsia" w:ascii="仿宋_GB2312" w:hAnsi="宋体" w:eastAsia="仿宋_GB2312" w:cs="宋体"/>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宋体" w:eastAsia="仿宋_GB2312" w:cs="宋体"/>
          <w:color w:val="auto"/>
          <w:kern w:val="0"/>
          <w:sz w:val="18"/>
          <w:szCs w:val="18"/>
          <w:highlight w:val="none"/>
          <w:lang w:eastAsia="zh-CN"/>
        </w:rPr>
      </w:pPr>
    </w:p>
    <w:p>
      <w:pPr>
        <w:pStyle w:val="9"/>
        <w:rPr>
          <w:rFonts w:hint="eastAsia"/>
          <w:color w:val="auto"/>
          <w:highlight w:val="none"/>
          <w:lang w:eastAsia="zh-CN"/>
        </w:rPr>
      </w:pPr>
    </w:p>
    <w:p>
      <w:pPr>
        <w:pStyle w:val="9"/>
        <w:rPr>
          <w:rFonts w:hint="eastAsia"/>
          <w:color w:val="auto"/>
          <w:highlight w:val="none"/>
          <w:lang w:eastAsia="zh-CN"/>
        </w:rPr>
      </w:pPr>
    </w:p>
    <w:p>
      <w:pPr>
        <w:widowControl/>
        <w:shd w:val="clear" w:color="auto" w:fill="FFFFFF"/>
        <w:spacing w:line="600" w:lineRule="atLeast"/>
        <w:jc w:val="center"/>
        <w:textAlignment w:val="baseline"/>
        <w:rPr>
          <w:rFonts w:hint="eastAsia" w:ascii="仿宋_GB2312" w:hAnsi="宋体" w:eastAsia="仿宋_GB2312" w:cs="宋体"/>
          <w:b/>
          <w:bCs/>
          <w:color w:val="auto"/>
          <w:kern w:val="0"/>
          <w:sz w:val="36"/>
          <w:szCs w:val="36"/>
          <w:highlight w:val="none"/>
          <w:lang w:eastAsia="zh-CN"/>
        </w:rPr>
      </w:pPr>
      <w:r>
        <w:rPr>
          <w:rFonts w:hint="eastAsia" w:ascii="仿宋_GB2312" w:hAnsi="宋体" w:eastAsia="仿宋_GB2312" w:cs="宋体"/>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_GB2312" w:hAnsi="宋体" w:eastAsia="仿宋_GB2312" w:cs="宋体"/>
          <w:b/>
          <w:bCs/>
          <w:color w:val="auto"/>
          <w:kern w:val="0"/>
          <w:sz w:val="36"/>
          <w:szCs w:val="36"/>
          <w:highlight w:val="none"/>
          <w:lang w:eastAsia="zh-CN"/>
        </w:rPr>
      </w:pPr>
      <w:r>
        <w:rPr>
          <w:rFonts w:hint="eastAsia" w:ascii="仿宋_GB2312" w:hAnsi="宋体" w:eastAsia="仿宋_GB2312" w:cs="宋体"/>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七、 标准值的评估和调整。金融业企业划型标准工作组</w:t>
      </w:r>
      <w:r>
        <w:rPr>
          <w:rFonts w:hint="eastAsia" w:ascii="仿宋_GB2312" w:hAnsi="宋体" w:cs="宋体"/>
          <w:color w:val="auto"/>
          <w:kern w:val="0"/>
          <w:szCs w:val="21"/>
          <w:highlight w:val="none"/>
        </w:rPr>
        <w:t>毎</w:t>
      </w:r>
      <w:r>
        <w:rPr>
          <w:rFonts w:hint="eastAsia" w:ascii="仿宋_GB2312" w:hAnsi="宋体" w:eastAsia="仿宋_GB2312" w:cs="宋体"/>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宋体" w:eastAsia="仿宋_GB2312" w:cs="宋体"/>
          <w:color w:val="auto"/>
          <w:kern w:val="0"/>
          <w:szCs w:val="21"/>
          <w:highlight w:val="none"/>
          <w:lang w:eastAsia="zh-CN"/>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color w:val="auto"/>
          <w:kern w:val="0"/>
          <w:szCs w:val="21"/>
          <w:highlight w:val="none"/>
        </w:rPr>
      </w:pPr>
      <w:r>
        <w:rPr>
          <w:rFonts w:hint="eastAsia" w:ascii="宋体" w:hAnsi="宋体" w:eastAsia="仿宋_GB2312" w:cs="宋体"/>
          <w:color w:val="auto"/>
          <w:kern w:val="0"/>
          <w:szCs w:val="21"/>
          <w:highlight w:val="none"/>
        </w:rPr>
        <w:t>    </w:t>
      </w:r>
      <w:r>
        <w:rPr>
          <w:rFonts w:hint="eastAsia" w:ascii="仿宋_GB2312" w:hAnsi="宋体" w:eastAsia="仿宋_GB2312" w:cs="宋体"/>
          <w:color w:val="auto"/>
          <w:kern w:val="0"/>
          <w:szCs w:val="21"/>
          <w:highlight w:val="none"/>
        </w:rPr>
        <w:t>十一、本规定自发布之日起实施。</w:t>
      </w:r>
    </w:p>
    <w:p>
      <w:pPr>
        <w:widowControl/>
        <w:shd w:val="clear" w:color="auto" w:fill="FFFFFF"/>
        <w:spacing w:before="150" w:line="420" w:lineRule="atLeast"/>
        <w:jc w:val="left"/>
        <w:textAlignment w:val="baseline"/>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highlight w:val="none"/>
        </w:rPr>
      </w:pPr>
      <w:r>
        <w:rPr>
          <w:rFonts w:hint="eastAsia" w:ascii="仿宋_GB2312" w:hAnsi="宋体" w:eastAsia="仿宋_GB2312" w:cs="宋体"/>
          <w:b/>
          <w:bCs/>
          <w:color w:val="auto"/>
          <w:kern w:val="0"/>
          <w:sz w:val="36"/>
          <w:szCs w:val="36"/>
          <w:highlight w:val="none"/>
        </w:rPr>
        <w:t>金融业企业划型标准</w:t>
      </w:r>
    </w:p>
    <w:tbl>
      <w:tblPr>
        <w:tblStyle w:val="88"/>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highlight w:val="none"/>
              </w:rPr>
            </w:pPr>
            <w:r>
              <w:rPr>
                <w:rFonts w:hint="eastAsia" w:ascii="仿宋_GB2312" w:hAnsi="宋体" w:eastAsia="仿宋_GB2312" w:cs="宋体"/>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货币金融服务</w:t>
            </w:r>
          </w:p>
        </w:tc>
        <w:tc>
          <w:tcPr>
            <w:tcW w:w="102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货币银行服务</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银行业存款类金融机构</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非货币银行服务</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银行业非存款类金融机构</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贷款公司、小额贷款公司及典当行</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资本市场服务</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证券业金融机构</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保险业</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保险业金融机构</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其他金融业</w:t>
            </w:r>
          </w:p>
        </w:tc>
        <w:tc>
          <w:tcPr>
            <w:tcW w:w="102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金融信托与管理服务</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信托公司</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控股公司服务</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金融控股公司</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其他未包括的金融业</w:t>
            </w:r>
          </w:p>
        </w:tc>
        <w:tc>
          <w:tcPr>
            <w:tcW w:w="2836" w:type="dxa"/>
            <w:vMerge w:val="restart"/>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中型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小型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color w:val="auto"/>
                <w:kern w:val="0"/>
                <w:sz w:val="24"/>
                <w:highlight w:val="none"/>
              </w:rPr>
            </w:pPr>
          </w:p>
        </w:tc>
        <w:tc>
          <w:tcPr>
            <w:tcW w:w="1025" w:type="dxa"/>
            <w:vMerge w:val="continue"/>
            <w:vAlign w:val="center"/>
          </w:tcPr>
          <w:p>
            <w:pPr>
              <w:widowControl/>
              <w:jc w:val="left"/>
              <w:rPr>
                <w:rFonts w:ascii="仿宋_GB2312" w:hAnsi="宋体" w:eastAsia="仿宋_GB2312" w:cs="宋体"/>
                <w:color w:val="auto"/>
                <w:kern w:val="0"/>
                <w:sz w:val="24"/>
                <w:highlight w:val="none"/>
              </w:rPr>
            </w:pPr>
          </w:p>
        </w:tc>
        <w:tc>
          <w:tcPr>
            <w:tcW w:w="2836" w:type="dxa"/>
            <w:vMerge w:val="continue"/>
            <w:vAlign w:val="center"/>
          </w:tcPr>
          <w:p>
            <w:pPr>
              <w:widowControl/>
              <w:jc w:val="left"/>
              <w:rPr>
                <w:rFonts w:ascii="仿宋_GB2312" w:hAnsi="宋体" w:eastAsia="仿宋_GB2312" w:cs="宋体"/>
                <w:color w:val="auto"/>
                <w:kern w:val="0"/>
                <w:sz w:val="24"/>
                <w:highlight w:val="none"/>
              </w:rPr>
            </w:pPr>
          </w:p>
        </w:tc>
        <w:tc>
          <w:tcPr>
            <w:tcW w:w="60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微型</w:t>
            </w:r>
          </w:p>
        </w:tc>
        <w:tc>
          <w:tcPr>
            <w:tcW w:w="3326" w:type="dxa"/>
            <w:vAlign w:val="center"/>
          </w:tcPr>
          <w:p>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50亿元以下</w:t>
            </w:r>
          </w:p>
        </w:tc>
      </w:tr>
    </w:tbl>
    <w:p>
      <w:pPr>
        <w:rPr>
          <w:rFonts w:ascii="仿宋_GB2312" w:hAnsi="仿宋_GB2312" w:eastAsia="仿宋_GB2312" w:cs="仿宋_GB2312"/>
          <w:color w:val="auto"/>
          <w:sz w:val="24"/>
          <w:highlight w:val="none"/>
        </w:rPr>
      </w:pPr>
    </w:p>
    <w:p>
      <w:pPr>
        <w:ind w:firstLine="420" w:firstLineChars="200"/>
        <w:rPr>
          <w:rFonts w:ascii="仿宋_GB2312" w:eastAsia="仿宋_GB2312"/>
          <w:color w:val="auto"/>
          <w:highlight w:val="none"/>
        </w:rPr>
      </w:pP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color w:val="auto"/>
          <w:kern w:val="0"/>
          <w:sz w:val="24"/>
          <w:highlight w:val="none"/>
        </w:rPr>
      </w:pPr>
    </w:p>
    <w:sectPr>
      <w:headerReference r:id="rId4" w:type="default"/>
      <w:footerReference r:id="rId5" w:type="default"/>
      <w:footerReference r:id="rId6" w:type="even"/>
      <w:pgSz w:w="11906" w:h="16838"/>
      <w:pgMar w:top="1474" w:right="1814" w:bottom="1474" w:left="1814" w:header="1021" w:footer="90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Adobe 繁黑體 Std B">
    <w:altName w:val="黑体"/>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9" w:usb3="00000000" w:csb0="000001FF" w:csb1="00000000"/>
  </w:font>
  <w:font w:name="方正黑体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143</w:t>
    </w:r>
    <w:r>
      <w:rPr>
        <w:rFonts w:hint="eastAsia" w:ascii="仿宋_GB2312" w:eastAsia="仿宋_GB2312"/>
        <w:kern w:val="0"/>
      </w:rPr>
      <w:fldChar w:fldCharType="end"/>
    </w:r>
    <w:r>
      <w:rPr>
        <w:rFonts w:hint="eastAsia" w:ascii="仿宋_GB2312" w:eastAsia="仿宋_GB2312"/>
        <w:kern w:val="0"/>
      </w:rPr>
      <w:t xml:space="preserve"> 页</w:t>
    </w:r>
  </w:p>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_GB2312" w:eastAsia="仿宋_GB2312"/>
        <w:kern w:val="0"/>
      </w:rPr>
    </w:pP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95</w:t>
    </w:r>
    <w:r>
      <w:rPr>
        <w:rFonts w:ascii="仿宋_GB2312" w:eastAsia="仿宋_GB2312"/>
        <w:kern w:val="0"/>
      </w:rPr>
      <w:fldChar w:fldCharType="end"/>
    </w:r>
    <w:r>
      <w:rPr>
        <w:rFonts w:ascii="仿宋_GB2312" w:eastAsia="仿宋_GB2312"/>
        <w:kern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92"/>
      </w:rPr>
    </w:pPr>
    <w:r>
      <w:fldChar w:fldCharType="begin"/>
    </w:r>
    <w:r>
      <w:rPr>
        <w:rStyle w:val="92"/>
      </w:rPr>
      <w:instrText xml:space="preserve">PAGE  </w:instrText>
    </w:r>
    <w:r>
      <w:fldChar w:fldCharType="end"/>
    </w:r>
  </w:p>
  <w:p>
    <w:pPr>
      <w:pStyle w:val="5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26267"/>
    <w:multiLevelType w:val="singleLevel"/>
    <w:tmpl w:val="81726267"/>
    <w:lvl w:ilvl="0" w:tentative="0">
      <w:start w:val="4"/>
      <w:numFmt w:val="decimal"/>
      <w:lvlText w:val="%1."/>
      <w:lvlJc w:val="left"/>
      <w:pPr>
        <w:tabs>
          <w:tab w:val="left" w:pos="312"/>
        </w:tabs>
      </w:pPr>
    </w:lvl>
  </w:abstractNum>
  <w:abstractNum w:abstractNumId="1">
    <w:nsid w:val="A620F647"/>
    <w:multiLevelType w:val="singleLevel"/>
    <w:tmpl w:val="A620F647"/>
    <w:lvl w:ilvl="0" w:tentative="0">
      <w:start w:val="2"/>
      <w:numFmt w:val="chineseCounting"/>
      <w:suff w:val="nothing"/>
      <w:lvlText w:val="%1、"/>
      <w:lvlJc w:val="left"/>
      <w:pPr>
        <w:ind w:left="148"/>
      </w:pPr>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42B19E7"/>
    <w:multiLevelType w:val="multilevel"/>
    <w:tmpl w:val="042B19E7"/>
    <w:lvl w:ilvl="0" w:tentative="0">
      <w:start w:val="1"/>
      <w:numFmt w:val="chineseCountingThousand"/>
      <w:lvlText w:val="第%1章"/>
      <w:lvlJc w:val="left"/>
      <w:pPr>
        <w:ind w:left="425" w:hanging="425"/>
      </w:pPr>
      <w:rPr>
        <w:rFonts w:hint="eastAsia"/>
      </w:rPr>
    </w:lvl>
    <w:lvl w:ilvl="1" w:tentative="0">
      <w:start w:val="1"/>
      <w:numFmt w:val="decimal"/>
      <w:pStyle w:val="286"/>
      <w:isLgl/>
      <w:lvlText w:val="%1.%2"/>
      <w:lvlJc w:val="left"/>
      <w:pPr>
        <w:ind w:left="630" w:hanging="567"/>
      </w:pPr>
      <w:rPr>
        <w:rFonts w:hint="default" w:ascii="Times New Roman" w:hAnsi="Times New Roman" w:cs="Times New Roman"/>
      </w:rPr>
    </w:lvl>
    <w:lvl w:ilvl="2" w:tentative="0">
      <w:start w:val="1"/>
      <w:numFmt w:val="decimal"/>
      <w:pStyle w:val="284"/>
      <w:isLgl/>
      <w:lvlText w:val="%1.%2.%3"/>
      <w:lvlJc w:val="left"/>
      <w:pPr>
        <w:ind w:left="567" w:hanging="567"/>
      </w:pPr>
      <w:rPr>
        <w:rFonts w:hint="default" w:ascii="Times New Roman" w:hAnsi="Times New Roman" w:cs="Times New Roman"/>
        <w:b/>
      </w:rPr>
    </w:lvl>
    <w:lvl w:ilvl="3" w:tentative="0">
      <w:start w:val="1"/>
      <w:numFmt w:val="decimal"/>
      <w:pStyle w:val="285"/>
      <w:isLgl/>
      <w:lvlText w:val="%1.%2.%3.%4"/>
      <w:lvlJc w:val="left"/>
      <w:pPr>
        <w:ind w:left="1560" w:firstLine="0"/>
      </w:pPr>
      <w:rPr>
        <w:rFonts w:hint="default" w:ascii="Times New Roman" w:hAnsi="Times New Roman" w:cs="Times New Roman"/>
        <w:b/>
        <w:sz w:val="28"/>
        <w:szCs w:val="28"/>
      </w:rPr>
    </w:lvl>
    <w:lvl w:ilvl="4" w:tentative="0">
      <w:start w:val="1"/>
      <w:numFmt w:val="decimal"/>
      <w:isLgl/>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11412996"/>
    <w:multiLevelType w:val="singleLevel"/>
    <w:tmpl w:val="11412996"/>
    <w:lvl w:ilvl="0" w:tentative="0">
      <w:start w:val="1"/>
      <w:numFmt w:val="chineseCounting"/>
      <w:suff w:val="nothing"/>
      <w:lvlText w:val="（%1）"/>
      <w:lvlJc w:val="left"/>
      <w:rPr>
        <w:rFonts w:hint="eastAsia"/>
      </w:rPr>
    </w:lvl>
  </w:abstractNum>
  <w:abstractNum w:abstractNumId="5">
    <w:nsid w:val="38BFAEE3"/>
    <w:multiLevelType w:val="singleLevel"/>
    <w:tmpl w:val="38BFAEE3"/>
    <w:lvl w:ilvl="0" w:tentative="0">
      <w:start w:val="1"/>
      <w:numFmt w:val="decimal"/>
      <w:suff w:val="nothing"/>
      <w:lvlText w:val="%1、"/>
      <w:lvlJc w:val="left"/>
    </w:lvl>
  </w:abstractNum>
  <w:abstractNum w:abstractNumId="6">
    <w:nsid w:val="395C50F0"/>
    <w:multiLevelType w:val="multilevel"/>
    <w:tmpl w:val="395C50F0"/>
    <w:lvl w:ilvl="0" w:tentative="0">
      <w:start w:val="1"/>
      <w:numFmt w:val="decimal"/>
      <w:pStyle w:val="98"/>
      <w:isLgl/>
      <w:lvlText w:val="%1."/>
      <w:lvlJc w:val="left"/>
      <w:pPr>
        <w:tabs>
          <w:tab w:val="left" w:pos="425"/>
        </w:tabs>
        <w:ind w:left="425" w:hanging="425"/>
      </w:pPr>
      <w:rPr>
        <w:rFonts w:hint="eastAsia" w:eastAsia="黑体"/>
        <w:b w:val="0"/>
        <w:i w:val="0"/>
        <w:sz w:val="32"/>
      </w:rPr>
    </w:lvl>
    <w:lvl w:ilvl="1" w:tentative="0">
      <w:start w:val="1"/>
      <w:numFmt w:val="decimal"/>
      <w:lvlRestart w:val="0"/>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578A49AC"/>
    <w:multiLevelType w:val="singleLevel"/>
    <w:tmpl w:val="578A49AC"/>
    <w:lvl w:ilvl="0" w:tentative="0">
      <w:start w:val="1"/>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0"/>
  </w:num>
  <w:num w:numId="4">
    <w:abstractNumId w:val="7"/>
  </w:num>
  <w:num w:numId="5">
    <w:abstractNumId w:val="8"/>
  </w:num>
  <w:num w:numId="6">
    <w:abstractNumId w:val="1"/>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MDM2NWNhNTc5OTRhOWYyODEyNTg3OTkzZTZlZWUifQ=="/>
  </w:docVars>
  <w:rsids>
    <w:rsidRoot w:val="00417C8A"/>
    <w:rsid w:val="00001EC4"/>
    <w:rsid w:val="00011630"/>
    <w:rsid w:val="00013CF7"/>
    <w:rsid w:val="00016985"/>
    <w:rsid w:val="00017CD8"/>
    <w:rsid w:val="0002203D"/>
    <w:rsid w:val="00022F99"/>
    <w:rsid w:val="00023B95"/>
    <w:rsid w:val="0002468D"/>
    <w:rsid w:val="000302B4"/>
    <w:rsid w:val="00031F75"/>
    <w:rsid w:val="00033C3F"/>
    <w:rsid w:val="00033F8C"/>
    <w:rsid w:val="000405DB"/>
    <w:rsid w:val="00044F24"/>
    <w:rsid w:val="00051C47"/>
    <w:rsid w:val="000529D9"/>
    <w:rsid w:val="00054B5B"/>
    <w:rsid w:val="00055CF7"/>
    <w:rsid w:val="00055F37"/>
    <w:rsid w:val="0006044E"/>
    <w:rsid w:val="00065EFB"/>
    <w:rsid w:val="00066686"/>
    <w:rsid w:val="00071AC2"/>
    <w:rsid w:val="00075000"/>
    <w:rsid w:val="0008089E"/>
    <w:rsid w:val="00080906"/>
    <w:rsid w:val="0008127C"/>
    <w:rsid w:val="0008141C"/>
    <w:rsid w:val="00083E11"/>
    <w:rsid w:val="00083E93"/>
    <w:rsid w:val="000845D1"/>
    <w:rsid w:val="00091B62"/>
    <w:rsid w:val="000933A2"/>
    <w:rsid w:val="000946C7"/>
    <w:rsid w:val="00094C02"/>
    <w:rsid w:val="00097868"/>
    <w:rsid w:val="00097F5B"/>
    <w:rsid w:val="000A1328"/>
    <w:rsid w:val="000A15C6"/>
    <w:rsid w:val="000A234C"/>
    <w:rsid w:val="000A24D9"/>
    <w:rsid w:val="000A452B"/>
    <w:rsid w:val="000A45D5"/>
    <w:rsid w:val="000A4A37"/>
    <w:rsid w:val="000A4C23"/>
    <w:rsid w:val="000A4F47"/>
    <w:rsid w:val="000A560E"/>
    <w:rsid w:val="000A773B"/>
    <w:rsid w:val="000B3CF1"/>
    <w:rsid w:val="000B4129"/>
    <w:rsid w:val="000B61B8"/>
    <w:rsid w:val="000B625B"/>
    <w:rsid w:val="000B731B"/>
    <w:rsid w:val="000C0894"/>
    <w:rsid w:val="000C1324"/>
    <w:rsid w:val="000C1CFA"/>
    <w:rsid w:val="000C1F2F"/>
    <w:rsid w:val="000C1F3C"/>
    <w:rsid w:val="000C3344"/>
    <w:rsid w:val="000C54AC"/>
    <w:rsid w:val="000D110F"/>
    <w:rsid w:val="000D318C"/>
    <w:rsid w:val="000D47FA"/>
    <w:rsid w:val="000D4A39"/>
    <w:rsid w:val="000D6BF0"/>
    <w:rsid w:val="000E02BF"/>
    <w:rsid w:val="000E4A4F"/>
    <w:rsid w:val="000E62E9"/>
    <w:rsid w:val="000E7296"/>
    <w:rsid w:val="000F1E27"/>
    <w:rsid w:val="000F45F9"/>
    <w:rsid w:val="000F4B86"/>
    <w:rsid w:val="000F7EA8"/>
    <w:rsid w:val="0010250A"/>
    <w:rsid w:val="001075FE"/>
    <w:rsid w:val="00112B08"/>
    <w:rsid w:val="00112C9F"/>
    <w:rsid w:val="001131F0"/>
    <w:rsid w:val="00113FB1"/>
    <w:rsid w:val="0011482C"/>
    <w:rsid w:val="00114C81"/>
    <w:rsid w:val="00116EDA"/>
    <w:rsid w:val="00117A8C"/>
    <w:rsid w:val="0012537A"/>
    <w:rsid w:val="00125579"/>
    <w:rsid w:val="001308EC"/>
    <w:rsid w:val="001315FE"/>
    <w:rsid w:val="0013448C"/>
    <w:rsid w:val="001345B3"/>
    <w:rsid w:val="00135B0A"/>
    <w:rsid w:val="00137525"/>
    <w:rsid w:val="0014682D"/>
    <w:rsid w:val="001541C3"/>
    <w:rsid w:val="0015597B"/>
    <w:rsid w:val="00157269"/>
    <w:rsid w:val="00163413"/>
    <w:rsid w:val="00164906"/>
    <w:rsid w:val="00165D74"/>
    <w:rsid w:val="00166190"/>
    <w:rsid w:val="00166825"/>
    <w:rsid w:val="00166CA4"/>
    <w:rsid w:val="00167436"/>
    <w:rsid w:val="001676D0"/>
    <w:rsid w:val="00167778"/>
    <w:rsid w:val="00167E15"/>
    <w:rsid w:val="001708E1"/>
    <w:rsid w:val="001722D3"/>
    <w:rsid w:val="001763A3"/>
    <w:rsid w:val="0017701B"/>
    <w:rsid w:val="00177909"/>
    <w:rsid w:val="001814C3"/>
    <w:rsid w:val="001818C0"/>
    <w:rsid w:val="00181BD7"/>
    <w:rsid w:val="001841D9"/>
    <w:rsid w:val="00184C15"/>
    <w:rsid w:val="00185200"/>
    <w:rsid w:val="00187AB4"/>
    <w:rsid w:val="00190DB7"/>
    <w:rsid w:val="001910D8"/>
    <w:rsid w:val="00191263"/>
    <w:rsid w:val="00191706"/>
    <w:rsid w:val="00191EE1"/>
    <w:rsid w:val="001920DA"/>
    <w:rsid w:val="00193494"/>
    <w:rsid w:val="00196147"/>
    <w:rsid w:val="001A07EE"/>
    <w:rsid w:val="001A0C24"/>
    <w:rsid w:val="001A2699"/>
    <w:rsid w:val="001A2D7A"/>
    <w:rsid w:val="001A6D6F"/>
    <w:rsid w:val="001B2770"/>
    <w:rsid w:val="001B3B94"/>
    <w:rsid w:val="001B43A9"/>
    <w:rsid w:val="001B44CE"/>
    <w:rsid w:val="001B485F"/>
    <w:rsid w:val="001B4AC5"/>
    <w:rsid w:val="001B63A8"/>
    <w:rsid w:val="001B723B"/>
    <w:rsid w:val="001C07C7"/>
    <w:rsid w:val="001C353C"/>
    <w:rsid w:val="001C75A7"/>
    <w:rsid w:val="001D15E2"/>
    <w:rsid w:val="001D24BB"/>
    <w:rsid w:val="001D5077"/>
    <w:rsid w:val="001D50EB"/>
    <w:rsid w:val="001D6ED7"/>
    <w:rsid w:val="001E053C"/>
    <w:rsid w:val="001E394D"/>
    <w:rsid w:val="001E3B20"/>
    <w:rsid w:val="001E40A4"/>
    <w:rsid w:val="001E4A9F"/>
    <w:rsid w:val="001E5080"/>
    <w:rsid w:val="001E52C9"/>
    <w:rsid w:val="001E589F"/>
    <w:rsid w:val="001E61D6"/>
    <w:rsid w:val="001E6F0D"/>
    <w:rsid w:val="001E7313"/>
    <w:rsid w:val="001F24ED"/>
    <w:rsid w:val="001F429B"/>
    <w:rsid w:val="001F43C6"/>
    <w:rsid w:val="001F4C63"/>
    <w:rsid w:val="001F7E31"/>
    <w:rsid w:val="0020567D"/>
    <w:rsid w:val="002056F9"/>
    <w:rsid w:val="00207722"/>
    <w:rsid w:val="00207CB8"/>
    <w:rsid w:val="0021191D"/>
    <w:rsid w:val="00212540"/>
    <w:rsid w:val="002127B2"/>
    <w:rsid w:val="00213DEE"/>
    <w:rsid w:val="002156C6"/>
    <w:rsid w:val="00216329"/>
    <w:rsid w:val="002163AB"/>
    <w:rsid w:val="0021713D"/>
    <w:rsid w:val="00221E4B"/>
    <w:rsid w:val="002243F2"/>
    <w:rsid w:val="0022536C"/>
    <w:rsid w:val="0022707F"/>
    <w:rsid w:val="00230AD8"/>
    <w:rsid w:val="002312D8"/>
    <w:rsid w:val="00231CB7"/>
    <w:rsid w:val="00234385"/>
    <w:rsid w:val="00234F98"/>
    <w:rsid w:val="002358A3"/>
    <w:rsid w:val="0023638E"/>
    <w:rsid w:val="00240FC2"/>
    <w:rsid w:val="00241302"/>
    <w:rsid w:val="002465DB"/>
    <w:rsid w:val="00246854"/>
    <w:rsid w:val="0024689F"/>
    <w:rsid w:val="002476B5"/>
    <w:rsid w:val="002479FE"/>
    <w:rsid w:val="00247AB8"/>
    <w:rsid w:val="00254538"/>
    <w:rsid w:val="00255923"/>
    <w:rsid w:val="002635DF"/>
    <w:rsid w:val="00264FFB"/>
    <w:rsid w:val="0026541B"/>
    <w:rsid w:val="00265978"/>
    <w:rsid w:val="00281424"/>
    <w:rsid w:val="00281809"/>
    <w:rsid w:val="002860D2"/>
    <w:rsid w:val="00287945"/>
    <w:rsid w:val="002931F6"/>
    <w:rsid w:val="002945E5"/>
    <w:rsid w:val="002A0008"/>
    <w:rsid w:val="002A0921"/>
    <w:rsid w:val="002A0A11"/>
    <w:rsid w:val="002A13E9"/>
    <w:rsid w:val="002A163B"/>
    <w:rsid w:val="002A168D"/>
    <w:rsid w:val="002A446A"/>
    <w:rsid w:val="002A4A75"/>
    <w:rsid w:val="002A5617"/>
    <w:rsid w:val="002A6EB3"/>
    <w:rsid w:val="002A7057"/>
    <w:rsid w:val="002B186A"/>
    <w:rsid w:val="002B4A4B"/>
    <w:rsid w:val="002B6B66"/>
    <w:rsid w:val="002C0560"/>
    <w:rsid w:val="002C17AB"/>
    <w:rsid w:val="002C1DE8"/>
    <w:rsid w:val="002C2C53"/>
    <w:rsid w:val="002C7825"/>
    <w:rsid w:val="002E322A"/>
    <w:rsid w:val="002E35C4"/>
    <w:rsid w:val="002E4A64"/>
    <w:rsid w:val="002E4DCA"/>
    <w:rsid w:val="002E7ADA"/>
    <w:rsid w:val="002F34ED"/>
    <w:rsid w:val="002F3755"/>
    <w:rsid w:val="002F4C86"/>
    <w:rsid w:val="003006C3"/>
    <w:rsid w:val="00301910"/>
    <w:rsid w:val="00301CAD"/>
    <w:rsid w:val="00301E85"/>
    <w:rsid w:val="00302514"/>
    <w:rsid w:val="00303BDF"/>
    <w:rsid w:val="00307917"/>
    <w:rsid w:val="00310180"/>
    <w:rsid w:val="00312BCA"/>
    <w:rsid w:val="00316329"/>
    <w:rsid w:val="00316D33"/>
    <w:rsid w:val="0032789C"/>
    <w:rsid w:val="003300D6"/>
    <w:rsid w:val="00333844"/>
    <w:rsid w:val="0033399E"/>
    <w:rsid w:val="00334C4B"/>
    <w:rsid w:val="00334E2D"/>
    <w:rsid w:val="00337E6B"/>
    <w:rsid w:val="00343810"/>
    <w:rsid w:val="00345884"/>
    <w:rsid w:val="00345E9C"/>
    <w:rsid w:val="00350721"/>
    <w:rsid w:val="003529C1"/>
    <w:rsid w:val="00352DA6"/>
    <w:rsid w:val="003536DC"/>
    <w:rsid w:val="00356036"/>
    <w:rsid w:val="00363DBF"/>
    <w:rsid w:val="003677F4"/>
    <w:rsid w:val="00367EAB"/>
    <w:rsid w:val="003705B1"/>
    <w:rsid w:val="003715C1"/>
    <w:rsid w:val="00371D98"/>
    <w:rsid w:val="00371F86"/>
    <w:rsid w:val="0037368A"/>
    <w:rsid w:val="0037444C"/>
    <w:rsid w:val="00375107"/>
    <w:rsid w:val="0037517D"/>
    <w:rsid w:val="0037674C"/>
    <w:rsid w:val="00380385"/>
    <w:rsid w:val="00380E37"/>
    <w:rsid w:val="00382701"/>
    <w:rsid w:val="003830C1"/>
    <w:rsid w:val="00384E3C"/>
    <w:rsid w:val="0039130B"/>
    <w:rsid w:val="00393589"/>
    <w:rsid w:val="00393A4C"/>
    <w:rsid w:val="00395065"/>
    <w:rsid w:val="003A1DB9"/>
    <w:rsid w:val="003A4702"/>
    <w:rsid w:val="003A5D76"/>
    <w:rsid w:val="003A7E5C"/>
    <w:rsid w:val="003B008A"/>
    <w:rsid w:val="003B2B02"/>
    <w:rsid w:val="003B3937"/>
    <w:rsid w:val="003C5746"/>
    <w:rsid w:val="003C6195"/>
    <w:rsid w:val="003C637D"/>
    <w:rsid w:val="003D1A22"/>
    <w:rsid w:val="003D4606"/>
    <w:rsid w:val="003E074D"/>
    <w:rsid w:val="003E07BD"/>
    <w:rsid w:val="003E49E2"/>
    <w:rsid w:val="003E4AF6"/>
    <w:rsid w:val="003E6C02"/>
    <w:rsid w:val="003F0D67"/>
    <w:rsid w:val="003F1403"/>
    <w:rsid w:val="003F2602"/>
    <w:rsid w:val="003F4084"/>
    <w:rsid w:val="003F5EB6"/>
    <w:rsid w:val="003F6A07"/>
    <w:rsid w:val="003F77E0"/>
    <w:rsid w:val="00400057"/>
    <w:rsid w:val="00402DDD"/>
    <w:rsid w:val="004104B2"/>
    <w:rsid w:val="00410993"/>
    <w:rsid w:val="004109FD"/>
    <w:rsid w:val="00412F49"/>
    <w:rsid w:val="0041394C"/>
    <w:rsid w:val="00414F07"/>
    <w:rsid w:val="00417C8A"/>
    <w:rsid w:val="00421FA9"/>
    <w:rsid w:val="00431AF5"/>
    <w:rsid w:val="00435788"/>
    <w:rsid w:val="00437E83"/>
    <w:rsid w:val="004402C2"/>
    <w:rsid w:val="004424D6"/>
    <w:rsid w:val="004425F9"/>
    <w:rsid w:val="00442935"/>
    <w:rsid w:val="0044422F"/>
    <w:rsid w:val="00444F85"/>
    <w:rsid w:val="0044683D"/>
    <w:rsid w:val="004544AC"/>
    <w:rsid w:val="00461637"/>
    <w:rsid w:val="0046167C"/>
    <w:rsid w:val="00462FF1"/>
    <w:rsid w:val="004636AA"/>
    <w:rsid w:val="0046423C"/>
    <w:rsid w:val="00464A1A"/>
    <w:rsid w:val="00467AF4"/>
    <w:rsid w:val="004703DF"/>
    <w:rsid w:val="00470BF4"/>
    <w:rsid w:val="00470C84"/>
    <w:rsid w:val="00471407"/>
    <w:rsid w:val="00472076"/>
    <w:rsid w:val="004738C7"/>
    <w:rsid w:val="00474D71"/>
    <w:rsid w:val="00475E70"/>
    <w:rsid w:val="00476C0B"/>
    <w:rsid w:val="00477EFE"/>
    <w:rsid w:val="00480823"/>
    <w:rsid w:val="0048368B"/>
    <w:rsid w:val="00485280"/>
    <w:rsid w:val="00485E04"/>
    <w:rsid w:val="0048747B"/>
    <w:rsid w:val="00495084"/>
    <w:rsid w:val="00497699"/>
    <w:rsid w:val="00497DB2"/>
    <w:rsid w:val="004A236E"/>
    <w:rsid w:val="004A3F25"/>
    <w:rsid w:val="004A694A"/>
    <w:rsid w:val="004A763D"/>
    <w:rsid w:val="004B045A"/>
    <w:rsid w:val="004B4125"/>
    <w:rsid w:val="004B5136"/>
    <w:rsid w:val="004C0238"/>
    <w:rsid w:val="004C11F5"/>
    <w:rsid w:val="004C3107"/>
    <w:rsid w:val="004C72EB"/>
    <w:rsid w:val="004D0EA8"/>
    <w:rsid w:val="004D1B4D"/>
    <w:rsid w:val="004D314A"/>
    <w:rsid w:val="004D61CE"/>
    <w:rsid w:val="004D66E3"/>
    <w:rsid w:val="004D78EB"/>
    <w:rsid w:val="004E17C8"/>
    <w:rsid w:val="004E1AB8"/>
    <w:rsid w:val="004E6F9E"/>
    <w:rsid w:val="004F0F13"/>
    <w:rsid w:val="004F13A2"/>
    <w:rsid w:val="004F556D"/>
    <w:rsid w:val="004F7507"/>
    <w:rsid w:val="0050274F"/>
    <w:rsid w:val="005039B0"/>
    <w:rsid w:val="005041C0"/>
    <w:rsid w:val="00506285"/>
    <w:rsid w:val="00515BB3"/>
    <w:rsid w:val="00524FD6"/>
    <w:rsid w:val="00527FB3"/>
    <w:rsid w:val="005319AA"/>
    <w:rsid w:val="005328A6"/>
    <w:rsid w:val="00534F97"/>
    <w:rsid w:val="0053504E"/>
    <w:rsid w:val="00536FBF"/>
    <w:rsid w:val="0054018C"/>
    <w:rsid w:val="00540BF1"/>
    <w:rsid w:val="00540C3C"/>
    <w:rsid w:val="005433F9"/>
    <w:rsid w:val="00544130"/>
    <w:rsid w:val="00555D18"/>
    <w:rsid w:val="0056065C"/>
    <w:rsid w:val="0056084F"/>
    <w:rsid w:val="00561D65"/>
    <w:rsid w:val="00563C81"/>
    <w:rsid w:val="00565BC1"/>
    <w:rsid w:val="0057066B"/>
    <w:rsid w:val="00570D87"/>
    <w:rsid w:val="005724DC"/>
    <w:rsid w:val="00572BAD"/>
    <w:rsid w:val="00573BCB"/>
    <w:rsid w:val="00573F13"/>
    <w:rsid w:val="00575C01"/>
    <w:rsid w:val="0058045E"/>
    <w:rsid w:val="00581173"/>
    <w:rsid w:val="00583B02"/>
    <w:rsid w:val="00583CCB"/>
    <w:rsid w:val="00586C3A"/>
    <w:rsid w:val="0059001D"/>
    <w:rsid w:val="00591584"/>
    <w:rsid w:val="00593693"/>
    <w:rsid w:val="005940C0"/>
    <w:rsid w:val="00594A03"/>
    <w:rsid w:val="00594CDD"/>
    <w:rsid w:val="005A03CF"/>
    <w:rsid w:val="005A32FB"/>
    <w:rsid w:val="005A3E6E"/>
    <w:rsid w:val="005A6C4A"/>
    <w:rsid w:val="005A7A4A"/>
    <w:rsid w:val="005B1132"/>
    <w:rsid w:val="005B3B7E"/>
    <w:rsid w:val="005B55B8"/>
    <w:rsid w:val="005C3A22"/>
    <w:rsid w:val="005C54A7"/>
    <w:rsid w:val="005C5665"/>
    <w:rsid w:val="005C6F10"/>
    <w:rsid w:val="005D064C"/>
    <w:rsid w:val="005D2BBA"/>
    <w:rsid w:val="005D2F62"/>
    <w:rsid w:val="005D4ED4"/>
    <w:rsid w:val="005D5021"/>
    <w:rsid w:val="005E0FFD"/>
    <w:rsid w:val="005E305B"/>
    <w:rsid w:val="005E41C6"/>
    <w:rsid w:val="005E4A7D"/>
    <w:rsid w:val="005E5DA3"/>
    <w:rsid w:val="005E68E7"/>
    <w:rsid w:val="005F5691"/>
    <w:rsid w:val="00601737"/>
    <w:rsid w:val="00601BAC"/>
    <w:rsid w:val="006044B9"/>
    <w:rsid w:val="00605E17"/>
    <w:rsid w:val="006120C0"/>
    <w:rsid w:val="006156AC"/>
    <w:rsid w:val="0061758A"/>
    <w:rsid w:val="00622303"/>
    <w:rsid w:val="00625BC2"/>
    <w:rsid w:val="00626610"/>
    <w:rsid w:val="00630D2B"/>
    <w:rsid w:val="00633C9D"/>
    <w:rsid w:val="00634CC1"/>
    <w:rsid w:val="00634D18"/>
    <w:rsid w:val="006351A3"/>
    <w:rsid w:val="0063604B"/>
    <w:rsid w:val="00636789"/>
    <w:rsid w:val="00636BFC"/>
    <w:rsid w:val="0064310D"/>
    <w:rsid w:val="00643D55"/>
    <w:rsid w:val="00646C7D"/>
    <w:rsid w:val="006477A4"/>
    <w:rsid w:val="00647DC2"/>
    <w:rsid w:val="00657206"/>
    <w:rsid w:val="00660419"/>
    <w:rsid w:val="00660B88"/>
    <w:rsid w:val="00670931"/>
    <w:rsid w:val="00671AAF"/>
    <w:rsid w:val="006725B3"/>
    <w:rsid w:val="00675C4B"/>
    <w:rsid w:val="00676465"/>
    <w:rsid w:val="00680A85"/>
    <w:rsid w:val="0068102A"/>
    <w:rsid w:val="00681A4A"/>
    <w:rsid w:val="00681F7E"/>
    <w:rsid w:val="0068376C"/>
    <w:rsid w:val="006839B6"/>
    <w:rsid w:val="006933D5"/>
    <w:rsid w:val="00694B34"/>
    <w:rsid w:val="00696477"/>
    <w:rsid w:val="006968B8"/>
    <w:rsid w:val="006A042B"/>
    <w:rsid w:val="006A0D9A"/>
    <w:rsid w:val="006A1906"/>
    <w:rsid w:val="006A618D"/>
    <w:rsid w:val="006A7B81"/>
    <w:rsid w:val="006B183A"/>
    <w:rsid w:val="006B6B67"/>
    <w:rsid w:val="006C1569"/>
    <w:rsid w:val="006C42FB"/>
    <w:rsid w:val="006C5FEF"/>
    <w:rsid w:val="006D13AE"/>
    <w:rsid w:val="006D5B63"/>
    <w:rsid w:val="006E141D"/>
    <w:rsid w:val="006E2128"/>
    <w:rsid w:val="006E4F48"/>
    <w:rsid w:val="006E64A5"/>
    <w:rsid w:val="006E6C77"/>
    <w:rsid w:val="006E797A"/>
    <w:rsid w:val="006F08AF"/>
    <w:rsid w:val="006F0A0C"/>
    <w:rsid w:val="006F2510"/>
    <w:rsid w:val="006F2D76"/>
    <w:rsid w:val="006F42A5"/>
    <w:rsid w:val="006F689E"/>
    <w:rsid w:val="006F7E8E"/>
    <w:rsid w:val="007000F9"/>
    <w:rsid w:val="007008DB"/>
    <w:rsid w:val="00702458"/>
    <w:rsid w:val="00705FF1"/>
    <w:rsid w:val="00707395"/>
    <w:rsid w:val="00712DEF"/>
    <w:rsid w:val="007159AC"/>
    <w:rsid w:val="00715A1C"/>
    <w:rsid w:val="0072052D"/>
    <w:rsid w:val="007210DB"/>
    <w:rsid w:val="00721BF4"/>
    <w:rsid w:val="00727E2C"/>
    <w:rsid w:val="00730857"/>
    <w:rsid w:val="00735F71"/>
    <w:rsid w:val="00737899"/>
    <w:rsid w:val="00743C5C"/>
    <w:rsid w:val="00743E6F"/>
    <w:rsid w:val="00746B00"/>
    <w:rsid w:val="00755640"/>
    <w:rsid w:val="00757BAC"/>
    <w:rsid w:val="00761AF4"/>
    <w:rsid w:val="00762B5C"/>
    <w:rsid w:val="00764D8C"/>
    <w:rsid w:val="0077013C"/>
    <w:rsid w:val="0077086E"/>
    <w:rsid w:val="00772AC2"/>
    <w:rsid w:val="00773A2F"/>
    <w:rsid w:val="00773E8F"/>
    <w:rsid w:val="00775269"/>
    <w:rsid w:val="007779D7"/>
    <w:rsid w:val="00777C1A"/>
    <w:rsid w:val="00780268"/>
    <w:rsid w:val="007822C3"/>
    <w:rsid w:val="00782B63"/>
    <w:rsid w:val="007830B5"/>
    <w:rsid w:val="0079012B"/>
    <w:rsid w:val="00795F7A"/>
    <w:rsid w:val="007A0365"/>
    <w:rsid w:val="007A06F3"/>
    <w:rsid w:val="007A16F0"/>
    <w:rsid w:val="007A1DDD"/>
    <w:rsid w:val="007A5361"/>
    <w:rsid w:val="007B2102"/>
    <w:rsid w:val="007B2872"/>
    <w:rsid w:val="007B33F2"/>
    <w:rsid w:val="007B76DC"/>
    <w:rsid w:val="007C27C7"/>
    <w:rsid w:val="007C5716"/>
    <w:rsid w:val="007D4361"/>
    <w:rsid w:val="007D7005"/>
    <w:rsid w:val="007E14F4"/>
    <w:rsid w:val="007E765C"/>
    <w:rsid w:val="007F0976"/>
    <w:rsid w:val="007F1EF9"/>
    <w:rsid w:val="007F26F9"/>
    <w:rsid w:val="007F2813"/>
    <w:rsid w:val="007F2B18"/>
    <w:rsid w:val="007F372D"/>
    <w:rsid w:val="007F3BB0"/>
    <w:rsid w:val="007F7A17"/>
    <w:rsid w:val="007F7ADC"/>
    <w:rsid w:val="00801A6C"/>
    <w:rsid w:val="00804E3D"/>
    <w:rsid w:val="00806292"/>
    <w:rsid w:val="008105D4"/>
    <w:rsid w:val="008125CD"/>
    <w:rsid w:val="00815230"/>
    <w:rsid w:val="008163D9"/>
    <w:rsid w:val="008167D4"/>
    <w:rsid w:val="0082016A"/>
    <w:rsid w:val="00820E54"/>
    <w:rsid w:val="0082176B"/>
    <w:rsid w:val="00821954"/>
    <w:rsid w:val="00822072"/>
    <w:rsid w:val="00822430"/>
    <w:rsid w:val="008231ED"/>
    <w:rsid w:val="0082403F"/>
    <w:rsid w:val="008249F4"/>
    <w:rsid w:val="00826845"/>
    <w:rsid w:val="008304B2"/>
    <w:rsid w:val="00831EC3"/>
    <w:rsid w:val="008325F0"/>
    <w:rsid w:val="00835206"/>
    <w:rsid w:val="00841A75"/>
    <w:rsid w:val="00841D23"/>
    <w:rsid w:val="00842C80"/>
    <w:rsid w:val="0084505D"/>
    <w:rsid w:val="0084613D"/>
    <w:rsid w:val="00846817"/>
    <w:rsid w:val="00850611"/>
    <w:rsid w:val="008557E8"/>
    <w:rsid w:val="00856AC4"/>
    <w:rsid w:val="00863478"/>
    <w:rsid w:val="008637A5"/>
    <w:rsid w:val="00863945"/>
    <w:rsid w:val="00863A88"/>
    <w:rsid w:val="00865B01"/>
    <w:rsid w:val="008663B7"/>
    <w:rsid w:val="00866680"/>
    <w:rsid w:val="00866B25"/>
    <w:rsid w:val="0087134A"/>
    <w:rsid w:val="00872FB7"/>
    <w:rsid w:val="00873A45"/>
    <w:rsid w:val="008773F7"/>
    <w:rsid w:val="008806CA"/>
    <w:rsid w:val="008833D3"/>
    <w:rsid w:val="0088347A"/>
    <w:rsid w:val="00886234"/>
    <w:rsid w:val="00886634"/>
    <w:rsid w:val="00887B85"/>
    <w:rsid w:val="008903D4"/>
    <w:rsid w:val="008932B0"/>
    <w:rsid w:val="00894012"/>
    <w:rsid w:val="00894C40"/>
    <w:rsid w:val="0089713E"/>
    <w:rsid w:val="008A4600"/>
    <w:rsid w:val="008A5161"/>
    <w:rsid w:val="008A69CB"/>
    <w:rsid w:val="008B0D68"/>
    <w:rsid w:val="008B111C"/>
    <w:rsid w:val="008B43D4"/>
    <w:rsid w:val="008B7749"/>
    <w:rsid w:val="008C1B93"/>
    <w:rsid w:val="008C4E5B"/>
    <w:rsid w:val="008C7E8C"/>
    <w:rsid w:val="008D0F69"/>
    <w:rsid w:val="008D4197"/>
    <w:rsid w:val="008D45A0"/>
    <w:rsid w:val="008D503F"/>
    <w:rsid w:val="008D5CD0"/>
    <w:rsid w:val="008D7B31"/>
    <w:rsid w:val="008E07EA"/>
    <w:rsid w:val="008E07F0"/>
    <w:rsid w:val="008E19EE"/>
    <w:rsid w:val="008F07DF"/>
    <w:rsid w:val="008F0E8B"/>
    <w:rsid w:val="009003F1"/>
    <w:rsid w:val="0090287D"/>
    <w:rsid w:val="00906660"/>
    <w:rsid w:val="009067B2"/>
    <w:rsid w:val="00907531"/>
    <w:rsid w:val="00912BD2"/>
    <w:rsid w:val="009130E8"/>
    <w:rsid w:val="0092030F"/>
    <w:rsid w:val="00920E49"/>
    <w:rsid w:val="00922F15"/>
    <w:rsid w:val="00926541"/>
    <w:rsid w:val="009271D3"/>
    <w:rsid w:val="00927255"/>
    <w:rsid w:val="009309E4"/>
    <w:rsid w:val="0093253D"/>
    <w:rsid w:val="00933FD9"/>
    <w:rsid w:val="009363BC"/>
    <w:rsid w:val="00936426"/>
    <w:rsid w:val="00936632"/>
    <w:rsid w:val="009415ED"/>
    <w:rsid w:val="00945616"/>
    <w:rsid w:val="00947D9C"/>
    <w:rsid w:val="00947FE6"/>
    <w:rsid w:val="0095251F"/>
    <w:rsid w:val="009557D2"/>
    <w:rsid w:val="00955B84"/>
    <w:rsid w:val="009568DF"/>
    <w:rsid w:val="009611A8"/>
    <w:rsid w:val="00962489"/>
    <w:rsid w:val="00963185"/>
    <w:rsid w:val="0096450C"/>
    <w:rsid w:val="009659F7"/>
    <w:rsid w:val="00970F9E"/>
    <w:rsid w:val="0097129F"/>
    <w:rsid w:val="00974B7F"/>
    <w:rsid w:val="0097518C"/>
    <w:rsid w:val="009823BD"/>
    <w:rsid w:val="0098612E"/>
    <w:rsid w:val="00986823"/>
    <w:rsid w:val="00990D20"/>
    <w:rsid w:val="009924D5"/>
    <w:rsid w:val="009925CC"/>
    <w:rsid w:val="00993077"/>
    <w:rsid w:val="00994EB1"/>
    <w:rsid w:val="00995623"/>
    <w:rsid w:val="009A05BB"/>
    <w:rsid w:val="009A19C3"/>
    <w:rsid w:val="009A21DA"/>
    <w:rsid w:val="009A3EC8"/>
    <w:rsid w:val="009A4243"/>
    <w:rsid w:val="009A5165"/>
    <w:rsid w:val="009A5E9D"/>
    <w:rsid w:val="009B53DB"/>
    <w:rsid w:val="009B55F5"/>
    <w:rsid w:val="009C16F4"/>
    <w:rsid w:val="009C1ECA"/>
    <w:rsid w:val="009C3B05"/>
    <w:rsid w:val="009C725B"/>
    <w:rsid w:val="009C76D3"/>
    <w:rsid w:val="009C7A37"/>
    <w:rsid w:val="009D1B96"/>
    <w:rsid w:val="009D3E5A"/>
    <w:rsid w:val="009D43DC"/>
    <w:rsid w:val="009D5067"/>
    <w:rsid w:val="009D508E"/>
    <w:rsid w:val="009D5465"/>
    <w:rsid w:val="009D5C27"/>
    <w:rsid w:val="009D6BDE"/>
    <w:rsid w:val="009D7397"/>
    <w:rsid w:val="009D744F"/>
    <w:rsid w:val="009E09EE"/>
    <w:rsid w:val="009E6D86"/>
    <w:rsid w:val="009E7112"/>
    <w:rsid w:val="009F0FD1"/>
    <w:rsid w:val="009F1CA3"/>
    <w:rsid w:val="009F5CDD"/>
    <w:rsid w:val="009F6592"/>
    <w:rsid w:val="00A102D5"/>
    <w:rsid w:val="00A11029"/>
    <w:rsid w:val="00A1274F"/>
    <w:rsid w:val="00A153AE"/>
    <w:rsid w:val="00A15C91"/>
    <w:rsid w:val="00A15D77"/>
    <w:rsid w:val="00A2031E"/>
    <w:rsid w:val="00A20A17"/>
    <w:rsid w:val="00A20F2A"/>
    <w:rsid w:val="00A216B1"/>
    <w:rsid w:val="00A22AB8"/>
    <w:rsid w:val="00A236C4"/>
    <w:rsid w:val="00A23D3B"/>
    <w:rsid w:val="00A247B1"/>
    <w:rsid w:val="00A26379"/>
    <w:rsid w:val="00A27EE2"/>
    <w:rsid w:val="00A33C21"/>
    <w:rsid w:val="00A34BD3"/>
    <w:rsid w:val="00A415C8"/>
    <w:rsid w:val="00A42B9E"/>
    <w:rsid w:val="00A43AAB"/>
    <w:rsid w:val="00A46169"/>
    <w:rsid w:val="00A51A3C"/>
    <w:rsid w:val="00A51DFA"/>
    <w:rsid w:val="00A52E71"/>
    <w:rsid w:val="00A55F87"/>
    <w:rsid w:val="00A608E4"/>
    <w:rsid w:val="00A6242E"/>
    <w:rsid w:val="00A635F6"/>
    <w:rsid w:val="00A64E3D"/>
    <w:rsid w:val="00A711A7"/>
    <w:rsid w:val="00A7154B"/>
    <w:rsid w:val="00A72B06"/>
    <w:rsid w:val="00A72BC7"/>
    <w:rsid w:val="00A73BEB"/>
    <w:rsid w:val="00A748ED"/>
    <w:rsid w:val="00A74DA8"/>
    <w:rsid w:val="00A7572E"/>
    <w:rsid w:val="00A77233"/>
    <w:rsid w:val="00A90244"/>
    <w:rsid w:val="00A9044C"/>
    <w:rsid w:val="00A90951"/>
    <w:rsid w:val="00A9106B"/>
    <w:rsid w:val="00A91F9A"/>
    <w:rsid w:val="00A95DBC"/>
    <w:rsid w:val="00A97582"/>
    <w:rsid w:val="00AA17DC"/>
    <w:rsid w:val="00AA23B3"/>
    <w:rsid w:val="00AA4012"/>
    <w:rsid w:val="00AA4EE9"/>
    <w:rsid w:val="00AA7F98"/>
    <w:rsid w:val="00AB1227"/>
    <w:rsid w:val="00AB29D3"/>
    <w:rsid w:val="00AB3266"/>
    <w:rsid w:val="00AB39F3"/>
    <w:rsid w:val="00AB6628"/>
    <w:rsid w:val="00AC13AE"/>
    <w:rsid w:val="00AC2836"/>
    <w:rsid w:val="00AC2B19"/>
    <w:rsid w:val="00AC2EA6"/>
    <w:rsid w:val="00AC3B05"/>
    <w:rsid w:val="00AC4A89"/>
    <w:rsid w:val="00AC62FC"/>
    <w:rsid w:val="00AD02B6"/>
    <w:rsid w:val="00AD13BA"/>
    <w:rsid w:val="00AD4A91"/>
    <w:rsid w:val="00AD5395"/>
    <w:rsid w:val="00AE2ED6"/>
    <w:rsid w:val="00AE5D65"/>
    <w:rsid w:val="00AE73AF"/>
    <w:rsid w:val="00AF003D"/>
    <w:rsid w:val="00AF0CED"/>
    <w:rsid w:val="00AF44A6"/>
    <w:rsid w:val="00AF4A99"/>
    <w:rsid w:val="00AF71B0"/>
    <w:rsid w:val="00B00F7A"/>
    <w:rsid w:val="00B018BE"/>
    <w:rsid w:val="00B0332B"/>
    <w:rsid w:val="00B07E6E"/>
    <w:rsid w:val="00B126D9"/>
    <w:rsid w:val="00B12ECD"/>
    <w:rsid w:val="00B12F7A"/>
    <w:rsid w:val="00B14143"/>
    <w:rsid w:val="00B2037E"/>
    <w:rsid w:val="00B26709"/>
    <w:rsid w:val="00B3313A"/>
    <w:rsid w:val="00B34302"/>
    <w:rsid w:val="00B36043"/>
    <w:rsid w:val="00B37E7D"/>
    <w:rsid w:val="00B40DE1"/>
    <w:rsid w:val="00B443FA"/>
    <w:rsid w:val="00B45BC0"/>
    <w:rsid w:val="00B4634E"/>
    <w:rsid w:val="00B510C8"/>
    <w:rsid w:val="00B52F87"/>
    <w:rsid w:val="00B55791"/>
    <w:rsid w:val="00B578DC"/>
    <w:rsid w:val="00B63318"/>
    <w:rsid w:val="00B6726F"/>
    <w:rsid w:val="00B67D7A"/>
    <w:rsid w:val="00B75866"/>
    <w:rsid w:val="00B76882"/>
    <w:rsid w:val="00B84532"/>
    <w:rsid w:val="00B853C0"/>
    <w:rsid w:val="00B86DC9"/>
    <w:rsid w:val="00B86F4F"/>
    <w:rsid w:val="00B9420B"/>
    <w:rsid w:val="00B94480"/>
    <w:rsid w:val="00BA2AAA"/>
    <w:rsid w:val="00BA5550"/>
    <w:rsid w:val="00BA6BEA"/>
    <w:rsid w:val="00BB09FD"/>
    <w:rsid w:val="00BB0A07"/>
    <w:rsid w:val="00BB18BA"/>
    <w:rsid w:val="00BB27A8"/>
    <w:rsid w:val="00BB2A8B"/>
    <w:rsid w:val="00BB4352"/>
    <w:rsid w:val="00BB5323"/>
    <w:rsid w:val="00BB5A91"/>
    <w:rsid w:val="00BB71E1"/>
    <w:rsid w:val="00BC02D7"/>
    <w:rsid w:val="00BC5169"/>
    <w:rsid w:val="00BC5AD3"/>
    <w:rsid w:val="00BD38C8"/>
    <w:rsid w:val="00BD3DBB"/>
    <w:rsid w:val="00BD6280"/>
    <w:rsid w:val="00BE10F8"/>
    <w:rsid w:val="00BE1DB1"/>
    <w:rsid w:val="00BE4249"/>
    <w:rsid w:val="00BE4A79"/>
    <w:rsid w:val="00BE6FA5"/>
    <w:rsid w:val="00BF0038"/>
    <w:rsid w:val="00BF0F90"/>
    <w:rsid w:val="00BF52D0"/>
    <w:rsid w:val="00BF57C0"/>
    <w:rsid w:val="00C0353F"/>
    <w:rsid w:val="00C036EC"/>
    <w:rsid w:val="00C053D6"/>
    <w:rsid w:val="00C0598F"/>
    <w:rsid w:val="00C064ED"/>
    <w:rsid w:val="00C10039"/>
    <w:rsid w:val="00C10130"/>
    <w:rsid w:val="00C10C3B"/>
    <w:rsid w:val="00C120BD"/>
    <w:rsid w:val="00C13CF5"/>
    <w:rsid w:val="00C13D00"/>
    <w:rsid w:val="00C13F0F"/>
    <w:rsid w:val="00C1781A"/>
    <w:rsid w:val="00C17B4C"/>
    <w:rsid w:val="00C20DC8"/>
    <w:rsid w:val="00C23B64"/>
    <w:rsid w:val="00C24EE8"/>
    <w:rsid w:val="00C2593F"/>
    <w:rsid w:val="00C25D55"/>
    <w:rsid w:val="00C27678"/>
    <w:rsid w:val="00C31EB2"/>
    <w:rsid w:val="00C32985"/>
    <w:rsid w:val="00C329C3"/>
    <w:rsid w:val="00C452D9"/>
    <w:rsid w:val="00C46FFF"/>
    <w:rsid w:val="00C51F28"/>
    <w:rsid w:val="00C52860"/>
    <w:rsid w:val="00C53054"/>
    <w:rsid w:val="00C53102"/>
    <w:rsid w:val="00C55A4D"/>
    <w:rsid w:val="00C63835"/>
    <w:rsid w:val="00C65894"/>
    <w:rsid w:val="00C6623C"/>
    <w:rsid w:val="00C66EE6"/>
    <w:rsid w:val="00C673B6"/>
    <w:rsid w:val="00C70C72"/>
    <w:rsid w:val="00C721C3"/>
    <w:rsid w:val="00C74C32"/>
    <w:rsid w:val="00C77C5D"/>
    <w:rsid w:val="00C81311"/>
    <w:rsid w:val="00C8162E"/>
    <w:rsid w:val="00C83068"/>
    <w:rsid w:val="00C83429"/>
    <w:rsid w:val="00C93022"/>
    <w:rsid w:val="00C95C66"/>
    <w:rsid w:val="00C969F3"/>
    <w:rsid w:val="00CA3B7F"/>
    <w:rsid w:val="00CA42B7"/>
    <w:rsid w:val="00CA45AE"/>
    <w:rsid w:val="00CA4B23"/>
    <w:rsid w:val="00CA6080"/>
    <w:rsid w:val="00CA7348"/>
    <w:rsid w:val="00CA741B"/>
    <w:rsid w:val="00CB16E8"/>
    <w:rsid w:val="00CB1B1D"/>
    <w:rsid w:val="00CB20CD"/>
    <w:rsid w:val="00CB7229"/>
    <w:rsid w:val="00CC0B6D"/>
    <w:rsid w:val="00CC20C2"/>
    <w:rsid w:val="00CC2B80"/>
    <w:rsid w:val="00CC4F72"/>
    <w:rsid w:val="00CC52F5"/>
    <w:rsid w:val="00CC58CA"/>
    <w:rsid w:val="00CC695B"/>
    <w:rsid w:val="00CD1CAB"/>
    <w:rsid w:val="00CD2BEA"/>
    <w:rsid w:val="00CD37DE"/>
    <w:rsid w:val="00CD3E5C"/>
    <w:rsid w:val="00CD4866"/>
    <w:rsid w:val="00CD5C86"/>
    <w:rsid w:val="00CD6AF6"/>
    <w:rsid w:val="00CE3AD7"/>
    <w:rsid w:val="00CE4359"/>
    <w:rsid w:val="00CE50F5"/>
    <w:rsid w:val="00CE6516"/>
    <w:rsid w:val="00CF0B81"/>
    <w:rsid w:val="00CF23F2"/>
    <w:rsid w:val="00CF33C3"/>
    <w:rsid w:val="00CF3D40"/>
    <w:rsid w:val="00CF4CAD"/>
    <w:rsid w:val="00CF4D29"/>
    <w:rsid w:val="00CF704C"/>
    <w:rsid w:val="00CF7525"/>
    <w:rsid w:val="00CF781F"/>
    <w:rsid w:val="00CF7F2A"/>
    <w:rsid w:val="00D0063B"/>
    <w:rsid w:val="00D008A1"/>
    <w:rsid w:val="00D01621"/>
    <w:rsid w:val="00D026F7"/>
    <w:rsid w:val="00D02884"/>
    <w:rsid w:val="00D03847"/>
    <w:rsid w:val="00D05BBB"/>
    <w:rsid w:val="00D064C9"/>
    <w:rsid w:val="00D06E3F"/>
    <w:rsid w:val="00D0725E"/>
    <w:rsid w:val="00D0765D"/>
    <w:rsid w:val="00D11361"/>
    <w:rsid w:val="00D11B36"/>
    <w:rsid w:val="00D11C68"/>
    <w:rsid w:val="00D1373D"/>
    <w:rsid w:val="00D16A33"/>
    <w:rsid w:val="00D200E4"/>
    <w:rsid w:val="00D2049A"/>
    <w:rsid w:val="00D24803"/>
    <w:rsid w:val="00D24C7D"/>
    <w:rsid w:val="00D317F4"/>
    <w:rsid w:val="00D322DB"/>
    <w:rsid w:val="00D332FA"/>
    <w:rsid w:val="00D353FF"/>
    <w:rsid w:val="00D43C16"/>
    <w:rsid w:val="00D5021E"/>
    <w:rsid w:val="00D51448"/>
    <w:rsid w:val="00D51479"/>
    <w:rsid w:val="00D61CFC"/>
    <w:rsid w:val="00D625F8"/>
    <w:rsid w:val="00D62A0E"/>
    <w:rsid w:val="00D64B45"/>
    <w:rsid w:val="00D65AF5"/>
    <w:rsid w:val="00D733F2"/>
    <w:rsid w:val="00D73F4E"/>
    <w:rsid w:val="00D74466"/>
    <w:rsid w:val="00D74A49"/>
    <w:rsid w:val="00D7626D"/>
    <w:rsid w:val="00D77894"/>
    <w:rsid w:val="00D82052"/>
    <w:rsid w:val="00D82CD9"/>
    <w:rsid w:val="00D832F2"/>
    <w:rsid w:val="00D840D8"/>
    <w:rsid w:val="00D869E0"/>
    <w:rsid w:val="00D91DE2"/>
    <w:rsid w:val="00D93673"/>
    <w:rsid w:val="00D96954"/>
    <w:rsid w:val="00DA012B"/>
    <w:rsid w:val="00DA204D"/>
    <w:rsid w:val="00DA4D0F"/>
    <w:rsid w:val="00DA4EC4"/>
    <w:rsid w:val="00DA55DB"/>
    <w:rsid w:val="00DA5D11"/>
    <w:rsid w:val="00DA7361"/>
    <w:rsid w:val="00DA7BFE"/>
    <w:rsid w:val="00DB42BD"/>
    <w:rsid w:val="00DB6291"/>
    <w:rsid w:val="00DB65D0"/>
    <w:rsid w:val="00DC10A7"/>
    <w:rsid w:val="00DC294E"/>
    <w:rsid w:val="00DC2DEF"/>
    <w:rsid w:val="00DC4A80"/>
    <w:rsid w:val="00DC76EE"/>
    <w:rsid w:val="00DD29D3"/>
    <w:rsid w:val="00DD4B24"/>
    <w:rsid w:val="00DD73C3"/>
    <w:rsid w:val="00DE0336"/>
    <w:rsid w:val="00DE0E5F"/>
    <w:rsid w:val="00DE12F4"/>
    <w:rsid w:val="00DE1DFC"/>
    <w:rsid w:val="00DF1D0C"/>
    <w:rsid w:val="00DF3C24"/>
    <w:rsid w:val="00DF4624"/>
    <w:rsid w:val="00DF46D3"/>
    <w:rsid w:val="00DF4743"/>
    <w:rsid w:val="00DF626D"/>
    <w:rsid w:val="00DF674D"/>
    <w:rsid w:val="00DF72E0"/>
    <w:rsid w:val="00DF7B2B"/>
    <w:rsid w:val="00E000C0"/>
    <w:rsid w:val="00E00BB5"/>
    <w:rsid w:val="00E0169D"/>
    <w:rsid w:val="00E01909"/>
    <w:rsid w:val="00E01992"/>
    <w:rsid w:val="00E025C2"/>
    <w:rsid w:val="00E02850"/>
    <w:rsid w:val="00E04FDF"/>
    <w:rsid w:val="00E05F15"/>
    <w:rsid w:val="00E0690C"/>
    <w:rsid w:val="00E07D2B"/>
    <w:rsid w:val="00E10659"/>
    <w:rsid w:val="00E10CB3"/>
    <w:rsid w:val="00E11BB8"/>
    <w:rsid w:val="00E12665"/>
    <w:rsid w:val="00E13348"/>
    <w:rsid w:val="00E13504"/>
    <w:rsid w:val="00E13BF7"/>
    <w:rsid w:val="00E149E5"/>
    <w:rsid w:val="00E17D3E"/>
    <w:rsid w:val="00E17D79"/>
    <w:rsid w:val="00E20A02"/>
    <w:rsid w:val="00E21EF5"/>
    <w:rsid w:val="00E2247A"/>
    <w:rsid w:val="00E233CD"/>
    <w:rsid w:val="00E24E60"/>
    <w:rsid w:val="00E24F2B"/>
    <w:rsid w:val="00E30507"/>
    <w:rsid w:val="00E33668"/>
    <w:rsid w:val="00E35F82"/>
    <w:rsid w:val="00E3742A"/>
    <w:rsid w:val="00E375AF"/>
    <w:rsid w:val="00E41672"/>
    <w:rsid w:val="00E41D1C"/>
    <w:rsid w:val="00E42DE4"/>
    <w:rsid w:val="00E44548"/>
    <w:rsid w:val="00E44B08"/>
    <w:rsid w:val="00E46623"/>
    <w:rsid w:val="00E51C1B"/>
    <w:rsid w:val="00E5472A"/>
    <w:rsid w:val="00E57296"/>
    <w:rsid w:val="00E60115"/>
    <w:rsid w:val="00E6060D"/>
    <w:rsid w:val="00E622B2"/>
    <w:rsid w:val="00E6532B"/>
    <w:rsid w:val="00E65A9B"/>
    <w:rsid w:val="00E74B8F"/>
    <w:rsid w:val="00E80805"/>
    <w:rsid w:val="00E82C35"/>
    <w:rsid w:val="00E85789"/>
    <w:rsid w:val="00E91B94"/>
    <w:rsid w:val="00E92A43"/>
    <w:rsid w:val="00E95D31"/>
    <w:rsid w:val="00EA430C"/>
    <w:rsid w:val="00EA4736"/>
    <w:rsid w:val="00EA559B"/>
    <w:rsid w:val="00EA5D00"/>
    <w:rsid w:val="00EA62B8"/>
    <w:rsid w:val="00EA6A0D"/>
    <w:rsid w:val="00EA6B0D"/>
    <w:rsid w:val="00EA79C8"/>
    <w:rsid w:val="00EB32E5"/>
    <w:rsid w:val="00EB4210"/>
    <w:rsid w:val="00EB486B"/>
    <w:rsid w:val="00EB6972"/>
    <w:rsid w:val="00EC080E"/>
    <w:rsid w:val="00EC0F84"/>
    <w:rsid w:val="00EC155E"/>
    <w:rsid w:val="00EC2414"/>
    <w:rsid w:val="00EC3182"/>
    <w:rsid w:val="00EC38D9"/>
    <w:rsid w:val="00EC4BE7"/>
    <w:rsid w:val="00EC53E2"/>
    <w:rsid w:val="00EC7697"/>
    <w:rsid w:val="00ED23BB"/>
    <w:rsid w:val="00ED2AD2"/>
    <w:rsid w:val="00ED2BBA"/>
    <w:rsid w:val="00ED4501"/>
    <w:rsid w:val="00ED4E6A"/>
    <w:rsid w:val="00EE1496"/>
    <w:rsid w:val="00EE1853"/>
    <w:rsid w:val="00EE2615"/>
    <w:rsid w:val="00EE2CF8"/>
    <w:rsid w:val="00EE3970"/>
    <w:rsid w:val="00EE4538"/>
    <w:rsid w:val="00EE54FE"/>
    <w:rsid w:val="00EE5CFA"/>
    <w:rsid w:val="00EE5E15"/>
    <w:rsid w:val="00EF0226"/>
    <w:rsid w:val="00EF03E2"/>
    <w:rsid w:val="00EF0674"/>
    <w:rsid w:val="00EF3BF6"/>
    <w:rsid w:val="00EF42C9"/>
    <w:rsid w:val="00EF6B81"/>
    <w:rsid w:val="00EF734B"/>
    <w:rsid w:val="00F008FC"/>
    <w:rsid w:val="00F00B93"/>
    <w:rsid w:val="00F01C96"/>
    <w:rsid w:val="00F05006"/>
    <w:rsid w:val="00F059EC"/>
    <w:rsid w:val="00F0661F"/>
    <w:rsid w:val="00F073BB"/>
    <w:rsid w:val="00F12CBB"/>
    <w:rsid w:val="00F17111"/>
    <w:rsid w:val="00F221EF"/>
    <w:rsid w:val="00F23E03"/>
    <w:rsid w:val="00F2566F"/>
    <w:rsid w:val="00F26ADA"/>
    <w:rsid w:val="00F26E7D"/>
    <w:rsid w:val="00F301F7"/>
    <w:rsid w:val="00F309AF"/>
    <w:rsid w:val="00F32961"/>
    <w:rsid w:val="00F32EDB"/>
    <w:rsid w:val="00F33527"/>
    <w:rsid w:val="00F35DF7"/>
    <w:rsid w:val="00F37F62"/>
    <w:rsid w:val="00F40B7C"/>
    <w:rsid w:val="00F41632"/>
    <w:rsid w:val="00F44B9A"/>
    <w:rsid w:val="00F454C9"/>
    <w:rsid w:val="00F5100C"/>
    <w:rsid w:val="00F5295B"/>
    <w:rsid w:val="00F5753C"/>
    <w:rsid w:val="00F610A5"/>
    <w:rsid w:val="00F62DAB"/>
    <w:rsid w:val="00F63771"/>
    <w:rsid w:val="00F63922"/>
    <w:rsid w:val="00F70C83"/>
    <w:rsid w:val="00F71D59"/>
    <w:rsid w:val="00F73E5B"/>
    <w:rsid w:val="00F74833"/>
    <w:rsid w:val="00F74E99"/>
    <w:rsid w:val="00F750F1"/>
    <w:rsid w:val="00F76826"/>
    <w:rsid w:val="00F76A15"/>
    <w:rsid w:val="00F77F72"/>
    <w:rsid w:val="00F81FAC"/>
    <w:rsid w:val="00F83AF4"/>
    <w:rsid w:val="00F8613F"/>
    <w:rsid w:val="00F8752C"/>
    <w:rsid w:val="00F904AB"/>
    <w:rsid w:val="00F90AEF"/>
    <w:rsid w:val="00F9223B"/>
    <w:rsid w:val="00F927B5"/>
    <w:rsid w:val="00F9414A"/>
    <w:rsid w:val="00F94408"/>
    <w:rsid w:val="00F9457B"/>
    <w:rsid w:val="00FA0190"/>
    <w:rsid w:val="00FA259E"/>
    <w:rsid w:val="00FA6091"/>
    <w:rsid w:val="00FB02A1"/>
    <w:rsid w:val="00FB051B"/>
    <w:rsid w:val="00FB1EB6"/>
    <w:rsid w:val="00FB27C2"/>
    <w:rsid w:val="00FB3B86"/>
    <w:rsid w:val="00FB50BD"/>
    <w:rsid w:val="00FB5FF6"/>
    <w:rsid w:val="00FB69EF"/>
    <w:rsid w:val="00FB6C90"/>
    <w:rsid w:val="00FB72B6"/>
    <w:rsid w:val="00FC04BD"/>
    <w:rsid w:val="00FC04E5"/>
    <w:rsid w:val="00FC066F"/>
    <w:rsid w:val="00FC0B3C"/>
    <w:rsid w:val="00FC0E77"/>
    <w:rsid w:val="00FC5B79"/>
    <w:rsid w:val="00FC7E1D"/>
    <w:rsid w:val="00FD197B"/>
    <w:rsid w:val="00FD44AF"/>
    <w:rsid w:val="00FE1B5A"/>
    <w:rsid w:val="00FE1C85"/>
    <w:rsid w:val="00FE222C"/>
    <w:rsid w:val="00FE5E89"/>
    <w:rsid w:val="00FF0933"/>
    <w:rsid w:val="00FF186C"/>
    <w:rsid w:val="00FF39CE"/>
    <w:rsid w:val="00FF65DD"/>
    <w:rsid w:val="00FF7656"/>
    <w:rsid w:val="01C82A4B"/>
    <w:rsid w:val="01FC77A6"/>
    <w:rsid w:val="01FD7CC9"/>
    <w:rsid w:val="027D4746"/>
    <w:rsid w:val="04763EE5"/>
    <w:rsid w:val="04820ADC"/>
    <w:rsid w:val="0529014E"/>
    <w:rsid w:val="06060425"/>
    <w:rsid w:val="065D35AE"/>
    <w:rsid w:val="06ED1E86"/>
    <w:rsid w:val="06EE4281"/>
    <w:rsid w:val="074313A8"/>
    <w:rsid w:val="07504EB5"/>
    <w:rsid w:val="07926816"/>
    <w:rsid w:val="07BB0C6F"/>
    <w:rsid w:val="08EE7AB9"/>
    <w:rsid w:val="08FF2309"/>
    <w:rsid w:val="09DF18D4"/>
    <w:rsid w:val="09EE17B4"/>
    <w:rsid w:val="09F03E7D"/>
    <w:rsid w:val="0A9D3D43"/>
    <w:rsid w:val="0ACD0958"/>
    <w:rsid w:val="0C555774"/>
    <w:rsid w:val="0CFF5914"/>
    <w:rsid w:val="0D0916D3"/>
    <w:rsid w:val="0D714374"/>
    <w:rsid w:val="0DFC675A"/>
    <w:rsid w:val="0E340100"/>
    <w:rsid w:val="0EE92175"/>
    <w:rsid w:val="0EED186A"/>
    <w:rsid w:val="0FFC5D23"/>
    <w:rsid w:val="10204AF6"/>
    <w:rsid w:val="10A12049"/>
    <w:rsid w:val="116B4324"/>
    <w:rsid w:val="11972F1E"/>
    <w:rsid w:val="11CE2190"/>
    <w:rsid w:val="122B5EDD"/>
    <w:rsid w:val="12C0745B"/>
    <w:rsid w:val="131F5671"/>
    <w:rsid w:val="13E739DE"/>
    <w:rsid w:val="143B5524"/>
    <w:rsid w:val="14AB7A30"/>
    <w:rsid w:val="15A425F0"/>
    <w:rsid w:val="1696382F"/>
    <w:rsid w:val="16CA0920"/>
    <w:rsid w:val="16FA21E1"/>
    <w:rsid w:val="171F2A2A"/>
    <w:rsid w:val="17C52CBF"/>
    <w:rsid w:val="180B1B01"/>
    <w:rsid w:val="181D494B"/>
    <w:rsid w:val="18813CCE"/>
    <w:rsid w:val="1898470F"/>
    <w:rsid w:val="1A167243"/>
    <w:rsid w:val="1BA51CE0"/>
    <w:rsid w:val="1C95377A"/>
    <w:rsid w:val="1CC23D13"/>
    <w:rsid w:val="1CC934E0"/>
    <w:rsid w:val="1D9876DC"/>
    <w:rsid w:val="1DD033CB"/>
    <w:rsid w:val="1DE772AF"/>
    <w:rsid w:val="209B0B03"/>
    <w:rsid w:val="20D12B58"/>
    <w:rsid w:val="21CA5B44"/>
    <w:rsid w:val="22060CAA"/>
    <w:rsid w:val="220964A1"/>
    <w:rsid w:val="23775858"/>
    <w:rsid w:val="23FE112C"/>
    <w:rsid w:val="24E74DD9"/>
    <w:rsid w:val="254B023A"/>
    <w:rsid w:val="254B7C9F"/>
    <w:rsid w:val="25C04290"/>
    <w:rsid w:val="25F61589"/>
    <w:rsid w:val="26085D30"/>
    <w:rsid w:val="26117713"/>
    <w:rsid w:val="26126340"/>
    <w:rsid w:val="26277E13"/>
    <w:rsid w:val="26293ACE"/>
    <w:rsid w:val="26A26ABB"/>
    <w:rsid w:val="26F84502"/>
    <w:rsid w:val="279D185E"/>
    <w:rsid w:val="28C451EE"/>
    <w:rsid w:val="28C572F6"/>
    <w:rsid w:val="28F1521E"/>
    <w:rsid w:val="2A0D23B3"/>
    <w:rsid w:val="2A241B69"/>
    <w:rsid w:val="2A9271E2"/>
    <w:rsid w:val="2B2C3635"/>
    <w:rsid w:val="2B990335"/>
    <w:rsid w:val="2BDF6A89"/>
    <w:rsid w:val="2C687843"/>
    <w:rsid w:val="2CED22F7"/>
    <w:rsid w:val="2D477B7D"/>
    <w:rsid w:val="2DB93891"/>
    <w:rsid w:val="2E9613F8"/>
    <w:rsid w:val="2EA944EB"/>
    <w:rsid w:val="2EAC7416"/>
    <w:rsid w:val="2FA51153"/>
    <w:rsid w:val="3076335E"/>
    <w:rsid w:val="31265B15"/>
    <w:rsid w:val="3151215B"/>
    <w:rsid w:val="316D085F"/>
    <w:rsid w:val="31C552B9"/>
    <w:rsid w:val="32BF11E9"/>
    <w:rsid w:val="332C6FF1"/>
    <w:rsid w:val="335F6C76"/>
    <w:rsid w:val="33D91C17"/>
    <w:rsid w:val="34A314A9"/>
    <w:rsid w:val="34BD6E42"/>
    <w:rsid w:val="34C03B0F"/>
    <w:rsid w:val="34E80C81"/>
    <w:rsid w:val="355C48AD"/>
    <w:rsid w:val="35AB75E3"/>
    <w:rsid w:val="36875C30"/>
    <w:rsid w:val="36AD1CD5"/>
    <w:rsid w:val="36CB4432"/>
    <w:rsid w:val="37C01CDC"/>
    <w:rsid w:val="39E92D19"/>
    <w:rsid w:val="39EA293F"/>
    <w:rsid w:val="39FA70F8"/>
    <w:rsid w:val="3AEC11B5"/>
    <w:rsid w:val="3CBE10E5"/>
    <w:rsid w:val="3D5E202E"/>
    <w:rsid w:val="3E2124A0"/>
    <w:rsid w:val="3E6B2874"/>
    <w:rsid w:val="3F006CD5"/>
    <w:rsid w:val="40C77063"/>
    <w:rsid w:val="416D2D10"/>
    <w:rsid w:val="41707439"/>
    <w:rsid w:val="419E2DD2"/>
    <w:rsid w:val="41D34060"/>
    <w:rsid w:val="42084F7D"/>
    <w:rsid w:val="422E2B05"/>
    <w:rsid w:val="42EF72C5"/>
    <w:rsid w:val="43655275"/>
    <w:rsid w:val="437473DB"/>
    <w:rsid w:val="437B5289"/>
    <w:rsid w:val="44151829"/>
    <w:rsid w:val="4433107D"/>
    <w:rsid w:val="445D3B1B"/>
    <w:rsid w:val="44D674A8"/>
    <w:rsid w:val="459D2108"/>
    <w:rsid w:val="461B7E6D"/>
    <w:rsid w:val="462F3918"/>
    <w:rsid w:val="480241D6"/>
    <w:rsid w:val="487D096B"/>
    <w:rsid w:val="49401EAC"/>
    <w:rsid w:val="4AD41FE2"/>
    <w:rsid w:val="4ADC3355"/>
    <w:rsid w:val="4ADE04DE"/>
    <w:rsid w:val="4B1A06F3"/>
    <w:rsid w:val="4BBA100A"/>
    <w:rsid w:val="4BF86AA2"/>
    <w:rsid w:val="4C615547"/>
    <w:rsid w:val="4C9F512D"/>
    <w:rsid w:val="4CD654BB"/>
    <w:rsid w:val="4DE409DD"/>
    <w:rsid w:val="4F846FAA"/>
    <w:rsid w:val="4FBA6D00"/>
    <w:rsid w:val="4FBF396D"/>
    <w:rsid w:val="50BD6410"/>
    <w:rsid w:val="50E65C92"/>
    <w:rsid w:val="50EF6964"/>
    <w:rsid w:val="50FE0AB7"/>
    <w:rsid w:val="51160E53"/>
    <w:rsid w:val="52662AFF"/>
    <w:rsid w:val="52822353"/>
    <w:rsid w:val="52E5776C"/>
    <w:rsid w:val="53294414"/>
    <w:rsid w:val="53C25DCC"/>
    <w:rsid w:val="54AC3187"/>
    <w:rsid w:val="55FA3B3F"/>
    <w:rsid w:val="560474DC"/>
    <w:rsid w:val="56BE6D1E"/>
    <w:rsid w:val="57220108"/>
    <w:rsid w:val="574316FB"/>
    <w:rsid w:val="57E91F2A"/>
    <w:rsid w:val="58C731DB"/>
    <w:rsid w:val="58EA2175"/>
    <w:rsid w:val="5A054C64"/>
    <w:rsid w:val="5ABD0E2A"/>
    <w:rsid w:val="5B991990"/>
    <w:rsid w:val="5BD946E4"/>
    <w:rsid w:val="5CAE7A72"/>
    <w:rsid w:val="5CFF3A8F"/>
    <w:rsid w:val="5D4B3F1E"/>
    <w:rsid w:val="5E2E228F"/>
    <w:rsid w:val="5F0454EA"/>
    <w:rsid w:val="5F3538F6"/>
    <w:rsid w:val="5FC6283E"/>
    <w:rsid w:val="606A5821"/>
    <w:rsid w:val="616B1851"/>
    <w:rsid w:val="621C6A42"/>
    <w:rsid w:val="621F0568"/>
    <w:rsid w:val="627DD240"/>
    <w:rsid w:val="631C41B8"/>
    <w:rsid w:val="632F68AE"/>
    <w:rsid w:val="63496E25"/>
    <w:rsid w:val="63947706"/>
    <w:rsid w:val="639D52EB"/>
    <w:rsid w:val="64580CA3"/>
    <w:rsid w:val="64607FC5"/>
    <w:rsid w:val="652D2FDD"/>
    <w:rsid w:val="655F5425"/>
    <w:rsid w:val="65954D4B"/>
    <w:rsid w:val="65B532D9"/>
    <w:rsid w:val="66696025"/>
    <w:rsid w:val="66DB7441"/>
    <w:rsid w:val="67A45F03"/>
    <w:rsid w:val="67B14700"/>
    <w:rsid w:val="682211A3"/>
    <w:rsid w:val="684B0C67"/>
    <w:rsid w:val="689B04F2"/>
    <w:rsid w:val="68FD795F"/>
    <w:rsid w:val="6A6C477F"/>
    <w:rsid w:val="6BDC3CEF"/>
    <w:rsid w:val="6C893CEB"/>
    <w:rsid w:val="6D2D0302"/>
    <w:rsid w:val="6D4C4C2C"/>
    <w:rsid w:val="6DFE3C9A"/>
    <w:rsid w:val="6E481056"/>
    <w:rsid w:val="6ED7401E"/>
    <w:rsid w:val="6F0532E4"/>
    <w:rsid w:val="703A6FBE"/>
    <w:rsid w:val="704220D6"/>
    <w:rsid w:val="71291E2C"/>
    <w:rsid w:val="71701CB6"/>
    <w:rsid w:val="71744944"/>
    <w:rsid w:val="71E0788F"/>
    <w:rsid w:val="729C5A44"/>
    <w:rsid w:val="72DB50F0"/>
    <w:rsid w:val="73455D2A"/>
    <w:rsid w:val="73D37CEA"/>
    <w:rsid w:val="73D84946"/>
    <w:rsid w:val="741B0305"/>
    <w:rsid w:val="74687EF3"/>
    <w:rsid w:val="748C6AB6"/>
    <w:rsid w:val="74EB4D2A"/>
    <w:rsid w:val="751F14B9"/>
    <w:rsid w:val="75C141AA"/>
    <w:rsid w:val="75E41E70"/>
    <w:rsid w:val="762469A1"/>
    <w:rsid w:val="76443835"/>
    <w:rsid w:val="765A4CC1"/>
    <w:rsid w:val="770C2D36"/>
    <w:rsid w:val="77707769"/>
    <w:rsid w:val="77F22CF5"/>
    <w:rsid w:val="7820118F"/>
    <w:rsid w:val="79033170"/>
    <w:rsid w:val="791F1447"/>
    <w:rsid w:val="79757DBA"/>
    <w:rsid w:val="7A685AA6"/>
    <w:rsid w:val="7A946EC1"/>
    <w:rsid w:val="7AC43970"/>
    <w:rsid w:val="7B304417"/>
    <w:rsid w:val="7BEF36B1"/>
    <w:rsid w:val="7C6F62E1"/>
    <w:rsid w:val="7DBA352D"/>
    <w:rsid w:val="7DFE6113"/>
    <w:rsid w:val="7E2D4B08"/>
    <w:rsid w:val="7F7972C3"/>
    <w:rsid w:val="7F8BF7F0"/>
    <w:rsid w:val="7FEE7026"/>
    <w:rsid w:val="BA7B23C6"/>
    <w:rsid w:val="D7FF2E05"/>
    <w:rsid w:val="F5955B8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99"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8"/>
    <w:qFormat/>
    <w:uiPriority w:val="99"/>
    <w:pPr>
      <w:keepNext/>
      <w:keepLines/>
      <w:spacing w:before="340" w:after="330" w:line="578" w:lineRule="auto"/>
      <w:ind w:left="425" w:hanging="425"/>
      <w:outlineLvl w:val="0"/>
    </w:pPr>
    <w:rPr>
      <w:rFonts w:eastAsia="仿宋_GB2312"/>
      <w:b/>
      <w:kern w:val="44"/>
      <w:sz w:val="44"/>
      <w:szCs w:val="20"/>
    </w:rPr>
  </w:style>
  <w:style w:type="paragraph" w:styleId="4">
    <w:name w:val="heading 2"/>
    <w:basedOn w:val="1"/>
    <w:next w:val="5"/>
    <w:link w:val="112"/>
    <w:qFormat/>
    <w:uiPriority w:val="9"/>
    <w:pPr>
      <w:keepNext/>
      <w:keepLines/>
      <w:tabs>
        <w:tab w:val="left" w:pos="425"/>
        <w:tab w:val="left" w:pos="1145"/>
      </w:tabs>
      <w:spacing w:before="260" w:after="260" w:line="416" w:lineRule="auto"/>
      <w:ind w:left="992" w:hanging="567"/>
      <w:outlineLvl w:val="1"/>
    </w:pPr>
    <w:rPr>
      <w:rFonts w:ascii="Arial" w:hAnsi="Arial" w:eastAsia="黑体"/>
      <w:sz w:val="32"/>
      <w:szCs w:val="20"/>
    </w:rPr>
  </w:style>
  <w:style w:type="paragraph" w:styleId="6">
    <w:name w:val="heading 3"/>
    <w:basedOn w:val="1"/>
    <w:next w:val="1"/>
    <w:link w:val="130"/>
    <w:qFormat/>
    <w:uiPriority w:val="9"/>
    <w:pPr>
      <w:keepNext/>
      <w:keepLines/>
      <w:tabs>
        <w:tab w:val="left" w:pos="2651"/>
      </w:tabs>
      <w:spacing w:before="260" w:after="260" w:line="416" w:lineRule="auto"/>
      <w:ind w:left="1418" w:hanging="567"/>
      <w:outlineLvl w:val="2"/>
    </w:pPr>
    <w:rPr>
      <w:rFonts w:eastAsia="仿宋_GB2312"/>
      <w:b/>
      <w:sz w:val="32"/>
      <w:szCs w:val="20"/>
    </w:rPr>
  </w:style>
  <w:style w:type="paragraph" w:styleId="7">
    <w:name w:val="heading 4"/>
    <w:basedOn w:val="1"/>
    <w:next w:val="5"/>
    <w:link w:val="107"/>
    <w:qFormat/>
    <w:uiPriority w:val="0"/>
    <w:pPr>
      <w:keepNext/>
      <w:keepLines/>
      <w:tabs>
        <w:tab w:val="left" w:pos="1984"/>
      </w:tabs>
      <w:spacing w:before="280" w:after="290" w:line="376" w:lineRule="auto"/>
      <w:ind w:left="1984" w:hanging="708"/>
      <w:outlineLvl w:val="3"/>
    </w:pPr>
    <w:rPr>
      <w:rFonts w:ascii="Arial" w:hAnsi="Arial" w:eastAsia="黑体"/>
      <w:b/>
      <w:sz w:val="28"/>
      <w:szCs w:val="20"/>
    </w:rPr>
  </w:style>
  <w:style w:type="paragraph" w:styleId="8">
    <w:name w:val="heading 5"/>
    <w:basedOn w:val="1"/>
    <w:next w:val="5"/>
    <w:link w:val="161"/>
    <w:qFormat/>
    <w:uiPriority w:val="0"/>
    <w:pPr>
      <w:keepNext/>
      <w:widowControl/>
      <w:tabs>
        <w:tab w:val="left" w:pos="405"/>
      </w:tabs>
      <w:ind w:left="405" w:hanging="405"/>
      <w:jc w:val="left"/>
      <w:outlineLvl w:val="4"/>
    </w:pPr>
    <w:rPr>
      <w:kern w:val="0"/>
      <w:sz w:val="24"/>
      <w:szCs w:val="20"/>
    </w:rPr>
  </w:style>
  <w:style w:type="paragraph" w:styleId="9">
    <w:name w:val="heading 6"/>
    <w:basedOn w:val="1"/>
    <w:next w:val="1"/>
    <w:link w:val="167"/>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0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3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Normal Indent"/>
    <w:basedOn w:val="1"/>
    <w:next w:val="1"/>
    <w:link w:val="157"/>
    <w:qFormat/>
    <w:uiPriority w:val="99"/>
    <w:pPr>
      <w:ind w:firstLine="420" w:firstLineChars="200"/>
    </w:pPr>
  </w:style>
  <w:style w:type="paragraph" w:styleId="13">
    <w:name w:val="List 3"/>
    <w:basedOn w:val="1"/>
    <w:qFormat/>
    <w:uiPriority w:val="0"/>
    <w:pPr>
      <w:ind w:left="100" w:leftChars="400" w:hanging="200" w:hangingChars="200"/>
      <w:contextualSpacing/>
    </w:p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table of authorities"/>
    <w:basedOn w:val="1"/>
    <w:next w:val="1"/>
    <w:qFormat/>
    <w:uiPriority w:val="0"/>
    <w:pPr>
      <w:ind w:left="420" w:leftChars="200"/>
    </w:pPr>
  </w:style>
  <w:style w:type="paragraph" w:styleId="17">
    <w:name w:val="Note Heading"/>
    <w:basedOn w:val="1"/>
    <w:next w:val="1"/>
    <w:link w:val="171"/>
    <w:qFormat/>
    <w:uiPriority w:val="0"/>
    <w:pPr>
      <w:jc w:val="center"/>
    </w:pPr>
    <w:rPr>
      <w:rFonts w:ascii="宋体" w:hAnsi="Courier New"/>
      <w:szCs w:val="20"/>
    </w:rPr>
  </w:style>
  <w:style w:type="paragraph" w:styleId="18">
    <w:name w:val="List Bullet 4"/>
    <w:basedOn w:val="1"/>
    <w:qFormat/>
    <w:uiPriority w:val="0"/>
    <w:pPr>
      <w:tabs>
        <w:tab w:val="left" w:pos="1620"/>
      </w:tabs>
      <w:ind w:left="1620" w:hanging="360"/>
      <w:contextualSpacing/>
    </w:pPr>
  </w:style>
  <w:style w:type="paragraph" w:styleId="19">
    <w:name w:val="index 8"/>
    <w:basedOn w:val="1"/>
    <w:next w:val="1"/>
    <w:qFormat/>
    <w:uiPriority w:val="0"/>
    <w:pPr>
      <w:ind w:left="1400" w:leftChars="1400"/>
    </w:pPr>
  </w:style>
  <w:style w:type="paragraph" w:styleId="20">
    <w:name w:val="E-mail Signature"/>
    <w:basedOn w:val="1"/>
    <w:qFormat/>
    <w:uiPriority w:val="0"/>
  </w:style>
  <w:style w:type="paragraph" w:styleId="21">
    <w:name w:val="List Number"/>
    <w:basedOn w:val="1"/>
    <w:qFormat/>
    <w:uiPriority w:val="99"/>
    <w:pPr>
      <w:widowControl/>
      <w:tabs>
        <w:tab w:val="left" w:pos="454"/>
      </w:tabs>
      <w:spacing w:afterLines="50"/>
      <w:ind w:left="454" w:hanging="284"/>
      <w:jc w:val="left"/>
    </w:pPr>
    <w:rPr>
      <w:kern w:val="0"/>
      <w:sz w:val="24"/>
      <w:szCs w:val="20"/>
    </w:rPr>
  </w:style>
  <w:style w:type="paragraph" w:styleId="22">
    <w:name w:val="caption"/>
    <w:basedOn w:val="1"/>
    <w:next w:val="1"/>
    <w:qFormat/>
    <w:uiPriority w:val="0"/>
    <w:pPr>
      <w:spacing w:line="360" w:lineRule="auto"/>
      <w:jc w:val="center"/>
    </w:pPr>
    <w:rPr>
      <w:rFonts w:ascii="Calibri" w:hAnsi="Calibri"/>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tabs>
        <w:tab w:val="left" w:pos="360"/>
      </w:tabs>
      <w:ind w:left="360" w:hanging="360"/>
      <w:contextualSpacing/>
    </w:p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Cambria" w:hAnsi="Cambria"/>
      <w:sz w:val="24"/>
    </w:rPr>
  </w:style>
  <w:style w:type="paragraph" w:styleId="26">
    <w:name w:val="Document Map"/>
    <w:basedOn w:val="1"/>
    <w:link w:val="166"/>
    <w:qFormat/>
    <w:uiPriority w:val="99"/>
    <w:pPr>
      <w:shd w:val="clear" w:color="auto" w:fill="000080"/>
    </w:pPr>
  </w:style>
  <w:style w:type="paragraph" w:styleId="27">
    <w:name w:val="toa heading"/>
    <w:basedOn w:val="1"/>
    <w:next w:val="1"/>
    <w:qFormat/>
    <w:uiPriority w:val="0"/>
    <w:pPr>
      <w:spacing w:before="120"/>
    </w:pPr>
    <w:rPr>
      <w:rFonts w:ascii="Cambria" w:hAnsi="Cambria"/>
      <w:sz w:val="24"/>
    </w:rPr>
  </w:style>
  <w:style w:type="paragraph" w:styleId="28">
    <w:name w:val="annotation text"/>
    <w:basedOn w:val="1"/>
    <w:link w:val="138"/>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link w:val="135"/>
    <w:qFormat/>
    <w:uiPriority w:val="0"/>
  </w:style>
  <w:style w:type="paragraph" w:styleId="31">
    <w:name w:val="Body Text 3"/>
    <w:basedOn w:val="1"/>
    <w:qFormat/>
    <w:uiPriority w:val="0"/>
    <w:pPr>
      <w:spacing w:after="120"/>
    </w:pPr>
    <w:rPr>
      <w:sz w:val="16"/>
      <w:szCs w:val="16"/>
    </w:rPr>
  </w:style>
  <w:style w:type="paragraph" w:styleId="32">
    <w:name w:val="Closing"/>
    <w:basedOn w:val="1"/>
    <w:qFormat/>
    <w:uiPriority w:val="0"/>
    <w:pPr>
      <w:ind w:left="100" w:leftChars="2100"/>
    </w:pPr>
  </w:style>
  <w:style w:type="paragraph" w:styleId="33">
    <w:name w:val="List Bullet 3"/>
    <w:basedOn w:val="1"/>
    <w:qFormat/>
    <w:uiPriority w:val="0"/>
    <w:pPr>
      <w:tabs>
        <w:tab w:val="left" w:pos="1200"/>
      </w:tabs>
      <w:ind w:left="1200" w:hanging="360"/>
      <w:contextualSpacing/>
    </w:pPr>
  </w:style>
  <w:style w:type="paragraph" w:styleId="34">
    <w:name w:val="Body Text"/>
    <w:basedOn w:val="1"/>
    <w:next w:val="35"/>
    <w:link w:val="116"/>
    <w:qFormat/>
    <w:uiPriority w:val="99"/>
    <w:pPr>
      <w:spacing w:line="360" w:lineRule="auto"/>
    </w:pPr>
    <w:rPr>
      <w:rFonts w:eastAsia="仿宋_GB2312"/>
      <w:sz w:val="28"/>
    </w:rPr>
  </w:style>
  <w:style w:type="paragraph" w:styleId="35">
    <w:name w:val="Body Text First Indent"/>
    <w:basedOn w:val="34"/>
    <w:next w:val="1"/>
    <w:qFormat/>
    <w:uiPriority w:val="0"/>
    <w:pPr>
      <w:spacing w:after="120" w:line="240" w:lineRule="auto"/>
      <w:ind w:firstLine="420" w:firstLineChars="100"/>
    </w:pPr>
    <w:rPr>
      <w:rFonts w:eastAsia="宋体"/>
      <w:sz w:val="21"/>
    </w:rPr>
  </w:style>
  <w:style w:type="paragraph" w:styleId="36">
    <w:name w:val="Body Text Indent"/>
    <w:basedOn w:val="1"/>
    <w:link w:val="128"/>
    <w:qFormat/>
    <w:uiPriority w:val="99"/>
    <w:pPr>
      <w:spacing w:after="120"/>
      <w:ind w:left="420" w:leftChars="200"/>
    </w:pPr>
  </w:style>
  <w:style w:type="paragraph" w:styleId="37">
    <w:name w:val="List Number 3"/>
    <w:basedOn w:val="1"/>
    <w:qFormat/>
    <w:uiPriority w:val="0"/>
    <w:pPr>
      <w:widowControl/>
      <w:tabs>
        <w:tab w:val="left" w:pos="482"/>
      </w:tabs>
      <w:spacing w:afterLines="50"/>
      <w:ind w:left="482" w:hanging="340"/>
      <w:jc w:val="left"/>
    </w:pPr>
    <w:rPr>
      <w:kern w:val="0"/>
      <w:sz w:val="24"/>
      <w:szCs w:val="20"/>
    </w:r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spacing w:before="120" w:line="360" w:lineRule="auto"/>
      <w:ind w:left="824" w:right="202"/>
    </w:pPr>
    <w:rPr>
      <w:rFonts w:ascii="宋体" w:hAnsi="宋体"/>
      <w:sz w:val="24"/>
      <w:szCs w:val="21"/>
    </w:rPr>
  </w:style>
  <w:style w:type="paragraph" w:styleId="41">
    <w:name w:val="List Bullet 2"/>
    <w:basedOn w:val="1"/>
    <w:qFormat/>
    <w:uiPriority w:val="0"/>
    <w:pPr>
      <w:tabs>
        <w:tab w:val="left" w:pos="780"/>
      </w:tabs>
      <w:ind w:left="780" w:hanging="360"/>
      <w:contextualSpacing/>
    </w:pPr>
  </w:style>
  <w:style w:type="paragraph" w:styleId="42">
    <w:name w:val="HTML Address"/>
    <w:basedOn w:val="1"/>
    <w:link w:val="114"/>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1680" w:leftChars="800"/>
    </w:pPr>
  </w:style>
  <w:style w:type="paragraph" w:styleId="45">
    <w:name w:val="toc 3"/>
    <w:basedOn w:val="1"/>
    <w:next w:val="1"/>
    <w:qFormat/>
    <w:uiPriority w:val="99"/>
    <w:pPr>
      <w:ind w:left="840" w:leftChars="400"/>
    </w:pPr>
  </w:style>
  <w:style w:type="paragraph" w:styleId="46">
    <w:name w:val="Plain Text"/>
    <w:basedOn w:val="1"/>
    <w:link w:val="146"/>
    <w:qFormat/>
    <w:uiPriority w:val="0"/>
    <w:rPr>
      <w:rFonts w:ascii="宋体" w:hAnsi="Courier New"/>
      <w:szCs w:val="20"/>
    </w:rPr>
  </w:style>
  <w:style w:type="paragraph" w:styleId="47">
    <w:name w:val="List Bullet 5"/>
    <w:basedOn w:val="1"/>
    <w:qFormat/>
    <w:uiPriority w:val="0"/>
    <w:pPr>
      <w:tabs>
        <w:tab w:val="left" w:pos="2040"/>
      </w:tabs>
      <w:ind w:left="2040" w:hanging="360"/>
      <w:contextualSpacing/>
    </w:pPr>
  </w:style>
  <w:style w:type="paragraph" w:styleId="48">
    <w:name w:val="List Number 4"/>
    <w:basedOn w:val="1"/>
    <w:qFormat/>
    <w:uiPriority w:val="0"/>
    <w:pPr>
      <w:tabs>
        <w:tab w:val="left" w:pos="1620"/>
      </w:tabs>
      <w:ind w:left="1620" w:hanging="360"/>
      <w:contextualSpacing/>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pPr>
  </w:style>
  <w:style w:type="paragraph" w:styleId="51">
    <w:name w:val="Date"/>
    <w:basedOn w:val="1"/>
    <w:next w:val="1"/>
    <w:link w:val="162"/>
    <w:qFormat/>
    <w:uiPriority w:val="0"/>
    <w:rPr>
      <w:rFonts w:ascii="楷体_GB2312" w:eastAsia="楷体_GB2312"/>
      <w:b/>
      <w:sz w:val="28"/>
      <w:szCs w:val="20"/>
    </w:rPr>
  </w:style>
  <w:style w:type="paragraph" w:styleId="52">
    <w:name w:val="Body Text Indent 2"/>
    <w:basedOn w:val="1"/>
    <w:link w:val="194"/>
    <w:qFormat/>
    <w:uiPriority w:val="0"/>
    <w:pPr>
      <w:spacing w:after="120" w:line="480" w:lineRule="auto"/>
      <w:ind w:left="420" w:leftChars="200"/>
    </w:pPr>
  </w:style>
  <w:style w:type="paragraph" w:styleId="53">
    <w:name w:val="endnote text"/>
    <w:basedOn w:val="1"/>
    <w:qFormat/>
    <w:uiPriority w:val="0"/>
    <w:pPr>
      <w:snapToGrid w:val="0"/>
      <w:jc w:val="left"/>
    </w:pPr>
  </w:style>
  <w:style w:type="paragraph" w:styleId="54">
    <w:name w:val="List Continue 5"/>
    <w:basedOn w:val="1"/>
    <w:qFormat/>
    <w:uiPriority w:val="0"/>
    <w:pPr>
      <w:spacing w:after="120"/>
      <w:ind w:left="2100" w:leftChars="1000"/>
      <w:contextualSpacing/>
    </w:pPr>
  </w:style>
  <w:style w:type="paragraph" w:styleId="55">
    <w:name w:val="Balloon Text"/>
    <w:basedOn w:val="1"/>
    <w:link w:val="150"/>
    <w:qFormat/>
    <w:uiPriority w:val="0"/>
    <w:rPr>
      <w:sz w:val="18"/>
      <w:szCs w:val="18"/>
    </w:rPr>
  </w:style>
  <w:style w:type="paragraph" w:styleId="56">
    <w:name w:val="footer"/>
    <w:basedOn w:val="1"/>
    <w:link w:val="264"/>
    <w:qFormat/>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Cambria" w:hAnsi="Cambria"/>
    </w:rPr>
  </w:style>
  <w:style w:type="paragraph" w:styleId="58">
    <w:name w:val="header"/>
    <w:basedOn w:val="1"/>
    <w:link w:val="104"/>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qFormat/>
    <w:uiPriority w:val="0"/>
    <w:pPr>
      <w:ind w:left="100" w:leftChars="2100"/>
    </w:pPr>
  </w:style>
  <w:style w:type="paragraph" w:styleId="60">
    <w:name w:val="toc 1"/>
    <w:basedOn w:val="1"/>
    <w:next w:val="1"/>
    <w:qFormat/>
    <w:uiPriority w:val="99"/>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tabs>
        <w:tab w:val="right" w:leader="dot" w:pos="8314"/>
      </w:tabs>
      <w:ind w:firstLine="588" w:firstLineChars="245"/>
    </w:pPr>
  </w:style>
  <w:style w:type="paragraph" w:styleId="63">
    <w:name w:val="index heading"/>
    <w:basedOn w:val="1"/>
    <w:next w:val="64"/>
    <w:qFormat/>
    <w:uiPriority w:val="0"/>
    <w:rPr>
      <w:rFonts w:ascii="Cambria" w:hAnsi="Cambria"/>
      <w:b/>
      <w:bCs/>
    </w:rPr>
  </w:style>
  <w:style w:type="paragraph" w:styleId="64">
    <w:name w:val="index 1"/>
    <w:basedOn w:val="1"/>
    <w:next w:val="1"/>
    <w:semiHidden/>
    <w:qFormat/>
    <w:uiPriority w:val="0"/>
    <w:pPr>
      <w:spacing w:line="320" w:lineRule="exact"/>
    </w:pPr>
    <w:rPr>
      <w:b/>
      <w:snapToGrid w:val="0"/>
      <w:color w:val="FF6600"/>
      <w:kern w:val="0"/>
      <w:sz w:val="18"/>
      <w:szCs w:val="21"/>
    </w:rPr>
  </w:style>
  <w:style w:type="paragraph" w:styleId="6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qFormat/>
    <w:uiPriority w:val="0"/>
    <w:pPr>
      <w:tabs>
        <w:tab w:val="left" w:pos="2040"/>
      </w:tabs>
      <w:ind w:left="2040" w:hanging="360"/>
      <w:contextualSpacing/>
    </w:pPr>
  </w:style>
  <w:style w:type="paragraph" w:styleId="67">
    <w:name w:val="List"/>
    <w:basedOn w:val="1"/>
    <w:qFormat/>
    <w:uiPriority w:val="0"/>
    <w:pPr>
      <w:ind w:left="200" w:hanging="200" w:hangingChars="200"/>
      <w:contextualSpacing/>
    </w:pPr>
  </w:style>
  <w:style w:type="paragraph" w:styleId="68">
    <w:name w:val="footnote text"/>
    <w:basedOn w:val="1"/>
    <w:qFormat/>
    <w:uiPriority w:val="0"/>
    <w:pPr>
      <w:snapToGrid w:val="0"/>
      <w:jc w:val="left"/>
    </w:pPr>
    <w:rPr>
      <w:sz w:val="18"/>
      <w:szCs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265"/>
    <w:qFormat/>
    <w:uiPriority w:val="99"/>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99"/>
    <w:pPr>
      <w:ind w:left="420" w:leftChars="200"/>
    </w:pPr>
  </w:style>
  <w:style w:type="paragraph" w:styleId="76">
    <w:name w:val="toc 9"/>
    <w:basedOn w:val="1"/>
    <w:next w:val="1"/>
    <w:qFormat/>
    <w:uiPriority w:val="0"/>
    <w:pPr>
      <w:ind w:left="3360" w:leftChars="1600"/>
    </w:pPr>
  </w:style>
  <w:style w:type="paragraph" w:styleId="77">
    <w:name w:val="Body Text 2"/>
    <w:basedOn w:val="1"/>
    <w:link w:val="168"/>
    <w:qFormat/>
    <w:uiPriority w:val="0"/>
    <w:pPr>
      <w:widowControl/>
      <w:spacing w:afterLines="50" w:line="216" w:lineRule="auto"/>
      <w:jc w:val="center"/>
    </w:pPr>
    <w:rPr>
      <w:rFonts w:ascii="隶书" w:eastAsia="隶书"/>
      <w:bCs/>
      <w:kern w:val="0"/>
      <w:sz w:val="72"/>
      <w:szCs w:val="84"/>
    </w:r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pPr>
  </w:style>
  <w:style w:type="paragraph" w:styleId="8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81">
    <w:name w:val="HTML Preformatted"/>
    <w:basedOn w:val="1"/>
    <w:link w:val="26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82">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195"/>
    <w:qFormat/>
    <w:uiPriority w:val="0"/>
    <w:pPr>
      <w:spacing w:before="240" w:after="60"/>
      <w:jc w:val="center"/>
      <w:outlineLvl w:val="0"/>
    </w:pPr>
    <w:rPr>
      <w:rFonts w:ascii="Cambria" w:hAnsi="Cambria"/>
      <w:b/>
      <w:bCs/>
      <w:sz w:val="32"/>
      <w:szCs w:val="32"/>
    </w:rPr>
  </w:style>
  <w:style w:type="paragraph" w:styleId="86">
    <w:name w:val="annotation subject"/>
    <w:basedOn w:val="28"/>
    <w:next w:val="28"/>
    <w:link w:val="137"/>
    <w:qFormat/>
    <w:uiPriority w:val="0"/>
    <w:pPr>
      <w:widowControl/>
      <w:spacing w:afterLines="50"/>
    </w:pPr>
    <w:rPr>
      <w:b/>
      <w:bCs/>
      <w:kern w:val="0"/>
      <w:sz w:val="24"/>
      <w:szCs w:val="20"/>
    </w:rPr>
  </w:style>
  <w:style w:type="paragraph" w:styleId="87">
    <w:name w:val="Body Text First Indent 2"/>
    <w:basedOn w:val="36"/>
    <w:qFormat/>
    <w:uiPriority w:val="0"/>
    <w:pPr>
      <w:ind w:firstLine="420" w:firstLineChars="200"/>
    </w:pPr>
  </w:style>
  <w:style w:type="table" w:styleId="89">
    <w:name w:val="Table Grid"/>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99"/>
    <w:rPr>
      <w:b/>
      <w:bCs/>
    </w:rPr>
  </w:style>
  <w:style w:type="character" w:styleId="92">
    <w:name w:val="page number"/>
    <w:basedOn w:val="90"/>
    <w:qFormat/>
    <w:uiPriority w:val="0"/>
  </w:style>
  <w:style w:type="character" w:styleId="93">
    <w:name w:val="FollowedHyperlink"/>
    <w:qFormat/>
    <w:uiPriority w:val="0"/>
    <w:rPr>
      <w:color w:val="800080"/>
      <w:u w:val="single"/>
    </w:rPr>
  </w:style>
  <w:style w:type="character" w:styleId="94">
    <w:name w:val="Emphasis"/>
    <w:qFormat/>
    <w:uiPriority w:val="0"/>
    <w:rPr>
      <w:color w:val="CC0000"/>
    </w:rPr>
  </w:style>
  <w:style w:type="character" w:styleId="95">
    <w:name w:val="Hyperlink"/>
    <w:qFormat/>
    <w:uiPriority w:val="99"/>
    <w:rPr>
      <w:color w:val="0000FF"/>
      <w:u w:val="single"/>
    </w:rPr>
  </w:style>
  <w:style w:type="character" w:styleId="96">
    <w:name w:val="annotation reference"/>
    <w:qFormat/>
    <w:uiPriority w:val="0"/>
    <w:rPr>
      <w:sz w:val="21"/>
      <w:szCs w:val="21"/>
    </w:rPr>
  </w:style>
  <w:style w:type="paragraph" w:customStyle="1" w:styleId="97">
    <w:name w:val="NormalIndent"/>
    <w:basedOn w:val="1"/>
    <w:qFormat/>
    <w:uiPriority w:val="0"/>
    <w:pPr>
      <w:ind w:firstLine="420"/>
    </w:pPr>
    <w:rPr>
      <w:szCs w:val="20"/>
    </w:rPr>
  </w:style>
  <w:style w:type="paragraph" w:customStyle="1" w:styleId="98">
    <w:name w:val="一级标题"/>
    <w:basedOn w:val="2"/>
    <w:qFormat/>
    <w:uiPriority w:val="0"/>
    <w:pPr>
      <w:numPr>
        <w:ilvl w:val="0"/>
        <w:numId w:val="1"/>
      </w:numPr>
      <w:jc w:val="left"/>
    </w:pPr>
    <w:rPr>
      <w:rFonts w:ascii="黑体"/>
    </w:rPr>
  </w:style>
  <w:style w:type="paragraph" w:customStyle="1" w:styleId="99">
    <w:name w:val="列出段落1"/>
    <w:basedOn w:val="1"/>
    <w:qFormat/>
    <w:uiPriority w:val="0"/>
    <w:pPr>
      <w:ind w:firstLine="420" w:firstLineChars="200"/>
    </w:pPr>
    <w:rPr>
      <w:rFonts w:ascii="Calibri" w:hAnsi="Calibri"/>
      <w:szCs w:val="22"/>
    </w:rPr>
  </w:style>
  <w:style w:type="character" w:customStyle="1" w:styleId="100">
    <w:name w:val="正文（缩进2汉字） Char"/>
    <w:link w:val="101"/>
    <w:qFormat/>
    <w:uiPriority w:val="0"/>
    <w:rPr>
      <w:rFonts w:ascii="宋体"/>
      <w:kern w:val="2"/>
      <w:sz w:val="21"/>
      <w:lang w:bidi="ar-SA"/>
    </w:rPr>
  </w:style>
  <w:style w:type="paragraph" w:customStyle="1" w:styleId="101">
    <w:name w:val="正文（缩进2汉字）"/>
    <w:basedOn w:val="1"/>
    <w:link w:val="100"/>
    <w:qFormat/>
    <w:uiPriority w:val="0"/>
    <w:pPr>
      <w:tabs>
        <w:tab w:val="left" w:pos="525"/>
      </w:tabs>
      <w:spacing w:before="100" w:beforeAutospacing="1" w:after="100" w:afterAutospacing="1"/>
      <w:ind w:left="120" w:leftChars="50" w:firstLine="494" w:firstLineChars="206"/>
    </w:pPr>
    <w:rPr>
      <w:rFonts w:ascii="宋体"/>
      <w:szCs w:val="20"/>
    </w:rPr>
  </w:style>
  <w:style w:type="character" w:customStyle="1" w:styleId="102">
    <w:name w:val="Table Text Char1"/>
    <w:link w:val="103"/>
    <w:qFormat/>
    <w:uiPriority w:val="0"/>
    <w:rPr>
      <w:rFonts w:ascii="Arial" w:hAnsi="Arial"/>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sz w:val="18"/>
      <w:lang w:val="en-US" w:eastAsia="zh-CN" w:bidi="ar-SA"/>
    </w:rPr>
  </w:style>
  <w:style w:type="character" w:customStyle="1" w:styleId="104">
    <w:name w:val="页眉 Char"/>
    <w:link w:val="58"/>
    <w:qFormat/>
    <w:uiPriority w:val="0"/>
    <w:rPr>
      <w:rFonts w:eastAsia="宋体"/>
      <w:kern w:val="2"/>
      <w:sz w:val="18"/>
      <w:szCs w:val="18"/>
      <w:lang w:val="en-US" w:eastAsia="zh-CN" w:bidi="ar-SA"/>
    </w:rPr>
  </w:style>
  <w:style w:type="character" w:customStyle="1" w:styleId="105">
    <w:name w:val="标题 8 Char"/>
    <w:link w:val="11"/>
    <w:qFormat/>
    <w:uiPriority w:val="0"/>
    <w:rPr>
      <w:rFonts w:ascii="Arial" w:hAnsi="Arial" w:eastAsia="黑体"/>
      <w:sz w:val="24"/>
      <w:lang w:val="en-US" w:eastAsia="zh-CN" w:bidi="ar-SA"/>
    </w:rPr>
  </w:style>
  <w:style w:type="character" w:customStyle="1" w:styleId="106">
    <w:name w:val="style51"/>
    <w:qFormat/>
    <w:uiPriority w:val="0"/>
    <w:rPr>
      <w:sz w:val="21"/>
      <w:szCs w:val="21"/>
    </w:rPr>
  </w:style>
  <w:style w:type="character" w:customStyle="1" w:styleId="107">
    <w:name w:val="标题 4 Char"/>
    <w:link w:val="7"/>
    <w:qFormat/>
    <w:uiPriority w:val="0"/>
    <w:rPr>
      <w:rFonts w:ascii="Arial" w:hAnsi="Arial" w:eastAsia="黑体"/>
      <w:b/>
      <w:kern w:val="2"/>
      <w:sz w:val="28"/>
    </w:rPr>
  </w:style>
  <w:style w:type="character" w:customStyle="1" w:styleId="108">
    <w:name w:val="明显引用 Char"/>
    <w:link w:val="109"/>
    <w:qFormat/>
    <w:uiPriority w:val="0"/>
    <w:rPr>
      <w:rFonts w:eastAsia="宋体"/>
      <w:b/>
      <w:bCs/>
      <w:i/>
      <w:iCs/>
      <w:color w:val="4F81BD"/>
      <w:kern w:val="2"/>
      <w:sz w:val="21"/>
      <w:szCs w:val="24"/>
      <w:lang w:val="en-US" w:eastAsia="zh-CN" w:bidi="ar-SA"/>
    </w:rPr>
  </w:style>
  <w:style w:type="paragraph" w:customStyle="1" w:styleId="109">
    <w:name w:val="Intense Quote"/>
    <w:basedOn w:val="1"/>
    <w:next w:val="1"/>
    <w:link w:val="108"/>
    <w:qFormat/>
    <w:uiPriority w:val="0"/>
    <w:pPr>
      <w:pBdr>
        <w:bottom w:val="single" w:color="4F81BD" w:sz="4" w:space="4"/>
      </w:pBdr>
      <w:spacing w:before="200" w:after="280"/>
      <w:ind w:left="936" w:right="936"/>
    </w:pPr>
    <w:rPr>
      <w:b/>
      <w:bCs/>
      <w:i/>
      <w:iCs/>
      <w:color w:val="4F81BD"/>
    </w:rPr>
  </w:style>
  <w:style w:type="character" w:customStyle="1" w:styleId="110">
    <w:name w:val="Char Char8"/>
    <w:qFormat/>
    <w:uiPriority w:val="0"/>
    <w:rPr>
      <w:rFonts w:ascii="宋体" w:eastAsia="宋体"/>
      <w:kern w:val="2"/>
      <w:sz w:val="28"/>
      <w:lang w:val="en-US" w:eastAsia="zh-CN" w:bidi="ar-SA"/>
    </w:rPr>
  </w:style>
  <w:style w:type="character" w:customStyle="1" w:styleId="111">
    <w:name w:val="ca-3"/>
    <w:basedOn w:val="90"/>
    <w:qFormat/>
    <w:uiPriority w:val="0"/>
  </w:style>
  <w:style w:type="character" w:customStyle="1" w:styleId="112">
    <w:name w:val="标题 2 Char"/>
    <w:link w:val="4"/>
    <w:qFormat/>
    <w:uiPriority w:val="9"/>
    <w:rPr>
      <w:rFonts w:ascii="Arial" w:hAnsi="Arial" w:eastAsia="黑体"/>
      <w:b/>
      <w:kern w:val="2"/>
      <w:sz w:val="32"/>
    </w:rPr>
  </w:style>
  <w:style w:type="character" w:customStyle="1" w:styleId="113">
    <w:name w:val="Char Char19"/>
    <w:qFormat/>
    <w:uiPriority w:val="0"/>
    <w:rPr>
      <w:rFonts w:eastAsia="宋体"/>
      <w:kern w:val="2"/>
      <w:sz w:val="21"/>
      <w:szCs w:val="24"/>
      <w:lang w:val="en-US" w:eastAsia="zh-CN" w:bidi="ar-SA"/>
    </w:rPr>
  </w:style>
  <w:style w:type="character" w:customStyle="1" w:styleId="114">
    <w:name w:val="HTML 地址 Char"/>
    <w:link w:val="42"/>
    <w:qFormat/>
    <w:uiPriority w:val="0"/>
    <w:rPr>
      <w:rFonts w:eastAsia="宋体"/>
      <w:i/>
      <w:iCs/>
      <w:kern w:val="2"/>
      <w:sz w:val="21"/>
      <w:szCs w:val="24"/>
      <w:lang w:val="en-US" w:eastAsia="zh-CN" w:bidi="ar-SA"/>
    </w:rPr>
  </w:style>
  <w:style w:type="character" w:customStyle="1" w:styleId="115">
    <w:name w:val="Char Char16"/>
    <w:semiHidden/>
    <w:qFormat/>
    <w:uiPriority w:val="0"/>
    <w:rPr>
      <w:rFonts w:eastAsia="宋体"/>
      <w:kern w:val="2"/>
      <w:sz w:val="21"/>
      <w:szCs w:val="24"/>
      <w:lang w:val="en-US" w:eastAsia="zh-CN" w:bidi="ar-SA"/>
    </w:rPr>
  </w:style>
  <w:style w:type="character" w:customStyle="1" w:styleId="116">
    <w:name w:val="正文文本 Char"/>
    <w:link w:val="34"/>
    <w:qFormat/>
    <w:locked/>
    <w:uiPriority w:val="99"/>
    <w:rPr>
      <w:rFonts w:eastAsia="仿宋_GB2312"/>
      <w:kern w:val="2"/>
      <w:sz w:val="28"/>
      <w:szCs w:val="24"/>
      <w:lang w:val="en-US" w:eastAsia="zh-CN" w:bidi="ar-SA"/>
    </w:rPr>
  </w:style>
  <w:style w:type="character" w:customStyle="1" w:styleId="117">
    <w:name w:val="Char Char9"/>
    <w:qFormat/>
    <w:uiPriority w:val="0"/>
    <w:rPr>
      <w:b/>
      <w:kern w:val="2"/>
      <w:sz w:val="24"/>
      <w:szCs w:val="24"/>
    </w:rPr>
  </w:style>
  <w:style w:type="character" w:customStyle="1" w:styleId="118">
    <w:name w:val="H4 Char"/>
    <w:qFormat/>
    <w:uiPriority w:val="0"/>
    <w:rPr>
      <w:rFonts w:ascii="宋体" w:hAnsi="宋体" w:eastAsia="黑体"/>
      <w:b/>
      <w:bCs/>
      <w:color w:val="000000"/>
      <w:spacing w:val="-4"/>
      <w:kern w:val="2"/>
      <w:sz w:val="24"/>
      <w:szCs w:val="30"/>
      <w:lang w:val="en-US" w:eastAsia="zh-CN" w:bidi="ar-SA"/>
    </w:rPr>
  </w:style>
  <w:style w:type="character" w:customStyle="1" w:styleId="119">
    <w:name w:val="info"/>
    <w:basedOn w:val="90"/>
    <w:qFormat/>
    <w:uiPriority w:val="0"/>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Char Char3"/>
    <w:qFormat/>
    <w:uiPriority w:val="0"/>
    <w:rPr>
      <w:rFonts w:eastAsia="仿宋_GB2312"/>
      <w:kern w:val="2"/>
      <w:sz w:val="28"/>
      <w:szCs w:val="24"/>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表格 Char Char"/>
    <w:link w:val="124"/>
    <w:qFormat/>
    <w:locked/>
    <w:uiPriority w:val="0"/>
    <w:rPr>
      <w:rFonts w:ascii="宋体" w:hAnsi="宋体" w:eastAsia="宋体"/>
      <w:lang w:val="en-US" w:eastAsia="zh-CN" w:bidi="ar-SA"/>
    </w:rPr>
  </w:style>
  <w:style w:type="paragraph" w:customStyle="1" w:styleId="124">
    <w:name w:val="表格"/>
    <w:basedOn w:val="1"/>
    <w:link w:val="123"/>
    <w:qFormat/>
    <w:uiPriority w:val="0"/>
    <w:pPr>
      <w:snapToGrid w:val="0"/>
      <w:ind w:firstLine="42" w:firstLineChars="21"/>
    </w:pPr>
    <w:rPr>
      <w:rFonts w:ascii="宋体" w:hAnsi="宋体"/>
      <w:kern w:val="0"/>
      <w:sz w:val="20"/>
      <w:szCs w:val="20"/>
    </w:rPr>
  </w:style>
  <w:style w:type="character" w:customStyle="1" w:styleId="125">
    <w:name w:val="Char Char33"/>
    <w:qFormat/>
    <w:uiPriority w:val="0"/>
    <w:rPr>
      <w:rFonts w:eastAsia="仿宋_GB2312"/>
      <w:b/>
      <w:kern w:val="2"/>
      <w:sz w:val="32"/>
      <w:lang w:val="en-US" w:eastAsia="zh-CN" w:bidi="ar-SA"/>
    </w:rPr>
  </w:style>
  <w:style w:type="character" w:customStyle="1" w:styleId="126">
    <w:name w:val="Char Char20"/>
    <w:qFormat/>
    <w:locked/>
    <w:uiPriority w:val="0"/>
    <w:rPr>
      <w:rFonts w:eastAsia="宋体"/>
      <w:kern w:val="2"/>
      <w:sz w:val="21"/>
      <w:szCs w:val="24"/>
      <w:lang w:val="en-US" w:eastAsia="zh-CN" w:bidi="ar-SA"/>
    </w:rPr>
  </w:style>
  <w:style w:type="character" w:customStyle="1" w:styleId="127">
    <w:name w:val="Char Char35"/>
    <w:qFormat/>
    <w:uiPriority w:val="0"/>
    <w:rPr>
      <w:rFonts w:eastAsia="仿宋_GB2312"/>
      <w:b/>
      <w:kern w:val="44"/>
      <w:sz w:val="44"/>
      <w:lang w:val="en-US" w:eastAsia="zh-CN" w:bidi="ar-SA"/>
    </w:rPr>
  </w:style>
  <w:style w:type="character" w:customStyle="1" w:styleId="128">
    <w:name w:val="正文文本缩进 Char"/>
    <w:link w:val="36"/>
    <w:qFormat/>
    <w:uiPriority w:val="99"/>
    <w:rPr>
      <w:rFonts w:eastAsia="宋体"/>
      <w:kern w:val="2"/>
      <w:sz w:val="21"/>
      <w:szCs w:val="24"/>
      <w:lang w:val="en-US" w:eastAsia="zh-CN" w:bidi="ar-SA"/>
    </w:rPr>
  </w:style>
  <w:style w:type="character" w:customStyle="1" w:styleId="129">
    <w:name w:val="Char Char27"/>
    <w:qFormat/>
    <w:uiPriority w:val="0"/>
    <w:rPr>
      <w:rFonts w:ascii="Arial" w:hAnsi="Arial" w:eastAsia="黑体"/>
      <w:sz w:val="24"/>
      <w:lang w:val="en-US" w:eastAsia="zh-CN" w:bidi="ar-SA"/>
    </w:rPr>
  </w:style>
  <w:style w:type="character" w:customStyle="1" w:styleId="130">
    <w:name w:val="标题 3 Char"/>
    <w:link w:val="6"/>
    <w:qFormat/>
    <w:uiPriority w:val="9"/>
    <w:rPr>
      <w:rFonts w:eastAsia="仿宋_GB2312"/>
      <w:b/>
      <w:kern w:val="2"/>
      <w:sz w:val="32"/>
    </w:rPr>
  </w:style>
  <w:style w:type="character" w:customStyle="1" w:styleId="131">
    <w:name w:val="style21"/>
    <w:qFormat/>
    <w:uiPriority w:val="0"/>
    <w:rPr>
      <w:sz w:val="15"/>
      <w:szCs w:val="15"/>
    </w:rPr>
  </w:style>
  <w:style w:type="character" w:customStyle="1" w:styleId="132">
    <w:name w:val="标题 9 Char"/>
    <w:link w:val="12"/>
    <w:qFormat/>
    <w:uiPriority w:val="0"/>
    <w:rPr>
      <w:rFonts w:ascii="Arial" w:hAnsi="Arial" w:eastAsia="黑体"/>
      <w:sz w:val="24"/>
      <w:lang w:val="en-US" w:eastAsia="zh-CN" w:bidi="ar-SA"/>
    </w:rPr>
  </w:style>
  <w:style w:type="character" w:customStyle="1" w:styleId="133">
    <w:name w:val="Char Char34"/>
    <w:qFormat/>
    <w:uiPriority w:val="0"/>
    <w:rPr>
      <w:rFonts w:ascii="Arial" w:hAnsi="Arial" w:eastAsia="黑体"/>
      <w:b/>
      <w:kern w:val="2"/>
      <w:sz w:val="32"/>
      <w:lang w:val="en-US" w:eastAsia="zh-CN" w:bidi="ar-SA"/>
    </w:rPr>
  </w:style>
  <w:style w:type="character" w:customStyle="1" w:styleId="134">
    <w:name w:val="Char Char24"/>
    <w:qFormat/>
    <w:uiPriority w:val="0"/>
    <w:rPr>
      <w:rFonts w:ascii="宋体" w:hAnsi="Courier New" w:eastAsia="宋体"/>
      <w:kern w:val="2"/>
      <w:sz w:val="21"/>
      <w:lang w:val="en-US" w:eastAsia="zh-CN" w:bidi="ar-SA"/>
    </w:rPr>
  </w:style>
  <w:style w:type="character" w:customStyle="1" w:styleId="135">
    <w:name w:val="称呼 Char"/>
    <w:link w:val="30"/>
    <w:qFormat/>
    <w:uiPriority w:val="0"/>
    <w:rPr>
      <w:rFonts w:eastAsia="宋体"/>
      <w:kern w:val="2"/>
      <w:sz w:val="21"/>
      <w:szCs w:val="24"/>
      <w:lang w:val="en-US" w:eastAsia="zh-CN" w:bidi="ar-SA"/>
    </w:rPr>
  </w:style>
  <w:style w:type="character" w:customStyle="1" w:styleId="136">
    <w:name w:val="Char Char23"/>
    <w:qFormat/>
    <w:locked/>
    <w:uiPriority w:val="0"/>
    <w:rPr>
      <w:rFonts w:eastAsia="仿宋_GB2312"/>
      <w:kern w:val="2"/>
      <w:sz w:val="28"/>
      <w:szCs w:val="24"/>
      <w:lang w:val="en-US" w:eastAsia="zh-CN" w:bidi="ar-SA"/>
    </w:rPr>
  </w:style>
  <w:style w:type="character" w:customStyle="1" w:styleId="137">
    <w:name w:val="批注主题 Char"/>
    <w:basedOn w:val="138"/>
    <w:link w:val="86"/>
    <w:qFormat/>
    <w:uiPriority w:val="0"/>
    <w:rPr>
      <w:rFonts w:eastAsia="宋体"/>
      <w:b/>
      <w:bCs/>
      <w:kern w:val="2"/>
      <w:sz w:val="24"/>
      <w:szCs w:val="24"/>
      <w:lang w:val="en-US" w:eastAsia="zh-CN" w:bidi="ar-SA"/>
    </w:rPr>
  </w:style>
  <w:style w:type="character" w:customStyle="1" w:styleId="138">
    <w:name w:val="批注文字 Char"/>
    <w:link w:val="28"/>
    <w:qFormat/>
    <w:uiPriority w:val="0"/>
    <w:rPr>
      <w:rFonts w:eastAsia="宋体"/>
      <w:kern w:val="2"/>
      <w:sz w:val="21"/>
      <w:szCs w:val="24"/>
      <w:lang w:val="en-US" w:eastAsia="zh-CN" w:bidi="ar-SA"/>
    </w:rPr>
  </w:style>
  <w:style w:type="character" w:customStyle="1" w:styleId="139">
    <w:name w:val="paragraph1 Char"/>
    <w:link w:val="140"/>
    <w:qFormat/>
    <w:uiPriority w:val="0"/>
    <w:rPr>
      <w:rFonts w:ascii="Arial" w:hAnsi="Arial" w:eastAsia="宋体"/>
      <w:sz w:val="24"/>
      <w:szCs w:val="24"/>
      <w:lang w:bidi="ar-SA"/>
    </w:rPr>
  </w:style>
  <w:style w:type="paragraph" w:customStyle="1" w:styleId="140">
    <w:name w:val="paragraph1"/>
    <w:basedOn w:val="1"/>
    <w:link w:val="139"/>
    <w:qFormat/>
    <w:uiPriority w:val="0"/>
    <w:pPr>
      <w:spacing w:afterLines="30" w:line="360" w:lineRule="auto"/>
      <w:ind w:firstLine="480" w:firstLineChars="200"/>
    </w:pPr>
    <w:rPr>
      <w:rFonts w:ascii="Arial" w:hAnsi="Arial"/>
      <w:kern w:val="0"/>
      <w:sz w:val="24"/>
    </w:rPr>
  </w:style>
  <w:style w:type="character" w:customStyle="1" w:styleId="141">
    <w:name w:val="Char Char22"/>
    <w:qFormat/>
    <w:uiPriority w:val="0"/>
    <w:rPr>
      <w:rFonts w:ascii="宋体" w:hAnsi="Courier New" w:eastAsia="宋体"/>
      <w:kern w:val="2"/>
      <w:sz w:val="21"/>
      <w:lang w:val="en-US" w:eastAsia="zh-CN" w:bidi="ar-SA"/>
    </w:rPr>
  </w:style>
  <w:style w:type="character" w:customStyle="1" w:styleId="142">
    <w:name w:val="font1"/>
    <w:qFormat/>
    <w:uiPriority w:val="0"/>
    <w:rPr>
      <w:color w:val="999999"/>
      <w:sz w:val="18"/>
      <w:szCs w:val="18"/>
      <w:u w:val="none"/>
    </w:rPr>
  </w:style>
  <w:style w:type="character" w:customStyle="1" w:styleId="143">
    <w:name w:val="正文2 Char"/>
    <w:link w:val="144"/>
    <w:qFormat/>
    <w:uiPriority w:val="0"/>
    <w:rPr>
      <w:rFonts w:eastAsia="宋体"/>
      <w:kern w:val="2"/>
      <w:sz w:val="24"/>
      <w:lang w:val="en-US" w:eastAsia="zh-CN" w:bidi="ar-SA"/>
    </w:rPr>
  </w:style>
  <w:style w:type="paragraph" w:customStyle="1" w:styleId="144">
    <w:name w:val="正文2"/>
    <w:basedOn w:val="1"/>
    <w:link w:val="143"/>
    <w:qFormat/>
    <w:uiPriority w:val="0"/>
    <w:pPr>
      <w:spacing w:before="156" w:line="360" w:lineRule="auto"/>
      <w:ind w:firstLine="510" w:firstLineChars="200"/>
    </w:pPr>
    <w:rPr>
      <w:sz w:val="24"/>
      <w:szCs w:val="20"/>
    </w:rPr>
  </w:style>
  <w:style w:type="character" w:customStyle="1" w:styleId="145">
    <w:name w:val="Char Char32"/>
    <w:qFormat/>
    <w:uiPriority w:val="0"/>
    <w:rPr>
      <w:rFonts w:ascii="Arial" w:hAnsi="Arial" w:eastAsia="黑体"/>
      <w:b/>
      <w:kern w:val="2"/>
      <w:sz w:val="28"/>
      <w:lang w:val="en-US" w:eastAsia="zh-CN" w:bidi="ar-SA"/>
    </w:rPr>
  </w:style>
  <w:style w:type="character" w:customStyle="1" w:styleId="146">
    <w:name w:val="纯文本 Char"/>
    <w:link w:val="46"/>
    <w:qFormat/>
    <w:uiPriority w:val="0"/>
    <w:rPr>
      <w:rFonts w:ascii="宋体" w:hAnsi="Courier New" w:eastAsia="宋体"/>
      <w:kern w:val="2"/>
      <w:sz w:val="21"/>
      <w:lang w:val="en-US" w:eastAsia="zh-CN" w:bidi="ar-SA"/>
    </w:rPr>
  </w:style>
  <w:style w:type="character" w:customStyle="1" w:styleId="147">
    <w:name w:val="Char Char7"/>
    <w:qFormat/>
    <w:uiPriority w:val="0"/>
    <w:rPr>
      <w:rFonts w:eastAsia="仿宋_GB2312"/>
      <w:kern w:val="2"/>
      <w:sz w:val="24"/>
      <w:szCs w:val="24"/>
      <w:lang w:val="en-US" w:eastAsia="zh-CN" w:bidi="ar-SA"/>
    </w:rPr>
  </w:style>
  <w:style w:type="character" w:customStyle="1" w:styleId="148">
    <w:name w:val="apple-style-span"/>
    <w:basedOn w:val="90"/>
    <w:qFormat/>
    <w:uiPriority w:val="0"/>
  </w:style>
  <w:style w:type="character" w:customStyle="1" w:styleId="149">
    <w:name w:val="font01"/>
    <w:basedOn w:val="90"/>
    <w:qFormat/>
    <w:uiPriority w:val="99"/>
    <w:rPr>
      <w:rFonts w:ascii="Calibri" w:hAnsi="Calibri" w:cs="Calibri"/>
      <w:color w:val="000000"/>
      <w:sz w:val="21"/>
      <w:szCs w:val="21"/>
      <w:u w:val="none"/>
    </w:rPr>
  </w:style>
  <w:style w:type="character" w:customStyle="1" w:styleId="150">
    <w:name w:val="批注框文本 Char"/>
    <w:basedOn w:val="90"/>
    <w:link w:val="55"/>
    <w:qFormat/>
    <w:uiPriority w:val="0"/>
    <w:rPr>
      <w:kern w:val="2"/>
      <w:sz w:val="18"/>
      <w:szCs w:val="18"/>
    </w:rPr>
  </w:style>
  <w:style w:type="character" w:customStyle="1" w:styleId="151">
    <w:name w:val="项目排列 Char"/>
    <w:link w:val="152"/>
    <w:qFormat/>
    <w:uiPriority w:val="0"/>
    <w:rPr>
      <w:kern w:val="2"/>
      <w:sz w:val="24"/>
      <w:szCs w:val="24"/>
    </w:rPr>
  </w:style>
  <w:style w:type="paragraph" w:customStyle="1" w:styleId="152">
    <w:name w:val="项目排列"/>
    <w:basedOn w:val="1"/>
    <w:link w:val="151"/>
    <w:qFormat/>
    <w:uiPriority w:val="0"/>
    <w:pPr>
      <w:tabs>
        <w:tab w:val="left" w:pos="900"/>
      </w:tabs>
      <w:spacing w:beforeLines="50" w:afterLines="50" w:line="300" w:lineRule="auto"/>
      <w:ind w:left="900" w:hanging="420"/>
    </w:pPr>
    <w:rPr>
      <w:sz w:val="24"/>
    </w:rPr>
  </w:style>
  <w:style w:type="character" w:customStyle="1" w:styleId="153">
    <w:name w:val="列出段落 Char"/>
    <w:link w:val="154"/>
    <w:qFormat/>
    <w:uiPriority w:val="0"/>
    <w:rPr>
      <w:rFonts w:ascii="Calibri" w:hAnsi="Calibri" w:eastAsia="宋体"/>
      <w:sz w:val="22"/>
      <w:szCs w:val="22"/>
      <w:lang w:val="en-US" w:eastAsia="zh-CN" w:bidi="ar-SA"/>
    </w:rPr>
  </w:style>
  <w:style w:type="paragraph" w:customStyle="1" w:styleId="154">
    <w:name w:val="List Paragraph"/>
    <w:basedOn w:val="1"/>
    <w:link w:val="153"/>
    <w:qFormat/>
    <w:uiPriority w:val="99"/>
    <w:pPr>
      <w:widowControl/>
      <w:spacing w:after="200" w:line="276" w:lineRule="auto"/>
      <w:ind w:left="720"/>
      <w:contextualSpacing/>
      <w:jc w:val="left"/>
    </w:pPr>
    <w:rPr>
      <w:rFonts w:ascii="Calibri" w:hAnsi="Calibri"/>
      <w:kern w:val="0"/>
      <w:sz w:val="22"/>
      <w:szCs w:val="22"/>
    </w:rPr>
  </w:style>
  <w:style w:type="character" w:customStyle="1" w:styleId="155">
    <w:name w:val="正文段 Char"/>
    <w:link w:val="156"/>
    <w:qFormat/>
    <w:uiPriority w:val="0"/>
    <w:rPr>
      <w:sz w:val="24"/>
    </w:rPr>
  </w:style>
  <w:style w:type="paragraph" w:customStyle="1" w:styleId="156">
    <w:name w:val="正文段"/>
    <w:basedOn w:val="1"/>
    <w:link w:val="155"/>
    <w:qFormat/>
    <w:uiPriority w:val="0"/>
    <w:pPr>
      <w:widowControl/>
      <w:snapToGrid w:val="0"/>
      <w:spacing w:afterLines="50"/>
      <w:ind w:firstLine="200" w:firstLineChars="200"/>
    </w:pPr>
    <w:rPr>
      <w:kern w:val="0"/>
      <w:sz w:val="24"/>
      <w:szCs w:val="20"/>
    </w:rPr>
  </w:style>
  <w:style w:type="character" w:customStyle="1" w:styleId="157">
    <w:name w:val="正文缩进 Char"/>
    <w:link w:val="5"/>
    <w:qFormat/>
    <w:uiPriority w:val="0"/>
    <w:rPr>
      <w:rFonts w:eastAsia="宋体"/>
      <w:kern w:val="2"/>
      <w:sz w:val="21"/>
      <w:szCs w:val="24"/>
      <w:lang w:val="en-US" w:eastAsia="zh-CN" w:bidi="ar-SA"/>
    </w:rPr>
  </w:style>
  <w:style w:type="character" w:customStyle="1" w:styleId="158">
    <w:name w:val="font21"/>
    <w:basedOn w:val="90"/>
    <w:qFormat/>
    <w:uiPriority w:val="99"/>
    <w:rPr>
      <w:rFonts w:hint="eastAsia" w:ascii="宋体" w:hAnsi="宋体" w:eastAsia="宋体" w:cs="宋体"/>
      <w:color w:val="0000FF"/>
      <w:sz w:val="21"/>
      <w:szCs w:val="21"/>
      <w:u w:val="none"/>
    </w:rPr>
  </w:style>
  <w:style w:type="character" w:customStyle="1" w:styleId="159">
    <w:name w:val="Char Char18"/>
    <w:qFormat/>
    <w:uiPriority w:val="0"/>
    <w:rPr>
      <w:rFonts w:ascii="隶书" w:eastAsia="隶书"/>
      <w:bCs/>
      <w:sz w:val="72"/>
      <w:szCs w:val="84"/>
      <w:lang w:val="en-US" w:eastAsia="zh-CN" w:bidi="ar-SA"/>
    </w:rPr>
  </w:style>
  <w:style w:type="character" w:customStyle="1" w:styleId="160">
    <w:name w:val="font71"/>
    <w:basedOn w:val="90"/>
    <w:qFormat/>
    <w:uiPriority w:val="0"/>
    <w:rPr>
      <w:rFonts w:hint="eastAsia" w:ascii="宋体" w:hAnsi="宋体" w:eastAsia="宋体" w:cs="宋体"/>
      <w:b/>
      <w:color w:val="000000"/>
      <w:sz w:val="22"/>
      <w:szCs w:val="22"/>
      <w:u w:val="none"/>
    </w:rPr>
  </w:style>
  <w:style w:type="character" w:customStyle="1" w:styleId="161">
    <w:name w:val="标题 5 Char"/>
    <w:link w:val="8"/>
    <w:qFormat/>
    <w:uiPriority w:val="0"/>
    <w:rPr>
      <w:sz w:val="24"/>
    </w:rPr>
  </w:style>
  <w:style w:type="character" w:customStyle="1" w:styleId="162">
    <w:name w:val="日期 Char"/>
    <w:link w:val="51"/>
    <w:qFormat/>
    <w:uiPriority w:val="0"/>
    <w:rPr>
      <w:rFonts w:ascii="楷体_GB2312" w:eastAsia="楷体_GB2312"/>
      <w:b/>
      <w:kern w:val="2"/>
      <w:sz w:val="28"/>
      <w:lang w:val="en-US" w:eastAsia="zh-CN" w:bidi="ar-SA"/>
    </w:rPr>
  </w:style>
  <w:style w:type="character" w:customStyle="1" w:styleId="163">
    <w:name w:val="标题 7 Char"/>
    <w:link w:val="10"/>
    <w:qFormat/>
    <w:uiPriority w:val="0"/>
    <w:rPr>
      <w:rFonts w:ascii="宋体" w:hAnsi="Arial" w:eastAsia="宋体"/>
      <w:b/>
      <w:sz w:val="24"/>
      <w:lang w:val="en-US" w:eastAsia="zh-CN" w:bidi="ar-SA"/>
    </w:rPr>
  </w:style>
  <w:style w:type="character" w:customStyle="1" w:styleId="164">
    <w:name w:val="自定义正文 Char"/>
    <w:link w:val="165"/>
    <w:qFormat/>
    <w:uiPriority w:val="0"/>
    <w:rPr>
      <w:rFonts w:ascii="仿宋_GB2312" w:eastAsia="仿宋_GB2312"/>
      <w:kern w:val="2"/>
      <w:sz w:val="28"/>
      <w:szCs w:val="24"/>
      <w:lang w:val="en-US" w:eastAsia="zh-CN" w:bidi="ar-SA"/>
    </w:rPr>
  </w:style>
  <w:style w:type="paragraph" w:customStyle="1" w:styleId="165">
    <w:name w:val="自定义正文"/>
    <w:basedOn w:val="1"/>
    <w:link w:val="164"/>
    <w:qFormat/>
    <w:uiPriority w:val="0"/>
    <w:pPr>
      <w:spacing w:line="480" w:lineRule="exact"/>
      <w:ind w:firstLine="200" w:firstLineChars="200"/>
      <w:jc w:val="left"/>
    </w:pPr>
    <w:rPr>
      <w:rFonts w:ascii="仿宋_GB2312" w:eastAsia="仿宋_GB2312"/>
      <w:sz w:val="28"/>
    </w:rPr>
  </w:style>
  <w:style w:type="character" w:customStyle="1" w:styleId="166">
    <w:name w:val="文档结构图 Char"/>
    <w:link w:val="26"/>
    <w:semiHidden/>
    <w:qFormat/>
    <w:uiPriority w:val="99"/>
    <w:rPr>
      <w:rFonts w:eastAsia="宋体"/>
      <w:kern w:val="2"/>
      <w:sz w:val="21"/>
      <w:szCs w:val="24"/>
      <w:lang w:val="en-US" w:eastAsia="zh-CN" w:bidi="ar-SA"/>
    </w:rPr>
  </w:style>
  <w:style w:type="character" w:customStyle="1" w:styleId="167">
    <w:name w:val="标题 6 Char"/>
    <w:link w:val="9"/>
    <w:qFormat/>
    <w:uiPriority w:val="0"/>
    <w:rPr>
      <w:rFonts w:ascii="宋体" w:hAnsi="Arial" w:eastAsia="宋体"/>
      <w:sz w:val="24"/>
      <w:lang w:val="en-US" w:eastAsia="zh-CN" w:bidi="ar-SA"/>
    </w:rPr>
  </w:style>
  <w:style w:type="character" w:customStyle="1" w:styleId="168">
    <w:name w:val="正文文本 2 Char"/>
    <w:link w:val="77"/>
    <w:qFormat/>
    <w:uiPriority w:val="0"/>
    <w:rPr>
      <w:rFonts w:ascii="隶书" w:eastAsia="隶书"/>
      <w:bCs/>
      <w:sz w:val="72"/>
      <w:szCs w:val="84"/>
      <w:lang w:val="en-US" w:eastAsia="zh-CN" w:bidi="ar-SA"/>
    </w:rPr>
  </w:style>
  <w:style w:type="character" w:customStyle="1" w:styleId="169">
    <w:name w:val="font91"/>
    <w:basedOn w:val="90"/>
    <w:qFormat/>
    <w:uiPriority w:val="0"/>
    <w:rPr>
      <w:rFonts w:hint="eastAsia" w:ascii="宋体" w:hAnsi="宋体" w:eastAsia="宋体" w:cs="宋体"/>
      <w:color w:val="000000"/>
      <w:sz w:val="22"/>
      <w:szCs w:val="22"/>
      <w:u w:val="none"/>
    </w:rPr>
  </w:style>
  <w:style w:type="character" w:customStyle="1" w:styleId="170">
    <w:name w:val="style11"/>
    <w:qFormat/>
    <w:uiPriority w:val="0"/>
    <w:rPr>
      <w:b/>
      <w:bCs/>
      <w:color w:val="FF0000"/>
    </w:rPr>
  </w:style>
  <w:style w:type="character" w:customStyle="1" w:styleId="171">
    <w:name w:val="注释标题 Char"/>
    <w:link w:val="17"/>
    <w:qFormat/>
    <w:uiPriority w:val="0"/>
    <w:rPr>
      <w:rFonts w:ascii="宋体" w:hAnsi="Courier New" w:eastAsia="宋体"/>
      <w:kern w:val="2"/>
      <w:sz w:val="21"/>
      <w:lang w:val="en-US" w:eastAsia="zh-CN" w:bidi="ar-SA"/>
    </w:rPr>
  </w:style>
  <w:style w:type="character" w:customStyle="1" w:styleId="172">
    <w:name w:val="Char Char31"/>
    <w:qFormat/>
    <w:uiPriority w:val="0"/>
    <w:rPr>
      <w:rFonts w:eastAsia="宋体"/>
      <w:sz w:val="24"/>
      <w:lang w:val="en-US" w:eastAsia="zh-CN" w:bidi="ar-SA"/>
    </w:rPr>
  </w:style>
  <w:style w:type="character" w:customStyle="1" w:styleId="173">
    <w:name w:val="Char Char11"/>
    <w:qFormat/>
    <w:uiPriority w:val="0"/>
    <w:rPr>
      <w:b/>
      <w:kern w:val="44"/>
      <w:sz w:val="44"/>
    </w:rPr>
  </w:style>
  <w:style w:type="character" w:customStyle="1" w:styleId="174">
    <w:name w:val="宋体正文 Char"/>
    <w:link w:val="175"/>
    <w:qFormat/>
    <w:uiPriority w:val="0"/>
    <w:rPr>
      <w:rFonts w:eastAsia="Times New Roman"/>
      <w:kern w:val="2"/>
      <w:sz w:val="24"/>
      <w:szCs w:val="24"/>
      <w:lang w:val="en-US" w:eastAsia="zh-CN" w:bidi="ar-SA"/>
    </w:rPr>
  </w:style>
  <w:style w:type="paragraph" w:customStyle="1" w:styleId="175">
    <w:name w:val="宋体正文"/>
    <w:next w:val="1"/>
    <w:link w:val="174"/>
    <w:qFormat/>
    <w:uiPriority w:val="0"/>
    <w:pPr>
      <w:spacing w:line="360" w:lineRule="auto"/>
      <w:ind w:firstLine="480" w:firstLineChars="200"/>
      <w:jc w:val="both"/>
    </w:pPr>
    <w:rPr>
      <w:rFonts w:ascii="Times New Roman" w:hAnsi="Times New Roman" w:eastAsia="Times New Roman" w:cs="Times New Roman"/>
      <w:kern w:val="2"/>
      <w:sz w:val="24"/>
      <w:szCs w:val="24"/>
      <w:lang w:val="en-US" w:eastAsia="zh-CN" w:bidi="ar-SA"/>
    </w:rPr>
  </w:style>
  <w:style w:type="character" w:customStyle="1" w:styleId="176">
    <w:name w:val="tpc_content1"/>
    <w:qFormat/>
    <w:uiPriority w:val="0"/>
    <w:rPr>
      <w:sz w:val="20"/>
      <w:szCs w:val="20"/>
    </w:rPr>
  </w:style>
  <w:style w:type="character" w:customStyle="1" w:styleId="177">
    <w:name w:val="Char Char29"/>
    <w:qFormat/>
    <w:uiPriority w:val="0"/>
    <w:rPr>
      <w:rFonts w:ascii="宋体" w:hAnsi="Arial" w:eastAsia="宋体"/>
      <w:b/>
      <w:sz w:val="24"/>
      <w:lang w:val="en-US" w:eastAsia="zh-CN" w:bidi="ar-SA"/>
    </w:rPr>
  </w:style>
  <w:style w:type="character" w:customStyle="1" w:styleId="178">
    <w:name w:val="标题 1 Char"/>
    <w:link w:val="2"/>
    <w:qFormat/>
    <w:uiPriority w:val="99"/>
    <w:rPr>
      <w:rFonts w:eastAsia="仿宋_GB2312"/>
      <w:b/>
      <w:kern w:val="44"/>
      <w:sz w:val="44"/>
    </w:rPr>
  </w:style>
  <w:style w:type="character" w:customStyle="1" w:styleId="179">
    <w:name w:val="bulletintext1"/>
    <w:qFormat/>
    <w:uiPriority w:val="0"/>
    <w:rPr>
      <w:rFonts w:hint="eastAsia" w:ascii="宋体" w:hAnsi="宋体" w:eastAsia="宋体"/>
      <w:sz w:val="18"/>
      <w:szCs w:val="18"/>
    </w:rPr>
  </w:style>
  <w:style w:type="character" w:customStyle="1" w:styleId="180">
    <w:name w:val="Char Char30"/>
    <w:qFormat/>
    <w:uiPriority w:val="0"/>
    <w:rPr>
      <w:rFonts w:ascii="宋体" w:hAnsi="Arial" w:eastAsia="宋体"/>
      <w:sz w:val="24"/>
      <w:lang w:val="en-US" w:eastAsia="zh-CN" w:bidi="ar-SA"/>
    </w:rPr>
  </w:style>
  <w:style w:type="character" w:customStyle="1" w:styleId="181">
    <w:name w:val="正文无缩进 Char"/>
    <w:link w:val="182"/>
    <w:qFormat/>
    <w:uiPriority w:val="0"/>
    <w:rPr>
      <w:rFonts w:ascii="宋体" w:eastAsia="宋体"/>
      <w:color w:val="000000"/>
      <w:kern w:val="2"/>
      <w:sz w:val="24"/>
      <w:szCs w:val="24"/>
      <w:lang w:val="en-US" w:eastAsia="zh-CN" w:bidi="ar-SA"/>
    </w:rPr>
  </w:style>
  <w:style w:type="paragraph" w:customStyle="1" w:styleId="182">
    <w:name w:val="正文无缩进"/>
    <w:basedOn w:val="1"/>
    <w:link w:val="181"/>
    <w:qFormat/>
    <w:uiPriority w:val="0"/>
    <w:pPr>
      <w:spacing w:line="360" w:lineRule="auto"/>
    </w:pPr>
    <w:rPr>
      <w:rFonts w:ascii="宋体"/>
      <w:color w:val="000000"/>
      <w:sz w:val="24"/>
    </w:rPr>
  </w:style>
  <w:style w:type="character" w:customStyle="1" w:styleId="183">
    <w:name w:val="Char Char17"/>
    <w:qFormat/>
    <w:uiPriority w:val="0"/>
    <w:rPr>
      <w:rFonts w:ascii="楷体_GB2312" w:eastAsia="楷体_GB2312"/>
      <w:b/>
      <w:kern w:val="2"/>
      <w:sz w:val="28"/>
      <w:lang w:val="en-US" w:eastAsia="zh-CN" w:bidi="ar-SA"/>
    </w:rPr>
  </w:style>
  <w:style w:type="character" w:customStyle="1" w:styleId="184">
    <w:name w:val="Char Char28"/>
    <w:qFormat/>
    <w:uiPriority w:val="0"/>
    <w:rPr>
      <w:rFonts w:ascii="Arial" w:hAnsi="Arial" w:eastAsia="黑体"/>
      <w:sz w:val="24"/>
      <w:lang w:val="en-US" w:eastAsia="zh-CN" w:bidi="ar-SA"/>
    </w:rPr>
  </w:style>
  <w:style w:type="character" w:customStyle="1" w:styleId="185">
    <w:name w:val="舟式样--正文 Char"/>
    <w:link w:val="186"/>
    <w:qFormat/>
    <w:uiPriority w:val="0"/>
    <w:rPr>
      <w:rFonts w:ascii="仿宋_GB2312" w:hAnsi="Calibri" w:eastAsia="仿宋_GB2312"/>
      <w:sz w:val="28"/>
      <w:lang w:bidi="ar-SA"/>
    </w:rPr>
  </w:style>
  <w:style w:type="paragraph" w:customStyle="1" w:styleId="186">
    <w:name w:val="舟式样--正文"/>
    <w:basedOn w:val="1"/>
    <w:link w:val="185"/>
    <w:qFormat/>
    <w:uiPriority w:val="0"/>
    <w:pPr>
      <w:spacing w:line="360" w:lineRule="auto"/>
      <w:ind w:firstLine="200" w:firstLineChars="200"/>
    </w:pPr>
    <w:rPr>
      <w:rFonts w:ascii="仿宋_GB2312" w:hAnsi="Calibri" w:eastAsia="仿宋_GB2312"/>
      <w:kern w:val="0"/>
      <w:sz w:val="28"/>
      <w:szCs w:val="20"/>
    </w:rPr>
  </w:style>
  <w:style w:type="character" w:customStyle="1" w:styleId="187">
    <w:name w:val="标准文本 Char"/>
    <w:link w:val="188"/>
    <w:qFormat/>
    <w:uiPriority w:val="0"/>
    <w:rPr>
      <w:rFonts w:eastAsia="宋体" w:cs="宋体"/>
      <w:kern w:val="2"/>
      <w:sz w:val="24"/>
      <w:lang w:val="en-US" w:eastAsia="zh-CN" w:bidi="ar-SA"/>
    </w:rPr>
  </w:style>
  <w:style w:type="paragraph" w:customStyle="1" w:styleId="188">
    <w:name w:val="标准文本"/>
    <w:basedOn w:val="1"/>
    <w:link w:val="187"/>
    <w:qFormat/>
    <w:uiPriority w:val="0"/>
    <w:pPr>
      <w:spacing w:line="360" w:lineRule="auto"/>
      <w:ind w:firstLine="480" w:firstLineChars="200"/>
    </w:pPr>
    <w:rPr>
      <w:rFonts w:cs="宋体"/>
      <w:sz w:val="24"/>
      <w:szCs w:val="20"/>
    </w:rPr>
  </w:style>
  <w:style w:type="character" w:customStyle="1" w:styleId="189">
    <w:name w:val="font51"/>
    <w:basedOn w:val="90"/>
    <w:qFormat/>
    <w:uiPriority w:val="0"/>
    <w:rPr>
      <w:rFonts w:hint="eastAsia" w:ascii="宋体" w:hAnsi="宋体" w:eastAsia="宋体" w:cs="宋体"/>
      <w:color w:val="000000"/>
      <w:sz w:val="21"/>
      <w:szCs w:val="21"/>
      <w:u w:val="none"/>
    </w:rPr>
  </w:style>
  <w:style w:type="character" w:customStyle="1" w:styleId="190">
    <w:name w:val="引用 Char"/>
    <w:link w:val="191"/>
    <w:qFormat/>
    <w:uiPriority w:val="0"/>
    <w:rPr>
      <w:rFonts w:eastAsia="宋体"/>
      <w:i/>
      <w:iCs/>
      <w:color w:val="000000"/>
      <w:kern w:val="2"/>
      <w:sz w:val="21"/>
      <w:szCs w:val="24"/>
      <w:lang w:val="en-US" w:eastAsia="zh-CN" w:bidi="ar-SA"/>
    </w:rPr>
  </w:style>
  <w:style w:type="paragraph" w:customStyle="1" w:styleId="191">
    <w:name w:val="Quote"/>
    <w:basedOn w:val="1"/>
    <w:next w:val="1"/>
    <w:link w:val="190"/>
    <w:qFormat/>
    <w:uiPriority w:val="0"/>
    <w:rPr>
      <w:i/>
      <w:iCs/>
      <w:color w:val="000000"/>
    </w:rPr>
  </w:style>
  <w:style w:type="character" w:customStyle="1" w:styleId="192">
    <w:name w:val="Char Char10"/>
    <w:qFormat/>
    <w:uiPriority w:val="0"/>
    <w:rPr>
      <w:b/>
      <w:kern w:val="2"/>
      <w:sz w:val="28"/>
      <w:szCs w:val="28"/>
    </w:rPr>
  </w:style>
  <w:style w:type="character" w:customStyle="1" w:styleId="193">
    <w:name w:val="Char Char25"/>
    <w:qFormat/>
    <w:uiPriority w:val="0"/>
    <w:rPr>
      <w:rFonts w:eastAsia="宋体"/>
      <w:kern w:val="2"/>
      <w:sz w:val="21"/>
      <w:szCs w:val="24"/>
      <w:lang w:val="en-US" w:eastAsia="zh-CN" w:bidi="ar-SA"/>
    </w:rPr>
  </w:style>
  <w:style w:type="character" w:customStyle="1" w:styleId="194">
    <w:name w:val="正文文本缩进 2 Char"/>
    <w:link w:val="52"/>
    <w:qFormat/>
    <w:locked/>
    <w:uiPriority w:val="0"/>
    <w:rPr>
      <w:rFonts w:eastAsia="宋体"/>
      <w:kern w:val="2"/>
      <w:sz w:val="21"/>
      <w:szCs w:val="24"/>
      <w:lang w:val="en-US" w:eastAsia="zh-CN" w:bidi="ar-SA"/>
    </w:rPr>
  </w:style>
  <w:style w:type="character" w:customStyle="1" w:styleId="195">
    <w:name w:val="标题 Char"/>
    <w:link w:val="85"/>
    <w:qFormat/>
    <w:uiPriority w:val="0"/>
    <w:rPr>
      <w:rFonts w:ascii="Cambria" w:hAnsi="Cambria" w:eastAsia="宋体"/>
      <w:b/>
      <w:bCs/>
      <w:kern w:val="2"/>
      <w:sz w:val="32"/>
      <w:szCs w:val="32"/>
      <w:lang w:val="en-US" w:eastAsia="zh-CN" w:bidi="ar-SA"/>
    </w:rPr>
  </w:style>
  <w:style w:type="character" w:customStyle="1" w:styleId="196">
    <w:name w:val="Char Char21"/>
    <w:semiHidden/>
    <w:qFormat/>
    <w:uiPriority w:val="0"/>
    <w:rPr>
      <w:rFonts w:eastAsia="宋体"/>
      <w:kern w:val="2"/>
      <w:sz w:val="21"/>
      <w:szCs w:val="24"/>
      <w:lang w:val="en-US" w:eastAsia="zh-CN" w:bidi="ar-SA"/>
    </w:rPr>
  </w:style>
  <w:style w:type="character" w:customStyle="1" w:styleId="197">
    <w:name w:val="样式 正文缩进 + 首行缩进:  2 字符 Char"/>
    <w:link w:val="198"/>
    <w:qFormat/>
    <w:locked/>
    <w:uiPriority w:val="0"/>
    <w:rPr>
      <w:rFonts w:ascii="宋体" w:hAnsi="宋体" w:eastAsia="宋体"/>
      <w:color w:val="000000"/>
      <w:sz w:val="24"/>
      <w:lang w:bidi="ar-SA"/>
    </w:rPr>
  </w:style>
  <w:style w:type="paragraph" w:customStyle="1" w:styleId="198">
    <w:name w:val="样式 正文缩进 + 首行缩进:  2 字符"/>
    <w:basedOn w:val="5"/>
    <w:link w:val="197"/>
    <w:qFormat/>
    <w:uiPriority w:val="0"/>
    <w:pPr>
      <w:spacing w:line="360" w:lineRule="auto"/>
      <w:ind w:firstLine="480"/>
    </w:pPr>
    <w:rPr>
      <w:rFonts w:ascii="宋体" w:hAnsi="宋体"/>
      <w:color w:val="000000"/>
      <w:kern w:val="0"/>
      <w:sz w:val="24"/>
      <w:szCs w:val="20"/>
    </w:rPr>
  </w:style>
  <w:style w:type="paragraph" w:customStyle="1" w:styleId="19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200">
    <w:name w:val="表正文"/>
    <w:basedOn w:val="1"/>
    <w:next w:val="46"/>
    <w:qFormat/>
    <w:uiPriority w:val="0"/>
    <w:rPr>
      <w:rFonts w:ascii="宋体" w:hAnsi="Courier New"/>
      <w:szCs w:val="20"/>
    </w:rPr>
  </w:style>
  <w:style w:type="paragraph" w:customStyle="1" w:styleId="201">
    <w:name w:val="Char Char Char1 Char Char Char1 Char Char Char Char"/>
    <w:basedOn w:val="1"/>
    <w:qFormat/>
    <w:uiPriority w:val="0"/>
  </w:style>
  <w:style w:type="paragraph" w:customStyle="1" w:styleId="20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203">
    <w:name w:val="Char"/>
    <w:basedOn w:val="1"/>
    <w:qFormat/>
    <w:uiPriority w:val="0"/>
    <w:rPr>
      <w:rFonts w:ascii="仿宋_GB2312" w:eastAsia="仿宋_GB2312"/>
      <w:b/>
      <w:sz w:val="32"/>
      <w:szCs w:val="32"/>
    </w:rPr>
  </w:style>
  <w:style w:type="paragraph" w:customStyle="1" w:styleId="204">
    <w:name w:val="Char Char Char Char1"/>
    <w:basedOn w:val="1"/>
    <w:qFormat/>
    <w:uiPriority w:val="0"/>
    <w:rPr>
      <w:rFonts w:ascii="Tahoma" w:hAnsi="Tahoma"/>
      <w:sz w:val="24"/>
      <w:szCs w:val="20"/>
    </w:rPr>
  </w:style>
  <w:style w:type="paragraph" w:customStyle="1" w:styleId="20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20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0">
    <w:name w:val="Char Char Char 字元 字元"/>
    <w:basedOn w:val="1"/>
    <w:qFormat/>
    <w:uiPriority w:val="0"/>
    <w:pPr>
      <w:spacing w:line="360" w:lineRule="auto"/>
      <w:ind w:firstLine="200" w:firstLineChars="200"/>
    </w:pPr>
    <w:rPr>
      <w:szCs w:val="20"/>
    </w:rPr>
  </w:style>
  <w:style w:type="paragraph" w:customStyle="1" w:styleId="211">
    <w:name w:val="Char2"/>
    <w:basedOn w:val="1"/>
    <w:qFormat/>
    <w:uiPriority w:val="0"/>
    <w:pPr>
      <w:tabs>
        <w:tab w:val="left" w:pos="432"/>
      </w:tabs>
      <w:spacing w:beforeLines="50" w:afterLines="50"/>
      <w:ind w:left="432" w:hanging="432"/>
      <w:jc w:val="center"/>
    </w:pPr>
    <w:rPr>
      <w:sz w:val="24"/>
    </w:rPr>
  </w:style>
  <w:style w:type="paragraph" w:customStyle="1" w:styleId="21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213">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4">
    <w:name w:val="模板普通正文"/>
    <w:basedOn w:val="36"/>
    <w:qFormat/>
    <w:uiPriority w:val="0"/>
    <w:pPr>
      <w:spacing w:beforeLines="50" w:after="10" w:line="360" w:lineRule="auto"/>
      <w:ind w:left="0" w:leftChars="0" w:firstLine="175" w:firstLineChars="175"/>
      <w:jc w:val="left"/>
    </w:pPr>
    <w:rPr>
      <w:sz w:val="24"/>
    </w:rPr>
  </w:style>
  <w:style w:type="paragraph" w:customStyle="1" w:styleId="215">
    <w:name w:val="p0"/>
    <w:basedOn w:val="1"/>
    <w:qFormat/>
    <w:uiPriority w:val="0"/>
    <w:pPr>
      <w:widowControl/>
    </w:pPr>
    <w:rPr>
      <w:kern w:val="0"/>
      <w:szCs w:val="21"/>
    </w:rPr>
  </w:style>
  <w:style w:type="paragraph" w:customStyle="1" w:styleId="216">
    <w:name w:val="缺省文本"/>
    <w:basedOn w:val="1"/>
    <w:qFormat/>
    <w:uiPriority w:val="0"/>
    <w:pPr>
      <w:autoSpaceDE w:val="0"/>
      <w:autoSpaceDN w:val="0"/>
      <w:adjustRightInd w:val="0"/>
      <w:jc w:val="left"/>
    </w:pPr>
    <w:rPr>
      <w:kern w:val="0"/>
      <w:sz w:val="24"/>
    </w:rPr>
  </w:style>
  <w:style w:type="paragraph" w:customStyle="1" w:styleId="217">
    <w:name w:val="WW-正文文字缩进 2"/>
    <w:basedOn w:val="1"/>
    <w:qFormat/>
    <w:uiPriority w:val="0"/>
    <w:pPr>
      <w:suppressAutoHyphens/>
      <w:ind w:firstLine="420"/>
    </w:pPr>
    <w:rPr>
      <w:kern w:val="1"/>
      <w:szCs w:val="20"/>
    </w:rPr>
  </w:style>
  <w:style w:type="paragraph" w:customStyle="1" w:styleId="218">
    <w:name w:val="默认段落字体 Para Char Char Char Char Char Char Char Char Char1 Char Char Char Char"/>
    <w:basedOn w:val="1"/>
    <w:qFormat/>
    <w:uiPriority w:val="0"/>
    <w:rPr>
      <w:rFonts w:ascii="Tahoma" w:hAnsi="Tahoma"/>
      <w:sz w:val="24"/>
      <w:szCs w:val="20"/>
    </w:rPr>
  </w:style>
  <w:style w:type="paragraph" w:customStyle="1" w:styleId="219">
    <w:name w:val="项目1"/>
    <w:basedOn w:val="1"/>
    <w:qFormat/>
    <w:uiPriority w:val="0"/>
    <w:pPr>
      <w:tabs>
        <w:tab w:val="left" w:pos="840"/>
      </w:tabs>
      <w:spacing w:after="60"/>
      <w:ind w:left="840" w:hanging="420"/>
    </w:pPr>
    <w:rPr>
      <w:rFonts w:ascii="宋体"/>
      <w:spacing w:val="4"/>
      <w:szCs w:val="20"/>
    </w:rPr>
  </w:style>
  <w:style w:type="paragraph" w:customStyle="1" w:styleId="2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221">
    <w:name w:val="_Style 1"/>
    <w:basedOn w:val="1"/>
    <w:qFormat/>
    <w:uiPriority w:val="0"/>
    <w:pPr>
      <w:ind w:firstLine="420" w:firstLineChars="200"/>
    </w:pPr>
    <w:rPr>
      <w:rFonts w:ascii="Calibri" w:hAnsi="Calibri"/>
      <w:szCs w:val="22"/>
    </w:rPr>
  </w:style>
  <w:style w:type="paragraph" w:customStyle="1" w:styleId="222">
    <w:name w:val="段"/>
    <w:basedOn w:val="1"/>
    <w:qFormat/>
    <w:uiPriority w:val="0"/>
    <w:pPr>
      <w:ind w:firstLine="425"/>
    </w:pPr>
    <w:rPr>
      <w:rFonts w:ascii="宋体"/>
      <w:szCs w:val="20"/>
    </w:rPr>
  </w:style>
  <w:style w:type="paragraph" w:customStyle="1" w:styleId="223">
    <w:name w:val="Char1"/>
    <w:basedOn w:val="1"/>
    <w:qFormat/>
    <w:uiPriority w:val="0"/>
    <w:rPr>
      <w:szCs w:val="20"/>
    </w:rPr>
  </w:style>
  <w:style w:type="paragraph" w:customStyle="1" w:styleId="224">
    <w:name w:val="Char1 Char Char Char Char Char Char"/>
    <w:basedOn w:val="1"/>
    <w:qFormat/>
    <w:uiPriority w:val="0"/>
    <w:rPr>
      <w:rFonts w:ascii="Tahoma" w:hAnsi="Tahoma"/>
      <w:sz w:val="24"/>
      <w:szCs w:val="20"/>
    </w:rPr>
  </w:style>
  <w:style w:type="paragraph" w:customStyle="1" w:styleId="225">
    <w:name w:val="默认段落字体 Para Char Char Char Char"/>
    <w:basedOn w:val="1"/>
    <w:qFormat/>
    <w:uiPriority w:val="0"/>
  </w:style>
  <w:style w:type="paragraph" w:customStyle="1" w:styleId="226">
    <w:name w:val="样式 标题 2"/>
    <w:basedOn w:val="4"/>
    <w:next w:val="1"/>
    <w:qFormat/>
    <w:uiPriority w:val="0"/>
    <w:pPr>
      <w:keepLines w:val="0"/>
      <w:spacing w:before="120" w:after="50" w:line="240" w:lineRule="auto"/>
    </w:pPr>
    <w:rPr>
      <w:rFonts w:ascii="宋体" w:hAnsi="Times New Roman" w:eastAsia="宋体"/>
      <w:bCs/>
      <w:snapToGrid w:val="0"/>
      <w:kern w:val="0"/>
    </w:rPr>
  </w:style>
  <w:style w:type="paragraph" w:customStyle="1" w:styleId="22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8">
    <w:name w:val="Char Char Char Char Char Char Char Char Char Char"/>
    <w:basedOn w:val="1"/>
    <w:qFormat/>
    <w:uiPriority w:val="0"/>
    <w:rPr>
      <w:rFonts w:ascii="Tahoma" w:hAnsi="Tahoma"/>
      <w:sz w:val="24"/>
      <w:szCs w:val="20"/>
    </w:rPr>
  </w:style>
  <w:style w:type="paragraph" w:customStyle="1" w:styleId="2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30">
    <w:name w:val="Char Char1 Char Char Char Char1 Char Char Char"/>
    <w:basedOn w:val="1"/>
    <w:qFormat/>
    <w:uiPriority w:val="0"/>
    <w:pPr>
      <w:adjustRightInd w:val="0"/>
      <w:spacing w:line="360" w:lineRule="atLeast"/>
    </w:pPr>
    <w:rPr>
      <w:rFonts w:ascii="Tahoma" w:hAnsi="Tahoma"/>
      <w:sz w:val="24"/>
      <w:szCs w:val="20"/>
    </w:rPr>
  </w:style>
  <w:style w:type="paragraph" w:customStyle="1" w:styleId="231">
    <w:name w:val="列出段落3"/>
    <w:basedOn w:val="1"/>
    <w:qFormat/>
    <w:uiPriority w:val="99"/>
    <w:pPr>
      <w:ind w:firstLine="420" w:firstLineChars="200"/>
    </w:pPr>
    <w:rPr>
      <w:rFonts w:ascii="Calibri" w:hAnsi="Calibri"/>
    </w:rPr>
  </w:style>
  <w:style w:type="paragraph" w:customStyle="1" w:styleId="232">
    <w:name w:val="Char Char1 Char Char Char Char Char Char"/>
    <w:basedOn w:val="1"/>
    <w:qFormat/>
    <w:uiPriority w:val="0"/>
    <w:pPr>
      <w:widowControl/>
      <w:spacing w:after="160" w:line="240" w:lineRule="exact"/>
      <w:jc w:val="left"/>
    </w:pPr>
  </w:style>
  <w:style w:type="paragraph" w:customStyle="1" w:styleId="23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2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35">
    <w:name w:val="样式 标题1"/>
    <w:basedOn w:val="1"/>
    <w:next w:val="1"/>
    <w:qFormat/>
    <w:uiPriority w:val="0"/>
    <w:pPr>
      <w:keepNext/>
      <w:spacing w:before="120" w:afterLines="50" w:line="360" w:lineRule="auto"/>
      <w:ind w:left="425" w:hanging="425"/>
      <w:jc w:val="left"/>
      <w:outlineLvl w:val="0"/>
    </w:pPr>
    <w:rPr>
      <w:rFonts w:ascii="宋体"/>
      <w:b/>
      <w:snapToGrid w:val="0"/>
      <w:kern w:val="0"/>
      <w:sz w:val="36"/>
      <w:szCs w:val="20"/>
    </w:rPr>
  </w:style>
  <w:style w:type="paragraph" w:customStyle="1" w:styleId="23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237">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238">
    <w:name w:val="自定义表格文字"/>
    <w:basedOn w:val="1"/>
    <w:qFormat/>
    <w:uiPriority w:val="0"/>
    <w:pPr>
      <w:spacing w:before="60" w:after="60" w:line="320" w:lineRule="exact"/>
      <w:jc w:val="left"/>
    </w:pPr>
    <w:rPr>
      <w:rFonts w:ascii="宋体" w:eastAsia="楷体_GB2312"/>
    </w:rPr>
  </w:style>
  <w:style w:type="paragraph" w:customStyle="1" w:styleId="239">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paragraph" w:customStyle="1" w:styleId="24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1">
    <w:name w:val="_Style 68"/>
    <w:basedOn w:val="1"/>
    <w:qFormat/>
    <w:uiPriority w:val="0"/>
    <w:rPr>
      <w:rFonts w:ascii="Tahoma" w:hAnsi="Tahoma"/>
      <w:sz w:val="24"/>
      <w:szCs w:val="20"/>
    </w:rPr>
  </w:style>
  <w:style w:type="paragraph" w:customStyle="1" w:styleId="242">
    <w:name w:val="样式 标题 4"/>
    <w:basedOn w:val="1"/>
    <w:next w:val="1"/>
    <w:qFormat/>
    <w:uiPriority w:val="0"/>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243">
    <w:name w:val="文档正文"/>
    <w:basedOn w:val="1"/>
    <w:qFormat/>
    <w:uiPriority w:val="0"/>
    <w:pPr>
      <w:widowControl/>
      <w:adjustRightInd w:val="0"/>
      <w:snapToGrid w:val="0"/>
      <w:spacing w:after="120"/>
      <w:ind w:firstLine="454"/>
      <w:jc w:val="left"/>
    </w:pPr>
    <w:rPr>
      <w:rFonts w:eastAsia="微软雅黑"/>
      <w:kern w:val="21"/>
      <w:sz w:val="22"/>
      <w:szCs w:val="22"/>
    </w:rPr>
  </w:style>
  <w:style w:type="paragraph" w:customStyle="1" w:styleId="244">
    <w:name w:val="表内文字"/>
    <w:basedOn w:val="1"/>
    <w:qFormat/>
    <w:uiPriority w:val="0"/>
    <w:pPr>
      <w:jc w:val="center"/>
    </w:pPr>
    <w:rPr>
      <w:color w:val="FF0000"/>
      <w:kern w:val="0"/>
      <w:sz w:val="24"/>
    </w:rPr>
  </w:style>
  <w:style w:type="paragraph" w:customStyle="1" w:styleId="24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246">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47">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48">
    <w:name w:val="样式 样式 小四 右侧:  0.03 厘米 行距: 1.5 倍行距 + 首行缩进:  2 字符"/>
    <w:basedOn w:val="1"/>
    <w:qFormat/>
    <w:uiPriority w:val="0"/>
    <w:pPr>
      <w:spacing w:line="360" w:lineRule="auto"/>
      <w:ind w:right="17" w:firstLine="420" w:firstLineChars="200"/>
    </w:pPr>
    <w:rPr>
      <w:sz w:val="24"/>
      <w:szCs w:val="20"/>
    </w:rPr>
  </w:style>
  <w:style w:type="paragraph" w:customStyle="1" w:styleId="249">
    <w:name w:val="编10号"/>
    <w:basedOn w:val="1"/>
    <w:qFormat/>
    <w:uiPriority w:val="0"/>
    <w:pPr>
      <w:tabs>
        <w:tab w:val="left" w:pos="1620"/>
      </w:tabs>
      <w:ind w:left="1620" w:hanging="360"/>
    </w:pPr>
  </w:style>
  <w:style w:type="paragraph" w:customStyle="1" w:styleId="250">
    <w:name w:val="列出段落2"/>
    <w:basedOn w:val="1"/>
    <w:qFormat/>
    <w:uiPriority w:val="99"/>
    <w:pPr>
      <w:widowControl/>
      <w:adjustRightInd w:val="0"/>
      <w:snapToGrid w:val="0"/>
      <w:spacing w:after="200"/>
      <w:ind w:firstLine="420"/>
      <w:jc w:val="left"/>
    </w:pPr>
    <w:rPr>
      <w:rFonts w:ascii="Tahoma" w:hAnsi="Tahoma" w:eastAsia="微软雅黑"/>
      <w:kern w:val="0"/>
      <w:sz w:val="22"/>
      <w:szCs w:val="22"/>
    </w:rPr>
  </w:style>
  <w:style w:type="paragraph" w:customStyle="1" w:styleId="251">
    <w:name w:val="Char Char Char Char"/>
    <w:basedOn w:val="1"/>
    <w:qFormat/>
    <w:uiPriority w:val="0"/>
    <w:pPr>
      <w:widowControl/>
      <w:spacing w:after="160" w:line="240" w:lineRule="exact"/>
      <w:jc w:val="left"/>
    </w:pPr>
    <w:rPr>
      <w:kern w:val="0"/>
      <w:sz w:val="24"/>
    </w:rPr>
  </w:style>
  <w:style w:type="paragraph" w:customStyle="1" w:styleId="252">
    <w:name w:val="Char Char2 Char Char Char Char"/>
    <w:basedOn w:val="26"/>
    <w:qFormat/>
    <w:uiPriority w:val="0"/>
    <w:rPr>
      <w:rFonts w:ascii="Tahoma" w:hAnsi="Tahoma"/>
      <w:sz w:val="24"/>
    </w:rPr>
  </w:style>
  <w:style w:type="paragraph" w:customStyle="1" w:styleId="253">
    <w:name w:val="段(正文）"/>
    <w:qFormat/>
    <w:uiPriority w:val="0"/>
    <w:pPr>
      <w:autoSpaceDE w:val="0"/>
      <w:autoSpaceDN w:val="0"/>
      <w:ind w:firstLine="420"/>
      <w:jc w:val="both"/>
    </w:pPr>
    <w:rPr>
      <w:rFonts w:ascii="宋体" w:hAnsi="Times New Roman" w:eastAsia="宋体" w:cs="宋体"/>
      <w:sz w:val="21"/>
      <w:szCs w:val="21"/>
      <w:lang w:val="en-US" w:eastAsia="zh-CN" w:bidi="ar-SA"/>
    </w:rPr>
  </w:style>
  <w:style w:type="paragraph" w:customStyle="1" w:styleId="254">
    <w:name w:val="Char Char Char"/>
    <w:basedOn w:val="26"/>
    <w:qFormat/>
    <w:uiPriority w:val="0"/>
    <w:rPr>
      <w:rFonts w:ascii="Tahoma" w:hAnsi="Tahoma"/>
      <w:sz w:val="24"/>
    </w:rPr>
  </w:style>
  <w:style w:type="paragraph" w:customStyle="1" w:styleId="255">
    <w:name w:val="正文缩进 New"/>
    <w:basedOn w:val="1"/>
    <w:qFormat/>
    <w:uiPriority w:val="0"/>
    <w:pPr>
      <w:ind w:firstLine="420" w:firstLineChars="200"/>
    </w:pPr>
    <w:rPr>
      <w:szCs w:val="20"/>
    </w:rPr>
  </w:style>
  <w:style w:type="paragraph" w:customStyle="1" w:styleId="25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7">
    <w:name w:val="B表格正文"/>
    <w:qFormat/>
    <w:uiPriority w:val="0"/>
    <w:rPr>
      <w:rFonts w:ascii="Arial" w:hAnsi="Arial" w:eastAsia="仿宋" w:cs="Times New Roman"/>
      <w:kern w:val="2"/>
      <w:sz w:val="21"/>
      <w:szCs w:val="21"/>
      <w:lang w:val="en-US" w:eastAsia="zh-CN" w:bidi="ar-SA"/>
    </w:rPr>
  </w:style>
  <w:style w:type="paragraph" w:customStyle="1" w:styleId="258">
    <w:name w:val="GP正文(首行缩进)"/>
    <w:basedOn w:val="1"/>
    <w:qFormat/>
    <w:uiPriority w:val="0"/>
    <w:pPr>
      <w:spacing w:line="360" w:lineRule="auto"/>
      <w:ind w:firstLine="200" w:firstLineChars="200"/>
      <w:jc w:val="left"/>
    </w:pPr>
    <w:rPr>
      <w:rFonts w:ascii="Calibri" w:hAnsi="Calibri"/>
      <w:sz w:val="24"/>
      <w:szCs w:val="21"/>
    </w:rPr>
  </w:style>
  <w:style w:type="paragraph" w:customStyle="1" w:styleId="259">
    <w:name w:val="_Style 681"/>
    <w:basedOn w:val="1"/>
    <w:qFormat/>
    <w:uiPriority w:val="0"/>
    <w:rPr>
      <w:rFonts w:ascii="Tahoma" w:hAnsi="Tahoma"/>
      <w:sz w:val="24"/>
      <w:szCs w:val="20"/>
    </w:rPr>
  </w:style>
  <w:style w:type="paragraph" w:customStyle="1" w:styleId="260">
    <w:name w:val="表格字体"/>
    <w:basedOn w:val="243"/>
    <w:qFormat/>
    <w:uiPriority w:val="0"/>
    <w:pPr>
      <w:spacing w:after="0"/>
      <w:ind w:firstLine="0"/>
    </w:pPr>
    <w:rPr>
      <w:rFonts w:ascii="黑体" w:hAnsi="黑体" w:eastAsia="黑体"/>
      <w:sz w:val="20"/>
      <w:szCs w:val="21"/>
    </w:rPr>
  </w:style>
  <w:style w:type="paragraph" w:customStyle="1" w:styleId="261">
    <w:name w:val="投标正文"/>
    <w:basedOn w:val="1"/>
    <w:qFormat/>
    <w:uiPriority w:val="99"/>
    <w:pPr>
      <w:spacing w:line="360" w:lineRule="auto"/>
      <w:ind w:left="100" w:firstLine="480" w:firstLineChars="200"/>
    </w:pPr>
    <w:rPr>
      <w:rFonts w:ascii="Calibri" w:hAnsi="Calibri"/>
      <w:kern w:val="0"/>
      <w:sz w:val="24"/>
    </w:rPr>
  </w:style>
  <w:style w:type="paragraph" w:customStyle="1" w:styleId="262">
    <w:name w:val="样式 标题 3"/>
    <w:basedOn w:val="242"/>
    <w:next w:val="1"/>
    <w:qFormat/>
    <w:uiPriority w:val="0"/>
    <w:pPr>
      <w:tabs>
        <w:tab w:val="left" w:pos="2651"/>
      </w:tabs>
      <w:spacing w:after="50"/>
      <w:outlineLvl w:val="2"/>
    </w:pPr>
  </w:style>
  <w:style w:type="character" w:customStyle="1" w:styleId="263">
    <w:name w:val="纯文本 Char2"/>
    <w:qFormat/>
    <w:uiPriority w:val="0"/>
    <w:rPr>
      <w:rFonts w:ascii="宋体" w:hAnsi="Courier New" w:eastAsia="宋体"/>
      <w:kern w:val="2"/>
      <w:sz w:val="21"/>
      <w:lang w:val="en-US" w:eastAsia="zh-CN" w:bidi="ar-SA"/>
    </w:rPr>
  </w:style>
  <w:style w:type="character" w:customStyle="1" w:styleId="264">
    <w:name w:val="页脚 Char"/>
    <w:basedOn w:val="90"/>
    <w:link w:val="56"/>
    <w:qFormat/>
    <w:uiPriority w:val="0"/>
    <w:rPr>
      <w:kern w:val="2"/>
      <w:sz w:val="18"/>
      <w:szCs w:val="18"/>
    </w:rPr>
  </w:style>
  <w:style w:type="character" w:customStyle="1" w:styleId="265">
    <w:name w:val="正文文本缩进 3 Char"/>
    <w:basedOn w:val="90"/>
    <w:link w:val="71"/>
    <w:qFormat/>
    <w:uiPriority w:val="99"/>
    <w:rPr>
      <w:kern w:val="2"/>
      <w:sz w:val="16"/>
      <w:szCs w:val="16"/>
    </w:rPr>
  </w:style>
  <w:style w:type="character" w:customStyle="1" w:styleId="266">
    <w:name w:val="HTML 预设格式 Char"/>
    <w:basedOn w:val="90"/>
    <w:link w:val="81"/>
    <w:qFormat/>
    <w:uiPriority w:val="99"/>
    <w:rPr>
      <w:rFonts w:ascii="黑体" w:hAnsi="Courier New" w:eastAsia="黑体" w:cs="Courier New"/>
    </w:rPr>
  </w:style>
  <w:style w:type="paragraph" w:customStyle="1" w:styleId="267">
    <w:name w:val="_Style 3"/>
    <w:basedOn w:val="2"/>
    <w:qFormat/>
    <w:uiPriority w:val="99"/>
    <w:pPr>
      <w:adjustRightInd w:val="0"/>
      <w:snapToGrid w:val="0"/>
      <w:spacing w:before="0" w:after="0" w:line="348" w:lineRule="auto"/>
      <w:ind w:left="0" w:firstLine="0"/>
    </w:pPr>
    <w:rPr>
      <w:rFonts w:eastAsia="宋体"/>
      <w:bCs/>
      <w:szCs w:val="44"/>
    </w:rPr>
  </w:style>
  <w:style w:type="paragraph" w:customStyle="1" w:styleId="268">
    <w:name w:val="Plain Text1"/>
    <w:basedOn w:val="1"/>
    <w:qFormat/>
    <w:uiPriority w:val="99"/>
    <w:pPr>
      <w:spacing w:beforeLines="50" w:afterLines="50" w:line="400" w:lineRule="exact"/>
    </w:pPr>
    <w:rPr>
      <w:rFonts w:ascii="宋体" w:hAnsi="Courier New"/>
      <w:sz w:val="24"/>
      <w:szCs w:val="20"/>
    </w:rPr>
  </w:style>
  <w:style w:type="paragraph" w:customStyle="1" w:styleId="269">
    <w:name w:val="Normal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270">
    <w:name w:val="font31"/>
    <w:basedOn w:val="90"/>
    <w:qFormat/>
    <w:uiPriority w:val="99"/>
    <w:rPr>
      <w:rFonts w:ascii="宋体" w:hAnsi="宋体" w:eastAsia="宋体" w:cs="宋体"/>
      <w:b/>
      <w:color w:val="000000"/>
      <w:sz w:val="18"/>
      <w:szCs w:val="18"/>
      <w:u w:val="none"/>
    </w:rPr>
  </w:style>
  <w:style w:type="paragraph" w:customStyle="1" w:styleId="271">
    <w:name w:val="h33"/>
    <w:basedOn w:val="6"/>
    <w:qFormat/>
    <w:uiPriority w:val="0"/>
    <w:pPr>
      <w:tabs>
        <w:tab w:val="left" w:pos="432"/>
        <w:tab w:val="left" w:pos="720"/>
        <w:tab w:val="clear" w:pos="2651"/>
      </w:tabs>
      <w:spacing w:before="120" w:after="120" w:line="240" w:lineRule="auto"/>
      <w:ind w:left="720"/>
    </w:pPr>
    <w:rPr>
      <w:rFonts w:eastAsia="黑体"/>
      <w:bCs/>
      <w:sz w:val="28"/>
      <w:szCs w:val="32"/>
    </w:rPr>
  </w:style>
  <w:style w:type="character" w:customStyle="1" w:styleId="272">
    <w:name w:val="font11"/>
    <w:basedOn w:val="90"/>
    <w:qFormat/>
    <w:uiPriority w:val="0"/>
    <w:rPr>
      <w:rFonts w:hint="default" w:ascii="Times New Roman" w:hAnsi="Times New Roman" w:cs="Times New Roman"/>
      <w:color w:val="000000"/>
      <w:sz w:val="21"/>
      <w:szCs w:val="21"/>
      <w:u w:val="none"/>
    </w:rPr>
  </w:style>
  <w:style w:type="character" w:customStyle="1" w:styleId="273">
    <w:name w:val="font111"/>
    <w:basedOn w:val="90"/>
    <w:qFormat/>
    <w:uiPriority w:val="0"/>
    <w:rPr>
      <w:rFonts w:hint="eastAsia" w:ascii="宋体" w:hAnsi="宋体" w:eastAsia="宋体" w:cs="宋体"/>
      <w:color w:val="000000"/>
      <w:sz w:val="21"/>
      <w:szCs w:val="21"/>
      <w:u w:val="none"/>
    </w:rPr>
  </w:style>
  <w:style w:type="character" w:customStyle="1" w:styleId="274">
    <w:name w:val="font121"/>
    <w:basedOn w:val="90"/>
    <w:qFormat/>
    <w:uiPriority w:val="0"/>
    <w:rPr>
      <w:rFonts w:hint="default" w:ascii="Times New Roman" w:hAnsi="Times New Roman" w:cs="Times New Roman"/>
      <w:color w:val="000000"/>
      <w:sz w:val="21"/>
      <w:szCs w:val="21"/>
      <w:u w:val="none"/>
    </w:rPr>
  </w:style>
  <w:style w:type="character" w:customStyle="1" w:styleId="275">
    <w:name w:val="font41"/>
    <w:basedOn w:val="90"/>
    <w:qFormat/>
    <w:uiPriority w:val="0"/>
    <w:rPr>
      <w:rFonts w:hint="eastAsia" w:ascii="宋体" w:hAnsi="宋体" w:eastAsia="宋体" w:cs="宋体"/>
      <w:color w:val="000000"/>
      <w:sz w:val="22"/>
      <w:szCs w:val="22"/>
      <w:u w:val="none"/>
    </w:rPr>
  </w:style>
  <w:style w:type="character" w:customStyle="1" w:styleId="276">
    <w:name w:val="font61"/>
    <w:basedOn w:val="90"/>
    <w:qFormat/>
    <w:uiPriority w:val="0"/>
    <w:rPr>
      <w:rFonts w:ascii="Adobe 繁黑體 Std B" w:hAnsi="Adobe 繁黑體 Std B" w:eastAsia="Adobe 繁黑體 Std B" w:cs="Adobe 繁黑體 Std B"/>
      <w:color w:val="000000"/>
      <w:sz w:val="20"/>
      <w:szCs w:val="20"/>
      <w:u w:val="none"/>
    </w:rPr>
  </w:style>
  <w:style w:type="character" w:customStyle="1" w:styleId="277">
    <w:name w:val="font81"/>
    <w:basedOn w:val="90"/>
    <w:qFormat/>
    <w:uiPriority w:val="0"/>
    <w:rPr>
      <w:rFonts w:ascii="Tahoma" w:hAnsi="Tahoma" w:eastAsia="Tahoma" w:cs="Tahoma"/>
      <w:color w:val="333333"/>
      <w:sz w:val="24"/>
      <w:szCs w:val="24"/>
      <w:u w:val="none"/>
    </w:rPr>
  </w:style>
  <w:style w:type="character" w:customStyle="1" w:styleId="278">
    <w:name w:val="正文文本 2 Char1"/>
    <w:qFormat/>
    <w:uiPriority w:val="0"/>
    <w:rPr>
      <w:rFonts w:ascii="隶书" w:eastAsia="隶书"/>
      <w:bCs/>
      <w:sz w:val="72"/>
      <w:szCs w:val="84"/>
      <w:lang w:val="en-US" w:eastAsia="zh-CN" w:bidi="ar-SA"/>
    </w:rPr>
  </w:style>
  <w:style w:type="character" w:customStyle="1" w:styleId="279">
    <w:name w:val="批注文字 Char1"/>
    <w:qFormat/>
    <w:uiPriority w:val="0"/>
    <w:rPr>
      <w:rFonts w:eastAsia="宋体"/>
      <w:kern w:val="2"/>
      <w:sz w:val="21"/>
      <w:szCs w:val="24"/>
      <w:lang w:val="en-US" w:eastAsia="zh-CN" w:bidi="ar-SA"/>
    </w:rPr>
  </w:style>
  <w:style w:type="character" w:customStyle="1" w:styleId="280">
    <w:name w:val="bookmark-item"/>
    <w:basedOn w:val="90"/>
    <w:qFormat/>
    <w:uiPriority w:val="0"/>
  </w:style>
  <w:style w:type="paragraph" w:customStyle="1" w:styleId="281">
    <w:name w:val="列表段落1"/>
    <w:basedOn w:val="1"/>
    <w:qFormat/>
    <w:uiPriority w:val="34"/>
    <w:pPr>
      <w:ind w:firstLine="420" w:firstLineChars="200"/>
    </w:pPr>
    <w:rPr>
      <w:rFonts w:asciiTheme="minorHAnsi" w:hAnsiTheme="minorHAnsi" w:eastAsiaTheme="minorEastAsia" w:cstheme="minorBidi"/>
      <w:szCs w:val="22"/>
    </w:rPr>
  </w:style>
  <w:style w:type="paragraph" w:customStyle="1" w:styleId="282">
    <w:name w:val="正文缩进1"/>
    <w:basedOn w:val="1"/>
    <w:qFormat/>
    <w:uiPriority w:val="0"/>
    <w:pPr>
      <w:spacing w:line="360" w:lineRule="auto"/>
      <w:ind w:firstLine="454"/>
      <w:jc w:val="left"/>
    </w:pPr>
    <w:rPr>
      <w:sz w:val="24"/>
    </w:rPr>
  </w:style>
  <w:style w:type="paragraph" w:customStyle="1" w:styleId="283">
    <w:name w:val="正文2019"/>
    <w:basedOn w:val="1"/>
    <w:qFormat/>
    <w:uiPriority w:val="0"/>
    <w:pPr>
      <w:spacing w:line="360" w:lineRule="auto"/>
      <w:ind w:firstLine="200" w:firstLineChars="200"/>
    </w:pPr>
    <w:rPr>
      <w:rFonts w:ascii="仿宋" w:hAnsi="仿宋" w:eastAsia="仿宋_GB2312"/>
      <w:sz w:val="28"/>
      <w:szCs w:val="32"/>
    </w:rPr>
  </w:style>
  <w:style w:type="paragraph" w:customStyle="1" w:styleId="284">
    <w:name w:val="1.1.1"/>
    <w:basedOn w:val="1"/>
    <w:next w:val="285"/>
    <w:qFormat/>
    <w:uiPriority w:val="0"/>
    <w:pPr>
      <w:keepNext/>
      <w:keepLines/>
      <w:numPr>
        <w:ilvl w:val="2"/>
        <w:numId w:val="2"/>
      </w:numPr>
      <w:tabs>
        <w:tab w:val="left" w:pos="567"/>
      </w:tabs>
      <w:spacing w:line="360" w:lineRule="auto"/>
      <w:outlineLvl w:val="2"/>
    </w:pPr>
    <w:rPr>
      <w:rFonts w:ascii="宋体" w:hAnsi="宋体" w:cs="宋体"/>
      <w:b/>
      <w:bCs/>
      <w:color w:val="000000"/>
      <w:kern w:val="0"/>
      <w:sz w:val="32"/>
      <w:szCs w:val="32"/>
    </w:rPr>
  </w:style>
  <w:style w:type="paragraph" w:customStyle="1" w:styleId="285">
    <w:name w:val="1.1.1.1"/>
    <w:basedOn w:val="1"/>
    <w:next w:val="1"/>
    <w:qFormat/>
    <w:uiPriority w:val="0"/>
    <w:pPr>
      <w:keepNext/>
      <w:keepLines/>
      <w:numPr>
        <w:ilvl w:val="3"/>
        <w:numId w:val="2"/>
      </w:numPr>
      <w:tabs>
        <w:tab w:val="left" w:pos="0"/>
      </w:tabs>
      <w:spacing w:line="360" w:lineRule="auto"/>
      <w:outlineLvl w:val="3"/>
    </w:pPr>
    <w:rPr>
      <w:rFonts w:ascii="宋体" w:hAnsi="宋体" w:cs="宋体"/>
      <w:b/>
      <w:bCs/>
      <w:color w:val="000000"/>
      <w:sz w:val="28"/>
      <w:szCs w:val="28"/>
    </w:rPr>
  </w:style>
  <w:style w:type="paragraph" w:customStyle="1" w:styleId="286">
    <w:name w:val="1.1"/>
    <w:basedOn w:val="1"/>
    <w:next w:val="284"/>
    <w:qFormat/>
    <w:uiPriority w:val="99"/>
    <w:pPr>
      <w:keepNext/>
      <w:keepLines/>
      <w:numPr>
        <w:ilvl w:val="1"/>
        <w:numId w:val="2"/>
      </w:numPr>
      <w:spacing w:line="360" w:lineRule="auto"/>
      <w:outlineLvl w:val="1"/>
    </w:pPr>
    <w:rPr>
      <w:rFonts w:ascii="宋体" w:hAnsi="宋体" w:cs="宋体"/>
      <w:b/>
      <w:bCs/>
      <w:color w:val="000000"/>
      <w:sz w:val="32"/>
      <w:szCs w:val="32"/>
    </w:rPr>
  </w:style>
  <w:style w:type="character" w:customStyle="1" w:styleId="287">
    <w:name w:val="页眉 Char1"/>
    <w:qFormat/>
    <w:uiPriority w:val="0"/>
    <w:rPr>
      <w:rFonts w:eastAsia="宋体"/>
      <w:kern w:val="2"/>
      <w:sz w:val="18"/>
      <w:szCs w:val="18"/>
      <w:lang w:val="en-US" w:eastAsia="zh-CN" w:bidi="ar-SA"/>
    </w:rPr>
  </w:style>
  <w:style w:type="character" w:customStyle="1" w:styleId="288">
    <w:name w:val="纯文本 Char1"/>
    <w:link w:val="289"/>
    <w:qFormat/>
    <w:uiPriority w:val="0"/>
    <w:rPr>
      <w:rFonts w:ascii="宋体" w:hAnsi="Courier New" w:cs="Courier New"/>
      <w:sz w:val="21"/>
      <w:szCs w:val="21"/>
    </w:rPr>
  </w:style>
  <w:style w:type="paragraph" w:customStyle="1" w:styleId="289">
    <w:name w:val="纯文本1"/>
    <w:basedOn w:val="1"/>
    <w:link w:val="288"/>
    <w:qFormat/>
    <w:uiPriority w:val="0"/>
    <w:rPr>
      <w:rFonts w:ascii="宋体" w:hAnsi="Courier New" w:cs="Courier New"/>
      <w:kern w:val="0"/>
      <w:szCs w:val="21"/>
    </w:rPr>
  </w:style>
  <w:style w:type="paragraph" w:customStyle="1" w:styleId="290">
    <w:name w:val="索引 11"/>
    <w:basedOn w:val="1"/>
    <w:next w:val="1"/>
    <w:qFormat/>
    <w:uiPriority w:val="99"/>
    <w:pPr>
      <w:spacing w:line="360" w:lineRule="auto"/>
    </w:pPr>
    <w:rPr>
      <w:rFonts w:ascii="仿宋_GB2312" w:eastAsia="仿宋_GB2312"/>
      <w:sz w:val="24"/>
      <w:szCs w:val="20"/>
    </w:rPr>
  </w:style>
  <w:style w:type="paragraph" w:customStyle="1" w:styleId="291">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92">
    <w:name w:val="1正文"/>
    <w:basedOn w:val="1"/>
    <w:qFormat/>
    <w:uiPriority w:val="0"/>
    <w:pPr>
      <w:spacing w:beforeLines="50" w:line="360" w:lineRule="auto"/>
      <w:ind w:firstLine="480" w:firstLineChars="200"/>
    </w:pPr>
    <w:rPr>
      <w:rFonts w:ascii="宋体" w:hAnsi="宋体" w:eastAsia="仿宋_GB2312"/>
      <w:kern w:val="0"/>
      <w:sz w:val="24"/>
      <w:szCs w:val="32"/>
    </w:rPr>
  </w:style>
  <w:style w:type="paragraph" w:customStyle="1" w:styleId="293">
    <w:name w:val="无间距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4">
    <w:name w:val="DAS正文"/>
    <w:basedOn w:val="1"/>
    <w:qFormat/>
    <w:uiPriority w:val="0"/>
    <w:pPr>
      <w:spacing w:line="360" w:lineRule="auto"/>
      <w:ind w:right="181" w:firstLine="480" w:firstLineChars="200"/>
    </w:pPr>
    <w:rPr>
      <w:rFonts w:ascii="Verdana" w:hAnsi="Verdana"/>
      <w:sz w:val="24"/>
    </w:rPr>
  </w:style>
  <w:style w:type="paragraph" w:customStyle="1" w:styleId="295">
    <w:name w:val="表格正文"/>
    <w:basedOn w:val="1"/>
    <w:qFormat/>
    <w:uiPriority w:val="0"/>
    <w:pPr>
      <w:spacing w:line="360" w:lineRule="auto"/>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87</Pages>
  <Words>46521</Words>
  <Characters>49471</Characters>
  <Lines>744</Lines>
  <Paragraphs>209</Paragraphs>
  <TotalTime>4</TotalTime>
  <ScaleCrop>false</ScaleCrop>
  <LinksUpToDate>false</LinksUpToDate>
  <CharactersWithSpaces>55395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2021-11-18T06:38:00Z</dcterms:created>
  <dc:creator>USER</dc:creator>
  <cp:lastModifiedBy>豆浆</cp:lastModifiedBy>
  <cp:lastPrinted>2022-11-16T07:59:00Z</cp:lastPrinted>
  <dcterms:modified xsi:type="dcterms:W3CDTF">2022-12-08T02:41:55Z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D13EF4677ABC4BFD924252240550E592</vt:lpwstr>
  </property>
</Properties>
</file>