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0A4EDC">
      <w:pPr>
        <w:pStyle w:val="2"/>
        <w:shd w:val="clear"/>
        <w:rPr>
          <w:rFonts w:hint="eastAsia" w:ascii="宋体" w:hAnsi="宋体" w:eastAsia="宋体" w:cs="宋体"/>
          <w:color w:val="auto"/>
          <w:highlight w:val="none"/>
        </w:rPr>
      </w:pPr>
    </w:p>
    <w:p w14:paraId="3FDF45E7">
      <w:pPr>
        <w:shd w:val="clear"/>
        <w:jc w:val="center"/>
        <w:rPr>
          <w:rFonts w:hint="eastAsia" w:ascii="宋体" w:hAnsi="宋体" w:eastAsia="宋体" w:cs="宋体"/>
          <w:b/>
          <w:bCs/>
          <w:color w:val="auto"/>
          <w:sz w:val="44"/>
          <w:szCs w:val="44"/>
          <w:highlight w:val="none"/>
          <w:lang w:eastAsia="zh-CN"/>
        </w:rPr>
      </w:pPr>
      <w:r>
        <w:rPr>
          <w:rFonts w:hint="eastAsia" w:ascii="宋体" w:hAnsi="宋体" w:cs="宋体"/>
          <w:b/>
          <w:bCs/>
          <w:color w:val="auto"/>
          <w:sz w:val="40"/>
          <w:szCs w:val="40"/>
          <w:highlight w:val="none"/>
          <w:lang w:eastAsia="zh-CN"/>
        </w:rPr>
        <w:t>2025年百官街道安全生产检查社会化服务采购</w:t>
      </w:r>
    </w:p>
    <w:p w14:paraId="68F63389">
      <w:pPr>
        <w:pStyle w:val="3"/>
        <w:shd w:val="clear"/>
        <w:rPr>
          <w:rFonts w:hint="eastAsia" w:ascii="宋体" w:hAnsi="宋体" w:eastAsia="宋体" w:cs="宋体"/>
          <w:b/>
          <w:bCs/>
          <w:color w:val="auto"/>
          <w:sz w:val="44"/>
          <w:szCs w:val="44"/>
          <w:highlight w:val="none"/>
        </w:rPr>
      </w:pPr>
    </w:p>
    <w:p w14:paraId="0C0ACEEF">
      <w:pPr>
        <w:pStyle w:val="3"/>
        <w:shd w:val="clear"/>
        <w:rPr>
          <w:rFonts w:hint="eastAsia" w:ascii="宋体" w:hAnsi="宋体" w:eastAsia="宋体" w:cs="宋体"/>
          <w:b/>
          <w:bCs/>
          <w:color w:val="auto"/>
          <w:sz w:val="44"/>
          <w:szCs w:val="44"/>
          <w:highlight w:val="none"/>
        </w:rPr>
      </w:pPr>
    </w:p>
    <w:p w14:paraId="41C67F82">
      <w:pPr>
        <w:pStyle w:val="23"/>
        <w:shd w:val="clear"/>
        <w:rPr>
          <w:rFonts w:hint="eastAsia" w:ascii="宋体" w:hAnsi="宋体" w:eastAsia="宋体" w:cs="宋体"/>
          <w:b/>
          <w:bCs/>
          <w:color w:val="auto"/>
          <w:sz w:val="44"/>
          <w:szCs w:val="44"/>
          <w:highlight w:val="none"/>
        </w:rPr>
      </w:pPr>
    </w:p>
    <w:p w14:paraId="16462008">
      <w:pPr>
        <w:shd w:val="clear"/>
        <w:rPr>
          <w:rFonts w:hint="eastAsia" w:ascii="宋体" w:hAnsi="宋体" w:eastAsia="宋体" w:cs="宋体"/>
          <w:color w:val="auto"/>
          <w:highlight w:val="none"/>
        </w:rPr>
      </w:pPr>
    </w:p>
    <w:p w14:paraId="35D5DD09">
      <w:pPr>
        <w:pStyle w:val="3"/>
        <w:shd w:val="clear"/>
        <w:rPr>
          <w:rFonts w:hint="eastAsia" w:ascii="宋体" w:hAnsi="宋体" w:eastAsia="宋体" w:cs="宋体"/>
          <w:b/>
          <w:bCs/>
          <w:color w:val="auto"/>
          <w:sz w:val="44"/>
          <w:szCs w:val="44"/>
          <w:highlight w:val="none"/>
        </w:rPr>
      </w:pPr>
    </w:p>
    <w:p w14:paraId="23789439">
      <w:pPr>
        <w:pStyle w:val="23"/>
        <w:shd w:val="clear"/>
        <w:rPr>
          <w:rFonts w:hint="eastAsia" w:ascii="宋体" w:hAnsi="宋体" w:eastAsia="宋体" w:cs="宋体"/>
          <w:color w:val="auto"/>
          <w:highlight w:val="none"/>
        </w:rPr>
      </w:pPr>
    </w:p>
    <w:p w14:paraId="2D23A84E">
      <w:pPr>
        <w:pStyle w:val="3"/>
        <w:shd w:val="clear"/>
        <w:rPr>
          <w:rFonts w:hint="eastAsia" w:ascii="宋体" w:hAnsi="宋体" w:eastAsia="宋体" w:cs="宋体"/>
          <w:color w:val="auto"/>
          <w:highlight w:val="none"/>
        </w:rPr>
      </w:pPr>
    </w:p>
    <w:p w14:paraId="53F4CE1C">
      <w:pPr>
        <w:shd w:val="clear"/>
        <w:spacing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72"/>
          <w:szCs w:val="72"/>
          <w:highlight w:val="none"/>
        </w:rPr>
        <w:t>竞争性磋商文件</w:t>
      </w:r>
    </w:p>
    <w:p w14:paraId="13281540">
      <w:pPr>
        <w:shd w:val="clear"/>
        <w:spacing w:line="360" w:lineRule="auto"/>
        <w:jc w:val="center"/>
        <w:rPr>
          <w:rFonts w:hint="eastAsia" w:ascii="宋体" w:hAnsi="宋体" w:eastAsia="宋体" w:cs="宋体"/>
          <w:b/>
          <w:bCs/>
          <w:color w:val="auto"/>
          <w:sz w:val="24"/>
          <w:szCs w:val="24"/>
          <w:highlight w:val="none"/>
        </w:rPr>
      </w:pPr>
    </w:p>
    <w:p w14:paraId="269AA7BC">
      <w:pPr>
        <w:shd w:val="clear"/>
        <w:snapToGrid w:val="0"/>
        <w:spacing w:line="360" w:lineRule="auto"/>
        <w:ind w:firstLine="2301" w:firstLineChars="767"/>
        <w:jc w:val="left"/>
        <w:rPr>
          <w:rFonts w:hint="eastAsia" w:ascii="宋体" w:hAnsi="宋体" w:eastAsia="宋体" w:cs="宋体"/>
          <w:color w:val="auto"/>
          <w:sz w:val="30"/>
          <w:szCs w:val="30"/>
          <w:highlight w:val="none"/>
          <w:u w:val="single"/>
          <w:lang w:eastAsia="zh-CN"/>
        </w:rPr>
      </w:pPr>
      <w:r>
        <w:rPr>
          <w:rFonts w:hint="eastAsia" w:ascii="宋体" w:hAnsi="宋体" w:eastAsia="宋体" w:cs="宋体"/>
          <w:color w:val="auto"/>
          <w:sz w:val="30"/>
          <w:szCs w:val="30"/>
          <w:highlight w:val="none"/>
        </w:rPr>
        <w:t>项目编号：</w:t>
      </w:r>
      <w:r>
        <w:rPr>
          <w:rFonts w:hint="eastAsia" w:ascii="宋体" w:hAnsi="宋体" w:cs="宋体"/>
          <w:color w:val="auto"/>
          <w:sz w:val="30"/>
          <w:szCs w:val="30"/>
          <w:highlight w:val="none"/>
          <w:u w:val="none"/>
          <w:lang w:val="en-US" w:eastAsia="zh-CN"/>
        </w:rPr>
        <w:t>YK2025301</w:t>
      </w:r>
    </w:p>
    <w:p w14:paraId="2EA000EF">
      <w:pPr>
        <w:shd w:val="clear"/>
        <w:snapToGrid w:val="0"/>
        <w:spacing w:line="360" w:lineRule="auto"/>
        <w:ind w:firstLine="2301" w:firstLineChars="767"/>
        <w:jc w:val="left"/>
        <w:rPr>
          <w:rFonts w:hint="eastAsia" w:ascii="宋体" w:hAnsi="宋体" w:eastAsia="宋体" w:cs="宋体"/>
          <w:color w:val="auto"/>
          <w:sz w:val="30"/>
          <w:szCs w:val="30"/>
          <w:highlight w:val="none"/>
        </w:rPr>
      </w:pPr>
    </w:p>
    <w:p w14:paraId="59DE5A37">
      <w:pPr>
        <w:shd w:val="clear"/>
        <w:spacing w:line="360" w:lineRule="auto"/>
        <w:rPr>
          <w:rFonts w:hint="eastAsia" w:ascii="宋体" w:hAnsi="宋体" w:eastAsia="宋体" w:cs="宋体"/>
          <w:color w:val="auto"/>
          <w:sz w:val="28"/>
          <w:szCs w:val="28"/>
          <w:highlight w:val="none"/>
        </w:rPr>
      </w:pPr>
    </w:p>
    <w:p w14:paraId="777EDB5C">
      <w:pPr>
        <w:shd w:val="clear"/>
        <w:spacing w:line="360" w:lineRule="auto"/>
        <w:jc w:val="center"/>
        <w:rPr>
          <w:rFonts w:hint="eastAsia" w:ascii="宋体" w:hAnsi="宋体" w:eastAsia="宋体" w:cs="宋体"/>
          <w:color w:val="auto"/>
          <w:sz w:val="24"/>
          <w:szCs w:val="24"/>
          <w:highlight w:val="none"/>
        </w:rPr>
      </w:pPr>
    </w:p>
    <w:p w14:paraId="55810561">
      <w:pPr>
        <w:shd w:val="clear"/>
        <w:spacing w:line="360" w:lineRule="auto"/>
        <w:jc w:val="center"/>
        <w:rPr>
          <w:rFonts w:hint="eastAsia" w:ascii="宋体" w:hAnsi="宋体" w:eastAsia="宋体" w:cs="宋体"/>
          <w:color w:val="auto"/>
          <w:sz w:val="24"/>
          <w:szCs w:val="24"/>
          <w:highlight w:val="none"/>
        </w:rPr>
      </w:pPr>
    </w:p>
    <w:p w14:paraId="6E5877DA">
      <w:pPr>
        <w:shd w:val="clear"/>
        <w:spacing w:line="360" w:lineRule="auto"/>
        <w:jc w:val="center"/>
        <w:rPr>
          <w:rFonts w:hint="eastAsia" w:ascii="宋体" w:hAnsi="宋体" w:eastAsia="宋体" w:cs="宋体"/>
          <w:color w:val="auto"/>
          <w:sz w:val="24"/>
          <w:szCs w:val="24"/>
          <w:highlight w:val="none"/>
        </w:rPr>
      </w:pPr>
    </w:p>
    <w:p w14:paraId="07511775">
      <w:pPr>
        <w:shd w:val="clear"/>
        <w:spacing w:line="360" w:lineRule="auto"/>
        <w:jc w:val="center"/>
        <w:rPr>
          <w:rFonts w:hint="eastAsia" w:ascii="宋体" w:hAnsi="宋体" w:eastAsia="宋体" w:cs="宋体"/>
          <w:color w:val="auto"/>
          <w:sz w:val="24"/>
          <w:szCs w:val="24"/>
          <w:highlight w:val="none"/>
        </w:rPr>
      </w:pPr>
    </w:p>
    <w:p w14:paraId="4553F748">
      <w:pPr>
        <w:shd w:val="clear"/>
        <w:spacing w:line="360" w:lineRule="auto"/>
        <w:jc w:val="center"/>
        <w:rPr>
          <w:rFonts w:hint="eastAsia" w:ascii="宋体" w:hAnsi="宋体" w:eastAsia="宋体" w:cs="宋体"/>
          <w:color w:val="auto"/>
          <w:sz w:val="24"/>
          <w:szCs w:val="24"/>
          <w:highlight w:val="none"/>
        </w:rPr>
      </w:pPr>
    </w:p>
    <w:p w14:paraId="7043D40B">
      <w:pPr>
        <w:shd w:val="clear"/>
        <w:snapToGrid w:val="0"/>
        <w:spacing w:line="360" w:lineRule="auto"/>
        <w:ind w:firstLine="1500" w:firstLineChars="500"/>
        <w:rPr>
          <w:rFonts w:hint="eastAsia" w:ascii="宋体" w:hAnsi="宋体" w:eastAsia="宋体" w:cs="宋体"/>
          <w:color w:val="auto"/>
          <w:highlight w:val="none"/>
          <w:u w:val="single"/>
          <w:lang w:eastAsia="zh-CN"/>
        </w:rPr>
      </w:pPr>
      <w:r>
        <w:rPr>
          <w:rFonts w:hint="eastAsia" w:ascii="宋体" w:hAnsi="宋体" w:eastAsia="宋体" w:cs="宋体"/>
          <w:color w:val="auto"/>
          <w:sz w:val="30"/>
          <w:szCs w:val="30"/>
          <w:highlight w:val="none"/>
        </w:rPr>
        <w:t>采 购 人：</w:t>
      </w:r>
      <w:r>
        <w:rPr>
          <w:rFonts w:hint="eastAsia" w:ascii="宋体" w:hAnsi="宋体" w:cs="宋体"/>
          <w:color w:val="auto"/>
          <w:sz w:val="30"/>
          <w:szCs w:val="30"/>
          <w:highlight w:val="none"/>
          <w:lang w:eastAsia="zh-CN"/>
        </w:rPr>
        <w:t>绍兴市上虞区百官街道办事处</w:t>
      </w:r>
    </w:p>
    <w:p w14:paraId="01844F19">
      <w:pPr>
        <w:shd w:val="clear"/>
        <w:snapToGrid w:val="0"/>
        <w:spacing w:line="360" w:lineRule="auto"/>
        <w:ind w:firstLine="1500" w:firstLineChars="500"/>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采购代理机构：浙江宇康工程管理咨询有限公司</w:t>
      </w:r>
    </w:p>
    <w:p w14:paraId="64A990CB">
      <w:pPr>
        <w:shd w:val="clear"/>
        <w:jc w:val="center"/>
        <w:rPr>
          <w:rFonts w:hint="eastAsia" w:ascii="宋体" w:hAnsi="宋体" w:eastAsia="宋体" w:cs="宋体"/>
          <w:color w:val="auto"/>
          <w:sz w:val="30"/>
          <w:szCs w:val="30"/>
          <w:highlight w:val="none"/>
        </w:rPr>
        <w:sectPr>
          <w:pgSz w:w="11906" w:h="16838"/>
          <w:pgMar w:top="1440" w:right="1800" w:bottom="1440" w:left="1800" w:header="851" w:footer="992" w:gutter="0"/>
          <w:cols w:space="425" w:num="1"/>
          <w:docGrid w:type="lines" w:linePitch="312" w:charSpace="0"/>
        </w:sectPr>
      </w:pPr>
      <w:r>
        <w:rPr>
          <w:rFonts w:hint="eastAsia" w:ascii="宋体" w:hAnsi="宋体" w:eastAsia="宋体" w:cs="宋体"/>
          <w:color w:val="auto"/>
          <w:sz w:val="30"/>
          <w:szCs w:val="30"/>
          <w:highlight w:val="none"/>
        </w:rPr>
        <w:t>二〇二</w:t>
      </w:r>
      <w:r>
        <w:rPr>
          <w:rFonts w:hint="eastAsia" w:ascii="宋体" w:hAnsi="宋体" w:cs="宋体"/>
          <w:color w:val="auto"/>
          <w:sz w:val="30"/>
          <w:szCs w:val="30"/>
          <w:highlight w:val="none"/>
          <w:lang w:val="en-US" w:eastAsia="zh-CN"/>
        </w:rPr>
        <w:t>五</w:t>
      </w:r>
      <w:r>
        <w:rPr>
          <w:rFonts w:hint="eastAsia" w:ascii="宋体" w:hAnsi="宋体" w:eastAsia="宋体" w:cs="宋体"/>
          <w:color w:val="auto"/>
          <w:sz w:val="30"/>
          <w:szCs w:val="30"/>
          <w:highlight w:val="none"/>
        </w:rPr>
        <w:t>年</w:t>
      </w:r>
      <w:r>
        <w:rPr>
          <w:rFonts w:hint="eastAsia" w:ascii="宋体" w:hAnsi="宋体" w:cs="宋体"/>
          <w:color w:val="auto"/>
          <w:sz w:val="30"/>
          <w:szCs w:val="30"/>
          <w:highlight w:val="none"/>
          <w:lang w:val="en-US" w:eastAsia="zh-CN"/>
        </w:rPr>
        <w:t>六</w:t>
      </w:r>
      <w:r>
        <w:rPr>
          <w:rFonts w:hint="eastAsia" w:ascii="宋体" w:hAnsi="宋体" w:eastAsia="宋体" w:cs="宋体"/>
          <w:color w:val="auto"/>
          <w:sz w:val="30"/>
          <w:szCs w:val="30"/>
          <w:highlight w:val="none"/>
        </w:rPr>
        <w:t>月</w:t>
      </w:r>
    </w:p>
    <w:p w14:paraId="025EEACB">
      <w:pPr>
        <w:shd w:val="clear"/>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目 录</w:t>
      </w:r>
    </w:p>
    <w:p w14:paraId="3E566091">
      <w:pPr>
        <w:pStyle w:val="22"/>
        <w:tabs>
          <w:tab w:val="right" w:leader="dot" w:pos="8306"/>
        </w:tabs>
        <w:rPr>
          <w:rFonts w:hint="eastAsia" w:ascii="宋体" w:hAnsi="宋体" w:eastAsia="宋体" w:cs="宋体"/>
          <w:color w:val="auto"/>
          <w:highlight w:val="none"/>
        </w:rPr>
      </w:pPr>
      <w:r>
        <w:rPr>
          <w:rFonts w:hint="eastAsia" w:ascii="宋体" w:hAnsi="宋体" w:eastAsia="宋体" w:cs="宋体"/>
          <w:color w:val="auto"/>
          <w:sz w:val="44"/>
          <w:szCs w:val="44"/>
          <w:highlight w:val="none"/>
        </w:rPr>
        <w:fldChar w:fldCharType="begin"/>
      </w:r>
      <w:r>
        <w:rPr>
          <w:rFonts w:hint="eastAsia" w:ascii="宋体" w:hAnsi="宋体" w:eastAsia="宋体" w:cs="宋体"/>
          <w:color w:val="auto"/>
          <w:sz w:val="44"/>
          <w:szCs w:val="44"/>
          <w:highlight w:val="none"/>
        </w:rPr>
        <w:instrText xml:space="preserve">TOC \o "1-3" \h \u </w:instrText>
      </w:r>
      <w:r>
        <w:rPr>
          <w:rFonts w:hint="eastAsia" w:ascii="宋体" w:hAnsi="宋体" w:eastAsia="宋体" w:cs="宋体"/>
          <w:color w:val="auto"/>
          <w:sz w:val="44"/>
          <w:szCs w:val="44"/>
          <w:highlight w:val="none"/>
        </w:rPr>
        <w:fldChar w:fldCharType="separate"/>
      </w:r>
      <w:r>
        <w:rPr>
          <w:rFonts w:hint="eastAsia" w:ascii="宋体" w:hAnsi="宋体" w:eastAsia="宋体" w:cs="宋体"/>
          <w:color w:val="auto"/>
          <w:szCs w:val="44"/>
          <w:highlight w:val="none"/>
        </w:rPr>
        <w:fldChar w:fldCharType="begin"/>
      </w:r>
      <w:r>
        <w:rPr>
          <w:rFonts w:hint="eastAsia" w:ascii="宋体" w:hAnsi="宋体" w:eastAsia="宋体" w:cs="宋体"/>
          <w:color w:val="auto"/>
          <w:szCs w:val="44"/>
          <w:highlight w:val="none"/>
        </w:rPr>
        <w:instrText xml:space="preserve"> HYPERLINK \l _Toc30519 </w:instrText>
      </w:r>
      <w:r>
        <w:rPr>
          <w:rFonts w:hint="eastAsia" w:ascii="宋体" w:hAnsi="宋体" w:eastAsia="宋体" w:cs="宋体"/>
          <w:color w:val="auto"/>
          <w:szCs w:val="44"/>
          <w:highlight w:val="none"/>
        </w:rPr>
        <w:fldChar w:fldCharType="separate"/>
      </w:r>
      <w:r>
        <w:rPr>
          <w:rFonts w:hint="eastAsia" w:ascii="宋体" w:hAnsi="宋体" w:eastAsia="宋体" w:cs="宋体"/>
          <w:color w:val="auto"/>
          <w:szCs w:val="36"/>
          <w:highlight w:val="none"/>
        </w:rPr>
        <w:t>第一部分 磋商公告</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_Toc30519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w:t>
      </w:r>
      <w:r>
        <w:rPr>
          <w:rFonts w:hint="eastAsia" w:ascii="宋体" w:hAnsi="宋体" w:eastAsia="宋体" w:cs="宋体"/>
          <w:color w:val="auto"/>
          <w:highlight w:val="none"/>
        </w:rPr>
        <w:fldChar w:fldCharType="end"/>
      </w:r>
      <w:r>
        <w:rPr>
          <w:rFonts w:hint="eastAsia" w:ascii="宋体" w:hAnsi="宋体" w:eastAsia="宋体" w:cs="宋体"/>
          <w:color w:val="auto"/>
          <w:szCs w:val="44"/>
          <w:highlight w:val="none"/>
        </w:rPr>
        <w:fldChar w:fldCharType="end"/>
      </w:r>
    </w:p>
    <w:p w14:paraId="50A6A8E7">
      <w:pPr>
        <w:pStyle w:val="22"/>
        <w:tabs>
          <w:tab w:val="right" w:leader="dot" w:pos="8306"/>
        </w:tabs>
        <w:rPr>
          <w:rFonts w:hint="eastAsia" w:ascii="宋体" w:hAnsi="宋体" w:eastAsia="宋体" w:cs="宋体"/>
          <w:color w:val="auto"/>
          <w:highlight w:val="none"/>
        </w:rPr>
      </w:pPr>
      <w:r>
        <w:rPr>
          <w:rFonts w:hint="eastAsia" w:ascii="宋体" w:hAnsi="宋体" w:eastAsia="宋体" w:cs="宋体"/>
          <w:color w:val="auto"/>
          <w:szCs w:val="44"/>
          <w:highlight w:val="none"/>
        </w:rPr>
        <w:fldChar w:fldCharType="begin"/>
      </w:r>
      <w:r>
        <w:rPr>
          <w:rFonts w:hint="eastAsia" w:ascii="宋体" w:hAnsi="宋体" w:eastAsia="宋体" w:cs="宋体"/>
          <w:color w:val="auto"/>
          <w:szCs w:val="44"/>
          <w:highlight w:val="none"/>
        </w:rPr>
        <w:instrText xml:space="preserve"> HYPERLINK \l _Toc23520 </w:instrText>
      </w:r>
      <w:r>
        <w:rPr>
          <w:rFonts w:hint="eastAsia" w:ascii="宋体" w:hAnsi="宋体" w:eastAsia="宋体" w:cs="宋体"/>
          <w:color w:val="auto"/>
          <w:szCs w:val="44"/>
          <w:highlight w:val="none"/>
        </w:rPr>
        <w:fldChar w:fldCharType="separate"/>
      </w:r>
      <w:r>
        <w:rPr>
          <w:rFonts w:hint="eastAsia" w:ascii="宋体" w:hAnsi="宋体" w:eastAsia="宋体" w:cs="宋体"/>
          <w:color w:val="auto"/>
          <w:szCs w:val="36"/>
          <w:highlight w:val="none"/>
        </w:rPr>
        <w:t>第二部分 供应商须知</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_Toc23520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5</w:t>
      </w:r>
      <w:r>
        <w:rPr>
          <w:rFonts w:hint="eastAsia" w:ascii="宋体" w:hAnsi="宋体" w:eastAsia="宋体" w:cs="宋体"/>
          <w:color w:val="auto"/>
          <w:highlight w:val="none"/>
        </w:rPr>
        <w:fldChar w:fldCharType="end"/>
      </w:r>
      <w:r>
        <w:rPr>
          <w:rFonts w:hint="eastAsia" w:ascii="宋体" w:hAnsi="宋体" w:eastAsia="宋体" w:cs="宋体"/>
          <w:color w:val="auto"/>
          <w:szCs w:val="44"/>
          <w:highlight w:val="none"/>
        </w:rPr>
        <w:fldChar w:fldCharType="end"/>
      </w:r>
    </w:p>
    <w:p w14:paraId="092EADEC">
      <w:pPr>
        <w:pStyle w:val="24"/>
        <w:tabs>
          <w:tab w:val="right" w:leader="dot" w:pos="8306"/>
        </w:tabs>
        <w:rPr>
          <w:rFonts w:hint="eastAsia" w:ascii="宋体" w:hAnsi="宋体" w:eastAsia="宋体" w:cs="宋体"/>
          <w:color w:val="auto"/>
          <w:highlight w:val="none"/>
        </w:rPr>
      </w:pPr>
      <w:r>
        <w:rPr>
          <w:rFonts w:hint="eastAsia" w:ascii="宋体" w:hAnsi="宋体" w:eastAsia="宋体" w:cs="宋体"/>
          <w:color w:val="auto"/>
          <w:szCs w:val="44"/>
          <w:highlight w:val="none"/>
        </w:rPr>
        <w:fldChar w:fldCharType="begin"/>
      </w:r>
      <w:r>
        <w:rPr>
          <w:rFonts w:hint="eastAsia" w:ascii="宋体" w:hAnsi="宋体" w:eastAsia="宋体" w:cs="宋体"/>
          <w:color w:val="auto"/>
          <w:szCs w:val="44"/>
          <w:highlight w:val="none"/>
        </w:rPr>
        <w:instrText xml:space="preserve"> HYPERLINK \l _Toc22810 </w:instrText>
      </w:r>
      <w:r>
        <w:rPr>
          <w:rFonts w:hint="eastAsia" w:ascii="宋体" w:hAnsi="宋体" w:eastAsia="宋体" w:cs="宋体"/>
          <w:color w:val="auto"/>
          <w:szCs w:val="44"/>
          <w:highlight w:val="none"/>
        </w:rPr>
        <w:fldChar w:fldCharType="separate"/>
      </w:r>
      <w:r>
        <w:rPr>
          <w:rFonts w:hint="eastAsia" w:ascii="宋体" w:hAnsi="宋体" w:eastAsia="宋体" w:cs="宋体"/>
          <w:color w:val="auto"/>
          <w:highlight w:val="none"/>
        </w:rPr>
        <w:t>一、 总则</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_Toc22810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9</w:t>
      </w:r>
      <w:r>
        <w:rPr>
          <w:rFonts w:hint="eastAsia" w:ascii="宋体" w:hAnsi="宋体" w:eastAsia="宋体" w:cs="宋体"/>
          <w:color w:val="auto"/>
          <w:highlight w:val="none"/>
        </w:rPr>
        <w:fldChar w:fldCharType="end"/>
      </w:r>
      <w:r>
        <w:rPr>
          <w:rFonts w:hint="eastAsia" w:ascii="宋体" w:hAnsi="宋体" w:eastAsia="宋体" w:cs="宋体"/>
          <w:color w:val="auto"/>
          <w:szCs w:val="44"/>
          <w:highlight w:val="none"/>
        </w:rPr>
        <w:fldChar w:fldCharType="end"/>
      </w:r>
    </w:p>
    <w:p w14:paraId="786AD87D">
      <w:pPr>
        <w:pStyle w:val="24"/>
        <w:tabs>
          <w:tab w:val="right" w:leader="dot" w:pos="8306"/>
        </w:tabs>
        <w:rPr>
          <w:rFonts w:hint="eastAsia" w:ascii="宋体" w:hAnsi="宋体" w:eastAsia="宋体" w:cs="宋体"/>
          <w:color w:val="auto"/>
          <w:highlight w:val="none"/>
        </w:rPr>
      </w:pPr>
      <w:r>
        <w:rPr>
          <w:rFonts w:hint="eastAsia" w:ascii="宋体" w:hAnsi="宋体" w:eastAsia="宋体" w:cs="宋体"/>
          <w:color w:val="auto"/>
          <w:szCs w:val="44"/>
          <w:highlight w:val="none"/>
        </w:rPr>
        <w:fldChar w:fldCharType="begin"/>
      </w:r>
      <w:r>
        <w:rPr>
          <w:rFonts w:hint="eastAsia" w:ascii="宋体" w:hAnsi="宋体" w:eastAsia="宋体" w:cs="宋体"/>
          <w:color w:val="auto"/>
          <w:szCs w:val="44"/>
          <w:highlight w:val="none"/>
        </w:rPr>
        <w:instrText xml:space="preserve"> HYPERLINK \l _Toc248 </w:instrText>
      </w:r>
      <w:r>
        <w:rPr>
          <w:rFonts w:hint="eastAsia" w:ascii="宋体" w:hAnsi="宋体" w:eastAsia="宋体" w:cs="宋体"/>
          <w:color w:val="auto"/>
          <w:szCs w:val="44"/>
          <w:highlight w:val="none"/>
        </w:rPr>
        <w:fldChar w:fldCharType="separate"/>
      </w:r>
      <w:r>
        <w:rPr>
          <w:rFonts w:hint="eastAsia" w:ascii="宋体" w:hAnsi="宋体" w:eastAsia="宋体" w:cs="宋体"/>
          <w:color w:val="auto"/>
          <w:highlight w:val="none"/>
        </w:rPr>
        <w:t>二、 竞争性磋商文件</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_Toc248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9</w:t>
      </w:r>
      <w:r>
        <w:rPr>
          <w:rFonts w:hint="eastAsia" w:ascii="宋体" w:hAnsi="宋体" w:eastAsia="宋体" w:cs="宋体"/>
          <w:color w:val="auto"/>
          <w:highlight w:val="none"/>
        </w:rPr>
        <w:fldChar w:fldCharType="end"/>
      </w:r>
      <w:r>
        <w:rPr>
          <w:rFonts w:hint="eastAsia" w:ascii="宋体" w:hAnsi="宋体" w:eastAsia="宋体" w:cs="宋体"/>
          <w:color w:val="auto"/>
          <w:szCs w:val="44"/>
          <w:highlight w:val="none"/>
        </w:rPr>
        <w:fldChar w:fldCharType="end"/>
      </w:r>
    </w:p>
    <w:p w14:paraId="6B3B91D4">
      <w:pPr>
        <w:pStyle w:val="24"/>
        <w:tabs>
          <w:tab w:val="right" w:leader="dot" w:pos="8306"/>
        </w:tabs>
        <w:rPr>
          <w:rFonts w:hint="eastAsia" w:ascii="宋体" w:hAnsi="宋体" w:eastAsia="宋体" w:cs="宋体"/>
          <w:color w:val="auto"/>
          <w:highlight w:val="none"/>
        </w:rPr>
      </w:pPr>
      <w:r>
        <w:rPr>
          <w:rFonts w:hint="eastAsia" w:ascii="宋体" w:hAnsi="宋体" w:eastAsia="宋体" w:cs="宋体"/>
          <w:color w:val="auto"/>
          <w:szCs w:val="44"/>
          <w:highlight w:val="none"/>
        </w:rPr>
        <w:fldChar w:fldCharType="begin"/>
      </w:r>
      <w:r>
        <w:rPr>
          <w:rFonts w:hint="eastAsia" w:ascii="宋体" w:hAnsi="宋体" w:eastAsia="宋体" w:cs="宋体"/>
          <w:color w:val="auto"/>
          <w:szCs w:val="44"/>
          <w:highlight w:val="none"/>
        </w:rPr>
        <w:instrText xml:space="preserve"> HYPERLINK \l _Toc1835 </w:instrText>
      </w:r>
      <w:r>
        <w:rPr>
          <w:rFonts w:hint="eastAsia" w:ascii="宋体" w:hAnsi="宋体" w:eastAsia="宋体" w:cs="宋体"/>
          <w:color w:val="auto"/>
          <w:szCs w:val="44"/>
          <w:highlight w:val="none"/>
        </w:rPr>
        <w:fldChar w:fldCharType="separate"/>
      </w:r>
      <w:r>
        <w:rPr>
          <w:rFonts w:hint="eastAsia" w:ascii="宋体" w:hAnsi="宋体" w:eastAsia="宋体" w:cs="宋体"/>
          <w:color w:val="auto"/>
          <w:highlight w:val="none"/>
        </w:rPr>
        <w:t>三、 竞争性磋商响应文件的编写</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_Toc1835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10</w:t>
      </w:r>
      <w:r>
        <w:rPr>
          <w:rFonts w:hint="eastAsia" w:ascii="宋体" w:hAnsi="宋体" w:eastAsia="宋体" w:cs="宋体"/>
          <w:color w:val="auto"/>
          <w:highlight w:val="none"/>
        </w:rPr>
        <w:fldChar w:fldCharType="end"/>
      </w:r>
      <w:r>
        <w:rPr>
          <w:rFonts w:hint="eastAsia" w:ascii="宋体" w:hAnsi="宋体" w:eastAsia="宋体" w:cs="宋体"/>
          <w:color w:val="auto"/>
          <w:szCs w:val="44"/>
          <w:highlight w:val="none"/>
        </w:rPr>
        <w:fldChar w:fldCharType="end"/>
      </w:r>
    </w:p>
    <w:p w14:paraId="488495E4">
      <w:pPr>
        <w:pStyle w:val="24"/>
        <w:tabs>
          <w:tab w:val="right" w:leader="dot" w:pos="8306"/>
        </w:tabs>
        <w:rPr>
          <w:rFonts w:hint="eastAsia" w:ascii="宋体" w:hAnsi="宋体" w:eastAsia="宋体" w:cs="宋体"/>
          <w:color w:val="auto"/>
          <w:highlight w:val="none"/>
        </w:rPr>
      </w:pPr>
      <w:r>
        <w:rPr>
          <w:rFonts w:hint="eastAsia" w:ascii="宋体" w:hAnsi="宋体" w:eastAsia="宋体" w:cs="宋体"/>
          <w:color w:val="auto"/>
          <w:szCs w:val="44"/>
          <w:highlight w:val="none"/>
        </w:rPr>
        <w:fldChar w:fldCharType="begin"/>
      </w:r>
      <w:r>
        <w:rPr>
          <w:rFonts w:hint="eastAsia" w:ascii="宋体" w:hAnsi="宋体" w:eastAsia="宋体" w:cs="宋体"/>
          <w:color w:val="auto"/>
          <w:szCs w:val="44"/>
          <w:highlight w:val="none"/>
        </w:rPr>
        <w:instrText xml:space="preserve"> HYPERLINK \l _Toc9697 </w:instrText>
      </w:r>
      <w:r>
        <w:rPr>
          <w:rFonts w:hint="eastAsia" w:ascii="宋体" w:hAnsi="宋体" w:eastAsia="宋体" w:cs="宋体"/>
          <w:color w:val="auto"/>
          <w:szCs w:val="44"/>
          <w:highlight w:val="none"/>
        </w:rPr>
        <w:fldChar w:fldCharType="separate"/>
      </w:r>
      <w:r>
        <w:rPr>
          <w:rFonts w:hint="eastAsia" w:ascii="宋体" w:hAnsi="宋体" w:eastAsia="宋体" w:cs="宋体"/>
          <w:color w:val="auto"/>
          <w:highlight w:val="none"/>
        </w:rPr>
        <w:t>四、 响应文件的递交</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_Toc9697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14</w:t>
      </w:r>
      <w:r>
        <w:rPr>
          <w:rFonts w:hint="eastAsia" w:ascii="宋体" w:hAnsi="宋体" w:eastAsia="宋体" w:cs="宋体"/>
          <w:color w:val="auto"/>
          <w:highlight w:val="none"/>
        </w:rPr>
        <w:fldChar w:fldCharType="end"/>
      </w:r>
      <w:r>
        <w:rPr>
          <w:rFonts w:hint="eastAsia" w:ascii="宋体" w:hAnsi="宋体" w:eastAsia="宋体" w:cs="宋体"/>
          <w:color w:val="auto"/>
          <w:szCs w:val="44"/>
          <w:highlight w:val="none"/>
        </w:rPr>
        <w:fldChar w:fldCharType="end"/>
      </w:r>
    </w:p>
    <w:p w14:paraId="6FBB4DB9">
      <w:pPr>
        <w:pStyle w:val="24"/>
        <w:tabs>
          <w:tab w:val="right" w:leader="dot" w:pos="8306"/>
        </w:tabs>
        <w:rPr>
          <w:rFonts w:hint="eastAsia" w:ascii="宋体" w:hAnsi="宋体" w:eastAsia="宋体" w:cs="宋体"/>
          <w:color w:val="auto"/>
          <w:highlight w:val="none"/>
        </w:rPr>
      </w:pPr>
      <w:r>
        <w:rPr>
          <w:rFonts w:hint="eastAsia" w:ascii="宋体" w:hAnsi="宋体" w:eastAsia="宋体" w:cs="宋体"/>
          <w:color w:val="auto"/>
          <w:szCs w:val="44"/>
          <w:highlight w:val="none"/>
        </w:rPr>
        <w:fldChar w:fldCharType="begin"/>
      </w:r>
      <w:r>
        <w:rPr>
          <w:rFonts w:hint="eastAsia" w:ascii="宋体" w:hAnsi="宋体" w:eastAsia="宋体" w:cs="宋体"/>
          <w:color w:val="auto"/>
          <w:szCs w:val="44"/>
          <w:highlight w:val="none"/>
        </w:rPr>
        <w:instrText xml:space="preserve"> HYPERLINK \l _Toc30146 </w:instrText>
      </w:r>
      <w:r>
        <w:rPr>
          <w:rFonts w:hint="eastAsia" w:ascii="宋体" w:hAnsi="宋体" w:eastAsia="宋体" w:cs="宋体"/>
          <w:color w:val="auto"/>
          <w:szCs w:val="44"/>
          <w:highlight w:val="none"/>
        </w:rPr>
        <w:fldChar w:fldCharType="separate"/>
      </w:r>
      <w:r>
        <w:rPr>
          <w:rFonts w:hint="eastAsia" w:ascii="宋体" w:hAnsi="宋体" w:eastAsia="宋体" w:cs="宋体"/>
          <w:color w:val="auto"/>
          <w:highlight w:val="none"/>
        </w:rPr>
        <w:t>五、 磋商无效的情形</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_Toc30146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15</w:t>
      </w:r>
      <w:r>
        <w:rPr>
          <w:rFonts w:hint="eastAsia" w:ascii="宋体" w:hAnsi="宋体" w:eastAsia="宋体" w:cs="宋体"/>
          <w:color w:val="auto"/>
          <w:highlight w:val="none"/>
        </w:rPr>
        <w:fldChar w:fldCharType="end"/>
      </w:r>
      <w:r>
        <w:rPr>
          <w:rFonts w:hint="eastAsia" w:ascii="宋体" w:hAnsi="宋体" w:eastAsia="宋体" w:cs="宋体"/>
          <w:color w:val="auto"/>
          <w:szCs w:val="44"/>
          <w:highlight w:val="none"/>
        </w:rPr>
        <w:fldChar w:fldCharType="end"/>
      </w:r>
    </w:p>
    <w:p w14:paraId="534938A6">
      <w:pPr>
        <w:pStyle w:val="24"/>
        <w:tabs>
          <w:tab w:val="right" w:leader="dot" w:pos="8306"/>
        </w:tabs>
        <w:rPr>
          <w:rFonts w:hint="eastAsia" w:ascii="宋体" w:hAnsi="宋体" w:eastAsia="宋体" w:cs="宋体"/>
          <w:color w:val="auto"/>
          <w:highlight w:val="none"/>
        </w:rPr>
      </w:pPr>
      <w:r>
        <w:rPr>
          <w:rFonts w:hint="eastAsia" w:ascii="宋体" w:hAnsi="宋体" w:eastAsia="宋体" w:cs="宋体"/>
          <w:color w:val="auto"/>
          <w:szCs w:val="44"/>
          <w:highlight w:val="none"/>
        </w:rPr>
        <w:fldChar w:fldCharType="begin"/>
      </w:r>
      <w:r>
        <w:rPr>
          <w:rFonts w:hint="eastAsia" w:ascii="宋体" w:hAnsi="宋体" w:eastAsia="宋体" w:cs="宋体"/>
          <w:color w:val="auto"/>
          <w:szCs w:val="44"/>
          <w:highlight w:val="none"/>
        </w:rPr>
        <w:instrText xml:space="preserve"> HYPERLINK \l _Toc583 </w:instrText>
      </w:r>
      <w:r>
        <w:rPr>
          <w:rFonts w:hint="eastAsia" w:ascii="宋体" w:hAnsi="宋体" w:eastAsia="宋体" w:cs="宋体"/>
          <w:color w:val="auto"/>
          <w:szCs w:val="44"/>
          <w:highlight w:val="none"/>
        </w:rPr>
        <w:fldChar w:fldCharType="separate"/>
      </w:r>
      <w:r>
        <w:rPr>
          <w:rFonts w:hint="eastAsia" w:ascii="宋体" w:hAnsi="宋体" w:eastAsia="宋体" w:cs="宋体"/>
          <w:color w:val="auto"/>
          <w:highlight w:val="none"/>
        </w:rPr>
        <w:t>六、 采购中止的情形</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_Toc583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16</w:t>
      </w:r>
      <w:r>
        <w:rPr>
          <w:rFonts w:hint="eastAsia" w:ascii="宋体" w:hAnsi="宋体" w:eastAsia="宋体" w:cs="宋体"/>
          <w:color w:val="auto"/>
          <w:highlight w:val="none"/>
        </w:rPr>
        <w:fldChar w:fldCharType="end"/>
      </w:r>
      <w:r>
        <w:rPr>
          <w:rFonts w:hint="eastAsia" w:ascii="宋体" w:hAnsi="宋体" w:eastAsia="宋体" w:cs="宋体"/>
          <w:color w:val="auto"/>
          <w:szCs w:val="44"/>
          <w:highlight w:val="none"/>
        </w:rPr>
        <w:fldChar w:fldCharType="end"/>
      </w:r>
    </w:p>
    <w:p w14:paraId="0822ADE5">
      <w:pPr>
        <w:pStyle w:val="24"/>
        <w:tabs>
          <w:tab w:val="right" w:leader="dot" w:pos="8306"/>
        </w:tabs>
        <w:rPr>
          <w:rFonts w:hint="eastAsia" w:ascii="宋体" w:hAnsi="宋体" w:eastAsia="宋体" w:cs="宋体"/>
          <w:color w:val="auto"/>
          <w:highlight w:val="none"/>
        </w:rPr>
      </w:pPr>
      <w:r>
        <w:rPr>
          <w:rFonts w:hint="eastAsia" w:ascii="宋体" w:hAnsi="宋体" w:eastAsia="宋体" w:cs="宋体"/>
          <w:color w:val="auto"/>
          <w:szCs w:val="44"/>
          <w:highlight w:val="none"/>
        </w:rPr>
        <w:fldChar w:fldCharType="begin"/>
      </w:r>
      <w:r>
        <w:rPr>
          <w:rFonts w:hint="eastAsia" w:ascii="宋体" w:hAnsi="宋体" w:eastAsia="宋体" w:cs="宋体"/>
          <w:color w:val="auto"/>
          <w:szCs w:val="44"/>
          <w:highlight w:val="none"/>
        </w:rPr>
        <w:instrText xml:space="preserve"> HYPERLINK \l _Toc10157 </w:instrText>
      </w:r>
      <w:r>
        <w:rPr>
          <w:rFonts w:hint="eastAsia" w:ascii="宋体" w:hAnsi="宋体" w:eastAsia="宋体" w:cs="宋体"/>
          <w:color w:val="auto"/>
          <w:szCs w:val="44"/>
          <w:highlight w:val="none"/>
        </w:rPr>
        <w:fldChar w:fldCharType="separate"/>
      </w:r>
      <w:r>
        <w:rPr>
          <w:rFonts w:hint="eastAsia" w:ascii="宋体" w:hAnsi="宋体" w:eastAsia="宋体" w:cs="宋体"/>
          <w:color w:val="auto"/>
          <w:highlight w:val="none"/>
        </w:rPr>
        <w:t>七、 确定成交供应商与签订合同</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_Toc10157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17</w:t>
      </w:r>
      <w:r>
        <w:rPr>
          <w:rFonts w:hint="eastAsia" w:ascii="宋体" w:hAnsi="宋体" w:eastAsia="宋体" w:cs="宋体"/>
          <w:color w:val="auto"/>
          <w:highlight w:val="none"/>
        </w:rPr>
        <w:fldChar w:fldCharType="end"/>
      </w:r>
      <w:r>
        <w:rPr>
          <w:rFonts w:hint="eastAsia" w:ascii="宋体" w:hAnsi="宋体" w:eastAsia="宋体" w:cs="宋体"/>
          <w:color w:val="auto"/>
          <w:szCs w:val="44"/>
          <w:highlight w:val="none"/>
        </w:rPr>
        <w:fldChar w:fldCharType="end"/>
      </w:r>
    </w:p>
    <w:p w14:paraId="5BB89616">
      <w:pPr>
        <w:pStyle w:val="22"/>
        <w:tabs>
          <w:tab w:val="right" w:leader="dot" w:pos="8306"/>
        </w:tabs>
        <w:rPr>
          <w:rFonts w:hint="eastAsia" w:ascii="宋体" w:hAnsi="宋体" w:eastAsia="宋体" w:cs="宋体"/>
          <w:color w:val="auto"/>
          <w:highlight w:val="none"/>
        </w:rPr>
      </w:pPr>
      <w:r>
        <w:rPr>
          <w:rFonts w:hint="eastAsia" w:ascii="宋体" w:hAnsi="宋体" w:eastAsia="宋体" w:cs="宋体"/>
          <w:color w:val="auto"/>
          <w:szCs w:val="44"/>
          <w:highlight w:val="none"/>
        </w:rPr>
        <w:fldChar w:fldCharType="begin"/>
      </w:r>
      <w:r>
        <w:rPr>
          <w:rFonts w:hint="eastAsia" w:ascii="宋体" w:hAnsi="宋体" w:eastAsia="宋体" w:cs="宋体"/>
          <w:color w:val="auto"/>
          <w:szCs w:val="44"/>
          <w:highlight w:val="none"/>
        </w:rPr>
        <w:instrText xml:space="preserve"> HYPERLINK \l _Toc22605 </w:instrText>
      </w:r>
      <w:r>
        <w:rPr>
          <w:rFonts w:hint="eastAsia" w:ascii="宋体" w:hAnsi="宋体" w:eastAsia="宋体" w:cs="宋体"/>
          <w:color w:val="auto"/>
          <w:szCs w:val="44"/>
          <w:highlight w:val="none"/>
        </w:rPr>
        <w:fldChar w:fldCharType="separate"/>
      </w:r>
      <w:r>
        <w:rPr>
          <w:rFonts w:hint="eastAsia" w:ascii="宋体" w:hAnsi="宋体" w:eastAsia="宋体" w:cs="宋体"/>
          <w:color w:val="auto"/>
          <w:szCs w:val="36"/>
          <w:highlight w:val="none"/>
        </w:rPr>
        <w:t>第三部分 采购内容及要求</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_Toc22605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18</w:t>
      </w:r>
      <w:r>
        <w:rPr>
          <w:rFonts w:hint="eastAsia" w:ascii="宋体" w:hAnsi="宋体" w:eastAsia="宋体" w:cs="宋体"/>
          <w:color w:val="auto"/>
          <w:highlight w:val="none"/>
        </w:rPr>
        <w:fldChar w:fldCharType="end"/>
      </w:r>
      <w:r>
        <w:rPr>
          <w:rFonts w:hint="eastAsia" w:ascii="宋体" w:hAnsi="宋体" w:eastAsia="宋体" w:cs="宋体"/>
          <w:color w:val="auto"/>
          <w:szCs w:val="44"/>
          <w:highlight w:val="none"/>
        </w:rPr>
        <w:fldChar w:fldCharType="end"/>
      </w:r>
    </w:p>
    <w:p w14:paraId="1815A436">
      <w:pPr>
        <w:pStyle w:val="24"/>
        <w:tabs>
          <w:tab w:val="right" w:leader="dot" w:pos="8306"/>
        </w:tabs>
        <w:rPr>
          <w:rFonts w:hint="eastAsia" w:ascii="宋体" w:hAnsi="宋体" w:eastAsia="宋体" w:cs="宋体"/>
          <w:color w:val="auto"/>
          <w:highlight w:val="none"/>
        </w:rPr>
      </w:pPr>
      <w:r>
        <w:rPr>
          <w:rFonts w:hint="eastAsia" w:ascii="宋体" w:hAnsi="宋体" w:eastAsia="宋体" w:cs="宋体"/>
          <w:color w:val="auto"/>
          <w:szCs w:val="44"/>
          <w:highlight w:val="none"/>
        </w:rPr>
        <w:fldChar w:fldCharType="begin"/>
      </w:r>
      <w:r>
        <w:rPr>
          <w:rFonts w:hint="eastAsia" w:ascii="宋体" w:hAnsi="宋体" w:eastAsia="宋体" w:cs="宋体"/>
          <w:color w:val="auto"/>
          <w:szCs w:val="44"/>
          <w:highlight w:val="none"/>
        </w:rPr>
        <w:instrText xml:space="preserve"> HYPERLINK \l _Toc7909 </w:instrText>
      </w:r>
      <w:r>
        <w:rPr>
          <w:rFonts w:hint="eastAsia" w:ascii="宋体" w:hAnsi="宋体" w:eastAsia="宋体" w:cs="宋体"/>
          <w:color w:val="auto"/>
          <w:szCs w:val="44"/>
          <w:highlight w:val="none"/>
        </w:rPr>
        <w:fldChar w:fldCharType="separate"/>
      </w:r>
      <w:r>
        <w:rPr>
          <w:rFonts w:hint="eastAsia" w:ascii="宋体" w:hAnsi="宋体" w:eastAsia="宋体" w:cs="宋体"/>
          <w:color w:val="auto"/>
          <w:highlight w:val="none"/>
        </w:rPr>
        <w:t>第一章 采购内容及要求</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_Toc7909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18</w:t>
      </w:r>
      <w:r>
        <w:rPr>
          <w:rFonts w:hint="eastAsia" w:ascii="宋体" w:hAnsi="宋体" w:eastAsia="宋体" w:cs="宋体"/>
          <w:color w:val="auto"/>
          <w:highlight w:val="none"/>
        </w:rPr>
        <w:fldChar w:fldCharType="end"/>
      </w:r>
      <w:r>
        <w:rPr>
          <w:rFonts w:hint="eastAsia" w:ascii="宋体" w:hAnsi="宋体" w:eastAsia="宋体" w:cs="宋体"/>
          <w:color w:val="auto"/>
          <w:szCs w:val="44"/>
          <w:highlight w:val="none"/>
        </w:rPr>
        <w:fldChar w:fldCharType="end"/>
      </w:r>
    </w:p>
    <w:p w14:paraId="2305F762">
      <w:pPr>
        <w:pStyle w:val="24"/>
        <w:tabs>
          <w:tab w:val="right" w:leader="dot" w:pos="8306"/>
        </w:tabs>
        <w:rPr>
          <w:rFonts w:hint="eastAsia" w:ascii="宋体" w:hAnsi="宋体" w:eastAsia="宋体" w:cs="宋体"/>
          <w:color w:val="auto"/>
          <w:highlight w:val="none"/>
        </w:rPr>
      </w:pPr>
      <w:r>
        <w:rPr>
          <w:rFonts w:hint="eastAsia" w:ascii="宋体" w:hAnsi="宋体" w:eastAsia="宋体" w:cs="宋体"/>
          <w:color w:val="auto"/>
          <w:szCs w:val="44"/>
          <w:highlight w:val="none"/>
        </w:rPr>
        <w:fldChar w:fldCharType="begin"/>
      </w:r>
      <w:r>
        <w:rPr>
          <w:rFonts w:hint="eastAsia" w:ascii="宋体" w:hAnsi="宋体" w:eastAsia="宋体" w:cs="宋体"/>
          <w:color w:val="auto"/>
          <w:szCs w:val="44"/>
          <w:highlight w:val="none"/>
        </w:rPr>
        <w:instrText xml:space="preserve"> HYPERLINK \l _Toc20704 </w:instrText>
      </w:r>
      <w:r>
        <w:rPr>
          <w:rFonts w:hint="eastAsia" w:ascii="宋体" w:hAnsi="宋体" w:eastAsia="宋体" w:cs="宋体"/>
          <w:color w:val="auto"/>
          <w:szCs w:val="44"/>
          <w:highlight w:val="none"/>
        </w:rPr>
        <w:fldChar w:fldCharType="separate"/>
      </w:r>
      <w:r>
        <w:rPr>
          <w:rFonts w:hint="eastAsia" w:ascii="宋体" w:hAnsi="宋体" w:eastAsia="宋体" w:cs="宋体"/>
          <w:color w:val="auto"/>
          <w:highlight w:val="none"/>
        </w:rPr>
        <w:t>第二章 付款方式及要求</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_Toc20704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19</w:t>
      </w:r>
      <w:r>
        <w:rPr>
          <w:rFonts w:hint="eastAsia" w:ascii="宋体" w:hAnsi="宋体" w:eastAsia="宋体" w:cs="宋体"/>
          <w:color w:val="auto"/>
          <w:highlight w:val="none"/>
        </w:rPr>
        <w:fldChar w:fldCharType="end"/>
      </w:r>
      <w:r>
        <w:rPr>
          <w:rFonts w:hint="eastAsia" w:ascii="宋体" w:hAnsi="宋体" w:eastAsia="宋体" w:cs="宋体"/>
          <w:color w:val="auto"/>
          <w:szCs w:val="44"/>
          <w:highlight w:val="none"/>
        </w:rPr>
        <w:fldChar w:fldCharType="end"/>
      </w:r>
    </w:p>
    <w:p w14:paraId="3C530133">
      <w:pPr>
        <w:pStyle w:val="22"/>
        <w:tabs>
          <w:tab w:val="right" w:leader="dot" w:pos="8306"/>
        </w:tabs>
        <w:rPr>
          <w:rFonts w:hint="eastAsia" w:ascii="宋体" w:hAnsi="宋体" w:eastAsia="宋体" w:cs="宋体"/>
          <w:color w:val="auto"/>
          <w:highlight w:val="none"/>
        </w:rPr>
      </w:pPr>
      <w:r>
        <w:rPr>
          <w:rFonts w:hint="eastAsia" w:ascii="宋体" w:hAnsi="宋体" w:eastAsia="宋体" w:cs="宋体"/>
          <w:color w:val="auto"/>
          <w:szCs w:val="44"/>
          <w:highlight w:val="none"/>
        </w:rPr>
        <w:fldChar w:fldCharType="begin"/>
      </w:r>
      <w:r>
        <w:rPr>
          <w:rFonts w:hint="eastAsia" w:ascii="宋体" w:hAnsi="宋体" w:eastAsia="宋体" w:cs="宋体"/>
          <w:color w:val="auto"/>
          <w:szCs w:val="44"/>
          <w:highlight w:val="none"/>
        </w:rPr>
        <w:instrText xml:space="preserve"> HYPERLINK \l _Toc15384 </w:instrText>
      </w:r>
      <w:r>
        <w:rPr>
          <w:rFonts w:hint="eastAsia" w:ascii="宋体" w:hAnsi="宋体" w:eastAsia="宋体" w:cs="宋体"/>
          <w:color w:val="auto"/>
          <w:szCs w:val="44"/>
          <w:highlight w:val="none"/>
        </w:rPr>
        <w:fldChar w:fldCharType="separate"/>
      </w:r>
      <w:r>
        <w:rPr>
          <w:rFonts w:hint="eastAsia" w:ascii="宋体" w:hAnsi="宋体" w:eastAsia="宋体" w:cs="宋体"/>
          <w:color w:val="auto"/>
          <w:szCs w:val="36"/>
          <w:highlight w:val="none"/>
        </w:rPr>
        <w:t>第四部分 磋商原则及磋商方法</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_Toc15384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21</w:t>
      </w:r>
      <w:r>
        <w:rPr>
          <w:rFonts w:hint="eastAsia" w:ascii="宋体" w:hAnsi="宋体" w:eastAsia="宋体" w:cs="宋体"/>
          <w:color w:val="auto"/>
          <w:highlight w:val="none"/>
        </w:rPr>
        <w:fldChar w:fldCharType="end"/>
      </w:r>
      <w:r>
        <w:rPr>
          <w:rFonts w:hint="eastAsia" w:ascii="宋体" w:hAnsi="宋体" w:eastAsia="宋体" w:cs="宋体"/>
          <w:color w:val="auto"/>
          <w:szCs w:val="44"/>
          <w:highlight w:val="none"/>
        </w:rPr>
        <w:fldChar w:fldCharType="end"/>
      </w:r>
    </w:p>
    <w:p w14:paraId="0FD1354C">
      <w:pPr>
        <w:pStyle w:val="24"/>
        <w:tabs>
          <w:tab w:val="right" w:leader="dot" w:pos="8306"/>
        </w:tabs>
        <w:rPr>
          <w:rFonts w:hint="eastAsia" w:ascii="宋体" w:hAnsi="宋体" w:eastAsia="宋体" w:cs="宋体"/>
          <w:color w:val="auto"/>
          <w:highlight w:val="none"/>
        </w:rPr>
      </w:pPr>
      <w:r>
        <w:rPr>
          <w:rFonts w:hint="eastAsia" w:ascii="宋体" w:hAnsi="宋体" w:eastAsia="宋体" w:cs="宋体"/>
          <w:color w:val="auto"/>
          <w:szCs w:val="44"/>
          <w:highlight w:val="none"/>
        </w:rPr>
        <w:fldChar w:fldCharType="begin"/>
      </w:r>
      <w:r>
        <w:rPr>
          <w:rFonts w:hint="eastAsia" w:ascii="宋体" w:hAnsi="宋体" w:eastAsia="宋体" w:cs="宋体"/>
          <w:color w:val="auto"/>
          <w:szCs w:val="44"/>
          <w:highlight w:val="none"/>
        </w:rPr>
        <w:instrText xml:space="preserve"> HYPERLINK \l _Toc32674 </w:instrText>
      </w:r>
      <w:r>
        <w:rPr>
          <w:rFonts w:hint="eastAsia" w:ascii="宋体" w:hAnsi="宋体" w:eastAsia="宋体" w:cs="宋体"/>
          <w:color w:val="auto"/>
          <w:szCs w:val="44"/>
          <w:highlight w:val="none"/>
        </w:rPr>
        <w:fldChar w:fldCharType="separate"/>
      </w:r>
      <w:r>
        <w:rPr>
          <w:rFonts w:hint="eastAsia" w:ascii="宋体" w:hAnsi="宋体" w:eastAsia="宋体" w:cs="宋体"/>
          <w:color w:val="auto"/>
          <w:highlight w:val="none"/>
        </w:rPr>
        <w:t>一、 磋商原则</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_Toc32674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21</w:t>
      </w:r>
      <w:r>
        <w:rPr>
          <w:rFonts w:hint="eastAsia" w:ascii="宋体" w:hAnsi="宋体" w:eastAsia="宋体" w:cs="宋体"/>
          <w:color w:val="auto"/>
          <w:highlight w:val="none"/>
        </w:rPr>
        <w:fldChar w:fldCharType="end"/>
      </w:r>
      <w:r>
        <w:rPr>
          <w:rFonts w:hint="eastAsia" w:ascii="宋体" w:hAnsi="宋体" w:eastAsia="宋体" w:cs="宋体"/>
          <w:color w:val="auto"/>
          <w:szCs w:val="44"/>
          <w:highlight w:val="none"/>
        </w:rPr>
        <w:fldChar w:fldCharType="end"/>
      </w:r>
    </w:p>
    <w:p w14:paraId="6C8A65D8">
      <w:pPr>
        <w:pStyle w:val="24"/>
        <w:tabs>
          <w:tab w:val="right" w:leader="dot" w:pos="8306"/>
        </w:tabs>
        <w:rPr>
          <w:rFonts w:hint="eastAsia" w:ascii="宋体" w:hAnsi="宋体" w:eastAsia="宋体" w:cs="宋体"/>
          <w:color w:val="auto"/>
          <w:highlight w:val="none"/>
        </w:rPr>
      </w:pPr>
      <w:r>
        <w:rPr>
          <w:rFonts w:hint="eastAsia" w:ascii="宋体" w:hAnsi="宋体" w:eastAsia="宋体" w:cs="宋体"/>
          <w:color w:val="auto"/>
          <w:szCs w:val="44"/>
          <w:highlight w:val="none"/>
        </w:rPr>
        <w:fldChar w:fldCharType="begin"/>
      </w:r>
      <w:r>
        <w:rPr>
          <w:rFonts w:hint="eastAsia" w:ascii="宋体" w:hAnsi="宋体" w:eastAsia="宋体" w:cs="宋体"/>
          <w:color w:val="auto"/>
          <w:szCs w:val="44"/>
          <w:highlight w:val="none"/>
        </w:rPr>
        <w:instrText xml:space="preserve"> HYPERLINK \l _Toc19299 </w:instrText>
      </w:r>
      <w:r>
        <w:rPr>
          <w:rFonts w:hint="eastAsia" w:ascii="宋体" w:hAnsi="宋体" w:eastAsia="宋体" w:cs="宋体"/>
          <w:color w:val="auto"/>
          <w:szCs w:val="44"/>
          <w:highlight w:val="none"/>
        </w:rPr>
        <w:fldChar w:fldCharType="separate"/>
      </w:r>
      <w:r>
        <w:rPr>
          <w:rFonts w:hint="eastAsia" w:ascii="宋体" w:hAnsi="宋体" w:eastAsia="宋体" w:cs="宋体"/>
          <w:color w:val="auto"/>
          <w:highlight w:val="none"/>
        </w:rPr>
        <w:t>二、 磋商程序</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_Toc19299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22</w:t>
      </w:r>
      <w:r>
        <w:rPr>
          <w:rFonts w:hint="eastAsia" w:ascii="宋体" w:hAnsi="宋体" w:eastAsia="宋体" w:cs="宋体"/>
          <w:color w:val="auto"/>
          <w:highlight w:val="none"/>
        </w:rPr>
        <w:fldChar w:fldCharType="end"/>
      </w:r>
      <w:r>
        <w:rPr>
          <w:rFonts w:hint="eastAsia" w:ascii="宋体" w:hAnsi="宋体" w:eastAsia="宋体" w:cs="宋体"/>
          <w:color w:val="auto"/>
          <w:szCs w:val="44"/>
          <w:highlight w:val="none"/>
        </w:rPr>
        <w:fldChar w:fldCharType="end"/>
      </w:r>
    </w:p>
    <w:p w14:paraId="12622B7F">
      <w:pPr>
        <w:pStyle w:val="24"/>
        <w:tabs>
          <w:tab w:val="right" w:leader="dot" w:pos="8306"/>
        </w:tabs>
        <w:rPr>
          <w:rFonts w:hint="eastAsia" w:ascii="宋体" w:hAnsi="宋体" w:eastAsia="宋体" w:cs="宋体"/>
          <w:color w:val="auto"/>
          <w:highlight w:val="none"/>
        </w:rPr>
      </w:pPr>
      <w:r>
        <w:rPr>
          <w:rFonts w:hint="eastAsia" w:ascii="宋体" w:hAnsi="宋体" w:eastAsia="宋体" w:cs="宋体"/>
          <w:color w:val="auto"/>
          <w:szCs w:val="44"/>
          <w:highlight w:val="none"/>
        </w:rPr>
        <w:fldChar w:fldCharType="begin"/>
      </w:r>
      <w:r>
        <w:rPr>
          <w:rFonts w:hint="eastAsia" w:ascii="宋体" w:hAnsi="宋体" w:eastAsia="宋体" w:cs="宋体"/>
          <w:color w:val="auto"/>
          <w:szCs w:val="44"/>
          <w:highlight w:val="none"/>
        </w:rPr>
        <w:instrText xml:space="preserve"> HYPERLINK \l _Toc29494 </w:instrText>
      </w:r>
      <w:r>
        <w:rPr>
          <w:rFonts w:hint="eastAsia" w:ascii="宋体" w:hAnsi="宋体" w:eastAsia="宋体" w:cs="宋体"/>
          <w:color w:val="auto"/>
          <w:szCs w:val="44"/>
          <w:highlight w:val="none"/>
        </w:rPr>
        <w:fldChar w:fldCharType="separate"/>
      </w:r>
      <w:r>
        <w:rPr>
          <w:rFonts w:hint="eastAsia" w:ascii="宋体" w:hAnsi="宋体" w:eastAsia="宋体" w:cs="宋体"/>
          <w:color w:val="auto"/>
          <w:highlight w:val="none"/>
        </w:rPr>
        <w:t>三、 注意事项</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_Toc29494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26</w:t>
      </w:r>
      <w:r>
        <w:rPr>
          <w:rFonts w:hint="eastAsia" w:ascii="宋体" w:hAnsi="宋体" w:eastAsia="宋体" w:cs="宋体"/>
          <w:color w:val="auto"/>
          <w:highlight w:val="none"/>
        </w:rPr>
        <w:fldChar w:fldCharType="end"/>
      </w:r>
      <w:r>
        <w:rPr>
          <w:rFonts w:hint="eastAsia" w:ascii="宋体" w:hAnsi="宋体" w:eastAsia="宋体" w:cs="宋体"/>
          <w:color w:val="auto"/>
          <w:szCs w:val="44"/>
          <w:highlight w:val="none"/>
        </w:rPr>
        <w:fldChar w:fldCharType="end"/>
      </w:r>
    </w:p>
    <w:p w14:paraId="423A458B">
      <w:pPr>
        <w:pStyle w:val="24"/>
        <w:tabs>
          <w:tab w:val="right" w:leader="dot" w:pos="8306"/>
        </w:tabs>
        <w:rPr>
          <w:rFonts w:hint="eastAsia" w:ascii="宋体" w:hAnsi="宋体" w:eastAsia="宋体" w:cs="宋体"/>
          <w:color w:val="auto"/>
          <w:highlight w:val="none"/>
        </w:rPr>
      </w:pPr>
      <w:r>
        <w:rPr>
          <w:rFonts w:hint="eastAsia" w:ascii="宋体" w:hAnsi="宋体" w:eastAsia="宋体" w:cs="宋体"/>
          <w:color w:val="auto"/>
          <w:szCs w:val="44"/>
          <w:highlight w:val="none"/>
        </w:rPr>
        <w:fldChar w:fldCharType="begin"/>
      </w:r>
      <w:r>
        <w:rPr>
          <w:rFonts w:hint="eastAsia" w:ascii="宋体" w:hAnsi="宋体" w:eastAsia="宋体" w:cs="宋体"/>
          <w:color w:val="auto"/>
          <w:szCs w:val="44"/>
          <w:highlight w:val="none"/>
        </w:rPr>
        <w:instrText xml:space="preserve"> HYPERLINK \l _Toc12265 </w:instrText>
      </w:r>
      <w:r>
        <w:rPr>
          <w:rFonts w:hint="eastAsia" w:ascii="宋体" w:hAnsi="宋体" w:eastAsia="宋体" w:cs="宋体"/>
          <w:color w:val="auto"/>
          <w:szCs w:val="44"/>
          <w:highlight w:val="none"/>
        </w:rPr>
        <w:fldChar w:fldCharType="separate"/>
      </w:r>
      <w:r>
        <w:rPr>
          <w:rFonts w:hint="eastAsia" w:ascii="宋体" w:hAnsi="宋体" w:eastAsia="宋体" w:cs="宋体"/>
          <w:color w:val="auto"/>
          <w:highlight w:val="none"/>
        </w:rPr>
        <w:t>四、 评分细则</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_Toc12265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26</w:t>
      </w:r>
      <w:r>
        <w:rPr>
          <w:rFonts w:hint="eastAsia" w:ascii="宋体" w:hAnsi="宋体" w:eastAsia="宋体" w:cs="宋体"/>
          <w:color w:val="auto"/>
          <w:highlight w:val="none"/>
        </w:rPr>
        <w:fldChar w:fldCharType="end"/>
      </w:r>
      <w:r>
        <w:rPr>
          <w:rFonts w:hint="eastAsia" w:ascii="宋体" w:hAnsi="宋体" w:eastAsia="宋体" w:cs="宋体"/>
          <w:color w:val="auto"/>
          <w:szCs w:val="44"/>
          <w:highlight w:val="none"/>
        </w:rPr>
        <w:fldChar w:fldCharType="end"/>
      </w:r>
    </w:p>
    <w:p w14:paraId="1FD165CC">
      <w:pPr>
        <w:pStyle w:val="22"/>
        <w:tabs>
          <w:tab w:val="right" w:leader="dot" w:pos="8306"/>
        </w:tabs>
        <w:rPr>
          <w:rFonts w:hint="eastAsia" w:ascii="宋体" w:hAnsi="宋体" w:eastAsia="宋体" w:cs="宋体"/>
          <w:color w:val="auto"/>
          <w:highlight w:val="none"/>
        </w:rPr>
      </w:pPr>
      <w:r>
        <w:rPr>
          <w:rFonts w:hint="eastAsia" w:ascii="宋体" w:hAnsi="宋体" w:eastAsia="宋体" w:cs="宋体"/>
          <w:color w:val="auto"/>
          <w:szCs w:val="44"/>
          <w:highlight w:val="none"/>
        </w:rPr>
        <w:fldChar w:fldCharType="begin"/>
      </w:r>
      <w:r>
        <w:rPr>
          <w:rFonts w:hint="eastAsia" w:ascii="宋体" w:hAnsi="宋体" w:eastAsia="宋体" w:cs="宋体"/>
          <w:color w:val="auto"/>
          <w:szCs w:val="44"/>
          <w:highlight w:val="none"/>
        </w:rPr>
        <w:instrText xml:space="preserve"> HYPERLINK \l _Toc7418 </w:instrText>
      </w:r>
      <w:r>
        <w:rPr>
          <w:rFonts w:hint="eastAsia" w:ascii="宋体" w:hAnsi="宋体" w:eastAsia="宋体" w:cs="宋体"/>
          <w:color w:val="auto"/>
          <w:szCs w:val="44"/>
          <w:highlight w:val="none"/>
        </w:rPr>
        <w:fldChar w:fldCharType="separate"/>
      </w:r>
      <w:r>
        <w:rPr>
          <w:rFonts w:hint="eastAsia" w:ascii="宋体" w:hAnsi="宋体" w:eastAsia="宋体" w:cs="宋体"/>
          <w:color w:val="auto"/>
          <w:szCs w:val="36"/>
          <w:highlight w:val="none"/>
        </w:rPr>
        <w:t>第五部分 采购合同</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_Toc7418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30</w:t>
      </w:r>
      <w:r>
        <w:rPr>
          <w:rFonts w:hint="eastAsia" w:ascii="宋体" w:hAnsi="宋体" w:eastAsia="宋体" w:cs="宋体"/>
          <w:color w:val="auto"/>
          <w:highlight w:val="none"/>
        </w:rPr>
        <w:fldChar w:fldCharType="end"/>
      </w:r>
      <w:r>
        <w:rPr>
          <w:rFonts w:hint="eastAsia" w:ascii="宋体" w:hAnsi="宋体" w:eastAsia="宋体" w:cs="宋体"/>
          <w:color w:val="auto"/>
          <w:szCs w:val="44"/>
          <w:highlight w:val="none"/>
        </w:rPr>
        <w:fldChar w:fldCharType="end"/>
      </w:r>
    </w:p>
    <w:p w14:paraId="0520DE6F">
      <w:pPr>
        <w:pStyle w:val="22"/>
        <w:tabs>
          <w:tab w:val="right" w:leader="dot" w:pos="8306"/>
        </w:tabs>
        <w:rPr>
          <w:rFonts w:hint="eastAsia" w:ascii="宋体" w:hAnsi="宋体" w:eastAsia="宋体" w:cs="宋体"/>
          <w:color w:val="auto"/>
          <w:highlight w:val="none"/>
        </w:rPr>
      </w:pPr>
      <w:r>
        <w:rPr>
          <w:rFonts w:hint="eastAsia" w:ascii="宋体" w:hAnsi="宋体" w:eastAsia="宋体" w:cs="宋体"/>
          <w:color w:val="auto"/>
          <w:szCs w:val="44"/>
          <w:highlight w:val="none"/>
        </w:rPr>
        <w:fldChar w:fldCharType="begin"/>
      </w:r>
      <w:r>
        <w:rPr>
          <w:rFonts w:hint="eastAsia" w:ascii="宋体" w:hAnsi="宋体" w:eastAsia="宋体" w:cs="宋体"/>
          <w:color w:val="auto"/>
          <w:szCs w:val="44"/>
          <w:highlight w:val="none"/>
        </w:rPr>
        <w:instrText xml:space="preserve"> HYPERLINK \l _Toc27957 </w:instrText>
      </w:r>
      <w:r>
        <w:rPr>
          <w:rFonts w:hint="eastAsia" w:ascii="宋体" w:hAnsi="宋体" w:eastAsia="宋体" w:cs="宋体"/>
          <w:color w:val="auto"/>
          <w:szCs w:val="44"/>
          <w:highlight w:val="none"/>
        </w:rPr>
        <w:fldChar w:fldCharType="separate"/>
      </w:r>
      <w:r>
        <w:rPr>
          <w:rFonts w:hint="eastAsia" w:ascii="宋体" w:hAnsi="宋体" w:eastAsia="宋体" w:cs="宋体"/>
          <w:color w:val="auto"/>
          <w:szCs w:val="36"/>
          <w:highlight w:val="none"/>
        </w:rPr>
        <w:t>第六部分 应提交的有关格式范例</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_Toc27957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34</w:t>
      </w:r>
      <w:r>
        <w:rPr>
          <w:rFonts w:hint="eastAsia" w:ascii="宋体" w:hAnsi="宋体" w:eastAsia="宋体" w:cs="宋体"/>
          <w:color w:val="auto"/>
          <w:highlight w:val="none"/>
        </w:rPr>
        <w:fldChar w:fldCharType="end"/>
      </w:r>
      <w:r>
        <w:rPr>
          <w:rFonts w:hint="eastAsia" w:ascii="宋体" w:hAnsi="宋体" w:eastAsia="宋体" w:cs="宋体"/>
          <w:color w:val="auto"/>
          <w:szCs w:val="44"/>
          <w:highlight w:val="none"/>
        </w:rPr>
        <w:fldChar w:fldCharType="end"/>
      </w:r>
    </w:p>
    <w:p w14:paraId="1C4A4717">
      <w:pPr>
        <w:pStyle w:val="2"/>
        <w:shd w:val="clear"/>
        <w:spacing w:line="360" w:lineRule="auto"/>
        <w:rPr>
          <w:rFonts w:hint="eastAsia" w:ascii="宋体" w:hAnsi="宋体" w:eastAsia="宋体" w:cs="宋体"/>
          <w:color w:val="auto"/>
          <w:highlight w:val="none"/>
        </w:rPr>
      </w:pPr>
      <w:r>
        <w:rPr>
          <w:rFonts w:hint="eastAsia" w:ascii="宋体" w:hAnsi="宋体" w:eastAsia="宋体" w:cs="宋体"/>
          <w:color w:val="auto"/>
          <w:szCs w:val="44"/>
          <w:highlight w:val="none"/>
        </w:rPr>
        <w:fldChar w:fldCharType="end"/>
      </w:r>
    </w:p>
    <w:p w14:paraId="3B6FD364">
      <w:pPr>
        <w:shd w:val="clear"/>
        <w:rPr>
          <w:rFonts w:hint="eastAsia" w:ascii="宋体" w:hAnsi="宋体" w:eastAsia="宋体" w:cs="宋体"/>
          <w:color w:val="auto"/>
          <w:highlight w:val="none"/>
        </w:rPr>
      </w:pPr>
    </w:p>
    <w:p w14:paraId="42921204">
      <w:pPr>
        <w:shd w:val="clear"/>
        <w:rPr>
          <w:rFonts w:hint="eastAsia" w:ascii="宋体" w:hAnsi="宋体" w:eastAsia="宋体" w:cs="宋体"/>
          <w:color w:val="auto"/>
          <w:highlight w:val="none"/>
        </w:rPr>
      </w:pPr>
    </w:p>
    <w:p w14:paraId="2859FA3B">
      <w:pPr>
        <w:shd w:val="clear"/>
        <w:tabs>
          <w:tab w:val="left" w:pos="3148"/>
        </w:tabs>
        <w:jc w:val="left"/>
        <w:rPr>
          <w:rFonts w:hint="eastAsia" w:ascii="宋体" w:hAnsi="宋体" w:eastAsia="宋体" w:cs="宋体"/>
          <w:color w:val="auto"/>
          <w:highlight w:val="none"/>
        </w:rPr>
        <w:sectPr>
          <w:footerReference r:id="rId3" w:type="default"/>
          <w:pgSz w:w="11906" w:h="16838"/>
          <w:pgMar w:top="1440" w:right="1800" w:bottom="1440" w:left="1800" w:header="851" w:footer="992" w:gutter="0"/>
          <w:pgNumType w:start="1"/>
          <w:cols w:space="425" w:num="1"/>
          <w:docGrid w:type="lines" w:linePitch="312" w:charSpace="0"/>
        </w:sectPr>
      </w:pPr>
      <w:r>
        <w:rPr>
          <w:rFonts w:hint="eastAsia" w:ascii="宋体" w:hAnsi="宋体" w:eastAsia="宋体" w:cs="宋体"/>
          <w:color w:val="auto"/>
          <w:highlight w:val="none"/>
        </w:rPr>
        <w:tab/>
      </w:r>
    </w:p>
    <w:p w14:paraId="3A8EC94E">
      <w:pPr>
        <w:pStyle w:val="9"/>
        <w:shd w:val="clear"/>
        <w:jc w:val="center"/>
        <w:rPr>
          <w:rFonts w:hint="eastAsia" w:ascii="宋体" w:hAnsi="宋体" w:eastAsia="宋体" w:cs="宋体"/>
          <w:color w:val="auto"/>
          <w:highlight w:val="none"/>
        </w:rPr>
      </w:pPr>
      <w:bookmarkStart w:id="0" w:name="_Toc32199"/>
      <w:bookmarkStart w:id="1" w:name="_Toc30519"/>
      <w:bookmarkStart w:id="2" w:name="_Toc31034"/>
      <w:bookmarkStart w:id="3" w:name="第二部分"/>
      <w:bookmarkStart w:id="4" w:name="_Toc91899870"/>
      <w:r>
        <w:rPr>
          <w:rFonts w:hint="eastAsia" w:ascii="宋体" w:hAnsi="宋体" w:eastAsia="宋体" w:cs="宋体"/>
          <w:color w:val="auto"/>
          <w:sz w:val="36"/>
          <w:szCs w:val="36"/>
          <w:highlight w:val="none"/>
        </w:rPr>
        <w:t>第一部分 磋商公告</w:t>
      </w:r>
      <w:bookmarkEnd w:id="0"/>
      <w:bookmarkEnd w:id="1"/>
      <w:bookmarkEnd w:id="2"/>
    </w:p>
    <w:p w14:paraId="72E4422C">
      <w:pPr>
        <w:shd w:val="clear"/>
        <w:adjustRightInd w:val="0"/>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浙江宇康工程管理咨询有限公司关于</w:t>
      </w:r>
      <w:r>
        <w:rPr>
          <w:rFonts w:hint="eastAsia" w:ascii="宋体" w:hAnsi="宋体" w:cs="宋体"/>
          <w:color w:val="auto"/>
          <w:sz w:val="28"/>
          <w:szCs w:val="28"/>
          <w:highlight w:val="none"/>
          <w:lang w:eastAsia="zh-CN"/>
        </w:rPr>
        <w:t>绍兴市上虞区百官街道办事处2025年百官街道安全生产检查社会化服务采购</w:t>
      </w:r>
      <w:r>
        <w:rPr>
          <w:rFonts w:hint="eastAsia" w:ascii="宋体" w:hAnsi="宋体" w:eastAsia="宋体" w:cs="宋体"/>
          <w:color w:val="auto"/>
          <w:sz w:val="28"/>
          <w:szCs w:val="28"/>
          <w:highlight w:val="none"/>
        </w:rPr>
        <w:t>的竞争性磋商公告</w:t>
      </w:r>
    </w:p>
    <w:p w14:paraId="5D445FE2">
      <w:pPr>
        <w:shd w:val="clear"/>
        <w:adjustRightInd w:val="0"/>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公告日期：202</w:t>
      </w:r>
      <w:r>
        <w:rPr>
          <w:rFonts w:hint="eastAsia" w:ascii="宋体" w:hAnsi="宋体" w:cs="宋体"/>
          <w:color w:val="auto"/>
          <w:sz w:val="28"/>
          <w:szCs w:val="28"/>
          <w:highlight w:val="none"/>
          <w:lang w:val="en-US" w:eastAsia="zh-CN"/>
        </w:rPr>
        <w:t>5</w:t>
      </w:r>
      <w:r>
        <w:rPr>
          <w:rFonts w:hint="eastAsia" w:ascii="宋体" w:hAnsi="宋体" w:eastAsia="宋体" w:cs="宋体"/>
          <w:color w:val="auto"/>
          <w:sz w:val="28"/>
          <w:szCs w:val="28"/>
          <w:highlight w:val="none"/>
        </w:rPr>
        <w:t>年</w:t>
      </w:r>
      <w:r>
        <w:rPr>
          <w:rFonts w:hint="eastAsia" w:ascii="宋体" w:hAnsi="宋体" w:cs="宋体"/>
          <w:color w:val="auto"/>
          <w:sz w:val="28"/>
          <w:szCs w:val="28"/>
          <w:highlight w:val="none"/>
          <w:lang w:val="en-US" w:eastAsia="zh-CN"/>
        </w:rPr>
        <w:t>6</w:t>
      </w:r>
      <w:r>
        <w:rPr>
          <w:rFonts w:hint="eastAsia" w:ascii="宋体" w:hAnsi="宋体" w:eastAsia="宋体" w:cs="宋体"/>
          <w:color w:val="auto"/>
          <w:sz w:val="28"/>
          <w:szCs w:val="28"/>
          <w:highlight w:val="none"/>
        </w:rPr>
        <w:t>月</w:t>
      </w:r>
      <w:r>
        <w:rPr>
          <w:rFonts w:hint="eastAsia" w:ascii="宋体" w:hAnsi="宋体" w:cs="宋体"/>
          <w:color w:val="auto"/>
          <w:sz w:val="28"/>
          <w:szCs w:val="28"/>
          <w:highlight w:val="none"/>
          <w:lang w:val="en-US" w:eastAsia="zh-CN"/>
        </w:rPr>
        <w:t>26</w:t>
      </w:r>
      <w:r>
        <w:rPr>
          <w:rFonts w:hint="eastAsia" w:ascii="宋体" w:hAnsi="宋体" w:eastAsia="宋体" w:cs="宋体"/>
          <w:color w:val="auto"/>
          <w:sz w:val="28"/>
          <w:szCs w:val="28"/>
          <w:highlight w:val="none"/>
        </w:rPr>
        <w:t>日</w:t>
      </w:r>
    </w:p>
    <w:p w14:paraId="27119C7A">
      <w:pPr>
        <w:shd w:val="clear"/>
        <w:adjustRightIn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根据《中华人民共和国政府采购法》等有关规定，</w:t>
      </w:r>
      <w:r>
        <w:rPr>
          <w:rFonts w:hint="eastAsia" w:ascii="宋体" w:hAnsi="宋体" w:eastAsia="宋体" w:cs="宋体"/>
          <w:color w:val="auto"/>
          <w:sz w:val="24"/>
          <w:szCs w:val="24"/>
          <w:highlight w:val="none"/>
          <w:u w:val="single"/>
        </w:rPr>
        <w:t>浙江宇康工程管理咨询有限公司</w:t>
      </w:r>
      <w:r>
        <w:rPr>
          <w:rFonts w:hint="eastAsia" w:ascii="宋体" w:hAnsi="宋体" w:eastAsia="宋体" w:cs="宋体"/>
          <w:color w:val="auto"/>
          <w:sz w:val="24"/>
          <w:szCs w:val="24"/>
          <w:highlight w:val="none"/>
        </w:rPr>
        <w:t>受</w:t>
      </w:r>
      <w:r>
        <w:rPr>
          <w:rFonts w:hint="eastAsia" w:ascii="宋体" w:hAnsi="宋体" w:cs="宋体"/>
          <w:color w:val="auto"/>
          <w:sz w:val="24"/>
          <w:szCs w:val="24"/>
          <w:highlight w:val="none"/>
          <w:u w:val="single"/>
          <w:lang w:eastAsia="zh-CN"/>
        </w:rPr>
        <w:t>绍兴市上虞区百官街道办事处</w:t>
      </w:r>
      <w:r>
        <w:rPr>
          <w:rFonts w:hint="eastAsia" w:ascii="宋体" w:hAnsi="宋体" w:eastAsia="宋体" w:cs="宋体"/>
          <w:color w:val="auto"/>
          <w:sz w:val="24"/>
          <w:szCs w:val="24"/>
          <w:highlight w:val="none"/>
        </w:rPr>
        <w:t>委托，现就</w:t>
      </w:r>
      <w:r>
        <w:rPr>
          <w:rFonts w:hint="eastAsia" w:ascii="宋体" w:hAnsi="宋体" w:cs="宋体"/>
          <w:color w:val="auto"/>
          <w:sz w:val="24"/>
          <w:szCs w:val="24"/>
          <w:highlight w:val="none"/>
          <w:u w:val="single"/>
          <w:lang w:eastAsia="zh-CN"/>
        </w:rPr>
        <w:t>2025年百官街道安全生产检查社会化服务采购</w:t>
      </w:r>
      <w:r>
        <w:rPr>
          <w:rFonts w:hint="eastAsia" w:ascii="宋体" w:hAnsi="宋体" w:eastAsia="宋体" w:cs="宋体"/>
          <w:color w:val="auto"/>
          <w:sz w:val="24"/>
          <w:szCs w:val="24"/>
          <w:highlight w:val="none"/>
        </w:rPr>
        <w:t>进行竞争性磋商采购，欢迎国内合格的供应商参加本次采购活动。</w:t>
      </w:r>
    </w:p>
    <w:p w14:paraId="17468FB6">
      <w:pPr>
        <w:shd w:val="clear"/>
        <w:adjustRightInd w:val="0"/>
        <w:spacing w:line="360" w:lineRule="auto"/>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一． 磋商项目编号：</w:t>
      </w:r>
      <w:r>
        <w:rPr>
          <w:rFonts w:hint="eastAsia" w:ascii="宋体" w:hAnsi="宋体" w:cs="宋体"/>
          <w:color w:val="auto"/>
          <w:sz w:val="24"/>
          <w:szCs w:val="24"/>
          <w:highlight w:val="none"/>
          <w:lang w:eastAsia="zh-CN"/>
        </w:rPr>
        <w:t>YK2025301</w:t>
      </w:r>
      <w:r>
        <w:rPr>
          <w:rFonts w:hint="eastAsia" w:ascii="宋体" w:hAnsi="宋体" w:eastAsia="宋体" w:cs="宋体"/>
          <w:color w:val="auto"/>
          <w:sz w:val="24"/>
          <w:szCs w:val="24"/>
          <w:highlight w:val="none"/>
        </w:rPr>
        <w:t xml:space="preserve"> </w:t>
      </w:r>
    </w:p>
    <w:p w14:paraId="1E1544A1">
      <w:pPr>
        <w:shd w:val="clear"/>
        <w:adjustRightIn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 采购组织类型：</w:t>
      </w:r>
      <w:r>
        <w:rPr>
          <w:rFonts w:hint="eastAsia" w:ascii="宋体" w:hAnsi="宋体" w:eastAsia="宋体" w:cs="宋体"/>
          <w:color w:val="auto"/>
          <w:sz w:val="24"/>
          <w:szCs w:val="24"/>
          <w:highlight w:val="none"/>
          <w:u w:val="single"/>
        </w:rPr>
        <w:t xml:space="preserve"> 分散采购（中介代理） </w:t>
      </w:r>
      <w:r>
        <w:rPr>
          <w:rFonts w:hint="eastAsia" w:ascii="宋体" w:hAnsi="宋体" w:eastAsia="宋体" w:cs="宋体"/>
          <w:color w:val="auto"/>
          <w:sz w:val="24"/>
          <w:szCs w:val="24"/>
          <w:highlight w:val="none"/>
        </w:rPr>
        <w:t xml:space="preserve"> </w:t>
      </w:r>
    </w:p>
    <w:p w14:paraId="127470A6">
      <w:pPr>
        <w:shd w:val="clear"/>
        <w:adjustRightIn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 磋商项目概况</w:t>
      </w:r>
      <w:r>
        <w:rPr>
          <w:rFonts w:hint="eastAsia" w:ascii="宋体" w:hAnsi="宋体" w:eastAsia="宋体" w:cs="宋体"/>
          <w:color w:val="auto"/>
          <w:sz w:val="24"/>
          <w:szCs w:val="24"/>
          <w:highlight w:val="none"/>
          <w:lang w:eastAsia="zh-CN"/>
        </w:rPr>
        <w:t>：</w:t>
      </w:r>
    </w:p>
    <w:tbl>
      <w:tblPr>
        <w:tblStyle w:val="29"/>
        <w:tblW w:w="9969" w:type="dxa"/>
        <w:jc w:val="center"/>
        <w:tblBorders>
          <w:top w:val="single" w:color="000000" w:sz="4" w:space="0"/>
          <w:left w:val="single" w:color="000000" w:sz="4" w:space="0"/>
          <w:bottom w:val="single" w:color="000000" w:sz="4" w:space="0"/>
          <w:right w:val="single" w:color="000000" w:sz="4" w:space="0"/>
          <w:insideH w:val="single" w:color="A6A6A6" w:sz="4" w:space="0"/>
          <w:insideV w:val="single" w:color="A6A6A6" w:sz="4" w:space="0"/>
        </w:tblBorders>
        <w:tblLayout w:type="fixed"/>
        <w:tblCellMar>
          <w:top w:w="0" w:type="dxa"/>
          <w:left w:w="108" w:type="dxa"/>
          <w:bottom w:w="0" w:type="dxa"/>
          <w:right w:w="108" w:type="dxa"/>
        </w:tblCellMar>
      </w:tblPr>
      <w:tblGrid>
        <w:gridCol w:w="624"/>
        <w:gridCol w:w="1875"/>
        <w:gridCol w:w="870"/>
        <w:gridCol w:w="825"/>
        <w:gridCol w:w="1380"/>
        <w:gridCol w:w="2603"/>
        <w:gridCol w:w="1245"/>
        <w:gridCol w:w="547"/>
      </w:tblGrid>
      <w:tr w14:paraId="7578E15F">
        <w:tblPrEx>
          <w:tblBorders>
            <w:top w:val="single" w:color="000000" w:sz="4" w:space="0"/>
            <w:left w:val="single" w:color="000000" w:sz="4" w:space="0"/>
            <w:bottom w:val="single" w:color="000000" w:sz="4" w:space="0"/>
            <w:right w:val="single" w:color="000000" w:sz="4" w:space="0"/>
            <w:insideH w:val="single" w:color="A6A6A6" w:sz="4" w:space="0"/>
            <w:insideV w:val="single" w:color="A6A6A6" w:sz="4" w:space="0"/>
          </w:tblBorders>
          <w:tblCellMar>
            <w:top w:w="0" w:type="dxa"/>
            <w:left w:w="108" w:type="dxa"/>
            <w:bottom w:w="0" w:type="dxa"/>
            <w:right w:w="108" w:type="dxa"/>
          </w:tblCellMar>
        </w:tblPrEx>
        <w:trPr>
          <w:trHeight w:val="1223" w:hRule="atLeast"/>
          <w:jc w:val="center"/>
        </w:trPr>
        <w:tc>
          <w:tcPr>
            <w:tcW w:w="624" w:type="dxa"/>
            <w:tcBorders>
              <w:top w:val="single" w:color="000000" w:sz="4" w:space="0"/>
            </w:tcBorders>
            <w:vAlign w:val="center"/>
          </w:tcPr>
          <w:p w14:paraId="508217B4">
            <w:pPr>
              <w:shd w:val="clear"/>
              <w:adjustRightIn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1875" w:type="dxa"/>
            <w:tcBorders>
              <w:top w:val="single" w:color="000000" w:sz="4" w:space="0"/>
            </w:tcBorders>
            <w:vAlign w:val="center"/>
          </w:tcPr>
          <w:p w14:paraId="4FA23EF4">
            <w:pPr>
              <w:shd w:val="clear"/>
              <w:adjustRightIn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w:t>
            </w:r>
          </w:p>
        </w:tc>
        <w:tc>
          <w:tcPr>
            <w:tcW w:w="870" w:type="dxa"/>
            <w:tcBorders>
              <w:top w:val="single" w:color="000000" w:sz="4" w:space="0"/>
            </w:tcBorders>
            <w:vAlign w:val="center"/>
          </w:tcPr>
          <w:p w14:paraId="001FA2DF">
            <w:pPr>
              <w:shd w:val="clear"/>
              <w:adjustRightIn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数量</w:t>
            </w:r>
          </w:p>
        </w:tc>
        <w:tc>
          <w:tcPr>
            <w:tcW w:w="825" w:type="dxa"/>
            <w:tcBorders>
              <w:top w:val="single" w:color="000000" w:sz="4" w:space="0"/>
            </w:tcBorders>
            <w:vAlign w:val="center"/>
          </w:tcPr>
          <w:p w14:paraId="55AC46F3">
            <w:pPr>
              <w:shd w:val="clear"/>
              <w:adjustRightIn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w:t>
            </w:r>
          </w:p>
        </w:tc>
        <w:tc>
          <w:tcPr>
            <w:tcW w:w="1380" w:type="dxa"/>
            <w:tcBorders>
              <w:top w:val="single" w:color="000000" w:sz="4" w:space="0"/>
            </w:tcBorders>
            <w:vAlign w:val="center"/>
          </w:tcPr>
          <w:p w14:paraId="794498A7">
            <w:pPr>
              <w:shd w:val="clear"/>
              <w:adjustRightIn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预算金额</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万元</w:t>
            </w:r>
            <w:r>
              <w:rPr>
                <w:rFonts w:hint="eastAsia" w:ascii="宋体" w:hAnsi="宋体" w:eastAsia="宋体" w:cs="宋体"/>
                <w:color w:val="auto"/>
                <w:sz w:val="24"/>
                <w:szCs w:val="24"/>
                <w:highlight w:val="none"/>
                <w:lang w:eastAsia="zh-CN"/>
              </w:rPr>
              <w:t>）</w:t>
            </w:r>
          </w:p>
        </w:tc>
        <w:tc>
          <w:tcPr>
            <w:tcW w:w="2603" w:type="dxa"/>
            <w:tcBorders>
              <w:top w:val="single" w:color="000000" w:sz="4" w:space="0"/>
            </w:tcBorders>
            <w:vAlign w:val="center"/>
          </w:tcPr>
          <w:p w14:paraId="5607D881">
            <w:pPr>
              <w:shd w:val="clear"/>
              <w:adjustRightIn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简要规格描述或标项基本概况介绍</w:t>
            </w:r>
          </w:p>
        </w:tc>
        <w:tc>
          <w:tcPr>
            <w:tcW w:w="1245" w:type="dxa"/>
            <w:tcBorders>
              <w:top w:val="single" w:color="000000" w:sz="4" w:space="0"/>
            </w:tcBorders>
            <w:vAlign w:val="center"/>
          </w:tcPr>
          <w:p w14:paraId="0FE8E990">
            <w:pPr>
              <w:shd w:val="clear"/>
              <w:adjustRightIn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最高限价</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万元</w:t>
            </w:r>
            <w:r>
              <w:rPr>
                <w:rFonts w:hint="eastAsia" w:ascii="宋体" w:hAnsi="宋体" w:eastAsia="宋体" w:cs="宋体"/>
                <w:color w:val="auto"/>
                <w:sz w:val="24"/>
                <w:szCs w:val="24"/>
                <w:highlight w:val="none"/>
                <w:lang w:eastAsia="zh-CN"/>
              </w:rPr>
              <w:t>）</w:t>
            </w:r>
          </w:p>
        </w:tc>
        <w:tc>
          <w:tcPr>
            <w:tcW w:w="547" w:type="dxa"/>
            <w:tcBorders>
              <w:top w:val="single" w:color="000000" w:sz="4" w:space="0"/>
            </w:tcBorders>
            <w:vAlign w:val="center"/>
          </w:tcPr>
          <w:p w14:paraId="57FC4B21">
            <w:pPr>
              <w:shd w:val="clear"/>
              <w:adjustRightIn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p>
        </w:tc>
      </w:tr>
      <w:tr w14:paraId="47848D4B">
        <w:tblPrEx>
          <w:tblBorders>
            <w:top w:val="single" w:color="000000" w:sz="4" w:space="0"/>
            <w:left w:val="single" w:color="000000" w:sz="4" w:space="0"/>
            <w:bottom w:val="single" w:color="000000" w:sz="4" w:space="0"/>
            <w:right w:val="single" w:color="000000" w:sz="4" w:space="0"/>
            <w:insideH w:val="single" w:color="A6A6A6" w:sz="4" w:space="0"/>
            <w:insideV w:val="single" w:color="A6A6A6" w:sz="4" w:space="0"/>
          </w:tblBorders>
          <w:tblCellMar>
            <w:top w:w="0" w:type="dxa"/>
            <w:left w:w="108" w:type="dxa"/>
            <w:bottom w:w="0" w:type="dxa"/>
            <w:right w:w="108" w:type="dxa"/>
          </w:tblCellMar>
        </w:tblPrEx>
        <w:trPr>
          <w:trHeight w:val="1184" w:hRule="atLeast"/>
          <w:jc w:val="center"/>
        </w:trPr>
        <w:tc>
          <w:tcPr>
            <w:tcW w:w="624" w:type="dxa"/>
            <w:vAlign w:val="center"/>
          </w:tcPr>
          <w:p w14:paraId="0514C3B7">
            <w:pPr>
              <w:shd w:val="clear"/>
              <w:adjustRightIn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875" w:type="dxa"/>
            <w:vAlign w:val="center"/>
          </w:tcPr>
          <w:p w14:paraId="10A8BFA6">
            <w:pPr>
              <w:shd w:val="clear"/>
              <w:adjustRightInd w:val="0"/>
              <w:spacing w:line="360" w:lineRule="auto"/>
              <w:jc w:val="center"/>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2025年百官街道安全生产检查社会化服务采购</w:t>
            </w:r>
          </w:p>
        </w:tc>
        <w:tc>
          <w:tcPr>
            <w:tcW w:w="870" w:type="dxa"/>
            <w:vAlign w:val="center"/>
          </w:tcPr>
          <w:p w14:paraId="2179933C">
            <w:pPr>
              <w:shd w:val="clear"/>
              <w:adjustRightIn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825" w:type="dxa"/>
            <w:vAlign w:val="center"/>
          </w:tcPr>
          <w:p w14:paraId="5F552B9F">
            <w:pPr>
              <w:shd w:val="clear"/>
              <w:adjustRightIn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w:t>
            </w:r>
          </w:p>
        </w:tc>
        <w:tc>
          <w:tcPr>
            <w:tcW w:w="1380" w:type="dxa"/>
            <w:vAlign w:val="center"/>
          </w:tcPr>
          <w:p w14:paraId="75B6C82A">
            <w:pPr>
              <w:shd w:val="clear"/>
              <w:adjustRightInd w:val="0"/>
              <w:spacing w:line="360" w:lineRule="auto"/>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88.8</w:t>
            </w:r>
          </w:p>
        </w:tc>
        <w:tc>
          <w:tcPr>
            <w:tcW w:w="2603" w:type="dxa"/>
            <w:vAlign w:val="center"/>
          </w:tcPr>
          <w:p w14:paraId="4A73A892">
            <w:pPr>
              <w:keepLines w:val="0"/>
              <w:pageBreakBefore w:val="0"/>
              <w:widowControl w:val="0"/>
              <w:shd w:val="clear"/>
              <w:kinsoku/>
              <w:wordWrap/>
              <w:overflowPunct/>
              <w:topLinePunct w:val="0"/>
              <w:autoSpaceDE/>
              <w:autoSpaceDN/>
              <w:bidi w:val="0"/>
              <w:spacing w:line="520" w:lineRule="exact"/>
              <w:jc w:val="center"/>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主要为安全生产、消防安全常态化巡查排查。</w:t>
            </w:r>
          </w:p>
        </w:tc>
        <w:tc>
          <w:tcPr>
            <w:tcW w:w="1245" w:type="dxa"/>
            <w:vAlign w:val="center"/>
          </w:tcPr>
          <w:p w14:paraId="43E85073">
            <w:pPr>
              <w:shd w:val="clear"/>
              <w:adjustRightInd w:val="0"/>
              <w:spacing w:line="360" w:lineRule="auto"/>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88.8</w:t>
            </w:r>
          </w:p>
        </w:tc>
        <w:tc>
          <w:tcPr>
            <w:tcW w:w="547" w:type="dxa"/>
            <w:vAlign w:val="center"/>
          </w:tcPr>
          <w:p w14:paraId="60DFA675">
            <w:pPr>
              <w:shd w:val="clear"/>
              <w:adjustRightIn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r>
    </w:tbl>
    <w:p w14:paraId="631B916D">
      <w:pPr>
        <w:shd w:val="clear"/>
        <w:adjustRightIn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 合格供应商资格要求</w:t>
      </w:r>
      <w:r>
        <w:rPr>
          <w:rFonts w:hint="eastAsia" w:ascii="宋体" w:hAnsi="宋体" w:eastAsia="宋体" w:cs="宋体"/>
          <w:color w:val="auto"/>
          <w:sz w:val="24"/>
          <w:szCs w:val="24"/>
          <w:highlight w:val="none"/>
          <w:lang w:eastAsia="zh-CN"/>
        </w:rPr>
        <w:t>：</w:t>
      </w:r>
    </w:p>
    <w:p w14:paraId="1CB3711E">
      <w:pPr>
        <w:numPr>
          <w:ilvl w:val="0"/>
          <w:numId w:val="2"/>
        </w:numPr>
        <w:shd w:val="clear"/>
        <w:adjustRightIn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符合政府采购法第二十二条，且未被“信用中国”（www.creditchina.gov.cn）、中国政府采购网（www.ccgp.gov.cn）列入失信被执行人、重大税收违法案件当事人名单、政府采购严重违法失信行为记录名单。 </w:t>
      </w:r>
    </w:p>
    <w:p w14:paraId="0C4EF478">
      <w:pPr>
        <w:numPr>
          <w:ilvl w:val="0"/>
          <w:numId w:val="2"/>
        </w:numPr>
        <w:shd w:val="clear"/>
        <w:adjustRightIn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rPr>
        <w:t>落实政府采购政策需满足的资格要求：供应商为中小企业/小微企业</w:t>
      </w:r>
      <w:r>
        <w:rPr>
          <w:rFonts w:hint="eastAsia" w:ascii="宋体" w:hAnsi="宋体" w:eastAsia="宋体" w:cs="宋体"/>
          <w:color w:val="auto"/>
          <w:sz w:val="24"/>
          <w:szCs w:val="24"/>
          <w:highlight w:val="none"/>
          <w:lang w:eastAsia="zh-CN"/>
        </w:rPr>
        <w:t>。</w:t>
      </w:r>
    </w:p>
    <w:p w14:paraId="7010131B">
      <w:pPr>
        <w:numPr>
          <w:ilvl w:val="0"/>
          <w:numId w:val="2"/>
        </w:numPr>
        <w:shd w:val="clear"/>
        <w:adjustRightIn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本次招标</w:t>
      </w:r>
      <w:r>
        <w:rPr>
          <w:rFonts w:hint="eastAsia" w:ascii="宋体" w:hAnsi="宋体" w:eastAsia="宋体" w:cs="宋体"/>
          <w:color w:val="auto"/>
          <w:sz w:val="24"/>
          <w:highlight w:val="none"/>
          <w:u w:val="single"/>
        </w:rPr>
        <w:t>不接受</w:t>
      </w:r>
      <w:r>
        <w:rPr>
          <w:rFonts w:hint="eastAsia" w:ascii="宋体" w:hAnsi="宋体" w:eastAsia="宋体" w:cs="宋体"/>
          <w:color w:val="auto"/>
          <w:sz w:val="24"/>
          <w:highlight w:val="none"/>
        </w:rPr>
        <w:t>联合体投标。</w:t>
      </w:r>
    </w:p>
    <w:p w14:paraId="0E34ECB7">
      <w:pPr>
        <w:numPr>
          <w:ilvl w:val="0"/>
          <w:numId w:val="2"/>
        </w:numPr>
        <w:shd w:val="clear"/>
        <w:adjustRightIn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本项目采用资格后审的审查方式，由磋商小组负责审查。</w:t>
      </w:r>
    </w:p>
    <w:p w14:paraId="0E680F3A">
      <w:pPr>
        <w:shd w:val="clear"/>
        <w:adjustRightIn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五．获取磋商文件</w:t>
      </w:r>
    </w:p>
    <w:p w14:paraId="7D5E7BB6">
      <w:pPr>
        <w:numPr>
          <w:ilvl w:val="0"/>
          <w:numId w:val="3"/>
        </w:numPr>
        <w:shd w:val="clear"/>
        <w:adjustRightInd w:val="0"/>
        <w:spacing w:line="360" w:lineRule="auto"/>
        <w:ind w:firstLine="480" w:firstLineChars="200"/>
        <w:rPr>
          <w:rFonts w:hint="eastAsia" w:ascii="宋体" w:hAnsi="宋体" w:eastAsia="宋体" w:cs="宋体"/>
          <w:color w:val="auto"/>
          <w:sz w:val="24"/>
          <w:szCs w:val="24"/>
          <w:highlight w:val="none"/>
        </w:rPr>
      </w:pPr>
      <w:bookmarkStart w:id="5" w:name="报名开始时间1"/>
      <w:r>
        <w:rPr>
          <w:rFonts w:hint="eastAsia" w:ascii="宋体" w:hAnsi="宋体" w:eastAsia="宋体" w:cs="宋体"/>
          <w:color w:val="auto"/>
          <w:sz w:val="24"/>
          <w:szCs w:val="24"/>
          <w:highlight w:val="none"/>
        </w:rPr>
        <w:t>获取磋商文件时间</w:t>
      </w:r>
      <w:r>
        <w:rPr>
          <w:rFonts w:hint="eastAsia" w:ascii="宋体" w:hAnsi="宋体" w:eastAsia="宋体" w:cs="宋体"/>
          <w:color w:val="auto"/>
          <w:sz w:val="24"/>
          <w:szCs w:val="24"/>
          <w:highlight w:val="none"/>
          <w:lang w:eastAsia="zh-CN"/>
        </w:rPr>
        <w:t>：</w:t>
      </w:r>
      <w:bookmarkEnd w:id="5"/>
      <w:r>
        <w:rPr>
          <w:rFonts w:hint="eastAsia" w:ascii="宋体" w:hAnsi="宋体" w:eastAsia="宋体" w:cs="宋体"/>
          <w:color w:val="auto"/>
          <w:sz w:val="24"/>
          <w:szCs w:val="24"/>
          <w:highlight w:val="none"/>
          <w:u w:val="single"/>
        </w:rPr>
        <w:t>202</w:t>
      </w:r>
      <w:r>
        <w:rPr>
          <w:rFonts w:hint="eastAsia" w:ascii="宋体" w:hAnsi="宋体" w:cs="宋体"/>
          <w:color w:val="auto"/>
          <w:sz w:val="24"/>
          <w:szCs w:val="24"/>
          <w:highlight w:val="none"/>
          <w:u w:val="single"/>
          <w:lang w:val="en-US" w:eastAsia="zh-CN"/>
        </w:rPr>
        <w:t>5</w:t>
      </w:r>
      <w:r>
        <w:rPr>
          <w:rFonts w:hint="eastAsia" w:ascii="宋体" w:hAnsi="宋体" w:eastAsia="宋体" w:cs="宋体"/>
          <w:color w:val="auto"/>
          <w:sz w:val="24"/>
          <w:szCs w:val="24"/>
          <w:highlight w:val="none"/>
          <w:u w:val="single"/>
        </w:rPr>
        <w:t>年</w:t>
      </w:r>
      <w:r>
        <w:rPr>
          <w:rFonts w:hint="eastAsia" w:ascii="宋体" w:hAnsi="宋体" w:cs="宋体"/>
          <w:color w:val="auto"/>
          <w:sz w:val="24"/>
          <w:szCs w:val="24"/>
          <w:highlight w:val="none"/>
          <w:u w:val="single"/>
          <w:lang w:val="en-US" w:eastAsia="zh-CN"/>
        </w:rPr>
        <w:t>7</w:t>
      </w:r>
      <w:r>
        <w:rPr>
          <w:rFonts w:hint="eastAsia" w:ascii="宋体" w:hAnsi="宋体" w:eastAsia="宋体" w:cs="宋体"/>
          <w:color w:val="auto"/>
          <w:sz w:val="24"/>
          <w:szCs w:val="24"/>
          <w:highlight w:val="none"/>
          <w:u w:val="single"/>
        </w:rPr>
        <w:t>月</w:t>
      </w:r>
      <w:r>
        <w:rPr>
          <w:rFonts w:hint="eastAsia" w:ascii="宋体" w:hAnsi="宋体" w:cs="宋体"/>
          <w:color w:val="auto"/>
          <w:sz w:val="24"/>
          <w:szCs w:val="24"/>
          <w:highlight w:val="none"/>
          <w:u w:val="single"/>
          <w:lang w:val="en-US" w:eastAsia="zh-CN"/>
        </w:rPr>
        <w:t>8</w:t>
      </w:r>
      <w:r>
        <w:rPr>
          <w:rFonts w:hint="eastAsia" w:ascii="宋体" w:hAnsi="宋体" w:eastAsia="宋体" w:cs="宋体"/>
          <w:color w:val="auto"/>
          <w:sz w:val="24"/>
          <w:szCs w:val="24"/>
          <w:highlight w:val="none"/>
          <w:u w:val="single"/>
        </w:rPr>
        <w:t>日</w:t>
      </w:r>
      <w:r>
        <w:rPr>
          <w:rFonts w:hint="eastAsia" w:ascii="宋体" w:hAnsi="宋体" w:eastAsia="宋体" w:cs="宋体"/>
          <w:color w:val="auto"/>
          <w:sz w:val="24"/>
          <w:szCs w:val="24"/>
          <w:highlight w:val="none"/>
          <w:u w:val="single"/>
          <w:lang w:val="en-US" w:eastAsia="zh-CN"/>
        </w:rPr>
        <w:t>09</w:t>
      </w:r>
      <w:r>
        <w:rPr>
          <w:rFonts w:hint="eastAsia" w:ascii="宋体" w:hAnsi="宋体" w:eastAsia="宋体" w:cs="宋体"/>
          <w:color w:val="auto"/>
          <w:sz w:val="24"/>
          <w:szCs w:val="24"/>
          <w:highlight w:val="none"/>
          <w:u w:val="single"/>
        </w:rPr>
        <w:t>:30</w:t>
      </w:r>
      <w:r>
        <w:rPr>
          <w:rFonts w:hint="eastAsia" w:ascii="宋体" w:hAnsi="宋体" w:eastAsia="宋体" w:cs="宋体"/>
          <w:color w:val="auto"/>
          <w:sz w:val="24"/>
          <w:szCs w:val="24"/>
          <w:highlight w:val="none"/>
        </w:rPr>
        <w:t>之前获取。</w:t>
      </w:r>
    </w:p>
    <w:p w14:paraId="15BEA2BE">
      <w:pPr>
        <w:numPr>
          <w:ilvl w:val="0"/>
          <w:numId w:val="3"/>
        </w:numPr>
        <w:shd w:val="clear"/>
        <w:adjustRightIn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获取磋商文件方式：供应商</w:t>
      </w:r>
      <w:r>
        <w:rPr>
          <w:rFonts w:hint="eastAsia" w:ascii="宋体" w:hAnsi="宋体" w:eastAsia="宋体" w:cs="宋体"/>
          <w:color w:val="auto"/>
          <w:sz w:val="24"/>
          <w:szCs w:val="24"/>
          <w:highlight w:val="none"/>
          <w:lang w:eastAsia="zh-CN"/>
        </w:rPr>
        <w:t>登录</w:t>
      </w:r>
      <w:r>
        <w:rPr>
          <w:rFonts w:hint="eastAsia" w:ascii="宋体" w:hAnsi="宋体" w:eastAsia="宋体" w:cs="宋体"/>
          <w:color w:val="auto"/>
          <w:sz w:val="24"/>
          <w:szCs w:val="24"/>
          <w:highlight w:val="none"/>
        </w:rPr>
        <w:t>政采云平台http://www.zcygov.cn</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在线申请获取磋商文件（进入“项目采购”应用，在获取采购文件菜单中选择项目，申请获取采购文件）。</w:t>
      </w:r>
    </w:p>
    <w:p w14:paraId="5D3B8DA8">
      <w:pPr>
        <w:numPr>
          <w:ilvl w:val="0"/>
          <w:numId w:val="3"/>
        </w:numPr>
        <w:shd w:val="clear"/>
        <w:adjustRightIn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提示：</w:t>
      </w:r>
    </w:p>
    <w:p w14:paraId="3761BB83">
      <w:pPr>
        <w:numPr>
          <w:ilvl w:val="0"/>
          <w:numId w:val="4"/>
        </w:numPr>
        <w:shd w:val="clear"/>
        <w:adjustRightIn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将拒绝接受未获取磋商文件供应商的响应文件。</w:t>
      </w:r>
    </w:p>
    <w:p w14:paraId="5322DBCC">
      <w:pPr>
        <w:numPr>
          <w:ilvl w:val="0"/>
          <w:numId w:val="4"/>
        </w:numPr>
        <w:shd w:val="clear"/>
        <w:adjustRightIn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磋商文件及更正补充公告请自行登录浙江政府采购网或绍兴市上虞区公共资源交易中心网站，在采购公告页面中下载。</w:t>
      </w:r>
    </w:p>
    <w:p w14:paraId="3BA07477">
      <w:pPr>
        <w:shd w:val="clear"/>
        <w:adjustRightIn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六．投标与开标注意事项：</w:t>
      </w:r>
    </w:p>
    <w:p w14:paraId="680B3CFA">
      <w:pPr>
        <w:numPr>
          <w:ilvl w:val="0"/>
          <w:numId w:val="5"/>
        </w:numPr>
        <w:shd w:val="clear"/>
        <w:adjustRightIn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本项目实行</w:t>
      </w:r>
      <w:r>
        <w:rPr>
          <w:rFonts w:hint="eastAsia" w:ascii="宋体" w:hAnsi="宋体" w:eastAsia="宋体" w:cs="宋体"/>
          <w:b/>
          <w:bCs/>
          <w:color w:val="auto"/>
          <w:sz w:val="24"/>
          <w:szCs w:val="24"/>
          <w:highlight w:val="none"/>
        </w:rPr>
        <w:t>网上投标</w:t>
      </w:r>
      <w:r>
        <w:rPr>
          <w:rFonts w:hint="eastAsia" w:ascii="宋体" w:hAnsi="宋体" w:eastAsia="宋体" w:cs="宋体"/>
          <w:color w:val="auto"/>
          <w:sz w:val="24"/>
          <w:szCs w:val="24"/>
          <w:highlight w:val="none"/>
        </w:rPr>
        <w:t>，采用电子投标文件，若供应商参与投标，自行承担投标一切费用。</w:t>
      </w:r>
    </w:p>
    <w:p w14:paraId="3B289D22">
      <w:pPr>
        <w:numPr>
          <w:ilvl w:val="0"/>
          <w:numId w:val="5"/>
        </w:numPr>
        <w:shd w:val="clear"/>
        <w:wordWrap w:val="0"/>
        <w:adjustRightIn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标前准备：各供应商应在开标前应确保成为浙江省政府采购网正式注册入库供应商，并完成CA数字证书办理。因未注册入库、未办理CA数字证书等原因造成无法投标或投标失败等后果由供应商自行承担。</w:t>
      </w:r>
    </w:p>
    <w:p w14:paraId="124934E6">
      <w:pPr>
        <w:shd w:val="clear"/>
        <w:autoSpaceDE w:val="0"/>
        <w:autoSpaceDN w:val="0"/>
        <w:spacing w:line="360" w:lineRule="auto"/>
        <w:ind w:firstLine="480" w:firstLineChars="200"/>
        <w:textAlignment w:val="bottom"/>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供应商将政采云电子交易客户端下载、安装完成后，可通过账号密码或CA登录客户端进行投标文件制作。在使用政采云投标客户端时，建议使用WIN7及以上操作系统。</w:t>
      </w:r>
    </w:p>
    <w:p w14:paraId="4154D3C4">
      <w:pPr>
        <w:shd w:val="clear"/>
        <w:autoSpaceDE w:val="0"/>
        <w:autoSpaceDN w:val="0"/>
        <w:spacing w:line="360" w:lineRule="auto"/>
        <w:ind w:firstLine="480" w:firstLineChars="200"/>
        <w:textAlignment w:val="bottom"/>
        <w:rPr>
          <w:rFonts w:hint="eastAsia" w:ascii="宋体" w:hAnsi="宋体" w:eastAsia="宋体" w:cs="宋体"/>
          <w:color w:val="auto"/>
          <w:sz w:val="24"/>
          <w:highlight w:val="none"/>
        </w:rPr>
      </w:pPr>
      <w:r>
        <w:rPr>
          <w:rFonts w:hint="eastAsia" w:ascii="宋体" w:hAnsi="宋体" w:eastAsia="宋体" w:cs="宋体"/>
          <w:color w:val="auto"/>
          <w:sz w:val="24"/>
          <w:highlight w:val="none"/>
        </w:rPr>
        <w:t>注：供应商先要申领CA，取得CA后需要在政采云平台进行绑定，CA相关操作可参考《CA管理学习专题》。完成CA数字证书办理在资料齐全的情况下预计7个工作日左右，建议供应商获取招标文件后立即办理。</w:t>
      </w:r>
    </w:p>
    <w:p w14:paraId="499F235D">
      <w:pPr>
        <w:shd w:val="clear"/>
        <w:adjustRightInd w:val="0"/>
        <w:spacing w:line="360" w:lineRule="auto"/>
        <w:ind w:left="420" w:left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《CA管理学习专题》：</w:t>
      </w:r>
    </w:p>
    <w:p w14:paraId="7AC16CFF">
      <w:pPr>
        <w:shd w:val="clear"/>
        <w:adjustRightInd w:val="0"/>
        <w:spacing w:line="360" w:lineRule="auto"/>
        <w:ind w:left="420" w:left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https://edu.zcygov.cn/luban/ca?utm=web-government-front.380aac0a.0.0.fc2b6aa0b6e211ebbdb0dd007730dd44</w:t>
      </w:r>
    </w:p>
    <w:p w14:paraId="67EBF11A">
      <w:pPr>
        <w:shd w:val="clear"/>
        <w:adjustRightInd w:val="0"/>
        <w:spacing w:line="360" w:lineRule="auto"/>
        <w:ind w:left="420" w:left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《CA驱动和申领流程》:</w:t>
      </w:r>
    </w:p>
    <w:p w14:paraId="53876DBC">
      <w:pPr>
        <w:shd w:val="clear"/>
        <w:adjustRightInd w:val="0"/>
        <w:spacing w:line="360" w:lineRule="auto"/>
        <w:ind w:left="420" w:leftChars="200"/>
        <w:rPr>
          <w:rFonts w:hint="eastAsia" w:ascii="宋体" w:hAnsi="宋体" w:eastAsia="宋体" w:cs="宋体"/>
          <w:color w:val="auto"/>
          <w:sz w:val="24"/>
          <w:szCs w:val="24"/>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"http://zfcg.czt.zj.gov.cn/bidClientTemplate/2019-05-27/12945.html" </w:instrText>
      </w:r>
      <w:r>
        <w:rPr>
          <w:rFonts w:hint="eastAsia" w:ascii="宋体" w:hAnsi="宋体" w:eastAsia="宋体" w:cs="宋体"/>
          <w:color w:val="auto"/>
          <w:highlight w:val="none"/>
        </w:rPr>
        <w:fldChar w:fldCharType="separate"/>
      </w:r>
      <w:r>
        <w:rPr>
          <w:rFonts w:hint="eastAsia" w:ascii="宋体" w:hAnsi="宋体" w:eastAsia="宋体" w:cs="宋体"/>
          <w:color w:val="auto"/>
          <w:sz w:val="24"/>
          <w:highlight w:val="none"/>
        </w:rPr>
        <w:t>http://zfcg.czt.zj.gov.cn/bidClientTemplate/2019-05-27/12945.html</w:t>
      </w:r>
      <w:r>
        <w:rPr>
          <w:rFonts w:hint="eastAsia" w:ascii="宋体" w:hAnsi="宋体" w:eastAsia="宋体" w:cs="宋体"/>
          <w:color w:val="auto"/>
          <w:sz w:val="24"/>
          <w:highlight w:val="none"/>
        </w:rPr>
        <w:fldChar w:fldCharType="end"/>
      </w:r>
    </w:p>
    <w:p w14:paraId="44B86B75">
      <w:pPr>
        <w:numPr>
          <w:ilvl w:val="0"/>
          <w:numId w:val="5"/>
        </w:numPr>
        <w:shd w:val="clear"/>
        <w:adjustRightIn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投标文件制作：</w:t>
      </w:r>
    </w:p>
    <w:p w14:paraId="2AE29648">
      <w:pPr>
        <w:numPr>
          <w:ilvl w:val="0"/>
          <w:numId w:val="6"/>
        </w:numPr>
        <w:shd w:val="clear"/>
        <w:adjustRightIn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应按照本项目招标文件和政采云平台的要求编制、加密并递交投标文件。供应商在使用系统进行投标的过程中遇到涉及平台使用的任何问题，可致电政采云平台技术支持热线咨询，联系方式：95763。</w:t>
      </w:r>
    </w:p>
    <w:p w14:paraId="6E9D150E">
      <w:pPr>
        <w:numPr>
          <w:ilvl w:val="0"/>
          <w:numId w:val="6"/>
        </w:numPr>
        <w:shd w:val="clear"/>
        <w:wordWrap w:val="0"/>
        <w:adjustRightIn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投标人通过“政采云”平台电子投标工具制作投标文件。</w:t>
      </w:r>
    </w:p>
    <w:p w14:paraId="48A7A321">
      <w:pPr>
        <w:shd w:val="clear"/>
        <w:adjustRightIn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《电子投标工具》：</w:t>
      </w:r>
    </w:p>
    <w:p w14:paraId="28ACE55D">
      <w:pPr>
        <w:shd w:val="clear"/>
        <w:adjustRightInd w:val="0"/>
        <w:spacing w:line="360" w:lineRule="auto"/>
        <w:ind w:firstLine="42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"http://zfcg.czt.zj.gov.cn/bidClientTemplate/2019-09-24/12975.html" </w:instrText>
      </w:r>
      <w:r>
        <w:rPr>
          <w:rFonts w:hint="eastAsia" w:ascii="宋体" w:hAnsi="宋体" w:eastAsia="宋体" w:cs="宋体"/>
          <w:color w:val="auto"/>
          <w:highlight w:val="none"/>
        </w:rPr>
        <w:fldChar w:fldCharType="separate"/>
      </w:r>
      <w:r>
        <w:rPr>
          <w:rFonts w:hint="eastAsia" w:ascii="宋体" w:hAnsi="宋体" w:eastAsia="宋体" w:cs="宋体"/>
          <w:color w:val="auto"/>
          <w:sz w:val="24"/>
          <w:szCs w:val="24"/>
          <w:highlight w:val="none"/>
        </w:rPr>
        <w:t>http://zfcg.czt.zj.gov.cn/bidClientTemplate/2019-09-24/12975.html</w:t>
      </w:r>
      <w:r>
        <w:rPr>
          <w:rFonts w:hint="eastAsia" w:ascii="宋体" w:hAnsi="宋体" w:eastAsia="宋体" w:cs="宋体"/>
          <w:color w:val="auto"/>
          <w:sz w:val="24"/>
          <w:szCs w:val="24"/>
          <w:highlight w:val="none"/>
        </w:rPr>
        <w:fldChar w:fldCharType="end"/>
      </w:r>
    </w:p>
    <w:p w14:paraId="5463CDDE">
      <w:pPr>
        <w:shd w:val="clear"/>
        <w:adjustRightIn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政府采购项目电子交易操作指南》：</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需登录账号后查看</w:t>
      </w:r>
      <w:r>
        <w:rPr>
          <w:rFonts w:hint="eastAsia" w:ascii="宋体" w:hAnsi="宋体" w:eastAsia="宋体" w:cs="宋体"/>
          <w:color w:val="auto"/>
          <w:sz w:val="24"/>
          <w:szCs w:val="24"/>
          <w:highlight w:val="none"/>
          <w:lang w:eastAsia="zh-CN"/>
        </w:rPr>
        <w:t>）</w:t>
      </w:r>
    </w:p>
    <w:p w14:paraId="57089FEB">
      <w:pPr>
        <w:shd w:val="clear"/>
        <w:adjustRightInd w:val="0"/>
        <w:spacing w:line="360" w:lineRule="auto"/>
        <w:ind w:firstLine="42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"https://service.zcygov.cn/" \l "/knowledges/tree?tag=AG1DtGwBFdiHxlNdhY0r" </w:instrText>
      </w:r>
      <w:r>
        <w:rPr>
          <w:rFonts w:hint="eastAsia" w:ascii="宋体" w:hAnsi="宋体" w:eastAsia="宋体" w:cs="宋体"/>
          <w:color w:val="auto"/>
          <w:highlight w:val="none"/>
        </w:rPr>
        <w:fldChar w:fldCharType="separate"/>
      </w:r>
      <w:r>
        <w:rPr>
          <w:rFonts w:hint="eastAsia" w:ascii="宋体" w:hAnsi="宋体" w:eastAsia="宋体" w:cs="宋体"/>
          <w:color w:val="auto"/>
          <w:sz w:val="24"/>
          <w:szCs w:val="24"/>
          <w:highlight w:val="none"/>
        </w:rPr>
        <w:t>https://service.zcygov.cn/#/knowledges/tree?tag=AG1DtGwBFdiHxlNdhY0r</w:t>
      </w:r>
      <w:r>
        <w:rPr>
          <w:rFonts w:hint="eastAsia" w:ascii="宋体" w:hAnsi="宋体" w:eastAsia="宋体" w:cs="宋体"/>
          <w:color w:val="auto"/>
          <w:sz w:val="24"/>
          <w:szCs w:val="24"/>
          <w:highlight w:val="none"/>
        </w:rPr>
        <w:fldChar w:fldCharType="end"/>
      </w:r>
    </w:p>
    <w:p w14:paraId="31B8EFFE">
      <w:pPr>
        <w:shd w:val="clear"/>
        <w:adjustRightInd w:val="0"/>
        <w:spacing w:line="360" w:lineRule="auto"/>
        <w:ind w:left="420" w:left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4.供应商在法定质疑期内应一次性提出针对同一采购程序环节的质疑。</w:t>
      </w:r>
    </w:p>
    <w:p w14:paraId="6217DA56">
      <w:pPr>
        <w:shd w:val="clear"/>
        <w:adjustRightInd w:val="0"/>
        <w:spacing w:line="360" w:lineRule="auto"/>
        <w:ind w:left="420" w:left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5.投标人可指派授权代表递交备份文件，授权代表递交备份文件需携带法定代表人授权书原件，于投标截止时间前到达开标地点递交。</w:t>
      </w:r>
    </w:p>
    <w:p w14:paraId="1ADCC698">
      <w:pPr>
        <w:shd w:val="clear"/>
        <w:adjustRightInd w:val="0"/>
        <w:spacing w:line="360" w:lineRule="auto"/>
        <w:ind w:left="420" w:left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6.特别提醒</w:t>
      </w:r>
    </w:p>
    <w:p w14:paraId="361702D1">
      <w:pPr>
        <w:numPr>
          <w:ilvl w:val="0"/>
          <w:numId w:val="7"/>
        </w:numPr>
        <w:shd w:val="clear"/>
        <w:wordWrap w:val="0"/>
        <w:adjustRightIn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单位负责人为同一人或者存在直接控股、管理关系的不同供应商，不得参加同一合同项下的政府采购活动。</w:t>
      </w:r>
    </w:p>
    <w:p w14:paraId="15389E5D">
      <w:pPr>
        <w:numPr>
          <w:ilvl w:val="0"/>
          <w:numId w:val="7"/>
        </w:numPr>
        <w:shd w:val="clear"/>
        <w:wordWrap w:val="0"/>
        <w:adjustRightInd w:val="0"/>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sz w:val="24"/>
          <w:szCs w:val="24"/>
          <w:highlight w:val="none"/>
        </w:rPr>
        <w:t>除单一来源采购项目外，为采购项目提供整体设计、规范编制或者项目管理、监理、检测等服务的供应商，不得再参加该采购项目的其他采购活动。</w:t>
      </w:r>
    </w:p>
    <w:p w14:paraId="40FE9DEC">
      <w:pPr>
        <w:shd w:val="clear"/>
        <w:adjustRightInd w:val="0"/>
        <w:spacing w:line="360" w:lineRule="auto"/>
        <w:ind w:firstLine="482" w:firstLineChars="200"/>
        <w:jc w:val="left"/>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七．磋商响应截止时间及要求：</w:t>
      </w:r>
      <w:r>
        <w:rPr>
          <w:rFonts w:hint="eastAsia" w:ascii="宋体" w:hAnsi="宋体" w:eastAsia="宋体" w:cs="宋体"/>
          <w:color w:val="auto"/>
          <w:sz w:val="24"/>
          <w:szCs w:val="24"/>
          <w:highlight w:val="none"/>
          <w:u w:val="single"/>
        </w:rPr>
        <w:t xml:space="preserve"> 202</w:t>
      </w:r>
      <w:r>
        <w:rPr>
          <w:rFonts w:hint="eastAsia" w:ascii="宋体" w:hAnsi="宋体" w:cs="宋体"/>
          <w:color w:val="auto"/>
          <w:sz w:val="24"/>
          <w:szCs w:val="24"/>
          <w:highlight w:val="none"/>
          <w:u w:val="single"/>
          <w:lang w:val="en-US" w:eastAsia="zh-CN"/>
        </w:rPr>
        <w:t>5</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7</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8</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日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09</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时</w:t>
      </w:r>
      <w:r>
        <w:rPr>
          <w:rFonts w:hint="eastAsia" w:ascii="宋体" w:hAnsi="宋体" w:eastAsia="宋体" w:cs="宋体"/>
          <w:color w:val="auto"/>
          <w:sz w:val="24"/>
          <w:szCs w:val="24"/>
          <w:highlight w:val="none"/>
          <w:u w:val="single"/>
        </w:rPr>
        <w:t xml:space="preserve"> 30 </w:t>
      </w:r>
      <w:r>
        <w:rPr>
          <w:rFonts w:hint="eastAsia" w:ascii="宋体" w:hAnsi="宋体" w:eastAsia="宋体" w:cs="宋体"/>
          <w:color w:val="auto"/>
          <w:sz w:val="24"/>
          <w:szCs w:val="24"/>
          <w:highlight w:val="none"/>
        </w:rPr>
        <w:t>分整</w:t>
      </w:r>
      <w:r>
        <w:rPr>
          <w:rFonts w:hint="eastAsia" w:ascii="宋体" w:hAnsi="宋体" w:eastAsia="宋体" w:cs="宋体"/>
          <w:color w:val="auto"/>
          <w:kern w:val="0"/>
          <w:sz w:val="24"/>
          <w:szCs w:val="24"/>
          <w:highlight w:val="none"/>
        </w:rPr>
        <w:t>之前将电子磋商响应文件上传到“政采云”平台。</w:t>
      </w:r>
    </w:p>
    <w:p w14:paraId="55888ECA">
      <w:pPr>
        <w:shd w:val="clear"/>
        <w:adjustRightInd w:val="0"/>
        <w:spacing w:line="360" w:lineRule="auto"/>
        <w:ind w:firstLine="482" w:firstLineChars="200"/>
        <w:jc w:val="left"/>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八．递交首次响应文件时间及地点：</w:t>
      </w:r>
      <w:bookmarkStart w:id="6" w:name="B30_开标地点"/>
      <w:r>
        <w:rPr>
          <w:rFonts w:hint="eastAsia" w:ascii="宋体" w:hAnsi="宋体" w:eastAsia="宋体" w:cs="宋体"/>
          <w:color w:val="auto"/>
          <w:sz w:val="24"/>
          <w:szCs w:val="24"/>
          <w:highlight w:val="none"/>
          <w:u w:val="single"/>
        </w:rPr>
        <w:t xml:space="preserve"> 202</w:t>
      </w:r>
      <w:r>
        <w:rPr>
          <w:rFonts w:hint="eastAsia" w:ascii="宋体" w:hAnsi="宋体" w:cs="宋体"/>
          <w:color w:val="auto"/>
          <w:sz w:val="24"/>
          <w:szCs w:val="24"/>
          <w:highlight w:val="none"/>
          <w:u w:val="single"/>
          <w:lang w:val="en-US" w:eastAsia="zh-CN"/>
        </w:rPr>
        <w:t>5</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7</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8</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日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09</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时</w:t>
      </w:r>
      <w:r>
        <w:rPr>
          <w:rFonts w:hint="eastAsia" w:ascii="宋体" w:hAnsi="宋体" w:eastAsia="宋体" w:cs="宋体"/>
          <w:color w:val="auto"/>
          <w:sz w:val="24"/>
          <w:szCs w:val="24"/>
          <w:highlight w:val="none"/>
          <w:u w:val="single"/>
        </w:rPr>
        <w:t xml:space="preserve"> 30 </w:t>
      </w:r>
      <w:r>
        <w:rPr>
          <w:rFonts w:hint="eastAsia" w:ascii="宋体" w:hAnsi="宋体" w:eastAsia="宋体" w:cs="宋体"/>
          <w:color w:val="auto"/>
          <w:sz w:val="24"/>
          <w:szCs w:val="24"/>
          <w:highlight w:val="none"/>
        </w:rPr>
        <w:t>分整在</w:t>
      </w:r>
      <w:r>
        <w:rPr>
          <w:rFonts w:hint="eastAsia" w:ascii="宋体" w:hAnsi="宋体" w:eastAsia="宋体" w:cs="宋体"/>
          <w:color w:val="auto"/>
          <w:sz w:val="24"/>
          <w:szCs w:val="24"/>
          <w:highlight w:val="none"/>
          <w:lang w:val="en-US" w:eastAsia="zh-CN"/>
        </w:rPr>
        <w:t>浙江宇康工程管理咨询有限公司</w:t>
      </w:r>
      <w:r>
        <w:rPr>
          <w:rFonts w:hint="eastAsia" w:ascii="宋体" w:hAnsi="宋体" w:eastAsia="宋体" w:cs="宋体"/>
          <w:color w:val="auto"/>
          <w:sz w:val="24"/>
          <w:szCs w:val="24"/>
          <w:highlight w:val="none"/>
        </w:rPr>
        <w:t>开标室开标。</w:t>
      </w:r>
      <w:bookmarkEnd w:id="6"/>
    </w:p>
    <w:p w14:paraId="78211F34">
      <w:pPr>
        <w:shd w:val="clear"/>
        <w:adjustRightIn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开标时间后30分钟内（</w:t>
      </w:r>
      <w:r>
        <w:rPr>
          <w:rFonts w:hint="eastAsia" w:ascii="宋体" w:hAnsi="宋体" w:eastAsia="宋体" w:cs="宋体"/>
          <w:color w:val="auto"/>
          <w:sz w:val="24"/>
          <w:szCs w:val="24"/>
          <w:highlight w:val="none"/>
          <w:lang w:eastAsia="zh-CN"/>
        </w:rPr>
        <w:t>当日</w:t>
      </w: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0</w:t>
      </w:r>
      <w:r>
        <w:rPr>
          <w:rFonts w:hint="eastAsia" w:ascii="宋体" w:hAnsi="宋体" w:eastAsia="宋体" w:cs="宋体"/>
          <w:color w:val="auto"/>
          <w:sz w:val="24"/>
          <w:szCs w:val="24"/>
          <w:highlight w:val="none"/>
        </w:rPr>
        <w:t xml:space="preserve"> : 00 前）供应商可以登录“政采云”平台，用“项目采购</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开标评标”功能进行解密响应文件。若供应商在规定时间内（</w:t>
      </w:r>
      <w:r>
        <w:rPr>
          <w:rFonts w:hint="eastAsia" w:ascii="宋体" w:hAnsi="宋体" w:eastAsia="宋体" w:cs="宋体"/>
          <w:color w:val="auto"/>
          <w:sz w:val="24"/>
          <w:szCs w:val="24"/>
          <w:highlight w:val="none"/>
          <w:lang w:eastAsia="zh-CN"/>
        </w:rPr>
        <w:t>当日</w:t>
      </w: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0</w:t>
      </w:r>
      <w:r>
        <w:rPr>
          <w:rFonts w:hint="eastAsia" w:ascii="宋体" w:hAnsi="宋体" w:eastAsia="宋体" w:cs="宋体"/>
          <w:color w:val="auto"/>
          <w:sz w:val="24"/>
          <w:szCs w:val="24"/>
          <w:highlight w:val="none"/>
        </w:rPr>
        <w:t>: 00 前）解密失败，则由采购代理机构工作人员上传供应商提供的备份文件。备份文件（后缀名为.bfbs）须存储在U盘中，与上传的电子磋商响应文件一致，用信封进行密封并盖章</w:t>
      </w:r>
      <w:r>
        <w:rPr>
          <w:rFonts w:hint="eastAsia" w:ascii="宋体" w:hAnsi="宋体" w:eastAsia="宋体" w:cs="宋体"/>
          <w:b/>
          <w:bCs/>
          <w:color w:val="auto"/>
          <w:sz w:val="24"/>
          <w:szCs w:val="24"/>
          <w:highlight w:val="none"/>
        </w:rPr>
        <w:t>（信封内仅需放入存储备份文件的U盘）</w:t>
      </w:r>
      <w:r>
        <w:rPr>
          <w:rFonts w:hint="eastAsia" w:ascii="宋体" w:hAnsi="宋体" w:eastAsia="宋体" w:cs="宋体"/>
          <w:color w:val="auto"/>
          <w:sz w:val="24"/>
          <w:szCs w:val="24"/>
          <w:highlight w:val="none"/>
        </w:rPr>
        <w:t>，由授权代表在磋商响应截止时间前递交至开标地点。若电子磋商响应文件正常解锁，则U盘退还给供应商；若解锁失败，则由采购代理机构将U盘中的备份文件上传，该U盘将由采购代理机构保存。</w:t>
      </w:r>
    </w:p>
    <w:p w14:paraId="5ED763E3">
      <w:pPr>
        <w:shd w:val="clear"/>
        <w:adjustRightInd w:val="0"/>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本次开标不提供现场视频。</w:t>
      </w:r>
    </w:p>
    <w:p w14:paraId="517FF863">
      <w:pPr>
        <w:shd w:val="clear"/>
        <w:adjustRightIn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九．磋商保证金：无</w:t>
      </w:r>
    </w:p>
    <w:p w14:paraId="3A7698E1">
      <w:pPr>
        <w:shd w:val="clear"/>
        <w:adjustRightIn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十．公告期限：3个工作日</w:t>
      </w:r>
    </w:p>
    <w:p w14:paraId="46B5EBA9">
      <w:pPr>
        <w:shd w:val="clear"/>
        <w:adjustRightIn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十一．联系方式：</w:t>
      </w:r>
    </w:p>
    <w:p w14:paraId="547D509F">
      <w:pPr>
        <w:shd w:val="clear"/>
        <w:adjustRightIn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1．采购代理机构名称：浙江宇康工程管理咨询有限公司</w:t>
      </w:r>
    </w:p>
    <w:p w14:paraId="46948A73">
      <w:pPr>
        <w:shd w:val="clear"/>
        <w:adjustRightIn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项目联系人（询问）：</w:t>
      </w:r>
      <w:r>
        <w:rPr>
          <w:rFonts w:hint="eastAsia" w:ascii="宋体" w:hAnsi="宋体" w:eastAsia="宋体" w:cs="宋体"/>
          <w:color w:val="auto"/>
          <w:sz w:val="24"/>
          <w:szCs w:val="24"/>
          <w:highlight w:val="none"/>
          <w:lang w:eastAsia="zh-CN"/>
        </w:rPr>
        <w:t>苗黎</w:t>
      </w:r>
      <w:r>
        <w:rPr>
          <w:rFonts w:hint="eastAsia" w:ascii="宋体" w:hAnsi="宋体" w:eastAsia="宋体" w:cs="宋体"/>
          <w:color w:val="auto"/>
          <w:sz w:val="24"/>
          <w:szCs w:val="24"/>
          <w:highlight w:val="none"/>
        </w:rPr>
        <w:t xml:space="preserve">               </w:t>
      </w:r>
    </w:p>
    <w:p w14:paraId="11D42B01">
      <w:pPr>
        <w:shd w:val="clear"/>
        <w:adjustRightIn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项目联系方式（询问）：</w:t>
      </w:r>
      <w:r>
        <w:rPr>
          <w:rFonts w:hint="eastAsia" w:ascii="宋体" w:hAnsi="宋体" w:eastAsia="宋体" w:cs="宋体"/>
          <w:color w:val="auto"/>
          <w:sz w:val="24"/>
          <w:szCs w:val="24"/>
          <w:highlight w:val="none"/>
          <w:lang w:val="en-US" w:eastAsia="zh-CN"/>
        </w:rPr>
        <w:t>13757586169</w:t>
      </w:r>
      <w:r>
        <w:rPr>
          <w:rFonts w:hint="eastAsia" w:ascii="宋体" w:hAnsi="宋体" w:eastAsia="宋体" w:cs="宋体"/>
          <w:color w:val="auto"/>
          <w:sz w:val="24"/>
          <w:szCs w:val="24"/>
          <w:highlight w:val="none"/>
        </w:rPr>
        <w:t xml:space="preserve">           </w:t>
      </w:r>
    </w:p>
    <w:p w14:paraId="01AACFD8">
      <w:pPr>
        <w:shd w:val="clear"/>
        <w:adjustRightIn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质疑联系人：</w:t>
      </w:r>
      <w:r>
        <w:rPr>
          <w:rFonts w:hint="eastAsia" w:ascii="宋体" w:hAnsi="宋体" w:eastAsia="宋体" w:cs="宋体"/>
          <w:color w:val="auto"/>
          <w:sz w:val="24"/>
          <w:szCs w:val="24"/>
          <w:highlight w:val="none"/>
          <w:lang w:eastAsia="zh-CN"/>
        </w:rPr>
        <w:t>蒲志刚</w:t>
      </w:r>
      <w:r>
        <w:rPr>
          <w:rFonts w:hint="eastAsia" w:ascii="宋体" w:hAnsi="宋体" w:eastAsia="宋体" w:cs="宋体"/>
          <w:color w:val="auto"/>
          <w:sz w:val="24"/>
          <w:szCs w:val="24"/>
          <w:highlight w:val="none"/>
        </w:rPr>
        <w:t xml:space="preserve">              </w:t>
      </w:r>
    </w:p>
    <w:p w14:paraId="0E515EE9">
      <w:pPr>
        <w:shd w:val="clear"/>
        <w:adjustRightIn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质疑联系方式：1</w:t>
      </w:r>
      <w:r>
        <w:rPr>
          <w:rFonts w:hint="eastAsia" w:ascii="宋体" w:hAnsi="宋体" w:eastAsia="宋体" w:cs="宋体"/>
          <w:color w:val="auto"/>
          <w:sz w:val="24"/>
          <w:szCs w:val="24"/>
          <w:highlight w:val="none"/>
          <w:lang w:val="en-US" w:eastAsia="zh-CN"/>
        </w:rPr>
        <w:t>8368083941</w:t>
      </w:r>
      <w:r>
        <w:rPr>
          <w:rFonts w:hint="eastAsia" w:ascii="宋体" w:hAnsi="宋体" w:eastAsia="宋体" w:cs="宋体"/>
          <w:color w:val="auto"/>
          <w:sz w:val="24"/>
          <w:szCs w:val="24"/>
          <w:highlight w:val="none"/>
        </w:rPr>
        <w:t xml:space="preserve">        </w:t>
      </w:r>
    </w:p>
    <w:p w14:paraId="66E3FB85">
      <w:pPr>
        <w:shd w:val="clear"/>
        <w:adjustRightIn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地址：绍兴市上虞区百官街道江东北路588号百官广场30楼  </w:t>
      </w:r>
    </w:p>
    <w:p w14:paraId="47009A78">
      <w:pPr>
        <w:shd w:val="clear"/>
        <w:adjustRightIn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2．采购人名称：</w:t>
      </w:r>
      <w:r>
        <w:rPr>
          <w:rFonts w:hint="eastAsia" w:ascii="宋体" w:hAnsi="宋体" w:cs="宋体"/>
          <w:color w:val="auto"/>
          <w:sz w:val="24"/>
          <w:szCs w:val="24"/>
          <w:highlight w:val="none"/>
          <w:lang w:eastAsia="zh-CN"/>
        </w:rPr>
        <w:t>绍兴市上虞区百官街道办事处</w:t>
      </w:r>
      <w:r>
        <w:rPr>
          <w:rFonts w:hint="eastAsia" w:ascii="宋体" w:hAnsi="宋体" w:eastAsia="宋体" w:cs="宋体"/>
          <w:color w:val="auto"/>
          <w:sz w:val="24"/>
          <w:szCs w:val="24"/>
          <w:highlight w:val="none"/>
        </w:rPr>
        <w:t xml:space="preserve">  </w:t>
      </w:r>
    </w:p>
    <w:p w14:paraId="389F243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bookmarkStart w:id="7" w:name="_Toc19144"/>
      <w:r>
        <w:rPr>
          <w:rFonts w:hint="eastAsia" w:ascii="宋体" w:hAnsi="宋体" w:eastAsia="宋体" w:cs="宋体"/>
          <w:color w:val="auto"/>
          <w:sz w:val="24"/>
          <w:szCs w:val="24"/>
          <w:highlight w:val="none"/>
        </w:rPr>
        <w:t>项目联系人（询问）：</w:t>
      </w:r>
      <w:bookmarkEnd w:id="7"/>
      <w:r>
        <w:rPr>
          <w:rFonts w:hint="eastAsia" w:ascii="宋体" w:hAnsi="宋体" w:cs="宋体"/>
          <w:color w:val="auto"/>
          <w:sz w:val="24"/>
          <w:szCs w:val="24"/>
          <w:highlight w:val="none"/>
          <w:lang w:eastAsia="zh-CN"/>
        </w:rPr>
        <w:t>毛先生</w:t>
      </w:r>
      <w:r>
        <w:rPr>
          <w:rFonts w:hint="eastAsia" w:ascii="宋体" w:hAnsi="宋体" w:eastAsia="宋体" w:cs="宋体"/>
          <w:color w:val="auto"/>
          <w:sz w:val="24"/>
          <w:szCs w:val="24"/>
          <w:highlight w:val="none"/>
          <w:lang w:val="en-US" w:eastAsia="zh-CN"/>
        </w:rPr>
        <w:t xml:space="preserve"> </w:t>
      </w:r>
    </w:p>
    <w:p w14:paraId="6D36BB9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sz w:val="24"/>
          <w:szCs w:val="24"/>
          <w:highlight w:val="none"/>
          <w:lang w:val="en-US" w:eastAsia="zh-CN"/>
        </w:rPr>
      </w:pPr>
      <w:bookmarkStart w:id="8" w:name="_Toc23784"/>
      <w:r>
        <w:rPr>
          <w:rFonts w:hint="eastAsia" w:ascii="宋体" w:hAnsi="宋体" w:eastAsia="宋体" w:cs="宋体"/>
          <w:color w:val="auto"/>
          <w:sz w:val="24"/>
          <w:szCs w:val="24"/>
          <w:highlight w:val="none"/>
        </w:rPr>
        <w:t>项目联系方式（询问）：</w:t>
      </w:r>
      <w:bookmarkEnd w:id="8"/>
      <w:bookmarkStart w:id="9" w:name="_Toc4466"/>
      <w:r>
        <w:rPr>
          <w:rFonts w:hint="eastAsia" w:ascii="宋体" w:hAnsi="宋体" w:cs="宋体"/>
          <w:color w:val="auto"/>
          <w:sz w:val="24"/>
          <w:szCs w:val="24"/>
          <w:highlight w:val="none"/>
          <w:lang w:val="en-US" w:eastAsia="zh-CN"/>
        </w:rPr>
        <w:t>13606576016</w:t>
      </w:r>
    </w:p>
    <w:p w14:paraId="0CAF990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质疑联系人：</w:t>
      </w:r>
      <w:bookmarkEnd w:id="9"/>
      <w:r>
        <w:rPr>
          <w:rFonts w:hint="eastAsia" w:ascii="宋体" w:hAnsi="宋体" w:cs="宋体"/>
          <w:color w:val="auto"/>
          <w:sz w:val="24"/>
          <w:szCs w:val="24"/>
          <w:highlight w:val="none"/>
          <w:lang w:eastAsia="zh-CN"/>
        </w:rPr>
        <w:t>王先生</w:t>
      </w:r>
    </w:p>
    <w:p w14:paraId="6CD1F7B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bookmarkStart w:id="10" w:name="_Toc6598"/>
      <w:r>
        <w:rPr>
          <w:rFonts w:hint="eastAsia" w:ascii="宋体" w:hAnsi="宋体" w:eastAsia="宋体" w:cs="宋体"/>
          <w:color w:val="auto"/>
          <w:sz w:val="24"/>
          <w:szCs w:val="24"/>
          <w:highlight w:val="none"/>
        </w:rPr>
        <w:t>质疑联系方式：</w:t>
      </w:r>
      <w:bookmarkEnd w:id="10"/>
      <w:r>
        <w:rPr>
          <w:rFonts w:hint="eastAsia" w:ascii="宋体" w:hAnsi="宋体" w:cs="宋体"/>
          <w:color w:val="auto"/>
          <w:sz w:val="24"/>
          <w:szCs w:val="24"/>
          <w:highlight w:val="none"/>
          <w:lang w:val="en-US" w:eastAsia="zh-CN"/>
        </w:rPr>
        <w:t>0575-82029307</w:t>
      </w:r>
    </w:p>
    <w:p w14:paraId="4D9F6773">
      <w:pPr>
        <w:adjustRightInd w:val="0"/>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地址：</w:t>
      </w:r>
      <w:r>
        <w:rPr>
          <w:rFonts w:hint="eastAsia" w:ascii="宋体" w:hAnsi="宋体" w:cs="宋体"/>
          <w:color w:val="auto"/>
          <w:sz w:val="24"/>
          <w:highlight w:val="none"/>
        </w:rPr>
        <w:t>浙江省绍兴市上虞区</w:t>
      </w:r>
      <w:r>
        <w:rPr>
          <w:rFonts w:hint="eastAsia" w:ascii="宋体" w:hAnsi="宋体" w:cs="宋体"/>
          <w:color w:val="auto"/>
          <w:sz w:val="24"/>
          <w:highlight w:val="none"/>
          <w:lang w:eastAsia="zh-CN"/>
        </w:rPr>
        <w:t>百官街道</w:t>
      </w:r>
      <w:r>
        <w:rPr>
          <w:rFonts w:hint="eastAsia" w:ascii="宋体" w:hAnsi="宋体" w:eastAsia="宋体" w:cs="宋体"/>
          <w:color w:val="auto"/>
          <w:sz w:val="24"/>
          <w:szCs w:val="24"/>
          <w:highlight w:val="none"/>
          <w:lang w:val="en-US" w:eastAsia="zh-CN"/>
        </w:rPr>
        <w:t xml:space="preserve"> </w:t>
      </w:r>
    </w:p>
    <w:p w14:paraId="27D07CD8">
      <w:pPr>
        <w:shd w:val="clear"/>
        <w:adjustRightIn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3．同级政府采购监督管理部门名称：上虞区财政局政府采购监管科</w:t>
      </w:r>
    </w:p>
    <w:p w14:paraId="34F56A3C">
      <w:pPr>
        <w:shd w:val="clear"/>
        <w:adjustRightIn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联系人：谷先生</w:t>
      </w:r>
    </w:p>
    <w:p w14:paraId="19883586">
      <w:pPr>
        <w:shd w:val="clear"/>
        <w:adjustRightIn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监督投诉电话：0575-82130212</w:t>
      </w:r>
    </w:p>
    <w:p w14:paraId="6D39D30B">
      <w:pPr>
        <w:shd w:val="clear"/>
        <w:adjustRightInd w:val="0"/>
        <w:spacing w:line="360" w:lineRule="auto"/>
        <w:ind w:firstLine="480" w:firstLineChars="20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传真：0575-</w:t>
      </w:r>
      <w:r>
        <w:rPr>
          <w:rFonts w:hint="eastAsia" w:ascii="宋体" w:hAnsi="宋体" w:cs="宋体"/>
          <w:color w:val="auto"/>
          <w:sz w:val="24"/>
          <w:szCs w:val="24"/>
          <w:highlight w:val="none"/>
          <w:lang w:val="en-US" w:eastAsia="zh-CN"/>
        </w:rPr>
        <w:t>82154859</w:t>
      </w:r>
    </w:p>
    <w:p w14:paraId="08ACB242">
      <w:pPr>
        <w:shd w:val="clear"/>
        <w:adjustRightIn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地址：绍兴市上虞区体育场路18号</w:t>
      </w:r>
    </w:p>
    <w:p w14:paraId="03F35F55">
      <w:pPr>
        <w:shd w:val="clear"/>
        <w:spacing w:line="360" w:lineRule="auto"/>
        <w:jc w:val="center"/>
        <w:outlineLvl w:val="0"/>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br w:type="page"/>
      </w:r>
      <w:bookmarkStart w:id="11" w:name="_Toc23520"/>
      <w:bookmarkStart w:id="12" w:name="_Toc546"/>
      <w:bookmarkStart w:id="13" w:name="_Toc29834"/>
      <w:r>
        <w:rPr>
          <w:rStyle w:val="46"/>
          <w:rFonts w:hint="eastAsia" w:ascii="宋体" w:hAnsi="宋体" w:eastAsia="宋体" w:cs="宋体"/>
          <w:color w:val="auto"/>
          <w:sz w:val="36"/>
          <w:szCs w:val="36"/>
          <w:highlight w:val="none"/>
        </w:rPr>
        <w:t>第二部分</w:t>
      </w:r>
      <w:bookmarkEnd w:id="3"/>
      <w:r>
        <w:rPr>
          <w:rStyle w:val="46"/>
          <w:rFonts w:hint="eastAsia" w:ascii="宋体" w:hAnsi="宋体" w:eastAsia="宋体" w:cs="宋体"/>
          <w:color w:val="auto"/>
          <w:sz w:val="36"/>
          <w:szCs w:val="36"/>
          <w:highlight w:val="none"/>
        </w:rPr>
        <w:t xml:space="preserve"> </w:t>
      </w:r>
      <w:bookmarkEnd w:id="4"/>
      <w:r>
        <w:rPr>
          <w:rStyle w:val="46"/>
          <w:rFonts w:hint="eastAsia" w:ascii="宋体" w:hAnsi="宋体" w:eastAsia="宋体" w:cs="宋体"/>
          <w:color w:val="auto"/>
          <w:sz w:val="36"/>
          <w:szCs w:val="36"/>
          <w:highlight w:val="none"/>
        </w:rPr>
        <w:t>供应商须知</w:t>
      </w:r>
      <w:bookmarkEnd w:id="11"/>
      <w:bookmarkEnd w:id="12"/>
      <w:bookmarkEnd w:id="13"/>
    </w:p>
    <w:p w14:paraId="4C1506A7">
      <w:pPr>
        <w:widowControl/>
        <w:shd w:val="clear"/>
        <w:adjustRightInd w:val="0"/>
        <w:snapToGrid w:val="0"/>
        <w:spacing w:line="360" w:lineRule="auto"/>
        <w:jc w:val="center"/>
        <w:rPr>
          <w:rFonts w:hint="eastAsia" w:ascii="宋体" w:hAnsi="宋体" w:eastAsia="宋体" w:cs="宋体"/>
          <w:b/>
          <w:bCs/>
          <w:snapToGrid w:val="0"/>
          <w:color w:val="auto"/>
          <w:kern w:val="0"/>
          <w:sz w:val="32"/>
          <w:szCs w:val="32"/>
          <w:highlight w:val="none"/>
        </w:rPr>
      </w:pPr>
      <w:r>
        <w:rPr>
          <w:rFonts w:hint="eastAsia" w:ascii="宋体" w:hAnsi="宋体" w:eastAsia="宋体" w:cs="宋体"/>
          <w:b/>
          <w:bCs/>
          <w:snapToGrid w:val="0"/>
          <w:color w:val="auto"/>
          <w:kern w:val="0"/>
          <w:sz w:val="30"/>
          <w:szCs w:val="30"/>
          <w:highlight w:val="none"/>
        </w:rPr>
        <w:t>供应商须知前附表</w:t>
      </w:r>
    </w:p>
    <w:tbl>
      <w:tblPr>
        <w:tblStyle w:val="29"/>
        <w:tblW w:w="9130"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648"/>
        <w:gridCol w:w="1800"/>
        <w:gridCol w:w="6682"/>
      </w:tblGrid>
      <w:tr w14:paraId="7F9EF3B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17" w:hRule="atLeast"/>
          <w:tblHeader/>
          <w:jc w:val="center"/>
        </w:trPr>
        <w:tc>
          <w:tcPr>
            <w:tcW w:w="648" w:type="dxa"/>
            <w:tcBorders>
              <w:top w:val="double" w:color="auto" w:sz="4" w:space="0"/>
            </w:tcBorders>
            <w:vAlign w:val="center"/>
          </w:tcPr>
          <w:p w14:paraId="1B5B463E">
            <w:pPr>
              <w:shd w:val="clear"/>
              <w:snapToGrid w:val="0"/>
              <w:jc w:val="center"/>
              <w:rPr>
                <w:rFonts w:hint="eastAsia" w:ascii="宋体" w:hAnsi="宋体" w:eastAsia="宋体" w:cs="宋体"/>
                <w:b/>
                <w:bCs/>
                <w:snapToGrid w:val="0"/>
                <w:color w:val="auto"/>
                <w:kern w:val="0"/>
                <w:highlight w:val="none"/>
              </w:rPr>
            </w:pPr>
            <w:r>
              <w:rPr>
                <w:rFonts w:hint="eastAsia" w:ascii="宋体" w:hAnsi="宋体" w:eastAsia="宋体" w:cs="宋体"/>
                <w:b/>
                <w:bCs/>
                <w:snapToGrid w:val="0"/>
                <w:color w:val="auto"/>
                <w:kern w:val="0"/>
                <w:highlight w:val="none"/>
              </w:rPr>
              <w:t>序号</w:t>
            </w:r>
          </w:p>
        </w:tc>
        <w:tc>
          <w:tcPr>
            <w:tcW w:w="1800" w:type="dxa"/>
            <w:tcBorders>
              <w:top w:val="double" w:color="auto" w:sz="4" w:space="0"/>
            </w:tcBorders>
            <w:vAlign w:val="center"/>
          </w:tcPr>
          <w:p w14:paraId="7EA26125">
            <w:pPr>
              <w:shd w:val="clear"/>
              <w:snapToGrid w:val="0"/>
              <w:jc w:val="center"/>
              <w:rPr>
                <w:rFonts w:hint="eastAsia" w:ascii="宋体" w:hAnsi="宋体" w:eastAsia="宋体" w:cs="宋体"/>
                <w:b/>
                <w:bCs/>
                <w:snapToGrid w:val="0"/>
                <w:color w:val="auto"/>
                <w:kern w:val="0"/>
                <w:highlight w:val="none"/>
              </w:rPr>
            </w:pPr>
            <w:r>
              <w:rPr>
                <w:rFonts w:hint="eastAsia" w:ascii="宋体" w:hAnsi="宋体" w:eastAsia="宋体" w:cs="宋体"/>
                <w:b/>
                <w:bCs/>
                <w:snapToGrid w:val="0"/>
                <w:color w:val="auto"/>
                <w:kern w:val="0"/>
                <w:highlight w:val="none"/>
              </w:rPr>
              <w:t>项目</w:t>
            </w:r>
          </w:p>
        </w:tc>
        <w:tc>
          <w:tcPr>
            <w:tcW w:w="6682" w:type="dxa"/>
            <w:tcBorders>
              <w:top w:val="double" w:color="auto" w:sz="4" w:space="0"/>
            </w:tcBorders>
            <w:vAlign w:val="center"/>
          </w:tcPr>
          <w:p w14:paraId="72CCE490">
            <w:pPr>
              <w:shd w:val="clear"/>
              <w:snapToGrid w:val="0"/>
              <w:jc w:val="center"/>
              <w:rPr>
                <w:rFonts w:hint="eastAsia" w:ascii="宋体" w:hAnsi="宋体" w:eastAsia="宋体" w:cs="宋体"/>
                <w:b/>
                <w:bCs/>
                <w:snapToGrid w:val="0"/>
                <w:color w:val="auto"/>
                <w:kern w:val="0"/>
                <w:highlight w:val="none"/>
              </w:rPr>
            </w:pPr>
            <w:r>
              <w:rPr>
                <w:rFonts w:hint="eastAsia" w:ascii="宋体" w:hAnsi="宋体" w:eastAsia="宋体" w:cs="宋体"/>
                <w:b/>
                <w:bCs/>
                <w:snapToGrid w:val="0"/>
                <w:color w:val="auto"/>
                <w:kern w:val="0"/>
                <w:highlight w:val="none"/>
              </w:rPr>
              <w:t>内容</w:t>
            </w:r>
          </w:p>
        </w:tc>
      </w:tr>
      <w:tr w14:paraId="5D43025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47" w:hRule="atLeast"/>
          <w:jc w:val="center"/>
        </w:trPr>
        <w:tc>
          <w:tcPr>
            <w:tcW w:w="648" w:type="dxa"/>
            <w:vAlign w:val="center"/>
          </w:tcPr>
          <w:p w14:paraId="23BB3E9B">
            <w:pPr>
              <w:shd w:val="clear"/>
              <w:snapToGrid w:val="0"/>
              <w:jc w:val="center"/>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1</w:t>
            </w:r>
          </w:p>
        </w:tc>
        <w:tc>
          <w:tcPr>
            <w:tcW w:w="1800" w:type="dxa"/>
            <w:vAlign w:val="center"/>
          </w:tcPr>
          <w:p w14:paraId="40D00928">
            <w:pPr>
              <w:shd w:val="clear"/>
              <w:snapToGrid w:val="0"/>
              <w:jc w:val="center"/>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项目名称</w:t>
            </w:r>
          </w:p>
        </w:tc>
        <w:tc>
          <w:tcPr>
            <w:tcW w:w="6682" w:type="dxa"/>
            <w:vAlign w:val="center"/>
          </w:tcPr>
          <w:p w14:paraId="7A62C448">
            <w:pPr>
              <w:shd w:val="clear"/>
              <w:snapToGrid w:val="0"/>
              <w:ind w:firstLine="420" w:firstLineChars="200"/>
              <w:rPr>
                <w:rFonts w:hint="eastAsia" w:ascii="宋体" w:hAnsi="宋体" w:eastAsia="宋体" w:cs="宋体"/>
                <w:snapToGrid w:val="0"/>
                <w:color w:val="auto"/>
                <w:kern w:val="0"/>
                <w:highlight w:val="none"/>
                <w:lang w:eastAsia="zh-CN"/>
              </w:rPr>
            </w:pPr>
            <w:r>
              <w:rPr>
                <w:rFonts w:hint="eastAsia" w:ascii="宋体" w:hAnsi="宋体" w:cs="宋体"/>
                <w:snapToGrid w:val="0"/>
                <w:color w:val="auto"/>
                <w:kern w:val="0"/>
                <w:highlight w:val="none"/>
                <w:lang w:eastAsia="zh-CN"/>
              </w:rPr>
              <w:t>2025年百官街道安全生产检查社会化服务采购</w:t>
            </w:r>
          </w:p>
        </w:tc>
      </w:tr>
      <w:tr w14:paraId="603E36A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17" w:hRule="atLeast"/>
          <w:jc w:val="center"/>
        </w:trPr>
        <w:tc>
          <w:tcPr>
            <w:tcW w:w="648" w:type="dxa"/>
            <w:vAlign w:val="center"/>
          </w:tcPr>
          <w:p w14:paraId="7B7EA3CF">
            <w:pPr>
              <w:shd w:val="clear"/>
              <w:snapToGrid w:val="0"/>
              <w:jc w:val="center"/>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2</w:t>
            </w:r>
          </w:p>
        </w:tc>
        <w:tc>
          <w:tcPr>
            <w:tcW w:w="1800" w:type="dxa"/>
            <w:vAlign w:val="center"/>
          </w:tcPr>
          <w:p w14:paraId="2425EF1C">
            <w:pPr>
              <w:shd w:val="clear"/>
              <w:snapToGrid w:val="0"/>
              <w:jc w:val="center"/>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服务周期</w:t>
            </w:r>
          </w:p>
        </w:tc>
        <w:tc>
          <w:tcPr>
            <w:tcW w:w="6682" w:type="dxa"/>
            <w:vAlign w:val="center"/>
          </w:tcPr>
          <w:p w14:paraId="4E279516">
            <w:pPr>
              <w:shd w:val="clear"/>
              <w:ind w:firstLine="422" w:firstLineChars="200"/>
              <w:rPr>
                <w:rFonts w:hint="eastAsia" w:ascii="宋体" w:hAnsi="宋体" w:eastAsia="宋体" w:cs="宋体"/>
                <w:color w:val="auto"/>
                <w:highlight w:val="none"/>
              </w:rPr>
            </w:pPr>
            <w:r>
              <w:rPr>
                <w:rFonts w:hint="eastAsia" w:ascii="宋体" w:hAnsi="宋体" w:eastAsia="宋体" w:cs="宋体"/>
                <w:b/>
                <w:bCs/>
                <w:snapToGrid w:val="0"/>
                <w:color w:val="auto"/>
                <w:kern w:val="0"/>
                <w:highlight w:val="none"/>
              </w:rPr>
              <w:t>自合同签订之日起至合同履行完毕</w:t>
            </w:r>
          </w:p>
        </w:tc>
      </w:tr>
      <w:tr w14:paraId="72EE6AE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87" w:hRule="atLeast"/>
          <w:jc w:val="center"/>
        </w:trPr>
        <w:tc>
          <w:tcPr>
            <w:tcW w:w="648" w:type="dxa"/>
            <w:vAlign w:val="center"/>
          </w:tcPr>
          <w:p w14:paraId="02A97BD8">
            <w:pPr>
              <w:shd w:val="clear"/>
              <w:snapToGrid w:val="0"/>
              <w:jc w:val="center"/>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3</w:t>
            </w:r>
          </w:p>
        </w:tc>
        <w:tc>
          <w:tcPr>
            <w:tcW w:w="1800" w:type="dxa"/>
            <w:vAlign w:val="center"/>
          </w:tcPr>
          <w:p w14:paraId="24AB4AA5">
            <w:pPr>
              <w:shd w:val="clear"/>
              <w:snapToGrid w:val="0"/>
              <w:jc w:val="center"/>
              <w:rPr>
                <w:rFonts w:hint="eastAsia" w:ascii="宋体" w:hAnsi="宋体" w:eastAsia="宋体" w:cs="宋体"/>
                <w:b/>
                <w:bCs/>
                <w:snapToGrid w:val="0"/>
                <w:color w:val="auto"/>
                <w:kern w:val="0"/>
                <w:highlight w:val="none"/>
              </w:rPr>
            </w:pPr>
            <w:r>
              <w:rPr>
                <w:rFonts w:hint="eastAsia" w:ascii="宋体" w:hAnsi="宋体" w:eastAsia="宋体" w:cs="宋体"/>
                <w:b/>
                <w:bCs/>
                <w:snapToGrid w:val="0"/>
                <w:color w:val="auto"/>
                <w:kern w:val="0"/>
                <w:highlight w:val="none"/>
              </w:rPr>
              <w:t>最高限价</w:t>
            </w:r>
          </w:p>
        </w:tc>
        <w:tc>
          <w:tcPr>
            <w:tcW w:w="6682" w:type="dxa"/>
            <w:vAlign w:val="center"/>
          </w:tcPr>
          <w:p w14:paraId="7082EB89">
            <w:pPr>
              <w:shd w:val="clear"/>
              <w:tabs>
                <w:tab w:val="left" w:pos="1890"/>
              </w:tabs>
              <w:snapToGrid w:val="0"/>
              <w:ind w:firstLine="420" w:firstLineChars="200"/>
              <w:rPr>
                <w:rFonts w:hint="eastAsia" w:ascii="宋体" w:hAnsi="宋体" w:eastAsia="宋体" w:cs="宋体"/>
                <w:b/>
                <w:bCs/>
                <w:snapToGrid w:val="0"/>
                <w:color w:val="auto"/>
                <w:kern w:val="0"/>
                <w:highlight w:val="none"/>
              </w:rPr>
            </w:pPr>
            <w:r>
              <w:rPr>
                <w:rFonts w:hint="eastAsia" w:ascii="宋体" w:hAnsi="宋体" w:eastAsia="宋体" w:cs="宋体"/>
                <w:color w:val="auto"/>
                <w:highlight w:val="none"/>
              </w:rPr>
              <w:t>本项目最高限价人民币</w:t>
            </w:r>
            <w:r>
              <w:rPr>
                <w:rFonts w:hint="eastAsia" w:ascii="宋体" w:hAnsi="宋体" w:cs="宋体"/>
                <w:color w:val="auto"/>
                <w:highlight w:val="none"/>
                <w:u w:val="single"/>
                <w:lang w:val="en-US" w:eastAsia="zh-CN"/>
              </w:rPr>
              <w:t>88.8</w:t>
            </w:r>
            <w:r>
              <w:rPr>
                <w:rFonts w:hint="eastAsia" w:ascii="宋体" w:hAnsi="宋体" w:eastAsia="宋体" w:cs="宋体"/>
                <w:color w:val="auto"/>
                <w:highlight w:val="none"/>
              </w:rPr>
              <w:t>万元</w:t>
            </w:r>
          </w:p>
        </w:tc>
      </w:tr>
      <w:tr w14:paraId="1971C1D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vAlign w:val="center"/>
          </w:tcPr>
          <w:p w14:paraId="09C49415">
            <w:pPr>
              <w:shd w:val="clear"/>
              <w:snapToGrid w:val="0"/>
              <w:jc w:val="center"/>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 xml:space="preserve">                                                                                                   4</w:t>
            </w:r>
          </w:p>
        </w:tc>
        <w:tc>
          <w:tcPr>
            <w:tcW w:w="1800" w:type="dxa"/>
            <w:vAlign w:val="center"/>
          </w:tcPr>
          <w:p w14:paraId="75D36B9B">
            <w:pPr>
              <w:shd w:val="clear"/>
              <w:snapToGrid w:val="0"/>
              <w:jc w:val="center"/>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资格审查方式</w:t>
            </w:r>
          </w:p>
        </w:tc>
        <w:tc>
          <w:tcPr>
            <w:tcW w:w="6682" w:type="dxa"/>
            <w:vAlign w:val="center"/>
          </w:tcPr>
          <w:p w14:paraId="7A893FC7">
            <w:pPr>
              <w:shd w:val="clear"/>
              <w:snapToGrid w:val="0"/>
              <w:ind w:firstLine="420" w:firstLineChars="200"/>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资格审查是指开标后，磋商小组将依据法律法规和磋商文件的规定对供应商的资格进行审查。</w:t>
            </w:r>
          </w:p>
        </w:tc>
      </w:tr>
      <w:tr w14:paraId="52AB225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648" w:type="dxa"/>
            <w:vAlign w:val="center"/>
          </w:tcPr>
          <w:p w14:paraId="14F0000A">
            <w:pPr>
              <w:shd w:val="clear"/>
              <w:snapToGrid w:val="0"/>
              <w:jc w:val="center"/>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5</w:t>
            </w:r>
          </w:p>
        </w:tc>
        <w:tc>
          <w:tcPr>
            <w:tcW w:w="1800" w:type="dxa"/>
            <w:vAlign w:val="center"/>
          </w:tcPr>
          <w:p w14:paraId="6B4E86F4">
            <w:pPr>
              <w:shd w:val="clear"/>
              <w:snapToGrid w:val="0"/>
              <w:jc w:val="center"/>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踏勘现场</w:t>
            </w:r>
          </w:p>
        </w:tc>
        <w:tc>
          <w:tcPr>
            <w:tcW w:w="6682" w:type="dxa"/>
            <w:vAlign w:val="center"/>
          </w:tcPr>
          <w:p w14:paraId="273B4654">
            <w:pPr>
              <w:shd w:val="clear"/>
              <w:snapToGrid w:val="0"/>
              <w:ind w:firstLine="422" w:firstLineChars="200"/>
              <w:rPr>
                <w:rFonts w:hint="eastAsia" w:ascii="宋体" w:hAnsi="宋体" w:eastAsia="宋体" w:cs="宋体"/>
                <w:snapToGrid w:val="0"/>
                <w:color w:val="auto"/>
                <w:kern w:val="0"/>
                <w:highlight w:val="none"/>
              </w:rPr>
            </w:pPr>
            <w:r>
              <w:rPr>
                <w:rFonts w:hint="eastAsia" w:ascii="宋体" w:hAnsi="宋体" w:eastAsia="宋体" w:cs="宋体"/>
                <w:b/>
                <w:bCs/>
                <w:snapToGrid w:val="0"/>
                <w:color w:val="auto"/>
                <w:kern w:val="0"/>
                <w:highlight w:val="none"/>
              </w:rPr>
              <w:t>本项目不组织现场踏勘</w:t>
            </w:r>
          </w:p>
        </w:tc>
      </w:tr>
      <w:tr w14:paraId="2B04E05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vAlign w:val="center"/>
          </w:tcPr>
          <w:p w14:paraId="46917842">
            <w:pPr>
              <w:shd w:val="clear"/>
              <w:snapToGrid w:val="0"/>
              <w:jc w:val="center"/>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6</w:t>
            </w:r>
          </w:p>
        </w:tc>
        <w:tc>
          <w:tcPr>
            <w:tcW w:w="1800" w:type="dxa"/>
            <w:vAlign w:val="center"/>
          </w:tcPr>
          <w:p w14:paraId="69AB5481">
            <w:pPr>
              <w:shd w:val="clear"/>
              <w:snapToGrid w:val="0"/>
              <w:jc w:val="center"/>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询问</w:t>
            </w:r>
          </w:p>
        </w:tc>
        <w:tc>
          <w:tcPr>
            <w:tcW w:w="6682" w:type="dxa"/>
            <w:vAlign w:val="center"/>
          </w:tcPr>
          <w:p w14:paraId="319249D1">
            <w:pPr>
              <w:shd w:val="clear"/>
              <w:snapToGrid w:val="0"/>
              <w:ind w:firstLine="420" w:firstLineChars="200"/>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供应商对政府采购活动事项有疑问的，可以向采购机构提出询问，采购人或者招标代理机构应当在3个工作日内对供应商依法提出的询问作出答复，但答复的内容不得涉及商业秘密。</w:t>
            </w:r>
          </w:p>
        </w:tc>
      </w:tr>
      <w:tr w14:paraId="3BE00C0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vAlign w:val="center"/>
          </w:tcPr>
          <w:p w14:paraId="6FF23925">
            <w:pPr>
              <w:shd w:val="clear"/>
              <w:snapToGrid w:val="0"/>
              <w:jc w:val="center"/>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7</w:t>
            </w:r>
          </w:p>
        </w:tc>
        <w:tc>
          <w:tcPr>
            <w:tcW w:w="1800" w:type="dxa"/>
            <w:vAlign w:val="center"/>
          </w:tcPr>
          <w:p w14:paraId="26C0DBEE">
            <w:pPr>
              <w:shd w:val="clear"/>
              <w:snapToGrid w:val="0"/>
              <w:jc w:val="center"/>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磋商文件的澄清与修改</w:t>
            </w:r>
          </w:p>
        </w:tc>
        <w:tc>
          <w:tcPr>
            <w:tcW w:w="6682" w:type="dxa"/>
            <w:vAlign w:val="center"/>
          </w:tcPr>
          <w:p w14:paraId="2A66C8A7">
            <w:pPr>
              <w:shd w:val="clear"/>
              <w:snapToGrid w:val="0"/>
              <w:ind w:firstLine="420" w:firstLineChars="200"/>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采购单位可以对已发出的磋商文件进行必要澄清或者修改，澄清或者修改的内容可能影响响应文件编制的，应当在提交首次响应文件截止时间至少5日前，在磋商公告发布的媒体上发布更正公告。本项目磋商文件和补充（答疑、澄清）、修改文件等请自行登录浙江政府采购网或绍兴市上虞区公共资源交易中心网站查看。</w:t>
            </w:r>
          </w:p>
        </w:tc>
      </w:tr>
      <w:tr w14:paraId="1CF603A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vAlign w:val="center"/>
          </w:tcPr>
          <w:p w14:paraId="0A7A501A">
            <w:pPr>
              <w:shd w:val="clear"/>
              <w:snapToGrid w:val="0"/>
              <w:jc w:val="center"/>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8</w:t>
            </w:r>
          </w:p>
        </w:tc>
        <w:tc>
          <w:tcPr>
            <w:tcW w:w="1800" w:type="dxa"/>
            <w:vAlign w:val="center"/>
          </w:tcPr>
          <w:p w14:paraId="4E3EFBB6">
            <w:pPr>
              <w:shd w:val="clear"/>
              <w:snapToGrid w:val="0"/>
              <w:jc w:val="center"/>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磋商响应文件组成</w:t>
            </w:r>
          </w:p>
        </w:tc>
        <w:tc>
          <w:tcPr>
            <w:tcW w:w="6682" w:type="dxa"/>
            <w:vAlign w:val="center"/>
          </w:tcPr>
          <w:p w14:paraId="7846AA60">
            <w:pPr>
              <w:shd w:val="clear"/>
              <w:snapToGrid w:val="0"/>
              <w:ind w:firstLine="420" w:firstLineChars="200"/>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供应商向采购人递交的响应文件由资格文件、商务技术文件、报价文件三部分组成。</w:t>
            </w:r>
          </w:p>
        </w:tc>
      </w:tr>
      <w:tr w14:paraId="0AE7555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2" w:hRule="atLeast"/>
          <w:jc w:val="center"/>
        </w:trPr>
        <w:tc>
          <w:tcPr>
            <w:tcW w:w="648" w:type="dxa"/>
            <w:vAlign w:val="center"/>
          </w:tcPr>
          <w:p w14:paraId="5BF27DDC">
            <w:pPr>
              <w:shd w:val="clear"/>
              <w:snapToGrid w:val="0"/>
              <w:jc w:val="center"/>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9</w:t>
            </w:r>
          </w:p>
        </w:tc>
        <w:tc>
          <w:tcPr>
            <w:tcW w:w="1800" w:type="dxa"/>
            <w:vAlign w:val="center"/>
          </w:tcPr>
          <w:p w14:paraId="6228DE4C">
            <w:pPr>
              <w:shd w:val="clear"/>
              <w:snapToGrid w:val="0"/>
              <w:jc w:val="center"/>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评标办法</w:t>
            </w:r>
          </w:p>
        </w:tc>
        <w:tc>
          <w:tcPr>
            <w:tcW w:w="6682" w:type="dxa"/>
            <w:vAlign w:val="center"/>
          </w:tcPr>
          <w:p w14:paraId="28CF1FFF">
            <w:pPr>
              <w:shd w:val="clear"/>
              <w:snapToGrid w:val="0"/>
              <w:ind w:firstLine="420" w:firstLineChars="200"/>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综合评分法</w:t>
            </w:r>
          </w:p>
        </w:tc>
      </w:tr>
      <w:tr w14:paraId="3B14E3C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vAlign w:val="center"/>
          </w:tcPr>
          <w:p w14:paraId="7B4F80C9">
            <w:pPr>
              <w:shd w:val="clear"/>
              <w:snapToGrid w:val="0"/>
              <w:jc w:val="center"/>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10</w:t>
            </w:r>
          </w:p>
        </w:tc>
        <w:tc>
          <w:tcPr>
            <w:tcW w:w="1800" w:type="dxa"/>
            <w:vAlign w:val="center"/>
          </w:tcPr>
          <w:p w14:paraId="75331744">
            <w:pPr>
              <w:shd w:val="clear"/>
              <w:snapToGrid w:val="0"/>
              <w:jc w:val="center"/>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磋商响应文件递交地址及截止时间</w:t>
            </w:r>
          </w:p>
        </w:tc>
        <w:tc>
          <w:tcPr>
            <w:tcW w:w="6682" w:type="dxa"/>
            <w:vAlign w:val="center"/>
          </w:tcPr>
          <w:p w14:paraId="043DCF92">
            <w:pPr>
              <w:shd w:val="clear"/>
              <w:snapToGrid w:val="0"/>
              <w:ind w:firstLine="420" w:firstLineChars="200"/>
              <w:rPr>
                <w:rFonts w:hint="eastAsia" w:ascii="宋体" w:hAnsi="宋体" w:eastAsia="宋体" w:cs="宋体"/>
                <w:color w:val="auto"/>
                <w:kern w:val="0"/>
                <w:highlight w:val="none"/>
              </w:rPr>
            </w:pPr>
            <w:r>
              <w:rPr>
                <w:rFonts w:hint="eastAsia" w:ascii="宋体" w:hAnsi="宋体" w:eastAsia="宋体" w:cs="宋体"/>
                <w:snapToGrid w:val="0"/>
                <w:color w:val="auto"/>
                <w:kern w:val="0"/>
                <w:highlight w:val="none"/>
              </w:rPr>
              <w:t>详见磋商公告</w:t>
            </w:r>
          </w:p>
        </w:tc>
      </w:tr>
      <w:tr w14:paraId="5684D28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vAlign w:val="center"/>
          </w:tcPr>
          <w:p w14:paraId="39B59AF3">
            <w:pPr>
              <w:shd w:val="clear"/>
              <w:snapToGrid w:val="0"/>
              <w:jc w:val="center"/>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11</w:t>
            </w:r>
          </w:p>
        </w:tc>
        <w:tc>
          <w:tcPr>
            <w:tcW w:w="1800" w:type="dxa"/>
            <w:vAlign w:val="center"/>
          </w:tcPr>
          <w:p w14:paraId="33762FB5">
            <w:pPr>
              <w:shd w:val="clear"/>
              <w:snapToGrid w:val="0"/>
              <w:jc w:val="center"/>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开标时间、地点</w:t>
            </w:r>
          </w:p>
        </w:tc>
        <w:tc>
          <w:tcPr>
            <w:tcW w:w="6682" w:type="dxa"/>
            <w:vAlign w:val="center"/>
          </w:tcPr>
          <w:p w14:paraId="55FA4446">
            <w:pPr>
              <w:shd w:val="clear"/>
              <w:snapToGrid w:val="0"/>
              <w:ind w:firstLine="420" w:firstLineChars="200"/>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开标时间：</w:t>
            </w:r>
            <w:r>
              <w:rPr>
                <w:rFonts w:hint="eastAsia" w:ascii="宋体" w:hAnsi="宋体" w:eastAsia="宋体" w:cs="宋体"/>
                <w:color w:val="auto"/>
                <w:kern w:val="0"/>
                <w:highlight w:val="none"/>
              </w:rPr>
              <w:t>详见磋商公告</w:t>
            </w:r>
          </w:p>
          <w:p w14:paraId="3B05B6B0">
            <w:pPr>
              <w:shd w:val="clear"/>
              <w:snapToGrid w:val="0"/>
              <w:ind w:firstLine="420" w:firstLineChars="200"/>
              <w:rPr>
                <w:rFonts w:hint="eastAsia" w:ascii="宋体" w:hAnsi="宋体" w:eastAsia="宋体" w:cs="宋体"/>
                <w:color w:val="auto"/>
                <w:kern w:val="0"/>
                <w:highlight w:val="none"/>
              </w:rPr>
            </w:pPr>
            <w:r>
              <w:rPr>
                <w:rFonts w:hint="eastAsia" w:ascii="宋体" w:hAnsi="宋体" w:eastAsia="宋体" w:cs="宋体"/>
                <w:snapToGrid w:val="0"/>
                <w:color w:val="auto"/>
                <w:kern w:val="0"/>
                <w:highlight w:val="none"/>
              </w:rPr>
              <w:t>开标地点：</w:t>
            </w:r>
            <w:r>
              <w:rPr>
                <w:rFonts w:hint="eastAsia" w:ascii="宋体" w:hAnsi="宋体" w:eastAsia="宋体" w:cs="宋体"/>
                <w:color w:val="auto"/>
                <w:kern w:val="0"/>
                <w:highlight w:val="none"/>
              </w:rPr>
              <w:t>详见磋商公告</w:t>
            </w:r>
          </w:p>
        </w:tc>
      </w:tr>
      <w:tr w14:paraId="51AE344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vAlign w:val="center"/>
          </w:tcPr>
          <w:p w14:paraId="7D60F4EE">
            <w:pPr>
              <w:shd w:val="clear"/>
              <w:snapToGrid w:val="0"/>
              <w:jc w:val="center"/>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12</w:t>
            </w:r>
          </w:p>
        </w:tc>
        <w:tc>
          <w:tcPr>
            <w:tcW w:w="1800" w:type="dxa"/>
            <w:vAlign w:val="center"/>
          </w:tcPr>
          <w:p w14:paraId="7C20D57E">
            <w:pPr>
              <w:shd w:val="clear"/>
              <w:snapToGrid w:val="0"/>
              <w:jc w:val="center"/>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磋商响应文件有效期</w:t>
            </w:r>
          </w:p>
        </w:tc>
        <w:tc>
          <w:tcPr>
            <w:tcW w:w="6682" w:type="dxa"/>
            <w:vAlign w:val="center"/>
          </w:tcPr>
          <w:p w14:paraId="27A4A075">
            <w:pPr>
              <w:shd w:val="clear"/>
              <w:snapToGrid w:val="0"/>
              <w:ind w:firstLine="420" w:firstLineChars="200"/>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响应文件有效期为从提交响应文件的截止之日起90天。供应商的响应文件中承诺的响应文件有效期少于磋商文件中载明的响应文件有效期的，磋商无效。</w:t>
            </w:r>
          </w:p>
        </w:tc>
      </w:tr>
      <w:tr w14:paraId="349D1FB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vAlign w:val="center"/>
          </w:tcPr>
          <w:p w14:paraId="03501D96">
            <w:pPr>
              <w:shd w:val="clear"/>
              <w:snapToGrid w:val="0"/>
              <w:jc w:val="center"/>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13</w:t>
            </w:r>
          </w:p>
        </w:tc>
        <w:tc>
          <w:tcPr>
            <w:tcW w:w="1800" w:type="dxa"/>
            <w:vAlign w:val="center"/>
          </w:tcPr>
          <w:p w14:paraId="66F972CF">
            <w:pPr>
              <w:shd w:val="clear"/>
              <w:snapToGrid w:val="0"/>
              <w:spacing w:line="360" w:lineRule="exact"/>
              <w:jc w:val="center"/>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履约保证金</w:t>
            </w:r>
          </w:p>
        </w:tc>
        <w:tc>
          <w:tcPr>
            <w:tcW w:w="6682" w:type="dxa"/>
            <w:vAlign w:val="center"/>
          </w:tcPr>
          <w:p w14:paraId="65F25747">
            <w:pPr>
              <w:pStyle w:val="17"/>
              <w:shd w:val="clear"/>
              <w:snapToGrid w:val="0"/>
              <w:ind w:firstLine="420" w:firstLineChars="200"/>
              <w:rPr>
                <w:rFonts w:hint="eastAsia" w:ascii="宋体" w:hAnsi="宋体" w:eastAsia="宋体" w:cs="宋体"/>
                <w:color w:val="auto"/>
                <w:kern w:val="0"/>
                <w:highlight w:val="none"/>
              </w:rPr>
            </w:pPr>
            <w:r>
              <w:rPr>
                <w:rFonts w:hint="eastAsia" w:ascii="宋体" w:hAnsi="宋体" w:eastAsia="宋体" w:cs="宋体"/>
                <w:snapToGrid w:val="0"/>
                <w:color w:val="auto"/>
                <w:kern w:val="0"/>
                <w:highlight w:val="none"/>
              </w:rPr>
              <w:t>本项目不设置履约保证金。</w:t>
            </w:r>
          </w:p>
        </w:tc>
      </w:tr>
      <w:tr w14:paraId="09384CA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vAlign w:val="center"/>
          </w:tcPr>
          <w:p w14:paraId="125B2B0A">
            <w:pPr>
              <w:shd w:val="clear"/>
              <w:snapToGrid w:val="0"/>
              <w:jc w:val="center"/>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14</w:t>
            </w:r>
          </w:p>
        </w:tc>
        <w:tc>
          <w:tcPr>
            <w:tcW w:w="1800" w:type="dxa"/>
            <w:vAlign w:val="center"/>
          </w:tcPr>
          <w:p w14:paraId="08E30D91">
            <w:pPr>
              <w:shd w:val="clear"/>
              <w:snapToGrid w:val="0"/>
              <w:jc w:val="center"/>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磋商公告及成交结果公告发布媒体</w:t>
            </w:r>
          </w:p>
        </w:tc>
        <w:tc>
          <w:tcPr>
            <w:tcW w:w="6682" w:type="dxa"/>
            <w:vAlign w:val="center"/>
          </w:tcPr>
          <w:p w14:paraId="6933640A">
            <w:pPr>
              <w:pStyle w:val="17"/>
              <w:shd w:val="clear"/>
              <w:snapToGrid w:val="0"/>
              <w:ind w:firstLine="420" w:firstLineChars="200"/>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浙江省政府采购网、 绍兴市上虞区公共资源交易中心网站</w:t>
            </w:r>
          </w:p>
        </w:tc>
      </w:tr>
      <w:tr w14:paraId="3B674C2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vAlign w:val="center"/>
          </w:tcPr>
          <w:p w14:paraId="587CB9B4">
            <w:pPr>
              <w:shd w:val="clear"/>
              <w:snapToGrid w:val="0"/>
              <w:jc w:val="center"/>
              <w:rPr>
                <w:rFonts w:hint="eastAsia" w:ascii="宋体" w:hAnsi="宋体" w:eastAsia="宋体" w:cs="宋体"/>
                <w:color w:val="auto"/>
                <w:highlight w:val="none"/>
              </w:rPr>
            </w:pPr>
            <w:r>
              <w:rPr>
                <w:rFonts w:hint="eastAsia" w:ascii="宋体" w:hAnsi="宋体" w:eastAsia="宋体" w:cs="宋体"/>
                <w:color w:val="auto"/>
                <w:highlight w:val="none"/>
              </w:rPr>
              <w:t>15</w:t>
            </w:r>
          </w:p>
        </w:tc>
        <w:tc>
          <w:tcPr>
            <w:tcW w:w="1800" w:type="dxa"/>
            <w:vAlign w:val="center"/>
          </w:tcPr>
          <w:p w14:paraId="5B9D0D99">
            <w:pPr>
              <w:shd w:val="clear"/>
              <w:snapToGrid w:val="0"/>
              <w:jc w:val="center"/>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质疑</w:t>
            </w:r>
          </w:p>
        </w:tc>
        <w:tc>
          <w:tcPr>
            <w:tcW w:w="6682" w:type="dxa"/>
            <w:vAlign w:val="center"/>
          </w:tcPr>
          <w:p w14:paraId="5657E491">
            <w:pPr>
              <w:shd w:val="clear"/>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根据《中华人民共和国政府采购法》第五十二条、《中华人民共和国政府采购法实施条例》第五十三条、《浙江省政府采购供应商质疑处理办法》的规定：</w:t>
            </w:r>
          </w:p>
          <w:p w14:paraId="4A23C3D2">
            <w:pPr>
              <w:shd w:val="clear"/>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供应商在法定质疑期内应一次性提出针对同一采购程序环节的质疑。</w:t>
            </w:r>
          </w:p>
          <w:p w14:paraId="70A314F8">
            <w:pPr>
              <w:shd w:val="clear"/>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供应商如认为采购过程使自身的合法权益受到损害的，应于各采购程序环节结束之日起七个工作日内以书面形式向采购机构提出质疑；</w:t>
            </w:r>
          </w:p>
          <w:p w14:paraId="4305E4BB">
            <w:pPr>
              <w:shd w:val="clear"/>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供应商如认为中标结果使自身的合法权益受到损害的，应于中标或者成交结果公告期限届满之日起七个工作日内以书面形式向采购机构提出质疑</w:t>
            </w:r>
            <w:r>
              <w:rPr>
                <w:rFonts w:hint="eastAsia" w:ascii="宋体" w:hAnsi="宋体" w:eastAsia="宋体" w:cs="宋体"/>
                <w:snapToGrid w:val="0"/>
                <w:color w:val="auto"/>
                <w:kern w:val="0"/>
                <w:highlight w:val="none"/>
              </w:rPr>
              <w:t>。</w:t>
            </w:r>
            <w:r>
              <w:rPr>
                <w:rFonts w:hint="eastAsia" w:ascii="宋体" w:hAnsi="宋体" w:eastAsia="宋体" w:cs="宋体"/>
                <w:color w:val="auto"/>
                <w:highlight w:val="none"/>
              </w:rPr>
              <w:t>质疑函范本请到浙江政府采购网下载专区下载。</w:t>
            </w:r>
          </w:p>
        </w:tc>
      </w:tr>
      <w:tr w14:paraId="0FAE549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vAlign w:val="center"/>
          </w:tcPr>
          <w:p w14:paraId="210EF945">
            <w:pPr>
              <w:shd w:val="clear"/>
              <w:snapToGrid w:val="0"/>
              <w:jc w:val="center"/>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16</w:t>
            </w:r>
          </w:p>
        </w:tc>
        <w:tc>
          <w:tcPr>
            <w:tcW w:w="1800" w:type="dxa"/>
            <w:vAlign w:val="center"/>
          </w:tcPr>
          <w:p w14:paraId="2F167699">
            <w:pPr>
              <w:shd w:val="clear"/>
              <w:snapToGrid w:val="0"/>
              <w:jc w:val="center"/>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投诉</w:t>
            </w:r>
          </w:p>
        </w:tc>
        <w:tc>
          <w:tcPr>
            <w:tcW w:w="6682" w:type="dxa"/>
            <w:vAlign w:val="center"/>
          </w:tcPr>
          <w:p w14:paraId="4F04A70E">
            <w:pPr>
              <w:shd w:val="clear"/>
              <w:snapToGrid w:val="0"/>
              <w:ind w:firstLine="420" w:firstLineChars="200"/>
              <w:jc w:val="left"/>
              <w:rPr>
                <w:rFonts w:hint="eastAsia" w:ascii="宋体" w:hAnsi="宋体" w:eastAsia="宋体" w:cs="宋体"/>
                <w:snapToGrid w:val="0"/>
                <w:color w:val="auto"/>
                <w:kern w:val="0"/>
                <w:highlight w:val="none"/>
                <w:lang w:eastAsia="zh-CN"/>
              </w:rPr>
            </w:pPr>
            <w:r>
              <w:rPr>
                <w:rFonts w:hint="eastAsia" w:ascii="宋体" w:hAnsi="宋体" w:eastAsia="宋体" w:cs="宋体"/>
                <w:snapToGrid w:val="0"/>
                <w:color w:val="auto"/>
                <w:kern w:val="0"/>
                <w:highlight w:val="none"/>
              </w:rPr>
              <w:t>根据《</w:t>
            </w:r>
            <w:r>
              <w:rPr>
                <w:rFonts w:hint="eastAsia" w:ascii="宋体" w:hAnsi="宋体" w:eastAsia="宋体" w:cs="宋体"/>
                <w:color w:val="auto"/>
                <w:highlight w:val="none"/>
              </w:rPr>
              <w:t>中华人民共和国政府采购法</w:t>
            </w:r>
            <w:r>
              <w:rPr>
                <w:rFonts w:hint="eastAsia" w:ascii="宋体" w:hAnsi="宋体" w:eastAsia="宋体" w:cs="宋体"/>
                <w:snapToGrid w:val="0"/>
                <w:color w:val="auto"/>
                <w:kern w:val="0"/>
                <w:highlight w:val="none"/>
              </w:rPr>
              <w:t>》第五十五条的规定，质疑供应商对采购人、招标代理机构的答复不满意或者采购人、招标代理机构未在规定的时间内作出答复的，可以在答复期满后十五个工作日内向同级政府采购监督管理部门投诉。</w:t>
            </w:r>
            <w:r>
              <w:rPr>
                <w:rFonts w:hint="eastAsia" w:ascii="宋体" w:hAnsi="宋体" w:eastAsia="宋体" w:cs="宋体"/>
                <w:color w:val="auto"/>
                <w:highlight w:val="none"/>
              </w:rPr>
              <w:t>投诉书范本请到浙江政府采购网下载专区下载</w:t>
            </w:r>
            <w:r>
              <w:rPr>
                <w:rFonts w:hint="eastAsia" w:ascii="宋体" w:hAnsi="宋体" w:eastAsia="宋体" w:cs="宋体"/>
                <w:color w:val="auto"/>
                <w:highlight w:val="none"/>
                <w:lang w:eastAsia="zh-CN"/>
              </w:rPr>
              <w:t>。</w:t>
            </w:r>
          </w:p>
        </w:tc>
      </w:tr>
      <w:tr w14:paraId="7C61EC0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vAlign w:val="center"/>
          </w:tcPr>
          <w:p w14:paraId="080766F6">
            <w:pPr>
              <w:shd w:val="clear"/>
              <w:snapToGrid w:val="0"/>
              <w:jc w:val="center"/>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17</w:t>
            </w:r>
          </w:p>
        </w:tc>
        <w:tc>
          <w:tcPr>
            <w:tcW w:w="1800" w:type="dxa"/>
            <w:vAlign w:val="center"/>
          </w:tcPr>
          <w:p w14:paraId="4224CB57">
            <w:pPr>
              <w:shd w:val="clear"/>
              <w:snapToGrid w:val="0"/>
              <w:jc w:val="center"/>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特别说明</w:t>
            </w:r>
          </w:p>
        </w:tc>
        <w:tc>
          <w:tcPr>
            <w:tcW w:w="6682" w:type="dxa"/>
            <w:vAlign w:val="center"/>
          </w:tcPr>
          <w:p w14:paraId="692DADFA">
            <w:pPr>
              <w:pStyle w:val="17"/>
              <w:shd w:val="clear"/>
              <w:snapToGrid w:val="0"/>
              <w:ind w:firstLine="420" w:firstLineChars="200"/>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供应商应无条件</w:t>
            </w:r>
            <w:r>
              <w:rPr>
                <w:rFonts w:hint="eastAsia" w:ascii="宋体" w:hAnsi="宋体" w:eastAsia="宋体" w:cs="宋体"/>
                <w:color w:val="auto"/>
                <w:kern w:val="0"/>
                <w:highlight w:val="none"/>
                <w:lang w:eastAsia="zh-CN"/>
              </w:rPr>
              <w:t>地</w:t>
            </w:r>
            <w:r>
              <w:rPr>
                <w:rFonts w:hint="eastAsia" w:ascii="宋体" w:hAnsi="宋体" w:eastAsia="宋体" w:cs="宋体"/>
                <w:color w:val="auto"/>
                <w:kern w:val="0"/>
                <w:highlight w:val="none"/>
              </w:rPr>
              <w:t>、认真仔细</w:t>
            </w:r>
            <w:r>
              <w:rPr>
                <w:rFonts w:hint="eastAsia" w:ascii="宋体" w:hAnsi="宋体" w:eastAsia="宋体" w:cs="宋体"/>
                <w:color w:val="auto"/>
                <w:kern w:val="0"/>
                <w:highlight w:val="none"/>
                <w:lang w:eastAsia="zh-CN"/>
              </w:rPr>
              <w:t>地</w:t>
            </w:r>
            <w:r>
              <w:rPr>
                <w:rFonts w:hint="eastAsia" w:ascii="宋体" w:hAnsi="宋体" w:eastAsia="宋体" w:cs="宋体"/>
                <w:color w:val="auto"/>
                <w:kern w:val="0"/>
                <w:highlight w:val="none"/>
              </w:rPr>
              <w:t>阅读本磋商文件及其澄清答疑、修改答复的补充文件，严格按照磋商文件及补充文件的规定和要求编制响应文件。在编制响应文件过程中，应严格遵循实事求是、诚信投标的原则，针对磋商文件中的采购需求、合同条款等各项内容进行确认，如有偏离，应如实填写响应偏离表。</w:t>
            </w:r>
          </w:p>
          <w:p w14:paraId="3A1BE037">
            <w:pPr>
              <w:pStyle w:val="17"/>
              <w:shd w:val="clear"/>
              <w:snapToGrid w:val="0"/>
              <w:ind w:firstLine="420" w:firstLineChars="200"/>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该项目结果公告期间，供应商不得通过非正当途径、更不得通过非正当手段获取法律法规规定评标委员会（包括其他相关人员）应当保密的相关内容。即便由此获得资料并作为向采购人或招标代理机构或监督管理部门提出异（质）疑或投诉或法院起诉的理由，均属于非法索取的依据。</w:t>
            </w:r>
          </w:p>
          <w:p w14:paraId="7CF0FCE9">
            <w:pPr>
              <w:pStyle w:val="17"/>
              <w:shd w:val="clear"/>
              <w:snapToGrid w:val="0"/>
              <w:ind w:firstLine="420" w:firstLineChars="200"/>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质疑、投诉人未按前</w:t>
            </w:r>
            <w:r>
              <w:rPr>
                <w:rFonts w:hint="eastAsia" w:hAnsi="宋体" w:cs="宋体"/>
                <w:color w:val="auto"/>
                <w:kern w:val="0"/>
                <w:highlight w:val="none"/>
                <w:lang w:eastAsia="zh-CN"/>
              </w:rPr>
              <w:t>例</w:t>
            </w:r>
            <w:r>
              <w:rPr>
                <w:rFonts w:hint="eastAsia" w:ascii="宋体" w:hAnsi="宋体" w:eastAsia="宋体" w:cs="宋体"/>
                <w:color w:val="auto"/>
                <w:kern w:val="0"/>
                <w:highlight w:val="none"/>
              </w:rPr>
              <w:t>进行质疑、投诉（申诉），均属于扰乱政府采购市场不良行为。</w:t>
            </w:r>
          </w:p>
          <w:p w14:paraId="5372B719">
            <w:pPr>
              <w:pStyle w:val="17"/>
              <w:shd w:val="clear"/>
              <w:snapToGrid w:val="0"/>
              <w:ind w:firstLine="420" w:firstLineChars="200"/>
              <w:jc w:val="left"/>
              <w:rPr>
                <w:rFonts w:hint="eastAsia" w:ascii="宋体" w:hAnsi="宋体" w:eastAsia="宋体" w:cs="宋体"/>
                <w:b/>
                <w:bCs/>
                <w:color w:val="auto"/>
                <w:kern w:val="0"/>
                <w:highlight w:val="none"/>
              </w:rPr>
            </w:pPr>
            <w:r>
              <w:rPr>
                <w:rFonts w:hint="eastAsia" w:ascii="宋体" w:hAnsi="宋体" w:eastAsia="宋体" w:cs="宋体"/>
                <w:color w:val="auto"/>
                <w:kern w:val="0"/>
                <w:highlight w:val="none"/>
              </w:rPr>
              <w:t>磋商文件中凡标注“</w:t>
            </w:r>
            <w:r>
              <w:rPr>
                <w:rFonts w:hint="eastAsia" w:ascii="宋体" w:hAnsi="宋体" w:eastAsia="宋体" w:cs="宋体"/>
                <w:color w:val="auto"/>
                <w:highlight w:val="none"/>
              </w:rPr>
              <w:t>★</w:t>
            </w:r>
            <w:r>
              <w:rPr>
                <w:rFonts w:hint="eastAsia" w:ascii="宋体" w:hAnsi="宋体" w:eastAsia="宋体" w:cs="宋体"/>
                <w:color w:val="auto"/>
                <w:kern w:val="0"/>
                <w:highlight w:val="none"/>
              </w:rPr>
              <w:t>”的条款均为实质性要求，不响应的响应文件将作无效标处理。</w:t>
            </w:r>
          </w:p>
        </w:tc>
      </w:tr>
      <w:tr w14:paraId="7C0FAFC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29" w:hRule="atLeast"/>
          <w:jc w:val="center"/>
        </w:trPr>
        <w:tc>
          <w:tcPr>
            <w:tcW w:w="648" w:type="dxa"/>
            <w:vAlign w:val="center"/>
          </w:tcPr>
          <w:p w14:paraId="68293EFC">
            <w:pPr>
              <w:shd w:val="clear"/>
              <w:snapToGrid w:val="0"/>
              <w:jc w:val="center"/>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18</w:t>
            </w:r>
          </w:p>
        </w:tc>
        <w:tc>
          <w:tcPr>
            <w:tcW w:w="1800" w:type="dxa"/>
            <w:vAlign w:val="center"/>
          </w:tcPr>
          <w:p w14:paraId="349B2B48">
            <w:pPr>
              <w:shd w:val="clear"/>
              <w:snapToGrid w:val="0"/>
              <w:jc w:val="center"/>
              <w:rPr>
                <w:rFonts w:hint="eastAsia" w:ascii="宋体" w:hAnsi="宋体" w:eastAsia="宋体" w:cs="宋体"/>
                <w:color w:val="auto"/>
                <w:highlight w:val="none"/>
              </w:rPr>
            </w:pPr>
            <w:r>
              <w:rPr>
                <w:rFonts w:hint="eastAsia" w:ascii="宋体" w:hAnsi="宋体" w:eastAsia="宋体" w:cs="宋体"/>
                <w:color w:val="auto"/>
                <w:highlight w:val="none"/>
              </w:rPr>
              <w:t>支</w:t>
            </w:r>
          </w:p>
          <w:p w14:paraId="551939E4">
            <w:pPr>
              <w:shd w:val="clear"/>
              <w:snapToGrid w:val="0"/>
              <w:jc w:val="center"/>
              <w:rPr>
                <w:rFonts w:hint="eastAsia" w:ascii="宋体" w:hAnsi="宋体" w:eastAsia="宋体" w:cs="宋体"/>
                <w:color w:val="auto"/>
                <w:highlight w:val="none"/>
              </w:rPr>
            </w:pPr>
            <w:r>
              <w:rPr>
                <w:rFonts w:hint="eastAsia" w:ascii="宋体" w:hAnsi="宋体" w:eastAsia="宋体" w:cs="宋体"/>
                <w:color w:val="auto"/>
                <w:highlight w:val="none"/>
              </w:rPr>
              <w:t>持</w:t>
            </w:r>
          </w:p>
          <w:p w14:paraId="0C149BFF">
            <w:pPr>
              <w:shd w:val="clear"/>
              <w:snapToGrid w:val="0"/>
              <w:jc w:val="center"/>
              <w:rPr>
                <w:rFonts w:hint="eastAsia" w:ascii="宋体" w:hAnsi="宋体" w:eastAsia="宋体" w:cs="宋体"/>
                <w:color w:val="auto"/>
                <w:highlight w:val="none"/>
              </w:rPr>
            </w:pPr>
            <w:r>
              <w:rPr>
                <w:rFonts w:hint="eastAsia" w:ascii="宋体" w:hAnsi="宋体" w:eastAsia="宋体" w:cs="宋体"/>
                <w:color w:val="auto"/>
                <w:highlight w:val="none"/>
              </w:rPr>
              <w:t>中</w:t>
            </w:r>
          </w:p>
          <w:p w14:paraId="6BE5A969">
            <w:pPr>
              <w:shd w:val="clear"/>
              <w:snapToGrid w:val="0"/>
              <w:jc w:val="center"/>
              <w:rPr>
                <w:rFonts w:hint="eastAsia" w:ascii="宋体" w:hAnsi="宋体" w:eastAsia="宋体" w:cs="宋体"/>
                <w:color w:val="auto"/>
                <w:highlight w:val="none"/>
              </w:rPr>
            </w:pPr>
            <w:r>
              <w:rPr>
                <w:rFonts w:hint="eastAsia" w:ascii="宋体" w:hAnsi="宋体" w:eastAsia="宋体" w:cs="宋体"/>
                <w:color w:val="auto"/>
                <w:highlight w:val="none"/>
              </w:rPr>
              <w:t>小</w:t>
            </w:r>
          </w:p>
          <w:p w14:paraId="20FC0485">
            <w:pPr>
              <w:shd w:val="clear"/>
              <w:snapToGrid w:val="0"/>
              <w:jc w:val="center"/>
              <w:rPr>
                <w:rFonts w:hint="eastAsia" w:ascii="宋体" w:hAnsi="宋体" w:eastAsia="宋体" w:cs="宋体"/>
                <w:color w:val="auto"/>
                <w:highlight w:val="none"/>
              </w:rPr>
            </w:pPr>
            <w:r>
              <w:rPr>
                <w:rFonts w:hint="eastAsia" w:ascii="宋体" w:hAnsi="宋体" w:eastAsia="宋体" w:cs="宋体"/>
                <w:color w:val="auto"/>
                <w:highlight w:val="none"/>
              </w:rPr>
              <w:t>企</w:t>
            </w:r>
          </w:p>
          <w:p w14:paraId="4D9720F2">
            <w:pPr>
              <w:shd w:val="clear"/>
              <w:snapToGrid w:val="0"/>
              <w:jc w:val="center"/>
              <w:rPr>
                <w:rFonts w:hint="eastAsia" w:ascii="宋体" w:hAnsi="宋体" w:eastAsia="宋体" w:cs="宋体"/>
                <w:color w:val="auto"/>
                <w:highlight w:val="none"/>
              </w:rPr>
            </w:pPr>
            <w:r>
              <w:rPr>
                <w:rFonts w:hint="eastAsia" w:ascii="宋体" w:hAnsi="宋体" w:eastAsia="宋体" w:cs="宋体"/>
                <w:color w:val="auto"/>
                <w:highlight w:val="none"/>
              </w:rPr>
              <w:t>业</w:t>
            </w:r>
          </w:p>
          <w:p w14:paraId="48EA2677">
            <w:pPr>
              <w:shd w:val="clear"/>
              <w:snapToGrid w:val="0"/>
              <w:jc w:val="center"/>
              <w:rPr>
                <w:rFonts w:hint="eastAsia" w:ascii="宋体" w:hAnsi="宋体" w:eastAsia="宋体" w:cs="宋体"/>
                <w:color w:val="auto"/>
                <w:highlight w:val="none"/>
              </w:rPr>
            </w:pPr>
          </w:p>
        </w:tc>
        <w:tc>
          <w:tcPr>
            <w:tcW w:w="6682" w:type="dxa"/>
            <w:vAlign w:val="center"/>
          </w:tcPr>
          <w:p w14:paraId="6688BF2A">
            <w:pPr>
              <w:shd w:val="clear"/>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小微企业是指在中华人民共和国境内依法设立，依据国务院批准的中小企业划分标准确定的小型企业和微型企业，但与大企业的负责人为同一人，或者与大企业存在直接控股、管理关系的除外。</w:t>
            </w:r>
          </w:p>
          <w:p w14:paraId="6C875F37">
            <w:pPr>
              <w:shd w:val="clear"/>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符合中小企业划分标准的个体工商户，在政府采购活动中视同中小企业。</w:t>
            </w:r>
          </w:p>
          <w:p w14:paraId="3DFDD3A6">
            <w:pPr>
              <w:shd w:val="clear"/>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在货物采购项目中，货物由小微企业制造，即货物由小微企业生产且使用该小微企业商号或者注册商标。供应商提供的货物既有中小企业制造货物，也有大型企业制造货物的，不享受中小企业扶持政策。</w:t>
            </w:r>
          </w:p>
          <w:p w14:paraId="25106DB6">
            <w:pPr>
              <w:shd w:val="clear"/>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在服务采购项目中，服务由小微企业承接，即提供服务的人员为小微企业依照《中华人民共和国劳动合同法》订立劳动合同的从业人员。</w:t>
            </w:r>
          </w:p>
          <w:p w14:paraId="6CA73DA9">
            <w:pPr>
              <w:shd w:val="clear"/>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联合体各方均为小型、微型企业的，联合体视同为小型、微型企业。</w:t>
            </w:r>
          </w:p>
          <w:p w14:paraId="3CDFAA39">
            <w:pPr>
              <w:shd w:val="clear"/>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符合上述条件的中小微型企业应按照招标文件的格式要求提供《中小企业声明函》。符合《关于促进残疾人就业政府采购政策的通知》（财库〔2017〕141号）规定的条件并提供《残疾人福利性单位声明函》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20491B63">
            <w:pPr>
              <w:shd w:val="clear"/>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根据财政部的《关于进一步加大政府采购支持中小企业力度的通知》（财库〔2022〕19号）规定，货物和服务项目中未预留份额专门面向中小企业采购的，以及预留份额项目中的非预留部分采购包，采购单位、采购代理机构应结合项目实际，对符合规定的小微企业报价按10%给予扣除，用扣除后的价格参加评审；对于联合协议或者分包意向协议约定小微企业的合同份额占到合同总金额30%以上的，采购单位、采购代理机构应结合项目实际，对联合体或者大中型企业的报价按4%给予扣除，用扣除后的价格参加评审。</w:t>
            </w:r>
          </w:p>
          <w:p w14:paraId="3F4B579A">
            <w:pPr>
              <w:shd w:val="clear"/>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组成联合体或者接受分包的小微企业与联合体内其他企业、分包企业之间存在直接控股、管理关系的，不享受价格扣除优惠政策。</w:t>
            </w:r>
          </w:p>
        </w:tc>
      </w:tr>
      <w:tr w14:paraId="524412E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37" w:hRule="atLeast"/>
          <w:jc w:val="center"/>
        </w:trPr>
        <w:tc>
          <w:tcPr>
            <w:tcW w:w="648" w:type="dxa"/>
            <w:vAlign w:val="center"/>
          </w:tcPr>
          <w:p w14:paraId="076CB0B4">
            <w:pPr>
              <w:shd w:val="clear"/>
              <w:snapToGrid w:val="0"/>
              <w:jc w:val="center"/>
              <w:rPr>
                <w:rFonts w:hint="eastAsia" w:ascii="宋体" w:hAnsi="宋体" w:eastAsia="宋体" w:cs="宋体"/>
                <w:snapToGrid w:val="0"/>
                <w:color w:val="auto"/>
                <w:kern w:val="0"/>
                <w:highlight w:val="none"/>
              </w:rPr>
            </w:pPr>
          </w:p>
        </w:tc>
        <w:tc>
          <w:tcPr>
            <w:tcW w:w="1800" w:type="dxa"/>
            <w:vAlign w:val="center"/>
          </w:tcPr>
          <w:p w14:paraId="4D2E351D">
            <w:pPr>
              <w:shd w:val="clear"/>
              <w:snapToGrid w:val="0"/>
              <w:jc w:val="center"/>
              <w:rPr>
                <w:rFonts w:hint="eastAsia" w:ascii="宋体" w:hAnsi="宋体" w:eastAsia="宋体" w:cs="宋体"/>
                <w:color w:val="auto"/>
                <w:highlight w:val="none"/>
              </w:rPr>
            </w:pPr>
            <w:r>
              <w:rPr>
                <w:rFonts w:hint="eastAsia" w:ascii="宋体" w:hAnsi="宋体" w:eastAsia="宋体" w:cs="宋体"/>
                <w:color w:val="auto"/>
                <w:highlight w:val="none"/>
              </w:rPr>
              <w:t>招标代理服务费</w:t>
            </w:r>
          </w:p>
        </w:tc>
        <w:tc>
          <w:tcPr>
            <w:tcW w:w="6682" w:type="dxa"/>
            <w:vAlign w:val="center"/>
          </w:tcPr>
          <w:p w14:paraId="409F6C4E">
            <w:pPr>
              <w:shd w:val="clear"/>
              <w:autoSpaceDN w:val="0"/>
              <w:spacing w:line="340" w:lineRule="exact"/>
              <w:ind w:firstLine="420" w:firstLineChars="200"/>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招标代理服务费由成交供应商支付，按下列服务招标差额定率累进法计算方式计取。</w:t>
            </w:r>
          </w:p>
          <w:tbl>
            <w:tblPr>
              <w:tblStyle w:val="29"/>
              <w:tblW w:w="6117" w:type="dxa"/>
              <w:jc w:val="center"/>
              <w:tblCellSpacing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3118"/>
              <w:gridCol w:w="1010"/>
              <w:gridCol w:w="1010"/>
              <w:gridCol w:w="979"/>
            </w:tblGrid>
            <w:tr w14:paraId="5F3C51A3">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13" w:hRule="atLeast"/>
                <w:tblCellSpacing w:w="0" w:type="dxa"/>
                <w:jc w:val="center"/>
              </w:trPr>
              <w:tc>
                <w:tcPr>
                  <w:tcW w:w="3118" w:type="dxa"/>
                  <w:tcBorders>
                    <w:top w:val="outset" w:color="auto" w:sz="6" w:space="0"/>
                    <w:left w:val="outset" w:color="auto" w:sz="6" w:space="0"/>
                    <w:bottom w:val="outset" w:color="auto" w:sz="6" w:space="0"/>
                    <w:right w:val="outset" w:color="auto" w:sz="6" w:space="0"/>
                  </w:tcBorders>
                  <w:vAlign w:val="center"/>
                </w:tcPr>
                <w:p w14:paraId="55300116">
                  <w:pPr>
                    <w:shd w:val="clear"/>
                    <w:jc w:val="center"/>
                    <w:rPr>
                      <w:rFonts w:hint="eastAsia" w:ascii="宋体" w:hAnsi="宋体" w:eastAsia="宋体" w:cs="宋体"/>
                      <w:color w:val="auto"/>
                      <w:highlight w:val="none"/>
                    </w:rPr>
                  </w:pPr>
                  <w:r>
                    <w:rPr>
                      <w:rFonts w:hint="eastAsia" w:ascii="宋体" w:hAnsi="宋体" w:eastAsia="宋体" w:cs="宋体"/>
                      <w:color w:val="auto"/>
                      <w:highlight w:val="none"/>
                    </w:rPr>
                    <w:t>服务类型 中标金额（万元）</w:t>
                  </w:r>
                </w:p>
              </w:tc>
              <w:tc>
                <w:tcPr>
                  <w:tcW w:w="1010" w:type="dxa"/>
                  <w:tcBorders>
                    <w:top w:val="outset" w:color="auto" w:sz="6" w:space="0"/>
                    <w:left w:val="outset" w:color="auto" w:sz="6" w:space="0"/>
                    <w:bottom w:val="outset" w:color="auto" w:sz="6" w:space="0"/>
                    <w:right w:val="outset" w:color="auto" w:sz="6" w:space="0"/>
                  </w:tcBorders>
                  <w:vAlign w:val="center"/>
                </w:tcPr>
                <w:p w14:paraId="45E7DCE4">
                  <w:pPr>
                    <w:pStyle w:val="27"/>
                    <w:shd w:val="clea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货物招标</w:t>
                  </w:r>
                </w:p>
              </w:tc>
              <w:tc>
                <w:tcPr>
                  <w:tcW w:w="1010" w:type="dxa"/>
                  <w:tcBorders>
                    <w:top w:val="outset" w:color="auto" w:sz="6" w:space="0"/>
                    <w:left w:val="outset" w:color="auto" w:sz="6" w:space="0"/>
                    <w:bottom w:val="outset" w:color="auto" w:sz="6" w:space="0"/>
                    <w:right w:val="outset" w:color="auto" w:sz="6" w:space="0"/>
                  </w:tcBorders>
                  <w:vAlign w:val="center"/>
                </w:tcPr>
                <w:p w14:paraId="6A2D13DC">
                  <w:pPr>
                    <w:shd w:val="clear"/>
                    <w:jc w:val="center"/>
                    <w:rPr>
                      <w:rFonts w:hint="eastAsia" w:ascii="宋体" w:hAnsi="宋体" w:eastAsia="宋体" w:cs="宋体"/>
                      <w:color w:val="auto"/>
                      <w:highlight w:val="none"/>
                    </w:rPr>
                  </w:pPr>
                  <w:r>
                    <w:rPr>
                      <w:rFonts w:hint="eastAsia" w:ascii="宋体" w:hAnsi="宋体" w:eastAsia="宋体" w:cs="宋体"/>
                      <w:color w:val="auto"/>
                      <w:highlight w:val="none"/>
                    </w:rPr>
                    <w:t>服务招标</w:t>
                  </w:r>
                </w:p>
              </w:tc>
              <w:tc>
                <w:tcPr>
                  <w:tcW w:w="979" w:type="dxa"/>
                  <w:tcBorders>
                    <w:top w:val="outset" w:color="auto" w:sz="6" w:space="0"/>
                    <w:left w:val="outset" w:color="auto" w:sz="6" w:space="0"/>
                    <w:bottom w:val="outset" w:color="auto" w:sz="6" w:space="0"/>
                    <w:right w:val="outset" w:color="auto" w:sz="6" w:space="0"/>
                  </w:tcBorders>
                  <w:vAlign w:val="center"/>
                </w:tcPr>
                <w:p w14:paraId="0465F0EC">
                  <w:pPr>
                    <w:shd w:val="clear"/>
                    <w:jc w:val="center"/>
                    <w:rPr>
                      <w:rFonts w:hint="eastAsia" w:ascii="宋体" w:hAnsi="宋体" w:eastAsia="宋体" w:cs="宋体"/>
                      <w:color w:val="auto"/>
                      <w:highlight w:val="none"/>
                    </w:rPr>
                  </w:pPr>
                  <w:r>
                    <w:rPr>
                      <w:rFonts w:hint="eastAsia" w:ascii="宋体" w:hAnsi="宋体" w:eastAsia="宋体" w:cs="宋体"/>
                      <w:color w:val="auto"/>
                      <w:highlight w:val="none"/>
                    </w:rPr>
                    <w:t>工程招标</w:t>
                  </w:r>
                </w:p>
              </w:tc>
            </w:tr>
            <w:tr w14:paraId="2F62FE61">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00" w:hRule="atLeast"/>
                <w:tblCellSpacing w:w="0" w:type="dxa"/>
                <w:jc w:val="center"/>
              </w:trPr>
              <w:tc>
                <w:tcPr>
                  <w:tcW w:w="3118" w:type="dxa"/>
                  <w:tcBorders>
                    <w:top w:val="outset" w:color="auto" w:sz="6" w:space="0"/>
                    <w:left w:val="outset" w:color="auto" w:sz="6" w:space="0"/>
                    <w:bottom w:val="outset" w:color="auto" w:sz="6" w:space="0"/>
                    <w:right w:val="outset" w:color="auto" w:sz="6" w:space="0"/>
                  </w:tcBorders>
                  <w:vAlign w:val="center"/>
                </w:tcPr>
                <w:p w14:paraId="3C820B44">
                  <w:pPr>
                    <w:shd w:val="clear"/>
                    <w:jc w:val="center"/>
                    <w:rPr>
                      <w:rFonts w:hint="eastAsia" w:ascii="宋体" w:hAnsi="宋体" w:eastAsia="宋体" w:cs="宋体"/>
                      <w:color w:val="auto"/>
                      <w:highlight w:val="none"/>
                    </w:rPr>
                  </w:pPr>
                  <w:r>
                    <w:rPr>
                      <w:rFonts w:hint="eastAsia" w:ascii="宋体" w:hAnsi="宋体" w:eastAsia="宋体" w:cs="宋体"/>
                      <w:color w:val="auto"/>
                      <w:highlight w:val="none"/>
                    </w:rPr>
                    <w:t>100以下</w:t>
                  </w:r>
                </w:p>
              </w:tc>
              <w:tc>
                <w:tcPr>
                  <w:tcW w:w="1010" w:type="dxa"/>
                  <w:tcBorders>
                    <w:top w:val="outset" w:color="auto" w:sz="6" w:space="0"/>
                    <w:left w:val="outset" w:color="auto" w:sz="6" w:space="0"/>
                    <w:bottom w:val="outset" w:color="auto" w:sz="6" w:space="0"/>
                    <w:right w:val="outset" w:color="auto" w:sz="6" w:space="0"/>
                  </w:tcBorders>
                  <w:vAlign w:val="center"/>
                </w:tcPr>
                <w:p w14:paraId="3BECE529">
                  <w:pPr>
                    <w:shd w:val="clear"/>
                    <w:jc w:val="center"/>
                    <w:rPr>
                      <w:rFonts w:hint="eastAsia" w:ascii="宋体" w:hAnsi="宋体" w:eastAsia="宋体" w:cs="宋体"/>
                      <w:color w:val="auto"/>
                      <w:highlight w:val="none"/>
                    </w:rPr>
                  </w:pPr>
                  <w:r>
                    <w:rPr>
                      <w:rFonts w:hint="eastAsia" w:ascii="宋体" w:hAnsi="宋体" w:eastAsia="宋体" w:cs="宋体"/>
                      <w:color w:val="auto"/>
                      <w:highlight w:val="none"/>
                    </w:rPr>
                    <w:t>1.5％</w:t>
                  </w:r>
                </w:p>
              </w:tc>
              <w:tc>
                <w:tcPr>
                  <w:tcW w:w="1010" w:type="dxa"/>
                  <w:tcBorders>
                    <w:top w:val="outset" w:color="auto" w:sz="6" w:space="0"/>
                    <w:left w:val="outset" w:color="auto" w:sz="6" w:space="0"/>
                    <w:bottom w:val="outset" w:color="auto" w:sz="6" w:space="0"/>
                    <w:right w:val="outset" w:color="auto" w:sz="6" w:space="0"/>
                  </w:tcBorders>
                  <w:vAlign w:val="center"/>
                </w:tcPr>
                <w:p w14:paraId="5FA4FE70">
                  <w:pPr>
                    <w:shd w:val="clear"/>
                    <w:jc w:val="center"/>
                    <w:rPr>
                      <w:rFonts w:hint="eastAsia" w:ascii="宋体" w:hAnsi="宋体" w:eastAsia="宋体" w:cs="宋体"/>
                      <w:color w:val="auto"/>
                      <w:highlight w:val="none"/>
                    </w:rPr>
                  </w:pPr>
                  <w:r>
                    <w:rPr>
                      <w:rFonts w:hint="eastAsia" w:ascii="宋体" w:hAnsi="宋体" w:eastAsia="宋体" w:cs="宋体"/>
                      <w:color w:val="auto"/>
                      <w:highlight w:val="none"/>
                    </w:rPr>
                    <w:t>1.5％</w:t>
                  </w:r>
                </w:p>
              </w:tc>
              <w:tc>
                <w:tcPr>
                  <w:tcW w:w="979" w:type="dxa"/>
                  <w:tcBorders>
                    <w:top w:val="outset" w:color="auto" w:sz="6" w:space="0"/>
                    <w:left w:val="outset" w:color="auto" w:sz="6" w:space="0"/>
                    <w:bottom w:val="outset" w:color="auto" w:sz="6" w:space="0"/>
                    <w:right w:val="outset" w:color="auto" w:sz="6" w:space="0"/>
                  </w:tcBorders>
                  <w:vAlign w:val="center"/>
                </w:tcPr>
                <w:p w14:paraId="56351C6E">
                  <w:pPr>
                    <w:shd w:val="clear"/>
                    <w:jc w:val="center"/>
                    <w:rPr>
                      <w:rFonts w:hint="eastAsia" w:ascii="宋体" w:hAnsi="宋体" w:eastAsia="宋体" w:cs="宋体"/>
                      <w:color w:val="auto"/>
                      <w:highlight w:val="none"/>
                    </w:rPr>
                  </w:pPr>
                  <w:r>
                    <w:rPr>
                      <w:rFonts w:hint="eastAsia" w:ascii="宋体" w:hAnsi="宋体" w:eastAsia="宋体" w:cs="宋体"/>
                      <w:color w:val="auto"/>
                      <w:highlight w:val="none"/>
                    </w:rPr>
                    <w:t>1.0％</w:t>
                  </w:r>
                </w:p>
              </w:tc>
            </w:tr>
            <w:tr w14:paraId="483D7CC7">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00" w:hRule="atLeast"/>
                <w:tblCellSpacing w:w="0" w:type="dxa"/>
                <w:jc w:val="center"/>
              </w:trPr>
              <w:tc>
                <w:tcPr>
                  <w:tcW w:w="3118" w:type="dxa"/>
                  <w:tcBorders>
                    <w:top w:val="outset" w:color="auto" w:sz="6" w:space="0"/>
                    <w:left w:val="outset" w:color="auto" w:sz="6" w:space="0"/>
                    <w:bottom w:val="outset" w:color="auto" w:sz="6" w:space="0"/>
                    <w:right w:val="outset" w:color="auto" w:sz="6" w:space="0"/>
                  </w:tcBorders>
                  <w:vAlign w:val="center"/>
                </w:tcPr>
                <w:p w14:paraId="310041F0">
                  <w:pPr>
                    <w:shd w:val="clear"/>
                    <w:jc w:val="center"/>
                    <w:rPr>
                      <w:rFonts w:hint="eastAsia" w:ascii="宋体" w:hAnsi="宋体" w:eastAsia="宋体" w:cs="宋体"/>
                      <w:color w:val="auto"/>
                      <w:highlight w:val="none"/>
                    </w:rPr>
                  </w:pPr>
                  <w:r>
                    <w:rPr>
                      <w:rFonts w:hint="eastAsia" w:ascii="宋体" w:hAnsi="宋体" w:eastAsia="宋体" w:cs="宋体"/>
                      <w:color w:val="auto"/>
                      <w:highlight w:val="none"/>
                    </w:rPr>
                    <w:t>100—500</w:t>
                  </w:r>
                </w:p>
              </w:tc>
              <w:tc>
                <w:tcPr>
                  <w:tcW w:w="1010" w:type="dxa"/>
                  <w:tcBorders>
                    <w:top w:val="outset" w:color="auto" w:sz="6" w:space="0"/>
                    <w:left w:val="outset" w:color="auto" w:sz="6" w:space="0"/>
                    <w:bottom w:val="outset" w:color="auto" w:sz="6" w:space="0"/>
                    <w:right w:val="outset" w:color="auto" w:sz="6" w:space="0"/>
                  </w:tcBorders>
                  <w:vAlign w:val="center"/>
                </w:tcPr>
                <w:p w14:paraId="0B5A9405">
                  <w:pPr>
                    <w:shd w:val="clear"/>
                    <w:jc w:val="center"/>
                    <w:rPr>
                      <w:rFonts w:hint="eastAsia" w:ascii="宋体" w:hAnsi="宋体" w:eastAsia="宋体" w:cs="宋体"/>
                      <w:color w:val="auto"/>
                      <w:highlight w:val="none"/>
                    </w:rPr>
                  </w:pPr>
                  <w:r>
                    <w:rPr>
                      <w:rFonts w:hint="eastAsia" w:ascii="宋体" w:hAnsi="宋体" w:eastAsia="宋体" w:cs="宋体"/>
                      <w:color w:val="auto"/>
                      <w:highlight w:val="none"/>
                    </w:rPr>
                    <w:t>1.1％</w:t>
                  </w:r>
                </w:p>
              </w:tc>
              <w:tc>
                <w:tcPr>
                  <w:tcW w:w="1010" w:type="dxa"/>
                  <w:tcBorders>
                    <w:top w:val="outset" w:color="auto" w:sz="6" w:space="0"/>
                    <w:left w:val="outset" w:color="auto" w:sz="6" w:space="0"/>
                    <w:bottom w:val="outset" w:color="auto" w:sz="6" w:space="0"/>
                    <w:right w:val="outset" w:color="auto" w:sz="6" w:space="0"/>
                  </w:tcBorders>
                  <w:vAlign w:val="center"/>
                </w:tcPr>
                <w:p w14:paraId="018A0D13">
                  <w:pPr>
                    <w:shd w:val="clear"/>
                    <w:jc w:val="center"/>
                    <w:rPr>
                      <w:rFonts w:hint="eastAsia" w:ascii="宋体" w:hAnsi="宋体" w:eastAsia="宋体" w:cs="宋体"/>
                      <w:color w:val="auto"/>
                      <w:highlight w:val="none"/>
                    </w:rPr>
                  </w:pPr>
                  <w:r>
                    <w:rPr>
                      <w:rFonts w:hint="eastAsia" w:ascii="宋体" w:hAnsi="宋体" w:eastAsia="宋体" w:cs="宋体"/>
                      <w:color w:val="auto"/>
                      <w:highlight w:val="none"/>
                    </w:rPr>
                    <w:t>0.8％</w:t>
                  </w:r>
                </w:p>
              </w:tc>
              <w:tc>
                <w:tcPr>
                  <w:tcW w:w="979" w:type="dxa"/>
                  <w:tcBorders>
                    <w:top w:val="outset" w:color="auto" w:sz="6" w:space="0"/>
                    <w:left w:val="outset" w:color="auto" w:sz="6" w:space="0"/>
                    <w:bottom w:val="outset" w:color="auto" w:sz="6" w:space="0"/>
                    <w:right w:val="outset" w:color="auto" w:sz="6" w:space="0"/>
                  </w:tcBorders>
                  <w:vAlign w:val="center"/>
                </w:tcPr>
                <w:p w14:paraId="562A6AED">
                  <w:pPr>
                    <w:shd w:val="clear"/>
                    <w:jc w:val="center"/>
                    <w:rPr>
                      <w:rFonts w:hint="eastAsia" w:ascii="宋体" w:hAnsi="宋体" w:eastAsia="宋体" w:cs="宋体"/>
                      <w:color w:val="auto"/>
                      <w:highlight w:val="none"/>
                    </w:rPr>
                  </w:pPr>
                  <w:r>
                    <w:rPr>
                      <w:rFonts w:hint="eastAsia" w:ascii="宋体" w:hAnsi="宋体" w:eastAsia="宋体" w:cs="宋体"/>
                      <w:color w:val="auto"/>
                      <w:highlight w:val="none"/>
                    </w:rPr>
                    <w:t>0.7％</w:t>
                  </w:r>
                </w:p>
              </w:tc>
            </w:tr>
            <w:tr w14:paraId="383252AE">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00" w:hRule="atLeast"/>
                <w:tblCellSpacing w:w="0" w:type="dxa"/>
                <w:jc w:val="center"/>
              </w:trPr>
              <w:tc>
                <w:tcPr>
                  <w:tcW w:w="3118" w:type="dxa"/>
                  <w:tcBorders>
                    <w:top w:val="outset" w:color="auto" w:sz="6" w:space="0"/>
                    <w:left w:val="outset" w:color="auto" w:sz="6" w:space="0"/>
                    <w:bottom w:val="outset" w:color="auto" w:sz="6" w:space="0"/>
                    <w:right w:val="outset" w:color="auto" w:sz="6" w:space="0"/>
                  </w:tcBorders>
                  <w:vAlign w:val="center"/>
                </w:tcPr>
                <w:p w14:paraId="55C02346">
                  <w:pPr>
                    <w:shd w:val="clear"/>
                    <w:jc w:val="center"/>
                    <w:rPr>
                      <w:rFonts w:hint="eastAsia" w:ascii="宋体" w:hAnsi="宋体" w:eastAsia="宋体" w:cs="宋体"/>
                      <w:color w:val="auto"/>
                      <w:highlight w:val="none"/>
                    </w:rPr>
                  </w:pPr>
                  <w:r>
                    <w:rPr>
                      <w:rFonts w:hint="eastAsia" w:ascii="宋体" w:hAnsi="宋体" w:eastAsia="宋体" w:cs="宋体"/>
                      <w:color w:val="auto"/>
                      <w:highlight w:val="none"/>
                    </w:rPr>
                    <w:t>500—1000</w:t>
                  </w:r>
                </w:p>
              </w:tc>
              <w:tc>
                <w:tcPr>
                  <w:tcW w:w="1010" w:type="dxa"/>
                  <w:tcBorders>
                    <w:top w:val="outset" w:color="auto" w:sz="6" w:space="0"/>
                    <w:left w:val="outset" w:color="auto" w:sz="6" w:space="0"/>
                    <w:bottom w:val="outset" w:color="auto" w:sz="6" w:space="0"/>
                    <w:right w:val="outset" w:color="auto" w:sz="6" w:space="0"/>
                  </w:tcBorders>
                  <w:vAlign w:val="center"/>
                </w:tcPr>
                <w:p w14:paraId="1A6C0DB7">
                  <w:pPr>
                    <w:shd w:val="clear"/>
                    <w:jc w:val="center"/>
                    <w:rPr>
                      <w:rFonts w:hint="eastAsia" w:ascii="宋体" w:hAnsi="宋体" w:eastAsia="宋体" w:cs="宋体"/>
                      <w:color w:val="auto"/>
                      <w:highlight w:val="none"/>
                    </w:rPr>
                  </w:pPr>
                  <w:r>
                    <w:rPr>
                      <w:rFonts w:hint="eastAsia" w:ascii="宋体" w:hAnsi="宋体" w:eastAsia="宋体" w:cs="宋体"/>
                      <w:color w:val="auto"/>
                      <w:highlight w:val="none"/>
                    </w:rPr>
                    <w:t>0.8％</w:t>
                  </w:r>
                </w:p>
              </w:tc>
              <w:tc>
                <w:tcPr>
                  <w:tcW w:w="1010" w:type="dxa"/>
                  <w:tcBorders>
                    <w:top w:val="outset" w:color="auto" w:sz="6" w:space="0"/>
                    <w:left w:val="outset" w:color="auto" w:sz="6" w:space="0"/>
                    <w:bottom w:val="outset" w:color="auto" w:sz="6" w:space="0"/>
                    <w:right w:val="outset" w:color="auto" w:sz="6" w:space="0"/>
                  </w:tcBorders>
                  <w:vAlign w:val="center"/>
                </w:tcPr>
                <w:p w14:paraId="2E377B09">
                  <w:pPr>
                    <w:shd w:val="clear"/>
                    <w:jc w:val="center"/>
                    <w:rPr>
                      <w:rFonts w:hint="eastAsia" w:ascii="宋体" w:hAnsi="宋体" w:eastAsia="宋体" w:cs="宋体"/>
                      <w:color w:val="auto"/>
                      <w:highlight w:val="none"/>
                    </w:rPr>
                  </w:pPr>
                  <w:r>
                    <w:rPr>
                      <w:rFonts w:hint="eastAsia" w:ascii="宋体" w:hAnsi="宋体" w:eastAsia="宋体" w:cs="宋体"/>
                      <w:color w:val="auto"/>
                      <w:highlight w:val="none"/>
                    </w:rPr>
                    <w:t>0.45％</w:t>
                  </w:r>
                </w:p>
              </w:tc>
              <w:tc>
                <w:tcPr>
                  <w:tcW w:w="979" w:type="dxa"/>
                  <w:tcBorders>
                    <w:top w:val="outset" w:color="auto" w:sz="6" w:space="0"/>
                    <w:left w:val="outset" w:color="auto" w:sz="6" w:space="0"/>
                    <w:bottom w:val="outset" w:color="auto" w:sz="6" w:space="0"/>
                    <w:right w:val="outset" w:color="auto" w:sz="6" w:space="0"/>
                  </w:tcBorders>
                  <w:vAlign w:val="center"/>
                </w:tcPr>
                <w:p w14:paraId="659AEAD0">
                  <w:pPr>
                    <w:shd w:val="clear"/>
                    <w:jc w:val="center"/>
                    <w:rPr>
                      <w:rFonts w:hint="eastAsia" w:ascii="宋体" w:hAnsi="宋体" w:eastAsia="宋体" w:cs="宋体"/>
                      <w:color w:val="auto"/>
                      <w:highlight w:val="none"/>
                    </w:rPr>
                  </w:pPr>
                  <w:r>
                    <w:rPr>
                      <w:rFonts w:hint="eastAsia" w:ascii="宋体" w:hAnsi="宋体" w:eastAsia="宋体" w:cs="宋体"/>
                      <w:color w:val="auto"/>
                      <w:highlight w:val="none"/>
                    </w:rPr>
                    <w:t>0.55％</w:t>
                  </w:r>
                </w:p>
              </w:tc>
            </w:tr>
            <w:tr w14:paraId="3A8B5212">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00" w:hRule="atLeast"/>
                <w:tblCellSpacing w:w="0" w:type="dxa"/>
                <w:jc w:val="center"/>
              </w:trPr>
              <w:tc>
                <w:tcPr>
                  <w:tcW w:w="3118" w:type="dxa"/>
                  <w:tcBorders>
                    <w:top w:val="outset" w:color="auto" w:sz="6" w:space="0"/>
                    <w:left w:val="outset" w:color="auto" w:sz="6" w:space="0"/>
                    <w:bottom w:val="outset" w:color="auto" w:sz="6" w:space="0"/>
                    <w:right w:val="outset" w:color="auto" w:sz="6" w:space="0"/>
                  </w:tcBorders>
                  <w:vAlign w:val="center"/>
                </w:tcPr>
                <w:p w14:paraId="5F2DBF0F">
                  <w:pPr>
                    <w:shd w:val="clear"/>
                    <w:jc w:val="center"/>
                    <w:rPr>
                      <w:rFonts w:hint="eastAsia" w:ascii="宋体" w:hAnsi="宋体" w:eastAsia="宋体" w:cs="宋体"/>
                      <w:color w:val="auto"/>
                      <w:highlight w:val="none"/>
                    </w:rPr>
                  </w:pPr>
                  <w:r>
                    <w:rPr>
                      <w:rFonts w:hint="eastAsia" w:ascii="宋体" w:hAnsi="宋体" w:eastAsia="宋体" w:cs="宋体"/>
                      <w:color w:val="auto"/>
                      <w:highlight w:val="none"/>
                    </w:rPr>
                    <w:t>1000—5000</w:t>
                  </w:r>
                </w:p>
              </w:tc>
              <w:tc>
                <w:tcPr>
                  <w:tcW w:w="1010" w:type="dxa"/>
                  <w:tcBorders>
                    <w:top w:val="outset" w:color="auto" w:sz="6" w:space="0"/>
                    <w:left w:val="outset" w:color="auto" w:sz="6" w:space="0"/>
                    <w:bottom w:val="outset" w:color="auto" w:sz="6" w:space="0"/>
                    <w:right w:val="outset" w:color="auto" w:sz="6" w:space="0"/>
                  </w:tcBorders>
                  <w:vAlign w:val="center"/>
                </w:tcPr>
                <w:p w14:paraId="518D4987">
                  <w:pPr>
                    <w:shd w:val="clear"/>
                    <w:jc w:val="center"/>
                    <w:rPr>
                      <w:rFonts w:hint="eastAsia" w:ascii="宋体" w:hAnsi="宋体" w:eastAsia="宋体" w:cs="宋体"/>
                      <w:color w:val="auto"/>
                      <w:highlight w:val="none"/>
                    </w:rPr>
                  </w:pPr>
                  <w:r>
                    <w:rPr>
                      <w:rFonts w:hint="eastAsia" w:ascii="宋体" w:hAnsi="宋体" w:eastAsia="宋体" w:cs="宋体"/>
                      <w:color w:val="auto"/>
                      <w:highlight w:val="none"/>
                    </w:rPr>
                    <w:t>0.5％</w:t>
                  </w:r>
                </w:p>
              </w:tc>
              <w:tc>
                <w:tcPr>
                  <w:tcW w:w="1010" w:type="dxa"/>
                  <w:tcBorders>
                    <w:top w:val="outset" w:color="auto" w:sz="6" w:space="0"/>
                    <w:left w:val="outset" w:color="auto" w:sz="6" w:space="0"/>
                    <w:bottom w:val="outset" w:color="auto" w:sz="6" w:space="0"/>
                    <w:right w:val="outset" w:color="auto" w:sz="6" w:space="0"/>
                  </w:tcBorders>
                  <w:vAlign w:val="center"/>
                </w:tcPr>
                <w:p w14:paraId="72A69068">
                  <w:pPr>
                    <w:shd w:val="clear"/>
                    <w:jc w:val="center"/>
                    <w:rPr>
                      <w:rFonts w:hint="eastAsia" w:ascii="宋体" w:hAnsi="宋体" w:eastAsia="宋体" w:cs="宋体"/>
                      <w:color w:val="auto"/>
                      <w:highlight w:val="none"/>
                    </w:rPr>
                  </w:pPr>
                  <w:r>
                    <w:rPr>
                      <w:rFonts w:hint="eastAsia" w:ascii="宋体" w:hAnsi="宋体" w:eastAsia="宋体" w:cs="宋体"/>
                      <w:color w:val="auto"/>
                      <w:highlight w:val="none"/>
                    </w:rPr>
                    <w:t>0.25％</w:t>
                  </w:r>
                </w:p>
              </w:tc>
              <w:tc>
                <w:tcPr>
                  <w:tcW w:w="979" w:type="dxa"/>
                  <w:tcBorders>
                    <w:top w:val="outset" w:color="auto" w:sz="6" w:space="0"/>
                    <w:left w:val="outset" w:color="auto" w:sz="6" w:space="0"/>
                    <w:bottom w:val="outset" w:color="auto" w:sz="6" w:space="0"/>
                    <w:right w:val="outset" w:color="auto" w:sz="6" w:space="0"/>
                  </w:tcBorders>
                  <w:vAlign w:val="center"/>
                </w:tcPr>
                <w:p w14:paraId="607F3C92">
                  <w:pPr>
                    <w:shd w:val="clear"/>
                    <w:jc w:val="center"/>
                    <w:rPr>
                      <w:rFonts w:hint="eastAsia" w:ascii="宋体" w:hAnsi="宋体" w:eastAsia="宋体" w:cs="宋体"/>
                      <w:color w:val="auto"/>
                      <w:highlight w:val="none"/>
                    </w:rPr>
                  </w:pPr>
                  <w:r>
                    <w:rPr>
                      <w:rFonts w:hint="eastAsia" w:ascii="宋体" w:hAnsi="宋体" w:eastAsia="宋体" w:cs="宋体"/>
                      <w:color w:val="auto"/>
                      <w:highlight w:val="none"/>
                    </w:rPr>
                    <w:t>0.35％</w:t>
                  </w:r>
                </w:p>
              </w:tc>
            </w:tr>
            <w:tr w14:paraId="024FC231">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00" w:hRule="atLeast"/>
                <w:tblCellSpacing w:w="0" w:type="dxa"/>
                <w:jc w:val="center"/>
              </w:trPr>
              <w:tc>
                <w:tcPr>
                  <w:tcW w:w="3118" w:type="dxa"/>
                  <w:tcBorders>
                    <w:top w:val="outset" w:color="auto" w:sz="6" w:space="0"/>
                    <w:left w:val="outset" w:color="auto" w:sz="6" w:space="0"/>
                    <w:bottom w:val="outset" w:color="auto" w:sz="6" w:space="0"/>
                    <w:right w:val="outset" w:color="auto" w:sz="6" w:space="0"/>
                  </w:tcBorders>
                  <w:vAlign w:val="center"/>
                </w:tcPr>
                <w:p w14:paraId="72656CF7">
                  <w:pPr>
                    <w:shd w:val="clear"/>
                    <w:jc w:val="center"/>
                    <w:rPr>
                      <w:rFonts w:hint="eastAsia" w:ascii="宋体" w:hAnsi="宋体" w:eastAsia="宋体" w:cs="宋体"/>
                      <w:color w:val="auto"/>
                      <w:highlight w:val="none"/>
                    </w:rPr>
                  </w:pPr>
                  <w:r>
                    <w:rPr>
                      <w:rFonts w:hint="eastAsia" w:ascii="宋体" w:hAnsi="宋体" w:eastAsia="宋体" w:cs="宋体"/>
                      <w:color w:val="auto"/>
                      <w:highlight w:val="none"/>
                    </w:rPr>
                    <w:t>5000—10000</w:t>
                  </w:r>
                </w:p>
              </w:tc>
              <w:tc>
                <w:tcPr>
                  <w:tcW w:w="1010" w:type="dxa"/>
                  <w:tcBorders>
                    <w:top w:val="outset" w:color="auto" w:sz="6" w:space="0"/>
                    <w:left w:val="outset" w:color="auto" w:sz="6" w:space="0"/>
                    <w:bottom w:val="outset" w:color="auto" w:sz="6" w:space="0"/>
                    <w:right w:val="outset" w:color="auto" w:sz="6" w:space="0"/>
                  </w:tcBorders>
                  <w:vAlign w:val="center"/>
                </w:tcPr>
                <w:p w14:paraId="02005209">
                  <w:pPr>
                    <w:shd w:val="clear"/>
                    <w:jc w:val="center"/>
                    <w:rPr>
                      <w:rFonts w:hint="eastAsia" w:ascii="宋体" w:hAnsi="宋体" w:eastAsia="宋体" w:cs="宋体"/>
                      <w:color w:val="auto"/>
                      <w:highlight w:val="none"/>
                    </w:rPr>
                  </w:pPr>
                  <w:r>
                    <w:rPr>
                      <w:rFonts w:hint="eastAsia" w:ascii="宋体" w:hAnsi="宋体" w:eastAsia="宋体" w:cs="宋体"/>
                      <w:color w:val="auto"/>
                      <w:highlight w:val="none"/>
                    </w:rPr>
                    <w:t>0.25％</w:t>
                  </w:r>
                </w:p>
              </w:tc>
              <w:tc>
                <w:tcPr>
                  <w:tcW w:w="1010" w:type="dxa"/>
                  <w:tcBorders>
                    <w:top w:val="outset" w:color="auto" w:sz="6" w:space="0"/>
                    <w:left w:val="outset" w:color="auto" w:sz="6" w:space="0"/>
                    <w:bottom w:val="outset" w:color="auto" w:sz="6" w:space="0"/>
                    <w:right w:val="outset" w:color="auto" w:sz="6" w:space="0"/>
                  </w:tcBorders>
                  <w:vAlign w:val="center"/>
                </w:tcPr>
                <w:p w14:paraId="46957FA6">
                  <w:pPr>
                    <w:shd w:val="clear"/>
                    <w:jc w:val="center"/>
                    <w:rPr>
                      <w:rFonts w:hint="eastAsia" w:ascii="宋体" w:hAnsi="宋体" w:eastAsia="宋体" w:cs="宋体"/>
                      <w:color w:val="auto"/>
                      <w:highlight w:val="none"/>
                    </w:rPr>
                  </w:pPr>
                  <w:r>
                    <w:rPr>
                      <w:rFonts w:hint="eastAsia" w:ascii="宋体" w:hAnsi="宋体" w:eastAsia="宋体" w:cs="宋体"/>
                      <w:color w:val="auto"/>
                      <w:highlight w:val="none"/>
                    </w:rPr>
                    <w:t>0.1％</w:t>
                  </w:r>
                </w:p>
              </w:tc>
              <w:tc>
                <w:tcPr>
                  <w:tcW w:w="979" w:type="dxa"/>
                  <w:tcBorders>
                    <w:top w:val="outset" w:color="auto" w:sz="6" w:space="0"/>
                    <w:left w:val="outset" w:color="auto" w:sz="6" w:space="0"/>
                    <w:bottom w:val="outset" w:color="auto" w:sz="6" w:space="0"/>
                    <w:right w:val="outset" w:color="auto" w:sz="6" w:space="0"/>
                  </w:tcBorders>
                  <w:vAlign w:val="center"/>
                </w:tcPr>
                <w:p w14:paraId="6BE21C22">
                  <w:pPr>
                    <w:shd w:val="clear"/>
                    <w:jc w:val="center"/>
                    <w:rPr>
                      <w:rFonts w:hint="eastAsia" w:ascii="宋体" w:hAnsi="宋体" w:eastAsia="宋体" w:cs="宋体"/>
                      <w:color w:val="auto"/>
                      <w:highlight w:val="none"/>
                    </w:rPr>
                  </w:pPr>
                  <w:r>
                    <w:rPr>
                      <w:rFonts w:hint="eastAsia" w:ascii="宋体" w:hAnsi="宋体" w:eastAsia="宋体" w:cs="宋体"/>
                      <w:color w:val="auto"/>
                      <w:highlight w:val="none"/>
                    </w:rPr>
                    <w:t>0.2％</w:t>
                  </w:r>
                </w:p>
              </w:tc>
            </w:tr>
            <w:tr w14:paraId="23DF7A75">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00" w:hRule="atLeast"/>
                <w:tblCellSpacing w:w="0" w:type="dxa"/>
                <w:jc w:val="center"/>
              </w:trPr>
              <w:tc>
                <w:tcPr>
                  <w:tcW w:w="3118" w:type="dxa"/>
                  <w:tcBorders>
                    <w:top w:val="outset" w:color="auto" w:sz="6" w:space="0"/>
                    <w:left w:val="outset" w:color="auto" w:sz="6" w:space="0"/>
                    <w:bottom w:val="outset" w:color="auto" w:sz="6" w:space="0"/>
                    <w:right w:val="outset" w:color="auto" w:sz="6" w:space="0"/>
                  </w:tcBorders>
                  <w:vAlign w:val="center"/>
                </w:tcPr>
                <w:p w14:paraId="5BC130A8">
                  <w:pPr>
                    <w:shd w:val="clear"/>
                    <w:jc w:val="center"/>
                    <w:rPr>
                      <w:rFonts w:hint="eastAsia" w:ascii="宋体" w:hAnsi="宋体" w:eastAsia="宋体" w:cs="宋体"/>
                      <w:color w:val="auto"/>
                      <w:highlight w:val="none"/>
                    </w:rPr>
                  </w:pPr>
                  <w:r>
                    <w:rPr>
                      <w:rFonts w:hint="eastAsia" w:ascii="宋体" w:hAnsi="宋体" w:eastAsia="宋体" w:cs="宋体"/>
                      <w:color w:val="auto"/>
                      <w:highlight w:val="none"/>
                    </w:rPr>
                    <w:t>10000——100000</w:t>
                  </w:r>
                </w:p>
              </w:tc>
              <w:tc>
                <w:tcPr>
                  <w:tcW w:w="1010" w:type="dxa"/>
                  <w:tcBorders>
                    <w:top w:val="outset" w:color="auto" w:sz="6" w:space="0"/>
                    <w:left w:val="outset" w:color="auto" w:sz="6" w:space="0"/>
                    <w:bottom w:val="outset" w:color="auto" w:sz="6" w:space="0"/>
                    <w:right w:val="outset" w:color="auto" w:sz="6" w:space="0"/>
                  </w:tcBorders>
                  <w:vAlign w:val="center"/>
                </w:tcPr>
                <w:p w14:paraId="1CAC55FF">
                  <w:pPr>
                    <w:shd w:val="clear"/>
                    <w:jc w:val="center"/>
                    <w:rPr>
                      <w:rFonts w:hint="eastAsia" w:ascii="宋体" w:hAnsi="宋体" w:eastAsia="宋体" w:cs="宋体"/>
                      <w:color w:val="auto"/>
                      <w:highlight w:val="none"/>
                    </w:rPr>
                  </w:pPr>
                  <w:r>
                    <w:rPr>
                      <w:rFonts w:hint="eastAsia" w:ascii="宋体" w:hAnsi="宋体" w:eastAsia="宋体" w:cs="宋体"/>
                      <w:color w:val="auto"/>
                      <w:highlight w:val="none"/>
                    </w:rPr>
                    <w:t>0.05％</w:t>
                  </w:r>
                </w:p>
              </w:tc>
              <w:tc>
                <w:tcPr>
                  <w:tcW w:w="1010" w:type="dxa"/>
                  <w:tcBorders>
                    <w:top w:val="outset" w:color="auto" w:sz="6" w:space="0"/>
                    <w:left w:val="outset" w:color="auto" w:sz="6" w:space="0"/>
                    <w:bottom w:val="outset" w:color="auto" w:sz="6" w:space="0"/>
                    <w:right w:val="outset" w:color="auto" w:sz="6" w:space="0"/>
                  </w:tcBorders>
                  <w:vAlign w:val="center"/>
                </w:tcPr>
                <w:p w14:paraId="4746A2B5">
                  <w:pPr>
                    <w:shd w:val="clear"/>
                    <w:jc w:val="center"/>
                    <w:rPr>
                      <w:rFonts w:hint="eastAsia" w:ascii="宋体" w:hAnsi="宋体" w:eastAsia="宋体" w:cs="宋体"/>
                      <w:color w:val="auto"/>
                      <w:highlight w:val="none"/>
                    </w:rPr>
                  </w:pPr>
                  <w:r>
                    <w:rPr>
                      <w:rFonts w:hint="eastAsia" w:ascii="宋体" w:hAnsi="宋体" w:eastAsia="宋体" w:cs="宋体"/>
                      <w:color w:val="auto"/>
                      <w:highlight w:val="none"/>
                    </w:rPr>
                    <w:t>0.05％</w:t>
                  </w:r>
                </w:p>
              </w:tc>
              <w:tc>
                <w:tcPr>
                  <w:tcW w:w="979" w:type="dxa"/>
                  <w:tcBorders>
                    <w:top w:val="outset" w:color="auto" w:sz="6" w:space="0"/>
                    <w:left w:val="outset" w:color="auto" w:sz="6" w:space="0"/>
                    <w:bottom w:val="outset" w:color="auto" w:sz="6" w:space="0"/>
                    <w:right w:val="outset" w:color="auto" w:sz="6" w:space="0"/>
                  </w:tcBorders>
                  <w:vAlign w:val="center"/>
                </w:tcPr>
                <w:p w14:paraId="036730DA">
                  <w:pPr>
                    <w:shd w:val="clear"/>
                    <w:jc w:val="center"/>
                    <w:rPr>
                      <w:rFonts w:hint="eastAsia" w:ascii="宋体" w:hAnsi="宋体" w:eastAsia="宋体" w:cs="宋体"/>
                      <w:color w:val="auto"/>
                      <w:highlight w:val="none"/>
                    </w:rPr>
                  </w:pPr>
                  <w:r>
                    <w:rPr>
                      <w:rFonts w:hint="eastAsia" w:ascii="宋体" w:hAnsi="宋体" w:eastAsia="宋体" w:cs="宋体"/>
                      <w:color w:val="auto"/>
                      <w:highlight w:val="none"/>
                    </w:rPr>
                    <w:t>0.05％</w:t>
                  </w:r>
                </w:p>
              </w:tc>
            </w:tr>
            <w:tr w14:paraId="1CBB2CBD">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13" w:hRule="atLeast"/>
                <w:tblCellSpacing w:w="0" w:type="dxa"/>
                <w:jc w:val="center"/>
              </w:trPr>
              <w:tc>
                <w:tcPr>
                  <w:tcW w:w="3118" w:type="dxa"/>
                  <w:tcBorders>
                    <w:top w:val="outset" w:color="auto" w:sz="6" w:space="0"/>
                    <w:left w:val="outset" w:color="auto" w:sz="6" w:space="0"/>
                    <w:bottom w:val="outset" w:color="auto" w:sz="6" w:space="0"/>
                    <w:right w:val="outset" w:color="auto" w:sz="6" w:space="0"/>
                  </w:tcBorders>
                  <w:vAlign w:val="center"/>
                </w:tcPr>
                <w:p w14:paraId="1B874B29">
                  <w:pPr>
                    <w:shd w:val="clear"/>
                    <w:jc w:val="center"/>
                    <w:rPr>
                      <w:rFonts w:hint="eastAsia" w:ascii="宋体" w:hAnsi="宋体" w:eastAsia="宋体" w:cs="宋体"/>
                      <w:color w:val="auto"/>
                      <w:highlight w:val="none"/>
                    </w:rPr>
                  </w:pPr>
                  <w:r>
                    <w:rPr>
                      <w:rFonts w:hint="eastAsia" w:ascii="宋体" w:hAnsi="宋体" w:eastAsia="宋体" w:cs="宋体"/>
                      <w:color w:val="auto"/>
                      <w:highlight w:val="none"/>
                    </w:rPr>
                    <w:t>1000000以上</w:t>
                  </w:r>
                </w:p>
              </w:tc>
              <w:tc>
                <w:tcPr>
                  <w:tcW w:w="1010" w:type="dxa"/>
                  <w:tcBorders>
                    <w:top w:val="outset" w:color="auto" w:sz="6" w:space="0"/>
                    <w:left w:val="outset" w:color="auto" w:sz="6" w:space="0"/>
                    <w:bottom w:val="outset" w:color="auto" w:sz="6" w:space="0"/>
                    <w:right w:val="outset" w:color="auto" w:sz="6" w:space="0"/>
                  </w:tcBorders>
                  <w:vAlign w:val="center"/>
                </w:tcPr>
                <w:p w14:paraId="0899F877">
                  <w:pPr>
                    <w:shd w:val="clear"/>
                    <w:jc w:val="center"/>
                    <w:rPr>
                      <w:rFonts w:hint="eastAsia" w:ascii="宋体" w:hAnsi="宋体" w:eastAsia="宋体" w:cs="宋体"/>
                      <w:color w:val="auto"/>
                      <w:highlight w:val="none"/>
                    </w:rPr>
                  </w:pPr>
                  <w:r>
                    <w:rPr>
                      <w:rFonts w:hint="eastAsia" w:ascii="宋体" w:hAnsi="宋体" w:eastAsia="宋体" w:cs="宋体"/>
                      <w:color w:val="auto"/>
                      <w:highlight w:val="none"/>
                    </w:rPr>
                    <w:t>0.01％</w:t>
                  </w:r>
                </w:p>
              </w:tc>
              <w:tc>
                <w:tcPr>
                  <w:tcW w:w="1010" w:type="dxa"/>
                  <w:tcBorders>
                    <w:top w:val="outset" w:color="auto" w:sz="6" w:space="0"/>
                    <w:left w:val="outset" w:color="auto" w:sz="6" w:space="0"/>
                    <w:bottom w:val="outset" w:color="auto" w:sz="6" w:space="0"/>
                    <w:right w:val="outset" w:color="auto" w:sz="6" w:space="0"/>
                  </w:tcBorders>
                  <w:vAlign w:val="center"/>
                </w:tcPr>
                <w:p w14:paraId="6167F1BF">
                  <w:pPr>
                    <w:shd w:val="clear"/>
                    <w:jc w:val="center"/>
                    <w:rPr>
                      <w:rFonts w:hint="eastAsia" w:ascii="宋体" w:hAnsi="宋体" w:eastAsia="宋体" w:cs="宋体"/>
                      <w:color w:val="auto"/>
                      <w:highlight w:val="none"/>
                    </w:rPr>
                  </w:pPr>
                  <w:r>
                    <w:rPr>
                      <w:rFonts w:hint="eastAsia" w:ascii="宋体" w:hAnsi="宋体" w:eastAsia="宋体" w:cs="宋体"/>
                      <w:color w:val="auto"/>
                      <w:highlight w:val="none"/>
                    </w:rPr>
                    <w:t>0.01％</w:t>
                  </w:r>
                </w:p>
              </w:tc>
              <w:tc>
                <w:tcPr>
                  <w:tcW w:w="979" w:type="dxa"/>
                  <w:tcBorders>
                    <w:top w:val="outset" w:color="auto" w:sz="6" w:space="0"/>
                    <w:left w:val="outset" w:color="auto" w:sz="6" w:space="0"/>
                    <w:bottom w:val="outset" w:color="auto" w:sz="6" w:space="0"/>
                    <w:right w:val="outset" w:color="auto" w:sz="6" w:space="0"/>
                  </w:tcBorders>
                  <w:vAlign w:val="center"/>
                </w:tcPr>
                <w:p w14:paraId="60524ED8">
                  <w:pPr>
                    <w:shd w:val="clear"/>
                    <w:jc w:val="center"/>
                    <w:rPr>
                      <w:rFonts w:hint="eastAsia" w:ascii="宋体" w:hAnsi="宋体" w:eastAsia="宋体" w:cs="宋体"/>
                      <w:color w:val="auto"/>
                      <w:highlight w:val="none"/>
                    </w:rPr>
                  </w:pPr>
                  <w:r>
                    <w:rPr>
                      <w:rFonts w:hint="eastAsia" w:ascii="宋体" w:hAnsi="宋体" w:eastAsia="宋体" w:cs="宋体"/>
                      <w:color w:val="auto"/>
                      <w:highlight w:val="none"/>
                    </w:rPr>
                    <w:t>0.01％</w:t>
                  </w:r>
                </w:p>
              </w:tc>
            </w:tr>
          </w:tbl>
          <w:p w14:paraId="302FCE68">
            <w:pPr>
              <w:shd w:val="clear"/>
              <w:spacing w:line="340" w:lineRule="exact"/>
              <w:ind w:firstLine="420" w:firstLineChars="200"/>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结算方式及时间为：在领取中标通知书前由成交供应商一次性向采购代理机构付清。</w:t>
            </w:r>
          </w:p>
        </w:tc>
      </w:tr>
      <w:tr w14:paraId="64E01F4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37" w:hRule="atLeast"/>
          <w:jc w:val="center"/>
        </w:trPr>
        <w:tc>
          <w:tcPr>
            <w:tcW w:w="648" w:type="dxa"/>
            <w:vAlign w:val="center"/>
          </w:tcPr>
          <w:p w14:paraId="431AA49D">
            <w:pPr>
              <w:shd w:val="clear"/>
              <w:snapToGrid w:val="0"/>
              <w:jc w:val="center"/>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19</w:t>
            </w:r>
          </w:p>
        </w:tc>
        <w:tc>
          <w:tcPr>
            <w:tcW w:w="1800" w:type="dxa"/>
            <w:vAlign w:val="center"/>
          </w:tcPr>
          <w:p w14:paraId="233A9B91">
            <w:pPr>
              <w:shd w:val="clear"/>
              <w:snapToGrid w:val="0"/>
              <w:jc w:val="center"/>
              <w:rPr>
                <w:rFonts w:hint="eastAsia" w:ascii="宋体" w:hAnsi="宋体" w:eastAsia="宋体" w:cs="宋体"/>
                <w:color w:val="auto"/>
                <w:highlight w:val="none"/>
              </w:rPr>
            </w:pPr>
            <w:r>
              <w:rPr>
                <w:rFonts w:hint="eastAsia" w:ascii="宋体" w:hAnsi="宋体" w:eastAsia="宋体" w:cs="宋体"/>
                <w:color w:val="auto"/>
                <w:highlight w:val="none"/>
              </w:rPr>
              <w:t>是否允许分包</w:t>
            </w:r>
          </w:p>
        </w:tc>
        <w:tc>
          <w:tcPr>
            <w:tcW w:w="6682" w:type="dxa"/>
            <w:vAlign w:val="center"/>
          </w:tcPr>
          <w:p w14:paraId="2B93DA97">
            <w:pPr>
              <w:shd w:val="clear"/>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本项目</w:t>
            </w:r>
            <w:r>
              <w:rPr>
                <w:rFonts w:hint="eastAsia" w:ascii="宋体" w:hAnsi="宋体" w:eastAsia="宋体" w:cs="宋体"/>
                <w:color w:val="auto"/>
                <w:highlight w:val="none"/>
                <w:u w:val="single"/>
              </w:rPr>
              <w:t>不允许</w:t>
            </w:r>
            <w:r>
              <w:rPr>
                <w:rFonts w:hint="eastAsia" w:ascii="宋体" w:hAnsi="宋体" w:eastAsia="宋体" w:cs="宋体"/>
                <w:color w:val="auto"/>
                <w:highlight w:val="none"/>
              </w:rPr>
              <w:t>分包</w:t>
            </w:r>
          </w:p>
        </w:tc>
      </w:tr>
      <w:tr w14:paraId="42CB3A0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32" w:hRule="atLeast"/>
          <w:jc w:val="center"/>
        </w:trPr>
        <w:tc>
          <w:tcPr>
            <w:tcW w:w="648" w:type="dxa"/>
            <w:vAlign w:val="center"/>
          </w:tcPr>
          <w:p w14:paraId="75C4778C">
            <w:pPr>
              <w:shd w:val="clear"/>
              <w:snapToGrid w:val="0"/>
              <w:spacing w:line="360" w:lineRule="exact"/>
              <w:jc w:val="center"/>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20</w:t>
            </w:r>
          </w:p>
        </w:tc>
        <w:tc>
          <w:tcPr>
            <w:tcW w:w="1800" w:type="dxa"/>
            <w:tcBorders>
              <w:top w:val="single" w:color="auto" w:sz="4" w:space="0"/>
            </w:tcBorders>
            <w:vAlign w:val="center"/>
          </w:tcPr>
          <w:p w14:paraId="66A13EE4">
            <w:pPr>
              <w:shd w:val="clear"/>
              <w:snapToGrid w:val="0"/>
              <w:jc w:val="center"/>
              <w:rPr>
                <w:rFonts w:hint="eastAsia" w:ascii="宋体" w:hAnsi="宋体" w:eastAsia="宋体" w:cs="宋体"/>
                <w:color w:val="auto"/>
                <w:highlight w:val="none"/>
              </w:rPr>
            </w:pPr>
            <w:r>
              <w:rPr>
                <w:rFonts w:hint="eastAsia" w:ascii="宋体" w:hAnsi="宋体" w:eastAsia="宋体" w:cs="宋体"/>
                <w:color w:val="auto"/>
                <w:highlight w:val="none"/>
              </w:rPr>
              <w:t>是否提供演示</w:t>
            </w:r>
          </w:p>
        </w:tc>
        <w:tc>
          <w:tcPr>
            <w:tcW w:w="6682" w:type="dxa"/>
            <w:tcBorders>
              <w:top w:val="single" w:color="auto" w:sz="4" w:space="0"/>
            </w:tcBorders>
            <w:vAlign w:val="center"/>
          </w:tcPr>
          <w:p w14:paraId="370D6218">
            <w:pPr>
              <w:shd w:val="clear"/>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本项目</w:t>
            </w:r>
            <w:r>
              <w:rPr>
                <w:rFonts w:hint="eastAsia" w:ascii="宋体" w:hAnsi="宋体" w:eastAsia="宋体" w:cs="宋体"/>
                <w:color w:val="auto"/>
                <w:highlight w:val="none"/>
                <w:u w:val="single"/>
              </w:rPr>
              <w:t>不需要</w:t>
            </w:r>
            <w:r>
              <w:rPr>
                <w:rFonts w:hint="eastAsia" w:ascii="宋体" w:hAnsi="宋体" w:eastAsia="宋体" w:cs="宋体"/>
                <w:color w:val="auto"/>
                <w:highlight w:val="none"/>
              </w:rPr>
              <w:t>演示。</w:t>
            </w:r>
          </w:p>
        </w:tc>
      </w:tr>
      <w:tr w14:paraId="0B1209C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vMerge w:val="restart"/>
            <w:vAlign w:val="center"/>
          </w:tcPr>
          <w:p w14:paraId="474062A4">
            <w:pPr>
              <w:shd w:val="clear"/>
              <w:snapToGrid w:val="0"/>
              <w:spacing w:line="360" w:lineRule="exact"/>
              <w:jc w:val="center"/>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21</w:t>
            </w:r>
          </w:p>
        </w:tc>
        <w:tc>
          <w:tcPr>
            <w:tcW w:w="1800" w:type="dxa"/>
            <w:vMerge w:val="restart"/>
            <w:vAlign w:val="center"/>
          </w:tcPr>
          <w:p w14:paraId="50CB9310">
            <w:pPr>
              <w:shd w:val="clear"/>
              <w:snapToGrid w:val="0"/>
              <w:jc w:val="center"/>
              <w:rPr>
                <w:rFonts w:hint="eastAsia" w:ascii="宋体" w:hAnsi="宋体" w:eastAsia="宋体" w:cs="宋体"/>
                <w:color w:val="auto"/>
                <w:highlight w:val="none"/>
              </w:rPr>
            </w:pPr>
            <w:r>
              <w:rPr>
                <w:rFonts w:hint="eastAsia" w:ascii="宋体" w:hAnsi="宋体" w:eastAsia="宋体" w:cs="宋体"/>
                <w:color w:val="auto"/>
                <w:highlight w:val="none"/>
              </w:rPr>
              <w:t>预付款</w:t>
            </w:r>
          </w:p>
        </w:tc>
        <w:tc>
          <w:tcPr>
            <w:tcW w:w="6682" w:type="dxa"/>
            <w:vAlign w:val="center"/>
          </w:tcPr>
          <w:p w14:paraId="7E895559">
            <w:pPr>
              <w:shd w:val="clear"/>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本项目涉及预付款，预付款比例为</w:t>
            </w:r>
            <w:r>
              <w:rPr>
                <w:rFonts w:hint="eastAsia" w:ascii="宋体" w:hAnsi="宋体" w:eastAsia="宋体" w:cs="宋体"/>
                <w:color w:val="auto"/>
                <w:highlight w:val="none"/>
                <w:u w:val="single"/>
              </w:rPr>
              <w:t xml:space="preserve"> </w:t>
            </w:r>
            <w:r>
              <w:rPr>
                <w:rFonts w:hint="eastAsia" w:ascii="宋体" w:hAnsi="宋体" w:cs="宋体"/>
                <w:color w:val="auto"/>
                <w:highlight w:val="none"/>
                <w:u w:val="single"/>
                <w:lang w:val="en-US" w:eastAsia="zh-CN"/>
              </w:rPr>
              <w:t>20</w:t>
            </w:r>
            <w:r>
              <w:rPr>
                <w:rFonts w:hint="eastAsia" w:ascii="宋体" w:hAnsi="宋体" w:eastAsia="宋体" w:cs="宋体"/>
                <w:color w:val="auto"/>
                <w:highlight w:val="none"/>
                <w:u w:val="single"/>
              </w:rPr>
              <w:t xml:space="preserve"> %</w:t>
            </w:r>
          </w:p>
        </w:tc>
      </w:tr>
      <w:tr w14:paraId="68186F7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vMerge w:val="continue"/>
            <w:vAlign w:val="center"/>
          </w:tcPr>
          <w:p w14:paraId="24F6B027">
            <w:pPr>
              <w:shd w:val="clear"/>
              <w:snapToGrid w:val="0"/>
              <w:spacing w:line="360" w:lineRule="exact"/>
              <w:jc w:val="center"/>
              <w:rPr>
                <w:rFonts w:hint="eastAsia" w:ascii="宋体" w:hAnsi="宋体" w:eastAsia="宋体" w:cs="宋体"/>
                <w:snapToGrid w:val="0"/>
                <w:color w:val="auto"/>
                <w:kern w:val="0"/>
                <w:highlight w:val="none"/>
              </w:rPr>
            </w:pPr>
          </w:p>
        </w:tc>
        <w:tc>
          <w:tcPr>
            <w:tcW w:w="1800" w:type="dxa"/>
            <w:vMerge w:val="continue"/>
            <w:vAlign w:val="center"/>
          </w:tcPr>
          <w:p w14:paraId="29CE6641">
            <w:pPr>
              <w:shd w:val="clear"/>
              <w:snapToGrid w:val="0"/>
              <w:jc w:val="center"/>
              <w:rPr>
                <w:rFonts w:hint="eastAsia" w:ascii="宋体" w:hAnsi="宋体" w:eastAsia="宋体" w:cs="宋体"/>
                <w:color w:val="auto"/>
                <w:highlight w:val="none"/>
              </w:rPr>
            </w:pPr>
          </w:p>
        </w:tc>
        <w:tc>
          <w:tcPr>
            <w:tcW w:w="6682" w:type="dxa"/>
          </w:tcPr>
          <w:p w14:paraId="0E7321A8">
            <w:pPr>
              <w:shd w:val="clear"/>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根据《浙江省财政厅关于进一步发挥政府采购政策功能全力推动经济稳进提质的通知》[浙财采监</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2022）3号]文件第二条第五点关于“进一步提高政府采购预付款比例”的规定：</w:t>
            </w:r>
          </w:p>
          <w:p w14:paraId="5B9F7580">
            <w:pPr>
              <w:shd w:val="clear"/>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1、采购单位应当在政府采购合同中约定预付款；</w:t>
            </w:r>
          </w:p>
          <w:p w14:paraId="4E246926">
            <w:pPr>
              <w:shd w:val="clear"/>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项目涉及中小企业合同预付款的，合同签订后，采购人可以根据项目特点、供应商诚信等因素要求中标人提交银行、保险公司等金融机构出具的预付款保函或其他担保措施，采购人在合同生效以及具备实施条件后7个工作日内向中标人支付40%-70%的合同款作为预付款（项目为分年安排预算的，预付款按年度计划支付资金额的上述比例执行）；项目如以人工投入为主，采购人在合同生效以及具备实施条件后7个工作日内向中标人支付20%</w:t>
            </w:r>
            <w:r>
              <w:rPr>
                <w:rFonts w:hint="eastAsia" w:ascii="宋体" w:hAnsi="宋体" w:cs="宋体"/>
                <w:color w:val="auto"/>
                <w:highlight w:val="none"/>
                <w:lang w:eastAsia="zh-CN"/>
              </w:rPr>
              <w:t>—</w:t>
            </w:r>
            <w:r>
              <w:rPr>
                <w:rFonts w:hint="eastAsia" w:ascii="宋体" w:hAnsi="宋体" w:eastAsia="宋体" w:cs="宋体"/>
                <w:color w:val="auto"/>
                <w:highlight w:val="none"/>
              </w:rPr>
              <w:t>70%的合同款作为预付款。</w:t>
            </w:r>
          </w:p>
          <w:p w14:paraId="1E78C773">
            <w:pPr>
              <w:shd w:val="clear"/>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3、本项目涉及投标人为大型企业，或者以人工投入为主且实行按月定期结算支付款项的，预付款可低于上述比例或者不约定预付款（相应字样应在合同中体现）。</w:t>
            </w:r>
          </w:p>
          <w:p w14:paraId="38AE1B4D">
            <w:pPr>
              <w:shd w:val="clear"/>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4、在签订合同时，中标人明确表示无需预付款或者主动要求降低预付款比例的，应提交相应申请函经采购人确认后，可不适用前述规定。</w:t>
            </w:r>
          </w:p>
        </w:tc>
      </w:tr>
      <w:tr w14:paraId="5EE9299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vAlign w:val="center"/>
          </w:tcPr>
          <w:p w14:paraId="47953D8A">
            <w:pPr>
              <w:shd w:val="clear"/>
              <w:snapToGrid w:val="0"/>
              <w:spacing w:line="360" w:lineRule="exact"/>
              <w:jc w:val="center"/>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22</w:t>
            </w:r>
          </w:p>
        </w:tc>
        <w:tc>
          <w:tcPr>
            <w:tcW w:w="1800" w:type="dxa"/>
            <w:vAlign w:val="center"/>
          </w:tcPr>
          <w:p w14:paraId="5CFFAEDA">
            <w:pPr>
              <w:shd w:val="clear"/>
              <w:snapToGrid w:val="0"/>
              <w:jc w:val="center"/>
              <w:rPr>
                <w:rFonts w:hint="eastAsia" w:ascii="宋体" w:hAnsi="宋体" w:eastAsia="宋体" w:cs="宋体"/>
                <w:color w:val="auto"/>
                <w:highlight w:val="none"/>
              </w:rPr>
            </w:pPr>
            <w:r>
              <w:rPr>
                <w:rFonts w:hint="eastAsia" w:ascii="宋体" w:hAnsi="宋体" w:eastAsia="宋体" w:cs="宋体"/>
                <w:color w:val="auto"/>
                <w:highlight w:val="none"/>
              </w:rPr>
              <w:t>供应商信用信息查询渠道及截止时点、信用信息查询记录和证据留存的具体方式、信用信息的使用规则</w:t>
            </w:r>
          </w:p>
        </w:tc>
        <w:tc>
          <w:tcPr>
            <w:tcW w:w="6682" w:type="dxa"/>
            <w:vAlign w:val="center"/>
          </w:tcPr>
          <w:p w14:paraId="2E23BB67">
            <w:pPr>
              <w:shd w:val="clear"/>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1、查询渠道：信用中国（网址：http://www.creditchina.gov.cn）、中国政府采购网</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网址：http://www.ccgp.gov.cn）。</w:t>
            </w:r>
          </w:p>
          <w:p w14:paraId="65C25F15">
            <w:pPr>
              <w:shd w:val="clear"/>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2、截止时点：开标后评标前。</w:t>
            </w:r>
          </w:p>
          <w:p w14:paraId="6E1DE57D">
            <w:pPr>
              <w:shd w:val="clear"/>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3、信用信息查询记录和证据留存的具体方式：由采购组织机构在规定查询时间内打印信用信息查询记录并归入项目档案。</w:t>
            </w:r>
          </w:p>
          <w:p w14:paraId="6749748D">
            <w:pPr>
              <w:shd w:val="clear"/>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4、使用规则：对列入失信被执行人、重大税收违法案件当事人名单、政府采购严重违法失信行为记录名单及其他不符合《中华人民共和国政府采购法》第二十二条规定条件的供应商，将被拒绝其参与政府采购活动。</w:t>
            </w:r>
          </w:p>
        </w:tc>
      </w:tr>
      <w:tr w14:paraId="03C5FA7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vAlign w:val="center"/>
          </w:tcPr>
          <w:p w14:paraId="421A0FBE">
            <w:pPr>
              <w:shd w:val="clear"/>
              <w:snapToGrid w:val="0"/>
              <w:spacing w:line="360" w:lineRule="exact"/>
              <w:jc w:val="center"/>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23</w:t>
            </w:r>
          </w:p>
        </w:tc>
        <w:tc>
          <w:tcPr>
            <w:tcW w:w="1800" w:type="dxa"/>
            <w:vAlign w:val="center"/>
          </w:tcPr>
          <w:p w14:paraId="7C701DD0">
            <w:pPr>
              <w:shd w:val="clear"/>
              <w:snapToGrid w:val="0"/>
              <w:jc w:val="center"/>
              <w:rPr>
                <w:rFonts w:hint="eastAsia" w:ascii="宋体" w:hAnsi="宋体" w:eastAsia="宋体" w:cs="宋体"/>
                <w:color w:val="auto"/>
                <w:highlight w:val="none"/>
              </w:rPr>
            </w:pPr>
            <w:r>
              <w:rPr>
                <w:rFonts w:hint="eastAsia" w:ascii="宋体" w:hAnsi="宋体" w:eastAsia="宋体" w:cs="宋体"/>
                <w:color w:val="auto"/>
                <w:highlight w:val="none"/>
              </w:rPr>
              <w:t>金融支持</w:t>
            </w:r>
          </w:p>
        </w:tc>
        <w:tc>
          <w:tcPr>
            <w:tcW w:w="6682" w:type="dxa"/>
            <w:vAlign w:val="center"/>
          </w:tcPr>
          <w:p w14:paraId="2F9521C7">
            <w:pPr>
              <w:shd w:val="clear"/>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为支持和促进中小企业发展，进一步发挥政府采购政策功能，企业若有融资意向，</w:t>
            </w:r>
            <w:r>
              <w:rPr>
                <w:rFonts w:hint="eastAsia" w:ascii="宋体" w:hAnsi="宋体" w:eastAsia="宋体" w:cs="宋体"/>
                <w:color w:val="auto"/>
                <w:highlight w:val="none"/>
                <w:lang w:eastAsia="zh-CN"/>
              </w:rPr>
              <w:t>可登录</w:t>
            </w:r>
            <w:r>
              <w:rPr>
                <w:rFonts w:hint="eastAsia" w:ascii="宋体" w:hAnsi="宋体" w:eastAsia="宋体" w:cs="宋体"/>
                <w:color w:val="auto"/>
                <w:highlight w:val="none"/>
              </w:rPr>
              <w:t>政采云平台融资服务（https://jinrong.zcygov.cn/），查看相应融资政策文件及各相关银行服务方案。</w:t>
            </w:r>
          </w:p>
        </w:tc>
      </w:tr>
      <w:tr w14:paraId="1B419D8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tcBorders>
              <w:bottom w:val="double" w:color="auto" w:sz="4" w:space="0"/>
            </w:tcBorders>
            <w:vAlign w:val="center"/>
          </w:tcPr>
          <w:p w14:paraId="44B5FC06">
            <w:pPr>
              <w:shd w:val="clear"/>
              <w:snapToGrid w:val="0"/>
              <w:spacing w:line="360" w:lineRule="exact"/>
              <w:jc w:val="center"/>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24</w:t>
            </w:r>
          </w:p>
        </w:tc>
        <w:tc>
          <w:tcPr>
            <w:tcW w:w="1800" w:type="dxa"/>
            <w:tcBorders>
              <w:bottom w:val="double" w:color="auto" w:sz="4" w:space="0"/>
            </w:tcBorders>
            <w:vAlign w:val="center"/>
          </w:tcPr>
          <w:p w14:paraId="53656892">
            <w:pPr>
              <w:shd w:val="clear"/>
              <w:snapToGrid w:val="0"/>
              <w:jc w:val="center"/>
              <w:rPr>
                <w:rFonts w:hint="eastAsia" w:ascii="宋体" w:hAnsi="宋体" w:eastAsia="宋体" w:cs="宋体"/>
                <w:color w:val="auto"/>
                <w:highlight w:val="none"/>
              </w:rPr>
            </w:pPr>
            <w:r>
              <w:rPr>
                <w:rFonts w:hint="eastAsia" w:ascii="宋体" w:hAnsi="宋体" w:eastAsia="宋体" w:cs="宋体"/>
                <w:color w:val="auto"/>
                <w:highlight w:val="none"/>
              </w:rPr>
              <w:t>其他</w:t>
            </w:r>
          </w:p>
        </w:tc>
        <w:tc>
          <w:tcPr>
            <w:tcW w:w="6682" w:type="dxa"/>
            <w:tcBorders>
              <w:bottom w:val="double" w:color="auto" w:sz="4" w:space="0"/>
            </w:tcBorders>
            <w:vAlign w:val="center"/>
          </w:tcPr>
          <w:p w14:paraId="02813AEC">
            <w:pPr>
              <w:numPr>
                <w:ilvl w:val="0"/>
                <w:numId w:val="8"/>
              </w:numPr>
              <w:shd w:val="clear"/>
              <w:ind w:firstLine="422" w:firstLineChars="200"/>
              <w:rPr>
                <w:rFonts w:hint="eastAsia" w:ascii="宋体" w:hAnsi="宋体" w:eastAsia="宋体" w:cs="宋体"/>
                <w:b/>
                <w:bCs/>
                <w:color w:val="auto"/>
                <w:highlight w:val="none"/>
              </w:rPr>
            </w:pPr>
            <w:r>
              <w:rPr>
                <w:rFonts w:hint="eastAsia" w:ascii="宋体" w:hAnsi="宋体" w:eastAsia="宋体" w:cs="宋体"/>
                <w:b/>
                <w:bCs/>
                <w:color w:val="auto"/>
                <w:highlight w:val="none"/>
              </w:rPr>
              <w:t>本磋商文件要求提供的身份证复印件皆需提供正反面，否则按不提供处理。</w:t>
            </w:r>
          </w:p>
          <w:p w14:paraId="36CA9A2C">
            <w:pPr>
              <w:shd w:val="clear"/>
              <w:ind w:firstLine="420" w:firstLineChars="200"/>
              <w:rPr>
                <w:rFonts w:hint="eastAsia" w:ascii="宋体" w:hAnsi="宋体" w:eastAsia="宋体" w:cs="宋体"/>
                <w:b/>
                <w:bCs/>
                <w:color w:val="auto"/>
                <w:highlight w:val="none"/>
              </w:rPr>
            </w:pPr>
            <w:r>
              <w:rPr>
                <w:rFonts w:hint="eastAsia" w:ascii="宋体" w:hAnsi="宋体" w:eastAsia="宋体" w:cs="宋体"/>
                <w:color w:val="auto"/>
                <w:highlight w:val="none"/>
              </w:rPr>
              <w:t>2、本项目货物如涉及柴油动力移动源，柴油动力移动源应当符合低排放要求。</w:t>
            </w:r>
          </w:p>
        </w:tc>
      </w:tr>
    </w:tbl>
    <w:p w14:paraId="7F84C79B">
      <w:pPr>
        <w:pStyle w:val="3"/>
        <w:shd w:val="clear"/>
        <w:rPr>
          <w:rFonts w:hint="eastAsia" w:ascii="宋体" w:hAnsi="宋体" w:eastAsia="宋体" w:cs="宋体"/>
          <w:color w:val="auto"/>
          <w:highlight w:val="none"/>
        </w:rPr>
        <w:sectPr>
          <w:footerReference r:id="rId4" w:type="default"/>
          <w:pgSz w:w="11906" w:h="16838"/>
          <w:pgMar w:top="1440" w:right="1800" w:bottom="1440" w:left="1800" w:header="851" w:footer="992" w:gutter="0"/>
          <w:pgNumType w:start="1"/>
          <w:cols w:space="425" w:num="1"/>
          <w:docGrid w:type="lines" w:linePitch="312" w:charSpace="0"/>
        </w:sectPr>
      </w:pPr>
      <w:r>
        <w:rPr>
          <w:rFonts w:hint="eastAsia" w:ascii="宋体" w:hAnsi="宋体" w:eastAsia="宋体" w:cs="宋体"/>
          <w:color w:val="auto"/>
          <w:sz w:val="24"/>
          <w:szCs w:val="24"/>
          <w:highlight w:val="none"/>
        </w:rPr>
        <w:t>注：以上内容如有变化将另行通知。如通知其中某一内容发生变化，其余未提及的将不作变动。</w:t>
      </w:r>
    </w:p>
    <w:p w14:paraId="658BB1C8">
      <w:pPr>
        <w:pStyle w:val="2"/>
        <w:numPr>
          <w:ilvl w:val="0"/>
          <w:numId w:val="0"/>
        </w:numPr>
        <w:shd w:val="clear"/>
        <w:spacing w:line="336" w:lineRule="auto"/>
        <w:jc w:val="center"/>
        <w:rPr>
          <w:rFonts w:hint="eastAsia" w:ascii="宋体" w:hAnsi="宋体" w:eastAsia="宋体" w:cs="宋体"/>
          <w:color w:val="auto"/>
          <w:highlight w:val="none"/>
        </w:rPr>
      </w:pPr>
      <w:r>
        <w:rPr>
          <w:rFonts w:hint="eastAsia" w:ascii="宋体" w:hAnsi="宋体" w:eastAsia="宋体" w:cs="宋体"/>
          <w:b/>
          <w:bCs/>
          <w:color w:val="auto"/>
          <w:kern w:val="2"/>
          <w:sz w:val="28"/>
          <w:szCs w:val="28"/>
          <w:highlight w:val="none"/>
          <w:lang w:val="en-US" w:eastAsia="zh-CN" w:bidi="ar-SA"/>
        </w:rPr>
        <w:t>一、</w:t>
      </w:r>
      <w:r>
        <w:rPr>
          <w:rFonts w:hint="eastAsia" w:ascii="宋体" w:hAnsi="宋体" w:eastAsia="宋体" w:cs="宋体"/>
          <w:color w:val="auto"/>
          <w:highlight w:val="none"/>
        </w:rPr>
        <w:t xml:space="preserve"> </w:t>
      </w:r>
      <w:bookmarkStart w:id="14" w:name="_Toc25187"/>
      <w:bookmarkStart w:id="15" w:name="_Toc22810"/>
      <w:r>
        <w:rPr>
          <w:rFonts w:hint="eastAsia" w:ascii="宋体" w:hAnsi="宋体" w:eastAsia="宋体" w:cs="宋体"/>
          <w:color w:val="auto"/>
          <w:highlight w:val="none"/>
        </w:rPr>
        <w:t>总则</w:t>
      </w:r>
      <w:bookmarkEnd w:id="14"/>
      <w:bookmarkEnd w:id="15"/>
    </w:p>
    <w:p w14:paraId="28A8DDE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本次招标工作是按照《中华人民共和国政府采购法</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中华人民共和国政府采购法实施条例》《政府采购竞争性磋商采购方式管理暂行办法》等相关法律、组织和实施，并由政府采购管理部门指导和监督。</w:t>
      </w:r>
    </w:p>
    <w:p w14:paraId="716A260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1、适用范围</w:t>
      </w:r>
    </w:p>
    <w:p w14:paraId="3CC2913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1.1本次磋商工作仅适用于</w:t>
      </w:r>
      <w:r>
        <w:rPr>
          <w:rFonts w:hint="eastAsia" w:ascii="宋体" w:hAnsi="宋体" w:cs="宋体"/>
          <w:color w:val="auto"/>
          <w:sz w:val="24"/>
          <w:szCs w:val="24"/>
          <w:highlight w:val="none"/>
          <w:lang w:eastAsia="zh-CN"/>
        </w:rPr>
        <w:t>2025年百官街道安全生产检查社会化服务采购</w:t>
      </w:r>
      <w:r>
        <w:rPr>
          <w:rFonts w:hint="eastAsia" w:ascii="宋体" w:hAnsi="宋体" w:eastAsia="宋体" w:cs="宋体"/>
          <w:color w:val="auto"/>
          <w:sz w:val="24"/>
          <w:szCs w:val="24"/>
          <w:highlight w:val="none"/>
        </w:rPr>
        <w:t>。</w:t>
      </w:r>
    </w:p>
    <w:p w14:paraId="14D6D72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1.2本项目采购方式采用竞争性磋商方式。</w:t>
      </w:r>
    </w:p>
    <w:p w14:paraId="0E9FEAD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2、定义</w:t>
      </w:r>
    </w:p>
    <w:p w14:paraId="18478AE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w:t>
      </w:r>
      <w:r>
        <w:rPr>
          <w:rFonts w:hint="eastAsia" w:ascii="宋体" w:hAnsi="宋体" w:eastAsia="宋体" w:cs="宋体"/>
          <w:color w:val="auto"/>
          <w:sz w:val="24"/>
          <w:szCs w:val="24"/>
          <w:highlight w:val="none"/>
          <w:lang w:val="zh-CN"/>
        </w:rPr>
        <w:t>采购人”系指</w:t>
      </w:r>
      <w:r>
        <w:rPr>
          <w:rFonts w:hint="eastAsia" w:ascii="宋体" w:hAnsi="宋体" w:eastAsia="宋体" w:cs="宋体"/>
          <w:color w:val="auto"/>
          <w:sz w:val="24"/>
          <w:szCs w:val="24"/>
          <w:highlight w:val="none"/>
        </w:rPr>
        <w:t xml:space="preserve"> </w:t>
      </w:r>
      <w:r>
        <w:rPr>
          <w:rFonts w:hint="eastAsia" w:ascii="宋体" w:hAnsi="宋体" w:cs="宋体"/>
          <w:color w:val="auto"/>
          <w:sz w:val="24"/>
          <w:szCs w:val="24"/>
          <w:highlight w:val="none"/>
          <w:lang w:eastAsia="zh-CN"/>
        </w:rPr>
        <w:t>绍兴市上虞区百官街道办事处</w:t>
      </w:r>
      <w:r>
        <w:rPr>
          <w:rFonts w:hint="eastAsia" w:ascii="宋体" w:hAnsi="宋体" w:eastAsia="宋体" w:cs="宋体"/>
          <w:color w:val="auto"/>
          <w:sz w:val="24"/>
          <w:szCs w:val="24"/>
          <w:highlight w:val="none"/>
        </w:rPr>
        <w:t xml:space="preserve"> 。采购人委托 浙江宇康工程管理咨询有限公司 为本项目采购代理机构。</w:t>
      </w:r>
    </w:p>
    <w:p w14:paraId="56E908D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2.2“磋商供应商”系指响应本次采购，参加本次竞争性磋商的供应商。</w:t>
      </w:r>
    </w:p>
    <w:p w14:paraId="573A391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2.3</w:t>
      </w:r>
      <w:r>
        <w:rPr>
          <w:rFonts w:hint="eastAsia" w:ascii="宋体" w:hAnsi="宋体" w:eastAsia="宋体" w:cs="宋体"/>
          <w:color w:val="auto"/>
          <w:sz w:val="24"/>
          <w:szCs w:val="24"/>
          <w:highlight w:val="none"/>
          <w:lang w:val="zh-CN"/>
        </w:rPr>
        <w:t>“服务”系指</w:t>
      </w:r>
      <w:r>
        <w:rPr>
          <w:rFonts w:hint="eastAsia" w:ascii="宋体" w:hAnsi="宋体" w:eastAsia="宋体" w:cs="宋体"/>
          <w:color w:val="auto"/>
          <w:sz w:val="24"/>
          <w:szCs w:val="24"/>
          <w:highlight w:val="none"/>
        </w:rPr>
        <w:t>磋商供应商按合同规定，须承担的服务的义务</w:t>
      </w:r>
      <w:r>
        <w:rPr>
          <w:rFonts w:hint="eastAsia" w:ascii="宋体" w:hAnsi="宋体" w:eastAsia="宋体" w:cs="宋体"/>
          <w:color w:val="auto"/>
          <w:sz w:val="24"/>
          <w:szCs w:val="24"/>
          <w:highlight w:val="none"/>
          <w:lang w:val="zh-CN"/>
        </w:rPr>
        <w:t>。</w:t>
      </w:r>
    </w:p>
    <w:p w14:paraId="72AA10A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3、采购项目概况</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ab/>
      </w:r>
    </w:p>
    <w:p w14:paraId="4BE5B0F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详见竞争性磋商公告相关内容，主要要求参见本文件第 三 部分。</w:t>
      </w:r>
    </w:p>
    <w:p w14:paraId="70A7472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4、合格的磋商供应商</w:t>
      </w:r>
    </w:p>
    <w:p w14:paraId="6B5207B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bookmarkStart w:id="16" w:name="_Toc193523219"/>
      <w:bookmarkStart w:id="17" w:name="_Toc208287611"/>
      <w:bookmarkStart w:id="18" w:name="_Toc193538208"/>
      <w:bookmarkStart w:id="19" w:name="_Toc207946571"/>
      <w:bookmarkStart w:id="20" w:name="_Toc211412066"/>
      <w:bookmarkStart w:id="21" w:name="_Toc209504018"/>
      <w:bookmarkStart w:id="22" w:name="_Toc197053926"/>
      <w:bookmarkStart w:id="23" w:name="_Toc209435242"/>
      <w:bookmarkStart w:id="24" w:name="_Toc209520993"/>
      <w:bookmarkStart w:id="25" w:name="_Toc208913145"/>
      <w:bookmarkStart w:id="26" w:name="_Toc197657950"/>
      <w:bookmarkStart w:id="27" w:name="_Toc197163261"/>
      <w:bookmarkStart w:id="28" w:name="_Toc197156227"/>
      <w:bookmarkStart w:id="29" w:name="_Toc204683265"/>
      <w:r>
        <w:rPr>
          <w:rFonts w:hint="eastAsia" w:ascii="宋体" w:hAnsi="宋体" w:eastAsia="宋体" w:cs="宋体"/>
          <w:color w:val="auto"/>
          <w:sz w:val="24"/>
          <w:szCs w:val="24"/>
          <w:highlight w:val="none"/>
        </w:rPr>
        <w:t>详见竞争性磋商采购公告磋商供应商的资格要求规定。</w:t>
      </w:r>
      <w:bookmarkEnd w:id="16"/>
      <w:bookmarkEnd w:id="17"/>
      <w:bookmarkEnd w:id="18"/>
      <w:bookmarkEnd w:id="19"/>
      <w:bookmarkEnd w:id="20"/>
      <w:bookmarkEnd w:id="21"/>
      <w:bookmarkEnd w:id="22"/>
      <w:bookmarkEnd w:id="23"/>
      <w:bookmarkEnd w:id="24"/>
      <w:bookmarkEnd w:id="25"/>
      <w:bookmarkEnd w:id="26"/>
      <w:bookmarkEnd w:id="27"/>
      <w:bookmarkEnd w:id="28"/>
      <w:bookmarkEnd w:id="29"/>
    </w:p>
    <w:p w14:paraId="7D5433B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5、磋商费用</w:t>
      </w:r>
    </w:p>
    <w:p w14:paraId="2F2F476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磋商供应商应承担其参加磋商所涉及的一切费用，不管结果如何，采购人对上述费用不负任何责任。</w:t>
      </w:r>
    </w:p>
    <w:p w14:paraId="2C21526C">
      <w:pPr>
        <w:pStyle w:val="2"/>
        <w:numPr>
          <w:ilvl w:val="0"/>
          <w:numId w:val="0"/>
        </w:numPr>
        <w:shd w:val="clear"/>
        <w:spacing w:line="336" w:lineRule="auto"/>
        <w:jc w:val="center"/>
        <w:rPr>
          <w:rFonts w:hint="eastAsia" w:ascii="宋体" w:hAnsi="宋体" w:eastAsia="宋体" w:cs="宋体"/>
          <w:color w:val="auto"/>
          <w:highlight w:val="none"/>
        </w:rPr>
      </w:pPr>
      <w:bookmarkStart w:id="30" w:name="_Toc416992151"/>
      <w:bookmarkStart w:id="31" w:name="_Toc25923"/>
      <w:bookmarkStart w:id="32" w:name="_Toc32689"/>
      <w:r>
        <w:rPr>
          <w:rFonts w:hint="eastAsia" w:ascii="宋体" w:hAnsi="宋体" w:eastAsia="宋体" w:cs="宋体"/>
          <w:b/>
          <w:bCs/>
          <w:color w:val="auto"/>
          <w:kern w:val="2"/>
          <w:sz w:val="28"/>
          <w:szCs w:val="28"/>
          <w:highlight w:val="none"/>
          <w:lang w:val="en-US" w:eastAsia="zh-CN" w:bidi="ar-SA"/>
        </w:rPr>
        <w:t>二、</w:t>
      </w:r>
      <w:r>
        <w:rPr>
          <w:rFonts w:hint="eastAsia" w:ascii="宋体" w:hAnsi="宋体" w:eastAsia="宋体" w:cs="宋体"/>
          <w:color w:val="auto"/>
          <w:highlight w:val="none"/>
        </w:rPr>
        <w:t xml:space="preserve"> </w:t>
      </w:r>
      <w:bookmarkStart w:id="33" w:name="_Toc248"/>
      <w:bookmarkStart w:id="34" w:name="_Toc11814"/>
      <w:r>
        <w:rPr>
          <w:rFonts w:hint="eastAsia" w:ascii="宋体" w:hAnsi="宋体" w:eastAsia="宋体" w:cs="宋体"/>
          <w:color w:val="auto"/>
          <w:highlight w:val="none"/>
        </w:rPr>
        <w:t>竞争性磋商文件</w:t>
      </w:r>
      <w:bookmarkEnd w:id="30"/>
      <w:bookmarkEnd w:id="31"/>
      <w:bookmarkEnd w:id="32"/>
      <w:bookmarkEnd w:id="33"/>
      <w:bookmarkEnd w:id="34"/>
    </w:p>
    <w:p w14:paraId="2C04AD4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6、磋商文件的组成</w:t>
      </w:r>
    </w:p>
    <w:p w14:paraId="3414672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6.1本磋商文件包括目录所示内容及所有按本须知发出的补充资料（如果有）。</w:t>
      </w:r>
    </w:p>
    <w:p w14:paraId="1CB44B7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6.2除上述所列内容外，采购人及采购代理机构的任何工作人员对磋商供应商所作的任何口头解释、介绍、答复，只能供磋商供应商参考，对采购人和磋商供应商无任何约束力。</w:t>
      </w:r>
    </w:p>
    <w:p w14:paraId="14476EA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6.3磋商供应商应仔细阅读磋商文件的所有内容，按照文件要求提交响应文件，并保证所提交的全部资料的真实性。不按磋商文件的要求提供的响应文件和资料，可能导致磋商被拒绝。</w:t>
      </w:r>
    </w:p>
    <w:p w14:paraId="54A18BF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6.4磋商文件是磋商过程进行的有效依据，也是成交后签订合同的依据，对双方均具有约束力，凡不遵守磋商文件规定或对磋商文件的实质性内容不响应的报价，将可能被拒绝或以无效</w:t>
      </w:r>
      <w:r>
        <w:rPr>
          <w:rFonts w:hint="eastAsia" w:ascii="宋体" w:hAnsi="宋体" w:cs="宋体"/>
          <w:color w:val="auto"/>
          <w:sz w:val="24"/>
          <w:szCs w:val="24"/>
          <w:highlight w:val="none"/>
          <w:lang w:eastAsia="zh-CN"/>
        </w:rPr>
        <w:t>标准</w:t>
      </w:r>
      <w:r>
        <w:rPr>
          <w:rFonts w:hint="eastAsia" w:ascii="宋体" w:hAnsi="宋体" w:eastAsia="宋体" w:cs="宋体"/>
          <w:color w:val="auto"/>
          <w:sz w:val="24"/>
          <w:szCs w:val="24"/>
          <w:highlight w:val="none"/>
        </w:rPr>
        <w:t>处理。本磋商文件由采购人或采购代理机构进行解释。</w:t>
      </w:r>
    </w:p>
    <w:p w14:paraId="208D5A5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7、磋商文件的澄清与修改</w:t>
      </w:r>
    </w:p>
    <w:p w14:paraId="3E4E0AC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7.1磋商供应商在收到竞争性磋商文件后，若有问题需要澄清或认为有必要与采购人进行技术交流，应于前附表规定时间前，将问题按前附表要求发至指定邮箱里。（电子邮件只作方便工作之用，与书面文件有不一致的，以书面文件为准）。截止期后的疑问将不予受理、答复。</w:t>
      </w:r>
    </w:p>
    <w:p w14:paraId="2C85358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7.2磋商供应商要求解释或澄清的问题应以书面形式，并加盖公章、写明日期。</w:t>
      </w:r>
    </w:p>
    <w:p w14:paraId="0C74078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7.3提交响应文件截止之日前，采购人、采购代理机构或者磋商小组可以对已发出的磋商文件进行必要的澄清或者修改，澄清或者修改的内容作为磋商文件的组成部分。</w:t>
      </w:r>
    </w:p>
    <w:p w14:paraId="7095941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7.4竞争性磋商文件的澄清修改文件及更正补充公告，请自行登录浙江政府采购网或绍兴市上虞区公共资源交易中心网站，在采购公告页面中下载。</w:t>
      </w:r>
    </w:p>
    <w:p w14:paraId="2762B6E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7.5澄清或者修改的内容可能影响响应文件编制的，采购人、采购代理机构将在提交响应文件截止时间至少5日前，以公告形式通知所有获取磋商文件的供应商；不足5日的，采购人、采购代理机构可能会顺延提交首次响应文件截止时间。澄清或者修改的内容未对原磋商文件作出重大修改或不会影响响应文件编制的，递交首次响应文件截止时间不变。</w:t>
      </w:r>
    </w:p>
    <w:p w14:paraId="5196C7D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7.6竞争性磋商文件澄清、答复、修改、补充的内容为竞争性磋商文件的组成部分。</w:t>
      </w:r>
    </w:p>
    <w:p w14:paraId="5B112B8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7.7磋商文件发售截止日后，经采购人同意后购买磋商文件的磋商供应商不得对磋商文件和补充文件提出答疑或质疑。</w:t>
      </w:r>
    </w:p>
    <w:p w14:paraId="06576A92">
      <w:pPr>
        <w:pStyle w:val="2"/>
        <w:numPr>
          <w:ilvl w:val="0"/>
          <w:numId w:val="0"/>
        </w:numPr>
        <w:shd w:val="clear"/>
        <w:spacing w:line="336" w:lineRule="auto"/>
        <w:jc w:val="center"/>
        <w:rPr>
          <w:rFonts w:hint="eastAsia" w:ascii="宋体" w:hAnsi="宋体" w:eastAsia="宋体" w:cs="宋体"/>
          <w:color w:val="auto"/>
          <w:highlight w:val="none"/>
        </w:rPr>
      </w:pPr>
      <w:bookmarkStart w:id="35" w:name="_Toc391298957"/>
      <w:bookmarkStart w:id="36" w:name="_Toc7126"/>
      <w:bookmarkStart w:id="37" w:name="_Toc6457"/>
      <w:bookmarkStart w:id="38" w:name="_Toc26027"/>
      <w:bookmarkStart w:id="39" w:name="_Toc18702"/>
      <w:bookmarkStart w:id="40" w:name="_Toc26603"/>
      <w:bookmarkStart w:id="41" w:name="_Toc8860"/>
      <w:bookmarkStart w:id="42" w:name="_Toc23975"/>
      <w:bookmarkStart w:id="43" w:name="_Toc10669"/>
      <w:bookmarkStart w:id="44" w:name="_Toc11093"/>
      <w:bookmarkStart w:id="45" w:name="_Toc1729"/>
      <w:bookmarkStart w:id="46" w:name="_Toc14650"/>
      <w:bookmarkStart w:id="47" w:name="_Toc6079"/>
      <w:bookmarkStart w:id="48" w:name="_Toc11669"/>
      <w:bookmarkStart w:id="49" w:name="_Toc1828"/>
      <w:bookmarkStart w:id="50" w:name="_Toc24622"/>
      <w:bookmarkStart w:id="51" w:name="_Toc1202"/>
      <w:bookmarkStart w:id="52" w:name="_Toc10810"/>
      <w:bookmarkStart w:id="53" w:name="_Toc11692"/>
      <w:bookmarkStart w:id="54" w:name="_Toc6273"/>
      <w:bookmarkStart w:id="55" w:name="_Toc23135"/>
      <w:bookmarkStart w:id="56" w:name="_Toc31748"/>
      <w:r>
        <w:rPr>
          <w:rFonts w:hint="eastAsia" w:ascii="宋体" w:hAnsi="宋体" w:eastAsia="宋体" w:cs="宋体"/>
          <w:b/>
          <w:bCs/>
          <w:color w:val="auto"/>
          <w:kern w:val="2"/>
          <w:sz w:val="28"/>
          <w:szCs w:val="28"/>
          <w:highlight w:val="none"/>
          <w:lang w:val="en-US" w:eastAsia="zh-CN" w:bidi="ar-SA"/>
        </w:rPr>
        <w:t>三、</w:t>
      </w:r>
      <w:r>
        <w:rPr>
          <w:rFonts w:hint="eastAsia" w:ascii="宋体" w:hAnsi="宋体" w:eastAsia="宋体" w:cs="宋体"/>
          <w:color w:val="auto"/>
          <w:highlight w:val="none"/>
        </w:rPr>
        <w:t xml:space="preserve"> </w:t>
      </w:r>
      <w:bookmarkStart w:id="57" w:name="_Toc11515"/>
      <w:bookmarkStart w:id="58" w:name="_Toc1835"/>
      <w:r>
        <w:rPr>
          <w:rFonts w:hint="eastAsia" w:ascii="宋体" w:hAnsi="宋体" w:eastAsia="宋体" w:cs="宋体"/>
          <w:color w:val="auto"/>
          <w:highlight w:val="none"/>
        </w:rPr>
        <w:t>竞争性磋商响应文件的编写</w:t>
      </w:r>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p>
    <w:p w14:paraId="6B2E5E9A">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8、要求</w:t>
      </w:r>
    </w:p>
    <w:p w14:paraId="6FF8FEE2">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8.1供应商应仔细阅读竞争性磋商文件的所有内容，按照竞争性磋商文件的要求提交竞争性磋商响应文件。竞争性磋商响应文件应对竞争性磋商文件的要求</w:t>
      </w:r>
      <w:r>
        <w:rPr>
          <w:rFonts w:hint="eastAsia" w:ascii="宋体" w:hAnsi="宋体" w:cs="宋体"/>
          <w:color w:val="auto"/>
          <w:sz w:val="24"/>
          <w:szCs w:val="24"/>
          <w:highlight w:val="none"/>
          <w:lang w:eastAsia="zh-CN"/>
        </w:rPr>
        <w:t>作出</w:t>
      </w:r>
      <w:r>
        <w:rPr>
          <w:rFonts w:hint="eastAsia" w:ascii="宋体" w:hAnsi="宋体" w:eastAsia="宋体" w:cs="宋体"/>
          <w:color w:val="auto"/>
          <w:sz w:val="24"/>
          <w:szCs w:val="24"/>
          <w:highlight w:val="none"/>
        </w:rPr>
        <w:t>实质性响应，并保证所提供的全部资料的真实性，否则视其为虚假响应，其响应将被否决。</w:t>
      </w:r>
    </w:p>
    <w:p w14:paraId="58B30E0D">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8.2报价</w:t>
      </w:r>
    </w:p>
    <w:p w14:paraId="405D2400">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8.2.1本次报价非一次性报价，报价币种为人民币。在磋商后根据磋商情况（包括细化采购方案和要求，增补部分采购内容等），供应商须二次报价（最终报价），</w:t>
      </w:r>
      <w:r>
        <w:rPr>
          <w:rFonts w:hint="eastAsia" w:ascii="宋体" w:hAnsi="宋体" w:eastAsia="宋体" w:cs="宋体"/>
          <w:b/>
          <w:bCs/>
          <w:color w:val="auto"/>
          <w:sz w:val="24"/>
          <w:szCs w:val="24"/>
          <w:highlight w:val="none"/>
        </w:rPr>
        <w:t>如果供应商在规定时间30分钟内未提交第二次报价，视该供应商放弃本次投标，作无</w:t>
      </w:r>
      <w:r>
        <w:rPr>
          <w:rFonts w:hint="eastAsia" w:ascii="宋体" w:hAnsi="宋体" w:cs="宋体"/>
          <w:b/>
          <w:bCs/>
          <w:color w:val="auto"/>
          <w:sz w:val="24"/>
          <w:szCs w:val="24"/>
          <w:highlight w:val="none"/>
          <w:lang w:eastAsia="zh-CN"/>
        </w:rPr>
        <w:t>效投</w:t>
      </w:r>
      <w:r>
        <w:rPr>
          <w:rFonts w:hint="eastAsia" w:ascii="宋体" w:hAnsi="宋体" w:eastAsia="宋体" w:cs="宋体"/>
          <w:b/>
          <w:bCs/>
          <w:color w:val="auto"/>
          <w:sz w:val="24"/>
          <w:szCs w:val="24"/>
          <w:highlight w:val="none"/>
        </w:rPr>
        <w:t>标处理。</w:t>
      </w:r>
    </w:p>
    <w:p w14:paraId="07AAE8BC">
      <w:pPr>
        <w:pStyle w:val="57"/>
        <w:keepNext w:val="0"/>
        <w:keepLines w:val="0"/>
        <w:pageBreakBefore w:val="0"/>
        <w:widowControl w:val="0"/>
        <w:shd w:val="clear"/>
        <w:tabs>
          <w:tab w:val="left" w:pos="0"/>
        </w:tabs>
        <w:kinsoku/>
        <w:wordWrap/>
        <w:overflowPunct/>
        <w:topLinePunct w:val="0"/>
        <w:autoSpaceDE/>
        <w:autoSpaceDN/>
        <w:bidi w:val="0"/>
        <w:snapToGrid/>
        <w:spacing w:before="0" w:after="0" w:line="360" w:lineRule="auto"/>
        <w:ind w:left="0" w:leftChars="0" w:firstLine="480" w:firstLineChars="200"/>
        <w:textAlignment w:val="auto"/>
        <w:rPr>
          <w:rFonts w:hint="eastAsia" w:ascii="宋体" w:hAnsi="宋体" w:eastAsia="宋体" w:cs="宋体"/>
          <w:color w:val="auto"/>
          <w:highlight w:val="none"/>
          <w:u w:val="single"/>
        </w:rPr>
      </w:pPr>
      <w:r>
        <w:rPr>
          <w:rFonts w:hint="eastAsia" w:ascii="宋体" w:hAnsi="宋体" w:eastAsia="宋体" w:cs="宋体"/>
          <w:color w:val="auto"/>
          <w:highlight w:val="none"/>
          <w:u w:val="single"/>
        </w:rPr>
        <w:t>8.2.2投标报价应包含项目所需全部服务，不得缺漏，是履行合同的最终价格（</w:t>
      </w:r>
      <w:r>
        <w:rPr>
          <w:rFonts w:hint="eastAsia" w:ascii="宋体" w:hAnsi="宋体" w:cs="宋体"/>
          <w:color w:val="auto"/>
          <w:highlight w:val="none"/>
          <w:u w:val="single"/>
        </w:rPr>
        <w:t>即人员的工资福利、员工五险费(养老保险、医疗保险、失业保险、工伤保险、生育保险)、交通费、设备和设施费、管理费、税费等一切税金和费用</w:t>
      </w:r>
      <w:r>
        <w:rPr>
          <w:rFonts w:hint="eastAsia" w:ascii="宋体" w:hAnsi="宋体" w:eastAsia="宋体" w:cs="宋体"/>
          <w:color w:val="auto"/>
          <w:highlight w:val="none"/>
          <w:u w:val="single"/>
        </w:rPr>
        <w:t>）。</w:t>
      </w:r>
      <w:r>
        <w:rPr>
          <w:rFonts w:hint="eastAsia" w:ascii="宋体" w:hAnsi="宋体" w:eastAsia="宋体" w:cs="宋体"/>
          <w:color w:val="auto"/>
          <w:highlight w:val="none"/>
        </w:rPr>
        <w:t>投标报价为供应商所能承受的最低、最终报价，供应商不得再要求追加任何费用。</w:t>
      </w:r>
    </w:p>
    <w:p w14:paraId="55F71546">
      <w:pPr>
        <w:keepNext w:val="0"/>
        <w:keepLines w:val="0"/>
        <w:pageBreakBefore w:val="0"/>
        <w:widowControl w:val="0"/>
        <w:shd w:val="clear"/>
        <w:kinsoku/>
        <w:wordWrap/>
        <w:overflowPunct/>
        <w:topLinePunct w:val="0"/>
        <w:autoSpaceDE/>
        <w:autoSpaceDN/>
        <w:bidi w:val="0"/>
        <w:snapToGrid/>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投标报价固定是指供应商所填写的投标报价在合同实施期间不因市场因素而变动，供应商在计算报价时可考虑一定的风险系数（由供应商自行考虑）。</w:t>
      </w:r>
    </w:p>
    <w:p w14:paraId="64697F6A">
      <w:pPr>
        <w:keepNext w:val="0"/>
        <w:keepLines w:val="0"/>
        <w:pageBreakBefore w:val="0"/>
        <w:widowControl w:val="0"/>
        <w:shd w:val="clear"/>
        <w:kinsoku/>
        <w:wordWrap/>
        <w:overflowPunct/>
        <w:topLinePunct w:val="0"/>
        <w:autoSpaceDE/>
        <w:autoSpaceDN/>
        <w:bidi w:val="0"/>
        <w:snapToGrid/>
        <w:spacing w:line="360" w:lineRule="auto"/>
        <w:ind w:left="0" w:leftChars="0"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sz w:val="24"/>
          <w:szCs w:val="24"/>
          <w:highlight w:val="none"/>
        </w:rPr>
        <w:t>8.2.3供应商的报价作为供应商计算单价或总价的依据，</w:t>
      </w:r>
      <w:r>
        <w:rPr>
          <w:rFonts w:hint="eastAsia" w:ascii="宋体" w:hAnsi="宋体" w:cs="宋体"/>
          <w:color w:val="auto"/>
          <w:sz w:val="24"/>
          <w:szCs w:val="24"/>
          <w:highlight w:val="none"/>
          <w:lang w:eastAsia="zh-CN"/>
        </w:rPr>
        <w:t>应</w:t>
      </w:r>
      <w:r>
        <w:rPr>
          <w:rFonts w:hint="eastAsia" w:ascii="宋体" w:hAnsi="宋体" w:eastAsia="宋体" w:cs="宋体"/>
          <w:color w:val="auto"/>
          <w:sz w:val="24"/>
          <w:szCs w:val="24"/>
          <w:highlight w:val="none"/>
        </w:rPr>
        <w:t>完成技术文件中的所有要求，不得以任何理由予以重复，供应商对报价若有说明应在报价一览表备注处注明。任何有选择的报价方案及价格将不予接受。</w:t>
      </w:r>
    </w:p>
    <w:p w14:paraId="1F98AD1B">
      <w:pPr>
        <w:pStyle w:val="17"/>
        <w:keepNext w:val="0"/>
        <w:keepLines w:val="0"/>
        <w:pageBreakBefore w:val="0"/>
        <w:widowControl w:val="0"/>
        <w:shd w:val="clear"/>
        <w:kinsoku/>
        <w:wordWrap/>
        <w:overflowPunct/>
        <w:topLinePunct w:val="0"/>
        <w:autoSpaceDE/>
        <w:autoSpaceDN/>
        <w:bidi w:val="0"/>
        <w:snapToGrid/>
        <w:spacing w:line="360" w:lineRule="auto"/>
        <w:ind w:left="0" w:leftChars="0" w:firstLine="482" w:firstLineChars="200"/>
        <w:textAlignment w:val="auto"/>
        <w:rPr>
          <w:rFonts w:hint="eastAsia" w:ascii="宋体" w:hAnsi="宋体" w:eastAsia="宋体" w:cs="宋体"/>
          <w:b/>
          <w:bCs/>
          <w:color w:val="auto"/>
          <w:sz w:val="24"/>
          <w:szCs w:val="24"/>
          <w:highlight w:val="none"/>
          <w:u w:val="single"/>
        </w:rPr>
      </w:pPr>
      <w:r>
        <w:rPr>
          <w:rFonts w:hint="eastAsia" w:ascii="宋体" w:hAnsi="宋体" w:eastAsia="宋体" w:cs="宋体"/>
          <w:b/>
          <w:bCs/>
          <w:color w:val="auto"/>
          <w:sz w:val="24"/>
          <w:szCs w:val="24"/>
          <w:highlight w:val="none"/>
        </w:rPr>
        <w:t>9、响应文件的组成</w:t>
      </w:r>
      <w:r>
        <w:rPr>
          <w:rFonts w:hint="eastAsia" w:ascii="宋体" w:hAnsi="宋体" w:eastAsia="宋体" w:cs="宋体"/>
          <w:b/>
          <w:bCs/>
          <w:color w:val="auto"/>
          <w:sz w:val="24"/>
          <w:szCs w:val="24"/>
          <w:highlight w:val="none"/>
          <w:u w:val="single"/>
        </w:rPr>
        <w:t>（供应商应根据采购文件的要求提供相应的内容且设置关联定位，供应商可查看《供应商</w:t>
      </w:r>
      <w:r>
        <w:rPr>
          <w:rFonts w:hint="eastAsia" w:ascii="宋体" w:hAnsi="宋体" w:eastAsia="宋体" w:cs="宋体"/>
          <w:b/>
          <w:bCs/>
          <w:color w:val="auto"/>
          <w:sz w:val="24"/>
          <w:szCs w:val="24"/>
          <w:highlight w:val="none"/>
          <w:u w:val="single"/>
          <w:lang w:eastAsia="zh-CN"/>
        </w:rPr>
        <w:t>－</w:t>
      </w:r>
      <w:r>
        <w:rPr>
          <w:rFonts w:hint="eastAsia" w:ascii="宋体" w:hAnsi="宋体" w:eastAsia="宋体" w:cs="宋体"/>
          <w:b/>
          <w:bCs/>
          <w:color w:val="auto"/>
          <w:sz w:val="24"/>
          <w:szCs w:val="24"/>
          <w:highlight w:val="none"/>
          <w:u w:val="single"/>
        </w:rPr>
        <w:t>政府采购项目电子交易操作指南》进行操作：https://help.zcygov.cn/web/site_2/2018/12-28/2573.html）</w:t>
      </w:r>
    </w:p>
    <w:p w14:paraId="5729995D">
      <w:pPr>
        <w:pStyle w:val="57"/>
        <w:keepNext w:val="0"/>
        <w:keepLines w:val="0"/>
        <w:pageBreakBefore w:val="0"/>
        <w:widowControl w:val="0"/>
        <w:shd w:val="clear"/>
        <w:tabs>
          <w:tab w:val="left" w:pos="0"/>
        </w:tabs>
        <w:kinsoku/>
        <w:wordWrap/>
        <w:overflowPunct/>
        <w:topLinePunct w:val="0"/>
        <w:autoSpaceDE/>
        <w:autoSpaceDN/>
        <w:bidi w:val="0"/>
        <w:snapToGrid/>
        <w:spacing w:before="0" w:after="0" w:line="360" w:lineRule="auto"/>
        <w:ind w:left="0" w:leftChars="0"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响应文件应当包括以下主要内容：资格文件、商务技术文件、报价文件。</w:t>
      </w:r>
    </w:p>
    <w:p w14:paraId="34371C5C">
      <w:pPr>
        <w:pStyle w:val="57"/>
        <w:keepNext w:val="0"/>
        <w:keepLines w:val="0"/>
        <w:pageBreakBefore w:val="0"/>
        <w:widowControl w:val="0"/>
        <w:numPr>
          <w:ilvl w:val="0"/>
          <w:numId w:val="9"/>
        </w:numPr>
        <w:shd w:val="clear"/>
        <w:kinsoku/>
        <w:wordWrap/>
        <w:overflowPunct/>
        <w:topLinePunct w:val="0"/>
        <w:autoSpaceDE/>
        <w:autoSpaceDN/>
        <w:bidi w:val="0"/>
        <w:snapToGrid/>
        <w:spacing w:before="0" w:after="0" w:line="360" w:lineRule="auto"/>
        <w:ind w:left="0" w:leftChars="0"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资格文件包括以下内容：</w:t>
      </w:r>
    </w:p>
    <w:p w14:paraId="1F0E161D">
      <w:pPr>
        <w:keepNext w:val="0"/>
        <w:keepLines w:val="0"/>
        <w:pageBreakBefore w:val="0"/>
        <w:widowControl w:val="0"/>
        <w:numPr>
          <w:ilvl w:val="0"/>
          <w:numId w:val="10"/>
        </w:numPr>
        <w:shd w:val="clear"/>
        <w:kinsoku/>
        <w:wordWrap/>
        <w:overflowPunct/>
        <w:topLinePunct w:val="0"/>
        <w:autoSpaceDE/>
        <w:autoSpaceDN/>
        <w:bidi w:val="0"/>
        <w:snapToGrid/>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法定代表人授权书；（格式见附件）</w:t>
      </w:r>
    </w:p>
    <w:p w14:paraId="73062B5D">
      <w:pPr>
        <w:keepNext w:val="0"/>
        <w:keepLines w:val="0"/>
        <w:pageBreakBefore w:val="0"/>
        <w:widowControl w:val="0"/>
        <w:numPr>
          <w:ilvl w:val="0"/>
          <w:numId w:val="10"/>
        </w:numPr>
        <w:shd w:val="clear"/>
        <w:kinsoku/>
        <w:wordWrap/>
        <w:overflowPunct/>
        <w:topLinePunct w:val="0"/>
        <w:autoSpaceDE/>
        <w:autoSpaceDN/>
        <w:bidi w:val="0"/>
        <w:snapToGrid/>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营业执照</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或事业法人登记证或其他工商等登记证明材料</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复印件、税务登记证</w:t>
      </w:r>
      <w:r>
        <w:rPr>
          <w:rFonts w:hint="eastAsia" w:ascii="宋体" w:hAnsi="宋体" w:eastAsia="宋体" w:cs="宋体"/>
          <w:color w:val="auto"/>
          <w:sz w:val="24"/>
          <w:szCs w:val="24"/>
          <w:highlight w:val="none"/>
          <w:lang w:eastAsia="zh-CN"/>
        </w:rPr>
        <w:t>（或其他</w:t>
      </w:r>
      <w:r>
        <w:rPr>
          <w:rFonts w:hint="eastAsia" w:ascii="宋体" w:hAnsi="宋体" w:eastAsia="宋体" w:cs="宋体"/>
          <w:color w:val="auto"/>
          <w:sz w:val="24"/>
          <w:szCs w:val="24"/>
          <w:highlight w:val="none"/>
        </w:rPr>
        <w:t>缴纳证明材料</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复印件、社保登记证（</w:t>
      </w:r>
      <w:r>
        <w:rPr>
          <w:rFonts w:hint="eastAsia" w:ascii="宋体" w:hAnsi="宋体" w:eastAsia="宋体" w:cs="宋体"/>
          <w:color w:val="auto"/>
          <w:sz w:val="24"/>
          <w:szCs w:val="24"/>
          <w:highlight w:val="none"/>
          <w:lang w:eastAsia="zh-CN"/>
        </w:rPr>
        <w:t>或其他</w:t>
      </w:r>
      <w:r>
        <w:rPr>
          <w:rFonts w:hint="eastAsia" w:ascii="宋体" w:hAnsi="宋体" w:eastAsia="宋体" w:cs="宋体"/>
          <w:color w:val="auto"/>
          <w:sz w:val="24"/>
          <w:szCs w:val="24"/>
          <w:highlight w:val="none"/>
        </w:rPr>
        <w:t>缴纳证明材料）复印件；实施“五证合一、一照一码”登记制度改革的，只需提供改革后取得的营业执照复印件；事业单位的，则提供有效的《事业单位法人证书》副本复印件并加盖单位公章；</w:t>
      </w:r>
    </w:p>
    <w:p w14:paraId="78D343AE">
      <w:pPr>
        <w:keepNext w:val="0"/>
        <w:keepLines w:val="0"/>
        <w:pageBreakBefore w:val="0"/>
        <w:widowControl w:val="0"/>
        <w:shd w:val="clear"/>
        <w:kinsoku/>
        <w:wordWrap/>
        <w:overflowPunct/>
        <w:topLinePunct w:val="0"/>
        <w:autoSpaceDE/>
        <w:autoSpaceDN/>
        <w:bidi w:val="0"/>
        <w:snapToGrid/>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响应文件中提供相关材料），证明其具备实际承担责任的能力和法定的缔结合同能力，可以独立参加政府采购活动，由单位负责人签署相关文件材料；</w:t>
      </w:r>
    </w:p>
    <w:p w14:paraId="66988DF9">
      <w:pPr>
        <w:keepNext w:val="0"/>
        <w:keepLines w:val="0"/>
        <w:pageBreakBefore w:val="0"/>
        <w:widowControl w:val="0"/>
        <w:numPr>
          <w:ilvl w:val="0"/>
          <w:numId w:val="10"/>
        </w:numPr>
        <w:shd w:val="clea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具有履行合同所必需的产品和专业技术能力的承诺函；</w:t>
      </w:r>
    </w:p>
    <w:p w14:paraId="1FE614F3">
      <w:pPr>
        <w:keepNext w:val="0"/>
        <w:keepLines w:val="0"/>
        <w:pageBreakBefore w:val="0"/>
        <w:widowControl w:val="0"/>
        <w:numPr>
          <w:ilvl w:val="0"/>
          <w:numId w:val="10"/>
        </w:numPr>
        <w:shd w:val="clear"/>
        <w:kinsoku/>
        <w:wordWrap/>
        <w:overflowPunct/>
        <w:topLinePunct w:val="0"/>
        <w:autoSpaceDE/>
        <w:autoSpaceDN/>
        <w:bidi w:val="0"/>
        <w:snapToGrid/>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投标人承诺函（格式见附件）；</w:t>
      </w:r>
    </w:p>
    <w:p w14:paraId="061643C4">
      <w:pPr>
        <w:keepNext w:val="0"/>
        <w:keepLines w:val="0"/>
        <w:pageBreakBefore w:val="0"/>
        <w:widowControl w:val="0"/>
        <w:numPr>
          <w:ilvl w:val="0"/>
          <w:numId w:val="10"/>
        </w:numPr>
        <w:shd w:val="clear"/>
        <w:kinsoku/>
        <w:wordWrap/>
        <w:overflowPunct/>
        <w:topLinePunct w:val="0"/>
        <w:autoSpaceDE/>
        <w:autoSpaceDN/>
        <w:bidi w:val="0"/>
        <w:snapToGrid/>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中小企业声明函（格式见附件）；</w:t>
      </w:r>
    </w:p>
    <w:p w14:paraId="50A796AC">
      <w:pPr>
        <w:keepNext w:val="0"/>
        <w:keepLines w:val="0"/>
        <w:pageBreakBefore w:val="0"/>
        <w:widowControl w:val="0"/>
        <w:numPr>
          <w:ilvl w:val="0"/>
          <w:numId w:val="10"/>
        </w:numPr>
        <w:shd w:val="clear"/>
        <w:kinsoku/>
        <w:wordWrap/>
        <w:overflowPunct/>
        <w:topLinePunct w:val="0"/>
        <w:autoSpaceDE/>
        <w:autoSpaceDN/>
        <w:bidi w:val="0"/>
        <w:snapToGrid/>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残疾人福利性单位声明函</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如有</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（格式见附件）；</w:t>
      </w:r>
    </w:p>
    <w:p w14:paraId="0C5E07DB">
      <w:pPr>
        <w:keepNext w:val="0"/>
        <w:keepLines w:val="0"/>
        <w:pageBreakBefore w:val="0"/>
        <w:widowControl w:val="0"/>
        <w:numPr>
          <w:ilvl w:val="0"/>
          <w:numId w:val="10"/>
        </w:numPr>
        <w:shd w:val="clear"/>
        <w:kinsoku/>
        <w:wordWrap/>
        <w:overflowPunct/>
        <w:topLinePunct w:val="0"/>
        <w:autoSpaceDE/>
        <w:autoSpaceDN/>
        <w:bidi w:val="0"/>
        <w:snapToGrid/>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监狱企业证明文件</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如有</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（格式见附件）。</w:t>
      </w:r>
    </w:p>
    <w:p w14:paraId="71E18F5B">
      <w:pPr>
        <w:pStyle w:val="57"/>
        <w:keepNext w:val="0"/>
        <w:keepLines w:val="0"/>
        <w:pageBreakBefore w:val="0"/>
        <w:widowControl w:val="0"/>
        <w:numPr>
          <w:ilvl w:val="0"/>
          <w:numId w:val="9"/>
        </w:numPr>
        <w:shd w:val="clear"/>
        <w:kinsoku/>
        <w:wordWrap/>
        <w:overflowPunct/>
        <w:topLinePunct w:val="0"/>
        <w:autoSpaceDE/>
        <w:autoSpaceDN/>
        <w:bidi w:val="0"/>
        <w:snapToGrid/>
        <w:spacing w:before="0" w:after="0" w:line="360" w:lineRule="auto"/>
        <w:ind w:left="0" w:leftChars="0"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商务技术文件，本次磋商需要供应商提供以下</w:t>
      </w:r>
      <w:r>
        <w:rPr>
          <w:rFonts w:hint="eastAsia" w:ascii="宋体" w:hAnsi="宋体" w:cs="宋体"/>
          <w:color w:val="auto"/>
          <w:highlight w:val="none"/>
          <w:lang w:eastAsia="zh-CN"/>
        </w:rPr>
        <w:t>项目</w:t>
      </w:r>
      <w:r>
        <w:rPr>
          <w:rFonts w:hint="eastAsia" w:ascii="宋体" w:hAnsi="宋体" w:eastAsia="宋体" w:cs="宋体"/>
          <w:color w:val="auto"/>
          <w:highlight w:val="none"/>
        </w:rPr>
        <w:t>所列的技术文件：</w:t>
      </w:r>
    </w:p>
    <w:p w14:paraId="5A55B491">
      <w:pPr>
        <w:pStyle w:val="57"/>
        <w:numPr>
          <w:ilvl w:val="0"/>
          <w:numId w:val="11"/>
        </w:numPr>
        <w:spacing w:before="0" w:line="336"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评分对应表（格式见附件，主要用于评委对应评分内容）</w:t>
      </w:r>
    </w:p>
    <w:p w14:paraId="271E076A">
      <w:pPr>
        <w:pStyle w:val="57"/>
        <w:numPr>
          <w:ilvl w:val="0"/>
          <w:numId w:val="11"/>
        </w:numPr>
        <w:spacing w:before="0" w:line="336"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供应商商务技术文件中资信分自评表（格式见附件）；</w:t>
      </w:r>
    </w:p>
    <w:p w14:paraId="3D91CC55">
      <w:pPr>
        <w:pStyle w:val="57"/>
        <w:numPr>
          <w:ilvl w:val="0"/>
          <w:numId w:val="11"/>
        </w:numPr>
        <w:spacing w:before="0" w:line="336"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磋商项目明细清单（格式见附件）；</w:t>
      </w:r>
    </w:p>
    <w:p w14:paraId="053BDEB5">
      <w:pPr>
        <w:pStyle w:val="57"/>
        <w:numPr>
          <w:ilvl w:val="0"/>
          <w:numId w:val="11"/>
        </w:numPr>
        <w:spacing w:before="0" w:line="336"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技术响应及建议表（格式见附件）；</w:t>
      </w:r>
    </w:p>
    <w:p w14:paraId="1747109C">
      <w:pPr>
        <w:pStyle w:val="57"/>
        <w:numPr>
          <w:ilvl w:val="0"/>
          <w:numId w:val="11"/>
        </w:numPr>
        <w:spacing w:before="0" w:line="336"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商务响应表（格式见附件）；</w:t>
      </w:r>
    </w:p>
    <w:p w14:paraId="4975B39B">
      <w:pPr>
        <w:pStyle w:val="57"/>
        <w:numPr>
          <w:ilvl w:val="0"/>
          <w:numId w:val="11"/>
        </w:numPr>
        <w:spacing w:before="0" w:line="336" w:lineRule="auto"/>
        <w:ind w:firstLine="480"/>
        <w:rPr>
          <w:rFonts w:hint="eastAsia" w:ascii="宋体" w:hAnsi="宋体" w:eastAsia="宋体" w:cs="宋体"/>
          <w:color w:val="auto"/>
          <w:highlight w:val="none"/>
        </w:rPr>
      </w:pPr>
      <w:r>
        <w:rPr>
          <w:rFonts w:hint="eastAsia" w:ascii="宋体" w:hAnsi="宋体" w:cs="宋体"/>
          <w:color w:val="auto"/>
          <w:highlight w:val="none"/>
          <w:lang w:eastAsia="zh-CN"/>
        </w:rPr>
        <w:t>现状分析</w:t>
      </w:r>
      <w:r>
        <w:rPr>
          <w:rFonts w:hint="eastAsia" w:ascii="宋体" w:hAnsi="宋体" w:eastAsia="宋体" w:cs="宋体"/>
          <w:color w:val="auto"/>
          <w:highlight w:val="none"/>
        </w:rPr>
        <w:t>；</w:t>
      </w:r>
    </w:p>
    <w:p w14:paraId="7361878C">
      <w:pPr>
        <w:pStyle w:val="57"/>
        <w:numPr>
          <w:ilvl w:val="0"/>
          <w:numId w:val="11"/>
        </w:numPr>
        <w:spacing w:before="0" w:line="336" w:lineRule="auto"/>
        <w:ind w:firstLine="480"/>
        <w:rPr>
          <w:rFonts w:hint="eastAsia" w:ascii="宋体" w:hAnsi="宋体" w:eastAsia="宋体" w:cs="宋体"/>
          <w:color w:val="auto"/>
          <w:highlight w:val="none"/>
        </w:rPr>
      </w:pPr>
      <w:r>
        <w:rPr>
          <w:rFonts w:hint="eastAsia" w:ascii="宋体" w:hAnsi="宋体" w:cs="宋体"/>
          <w:color w:val="auto"/>
          <w:highlight w:val="none"/>
          <w:lang w:eastAsia="zh-CN"/>
        </w:rPr>
        <w:t>重点、难点及解决措施</w:t>
      </w:r>
      <w:r>
        <w:rPr>
          <w:rFonts w:hint="eastAsia" w:ascii="宋体" w:hAnsi="宋体" w:eastAsia="宋体" w:cs="宋体"/>
          <w:color w:val="auto"/>
          <w:highlight w:val="none"/>
        </w:rPr>
        <w:t>；</w:t>
      </w:r>
    </w:p>
    <w:p w14:paraId="759B4D19">
      <w:pPr>
        <w:pStyle w:val="57"/>
        <w:numPr>
          <w:ilvl w:val="0"/>
          <w:numId w:val="11"/>
        </w:numPr>
        <w:spacing w:before="0" w:line="336" w:lineRule="auto"/>
        <w:ind w:firstLine="480"/>
        <w:rPr>
          <w:rFonts w:hint="eastAsia" w:ascii="宋体" w:hAnsi="宋体" w:eastAsia="宋体" w:cs="宋体"/>
          <w:color w:val="auto"/>
          <w:highlight w:val="none"/>
        </w:rPr>
      </w:pPr>
      <w:r>
        <w:rPr>
          <w:rFonts w:hint="eastAsia" w:ascii="宋体" w:hAnsi="宋体" w:cs="宋体"/>
          <w:color w:val="auto"/>
          <w:highlight w:val="none"/>
          <w:lang w:eastAsia="zh-CN"/>
        </w:rPr>
        <w:t>项目技术方案</w:t>
      </w:r>
      <w:r>
        <w:rPr>
          <w:rFonts w:hint="eastAsia" w:ascii="宋体" w:hAnsi="宋体" w:eastAsia="宋体" w:cs="宋体"/>
          <w:color w:val="auto"/>
          <w:highlight w:val="none"/>
        </w:rPr>
        <w:t>；</w:t>
      </w:r>
    </w:p>
    <w:p w14:paraId="1ED40768">
      <w:pPr>
        <w:pStyle w:val="57"/>
        <w:numPr>
          <w:ilvl w:val="0"/>
          <w:numId w:val="11"/>
        </w:numPr>
        <w:spacing w:before="0" w:line="336" w:lineRule="auto"/>
        <w:ind w:firstLine="480"/>
        <w:rPr>
          <w:rFonts w:hint="eastAsia" w:ascii="宋体" w:hAnsi="宋体" w:eastAsia="宋体" w:cs="宋体"/>
          <w:color w:val="auto"/>
          <w:highlight w:val="none"/>
        </w:rPr>
      </w:pPr>
      <w:r>
        <w:rPr>
          <w:rFonts w:hint="eastAsia" w:ascii="宋体" w:hAnsi="宋体" w:cs="宋体"/>
          <w:color w:val="auto"/>
          <w:highlight w:val="none"/>
          <w:lang w:eastAsia="zh-CN"/>
        </w:rPr>
        <w:t>进度安排</w:t>
      </w:r>
      <w:r>
        <w:rPr>
          <w:rFonts w:hint="eastAsia" w:ascii="宋体" w:hAnsi="宋体" w:eastAsia="宋体" w:cs="宋体"/>
          <w:color w:val="auto"/>
          <w:highlight w:val="none"/>
        </w:rPr>
        <w:t>；</w:t>
      </w:r>
    </w:p>
    <w:p w14:paraId="7E1BD867">
      <w:pPr>
        <w:pStyle w:val="57"/>
        <w:numPr>
          <w:ilvl w:val="0"/>
          <w:numId w:val="11"/>
        </w:numPr>
        <w:spacing w:before="0" w:line="336" w:lineRule="auto"/>
        <w:ind w:firstLine="480"/>
        <w:rPr>
          <w:rFonts w:hint="eastAsia" w:ascii="宋体" w:hAnsi="宋体" w:eastAsia="宋体" w:cs="宋体"/>
          <w:color w:val="auto"/>
          <w:highlight w:val="none"/>
        </w:rPr>
      </w:pPr>
      <w:r>
        <w:rPr>
          <w:rFonts w:hint="eastAsia" w:ascii="宋体" w:hAnsi="宋体" w:cs="宋体"/>
          <w:color w:val="auto"/>
          <w:highlight w:val="none"/>
          <w:lang w:eastAsia="zh-CN"/>
        </w:rPr>
        <w:t>质量保证</w:t>
      </w:r>
      <w:r>
        <w:rPr>
          <w:rFonts w:hint="eastAsia" w:ascii="宋体" w:hAnsi="宋体" w:eastAsia="宋体" w:cs="宋体"/>
          <w:color w:val="auto"/>
          <w:highlight w:val="none"/>
        </w:rPr>
        <w:t>；</w:t>
      </w:r>
    </w:p>
    <w:p w14:paraId="13CA708A">
      <w:pPr>
        <w:pStyle w:val="57"/>
        <w:numPr>
          <w:ilvl w:val="0"/>
          <w:numId w:val="11"/>
        </w:numPr>
        <w:spacing w:before="0" w:line="336" w:lineRule="auto"/>
        <w:ind w:firstLine="480"/>
        <w:rPr>
          <w:rFonts w:hint="eastAsia" w:ascii="宋体" w:hAnsi="宋体" w:eastAsia="宋体" w:cs="宋体"/>
          <w:color w:val="auto"/>
          <w:highlight w:val="none"/>
        </w:rPr>
      </w:pPr>
      <w:r>
        <w:rPr>
          <w:rFonts w:hint="eastAsia" w:ascii="宋体" w:hAnsi="宋体" w:cs="宋体"/>
          <w:color w:val="auto"/>
          <w:highlight w:val="none"/>
          <w:lang w:eastAsia="zh-CN"/>
        </w:rPr>
        <w:t>特殊时期的应急保障措施</w:t>
      </w:r>
      <w:r>
        <w:rPr>
          <w:rFonts w:hint="eastAsia" w:ascii="宋体" w:hAnsi="宋体" w:eastAsia="宋体" w:cs="宋体"/>
          <w:color w:val="auto"/>
          <w:highlight w:val="none"/>
        </w:rPr>
        <w:t>；</w:t>
      </w:r>
    </w:p>
    <w:p w14:paraId="1F2222D2">
      <w:pPr>
        <w:pStyle w:val="57"/>
        <w:numPr>
          <w:ilvl w:val="0"/>
          <w:numId w:val="11"/>
        </w:numPr>
        <w:spacing w:before="0" w:line="336" w:lineRule="auto"/>
        <w:ind w:firstLine="480"/>
        <w:rPr>
          <w:rFonts w:hint="eastAsia" w:ascii="宋体" w:hAnsi="宋体" w:eastAsia="宋体" w:cs="宋体"/>
          <w:color w:val="auto"/>
          <w:highlight w:val="none"/>
        </w:rPr>
      </w:pPr>
      <w:r>
        <w:rPr>
          <w:rFonts w:hint="eastAsia" w:ascii="宋体" w:hAnsi="宋体" w:cs="宋体"/>
          <w:color w:val="auto"/>
          <w:highlight w:val="none"/>
          <w:lang w:eastAsia="zh-CN"/>
        </w:rPr>
        <w:t>人员配备</w:t>
      </w:r>
      <w:r>
        <w:rPr>
          <w:rFonts w:hint="eastAsia" w:ascii="宋体" w:hAnsi="宋体" w:eastAsia="宋体" w:cs="宋体"/>
          <w:color w:val="auto"/>
          <w:highlight w:val="none"/>
        </w:rPr>
        <w:t>；</w:t>
      </w:r>
    </w:p>
    <w:p w14:paraId="1BB9A1F0">
      <w:pPr>
        <w:pStyle w:val="57"/>
        <w:numPr>
          <w:ilvl w:val="0"/>
          <w:numId w:val="11"/>
        </w:numPr>
        <w:spacing w:before="0" w:line="336" w:lineRule="auto"/>
        <w:ind w:firstLine="480"/>
        <w:rPr>
          <w:rFonts w:hint="eastAsia" w:ascii="宋体" w:hAnsi="宋体" w:eastAsia="宋体" w:cs="宋体"/>
          <w:color w:val="auto"/>
          <w:highlight w:val="none"/>
        </w:rPr>
      </w:pPr>
      <w:r>
        <w:rPr>
          <w:rFonts w:hint="eastAsia" w:ascii="宋体" w:hAnsi="宋体" w:cs="宋体"/>
          <w:color w:val="auto"/>
          <w:highlight w:val="none"/>
          <w:lang w:eastAsia="zh-CN"/>
        </w:rPr>
        <w:t>安全作业培训</w:t>
      </w:r>
      <w:r>
        <w:rPr>
          <w:rFonts w:hint="eastAsia" w:ascii="宋体" w:hAnsi="宋体" w:eastAsia="宋体" w:cs="宋体"/>
          <w:color w:val="auto"/>
          <w:highlight w:val="none"/>
        </w:rPr>
        <w:t>；</w:t>
      </w:r>
    </w:p>
    <w:p w14:paraId="5401ABD7">
      <w:pPr>
        <w:pStyle w:val="57"/>
        <w:numPr>
          <w:ilvl w:val="0"/>
          <w:numId w:val="11"/>
        </w:numPr>
        <w:spacing w:before="0" w:line="336" w:lineRule="auto"/>
        <w:ind w:firstLine="480"/>
        <w:rPr>
          <w:rFonts w:hint="eastAsia" w:ascii="宋体" w:hAnsi="宋体" w:eastAsia="宋体" w:cs="宋体"/>
          <w:color w:val="auto"/>
          <w:highlight w:val="none"/>
        </w:rPr>
      </w:pPr>
      <w:r>
        <w:rPr>
          <w:rFonts w:hint="eastAsia" w:ascii="宋体" w:hAnsi="宋体" w:cs="宋体"/>
          <w:color w:val="auto"/>
          <w:highlight w:val="none"/>
          <w:lang w:eastAsia="zh-CN"/>
        </w:rPr>
        <w:t>内部管理制度</w:t>
      </w:r>
      <w:r>
        <w:rPr>
          <w:rFonts w:hint="eastAsia" w:ascii="宋体" w:hAnsi="宋体" w:eastAsia="宋体" w:cs="宋体"/>
          <w:color w:val="auto"/>
          <w:highlight w:val="none"/>
        </w:rPr>
        <w:t>；</w:t>
      </w:r>
    </w:p>
    <w:p w14:paraId="7F351E77">
      <w:pPr>
        <w:pStyle w:val="57"/>
        <w:numPr>
          <w:ilvl w:val="0"/>
          <w:numId w:val="11"/>
        </w:numPr>
        <w:spacing w:before="0" w:line="336" w:lineRule="auto"/>
        <w:ind w:firstLine="480"/>
        <w:rPr>
          <w:rFonts w:hint="eastAsia" w:ascii="宋体" w:hAnsi="宋体" w:eastAsia="宋体" w:cs="宋体"/>
          <w:color w:val="auto"/>
          <w:highlight w:val="none"/>
        </w:rPr>
      </w:pPr>
      <w:r>
        <w:rPr>
          <w:rFonts w:hint="eastAsia" w:ascii="宋体" w:hAnsi="宋体" w:cs="宋体"/>
          <w:color w:val="auto"/>
          <w:highlight w:val="none"/>
          <w:lang w:eastAsia="zh-CN"/>
        </w:rPr>
        <w:t>服务承诺</w:t>
      </w:r>
      <w:r>
        <w:rPr>
          <w:rFonts w:hint="eastAsia" w:ascii="宋体" w:hAnsi="宋体" w:eastAsia="宋体" w:cs="宋体"/>
          <w:color w:val="auto"/>
          <w:highlight w:val="none"/>
        </w:rPr>
        <w:t>；</w:t>
      </w:r>
    </w:p>
    <w:p w14:paraId="32D5728D">
      <w:pPr>
        <w:pStyle w:val="57"/>
        <w:numPr>
          <w:ilvl w:val="0"/>
          <w:numId w:val="11"/>
        </w:numPr>
        <w:spacing w:before="0" w:line="336" w:lineRule="auto"/>
        <w:ind w:firstLine="480"/>
        <w:rPr>
          <w:rFonts w:hint="eastAsia" w:ascii="宋体" w:hAnsi="宋体" w:eastAsia="宋体" w:cs="宋体"/>
          <w:color w:val="auto"/>
          <w:highlight w:val="none"/>
        </w:rPr>
      </w:pPr>
      <w:r>
        <w:rPr>
          <w:rFonts w:hint="eastAsia" w:ascii="宋体" w:hAnsi="宋体" w:cs="宋体"/>
          <w:color w:val="auto"/>
          <w:highlight w:val="none"/>
          <w:lang w:eastAsia="zh-CN"/>
        </w:rPr>
        <w:t>合理化建议；</w:t>
      </w:r>
    </w:p>
    <w:p w14:paraId="38BA544A">
      <w:pPr>
        <w:pStyle w:val="57"/>
        <w:numPr>
          <w:ilvl w:val="0"/>
          <w:numId w:val="11"/>
        </w:numPr>
        <w:spacing w:before="0" w:line="336" w:lineRule="auto"/>
        <w:ind w:firstLine="480"/>
        <w:rPr>
          <w:rFonts w:hint="eastAsia" w:ascii="宋体" w:hAnsi="宋体" w:eastAsia="宋体" w:cs="宋体"/>
          <w:color w:val="auto"/>
          <w:highlight w:val="none"/>
        </w:rPr>
      </w:pPr>
      <w:r>
        <w:rPr>
          <w:rFonts w:hint="eastAsia" w:ascii="宋体" w:hAnsi="宋体" w:cs="宋体"/>
          <w:color w:val="auto"/>
          <w:highlight w:val="none"/>
          <w:lang w:eastAsia="zh-CN"/>
        </w:rPr>
        <w:t>人员证书</w:t>
      </w:r>
      <w:r>
        <w:rPr>
          <w:rFonts w:hint="eastAsia" w:ascii="宋体" w:hAnsi="宋体" w:eastAsia="宋体" w:cs="宋体"/>
          <w:color w:val="auto"/>
          <w:highlight w:val="none"/>
        </w:rPr>
        <w:t>；</w:t>
      </w:r>
    </w:p>
    <w:p w14:paraId="542C0259">
      <w:pPr>
        <w:pStyle w:val="57"/>
        <w:numPr>
          <w:ilvl w:val="0"/>
          <w:numId w:val="11"/>
        </w:numPr>
        <w:spacing w:before="0" w:line="336" w:lineRule="auto"/>
        <w:ind w:firstLine="480"/>
        <w:rPr>
          <w:rFonts w:hint="eastAsia" w:ascii="宋体" w:hAnsi="宋体" w:eastAsia="宋体" w:cs="宋体"/>
          <w:color w:val="auto"/>
          <w:highlight w:val="none"/>
        </w:rPr>
      </w:pPr>
      <w:r>
        <w:rPr>
          <w:rFonts w:hint="eastAsia" w:ascii="宋体" w:hAnsi="宋体" w:cs="宋体"/>
          <w:color w:val="auto"/>
          <w:highlight w:val="none"/>
          <w:lang w:eastAsia="zh-CN"/>
        </w:rPr>
        <w:t>企业证书；</w:t>
      </w:r>
    </w:p>
    <w:p w14:paraId="22032F65">
      <w:pPr>
        <w:pStyle w:val="57"/>
        <w:numPr>
          <w:ilvl w:val="0"/>
          <w:numId w:val="11"/>
        </w:numPr>
        <w:spacing w:before="0" w:line="336"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供应商认为需要的其他文件资料。</w:t>
      </w:r>
    </w:p>
    <w:p w14:paraId="185988A6">
      <w:pPr>
        <w:pStyle w:val="57"/>
        <w:keepNext w:val="0"/>
        <w:keepLines w:val="0"/>
        <w:pageBreakBefore w:val="0"/>
        <w:widowControl w:val="0"/>
        <w:shd w:val="clear"/>
        <w:tabs>
          <w:tab w:val="left" w:pos="0"/>
        </w:tabs>
        <w:kinsoku/>
        <w:wordWrap/>
        <w:overflowPunct/>
        <w:topLinePunct w:val="0"/>
        <w:autoSpaceDE/>
        <w:autoSpaceDN/>
        <w:bidi w:val="0"/>
        <w:snapToGrid/>
        <w:spacing w:before="0" w:after="0" w:line="360" w:lineRule="auto"/>
        <w:ind w:left="0" w:leftChars="0"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注：以上内容应与评标办法中内容具有一致性。</w:t>
      </w:r>
    </w:p>
    <w:p w14:paraId="566D734F">
      <w:pPr>
        <w:pStyle w:val="57"/>
        <w:keepNext w:val="0"/>
        <w:keepLines w:val="0"/>
        <w:pageBreakBefore w:val="0"/>
        <w:widowControl w:val="0"/>
        <w:shd w:val="clear"/>
        <w:tabs>
          <w:tab w:val="left" w:pos="0"/>
        </w:tabs>
        <w:kinsoku/>
        <w:wordWrap/>
        <w:overflowPunct/>
        <w:topLinePunct w:val="0"/>
        <w:autoSpaceDE/>
        <w:autoSpaceDN/>
        <w:bidi w:val="0"/>
        <w:snapToGrid/>
        <w:spacing w:before="0" w:after="0" w:line="360" w:lineRule="auto"/>
        <w:ind w:left="0" w:leftChars="0"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如果本项目涉及软件采购，还需提供相关完整配置方案（软件名称、品牌、规格型号、数量、主要技术参数等），提供主要磋商产品的技术参数证明材料（如官网截图、产品彩页、技术说明等），明确表示该项指标所涉及的软件是标准配置还是选择配置。</w:t>
      </w:r>
    </w:p>
    <w:p w14:paraId="68A5DCE3">
      <w:pPr>
        <w:pStyle w:val="57"/>
        <w:keepNext w:val="0"/>
        <w:keepLines w:val="0"/>
        <w:pageBreakBefore w:val="0"/>
        <w:widowControl w:val="0"/>
        <w:shd w:val="clear"/>
        <w:tabs>
          <w:tab w:val="left" w:pos="0"/>
        </w:tabs>
        <w:kinsoku/>
        <w:wordWrap/>
        <w:overflowPunct/>
        <w:topLinePunct w:val="0"/>
        <w:autoSpaceDE/>
        <w:autoSpaceDN/>
        <w:bidi w:val="0"/>
        <w:snapToGrid/>
        <w:spacing w:before="0" w:after="0" w:line="360" w:lineRule="auto"/>
        <w:ind w:left="0" w:leftChars="0"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供应商在响应文件中应对项目技术规范和服务要求中所提出各项要求进行答复、说明和解释。如果供应商在技术偏离表中注明无偏离，评标结束后、签订采购合同前又认为其实际产品与响应技术需求不一致的，视为供应商在磋商响应文件有效期内对其响应文件进行了实质性修改，其磋商将被追认为无效磋商。</w:t>
      </w:r>
      <w:r>
        <w:rPr>
          <w:rFonts w:hint="eastAsia" w:ascii="宋体" w:hAnsi="宋体" w:eastAsia="宋体" w:cs="宋体"/>
          <w:b/>
          <w:bCs/>
          <w:color w:val="auto"/>
          <w:highlight w:val="none"/>
        </w:rPr>
        <w:t>采购代理机构将把这一情况报送采购监管部门。实质性指标、关键性指标和重要指标需提供证明材料，如技术偏离表中仅复制粘贴而未说明或提供证明材料的，其产生的影响直至被认定为未实质性响应的后果将由供应商自行承担。</w:t>
      </w:r>
    </w:p>
    <w:p w14:paraId="2A7EA9EA">
      <w:pPr>
        <w:pStyle w:val="57"/>
        <w:keepNext w:val="0"/>
        <w:keepLines w:val="0"/>
        <w:pageBreakBefore w:val="0"/>
        <w:widowControl w:val="0"/>
        <w:numPr>
          <w:ilvl w:val="0"/>
          <w:numId w:val="9"/>
        </w:numPr>
        <w:shd w:val="clear"/>
        <w:kinsoku/>
        <w:wordWrap/>
        <w:overflowPunct/>
        <w:topLinePunct w:val="0"/>
        <w:autoSpaceDE/>
        <w:autoSpaceDN/>
        <w:bidi w:val="0"/>
        <w:snapToGrid/>
        <w:spacing w:before="0" w:after="0" w:line="360" w:lineRule="auto"/>
        <w:ind w:left="0" w:leftChars="0"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报价文件包括以下内容：</w:t>
      </w:r>
    </w:p>
    <w:p w14:paraId="27EC309B">
      <w:pPr>
        <w:pStyle w:val="57"/>
        <w:keepNext w:val="0"/>
        <w:keepLines w:val="0"/>
        <w:pageBreakBefore w:val="0"/>
        <w:widowControl w:val="0"/>
        <w:numPr>
          <w:ilvl w:val="0"/>
          <w:numId w:val="12"/>
        </w:numPr>
        <w:shd w:val="clear"/>
        <w:kinsoku/>
        <w:wordWrap/>
        <w:overflowPunct/>
        <w:topLinePunct w:val="0"/>
        <w:autoSpaceDE/>
        <w:autoSpaceDN/>
        <w:bidi w:val="0"/>
        <w:snapToGrid/>
        <w:spacing w:before="0" w:after="0" w:line="360" w:lineRule="auto"/>
        <w:ind w:left="0" w:leftChars="0"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磋商函（格式见附件）；</w:t>
      </w:r>
    </w:p>
    <w:p w14:paraId="738AFE30">
      <w:pPr>
        <w:pStyle w:val="57"/>
        <w:keepNext w:val="0"/>
        <w:keepLines w:val="0"/>
        <w:pageBreakBefore w:val="0"/>
        <w:widowControl w:val="0"/>
        <w:numPr>
          <w:ilvl w:val="0"/>
          <w:numId w:val="12"/>
        </w:numPr>
        <w:shd w:val="clear"/>
        <w:kinsoku/>
        <w:wordWrap/>
        <w:overflowPunct/>
        <w:topLinePunct w:val="0"/>
        <w:autoSpaceDE/>
        <w:autoSpaceDN/>
        <w:bidi w:val="0"/>
        <w:snapToGrid/>
        <w:spacing w:before="0" w:after="0" w:line="360" w:lineRule="auto"/>
        <w:ind w:left="0" w:leftChars="0"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报价一览表（格式见附件）；</w:t>
      </w:r>
    </w:p>
    <w:p w14:paraId="43C0DE5C">
      <w:pPr>
        <w:pStyle w:val="57"/>
        <w:keepNext w:val="0"/>
        <w:keepLines w:val="0"/>
        <w:pageBreakBefore w:val="0"/>
        <w:widowControl w:val="0"/>
        <w:numPr>
          <w:ilvl w:val="0"/>
          <w:numId w:val="12"/>
        </w:numPr>
        <w:shd w:val="clear"/>
        <w:kinsoku/>
        <w:wordWrap/>
        <w:overflowPunct/>
        <w:topLinePunct w:val="0"/>
        <w:autoSpaceDE/>
        <w:autoSpaceDN/>
        <w:bidi w:val="0"/>
        <w:snapToGrid/>
        <w:spacing w:before="0" w:after="0" w:line="360" w:lineRule="auto"/>
        <w:ind w:left="0" w:leftChars="0"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磋商报价明细表（格式见附件）。</w:t>
      </w:r>
    </w:p>
    <w:p w14:paraId="72115E5B">
      <w:pPr>
        <w:pStyle w:val="57"/>
        <w:keepNext w:val="0"/>
        <w:keepLines w:val="0"/>
        <w:pageBreakBefore w:val="0"/>
        <w:widowControl w:val="0"/>
        <w:shd w:val="clear"/>
        <w:kinsoku/>
        <w:wordWrap/>
        <w:overflowPunct/>
        <w:topLinePunct w:val="0"/>
        <w:autoSpaceDE/>
        <w:autoSpaceDN/>
        <w:bidi w:val="0"/>
        <w:snapToGrid/>
        <w:spacing w:before="0" w:after="0" w:line="360" w:lineRule="auto"/>
        <w:ind w:left="0" w:leftChars="0" w:firstLine="482" w:firstLineChars="200"/>
        <w:textAlignment w:val="auto"/>
        <w:rPr>
          <w:rFonts w:hint="eastAsia" w:ascii="宋体" w:hAnsi="宋体" w:eastAsia="宋体" w:cs="宋体"/>
          <w:b/>
          <w:bCs/>
          <w:color w:val="auto"/>
          <w:highlight w:val="none"/>
          <w:u w:val="single"/>
        </w:rPr>
      </w:pPr>
      <w:r>
        <w:rPr>
          <w:rFonts w:hint="eastAsia" w:ascii="宋体" w:hAnsi="宋体" w:eastAsia="宋体" w:cs="宋体"/>
          <w:b/>
          <w:bCs/>
          <w:color w:val="auto"/>
          <w:highlight w:val="none"/>
          <w:u w:val="single"/>
        </w:rPr>
        <w:t>注：“资格文件</w:t>
      </w:r>
      <w:r>
        <w:rPr>
          <w:rFonts w:hint="eastAsia" w:ascii="宋体" w:hAnsi="宋体" w:eastAsia="宋体" w:cs="宋体"/>
          <w:b/>
          <w:bCs/>
          <w:color w:val="auto"/>
          <w:highlight w:val="none"/>
          <w:u w:val="single"/>
          <w:lang w:eastAsia="zh-CN"/>
        </w:rPr>
        <w:t>”“</w:t>
      </w:r>
      <w:r>
        <w:rPr>
          <w:rFonts w:hint="eastAsia" w:ascii="宋体" w:hAnsi="宋体" w:eastAsia="宋体" w:cs="宋体"/>
          <w:b/>
          <w:bCs/>
          <w:color w:val="auto"/>
          <w:highlight w:val="none"/>
          <w:u w:val="single"/>
        </w:rPr>
        <w:t>商务技术文件</w:t>
      </w:r>
      <w:r>
        <w:rPr>
          <w:rFonts w:hint="eastAsia" w:ascii="宋体" w:hAnsi="宋体" w:eastAsia="宋体" w:cs="宋体"/>
          <w:b/>
          <w:bCs/>
          <w:color w:val="auto"/>
          <w:highlight w:val="none"/>
          <w:u w:val="single"/>
          <w:lang w:eastAsia="zh-CN"/>
        </w:rPr>
        <w:t>”“</w:t>
      </w:r>
      <w:r>
        <w:rPr>
          <w:rFonts w:hint="eastAsia" w:ascii="宋体" w:hAnsi="宋体" w:eastAsia="宋体" w:cs="宋体"/>
          <w:b/>
          <w:bCs/>
          <w:color w:val="auto"/>
          <w:highlight w:val="none"/>
          <w:u w:val="single"/>
        </w:rPr>
        <w:t>报价文件”须分3个PDF格式分别导入。</w:t>
      </w:r>
    </w:p>
    <w:p w14:paraId="7334E001">
      <w:pPr>
        <w:pStyle w:val="57"/>
        <w:keepNext w:val="0"/>
        <w:keepLines w:val="0"/>
        <w:pageBreakBefore w:val="0"/>
        <w:widowControl w:val="0"/>
        <w:shd w:val="clear"/>
        <w:kinsoku/>
        <w:wordWrap/>
        <w:overflowPunct/>
        <w:topLinePunct w:val="0"/>
        <w:autoSpaceDE/>
        <w:autoSpaceDN/>
        <w:bidi w:val="0"/>
        <w:snapToGrid/>
        <w:spacing w:before="0" w:after="0" w:line="360" w:lineRule="auto"/>
        <w:ind w:left="0" w:leftChars="0" w:firstLine="482" w:firstLineChars="200"/>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10、响应文件有效期</w:t>
      </w:r>
    </w:p>
    <w:p w14:paraId="6C307EDA">
      <w:pPr>
        <w:pStyle w:val="57"/>
        <w:keepNext w:val="0"/>
        <w:keepLines w:val="0"/>
        <w:pageBreakBefore w:val="0"/>
        <w:widowControl w:val="0"/>
        <w:shd w:val="clear"/>
        <w:kinsoku/>
        <w:wordWrap/>
        <w:overflowPunct/>
        <w:topLinePunct w:val="0"/>
        <w:autoSpaceDE/>
        <w:autoSpaceDN/>
        <w:bidi w:val="0"/>
        <w:snapToGrid/>
        <w:spacing w:before="0" w:after="0" w:line="360" w:lineRule="auto"/>
        <w:ind w:left="0" w:leftChars="0"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10.1 响应文件未在磋商响应截止时间前完成传输的或者未按时解密的，视为放弃磋商；响应文件解密失败后未提供备份文件或者备份文件也出现异常情况无法进行评审的，亦视为放弃磋商。</w:t>
      </w:r>
    </w:p>
    <w:p w14:paraId="5B88305F">
      <w:pPr>
        <w:pStyle w:val="57"/>
        <w:keepNext w:val="0"/>
        <w:keepLines w:val="0"/>
        <w:pageBreakBefore w:val="0"/>
        <w:widowControl w:val="0"/>
        <w:shd w:val="clear"/>
        <w:kinsoku/>
        <w:wordWrap/>
        <w:overflowPunct/>
        <w:topLinePunct w:val="0"/>
        <w:autoSpaceDE/>
        <w:autoSpaceDN/>
        <w:bidi w:val="0"/>
        <w:snapToGrid/>
        <w:spacing w:before="0" w:after="0" w:line="360" w:lineRule="auto"/>
        <w:ind w:left="0" w:leftChars="0"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10.2 响应文件上传后，自磋商响应截止日期起，在前附表所列的磋商响应文件有效期内有效。</w:t>
      </w:r>
    </w:p>
    <w:p w14:paraId="0204BFB0">
      <w:pPr>
        <w:pStyle w:val="57"/>
        <w:keepNext w:val="0"/>
        <w:keepLines w:val="0"/>
        <w:pageBreakBefore w:val="0"/>
        <w:widowControl w:val="0"/>
        <w:shd w:val="clear"/>
        <w:kinsoku/>
        <w:wordWrap/>
        <w:overflowPunct/>
        <w:topLinePunct w:val="0"/>
        <w:autoSpaceDE/>
        <w:autoSpaceDN/>
        <w:bidi w:val="0"/>
        <w:snapToGrid/>
        <w:spacing w:before="0" w:after="0" w:line="360" w:lineRule="auto"/>
        <w:ind w:left="0" w:leftChars="0"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10.3 在原定有效期满之前，如果出现特殊情况，采购代理机构可以以书面形式向磋商供应商提出延长磋商有效期的要求，磋商供应商对此须以书面形式予以答复。</w:t>
      </w:r>
    </w:p>
    <w:p w14:paraId="1F9C6B22">
      <w:pPr>
        <w:pStyle w:val="57"/>
        <w:keepNext w:val="0"/>
        <w:keepLines w:val="0"/>
        <w:pageBreakBefore w:val="0"/>
        <w:widowControl w:val="0"/>
        <w:shd w:val="clear"/>
        <w:kinsoku/>
        <w:wordWrap/>
        <w:overflowPunct/>
        <w:topLinePunct w:val="0"/>
        <w:autoSpaceDE/>
        <w:autoSpaceDN/>
        <w:bidi w:val="0"/>
        <w:snapToGrid/>
        <w:spacing w:before="0" w:after="0" w:line="360" w:lineRule="auto"/>
        <w:ind w:left="0" w:leftChars="0" w:firstLine="482" w:firstLineChars="200"/>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11、供应商如有下列情况之一者列入不良行为记录：</w:t>
      </w:r>
    </w:p>
    <w:p w14:paraId="1826EC55">
      <w:pPr>
        <w:pStyle w:val="57"/>
        <w:keepNext w:val="0"/>
        <w:keepLines w:val="0"/>
        <w:pageBreakBefore w:val="0"/>
        <w:widowControl w:val="0"/>
        <w:shd w:val="clear"/>
        <w:kinsoku/>
        <w:wordWrap/>
        <w:overflowPunct/>
        <w:topLinePunct w:val="0"/>
        <w:autoSpaceDE/>
        <w:autoSpaceDN/>
        <w:bidi w:val="0"/>
        <w:snapToGrid/>
        <w:spacing w:before="0" w:after="0" w:line="360" w:lineRule="auto"/>
        <w:ind w:left="0" w:leftChars="0"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11.1 供应商在磋商响应文件有效期内撤回投标的；</w:t>
      </w:r>
    </w:p>
    <w:p w14:paraId="6DA63AF8">
      <w:pPr>
        <w:pStyle w:val="57"/>
        <w:keepNext w:val="0"/>
        <w:keepLines w:val="0"/>
        <w:pageBreakBefore w:val="0"/>
        <w:widowControl w:val="0"/>
        <w:shd w:val="clear"/>
        <w:kinsoku/>
        <w:wordWrap/>
        <w:overflowPunct/>
        <w:topLinePunct w:val="0"/>
        <w:autoSpaceDE/>
        <w:autoSpaceDN/>
        <w:bidi w:val="0"/>
        <w:snapToGrid/>
        <w:spacing w:before="0" w:after="0" w:line="360" w:lineRule="auto"/>
        <w:ind w:left="0" w:leftChars="0"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11.2 供应商或中标候选人放弃中标或中标候选人资格的；</w:t>
      </w:r>
    </w:p>
    <w:p w14:paraId="5B5808E9">
      <w:pPr>
        <w:pStyle w:val="57"/>
        <w:keepNext w:val="0"/>
        <w:keepLines w:val="0"/>
        <w:pageBreakBefore w:val="0"/>
        <w:widowControl w:val="0"/>
        <w:shd w:val="clear"/>
        <w:kinsoku/>
        <w:wordWrap/>
        <w:overflowPunct/>
        <w:topLinePunct w:val="0"/>
        <w:autoSpaceDE/>
        <w:autoSpaceDN/>
        <w:bidi w:val="0"/>
        <w:snapToGrid/>
        <w:spacing w:before="0" w:after="0" w:line="360" w:lineRule="auto"/>
        <w:ind w:left="0" w:leftChars="0"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11.3 擅自修改或拒绝接受已经确认的条款；</w:t>
      </w:r>
    </w:p>
    <w:p w14:paraId="0C66D498">
      <w:pPr>
        <w:pStyle w:val="57"/>
        <w:keepNext w:val="0"/>
        <w:keepLines w:val="0"/>
        <w:pageBreakBefore w:val="0"/>
        <w:widowControl w:val="0"/>
        <w:shd w:val="clear"/>
        <w:kinsoku/>
        <w:wordWrap/>
        <w:overflowPunct/>
        <w:topLinePunct w:val="0"/>
        <w:autoSpaceDE/>
        <w:autoSpaceDN/>
        <w:bidi w:val="0"/>
        <w:snapToGrid/>
        <w:spacing w:before="0" w:after="0" w:line="360" w:lineRule="auto"/>
        <w:ind w:left="0" w:leftChars="0"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11.4 成交供应商未按规定与采购人签订合同；</w:t>
      </w:r>
    </w:p>
    <w:p w14:paraId="361C7F15">
      <w:pPr>
        <w:pStyle w:val="57"/>
        <w:keepNext w:val="0"/>
        <w:keepLines w:val="0"/>
        <w:pageBreakBefore w:val="0"/>
        <w:widowControl w:val="0"/>
        <w:shd w:val="clear"/>
        <w:kinsoku/>
        <w:wordWrap/>
        <w:overflowPunct/>
        <w:topLinePunct w:val="0"/>
        <w:autoSpaceDE/>
        <w:autoSpaceDN/>
        <w:bidi w:val="0"/>
        <w:snapToGrid/>
        <w:spacing w:before="0" w:after="0" w:line="360" w:lineRule="auto"/>
        <w:ind w:left="0" w:leftChars="0"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11.5 供应商采取提供虚假资料等不正当手段的；</w:t>
      </w:r>
    </w:p>
    <w:p w14:paraId="6B7E70B9">
      <w:pPr>
        <w:pStyle w:val="57"/>
        <w:keepNext w:val="0"/>
        <w:keepLines w:val="0"/>
        <w:pageBreakBefore w:val="0"/>
        <w:widowControl w:val="0"/>
        <w:shd w:val="clear"/>
        <w:kinsoku/>
        <w:wordWrap/>
        <w:overflowPunct/>
        <w:topLinePunct w:val="0"/>
        <w:autoSpaceDE/>
        <w:autoSpaceDN/>
        <w:bidi w:val="0"/>
        <w:snapToGrid/>
        <w:spacing w:before="0" w:after="0" w:line="360" w:lineRule="auto"/>
        <w:ind w:left="0" w:leftChars="0"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11.6 供应商在投标过程中串通投标的。</w:t>
      </w:r>
    </w:p>
    <w:p w14:paraId="1235EC49">
      <w:pPr>
        <w:pStyle w:val="57"/>
        <w:keepNext w:val="0"/>
        <w:keepLines w:val="0"/>
        <w:pageBreakBefore w:val="0"/>
        <w:widowControl w:val="0"/>
        <w:shd w:val="clear"/>
        <w:kinsoku/>
        <w:wordWrap/>
        <w:overflowPunct/>
        <w:topLinePunct w:val="0"/>
        <w:autoSpaceDE/>
        <w:autoSpaceDN/>
        <w:bidi w:val="0"/>
        <w:snapToGrid/>
        <w:spacing w:before="0" w:after="0" w:line="360" w:lineRule="auto"/>
        <w:ind w:left="0" w:leftChars="0" w:firstLine="482" w:firstLineChars="200"/>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12、响应文件的编制和签署</w:t>
      </w:r>
    </w:p>
    <w:p w14:paraId="5C3C1167">
      <w:pPr>
        <w:pStyle w:val="57"/>
        <w:keepNext w:val="0"/>
        <w:keepLines w:val="0"/>
        <w:pageBreakBefore w:val="0"/>
        <w:widowControl w:val="0"/>
        <w:shd w:val="clear"/>
        <w:kinsoku/>
        <w:wordWrap/>
        <w:overflowPunct/>
        <w:topLinePunct w:val="0"/>
        <w:autoSpaceDE/>
        <w:autoSpaceDN/>
        <w:bidi w:val="0"/>
        <w:snapToGrid/>
        <w:spacing w:before="0" w:after="0" w:line="360" w:lineRule="auto"/>
        <w:ind w:left="0" w:leftChars="0"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12.1 按磋商文件9.1条、9.2条、9.3条要求提供的各种文件，响应文件分为资格文件、商务技术文件和报价文件三部分。</w:t>
      </w:r>
    </w:p>
    <w:p w14:paraId="1EDC5692">
      <w:pPr>
        <w:pStyle w:val="57"/>
        <w:keepNext w:val="0"/>
        <w:keepLines w:val="0"/>
        <w:pageBreakBefore w:val="0"/>
        <w:widowControl w:val="0"/>
        <w:shd w:val="clear"/>
        <w:kinsoku/>
        <w:wordWrap/>
        <w:overflowPunct/>
        <w:topLinePunct w:val="0"/>
        <w:autoSpaceDE/>
        <w:autoSpaceDN/>
        <w:bidi w:val="0"/>
        <w:snapToGrid/>
        <w:spacing w:before="0" w:after="0" w:line="360" w:lineRule="auto"/>
        <w:ind w:left="0" w:leftChars="0"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12.2 响应文件须按附件格式要求进行电子签章，供应商应写全称。（电子磋商响应文件中所</w:t>
      </w:r>
      <w:r>
        <w:rPr>
          <w:rFonts w:hint="eastAsia" w:ascii="宋体" w:hAnsi="宋体" w:cs="宋体"/>
          <w:color w:val="auto"/>
          <w:highlight w:val="none"/>
          <w:lang w:eastAsia="zh-CN"/>
        </w:rPr>
        <w:t>需</w:t>
      </w:r>
      <w:r>
        <w:rPr>
          <w:rFonts w:hint="eastAsia" w:ascii="宋体" w:hAnsi="宋体" w:eastAsia="宋体" w:cs="宋体"/>
          <w:color w:val="auto"/>
          <w:highlight w:val="none"/>
        </w:rPr>
        <w:t>加盖公章部分均应采用电子签章）</w:t>
      </w:r>
    </w:p>
    <w:p w14:paraId="688B6F08">
      <w:pPr>
        <w:pStyle w:val="57"/>
        <w:keepNext w:val="0"/>
        <w:keepLines w:val="0"/>
        <w:pageBreakBefore w:val="0"/>
        <w:widowControl w:val="0"/>
        <w:shd w:val="clear"/>
        <w:kinsoku/>
        <w:wordWrap/>
        <w:overflowPunct/>
        <w:topLinePunct w:val="0"/>
        <w:autoSpaceDE/>
        <w:autoSpaceDN/>
        <w:bidi w:val="0"/>
        <w:snapToGrid/>
        <w:spacing w:before="0" w:after="0" w:line="360" w:lineRule="auto"/>
        <w:ind w:left="0" w:leftChars="0"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12.3 全套响应文件应无涂改和行间插字，除非这些删改是根据采购代理机构要求进行，或者是供应商造成的必须修改的错误。所修改处应由法定代表人或其授权代表签字盖章予以确认。</w:t>
      </w:r>
    </w:p>
    <w:p w14:paraId="14542297">
      <w:pPr>
        <w:pStyle w:val="57"/>
        <w:keepNext w:val="0"/>
        <w:keepLines w:val="0"/>
        <w:pageBreakBefore w:val="0"/>
        <w:widowControl w:val="0"/>
        <w:shd w:val="clear"/>
        <w:kinsoku/>
        <w:wordWrap/>
        <w:overflowPunct/>
        <w:topLinePunct w:val="0"/>
        <w:autoSpaceDE/>
        <w:autoSpaceDN/>
        <w:bidi w:val="0"/>
        <w:snapToGrid/>
        <w:spacing w:before="0" w:after="0" w:line="360" w:lineRule="auto"/>
        <w:ind w:left="0" w:leftChars="0"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12.4 由于字迹模糊或表达不清引起的后果由供应商负责。</w:t>
      </w:r>
    </w:p>
    <w:p w14:paraId="0F3EA8BF">
      <w:pPr>
        <w:pStyle w:val="57"/>
        <w:keepNext w:val="0"/>
        <w:keepLines w:val="0"/>
        <w:pageBreakBefore w:val="0"/>
        <w:widowControl w:val="0"/>
        <w:shd w:val="clear"/>
        <w:kinsoku/>
        <w:wordWrap/>
        <w:overflowPunct/>
        <w:topLinePunct w:val="0"/>
        <w:autoSpaceDE/>
        <w:autoSpaceDN/>
        <w:bidi w:val="0"/>
        <w:snapToGrid/>
        <w:spacing w:before="0" w:after="0" w:line="360" w:lineRule="auto"/>
        <w:ind w:left="0" w:leftChars="0" w:firstLine="482" w:firstLineChars="200"/>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13、响应文件的形式</w:t>
      </w:r>
    </w:p>
    <w:p w14:paraId="47EA1492">
      <w:pPr>
        <w:pStyle w:val="57"/>
        <w:keepNext w:val="0"/>
        <w:keepLines w:val="0"/>
        <w:pageBreakBefore w:val="0"/>
        <w:widowControl w:val="0"/>
        <w:shd w:val="clear"/>
        <w:kinsoku/>
        <w:wordWrap/>
        <w:overflowPunct/>
        <w:topLinePunct w:val="0"/>
        <w:autoSpaceDE/>
        <w:autoSpaceDN/>
        <w:bidi w:val="0"/>
        <w:snapToGrid/>
        <w:spacing w:before="0" w:after="0" w:line="360" w:lineRule="auto"/>
        <w:ind w:left="0" w:leftChars="0"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响应文件为电子磋商响应文件，电子磋商响应文件按“政采云供应商项目采购</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电子招投标操作指南”及本磋商文件要求制作、加密传输。</w:t>
      </w:r>
    </w:p>
    <w:p w14:paraId="3F32284B">
      <w:pPr>
        <w:pStyle w:val="2"/>
        <w:numPr>
          <w:ilvl w:val="0"/>
          <w:numId w:val="0"/>
        </w:numPr>
        <w:shd w:val="clear"/>
        <w:spacing w:line="240" w:lineRule="auto"/>
        <w:jc w:val="center"/>
        <w:rPr>
          <w:rFonts w:hint="eastAsia" w:ascii="宋体" w:hAnsi="宋体" w:eastAsia="宋体" w:cs="宋体"/>
          <w:color w:val="auto"/>
          <w:highlight w:val="none"/>
        </w:rPr>
      </w:pPr>
      <w:bookmarkStart w:id="59" w:name="_Toc1420"/>
      <w:r>
        <w:rPr>
          <w:rFonts w:hint="eastAsia" w:ascii="宋体" w:hAnsi="宋体" w:eastAsia="宋体" w:cs="宋体"/>
          <w:b/>
          <w:bCs/>
          <w:color w:val="auto"/>
          <w:kern w:val="2"/>
          <w:sz w:val="28"/>
          <w:szCs w:val="28"/>
          <w:highlight w:val="none"/>
          <w:lang w:val="en-US" w:eastAsia="zh-CN" w:bidi="ar-SA"/>
        </w:rPr>
        <w:t>四、</w:t>
      </w:r>
      <w:r>
        <w:rPr>
          <w:rFonts w:hint="eastAsia" w:ascii="宋体" w:hAnsi="宋体" w:eastAsia="宋体" w:cs="宋体"/>
          <w:color w:val="auto"/>
          <w:highlight w:val="none"/>
        </w:rPr>
        <w:t xml:space="preserve"> </w:t>
      </w:r>
      <w:bookmarkStart w:id="60" w:name="_Toc21266"/>
      <w:bookmarkStart w:id="61" w:name="_Toc9697"/>
      <w:r>
        <w:rPr>
          <w:rFonts w:hint="eastAsia" w:ascii="宋体" w:hAnsi="宋体" w:eastAsia="宋体" w:cs="宋体"/>
          <w:color w:val="auto"/>
          <w:highlight w:val="none"/>
        </w:rPr>
        <w:t>响应文件的递交</w:t>
      </w:r>
      <w:bookmarkEnd w:id="59"/>
      <w:bookmarkEnd w:id="60"/>
      <w:bookmarkEnd w:id="61"/>
    </w:p>
    <w:p w14:paraId="2E53DF8E">
      <w:pPr>
        <w:pStyle w:val="17"/>
        <w:keepNext w:val="0"/>
        <w:keepLines w:val="0"/>
        <w:pageBreakBefore w:val="0"/>
        <w:widowControl w:val="0"/>
        <w:shd w:val="clear"/>
        <w:kinsoku/>
        <w:wordWrap/>
        <w:overflowPunct/>
        <w:topLinePunct w:val="0"/>
        <w:autoSpaceDE/>
        <w:autoSpaceDN/>
        <w:bidi w:val="0"/>
        <w:snapToGrid/>
        <w:spacing w:line="360" w:lineRule="auto"/>
        <w:ind w:left="0" w:leftChars="0"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14、磋商响应截止期</w:t>
      </w:r>
    </w:p>
    <w:p w14:paraId="5CBE01D2">
      <w:pPr>
        <w:pStyle w:val="57"/>
        <w:keepNext w:val="0"/>
        <w:keepLines w:val="0"/>
        <w:pageBreakBefore w:val="0"/>
        <w:widowControl w:val="0"/>
        <w:numPr>
          <w:ilvl w:val="0"/>
          <w:numId w:val="13"/>
        </w:numPr>
        <w:shd w:val="clear"/>
        <w:kinsoku/>
        <w:wordWrap/>
        <w:overflowPunct/>
        <w:topLinePunct w:val="0"/>
        <w:autoSpaceDE/>
        <w:autoSpaceDN/>
        <w:bidi w:val="0"/>
        <w:snapToGrid/>
        <w:spacing w:before="0" w:after="0" w:line="360" w:lineRule="auto"/>
        <w:ind w:left="0" w:leftChars="0"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响应文件必须在规定的磋商响应截止时间前在政采云系统内完成传输，以纸质、电报、电话、传真形式的投标概不接受。为应对响应文件解密失败等异常情况，供应商可指派授权代表在磋商响应截止时间之前到达开标地点提交备份文件。</w:t>
      </w:r>
    </w:p>
    <w:p w14:paraId="0D1A7F79">
      <w:pPr>
        <w:pStyle w:val="57"/>
        <w:keepNext w:val="0"/>
        <w:keepLines w:val="0"/>
        <w:pageBreakBefore w:val="0"/>
        <w:widowControl w:val="0"/>
        <w:numPr>
          <w:ilvl w:val="0"/>
          <w:numId w:val="13"/>
        </w:numPr>
        <w:shd w:val="clear"/>
        <w:kinsoku/>
        <w:wordWrap/>
        <w:overflowPunct/>
        <w:topLinePunct w:val="0"/>
        <w:autoSpaceDE/>
        <w:autoSpaceDN/>
        <w:bidi w:val="0"/>
        <w:snapToGrid/>
        <w:spacing w:before="0" w:after="0" w:line="360" w:lineRule="auto"/>
        <w:ind w:left="0" w:leftChars="0"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采购人因故推迟磋商响应截止时间，将以公告形式通知。在这种情况下，采购人和供应商的权利和义务将受到新的截止时间的约束。</w:t>
      </w:r>
    </w:p>
    <w:p w14:paraId="6D72E8AF">
      <w:pPr>
        <w:pStyle w:val="17"/>
        <w:keepNext w:val="0"/>
        <w:keepLines w:val="0"/>
        <w:pageBreakBefore w:val="0"/>
        <w:widowControl w:val="0"/>
        <w:shd w:val="clear"/>
        <w:kinsoku/>
        <w:wordWrap/>
        <w:overflowPunct/>
        <w:topLinePunct w:val="0"/>
        <w:autoSpaceDE/>
        <w:autoSpaceDN/>
        <w:bidi w:val="0"/>
        <w:snapToGrid/>
        <w:spacing w:line="360" w:lineRule="auto"/>
        <w:ind w:left="0" w:leftChars="0"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15、响应文件的修改、撤销</w:t>
      </w:r>
    </w:p>
    <w:p w14:paraId="54C877C2">
      <w:pPr>
        <w:pStyle w:val="17"/>
        <w:keepNext w:val="0"/>
        <w:keepLines w:val="0"/>
        <w:pageBreakBefore w:val="0"/>
        <w:widowControl w:val="0"/>
        <w:shd w:val="clear"/>
        <w:kinsoku/>
        <w:wordWrap/>
        <w:overflowPunct/>
        <w:topLinePunct w:val="0"/>
        <w:autoSpaceDE/>
        <w:autoSpaceDN/>
        <w:bidi w:val="0"/>
        <w:snapToGrid/>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应当在磋商响应截止时间前完成电子交易文件的传输递交，磋商响应截止时间前可以补充、修改或者撤回电子交易文件。补充或者修改电子交易文件的，应当先行撤回原文件，补充、修改后重新传输递交。磋商响应截止时间前未完成传输的，视为响应文件撤回。</w:t>
      </w:r>
    </w:p>
    <w:p w14:paraId="7C8E079C">
      <w:pPr>
        <w:pStyle w:val="2"/>
        <w:numPr>
          <w:ilvl w:val="0"/>
          <w:numId w:val="0"/>
        </w:numPr>
        <w:shd w:val="clear"/>
        <w:spacing w:line="240" w:lineRule="auto"/>
        <w:jc w:val="center"/>
        <w:rPr>
          <w:rFonts w:hint="eastAsia" w:ascii="宋体" w:hAnsi="宋体" w:eastAsia="宋体" w:cs="宋体"/>
          <w:color w:val="auto"/>
          <w:highlight w:val="none"/>
        </w:rPr>
      </w:pPr>
      <w:r>
        <w:rPr>
          <w:rFonts w:hint="eastAsia" w:ascii="宋体" w:hAnsi="宋体" w:eastAsia="宋体" w:cs="宋体"/>
          <w:b/>
          <w:bCs/>
          <w:color w:val="auto"/>
          <w:kern w:val="2"/>
          <w:sz w:val="28"/>
          <w:szCs w:val="28"/>
          <w:highlight w:val="none"/>
          <w:lang w:val="en-US" w:eastAsia="zh-CN" w:bidi="ar-SA"/>
        </w:rPr>
        <w:t>五、</w:t>
      </w:r>
      <w:r>
        <w:rPr>
          <w:rFonts w:hint="eastAsia" w:ascii="宋体" w:hAnsi="宋体" w:eastAsia="宋体" w:cs="宋体"/>
          <w:color w:val="auto"/>
          <w:highlight w:val="none"/>
        </w:rPr>
        <w:t xml:space="preserve"> </w:t>
      </w:r>
      <w:bookmarkStart w:id="62" w:name="_Toc30146"/>
      <w:bookmarkStart w:id="63" w:name="_Toc24120"/>
      <w:r>
        <w:rPr>
          <w:rFonts w:hint="eastAsia" w:ascii="宋体" w:hAnsi="宋体" w:eastAsia="宋体" w:cs="宋体"/>
          <w:color w:val="auto"/>
          <w:highlight w:val="none"/>
        </w:rPr>
        <w:t>磋商无效的情形</w:t>
      </w:r>
      <w:bookmarkEnd w:id="62"/>
      <w:bookmarkEnd w:id="63"/>
    </w:p>
    <w:p w14:paraId="233FDC03">
      <w:pPr>
        <w:pStyle w:val="17"/>
        <w:keepNext w:val="0"/>
        <w:keepLines w:val="0"/>
        <w:pageBreakBefore w:val="0"/>
        <w:widowControl w:val="0"/>
        <w:shd w:val="clear"/>
        <w:kinsoku/>
        <w:wordWrap/>
        <w:overflowPunct/>
        <w:topLinePunct w:val="0"/>
        <w:autoSpaceDE/>
        <w:autoSpaceDN/>
        <w:bidi w:val="0"/>
        <w:adjustRightInd/>
        <w:snapToGrid w:val="0"/>
        <w:spacing w:line="360" w:lineRule="auto"/>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16、无效响应</w:t>
      </w:r>
    </w:p>
    <w:p w14:paraId="71D65223">
      <w:pPr>
        <w:pStyle w:val="17"/>
        <w:keepNext w:val="0"/>
        <w:keepLines w:val="0"/>
        <w:pageBreakBefore w:val="0"/>
        <w:widowControl w:val="0"/>
        <w:shd w:val="clear"/>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经过审查，凡不符合有关规定，不响应磋商文件的实质性条款，存在以下重大偏离之一的，经磋商小组认定，将因未通过资格性或符合性审查而被作为无效响应处理：</w:t>
      </w:r>
    </w:p>
    <w:p w14:paraId="3A52530F">
      <w:pPr>
        <w:keepNext w:val="0"/>
        <w:keepLines w:val="0"/>
        <w:pageBreakBefore w:val="0"/>
        <w:widowControl w:val="0"/>
        <w:shd w:val="clear"/>
        <w:kinsoku/>
        <w:wordWrap/>
        <w:overflowPunct/>
        <w:topLinePunct w:val="0"/>
        <w:autoSpaceDE/>
        <w:autoSpaceDN/>
        <w:bidi w:val="0"/>
        <w:adjustRightInd/>
        <w:spacing w:line="360" w:lineRule="auto"/>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16.1未按照磋商文件规定要求签署、盖章的；</w:t>
      </w:r>
    </w:p>
    <w:p w14:paraId="2AD2552C">
      <w:pPr>
        <w:keepNext w:val="0"/>
        <w:keepLines w:val="0"/>
        <w:pageBreakBefore w:val="0"/>
        <w:widowControl w:val="0"/>
        <w:shd w:val="clear"/>
        <w:kinsoku/>
        <w:wordWrap/>
        <w:overflowPunct/>
        <w:topLinePunct w:val="0"/>
        <w:autoSpaceDE/>
        <w:autoSpaceDN/>
        <w:bidi w:val="0"/>
        <w:adjustRightInd/>
        <w:spacing w:line="360" w:lineRule="auto"/>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 xml:space="preserve">16.2《法定代表人授权书》填写不全、错误、未加盖供应商公章（公章和签字或盖章缺一不可）； </w:t>
      </w:r>
    </w:p>
    <w:p w14:paraId="344B4244">
      <w:pPr>
        <w:keepNext w:val="0"/>
        <w:keepLines w:val="0"/>
        <w:pageBreakBefore w:val="0"/>
        <w:widowControl w:val="0"/>
        <w:shd w:val="clear"/>
        <w:kinsoku/>
        <w:wordWrap/>
        <w:overflowPunct/>
        <w:topLinePunct w:val="0"/>
        <w:autoSpaceDE/>
        <w:autoSpaceDN/>
        <w:bidi w:val="0"/>
        <w:adjustRightInd/>
        <w:spacing w:line="360" w:lineRule="auto"/>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16.3个体工商户的身份证明与营业执照不一致的；</w:t>
      </w:r>
    </w:p>
    <w:p w14:paraId="2B0B7CDF">
      <w:pPr>
        <w:keepNext w:val="0"/>
        <w:keepLines w:val="0"/>
        <w:pageBreakBefore w:val="0"/>
        <w:widowControl w:val="0"/>
        <w:shd w:val="clear"/>
        <w:kinsoku/>
        <w:wordWrap/>
        <w:overflowPunct/>
        <w:topLinePunct w:val="0"/>
        <w:autoSpaceDE/>
        <w:autoSpaceDN/>
        <w:bidi w:val="0"/>
        <w:adjustRightInd/>
        <w:spacing w:line="360" w:lineRule="auto"/>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16.4响应文件中的磋商函未加盖供应商的企业公章或填写不全的；</w:t>
      </w:r>
    </w:p>
    <w:p w14:paraId="4E72934F">
      <w:pPr>
        <w:keepNext w:val="0"/>
        <w:keepLines w:val="0"/>
        <w:pageBreakBefore w:val="0"/>
        <w:widowControl w:val="0"/>
        <w:shd w:val="clear"/>
        <w:kinsoku/>
        <w:wordWrap/>
        <w:overflowPunct/>
        <w:topLinePunct w:val="0"/>
        <w:autoSpaceDE/>
        <w:autoSpaceDN/>
        <w:bidi w:val="0"/>
        <w:adjustRightInd/>
        <w:spacing w:line="360" w:lineRule="auto"/>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16.5报价一经涂改，未在涂改处加盖投标单位公章或者未经法定代表人或其授权代表签字或盖章的；</w:t>
      </w:r>
    </w:p>
    <w:p w14:paraId="4DEEAF4A">
      <w:pPr>
        <w:keepNext w:val="0"/>
        <w:keepLines w:val="0"/>
        <w:pageBreakBefore w:val="0"/>
        <w:widowControl w:val="0"/>
        <w:shd w:val="clear"/>
        <w:kinsoku/>
        <w:wordWrap/>
        <w:overflowPunct/>
        <w:topLinePunct w:val="0"/>
        <w:autoSpaceDE/>
        <w:autoSpaceDN/>
        <w:bidi w:val="0"/>
        <w:adjustRightInd/>
        <w:spacing w:line="360" w:lineRule="auto"/>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16.6因未按规定的格式填写，内容不全或主要实质性内容字迹模糊辨认不清</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rPr>
        <w:t>经评标委员会认定为无法评审的；</w:t>
      </w:r>
    </w:p>
    <w:p w14:paraId="7CAE19CB">
      <w:pPr>
        <w:keepNext w:val="0"/>
        <w:keepLines w:val="0"/>
        <w:pageBreakBefore w:val="0"/>
        <w:widowControl w:val="0"/>
        <w:shd w:val="clear"/>
        <w:kinsoku/>
        <w:wordWrap/>
        <w:overflowPunct/>
        <w:topLinePunct w:val="0"/>
        <w:autoSpaceDE/>
        <w:autoSpaceDN/>
        <w:bidi w:val="0"/>
        <w:adjustRightInd/>
        <w:spacing w:line="360" w:lineRule="auto"/>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16.7出现同一标的物或本次采购产品</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rPr>
        <w:t>服务</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rPr>
        <w:t>内的主要产品</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rPr>
        <w:t>重要组成部分</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rPr>
        <w:t>出现技术、商务描述不一致或前后描述不一致，经评标委员会认定后为无法评审的；</w:t>
      </w:r>
    </w:p>
    <w:p w14:paraId="2DB69C9D">
      <w:pPr>
        <w:keepNext w:val="0"/>
        <w:keepLines w:val="0"/>
        <w:pageBreakBefore w:val="0"/>
        <w:widowControl w:val="0"/>
        <w:shd w:val="clear"/>
        <w:kinsoku/>
        <w:wordWrap/>
        <w:overflowPunct/>
        <w:topLinePunct w:val="0"/>
        <w:autoSpaceDE/>
        <w:autoSpaceDN/>
        <w:bidi w:val="0"/>
        <w:adjustRightInd/>
        <w:spacing w:line="360" w:lineRule="auto"/>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16.8响应详细配置清单响应表不真实填写或弄虚作假的；改变磋商文件提供的清单中的计量单位、工程数量；</w:t>
      </w:r>
    </w:p>
    <w:p w14:paraId="5C40A41A">
      <w:pPr>
        <w:keepNext w:val="0"/>
        <w:keepLines w:val="0"/>
        <w:pageBreakBefore w:val="0"/>
        <w:widowControl w:val="0"/>
        <w:shd w:val="clear"/>
        <w:kinsoku/>
        <w:wordWrap/>
        <w:overflowPunct/>
        <w:topLinePunct w:val="0"/>
        <w:autoSpaceDE/>
        <w:autoSpaceDN/>
        <w:bidi w:val="0"/>
        <w:adjustRightInd/>
        <w:spacing w:line="360" w:lineRule="auto"/>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16.9对采购产品技术规格未详细应答，致使其技术文件无法评审的；</w:t>
      </w:r>
    </w:p>
    <w:p w14:paraId="473F9F23">
      <w:pPr>
        <w:keepNext w:val="0"/>
        <w:keepLines w:val="0"/>
        <w:pageBreakBefore w:val="0"/>
        <w:widowControl w:val="0"/>
        <w:shd w:val="clear"/>
        <w:kinsoku/>
        <w:wordWrap/>
        <w:overflowPunct/>
        <w:topLinePunct w:val="0"/>
        <w:autoSpaceDE/>
        <w:autoSpaceDN/>
        <w:bidi w:val="0"/>
        <w:adjustRightInd/>
        <w:spacing w:line="360" w:lineRule="auto"/>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16.10响应文件有采购方不能接受的条件；</w:t>
      </w:r>
    </w:p>
    <w:p w14:paraId="559B3246">
      <w:pPr>
        <w:keepNext w:val="0"/>
        <w:keepLines w:val="0"/>
        <w:pageBreakBefore w:val="0"/>
        <w:widowControl w:val="0"/>
        <w:shd w:val="clear"/>
        <w:kinsoku/>
        <w:wordWrap/>
        <w:overflowPunct/>
        <w:topLinePunct w:val="0"/>
        <w:autoSpaceDE/>
        <w:autoSpaceDN/>
        <w:bidi w:val="0"/>
        <w:adjustRightInd/>
        <w:spacing w:line="360" w:lineRule="auto"/>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16.11评标委员会认为供应商的报价明显低于其他通过符合性审查供应商的报价，有可能影响产品质量或者不能诚信履约的，应当要求其在评标现场合理的时间内通过政采云平台提供线上说明，必要时提交相关证明材料。</w:t>
      </w:r>
    </w:p>
    <w:p w14:paraId="5BD37888">
      <w:pPr>
        <w:keepNext w:val="0"/>
        <w:keepLines w:val="0"/>
        <w:pageBreakBefore w:val="0"/>
        <w:widowControl w:val="0"/>
        <w:shd w:val="clear"/>
        <w:kinsoku/>
        <w:wordWrap/>
        <w:overflowPunct/>
        <w:topLinePunct w:val="0"/>
        <w:autoSpaceDE/>
        <w:autoSpaceDN/>
        <w:bidi w:val="0"/>
        <w:adjustRightInd/>
        <w:spacing w:line="360" w:lineRule="auto"/>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16.12磋商报价超过预算金额或最高限价的；</w:t>
      </w:r>
    </w:p>
    <w:p w14:paraId="1C7E0745">
      <w:pPr>
        <w:keepNext w:val="0"/>
        <w:keepLines w:val="0"/>
        <w:pageBreakBefore w:val="0"/>
        <w:widowControl w:val="0"/>
        <w:shd w:val="clear"/>
        <w:kinsoku/>
        <w:wordWrap/>
        <w:overflowPunct/>
        <w:topLinePunct w:val="0"/>
        <w:autoSpaceDE/>
        <w:autoSpaceDN/>
        <w:bidi w:val="0"/>
        <w:adjustRightInd/>
        <w:spacing w:line="360" w:lineRule="auto"/>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16.13响应文件“商务技术文件资料”部分中出现《报价一览表》或《磋商报价明细表》相关内容的；</w:t>
      </w:r>
    </w:p>
    <w:p w14:paraId="4BFBF413">
      <w:pPr>
        <w:keepNext w:val="0"/>
        <w:keepLines w:val="0"/>
        <w:pageBreakBefore w:val="0"/>
        <w:widowControl w:val="0"/>
        <w:shd w:val="clear"/>
        <w:kinsoku/>
        <w:wordWrap/>
        <w:overflowPunct/>
        <w:topLinePunct w:val="0"/>
        <w:autoSpaceDE/>
        <w:autoSpaceDN/>
        <w:bidi w:val="0"/>
        <w:adjustRightInd/>
        <w:spacing w:line="360" w:lineRule="auto"/>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16.14评标委员会认定有重大偏差或实质性不响应磋商文件要求的，即“★”的关键性指标及技术参数要求负偏离或缺漏；</w:t>
      </w:r>
    </w:p>
    <w:p w14:paraId="3094B7F2">
      <w:pPr>
        <w:keepNext w:val="0"/>
        <w:keepLines w:val="0"/>
        <w:pageBreakBefore w:val="0"/>
        <w:widowControl w:val="0"/>
        <w:shd w:val="clear"/>
        <w:kinsoku/>
        <w:wordWrap/>
        <w:overflowPunct/>
        <w:topLinePunct w:val="0"/>
        <w:autoSpaceDE/>
        <w:autoSpaceDN/>
        <w:bidi w:val="0"/>
        <w:adjustRightInd/>
        <w:spacing w:line="360" w:lineRule="auto"/>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16.15供应商拒绝按磋商文件规定的修正原则对响应文件进行修改的；</w:t>
      </w:r>
    </w:p>
    <w:p w14:paraId="268AE575">
      <w:pPr>
        <w:keepNext w:val="0"/>
        <w:keepLines w:val="0"/>
        <w:pageBreakBefore w:val="0"/>
        <w:widowControl w:val="0"/>
        <w:shd w:val="clear"/>
        <w:kinsoku/>
        <w:wordWrap/>
        <w:overflowPunct/>
        <w:topLinePunct w:val="0"/>
        <w:autoSpaceDE/>
        <w:autoSpaceDN/>
        <w:bidi w:val="0"/>
        <w:adjustRightInd/>
        <w:spacing w:line="360" w:lineRule="auto"/>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16.16有下列情形之一的，视为供应商串通投标，其投标无效：</w:t>
      </w:r>
    </w:p>
    <w:p w14:paraId="6274D291">
      <w:pPr>
        <w:keepNext w:val="0"/>
        <w:keepLines w:val="0"/>
        <w:pageBreakBefore w:val="0"/>
        <w:widowControl w:val="0"/>
        <w:shd w:val="clear"/>
        <w:kinsoku/>
        <w:wordWrap/>
        <w:overflowPunct/>
        <w:topLinePunct w:val="0"/>
        <w:autoSpaceDE/>
        <w:autoSpaceDN/>
        <w:bidi w:val="0"/>
        <w:adjustRightInd/>
        <w:spacing w:line="360" w:lineRule="auto"/>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16.16.1不同供应商的响应文件由同一单位或者个人编制；</w:t>
      </w:r>
    </w:p>
    <w:p w14:paraId="753091F5">
      <w:pPr>
        <w:keepNext w:val="0"/>
        <w:keepLines w:val="0"/>
        <w:pageBreakBefore w:val="0"/>
        <w:widowControl w:val="0"/>
        <w:shd w:val="clear"/>
        <w:kinsoku/>
        <w:wordWrap/>
        <w:overflowPunct/>
        <w:topLinePunct w:val="0"/>
        <w:autoSpaceDE/>
        <w:autoSpaceDN/>
        <w:bidi w:val="0"/>
        <w:adjustRightInd/>
        <w:spacing w:line="360" w:lineRule="auto"/>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16.16.2不同供应商委托同一单位或者个人办理投标事宜；</w:t>
      </w:r>
    </w:p>
    <w:p w14:paraId="79BC76F4">
      <w:pPr>
        <w:keepNext w:val="0"/>
        <w:keepLines w:val="0"/>
        <w:pageBreakBefore w:val="0"/>
        <w:widowControl w:val="0"/>
        <w:shd w:val="clear"/>
        <w:kinsoku/>
        <w:wordWrap/>
        <w:overflowPunct/>
        <w:topLinePunct w:val="0"/>
        <w:autoSpaceDE/>
        <w:autoSpaceDN/>
        <w:bidi w:val="0"/>
        <w:adjustRightInd/>
        <w:spacing w:line="360" w:lineRule="auto"/>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16.16.3不同供应商的响应文件载明的项目管理成员或者联系人员为同一人；</w:t>
      </w:r>
    </w:p>
    <w:p w14:paraId="39B31517">
      <w:pPr>
        <w:keepNext w:val="0"/>
        <w:keepLines w:val="0"/>
        <w:pageBreakBefore w:val="0"/>
        <w:widowControl w:val="0"/>
        <w:shd w:val="clear"/>
        <w:kinsoku/>
        <w:wordWrap/>
        <w:overflowPunct/>
        <w:topLinePunct w:val="0"/>
        <w:autoSpaceDE/>
        <w:autoSpaceDN/>
        <w:bidi w:val="0"/>
        <w:adjustRightInd/>
        <w:spacing w:line="360" w:lineRule="auto"/>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16.16.4不同供应商的响应文件异常一致或者投标报价呈规律性差异；</w:t>
      </w:r>
    </w:p>
    <w:p w14:paraId="0BBC62D2">
      <w:pPr>
        <w:keepNext w:val="0"/>
        <w:keepLines w:val="0"/>
        <w:pageBreakBefore w:val="0"/>
        <w:widowControl w:val="0"/>
        <w:shd w:val="clear"/>
        <w:kinsoku/>
        <w:wordWrap/>
        <w:overflowPunct/>
        <w:topLinePunct w:val="0"/>
        <w:autoSpaceDE/>
        <w:autoSpaceDN/>
        <w:bidi w:val="0"/>
        <w:adjustRightInd/>
        <w:spacing w:line="360" w:lineRule="auto"/>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16.16.5不同供应商提供的响应文件出自同一终端设备的，或在相同Internet主机分配地址（相同IP地址）报名或网上投标的，且经询标澄清供应商无令人信服的理由和可靠证据证明其合理性的，经评标委员会半数以上成员确认有串通投标嫌疑的。</w:t>
      </w:r>
    </w:p>
    <w:p w14:paraId="0E8F0FFE">
      <w:pPr>
        <w:keepNext w:val="0"/>
        <w:keepLines w:val="0"/>
        <w:pageBreakBefore w:val="0"/>
        <w:widowControl w:val="0"/>
        <w:shd w:val="clear"/>
        <w:tabs>
          <w:tab w:val="left" w:pos="3870"/>
          <w:tab w:val="left" w:pos="4085"/>
        </w:tabs>
        <w:kinsoku/>
        <w:wordWrap/>
        <w:overflowPunct/>
        <w:topLinePunct w:val="0"/>
        <w:autoSpaceDE/>
        <w:autoSpaceDN/>
        <w:bidi w:val="0"/>
        <w:adjustRightInd/>
        <w:snapToGrid w:val="0"/>
        <w:spacing w:line="360" w:lineRule="auto"/>
        <w:ind w:firstLine="482" w:firstLineChars="200"/>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16.17其他违反</w:t>
      </w:r>
      <w:r>
        <w:rPr>
          <w:rFonts w:hint="eastAsia" w:ascii="宋体" w:hAnsi="宋体" w:eastAsia="宋体" w:cs="宋体"/>
          <w:b/>
          <w:bCs/>
          <w:color w:val="auto"/>
          <w:sz w:val="24"/>
          <w:szCs w:val="24"/>
          <w:highlight w:val="none"/>
          <w:lang w:eastAsia="zh-CN"/>
        </w:rPr>
        <w:t>法律法规</w:t>
      </w:r>
      <w:r>
        <w:rPr>
          <w:rFonts w:hint="eastAsia" w:ascii="宋体" w:hAnsi="宋体" w:eastAsia="宋体" w:cs="宋体"/>
          <w:b/>
          <w:bCs/>
          <w:color w:val="auto"/>
          <w:sz w:val="24"/>
          <w:szCs w:val="24"/>
          <w:highlight w:val="none"/>
        </w:rPr>
        <w:t>的情形。</w:t>
      </w:r>
    </w:p>
    <w:p w14:paraId="3279BFBF">
      <w:pPr>
        <w:pStyle w:val="2"/>
        <w:numPr>
          <w:ilvl w:val="0"/>
          <w:numId w:val="0"/>
        </w:numPr>
        <w:shd w:val="clear"/>
        <w:spacing w:line="240" w:lineRule="auto"/>
        <w:jc w:val="center"/>
        <w:rPr>
          <w:rFonts w:hint="eastAsia" w:ascii="宋体" w:hAnsi="宋体" w:eastAsia="宋体" w:cs="宋体"/>
          <w:color w:val="auto"/>
          <w:highlight w:val="none"/>
        </w:rPr>
      </w:pPr>
      <w:r>
        <w:rPr>
          <w:rFonts w:hint="eastAsia" w:ascii="宋体" w:hAnsi="宋体" w:eastAsia="宋体" w:cs="宋体"/>
          <w:b/>
          <w:bCs/>
          <w:color w:val="auto"/>
          <w:kern w:val="2"/>
          <w:sz w:val="28"/>
          <w:szCs w:val="28"/>
          <w:highlight w:val="none"/>
          <w:lang w:val="en-US" w:eastAsia="zh-CN" w:bidi="ar-SA"/>
        </w:rPr>
        <w:t>六、</w:t>
      </w:r>
      <w:r>
        <w:rPr>
          <w:rFonts w:hint="eastAsia" w:ascii="宋体" w:hAnsi="宋体" w:eastAsia="宋体" w:cs="宋体"/>
          <w:color w:val="auto"/>
          <w:highlight w:val="none"/>
        </w:rPr>
        <w:t xml:space="preserve"> </w:t>
      </w:r>
      <w:bookmarkStart w:id="64" w:name="_Toc583"/>
      <w:bookmarkStart w:id="65" w:name="_Toc21752"/>
      <w:r>
        <w:rPr>
          <w:rFonts w:hint="eastAsia" w:ascii="宋体" w:hAnsi="宋体" w:eastAsia="宋体" w:cs="宋体"/>
          <w:color w:val="auto"/>
          <w:highlight w:val="none"/>
        </w:rPr>
        <w:t>采购中止的情形</w:t>
      </w:r>
      <w:bookmarkEnd w:id="64"/>
      <w:bookmarkEnd w:id="65"/>
    </w:p>
    <w:p w14:paraId="6F67B0F7">
      <w:pPr>
        <w:pStyle w:val="17"/>
        <w:keepNext w:val="0"/>
        <w:keepLines w:val="0"/>
        <w:pageBreakBefore w:val="0"/>
        <w:widowControl w:val="0"/>
        <w:shd w:val="clear"/>
        <w:kinsoku/>
        <w:wordWrap/>
        <w:overflowPunct/>
        <w:topLinePunct w:val="0"/>
        <w:autoSpaceDE/>
        <w:autoSpaceDN/>
        <w:bidi w:val="0"/>
        <w:snapToGrid/>
        <w:spacing w:line="360" w:lineRule="auto"/>
        <w:ind w:left="0" w:leftChars="0"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17、</w:t>
      </w:r>
      <w:r>
        <w:rPr>
          <w:rFonts w:hint="eastAsia" w:ascii="宋体" w:hAnsi="宋体" w:eastAsia="宋体" w:cs="宋体"/>
          <w:b/>
          <w:bCs/>
          <w:color w:val="auto"/>
          <w:sz w:val="24"/>
          <w:szCs w:val="24"/>
          <w:highlight w:val="none"/>
          <w:lang w:val="zh-CN"/>
        </w:rPr>
        <w:t>中止电子交易活动和</w:t>
      </w:r>
      <w:r>
        <w:rPr>
          <w:rFonts w:hint="eastAsia" w:ascii="宋体" w:hAnsi="宋体" w:eastAsia="宋体" w:cs="宋体"/>
          <w:b/>
          <w:bCs/>
          <w:color w:val="auto"/>
          <w:sz w:val="24"/>
          <w:szCs w:val="24"/>
          <w:highlight w:val="none"/>
        </w:rPr>
        <w:t>重新组织采购</w:t>
      </w:r>
    </w:p>
    <w:p w14:paraId="165547B0">
      <w:pPr>
        <w:pStyle w:val="57"/>
        <w:keepNext w:val="0"/>
        <w:keepLines w:val="0"/>
        <w:pageBreakBefore w:val="0"/>
        <w:widowControl w:val="0"/>
        <w:shd w:val="clear"/>
        <w:tabs>
          <w:tab w:val="left" w:pos="0"/>
        </w:tabs>
        <w:kinsoku/>
        <w:wordWrap/>
        <w:overflowPunct/>
        <w:topLinePunct w:val="0"/>
        <w:autoSpaceDE/>
        <w:autoSpaceDN/>
        <w:bidi w:val="0"/>
        <w:snapToGrid/>
        <w:spacing w:before="0" w:after="0" w:line="360" w:lineRule="auto"/>
        <w:ind w:left="0" w:leftChars="0" w:firstLine="480" w:firstLineChars="200"/>
        <w:textAlignment w:val="auto"/>
        <w:rPr>
          <w:rFonts w:hint="eastAsia" w:ascii="宋体" w:hAnsi="宋体" w:eastAsia="宋体" w:cs="宋体"/>
          <w:color w:val="auto"/>
          <w:highlight w:val="none"/>
          <w:lang w:val="zh-CN"/>
        </w:rPr>
      </w:pPr>
      <w:r>
        <w:rPr>
          <w:rFonts w:hint="eastAsia" w:ascii="宋体" w:hAnsi="宋体" w:eastAsia="宋体" w:cs="宋体"/>
          <w:color w:val="auto"/>
          <w:highlight w:val="none"/>
        </w:rPr>
        <w:t>17.1</w:t>
      </w:r>
      <w:r>
        <w:rPr>
          <w:rFonts w:hint="eastAsia" w:ascii="宋体" w:hAnsi="宋体" w:eastAsia="宋体" w:cs="宋体"/>
          <w:color w:val="auto"/>
          <w:highlight w:val="none"/>
          <w:lang w:val="zh-CN"/>
        </w:rPr>
        <w:t>采购过程中出现以下情形，导致电子交易平台无法正常运行，或者无法保证电子交易的公平、公正和安全时，采购组织机构可中止电子交易活动：</w:t>
      </w:r>
    </w:p>
    <w:p w14:paraId="4787172F">
      <w:pPr>
        <w:keepNext w:val="0"/>
        <w:keepLines w:val="0"/>
        <w:pageBreakBefore w:val="0"/>
        <w:widowControl w:val="0"/>
        <w:numPr>
          <w:ilvl w:val="0"/>
          <w:numId w:val="14"/>
        </w:numPr>
        <w:shd w:val="clear"/>
        <w:tabs>
          <w:tab w:val="left" w:pos="0"/>
        </w:tabs>
        <w:kinsoku/>
        <w:wordWrap/>
        <w:overflowPunct/>
        <w:topLinePunct w:val="0"/>
        <w:autoSpaceDE/>
        <w:autoSpaceDN/>
        <w:bidi w:val="0"/>
        <w:snapToGrid/>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电子交易平台发生故障而无法登录访问的； </w:t>
      </w:r>
    </w:p>
    <w:p w14:paraId="39C62E73">
      <w:pPr>
        <w:keepNext w:val="0"/>
        <w:keepLines w:val="0"/>
        <w:pageBreakBefore w:val="0"/>
        <w:widowControl w:val="0"/>
        <w:numPr>
          <w:ilvl w:val="0"/>
          <w:numId w:val="14"/>
        </w:numPr>
        <w:shd w:val="clear"/>
        <w:tabs>
          <w:tab w:val="left" w:pos="0"/>
        </w:tabs>
        <w:kinsoku/>
        <w:wordWrap/>
        <w:overflowPunct/>
        <w:topLinePunct w:val="0"/>
        <w:autoSpaceDE/>
        <w:autoSpaceDN/>
        <w:bidi w:val="0"/>
        <w:snapToGrid/>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电子交易平台应用或数据库出现错误，不能进行正常操作的；</w:t>
      </w:r>
    </w:p>
    <w:p w14:paraId="6EF25B56">
      <w:pPr>
        <w:keepNext w:val="0"/>
        <w:keepLines w:val="0"/>
        <w:pageBreakBefore w:val="0"/>
        <w:widowControl w:val="0"/>
        <w:numPr>
          <w:ilvl w:val="0"/>
          <w:numId w:val="14"/>
        </w:numPr>
        <w:shd w:val="clear"/>
        <w:tabs>
          <w:tab w:val="left" w:pos="0"/>
        </w:tabs>
        <w:kinsoku/>
        <w:wordWrap/>
        <w:overflowPunct/>
        <w:topLinePunct w:val="0"/>
        <w:autoSpaceDE/>
        <w:autoSpaceDN/>
        <w:bidi w:val="0"/>
        <w:snapToGrid/>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电子交易平台发现严重安全漏洞，有潜在泄密危险的；</w:t>
      </w:r>
    </w:p>
    <w:p w14:paraId="59E9D1AB">
      <w:pPr>
        <w:keepNext w:val="0"/>
        <w:keepLines w:val="0"/>
        <w:pageBreakBefore w:val="0"/>
        <w:widowControl w:val="0"/>
        <w:numPr>
          <w:ilvl w:val="0"/>
          <w:numId w:val="14"/>
        </w:numPr>
        <w:shd w:val="clear"/>
        <w:tabs>
          <w:tab w:val="left" w:pos="0"/>
        </w:tabs>
        <w:kinsoku/>
        <w:wordWrap/>
        <w:overflowPunct/>
        <w:topLinePunct w:val="0"/>
        <w:autoSpaceDE/>
        <w:autoSpaceDN/>
        <w:bidi w:val="0"/>
        <w:snapToGrid/>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病毒发作导致不能进行正常操作的； </w:t>
      </w:r>
    </w:p>
    <w:p w14:paraId="54FD452F">
      <w:pPr>
        <w:keepNext w:val="0"/>
        <w:keepLines w:val="0"/>
        <w:pageBreakBefore w:val="0"/>
        <w:widowControl w:val="0"/>
        <w:numPr>
          <w:ilvl w:val="0"/>
          <w:numId w:val="14"/>
        </w:numPr>
        <w:shd w:val="clear"/>
        <w:tabs>
          <w:tab w:val="left" w:pos="0"/>
        </w:tabs>
        <w:kinsoku/>
        <w:wordWrap/>
        <w:overflowPunct/>
        <w:topLinePunct w:val="0"/>
        <w:autoSpaceDE/>
        <w:autoSpaceDN/>
        <w:bidi w:val="0"/>
        <w:snapToGrid/>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其他无法保证电子交易的公平、公正和安全的情况。</w:t>
      </w:r>
    </w:p>
    <w:p w14:paraId="09258540">
      <w:pPr>
        <w:pStyle w:val="57"/>
        <w:keepNext w:val="0"/>
        <w:keepLines w:val="0"/>
        <w:pageBreakBefore w:val="0"/>
        <w:widowControl w:val="0"/>
        <w:shd w:val="clear"/>
        <w:tabs>
          <w:tab w:val="left" w:pos="0"/>
        </w:tabs>
        <w:kinsoku/>
        <w:wordWrap/>
        <w:overflowPunct/>
        <w:topLinePunct w:val="0"/>
        <w:autoSpaceDE/>
        <w:autoSpaceDN/>
        <w:bidi w:val="0"/>
        <w:snapToGrid/>
        <w:spacing w:before="0" w:after="0" w:line="360" w:lineRule="auto"/>
        <w:ind w:left="0" w:leftChars="0"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17.2磋商小组发现磋商文件存在歧义、重大缺陷导致评标工作无法进行，或者磋商文件内容违反国家有关强制性规定的，将停止评标工作，并与采购人、采购代理机构沟通并作书面记录。采购人、采购代理机构确认后，将修改磋商文件，重新组织采购活动。</w:t>
      </w:r>
    </w:p>
    <w:p w14:paraId="009730A2">
      <w:pPr>
        <w:pStyle w:val="2"/>
        <w:numPr>
          <w:ilvl w:val="0"/>
          <w:numId w:val="0"/>
        </w:numPr>
        <w:shd w:val="clear"/>
        <w:spacing w:line="240" w:lineRule="auto"/>
        <w:jc w:val="center"/>
        <w:rPr>
          <w:rFonts w:hint="eastAsia" w:ascii="宋体" w:hAnsi="宋体" w:eastAsia="宋体" w:cs="宋体"/>
          <w:color w:val="auto"/>
          <w:highlight w:val="none"/>
        </w:rPr>
      </w:pPr>
      <w:r>
        <w:rPr>
          <w:rFonts w:hint="eastAsia" w:ascii="宋体" w:hAnsi="宋体" w:eastAsia="宋体" w:cs="宋体"/>
          <w:b/>
          <w:bCs/>
          <w:color w:val="auto"/>
          <w:kern w:val="2"/>
          <w:sz w:val="28"/>
          <w:szCs w:val="28"/>
          <w:highlight w:val="none"/>
          <w:lang w:val="en-US" w:eastAsia="zh-CN" w:bidi="ar-SA"/>
        </w:rPr>
        <w:t>七、</w:t>
      </w:r>
      <w:r>
        <w:rPr>
          <w:rFonts w:hint="eastAsia" w:ascii="宋体" w:hAnsi="宋体" w:eastAsia="宋体" w:cs="宋体"/>
          <w:color w:val="auto"/>
          <w:highlight w:val="none"/>
        </w:rPr>
        <w:t xml:space="preserve"> </w:t>
      </w:r>
      <w:bookmarkStart w:id="66" w:name="_Toc10157"/>
      <w:bookmarkStart w:id="67" w:name="_Toc14029"/>
      <w:r>
        <w:rPr>
          <w:rFonts w:hint="eastAsia" w:ascii="宋体" w:hAnsi="宋体" w:eastAsia="宋体" w:cs="宋体"/>
          <w:color w:val="auto"/>
          <w:highlight w:val="none"/>
        </w:rPr>
        <w:t>确定成交供应商与签订合同</w:t>
      </w:r>
      <w:bookmarkEnd w:id="66"/>
      <w:bookmarkEnd w:id="67"/>
    </w:p>
    <w:p w14:paraId="2ECA9DBE">
      <w:pPr>
        <w:keepNext w:val="0"/>
        <w:keepLines w:val="0"/>
        <w:pageBreakBefore w:val="0"/>
        <w:widowControl w:val="0"/>
        <w:shd w:val="clear"/>
        <w:kinsoku/>
        <w:wordWrap/>
        <w:overflowPunct/>
        <w:topLinePunct w:val="0"/>
        <w:autoSpaceDE/>
        <w:autoSpaceDN/>
        <w:bidi w:val="0"/>
        <w:snapToGrid w:val="0"/>
        <w:spacing w:line="360" w:lineRule="auto"/>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18、推荐成交候选供应商</w:t>
      </w:r>
    </w:p>
    <w:p w14:paraId="7F892D55">
      <w:pPr>
        <w:pStyle w:val="17"/>
        <w:keepNext w:val="0"/>
        <w:keepLines w:val="0"/>
        <w:pageBreakBefore w:val="0"/>
        <w:widowControl w:val="0"/>
        <w:shd w:val="clear"/>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18.1 磋商小组应当根据综合评分情况，按照评审得分由高到低顺序推荐1名或以上成交候选供应商，并编写评审报告。评审得分相同的，按照最后报价由低到高的顺序推荐。评审得分且最后报价相同的，按照技术指标优劣顺序推荐。</w:t>
      </w:r>
    </w:p>
    <w:p w14:paraId="7878ED21">
      <w:pPr>
        <w:pStyle w:val="17"/>
        <w:keepNext w:val="0"/>
        <w:keepLines w:val="0"/>
        <w:pageBreakBefore w:val="0"/>
        <w:widowControl w:val="0"/>
        <w:shd w:val="clear"/>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18.2 采购代理机构应当在评审结束后2个工作日内将评审报告送采购人确认。</w:t>
      </w:r>
    </w:p>
    <w:p w14:paraId="41002C5B">
      <w:pPr>
        <w:pStyle w:val="17"/>
        <w:keepNext w:val="0"/>
        <w:keepLines w:val="0"/>
        <w:pageBreakBefore w:val="0"/>
        <w:widowControl w:val="0"/>
        <w:shd w:val="clear"/>
        <w:kinsoku/>
        <w:wordWrap/>
        <w:overflowPunct/>
        <w:topLinePunct w:val="0"/>
        <w:autoSpaceDE/>
        <w:autoSpaceDN/>
        <w:bidi w:val="0"/>
        <w:spacing w:line="360" w:lineRule="auto"/>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19、确定成交供应商</w:t>
      </w:r>
    </w:p>
    <w:p w14:paraId="4380E08C">
      <w:pPr>
        <w:pStyle w:val="17"/>
        <w:keepNext w:val="0"/>
        <w:keepLines w:val="0"/>
        <w:pageBreakBefore w:val="0"/>
        <w:widowControl w:val="0"/>
        <w:shd w:val="clear"/>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19.1采购人应当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0B666005">
      <w:pPr>
        <w:pStyle w:val="17"/>
        <w:keepNext w:val="0"/>
        <w:keepLines w:val="0"/>
        <w:pageBreakBefore w:val="0"/>
        <w:widowControl w:val="0"/>
        <w:shd w:val="clear"/>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19.2采购人或者采购代理机构应当在成交供应商确定后2个工作日内，在省级以上财政部门指定的政府采购信息发布媒体上公告成交结果，同时向成交供应商发出成交通知书。</w:t>
      </w:r>
    </w:p>
    <w:p w14:paraId="7F96054C">
      <w:pPr>
        <w:keepNext w:val="0"/>
        <w:keepLines w:val="0"/>
        <w:pageBreakBefore w:val="0"/>
        <w:widowControl w:val="0"/>
        <w:shd w:val="clear"/>
        <w:kinsoku/>
        <w:wordWrap/>
        <w:overflowPunct/>
        <w:topLinePunct w:val="0"/>
        <w:autoSpaceDE/>
        <w:autoSpaceDN/>
        <w:bidi w:val="0"/>
        <w:adjustRightInd w:val="0"/>
        <w:spacing w:line="360" w:lineRule="auto"/>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20、签订合同</w:t>
      </w:r>
    </w:p>
    <w:p w14:paraId="2DF9E15A">
      <w:pPr>
        <w:pStyle w:val="17"/>
        <w:keepNext w:val="0"/>
        <w:keepLines w:val="0"/>
        <w:pageBreakBefore w:val="0"/>
        <w:widowControl w:val="0"/>
        <w:shd w:val="clear"/>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20.1. 采购人与成交供应商应当在成交通知书发出之日起30日内，按照磋商文件确定的合同文本以及采购标的、规格型号、采购金额、采购数量、技术和服务要求等事项签订政府采购合同。</w:t>
      </w:r>
    </w:p>
    <w:p w14:paraId="5E5BAE8F">
      <w:pPr>
        <w:pStyle w:val="17"/>
        <w:keepNext w:val="0"/>
        <w:keepLines w:val="0"/>
        <w:pageBreakBefore w:val="0"/>
        <w:widowControl w:val="0"/>
        <w:shd w:val="clear"/>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20.2. 成交供应商拒绝签订政府采购合同的，采购人可以按照《政府采购竞争性磋商采购方式管理暂行办法》（财库〔2014〕214号）第二十八条第二款规定的原则确定其他供应商作为成交供应商并签订政府采购合同，也可以重新开展采购活动。拒绝签订政府采购合同的成交供应商不得参加对该项目重新开展的采购活动。</w:t>
      </w:r>
    </w:p>
    <w:p w14:paraId="252E5BAF">
      <w:pPr>
        <w:keepNext w:val="0"/>
        <w:keepLines w:val="0"/>
        <w:pageBreakBefore w:val="0"/>
        <w:widowControl w:val="0"/>
        <w:shd w:val="clear"/>
        <w:kinsoku/>
        <w:wordWrap/>
        <w:overflowPunct/>
        <w:topLinePunct w:val="0"/>
        <w:autoSpaceDE/>
        <w:autoSpaceDN/>
        <w:bidi w:val="0"/>
        <w:adjustRightInd w:val="0"/>
        <w:snapToGrid w:val="0"/>
        <w:spacing w:line="360" w:lineRule="auto"/>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21、解释权</w:t>
      </w:r>
    </w:p>
    <w:p w14:paraId="2D0E9CCF">
      <w:pPr>
        <w:keepNext w:val="0"/>
        <w:keepLines w:val="0"/>
        <w:pageBreakBefore w:val="0"/>
        <w:widowControl w:val="0"/>
        <w:shd w:val="clear"/>
        <w:kinsoku/>
        <w:wordWrap/>
        <w:overflowPunct/>
        <w:topLinePunct w:val="0"/>
        <w:autoSpaceDE/>
        <w:autoSpaceDN/>
        <w:bidi w:val="0"/>
        <w:adjustRightIn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磋商文件的解释权均属于</w:t>
      </w:r>
      <w:r>
        <w:rPr>
          <w:rFonts w:hint="eastAsia" w:ascii="宋体" w:hAnsi="宋体" w:cs="宋体"/>
          <w:color w:val="auto"/>
          <w:sz w:val="24"/>
          <w:szCs w:val="24"/>
          <w:highlight w:val="none"/>
          <w:u w:val="single"/>
          <w:lang w:eastAsia="zh-CN"/>
        </w:rPr>
        <w:t>绍兴市上虞区百官街道办事处</w:t>
      </w:r>
      <w:r>
        <w:rPr>
          <w:rFonts w:hint="eastAsia" w:ascii="宋体" w:hAnsi="宋体" w:eastAsia="宋体" w:cs="宋体"/>
          <w:color w:val="auto"/>
          <w:sz w:val="24"/>
          <w:szCs w:val="24"/>
          <w:highlight w:val="none"/>
        </w:rPr>
        <w:t>和</w:t>
      </w:r>
      <w:r>
        <w:rPr>
          <w:rFonts w:hint="eastAsia" w:ascii="宋体" w:hAnsi="宋体" w:eastAsia="宋体" w:cs="宋体"/>
          <w:color w:val="auto"/>
          <w:sz w:val="24"/>
          <w:szCs w:val="24"/>
          <w:highlight w:val="none"/>
          <w:u w:val="single"/>
        </w:rPr>
        <w:t xml:space="preserve"> 浙江宇康工程管理咨询有限公司 </w:t>
      </w:r>
      <w:r>
        <w:rPr>
          <w:rFonts w:hint="eastAsia" w:ascii="宋体" w:hAnsi="宋体" w:eastAsia="宋体" w:cs="宋体"/>
          <w:color w:val="auto"/>
          <w:sz w:val="24"/>
          <w:szCs w:val="24"/>
          <w:highlight w:val="none"/>
        </w:rPr>
        <w:t>。</w:t>
      </w:r>
    </w:p>
    <w:p w14:paraId="590D551C">
      <w:pPr>
        <w:pStyle w:val="9"/>
        <w:numPr>
          <w:ilvl w:val="0"/>
          <w:numId w:val="0"/>
        </w:numPr>
        <w:shd w:val="clear"/>
        <w:jc w:val="center"/>
        <w:rPr>
          <w:rFonts w:hint="eastAsia" w:ascii="宋体" w:hAnsi="宋体" w:eastAsia="宋体" w:cs="宋体"/>
          <w:color w:val="auto"/>
          <w:sz w:val="36"/>
          <w:szCs w:val="36"/>
          <w:highlight w:val="none"/>
        </w:rPr>
      </w:pPr>
      <w:r>
        <w:rPr>
          <w:rFonts w:hint="eastAsia" w:ascii="宋体" w:hAnsi="宋体" w:eastAsia="宋体" w:cs="宋体"/>
          <w:b/>
          <w:bCs/>
          <w:color w:val="auto"/>
          <w:kern w:val="44"/>
          <w:sz w:val="36"/>
          <w:szCs w:val="36"/>
          <w:highlight w:val="none"/>
          <w:lang w:val="en-US" w:eastAsia="zh-CN" w:bidi="ar-SA"/>
        </w:rPr>
        <w:t>第三部分</w:t>
      </w:r>
      <w:bookmarkStart w:id="68" w:name="_Toc21248"/>
      <w:bookmarkStart w:id="69" w:name="_Toc22605"/>
      <w:r>
        <w:rPr>
          <w:rFonts w:hint="eastAsia" w:ascii="宋体" w:hAnsi="宋体" w:eastAsia="宋体" w:cs="宋体"/>
          <w:b/>
          <w:bCs/>
          <w:color w:val="auto"/>
          <w:kern w:val="44"/>
          <w:sz w:val="36"/>
          <w:szCs w:val="36"/>
          <w:highlight w:val="none"/>
          <w:lang w:val="en-US" w:eastAsia="zh-CN" w:bidi="ar-SA"/>
        </w:rPr>
        <w:t xml:space="preserve"> </w:t>
      </w:r>
      <w:r>
        <w:rPr>
          <w:rFonts w:hint="eastAsia" w:ascii="宋体" w:hAnsi="宋体" w:eastAsia="宋体" w:cs="宋体"/>
          <w:color w:val="auto"/>
          <w:sz w:val="36"/>
          <w:szCs w:val="36"/>
          <w:highlight w:val="none"/>
        </w:rPr>
        <w:t>采购内容及要求</w:t>
      </w:r>
      <w:bookmarkEnd w:id="68"/>
      <w:bookmarkEnd w:id="69"/>
    </w:p>
    <w:p w14:paraId="63CF75C7">
      <w:pPr>
        <w:pStyle w:val="2"/>
        <w:shd w:val="clear"/>
        <w:jc w:val="center"/>
        <w:rPr>
          <w:rFonts w:hint="eastAsia" w:ascii="宋体" w:hAnsi="宋体" w:eastAsia="宋体" w:cs="宋体"/>
          <w:color w:val="auto"/>
          <w:highlight w:val="none"/>
        </w:rPr>
      </w:pPr>
      <w:bookmarkStart w:id="70" w:name="_Toc7909"/>
      <w:r>
        <w:rPr>
          <w:rFonts w:hint="eastAsia" w:ascii="宋体" w:hAnsi="宋体" w:eastAsia="宋体" w:cs="宋体"/>
          <w:color w:val="auto"/>
          <w:highlight w:val="none"/>
        </w:rPr>
        <w:t>第一章 采购内容及要求</w:t>
      </w:r>
      <w:bookmarkEnd w:id="70"/>
    </w:p>
    <w:p w14:paraId="4B304BB2">
      <w:pPr>
        <w:snapToGrid w:val="0"/>
        <w:spacing w:line="360" w:lineRule="auto"/>
        <w:ind w:firstLine="482" w:firstLineChars="200"/>
        <w:rPr>
          <w:rFonts w:hint="eastAsia" w:ascii="宋体" w:hAnsi="宋体" w:eastAsia="宋体" w:cs="宋体"/>
          <w:b/>
          <w:bCs/>
          <w:snapToGrid w:val="0"/>
          <w:color w:val="auto"/>
          <w:sz w:val="24"/>
          <w:highlight w:val="none"/>
          <w:lang w:eastAsia="zh-CN"/>
        </w:rPr>
      </w:pPr>
      <w:bookmarkStart w:id="71" w:name="_Toc383594466"/>
      <w:bookmarkStart w:id="72" w:name="_Toc339877854"/>
      <w:bookmarkStart w:id="73" w:name="_Toc370912322"/>
      <w:bookmarkStart w:id="74" w:name="_Toc370460889"/>
      <w:bookmarkStart w:id="75" w:name="_Toc388866625"/>
      <w:bookmarkStart w:id="76" w:name="_Toc15284"/>
      <w:r>
        <w:rPr>
          <w:rFonts w:hint="eastAsia" w:ascii="宋体" w:hAnsi="宋体" w:eastAsia="宋体" w:cs="宋体"/>
          <w:b/>
          <w:bCs/>
          <w:color w:val="auto"/>
          <w:sz w:val="24"/>
          <w:highlight w:val="none"/>
        </w:rPr>
        <w:t>一、</w:t>
      </w:r>
      <w:bookmarkStart w:id="77" w:name="_Toc408233853"/>
      <w:r>
        <w:rPr>
          <w:rFonts w:hint="eastAsia" w:ascii="宋体" w:hAnsi="宋体" w:eastAsia="宋体" w:cs="宋体"/>
          <w:b/>
          <w:bCs/>
          <w:snapToGrid w:val="0"/>
          <w:color w:val="auto"/>
          <w:sz w:val="24"/>
          <w:highlight w:val="none"/>
          <w:lang w:eastAsia="zh-CN"/>
        </w:rPr>
        <w:t>项目概况</w:t>
      </w:r>
    </w:p>
    <w:bookmarkEnd w:id="77"/>
    <w:p w14:paraId="50A1CD09">
      <w:pPr>
        <w:snapToGrid w:val="0"/>
        <w:spacing w:line="360" w:lineRule="auto"/>
        <w:ind w:firstLine="480" w:firstLineChars="200"/>
        <w:rPr>
          <w:rFonts w:hint="eastAsia" w:ascii="宋体" w:hAnsi="宋体" w:eastAsia="宋体" w:cs="宋体"/>
          <w:snapToGrid w:val="0"/>
          <w:color w:val="auto"/>
          <w:sz w:val="24"/>
          <w:highlight w:val="none"/>
          <w:lang w:val="en-US" w:eastAsia="zh-CN"/>
        </w:rPr>
      </w:pPr>
      <w:r>
        <w:rPr>
          <w:rFonts w:hint="eastAsia" w:ascii="宋体" w:hAnsi="宋体" w:eastAsia="宋体" w:cs="宋体"/>
          <w:snapToGrid w:val="0"/>
          <w:color w:val="auto"/>
          <w:sz w:val="24"/>
          <w:highlight w:val="none"/>
          <w:lang w:val="en-US" w:eastAsia="zh-CN"/>
        </w:rPr>
        <w:t>为进一步夯实安全生产、消防安全工作基础，提高监管效能，增强生产安全事故防范能力，借助安全生产中介机构专业技术力量为各单位提供安全生产、消防安全管理和技术服务，有效提升各单位安全生产、消防安全基础管理水平和安全生产条件，促进辖区内安全生产、消防安全形势进一步好转，以企业实现绩效。</w:t>
      </w:r>
    </w:p>
    <w:p w14:paraId="33191A52">
      <w:pPr>
        <w:snapToGrid w:val="0"/>
        <w:spacing w:line="360" w:lineRule="auto"/>
        <w:ind w:firstLine="480" w:firstLineChars="200"/>
        <w:rPr>
          <w:rFonts w:hint="eastAsia" w:ascii="宋体" w:hAnsi="宋体" w:eastAsia="宋体" w:cs="宋体"/>
          <w:snapToGrid w:val="0"/>
          <w:color w:val="auto"/>
          <w:sz w:val="24"/>
          <w:highlight w:val="none"/>
          <w:lang w:val="en-US" w:eastAsia="zh-CN"/>
        </w:rPr>
      </w:pPr>
      <w:r>
        <w:rPr>
          <w:rFonts w:hint="eastAsia" w:ascii="宋体" w:hAnsi="宋体" w:eastAsia="宋体" w:cs="宋体"/>
          <w:snapToGrid w:val="0"/>
          <w:color w:val="auto"/>
          <w:sz w:val="24"/>
          <w:highlight w:val="none"/>
          <w:lang w:val="en-US" w:eastAsia="zh-CN"/>
        </w:rPr>
        <w:t>对百官街道辖区内工业企业、沿街商铺进行安全生产、消防安全隐患排查、检查整改、</w:t>
      </w:r>
      <w:r>
        <w:rPr>
          <w:rFonts w:hint="eastAsia" w:ascii="宋体" w:hAnsi="宋体" w:cs="宋体"/>
          <w:snapToGrid w:val="0"/>
          <w:color w:val="auto"/>
          <w:sz w:val="24"/>
          <w:highlight w:val="none"/>
          <w:lang w:val="en-US" w:eastAsia="zh-CN"/>
        </w:rPr>
        <w:t>闭环销号、</w:t>
      </w:r>
      <w:r>
        <w:rPr>
          <w:rFonts w:hint="eastAsia" w:ascii="宋体" w:hAnsi="宋体" w:eastAsia="宋体" w:cs="宋体"/>
          <w:snapToGrid w:val="0"/>
          <w:color w:val="auto"/>
          <w:sz w:val="24"/>
          <w:highlight w:val="none"/>
          <w:lang w:val="en-US" w:eastAsia="zh-CN"/>
        </w:rPr>
        <w:t>资料上报、安全生产平台、141平台、九小场所平台数据录入等工作，及配合街道其他专业应消委开展专项性、突击性消防与安全检查等其他相关服务工作。</w:t>
      </w:r>
    </w:p>
    <w:bookmarkEnd w:id="71"/>
    <w:bookmarkEnd w:id="72"/>
    <w:bookmarkEnd w:id="73"/>
    <w:bookmarkEnd w:id="74"/>
    <w:bookmarkEnd w:id="75"/>
    <w:p w14:paraId="3AED8DF6">
      <w:pPr>
        <w:pStyle w:val="9"/>
        <w:spacing w:line="360" w:lineRule="auto"/>
        <w:ind w:firstLine="482" w:firstLineChars="200"/>
        <w:rPr>
          <w:rFonts w:hint="eastAsia" w:cs="Times New Roman" w:asciiTheme="minorEastAsia" w:hAnsiTheme="minorEastAsia" w:eastAsiaTheme="minorEastAsia"/>
          <w:color w:val="auto"/>
          <w:sz w:val="24"/>
          <w:szCs w:val="24"/>
          <w:highlight w:val="none"/>
          <w:lang w:eastAsia="zh-CN"/>
        </w:rPr>
      </w:pPr>
      <w:bookmarkStart w:id="78" w:name="_Toc83283744"/>
      <w:bookmarkStart w:id="79" w:name="_Toc24767"/>
      <w:bookmarkStart w:id="80" w:name="_Toc20704"/>
      <w:bookmarkStart w:id="81" w:name="_Toc21323"/>
      <w:r>
        <w:rPr>
          <w:rFonts w:hint="eastAsia" w:cs="Times New Roman" w:asciiTheme="minorEastAsia" w:hAnsiTheme="minorEastAsia" w:eastAsiaTheme="minorEastAsia"/>
          <w:color w:val="auto"/>
          <w:sz w:val="24"/>
          <w:szCs w:val="24"/>
          <w:highlight w:val="none"/>
        </w:rPr>
        <w:t>二、</w:t>
      </w:r>
      <w:r>
        <w:rPr>
          <w:rFonts w:hint="eastAsia" w:cs="Times New Roman" w:asciiTheme="minorEastAsia" w:hAnsiTheme="minorEastAsia" w:eastAsiaTheme="minorEastAsia"/>
          <w:color w:val="auto"/>
          <w:sz w:val="24"/>
          <w:szCs w:val="24"/>
          <w:highlight w:val="none"/>
          <w:lang w:eastAsia="zh-CN"/>
        </w:rPr>
        <w:t>服务要求</w:t>
      </w:r>
    </w:p>
    <w:p w14:paraId="47982ABD">
      <w:pPr>
        <w:spacing w:line="360" w:lineRule="auto"/>
        <w:ind w:firstLine="480" w:firstLineChars="200"/>
        <w:jc w:val="left"/>
        <w:rPr>
          <w:rFonts w:hint="eastAsia" w:cs="Times New Roman" w:asciiTheme="minorEastAsia" w:hAnsiTheme="minorEastAsia" w:eastAsiaTheme="minorEastAsia"/>
          <w:b w:val="0"/>
          <w:bCs w:val="0"/>
          <w:color w:val="auto"/>
          <w:kern w:val="44"/>
          <w:sz w:val="24"/>
          <w:szCs w:val="24"/>
          <w:highlight w:val="none"/>
          <w:lang w:val="en-US" w:eastAsia="zh-CN" w:bidi="ar-SA"/>
        </w:rPr>
      </w:pPr>
      <w:r>
        <w:rPr>
          <w:rFonts w:hint="eastAsia" w:cs="Times New Roman" w:asciiTheme="minorEastAsia" w:hAnsiTheme="minorEastAsia" w:eastAsiaTheme="minorEastAsia"/>
          <w:b w:val="0"/>
          <w:bCs w:val="0"/>
          <w:color w:val="auto"/>
          <w:kern w:val="44"/>
          <w:sz w:val="24"/>
          <w:szCs w:val="24"/>
          <w:highlight w:val="none"/>
          <w:lang w:val="en-US" w:eastAsia="zh-CN" w:bidi="ar-SA"/>
        </w:rPr>
        <w:t>（一）巡查要求</w:t>
      </w:r>
    </w:p>
    <w:p w14:paraId="3D688E6C">
      <w:pPr>
        <w:spacing w:line="360" w:lineRule="auto"/>
        <w:ind w:firstLine="480" w:firstLineChars="200"/>
        <w:jc w:val="left"/>
        <w:rPr>
          <w:rFonts w:hint="eastAsia" w:cs="Times New Roman" w:asciiTheme="minorEastAsia" w:hAnsiTheme="minorEastAsia" w:eastAsiaTheme="minorEastAsia"/>
          <w:b w:val="0"/>
          <w:bCs w:val="0"/>
          <w:color w:val="auto"/>
          <w:kern w:val="44"/>
          <w:sz w:val="24"/>
          <w:szCs w:val="24"/>
          <w:highlight w:val="none"/>
          <w:lang w:val="en-US" w:eastAsia="zh-CN" w:bidi="ar-SA"/>
        </w:rPr>
      </w:pPr>
      <w:r>
        <w:rPr>
          <w:rFonts w:hint="eastAsia" w:cs="Times New Roman" w:asciiTheme="minorEastAsia" w:hAnsiTheme="minorEastAsia" w:eastAsiaTheme="minorEastAsia"/>
          <w:b w:val="0"/>
          <w:bCs w:val="0"/>
          <w:color w:val="auto"/>
          <w:kern w:val="44"/>
          <w:sz w:val="24"/>
          <w:szCs w:val="24"/>
          <w:highlight w:val="none"/>
          <w:lang w:val="en-US" w:eastAsia="zh-CN" w:bidi="ar-SA"/>
        </w:rPr>
        <w:t>1、设置不少于12个巡查岗位，其中4个岗位需在街道设立驻点，协助街道安委会对百官街道辖区内工业企业、沿街商铺进行安全生产、消防安全隐患排查、检查整改、</w:t>
      </w:r>
      <w:r>
        <w:rPr>
          <w:rFonts w:hint="eastAsia" w:ascii="宋体" w:hAnsi="宋体" w:cs="宋体"/>
          <w:snapToGrid w:val="0"/>
          <w:color w:val="auto"/>
          <w:sz w:val="24"/>
          <w:highlight w:val="none"/>
          <w:lang w:val="en-US" w:eastAsia="zh-CN"/>
        </w:rPr>
        <w:t>闭环销号、</w:t>
      </w:r>
      <w:r>
        <w:rPr>
          <w:rFonts w:hint="eastAsia" w:cs="Times New Roman" w:asciiTheme="minorEastAsia" w:hAnsiTheme="minorEastAsia" w:eastAsiaTheme="minorEastAsia"/>
          <w:b w:val="0"/>
          <w:bCs w:val="0"/>
          <w:color w:val="auto"/>
          <w:kern w:val="44"/>
          <w:sz w:val="24"/>
          <w:szCs w:val="24"/>
          <w:highlight w:val="none"/>
          <w:lang w:val="en-US" w:eastAsia="zh-CN" w:bidi="ar-SA"/>
        </w:rPr>
        <w:t>资料上报、安全生产平台、141平台、九小场所平台数据录入等工作及配合街道其他专业应消委开展专项性、突击性消防与安全检查等其他相关服务工作。巡查频率为沿街店铺、工业企业每个季度一次全覆盖。项目团队成员中具有相关注册证书的人员不少于50%（以社保缴纳为准）。</w:t>
      </w:r>
    </w:p>
    <w:p w14:paraId="638D8813">
      <w:pPr>
        <w:spacing w:line="360" w:lineRule="auto"/>
        <w:ind w:firstLine="480" w:firstLineChars="200"/>
        <w:jc w:val="left"/>
        <w:rPr>
          <w:rFonts w:hint="default" w:cs="Times New Roman" w:asciiTheme="minorEastAsia" w:hAnsiTheme="minorEastAsia" w:eastAsiaTheme="minorEastAsia"/>
          <w:b w:val="0"/>
          <w:bCs w:val="0"/>
          <w:color w:val="auto"/>
          <w:kern w:val="44"/>
          <w:sz w:val="24"/>
          <w:szCs w:val="24"/>
          <w:highlight w:val="none"/>
          <w:lang w:val="en-US" w:eastAsia="zh-CN" w:bidi="ar-SA"/>
        </w:rPr>
      </w:pPr>
      <w:r>
        <w:rPr>
          <w:rFonts w:hint="eastAsia" w:cs="Times New Roman" w:asciiTheme="minorEastAsia" w:hAnsiTheme="minorEastAsia" w:eastAsiaTheme="minorEastAsia"/>
          <w:b w:val="0"/>
          <w:bCs w:val="0"/>
          <w:color w:val="auto"/>
          <w:kern w:val="44"/>
          <w:sz w:val="24"/>
          <w:szCs w:val="24"/>
          <w:highlight w:val="none"/>
          <w:lang w:val="en-US" w:eastAsia="zh-CN" w:bidi="ar-SA"/>
        </w:rPr>
        <w:t>2、投标人需在应急局进行备案，提供应急局网站截图并加盖单位公章。</w:t>
      </w:r>
    </w:p>
    <w:p w14:paraId="10CAB7C2">
      <w:pPr>
        <w:spacing w:line="360" w:lineRule="auto"/>
        <w:ind w:firstLine="480" w:firstLineChars="200"/>
        <w:jc w:val="left"/>
        <w:rPr>
          <w:rFonts w:hint="default" w:cs="Times New Roman" w:asciiTheme="minorEastAsia" w:hAnsiTheme="minorEastAsia" w:eastAsiaTheme="minorEastAsia"/>
          <w:b w:val="0"/>
          <w:bCs w:val="0"/>
          <w:color w:val="auto"/>
          <w:kern w:val="44"/>
          <w:sz w:val="24"/>
          <w:szCs w:val="24"/>
          <w:highlight w:val="none"/>
          <w:lang w:val="en-US" w:eastAsia="zh-CN" w:bidi="ar-SA"/>
        </w:rPr>
      </w:pPr>
      <w:r>
        <w:rPr>
          <w:rFonts w:hint="eastAsia" w:cs="Times New Roman" w:asciiTheme="minorEastAsia" w:hAnsiTheme="minorEastAsia" w:eastAsiaTheme="minorEastAsia"/>
          <w:b w:val="0"/>
          <w:bCs w:val="0"/>
          <w:color w:val="auto"/>
          <w:kern w:val="44"/>
          <w:sz w:val="24"/>
          <w:szCs w:val="24"/>
          <w:highlight w:val="none"/>
          <w:lang w:val="en-US" w:eastAsia="zh-CN" w:bidi="ar-SA"/>
        </w:rPr>
        <w:t>（二）服务期限：签订合同之日起一年，2025年  月  日至2026年  月  日。</w:t>
      </w:r>
    </w:p>
    <w:p w14:paraId="581EBF16">
      <w:pPr>
        <w:spacing w:line="360" w:lineRule="auto"/>
        <w:ind w:firstLine="480" w:firstLineChars="200"/>
        <w:jc w:val="left"/>
        <w:rPr>
          <w:rFonts w:hint="eastAsia" w:cs="Times New Roman" w:asciiTheme="minorEastAsia" w:hAnsiTheme="minorEastAsia" w:eastAsiaTheme="minorEastAsia"/>
          <w:b w:val="0"/>
          <w:bCs w:val="0"/>
          <w:color w:val="auto"/>
          <w:kern w:val="44"/>
          <w:sz w:val="24"/>
          <w:szCs w:val="24"/>
          <w:highlight w:val="none"/>
          <w:lang w:val="en-US" w:eastAsia="zh-CN" w:bidi="ar-SA"/>
        </w:rPr>
      </w:pPr>
      <w:r>
        <w:rPr>
          <w:rFonts w:hint="eastAsia" w:cs="Times New Roman" w:asciiTheme="minorEastAsia" w:hAnsiTheme="minorEastAsia" w:eastAsiaTheme="minorEastAsia"/>
          <w:b w:val="0"/>
          <w:bCs w:val="0"/>
          <w:color w:val="auto"/>
          <w:kern w:val="44"/>
          <w:sz w:val="24"/>
          <w:szCs w:val="24"/>
          <w:highlight w:val="none"/>
          <w:lang w:val="en-US" w:eastAsia="zh-CN" w:bidi="ar-SA"/>
        </w:rPr>
        <w:t>（三）具体工作内容</w:t>
      </w:r>
    </w:p>
    <w:p w14:paraId="0132DEC2">
      <w:pPr>
        <w:spacing w:line="360" w:lineRule="auto"/>
        <w:ind w:firstLine="480" w:firstLineChars="200"/>
        <w:jc w:val="left"/>
        <w:rPr>
          <w:rFonts w:hint="eastAsia" w:cs="Times New Roman" w:asciiTheme="minorEastAsia" w:hAnsiTheme="minorEastAsia" w:eastAsiaTheme="minorEastAsia"/>
          <w:b w:val="0"/>
          <w:bCs w:val="0"/>
          <w:color w:val="auto"/>
          <w:kern w:val="44"/>
          <w:sz w:val="24"/>
          <w:szCs w:val="24"/>
          <w:highlight w:val="none"/>
          <w:lang w:val="en-US" w:eastAsia="zh-CN" w:bidi="ar-SA"/>
        </w:rPr>
      </w:pPr>
      <w:r>
        <w:rPr>
          <w:rFonts w:hint="eastAsia" w:cs="Times New Roman" w:asciiTheme="minorEastAsia" w:hAnsiTheme="minorEastAsia" w:eastAsiaTheme="minorEastAsia"/>
          <w:b w:val="0"/>
          <w:bCs w:val="0"/>
          <w:color w:val="auto"/>
          <w:kern w:val="44"/>
          <w:sz w:val="24"/>
          <w:szCs w:val="24"/>
          <w:highlight w:val="none"/>
          <w:lang w:val="en-US" w:eastAsia="zh-CN" w:bidi="ar-SA"/>
        </w:rPr>
        <w:t>1、制定有针对性的安全生产服务方案；</w:t>
      </w:r>
    </w:p>
    <w:p w14:paraId="74A1747D">
      <w:pPr>
        <w:spacing w:line="360" w:lineRule="auto"/>
        <w:ind w:firstLine="480" w:firstLineChars="200"/>
        <w:jc w:val="left"/>
        <w:rPr>
          <w:rFonts w:hint="eastAsia" w:cs="Times New Roman" w:asciiTheme="minorEastAsia" w:hAnsiTheme="minorEastAsia" w:eastAsiaTheme="minorEastAsia"/>
          <w:b w:val="0"/>
          <w:bCs w:val="0"/>
          <w:color w:val="auto"/>
          <w:kern w:val="44"/>
          <w:sz w:val="24"/>
          <w:szCs w:val="24"/>
          <w:highlight w:val="none"/>
          <w:lang w:val="en-US" w:eastAsia="zh-CN" w:bidi="ar-SA"/>
        </w:rPr>
      </w:pPr>
      <w:r>
        <w:rPr>
          <w:rFonts w:hint="eastAsia" w:cs="Times New Roman" w:asciiTheme="minorEastAsia" w:hAnsiTheme="minorEastAsia" w:eastAsiaTheme="minorEastAsia"/>
          <w:b w:val="0"/>
          <w:bCs w:val="0"/>
          <w:color w:val="auto"/>
          <w:kern w:val="44"/>
          <w:sz w:val="24"/>
          <w:szCs w:val="24"/>
          <w:highlight w:val="none"/>
          <w:lang w:val="en-US" w:eastAsia="zh-CN" w:bidi="ar-SA"/>
        </w:rPr>
        <w:t>2、贯彻宣传有关安全生产法律法规和方针政策；</w:t>
      </w:r>
    </w:p>
    <w:p w14:paraId="11753A80">
      <w:pPr>
        <w:spacing w:line="360" w:lineRule="auto"/>
        <w:ind w:firstLine="480" w:firstLineChars="200"/>
        <w:jc w:val="left"/>
        <w:rPr>
          <w:rFonts w:hint="eastAsia" w:cs="Times New Roman" w:asciiTheme="minorEastAsia" w:hAnsiTheme="minorEastAsia" w:eastAsiaTheme="minorEastAsia"/>
          <w:b w:val="0"/>
          <w:bCs w:val="0"/>
          <w:color w:val="auto"/>
          <w:kern w:val="44"/>
          <w:sz w:val="24"/>
          <w:szCs w:val="24"/>
          <w:highlight w:val="none"/>
          <w:lang w:val="en-US" w:eastAsia="zh-CN" w:bidi="ar-SA"/>
        </w:rPr>
      </w:pPr>
      <w:r>
        <w:rPr>
          <w:rFonts w:hint="eastAsia" w:cs="Times New Roman" w:asciiTheme="minorEastAsia" w:hAnsiTheme="minorEastAsia" w:eastAsiaTheme="minorEastAsia"/>
          <w:b w:val="0"/>
          <w:bCs w:val="0"/>
          <w:color w:val="auto"/>
          <w:kern w:val="44"/>
          <w:sz w:val="24"/>
          <w:szCs w:val="24"/>
          <w:highlight w:val="none"/>
          <w:lang w:val="en-US" w:eastAsia="zh-CN" w:bidi="ar-SA"/>
        </w:rPr>
        <w:t>3、指导帮助各单位建立安全生产、消防安全组织机构，落实安全生产、消防安全责任制，完善各类安全生产、消防安全管理制度、应急预案、操作规程和基础台账资料；</w:t>
      </w:r>
    </w:p>
    <w:p w14:paraId="12B967FC">
      <w:pPr>
        <w:spacing w:line="360" w:lineRule="auto"/>
        <w:ind w:firstLine="480" w:firstLineChars="200"/>
        <w:jc w:val="left"/>
        <w:rPr>
          <w:rFonts w:hint="eastAsia" w:cs="Times New Roman" w:asciiTheme="minorEastAsia" w:hAnsiTheme="minorEastAsia" w:eastAsiaTheme="minorEastAsia"/>
          <w:b w:val="0"/>
          <w:bCs w:val="0"/>
          <w:color w:val="auto"/>
          <w:kern w:val="44"/>
          <w:sz w:val="24"/>
          <w:szCs w:val="24"/>
          <w:highlight w:val="none"/>
          <w:lang w:val="en-US" w:eastAsia="zh-CN" w:bidi="ar-SA"/>
        </w:rPr>
      </w:pPr>
      <w:r>
        <w:rPr>
          <w:rFonts w:hint="eastAsia" w:cs="Times New Roman" w:asciiTheme="minorEastAsia" w:hAnsiTheme="minorEastAsia" w:eastAsiaTheme="minorEastAsia"/>
          <w:b w:val="0"/>
          <w:bCs w:val="0"/>
          <w:color w:val="auto"/>
          <w:kern w:val="44"/>
          <w:sz w:val="24"/>
          <w:szCs w:val="24"/>
          <w:highlight w:val="none"/>
          <w:lang w:val="en-US" w:eastAsia="zh-CN" w:bidi="ar-SA"/>
        </w:rPr>
        <w:t>4、指导各单位负责人、安管员、特种作业人员参加培训并取得相应资格证书，落实三级教育，协助各单位开展安全生产、消防安全教育培训及应急演练；</w:t>
      </w:r>
    </w:p>
    <w:p w14:paraId="78E7B4E9">
      <w:pPr>
        <w:spacing w:line="360" w:lineRule="auto"/>
        <w:ind w:firstLine="480" w:firstLineChars="200"/>
        <w:jc w:val="left"/>
        <w:rPr>
          <w:rFonts w:hint="eastAsia" w:cs="Times New Roman" w:asciiTheme="minorEastAsia" w:hAnsiTheme="minorEastAsia" w:eastAsiaTheme="minorEastAsia"/>
          <w:b w:val="0"/>
          <w:bCs w:val="0"/>
          <w:color w:val="auto"/>
          <w:kern w:val="44"/>
          <w:sz w:val="24"/>
          <w:szCs w:val="24"/>
          <w:highlight w:val="none"/>
          <w:lang w:val="en-US" w:eastAsia="zh-CN" w:bidi="ar-SA"/>
        </w:rPr>
      </w:pPr>
      <w:r>
        <w:rPr>
          <w:rFonts w:hint="eastAsia" w:cs="Times New Roman" w:asciiTheme="minorEastAsia" w:hAnsiTheme="minorEastAsia" w:eastAsiaTheme="minorEastAsia"/>
          <w:b w:val="0"/>
          <w:bCs w:val="0"/>
          <w:color w:val="auto"/>
          <w:kern w:val="44"/>
          <w:sz w:val="24"/>
          <w:szCs w:val="24"/>
          <w:highlight w:val="none"/>
          <w:lang w:val="en-US" w:eastAsia="zh-CN" w:bidi="ar-SA"/>
        </w:rPr>
        <w:t>5、指导各单位开展安全生产、消防安全隐患排查，突出消防设施、设备、电线私拉私接、电瓶车乱停放、燃气违规存放使用、消防通道畅通等方面。</w:t>
      </w:r>
    </w:p>
    <w:p w14:paraId="3C1ED1B1">
      <w:pPr>
        <w:spacing w:line="360" w:lineRule="auto"/>
        <w:ind w:firstLine="480" w:firstLineChars="200"/>
        <w:jc w:val="left"/>
        <w:rPr>
          <w:rFonts w:hint="eastAsia" w:cs="Times New Roman" w:asciiTheme="minorEastAsia" w:hAnsiTheme="minorEastAsia" w:eastAsiaTheme="minorEastAsia"/>
          <w:b w:val="0"/>
          <w:bCs w:val="0"/>
          <w:color w:val="auto"/>
          <w:kern w:val="44"/>
          <w:sz w:val="24"/>
          <w:szCs w:val="24"/>
          <w:highlight w:val="none"/>
          <w:lang w:val="en-US" w:eastAsia="zh-CN" w:bidi="ar-SA"/>
        </w:rPr>
      </w:pPr>
      <w:r>
        <w:rPr>
          <w:rFonts w:hint="eastAsia" w:cs="Times New Roman" w:asciiTheme="minorEastAsia" w:hAnsiTheme="minorEastAsia" w:eastAsiaTheme="minorEastAsia"/>
          <w:b w:val="0"/>
          <w:bCs w:val="0"/>
          <w:color w:val="auto"/>
          <w:kern w:val="44"/>
          <w:sz w:val="24"/>
          <w:szCs w:val="24"/>
          <w:highlight w:val="none"/>
          <w:lang w:val="en-US" w:eastAsia="zh-CN" w:bidi="ar-SA"/>
        </w:rPr>
        <w:t>6、配合街道其他专业应消委开展专项性、突击性消防与安全检查等其他相关服务工作。</w:t>
      </w:r>
    </w:p>
    <w:p w14:paraId="25DAD958">
      <w:pPr>
        <w:pStyle w:val="9"/>
        <w:spacing w:line="360" w:lineRule="auto"/>
        <w:ind w:firstLine="482" w:firstLineChars="200"/>
        <w:rPr>
          <w:rFonts w:hint="eastAsia" w:cs="Times New Roman" w:asciiTheme="minorEastAsia" w:hAnsiTheme="minorEastAsia" w:eastAsiaTheme="minorEastAsia"/>
          <w:color w:val="auto"/>
          <w:sz w:val="24"/>
          <w:szCs w:val="24"/>
          <w:highlight w:val="none"/>
          <w:lang w:eastAsia="zh-CN"/>
        </w:rPr>
      </w:pPr>
      <w:r>
        <w:rPr>
          <w:rFonts w:hint="eastAsia" w:cs="Times New Roman" w:asciiTheme="minorEastAsia" w:hAnsiTheme="minorEastAsia" w:eastAsiaTheme="minorEastAsia"/>
          <w:color w:val="auto"/>
          <w:sz w:val="24"/>
          <w:szCs w:val="24"/>
          <w:highlight w:val="none"/>
        </w:rPr>
        <w:t>三、</w:t>
      </w:r>
      <w:r>
        <w:rPr>
          <w:rFonts w:hint="eastAsia" w:cs="Times New Roman" w:asciiTheme="minorEastAsia" w:hAnsiTheme="minorEastAsia" w:eastAsiaTheme="minorEastAsia"/>
          <w:color w:val="auto"/>
          <w:sz w:val="24"/>
          <w:szCs w:val="24"/>
          <w:highlight w:val="none"/>
          <w:lang w:eastAsia="zh-CN"/>
        </w:rPr>
        <w:t>考核办法</w:t>
      </w:r>
    </w:p>
    <w:p w14:paraId="21158F28">
      <w:pPr>
        <w:spacing w:line="360" w:lineRule="auto"/>
        <w:ind w:firstLine="480" w:firstLineChars="200"/>
        <w:jc w:val="left"/>
        <w:rPr>
          <w:rFonts w:hint="eastAsia"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中标单位必须及时将安全检查资料、现场勘查记录、影像资料及有关证据等所有资料归档整理，且不得外泄，并按照安全、消防部门要求及时报送各类检查报告及相关资料，原则上每季度提交一次资料，每季度末的一周内提交，逾期未交的每天扣500元，扣款上限为5000元，资料有弄虚作假的发现扣2000元/次。</w:t>
      </w:r>
    </w:p>
    <w:p w14:paraId="52527BF4">
      <w:pPr>
        <w:spacing w:line="360" w:lineRule="auto"/>
        <w:ind w:firstLine="480" w:firstLineChars="200"/>
        <w:jc w:val="left"/>
        <w:rPr>
          <w:rFonts w:hint="eastAsia"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2、中标单位必须依法指导服务，不得假借政府部门及其工作人员名义或采取不正当手段获取利益，不得借机推销产品或服务，杜绝商业贿赂及其他经济违法行为。被举报存在违法违规行为，并经查证属实的立即终止合同，不再支付合同费用。</w:t>
      </w:r>
    </w:p>
    <w:p w14:paraId="52E0B1F5">
      <w:pPr>
        <w:spacing w:line="360" w:lineRule="auto"/>
        <w:ind w:firstLine="480" w:firstLineChars="200"/>
        <w:jc w:val="left"/>
        <w:rPr>
          <w:rFonts w:hint="eastAsia"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3、中标单位开展工作中，应有较好的服务态度和合适的工作方法，必须配合社区、业主委员会、物业、商家、企业的合理要求，并对专业上的予以解答和帮助，不得无故推脱，被举报并经查实扣100元/次，情节严重的扣500元/次。</w:t>
      </w:r>
    </w:p>
    <w:p w14:paraId="6E677A2C">
      <w:pPr>
        <w:spacing w:line="360" w:lineRule="auto"/>
        <w:ind w:firstLine="480" w:firstLineChars="200"/>
        <w:jc w:val="left"/>
        <w:rPr>
          <w:rFonts w:hint="eastAsia"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4、中标后需将投标文件中的项目成员在街道备案，合同执行中不得</w:t>
      </w:r>
      <w:r>
        <w:rPr>
          <w:rFonts w:hint="eastAsia" w:asciiTheme="minorEastAsia" w:hAnsiTheme="minorEastAsia" w:eastAsiaTheme="minorEastAsia"/>
          <w:color w:val="auto"/>
          <w:sz w:val="24"/>
          <w:szCs w:val="24"/>
          <w:highlight w:val="none"/>
          <w:lang w:eastAsia="zh-CN"/>
        </w:rPr>
        <w:t>更换项目负责人。其他成员</w:t>
      </w:r>
      <w:r>
        <w:rPr>
          <w:rFonts w:hint="eastAsia" w:asciiTheme="minorEastAsia" w:hAnsiTheme="minorEastAsia" w:eastAsiaTheme="minorEastAsia"/>
          <w:color w:val="auto"/>
          <w:sz w:val="24"/>
          <w:szCs w:val="24"/>
          <w:highlight w:val="none"/>
        </w:rPr>
        <w:t>更换需征得业主同意，</w:t>
      </w:r>
      <w:r>
        <w:rPr>
          <w:rFonts w:hint="eastAsia" w:asciiTheme="minorEastAsia" w:hAnsiTheme="minorEastAsia" w:eastAsiaTheme="minorEastAsia"/>
          <w:color w:val="auto"/>
          <w:sz w:val="24"/>
          <w:szCs w:val="24"/>
          <w:highlight w:val="none"/>
          <w:lang w:eastAsia="zh-CN"/>
        </w:rPr>
        <w:t>每</w:t>
      </w:r>
      <w:r>
        <w:rPr>
          <w:rFonts w:hint="eastAsia" w:asciiTheme="minorEastAsia" w:hAnsiTheme="minorEastAsia" w:eastAsiaTheme="minorEastAsia"/>
          <w:color w:val="auto"/>
          <w:sz w:val="24"/>
          <w:szCs w:val="24"/>
          <w:highlight w:val="none"/>
        </w:rPr>
        <w:t>更换一次扣除合同费用</w:t>
      </w:r>
      <w:r>
        <w:rPr>
          <w:rFonts w:hint="eastAsia" w:asciiTheme="minorEastAsia" w:hAnsiTheme="minorEastAsia" w:eastAsiaTheme="minorEastAsia"/>
          <w:color w:val="auto"/>
          <w:sz w:val="24"/>
          <w:szCs w:val="24"/>
          <w:highlight w:val="none"/>
          <w:lang w:val="en-US" w:eastAsia="zh-CN"/>
        </w:rPr>
        <w:t>5000元；若擅自更换，每更换一次扣除合同费用10000元</w:t>
      </w:r>
      <w:r>
        <w:rPr>
          <w:rFonts w:hint="eastAsia" w:asciiTheme="minorEastAsia" w:hAnsiTheme="minorEastAsia" w:eastAsiaTheme="minorEastAsia"/>
          <w:color w:val="auto"/>
          <w:sz w:val="24"/>
          <w:szCs w:val="24"/>
          <w:highlight w:val="none"/>
        </w:rPr>
        <w:t>。</w:t>
      </w:r>
    </w:p>
    <w:p w14:paraId="5F74EAA3">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highlight w:val="none"/>
        </w:rPr>
      </w:pPr>
      <w:r>
        <w:rPr>
          <w:rFonts w:hint="eastAsia" w:asciiTheme="minorEastAsia" w:hAnsiTheme="minorEastAsia" w:eastAsiaTheme="minorEastAsia"/>
          <w:color w:val="auto"/>
          <w:sz w:val="24"/>
          <w:szCs w:val="24"/>
          <w:highlight w:val="none"/>
        </w:rPr>
        <w:t>5、其他有不合规的情况视情况扣款。</w:t>
      </w:r>
    </w:p>
    <w:p w14:paraId="10BEFFEF">
      <w:pPr>
        <w:pStyle w:val="2"/>
        <w:jc w:val="center"/>
        <w:rPr>
          <w:rFonts w:hint="eastAsia" w:ascii="宋体" w:hAnsi="宋体" w:eastAsia="宋体" w:cs="宋体"/>
          <w:color w:val="auto"/>
          <w:highlight w:val="none"/>
        </w:rPr>
      </w:pPr>
      <w:r>
        <w:rPr>
          <w:rFonts w:hint="eastAsia" w:ascii="宋体" w:hAnsi="宋体" w:eastAsia="宋体" w:cs="宋体"/>
          <w:color w:val="auto"/>
          <w:highlight w:val="none"/>
        </w:rPr>
        <w:t>第二章  付款方式及要求</w:t>
      </w:r>
      <w:bookmarkEnd w:id="78"/>
      <w:bookmarkEnd w:id="79"/>
      <w:bookmarkEnd w:id="80"/>
      <w:bookmarkEnd w:id="81"/>
    </w:p>
    <w:p w14:paraId="21BF1836">
      <w:pPr>
        <w:autoSpaceDE w:val="0"/>
        <w:autoSpaceDN w:val="0"/>
        <w:adjustRightInd w:val="0"/>
        <w:spacing w:line="360" w:lineRule="auto"/>
        <w:ind w:firstLine="482" w:firstLineChars="200"/>
        <w:rPr>
          <w:rFonts w:hint="eastAsia" w:ascii="宋体" w:hAnsi="宋体" w:eastAsia="宋体" w:cs="宋体"/>
          <w:b/>
          <w:bCs/>
          <w:color w:val="auto"/>
          <w:sz w:val="24"/>
          <w:highlight w:val="none"/>
          <w:lang w:val="en-US" w:eastAsia="zh-CN"/>
        </w:rPr>
      </w:pPr>
      <w:r>
        <w:rPr>
          <w:rFonts w:hint="eastAsia" w:ascii="宋体" w:hAnsi="宋体" w:eastAsia="宋体" w:cs="宋体"/>
          <w:b/>
          <w:bCs/>
          <w:color w:val="auto"/>
          <w:sz w:val="24"/>
          <w:highlight w:val="none"/>
          <w:lang w:val="en-US" w:eastAsia="zh-CN"/>
        </w:rPr>
        <w:t>一、付款方式</w:t>
      </w:r>
    </w:p>
    <w:p w14:paraId="61CE9F31">
      <w:pPr>
        <w:autoSpaceDE w:val="0"/>
        <w:autoSpaceDN w:val="0"/>
        <w:adjustRightIn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color w:val="auto"/>
          <w:sz w:val="24"/>
          <w:highlight w:val="none"/>
        </w:rPr>
        <w:t>合同签订后7个工作日内，支付合同款</w:t>
      </w:r>
      <w:r>
        <w:rPr>
          <w:rFonts w:hint="eastAsia" w:ascii="宋体" w:hAnsi="宋体"/>
          <w:color w:val="auto"/>
          <w:sz w:val="24"/>
          <w:highlight w:val="none"/>
          <w:lang w:val="en-US" w:eastAsia="zh-CN"/>
        </w:rPr>
        <w:t>20</w:t>
      </w:r>
      <w:r>
        <w:rPr>
          <w:rFonts w:hint="eastAsia" w:ascii="宋体" w:hAnsi="宋体"/>
          <w:color w:val="auto"/>
          <w:sz w:val="24"/>
          <w:highlight w:val="none"/>
        </w:rPr>
        <w:t>%</w:t>
      </w:r>
      <w:r>
        <w:rPr>
          <w:rFonts w:hint="eastAsia" w:ascii="宋体" w:hAnsi="宋体"/>
          <w:color w:val="auto"/>
          <w:sz w:val="24"/>
          <w:highlight w:val="none"/>
          <w:lang w:eastAsia="zh-CN"/>
        </w:rPr>
        <w:t>；</w:t>
      </w:r>
    </w:p>
    <w:p w14:paraId="555229F8">
      <w:pPr>
        <w:autoSpaceDE w:val="0"/>
        <w:autoSpaceDN w:val="0"/>
        <w:adjustRightIn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color w:val="auto"/>
          <w:sz w:val="24"/>
          <w:highlight w:val="none"/>
          <w:lang w:eastAsia="zh-CN"/>
        </w:rPr>
        <w:t>服务满</w:t>
      </w:r>
      <w:r>
        <w:rPr>
          <w:rFonts w:hint="eastAsia" w:ascii="宋体" w:hAnsi="宋体"/>
          <w:color w:val="auto"/>
          <w:sz w:val="24"/>
          <w:highlight w:val="none"/>
          <w:lang w:val="en-US" w:eastAsia="zh-CN"/>
        </w:rPr>
        <w:t>6个月</w:t>
      </w:r>
      <w:r>
        <w:rPr>
          <w:rFonts w:hint="eastAsia" w:ascii="宋体" w:hAnsi="宋体"/>
          <w:color w:val="auto"/>
          <w:sz w:val="24"/>
          <w:highlight w:val="none"/>
          <w:lang w:eastAsia="zh-CN"/>
        </w:rPr>
        <w:t>支付至合同价款的</w:t>
      </w:r>
      <w:r>
        <w:rPr>
          <w:rFonts w:hint="eastAsia" w:ascii="宋体" w:hAnsi="宋体"/>
          <w:color w:val="auto"/>
          <w:sz w:val="24"/>
          <w:highlight w:val="none"/>
          <w:lang w:val="en-US" w:eastAsia="zh-CN"/>
        </w:rPr>
        <w:t>40%；</w:t>
      </w:r>
    </w:p>
    <w:p w14:paraId="4F3D8FB4">
      <w:pPr>
        <w:autoSpaceDE w:val="0"/>
        <w:autoSpaceDN w:val="0"/>
        <w:adjustRightInd w:val="0"/>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（3）</w:t>
      </w:r>
      <w:r>
        <w:rPr>
          <w:rFonts w:hint="eastAsia" w:ascii="宋体" w:hAnsi="宋体"/>
          <w:color w:val="auto"/>
          <w:sz w:val="24"/>
          <w:highlight w:val="none"/>
          <w:lang w:val="en-US" w:eastAsia="zh-CN"/>
        </w:rPr>
        <w:t>服务满9个月支付至合同价款的60%；</w:t>
      </w:r>
    </w:p>
    <w:p w14:paraId="7C916FB2">
      <w:pPr>
        <w:autoSpaceDE w:val="0"/>
        <w:autoSpaceDN w:val="0"/>
        <w:adjustRightIn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lang w:eastAsia="zh-CN"/>
        </w:rPr>
        <w:t>）</w:t>
      </w:r>
      <w:r>
        <w:rPr>
          <w:rFonts w:hint="eastAsia" w:ascii="宋体" w:hAnsi="宋体"/>
          <w:color w:val="auto"/>
          <w:sz w:val="24"/>
          <w:highlight w:val="none"/>
          <w:lang w:val="en-US" w:eastAsia="zh-CN"/>
        </w:rPr>
        <w:t>余款在项目完成并根据考核结果付清</w:t>
      </w:r>
      <w:r>
        <w:rPr>
          <w:rFonts w:ascii="宋体" w:hAnsi="宋体" w:cs="宋体"/>
          <w:color w:val="auto"/>
          <w:sz w:val="24"/>
          <w:highlight w:val="none"/>
        </w:rPr>
        <w:t>。</w:t>
      </w:r>
    </w:p>
    <w:p w14:paraId="22F2B057">
      <w:pPr>
        <w:keepNext w:val="0"/>
        <w:keepLines w:val="0"/>
        <w:pageBreakBefore w:val="0"/>
        <w:widowControl w:val="0"/>
        <w:numPr>
          <w:ilvl w:val="0"/>
          <w:numId w:val="0"/>
        </w:numPr>
        <w:shd w:val="clear"/>
        <w:kinsoku/>
        <w:wordWrap/>
        <w:overflowPunct/>
        <w:topLinePunct w:val="0"/>
        <w:autoSpaceDE w:val="0"/>
        <w:autoSpaceDN w:val="0"/>
        <w:bidi w:val="0"/>
        <w:adjustRightInd w:val="0"/>
        <w:snapToGrid/>
        <w:spacing w:line="360" w:lineRule="auto"/>
        <w:ind w:leftChars="200"/>
        <w:jc w:val="left"/>
        <w:textAlignment w:val="auto"/>
        <w:rPr>
          <w:rFonts w:hint="eastAsia" w:ascii="宋体" w:hAnsi="宋体" w:eastAsia="宋体" w:cs="宋体"/>
          <w:b/>
          <w:bCs/>
          <w:color w:val="auto"/>
          <w:sz w:val="24"/>
          <w:highlight w:val="none"/>
          <w:lang w:val="zh-CN"/>
        </w:rPr>
      </w:pPr>
      <w:r>
        <w:rPr>
          <w:rFonts w:hint="eastAsia" w:ascii="宋体" w:hAnsi="宋体" w:eastAsia="宋体" w:cs="宋体"/>
          <w:b/>
          <w:bCs/>
          <w:color w:val="auto"/>
          <w:sz w:val="24"/>
          <w:highlight w:val="none"/>
          <w:lang w:val="en-US" w:eastAsia="zh-CN"/>
        </w:rPr>
        <w:t>二、</w:t>
      </w:r>
      <w:r>
        <w:rPr>
          <w:rFonts w:hint="eastAsia" w:ascii="宋体" w:hAnsi="宋体" w:eastAsia="宋体" w:cs="宋体"/>
          <w:b/>
          <w:bCs/>
          <w:color w:val="auto"/>
          <w:sz w:val="24"/>
          <w:highlight w:val="none"/>
        </w:rPr>
        <w:t>付款要求</w:t>
      </w:r>
    </w:p>
    <w:p w14:paraId="7980B9B1">
      <w:pPr>
        <w:numPr>
          <w:ilvl w:val="0"/>
          <w:numId w:val="0"/>
        </w:numPr>
        <w:shd w:val="clear"/>
        <w:spacing w:line="360" w:lineRule="auto"/>
        <w:ind w:firstLine="480" w:firstLineChars="200"/>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lang w:val="en-US" w:eastAsia="zh-CN" w:bidi="ar-SA"/>
        </w:rPr>
        <w:t>1、</w:t>
      </w:r>
      <w:r>
        <w:rPr>
          <w:rFonts w:hint="eastAsia" w:ascii="宋体" w:hAnsi="宋体" w:eastAsia="宋体" w:cs="宋体"/>
          <w:bCs/>
          <w:color w:val="auto"/>
          <w:kern w:val="2"/>
          <w:sz w:val="24"/>
          <w:szCs w:val="24"/>
          <w:highlight w:val="none"/>
          <w:lang w:val="en-US" w:eastAsia="zh-CN" w:bidi="ar-SA"/>
        </w:rPr>
        <w:t>供应商正常履约且经采购单位认可后分阶段支付费用。</w:t>
      </w:r>
    </w:p>
    <w:p w14:paraId="1C931C71">
      <w:pPr>
        <w:numPr>
          <w:ilvl w:val="0"/>
          <w:numId w:val="0"/>
        </w:numPr>
        <w:shd w:val="clea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lang w:val="en-US" w:eastAsia="zh-CN" w:bidi="ar-SA"/>
        </w:rPr>
        <w:t>2、</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在收款之前，应向采购人提供发票，采购人凭发票付款。如</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未按约定提供发票的，采购人有权拒绝付款，直至收到</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提交的相应发票为止，在此情况下，采购人不承担逾期付款违约责任。</w:t>
      </w:r>
    </w:p>
    <w:p w14:paraId="214FEDBC">
      <w:pPr>
        <w:pStyle w:val="9"/>
        <w:numPr>
          <w:ilvl w:val="0"/>
          <w:numId w:val="0"/>
        </w:numPr>
        <w:shd w:val="clear"/>
        <w:jc w:val="center"/>
        <w:rPr>
          <w:rFonts w:hint="eastAsia" w:ascii="宋体" w:hAnsi="宋体" w:eastAsia="宋体" w:cs="宋体"/>
          <w:b/>
          <w:bCs/>
          <w:color w:val="auto"/>
          <w:kern w:val="44"/>
          <w:sz w:val="36"/>
          <w:szCs w:val="36"/>
          <w:highlight w:val="none"/>
          <w:lang w:val="en-US" w:eastAsia="zh-CN" w:bidi="ar-SA"/>
        </w:rPr>
      </w:pPr>
      <w:bookmarkStart w:id="82" w:name="_Toc15384"/>
    </w:p>
    <w:p w14:paraId="0B43FCC8">
      <w:pPr>
        <w:pStyle w:val="9"/>
        <w:numPr>
          <w:ilvl w:val="0"/>
          <w:numId w:val="0"/>
        </w:numPr>
        <w:shd w:val="clear"/>
        <w:jc w:val="center"/>
        <w:rPr>
          <w:rFonts w:hint="eastAsia" w:ascii="宋体" w:hAnsi="宋体" w:eastAsia="宋体" w:cs="宋体"/>
          <w:b/>
          <w:bCs/>
          <w:color w:val="auto"/>
          <w:kern w:val="44"/>
          <w:sz w:val="36"/>
          <w:szCs w:val="36"/>
          <w:highlight w:val="none"/>
          <w:lang w:val="en-US" w:eastAsia="zh-CN" w:bidi="ar-SA"/>
        </w:rPr>
      </w:pPr>
    </w:p>
    <w:p w14:paraId="50DEC005">
      <w:pPr>
        <w:pStyle w:val="9"/>
        <w:numPr>
          <w:ilvl w:val="0"/>
          <w:numId w:val="0"/>
        </w:numPr>
        <w:shd w:val="clear"/>
        <w:jc w:val="center"/>
        <w:rPr>
          <w:rFonts w:hint="eastAsia" w:ascii="宋体" w:hAnsi="宋体" w:eastAsia="宋体" w:cs="宋体"/>
          <w:b/>
          <w:bCs/>
          <w:color w:val="auto"/>
          <w:kern w:val="44"/>
          <w:sz w:val="36"/>
          <w:szCs w:val="36"/>
          <w:highlight w:val="none"/>
          <w:lang w:val="en-US" w:eastAsia="zh-CN" w:bidi="ar-SA"/>
        </w:rPr>
      </w:pPr>
    </w:p>
    <w:p w14:paraId="3E55B68B">
      <w:pPr>
        <w:pStyle w:val="9"/>
        <w:numPr>
          <w:ilvl w:val="0"/>
          <w:numId w:val="0"/>
        </w:numPr>
        <w:shd w:val="clear"/>
        <w:jc w:val="center"/>
        <w:rPr>
          <w:rFonts w:hint="eastAsia" w:ascii="宋体" w:hAnsi="宋体" w:eastAsia="宋体" w:cs="宋体"/>
          <w:b/>
          <w:bCs/>
          <w:color w:val="auto"/>
          <w:kern w:val="44"/>
          <w:sz w:val="36"/>
          <w:szCs w:val="36"/>
          <w:highlight w:val="none"/>
          <w:lang w:val="en-US" w:eastAsia="zh-CN" w:bidi="ar-SA"/>
        </w:rPr>
      </w:pPr>
    </w:p>
    <w:p w14:paraId="6B3F99F1">
      <w:pPr>
        <w:rPr>
          <w:rFonts w:hint="eastAsia" w:ascii="宋体" w:hAnsi="宋体" w:eastAsia="宋体" w:cs="宋体"/>
          <w:b/>
          <w:bCs/>
          <w:color w:val="auto"/>
          <w:kern w:val="44"/>
          <w:sz w:val="36"/>
          <w:szCs w:val="36"/>
          <w:highlight w:val="none"/>
          <w:lang w:val="en-US" w:eastAsia="zh-CN" w:bidi="ar-SA"/>
        </w:rPr>
      </w:pPr>
    </w:p>
    <w:p w14:paraId="018D3CC3">
      <w:pPr>
        <w:pStyle w:val="2"/>
        <w:rPr>
          <w:rFonts w:hint="eastAsia" w:ascii="宋体" w:hAnsi="宋体" w:eastAsia="宋体" w:cs="宋体"/>
          <w:b/>
          <w:bCs/>
          <w:color w:val="auto"/>
          <w:kern w:val="44"/>
          <w:sz w:val="36"/>
          <w:szCs w:val="36"/>
          <w:highlight w:val="none"/>
          <w:lang w:val="en-US" w:eastAsia="zh-CN" w:bidi="ar-SA"/>
        </w:rPr>
      </w:pPr>
    </w:p>
    <w:p w14:paraId="29E07904">
      <w:pPr>
        <w:pStyle w:val="3"/>
        <w:rPr>
          <w:rFonts w:hint="eastAsia" w:ascii="宋体" w:hAnsi="宋体" w:eastAsia="宋体" w:cs="宋体"/>
          <w:b/>
          <w:bCs/>
          <w:color w:val="auto"/>
          <w:kern w:val="44"/>
          <w:sz w:val="36"/>
          <w:szCs w:val="36"/>
          <w:highlight w:val="none"/>
          <w:lang w:val="en-US" w:eastAsia="zh-CN" w:bidi="ar-SA"/>
        </w:rPr>
      </w:pPr>
    </w:p>
    <w:p w14:paraId="3AC4C526">
      <w:pPr>
        <w:pStyle w:val="4"/>
        <w:rPr>
          <w:rFonts w:hint="eastAsia" w:ascii="宋体" w:hAnsi="宋体" w:eastAsia="宋体" w:cs="宋体"/>
          <w:b/>
          <w:bCs/>
          <w:color w:val="auto"/>
          <w:kern w:val="44"/>
          <w:sz w:val="36"/>
          <w:szCs w:val="36"/>
          <w:highlight w:val="none"/>
          <w:lang w:val="en-US" w:eastAsia="zh-CN" w:bidi="ar-SA"/>
        </w:rPr>
      </w:pPr>
    </w:p>
    <w:p w14:paraId="087FAE68">
      <w:pPr>
        <w:pStyle w:val="5"/>
        <w:rPr>
          <w:rFonts w:hint="eastAsia" w:ascii="宋体" w:hAnsi="宋体" w:eastAsia="宋体" w:cs="宋体"/>
          <w:b/>
          <w:bCs/>
          <w:color w:val="auto"/>
          <w:kern w:val="44"/>
          <w:sz w:val="36"/>
          <w:szCs w:val="36"/>
          <w:highlight w:val="none"/>
          <w:lang w:val="en-US" w:eastAsia="zh-CN" w:bidi="ar-SA"/>
        </w:rPr>
      </w:pPr>
    </w:p>
    <w:p w14:paraId="3883ED84">
      <w:pPr>
        <w:pStyle w:val="6"/>
        <w:rPr>
          <w:rFonts w:hint="eastAsia" w:ascii="宋体" w:hAnsi="宋体" w:eastAsia="宋体" w:cs="宋体"/>
          <w:b/>
          <w:bCs/>
          <w:color w:val="auto"/>
          <w:kern w:val="44"/>
          <w:sz w:val="36"/>
          <w:szCs w:val="36"/>
          <w:highlight w:val="none"/>
          <w:lang w:val="en-US" w:eastAsia="zh-CN" w:bidi="ar-SA"/>
        </w:rPr>
      </w:pPr>
    </w:p>
    <w:p w14:paraId="7627F682">
      <w:pPr>
        <w:pStyle w:val="8"/>
        <w:rPr>
          <w:rFonts w:hint="eastAsia" w:ascii="宋体" w:hAnsi="宋体" w:eastAsia="宋体" w:cs="宋体"/>
          <w:b/>
          <w:bCs/>
          <w:color w:val="auto"/>
          <w:kern w:val="44"/>
          <w:sz w:val="36"/>
          <w:szCs w:val="36"/>
          <w:highlight w:val="none"/>
          <w:lang w:val="en-US" w:eastAsia="zh-CN" w:bidi="ar-SA"/>
        </w:rPr>
      </w:pPr>
    </w:p>
    <w:p w14:paraId="485ACEBE">
      <w:pPr>
        <w:rPr>
          <w:rFonts w:hint="eastAsia" w:ascii="宋体" w:hAnsi="宋体" w:eastAsia="宋体" w:cs="宋体"/>
          <w:b/>
          <w:bCs/>
          <w:color w:val="auto"/>
          <w:kern w:val="44"/>
          <w:sz w:val="36"/>
          <w:szCs w:val="36"/>
          <w:highlight w:val="none"/>
          <w:lang w:val="en-US" w:eastAsia="zh-CN" w:bidi="ar-SA"/>
        </w:rPr>
      </w:pPr>
    </w:p>
    <w:p w14:paraId="59002AF5">
      <w:pPr>
        <w:pStyle w:val="2"/>
        <w:rPr>
          <w:rFonts w:hint="eastAsia" w:ascii="宋体" w:hAnsi="宋体" w:eastAsia="宋体" w:cs="宋体"/>
          <w:b/>
          <w:bCs/>
          <w:color w:val="auto"/>
          <w:kern w:val="44"/>
          <w:sz w:val="36"/>
          <w:szCs w:val="36"/>
          <w:highlight w:val="none"/>
          <w:lang w:val="en-US" w:eastAsia="zh-CN" w:bidi="ar-SA"/>
        </w:rPr>
      </w:pPr>
    </w:p>
    <w:p w14:paraId="46D87C9E">
      <w:pPr>
        <w:pStyle w:val="3"/>
        <w:rPr>
          <w:rFonts w:hint="eastAsia" w:ascii="宋体" w:hAnsi="宋体" w:eastAsia="宋体" w:cs="宋体"/>
          <w:b/>
          <w:bCs/>
          <w:color w:val="auto"/>
          <w:kern w:val="44"/>
          <w:sz w:val="36"/>
          <w:szCs w:val="36"/>
          <w:highlight w:val="none"/>
          <w:lang w:val="en-US" w:eastAsia="zh-CN" w:bidi="ar-SA"/>
        </w:rPr>
      </w:pPr>
    </w:p>
    <w:p w14:paraId="3D0F30E0">
      <w:pPr>
        <w:pStyle w:val="4"/>
        <w:rPr>
          <w:rFonts w:hint="eastAsia" w:ascii="宋体" w:hAnsi="宋体" w:eastAsia="宋体" w:cs="宋体"/>
          <w:b/>
          <w:bCs/>
          <w:color w:val="auto"/>
          <w:kern w:val="44"/>
          <w:sz w:val="36"/>
          <w:szCs w:val="36"/>
          <w:highlight w:val="none"/>
          <w:lang w:val="en-US" w:eastAsia="zh-CN" w:bidi="ar-SA"/>
        </w:rPr>
      </w:pPr>
    </w:p>
    <w:p w14:paraId="4C087E7D">
      <w:pPr>
        <w:pStyle w:val="5"/>
        <w:rPr>
          <w:rFonts w:hint="eastAsia"/>
          <w:color w:val="auto"/>
          <w:lang w:val="en-US" w:eastAsia="zh-CN"/>
        </w:rPr>
      </w:pPr>
    </w:p>
    <w:p w14:paraId="425182BA">
      <w:pPr>
        <w:pStyle w:val="5"/>
        <w:rPr>
          <w:rFonts w:hint="eastAsia"/>
          <w:color w:val="auto"/>
          <w:lang w:val="en-US" w:eastAsia="zh-CN"/>
        </w:rPr>
      </w:pPr>
    </w:p>
    <w:p w14:paraId="445CBC1D">
      <w:pPr>
        <w:pStyle w:val="9"/>
        <w:numPr>
          <w:ilvl w:val="0"/>
          <w:numId w:val="0"/>
        </w:numPr>
        <w:shd w:val="clear"/>
        <w:jc w:val="center"/>
        <w:rPr>
          <w:rFonts w:hint="eastAsia" w:ascii="宋体" w:hAnsi="宋体" w:eastAsia="宋体" w:cs="宋体"/>
          <w:color w:val="auto"/>
          <w:sz w:val="36"/>
          <w:szCs w:val="36"/>
          <w:highlight w:val="none"/>
        </w:rPr>
      </w:pPr>
      <w:r>
        <w:rPr>
          <w:rFonts w:hint="eastAsia" w:ascii="宋体" w:hAnsi="宋体" w:eastAsia="宋体" w:cs="宋体"/>
          <w:b/>
          <w:bCs/>
          <w:color w:val="auto"/>
          <w:kern w:val="44"/>
          <w:sz w:val="36"/>
          <w:szCs w:val="36"/>
          <w:highlight w:val="none"/>
          <w:lang w:val="en-US" w:eastAsia="zh-CN" w:bidi="ar-SA"/>
        </w:rPr>
        <w:t>第四部分</w:t>
      </w:r>
      <w:r>
        <w:rPr>
          <w:rFonts w:hint="eastAsia" w:ascii="宋体" w:hAnsi="宋体" w:eastAsia="宋体" w:cs="宋体"/>
          <w:color w:val="auto"/>
          <w:sz w:val="36"/>
          <w:szCs w:val="36"/>
          <w:highlight w:val="none"/>
        </w:rPr>
        <w:t>磋商原则及磋商方法</w:t>
      </w:r>
      <w:bookmarkEnd w:id="76"/>
      <w:bookmarkEnd w:id="82"/>
    </w:p>
    <w:p w14:paraId="2ECD2984">
      <w:pPr>
        <w:pStyle w:val="2"/>
        <w:numPr>
          <w:ilvl w:val="0"/>
          <w:numId w:val="15"/>
        </w:numPr>
        <w:shd w:val="clear"/>
        <w:jc w:val="center"/>
        <w:rPr>
          <w:rFonts w:hint="eastAsia" w:ascii="宋体" w:hAnsi="宋体" w:eastAsia="宋体" w:cs="宋体"/>
          <w:color w:val="auto"/>
          <w:highlight w:val="none"/>
        </w:rPr>
      </w:pPr>
      <w:bookmarkStart w:id="83" w:name="_Toc1265"/>
      <w:r>
        <w:rPr>
          <w:rFonts w:hint="eastAsia" w:ascii="宋体" w:hAnsi="宋体" w:eastAsia="宋体" w:cs="宋体"/>
          <w:color w:val="auto"/>
          <w:highlight w:val="none"/>
        </w:rPr>
        <w:t xml:space="preserve"> </w:t>
      </w:r>
      <w:bookmarkStart w:id="84" w:name="_Toc32674"/>
      <w:r>
        <w:rPr>
          <w:rFonts w:hint="eastAsia" w:ascii="宋体" w:hAnsi="宋体" w:eastAsia="宋体" w:cs="宋体"/>
          <w:color w:val="auto"/>
          <w:highlight w:val="none"/>
        </w:rPr>
        <w:t>磋商原则</w:t>
      </w:r>
      <w:bookmarkEnd w:id="83"/>
      <w:bookmarkEnd w:id="84"/>
    </w:p>
    <w:p w14:paraId="0B9E0455">
      <w:pPr>
        <w:pStyle w:val="3"/>
        <w:shd w:val="clea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1、本次竞争性磋商本着公平、公正、科学、择优的原则，邀请各磋商方参加报价。</w:t>
      </w:r>
    </w:p>
    <w:p w14:paraId="2DB1F039">
      <w:pPr>
        <w:pStyle w:val="3"/>
        <w:shd w:val="clea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2、磋商小组将严格按照竞争性磋商文件的要求，对供应商的响应性文件进行认真评审；磋商小组对响应性文件的评审仅依据响应性文件本身，而不依据响应性文件以外的任何因素。</w:t>
      </w:r>
    </w:p>
    <w:p w14:paraId="2EC2585C">
      <w:pPr>
        <w:pStyle w:val="3"/>
        <w:shd w:val="clea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3、磋商小组按照统一的磋商原则和磋商方法，用同一标准对所有响应性文件进行评审。</w:t>
      </w:r>
    </w:p>
    <w:p w14:paraId="512C380A">
      <w:pPr>
        <w:pStyle w:val="17"/>
        <w:shd w:val="clear"/>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4、评审</w:t>
      </w:r>
    </w:p>
    <w:p w14:paraId="550B5D2E">
      <w:pPr>
        <w:pStyle w:val="17"/>
        <w:shd w:val="clea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4.1在磋商响应截止时间前按规定提交响应文件的供应商在三家（含）以上的，由采购人或采购代理机构组织进行开标。</w:t>
      </w:r>
    </w:p>
    <w:p w14:paraId="454597AE">
      <w:pPr>
        <w:pStyle w:val="17"/>
        <w:shd w:val="clear"/>
        <w:spacing w:line="360"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4.2供应商登录政采云平台，用“项目采购</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rPr>
        <w:t>开标评标”功能对电子磋商响应文件进行在线解密。在线解密电子磋商响应文件时间为开标时间起30分钟内。若电子磋商响应文件解密失败，则由采购代理机构工作人员上传供应商提供的备份文件。</w:t>
      </w:r>
      <w:r>
        <w:rPr>
          <w:rFonts w:hint="eastAsia" w:ascii="宋体" w:hAnsi="宋体" w:eastAsia="宋体" w:cs="宋体"/>
          <w:color w:val="auto"/>
          <w:sz w:val="24"/>
          <w:szCs w:val="24"/>
          <w:highlight w:val="none"/>
        </w:rPr>
        <w:t>备份文件（后缀名为.bfbs）须存储在U盘中，与上传的电子磋商响应文件一致，用信封进行密封并盖章</w:t>
      </w:r>
      <w:r>
        <w:rPr>
          <w:rFonts w:hint="eastAsia" w:ascii="宋体" w:hAnsi="宋体" w:eastAsia="宋体" w:cs="宋体"/>
          <w:b/>
          <w:bCs/>
          <w:color w:val="auto"/>
          <w:sz w:val="24"/>
          <w:szCs w:val="24"/>
          <w:highlight w:val="none"/>
        </w:rPr>
        <w:t>（信封内仅需放入存储备份文件的U盘）</w:t>
      </w:r>
      <w:r>
        <w:rPr>
          <w:rFonts w:hint="eastAsia" w:ascii="宋体" w:hAnsi="宋体" w:eastAsia="宋体" w:cs="宋体"/>
          <w:color w:val="auto"/>
          <w:sz w:val="24"/>
          <w:szCs w:val="24"/>
          <w:highlight w:val="none"/>
        </w:rPr>
        <w:t>，由授权代表在磋商响应截止时间前递交至开标地点。</w:t>
      </w:r>
    </w:p>
    <w:p w14:paraId="4E6C6DCE">
      <w:pPr>
        <w:pStyle w:val="17"/>
        <w:shd w:val="clea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4.3采购人按磋商文件规定的时间、地点公开开标。开标仪式由采购人或采购代理机构主持及有关人员参加。</w:t>
      </w:r>
    </w:p>
    <w:p w14:paraId="4BCFED28">
      <w:pPr>
        <w:pStyle w:val="57"/>
        <w:shd w:val="clear"/>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4.4本项目为电子投标项目，供应商一般不需要参加现场投标和开标，若供应商需要指派授权代表递交备份文件，则授权代表应随身携带法定代表人授权书原件于磋商响应截止时间前到达开标地点递交备份文件。若电子磋商响应文件正常解锁，则U盘退还给供应商；若解锁失败，则由采购代理机构将U盘中的备份文件上传，该U盘将由采购代理机构保存。</w:t>
      </w:r>
    </w:p>
    <w:p w14:paraId="6AD98A89">
      <w:pPr>
        <w:pStyle w:val="57"/>
        <w:shd w:val="clear"/>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4.5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294F0907">
      <w:pPr>
        <w:shd w:val="clear"/>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5、组建磋商小组</w:t>
      </w:r>
    </w:p>
    <w:p w14:paraId="4C657202">
      <w:pPr>
        <w:pStyle w:val="57"/>
        <w:shd w:val="clear"/>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5.1磋商小组由采购人代表和评审专家共3人或以上单数组成，其中评审专家人数不少于磋商小组成员总数的2/3。</w:t>
      </w:r>
    </w:p>
    <w:p w14:paraId="635E48E0">
      <w:pPr>
        <w:pStyle w:val="57"/>
        <w:shd w:val="clear"/>
        <w:tabs>
          <w:tab w:val="left" w:pos="0"/>
        </w:tabs>
        <w:spacing w:before="0"/>
        <w:ind w:firstLine="480"/>
        <w:rPr>
          <w:rFonts w:hint="eastAsia" w:ascii="宋体" w:hAnsi="宋体" w:eastAsia="宋体" w:cs="宋体"/>
          <w:color w:val="auto"/>
          <w:highlight w:val="none"/>
          <w:lang w:val="zh-CN"/>
        </w:rPr>
      </w:pPr>
      <w:r>
        <w:rPr>
          <w:rFonts w:hint="eastAsia" w:ascii="宋体" w:hAnsi="宋体" w:eastAsia="宋体" w:cs="宋体"/>
          <w:color w:val="auto"/>
          <w:highlight w:val="none"/>
        </w:rPr>
        <w:t>5.2</w:t>
      </w:r>
      <w:r>
        <w:rPr>
          <w:rFonts w:hint="eastAsia" w:ascii="宋体" w:hAnsi="宋体" w:eastAsia="宋体" w:cs="宋体"/>
          <w:color w:val="auto"/>
          <w:highlight w:val="none"/>
          <w:lang w:val="zh-CN"/>
        </w:rPr>
        <w:t>评标工作由评标委员会负责，并推选产生的组长主持；</w:t>
      </w:r>
    </w:p>
    <w:p w14:paraId="2EB375D0">
      <w:pPr>
        <w:pStyle w:val="3"/>
        <w:shd w:val="clea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5.3</w:t>
      </w:r>
      <w:r>
        <w:rPr>
          <w:rFonts w:hint="eastAsia" w:ascii="宋体" w:hAnsi="宋体" w:eastAsia="宋体" w:cs="宋体"/>
          <w:color w:val="auto"/>
          <w:sz w:val="24"/>
          <w:szCs w:val="24"/>
          <w:highlight w:val="none"/>
          <w:lang w:val="zh-CN"/>
        </w:rPr>
        <w:t>本次评标为在线评标。</w:t>
      </w:r>
    </w:p>
    <w:p w14:paraId="1F074125">
      <w:pPr>
        <w:pStyle w:val="2"/>
        <w:numPr>
          <w:ilvl w:val="0"/>
          <w:numId w:val="15"/>
        </w:numPr>
        <w:shd w:val="clear"/>
        <w:jc w:val="center"/>
        <w:rPr>
          <w:rFonts w:hint="eastAsia" w:ascii="宋体" w:hAnsi="宋体" w:eastAsia="宋体" w:cs="宋体"/>
          <w:color w:val="auto"/>
          <w:highlight w:val="none"/>
        </w:rPr>
      </w:pPr>
      <w:r>
        <w:rPr>
          <w:rFonts w:hint="eastAsia" w:ascii="宋体" w:hAnsi="宋体" w:eastAsia="宋体" w:cs="宋体"/>
          <w:color w:val="auto"/>
          <w:highlight w:val="none"/>
        </w:rPr>
        <w:t xml:space="preserve"> </w:t>
      </w:r>
      <w:bookmarkStart w:id="85" w:name="_Toc10093"/>
      <w:bookmarkStart w:id="86" w:name="_Toc19299"/>
      <w:r>
        <w:rPr>
          <w:rFonts w:hint="eastAsia" w:ascii="宋体" w:hAnsi="宋体" w:eastAsia="宋体" w:cs="宋体"/>
          <w:color w:val="auto"/>
          <w:highlight w:val="none"/>
        </w:rPr>
        <w:t>磋商程序</w:t>
      </w:r>
      <w:bookmarkEnd w:id="85"/>
      <w:bookmarkEnd w:id="86"/>
    </w:p>
    <w:p w14:paraId="30C6D13C">
      <w:pPr>
        <w:shd w:val="clear"/>
        <w:snapToGrid w:val="0"/>
        <w:spacing w:line="360" w:lineRule="auto"/>
        <w:ind w:firstLine="48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1、对所有响应文件的初审</w:t>
      </w:r>
    </w:p>
    <w:p w14:paraId="2789B52D">
      <w:pPr>
        <w:shd w:val="clear"/>
        <w:adjustRightInd w:val="0"/>
        <w:snapToGrid w:val="0"/>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1.1资格审查</w:t>
      </w:r>
    </w:p>
    <w:p w14:paraId="7865AE2A">
      <w:pPr>
        <w:shd w:val="clea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（1）开标后，磋商小组将依法对供应商的资格进行审查。</w:t>
      </w:r>
    </w:p>
    <w:p w14:paraId="3225ADB5">
      <w:pPr>
        <w:shd w:val="clea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（2）磋商小组依据法律法规和磋商文件的规定，对供应商的基本资格条件、特定资格条件进行审查。</w:t>
      </w:r>
    </w:p>
    <w:p w14:paraId="5466905B">
      <w:pPr>
        <w:shd w:val="clea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（3）供应商未按照磋商文件要求提供与基本资格条件、特定资格条件相应的有效资格证明材料的，视为供应商不具备磋商文件中规定的资格要求，其磋商无效。并将无效</w:t>
      </w:r>
      <w:r>
        <w:rPr>
          <w:rFonts w:hint="eastAsia" w:ascii="宋体" w:hAnsi="宋体" w:eastAsia="宋体" w:cs="宋体"/>
          <w:color w:val="auto"/>
          <w:sz w:val="24"/>
          <w:szCs w:val="24"/>
          <w:highlight w:val="none"/>
          <w:lang w:eastAsia="zh-CN"/>
        </w:rPr>
        <w:t>缘由</w:t>
      </w:r>
      <w:r>
        <w:rPr>
          <w:rFonts w:hint="eastAsia" w:ascii="宋体" w:hAnsi="宋体" w:eastAsia="宋体" w:cs="宋体"/>
          <w:color w:val="auto"/>
          <w:sz w:val="24"/>
          <w:szCs w:val="24"/>
          <w:highlight w:val="none"/>
        </w:rPr>
        <w:t>告知相关供应商.</w:t>
      </w:r>
    </w:p>
    <w:p w14:paraId="5205494B">
      <w:pPr>
        <w:shd w:val="clea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（4）采购人或采购代理机构将通过“信用中国”网站</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www.creditchina.gov.cn</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、中国政府采购网</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www.ccgp.gov.cn</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渠道查询供应商磋商开标后评标前的信用记录，经查询供应商列入失信被执行人名单、重大税收违法案件当事人名单、政府采购严重违法失信行为记录名单的，其磋商无效。</w:t>
      </w:r>
    </w:p>
    <w:p w14:paraId="7AD1A8A7">
      <w:pPr>
        <w:shd w:val="clea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（5）磋商小组出具《供应商资格审查意见表》，供应商未按照磋商文件要求提供与基本资格条件、特定资格条件相应的有效资格证明材料的，视为供应商不具备磋商文件中规定的资格要求，其磋商无效。</w:t>
      </w:r>
    </w:p>
    <w:p w14:paraId="4FC04B06">
      <w:pPr>
        <w:shd w:val="clear"/>
        <w:adjustRightInd w:val="0"/>
        <w:snapToGrid w:val="0"/>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1.2符合性审查：磋商小组依据磋商文件的规定，从响应文件的有效性、完整性和对磋商文件的响应程度进行审查，以确定是否对磋商文件的要求作出实质性响应。出现以下情况的，视为符合性不通过，磋商无效。</w:t>
      </w:r>
    </w:p>
    <w:p w14:paraId="714C735C">
      <w:pPr>
        <w:shd w:val="clea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（1）响应文件无法定代表人或其委托授权代表签名或盖章。</w:t>
      </w:r>
    </w:p>
    <w:p w14:paraId="4A6BB938">
      <w:pPr>
        <w:shd w:val="clea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（2）响应文件内容虚假的。</w:t>
      </w:r>
    </w:p>
    <w:p w14:paraId="44F452FC">
      <w:pPr>
        <w:shd w:val="clea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（3）响应文件有采购人不能接受的附加条件的。</w:t>
      </w:r>
    </w:p>
    <w:p w14:paraId="04CBEB03">
      <w:pPr>
        <w:shd w:val="clea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（4）磋商有效期、服务期等商务条款不能满足磋商文件要求的。</w:t>
      </w:r>
    </w:p>
    <w:p w14:paraId="6CF33CCA">
      <w:pPr>
        <w:widowControl/>
        <w:shd w:val="clear"/>
        <w:spacing w:line="360" w:lineRule="auto"/>
        <w:ind w:firstLine="482"/>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（5）投标价格超出预算或最高限价，导致采购单位无法支付的。</w:t>
      </w:r>
    </w:p>
    <w:p w14:paraId="2D2BB0BB">
      <w:pPr>
        <w:widowControl/>
        <w:shd w:val="clear"/>
        <w:spacing w:line="360" w:lineRule="auto"/>
        <w:ind w:firstLine="482"/>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（6）磋商文件明确规定的其他无效条款的。</w:t>
      </w:r>
    </w:p>
    <w:p w14:paraId="0C94EB9B">
      <w:pPr>
        <w:shd w:val="clear"/>
        <w:adjustRightInd w:val="0"/>
        <w:snapToGrid w:val="0"/>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 磋商小组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69A770C1">
      <w:pPr>
        <w:pStyle w:val="57"/>
        <w:shd w:val="clear"/>
        <w:tabs>
          <w:tab w:val="left" w:pos="0"/>
        </w:tabs>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1.4磋商小组要求供应商澄清、说明或者更正响应文件应当以书面形式发出。供应商的澄清、说明或者更正应当由法定代表人或其授权代表签字或者加盖公章。由授权代表签字的，应当附法定代表人授权书。</w:t>
      </w:r>
    </w:p>
    <w:p w14:paraId="6BD2DA9D">
      <w:pPr>
        <w:shd w:val="clear"/>
        <w:snapToGrid w:val="0"/>
        <w:spacing w:line="360" w:lineRule="auto"/>
        <w:ind w:firstLine="480"/>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rPr>
        <w:t>2</w:t>
      </w:r>
      <w:r>
        <w:rPr>
          <w:rFonts w:hint="eastAsia" w:ascii="宋体" w:hAnsi="宋体" w:eastAsia="宋体" w:cs="宋体"/>
          <w:b/>
          <w:bCs/>
          <w:color w:val="auto"/>
          <w:sz w:val="24"/>
          <w:szCs w:val="24"/>
          <w:highlight w:val="none"/>
          <w:lang w:val="zh-CN"/>
        </w:rPr>
        <w:t>、磋商</w:t>
      </w:r>
    </w:p>
    <w:p w14:paraId="6813D170">
      <w:pPr>
        <w:shd w:val="clear"/>
        <w:snapToGrid w:val="0"/>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 初审合格的供应商进入下一步的磋商活动。</w:t>
      </w:r>
    </w:p>
    <w:p w14:paraId="52FE2983">
      <w:pPr>
        <w:shd w:val="clear"/>
        <w:snapToGrid w:val="0"/>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 磋商小组所有成员应当集中与单一供应商分别进行磋商，并给予所有参加磋商的供应商平等的磋商机会。</w:t>
      </w:r>
    </w:p>
    <w:p w14:paraId="55A50FE1">
      <w:pPr>
        <w:shd w:val="clear"/>
        <w:snapToGrid w:val="0"/>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2.3 以递交响应文件的时间先后决定磋商顺序。磋商时先听取由供应商拟派的项目负责人就项目采购的重点内容进行磋商，磋商过程中由磋商小组成员提出相关问题，并由供应商拟派项目负责人进行回复与承诺。 </w:t>
      </w:r>
    </w:p>
    <w:p w14:paraId="2BFE6B7A">
      <w:pPr>
        <w:shd w:val="clear"/>
        <w:snapToGrid w:val="0"/>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 在磋商过程中，磋商小组可以根据磋商文件和磋商情况实质性变动采购需求中的技术、服务要求以及合同草案条款。实质性变动的内容，须经采购人代表确认。</w:t>
      </w:r>
    </w:p>
    <w:p w14:paraId="4ADF6398">
      <w:pPr>
        <w:shd w:val="clea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2.5 磋商文件作出的实质性变动是磋商文件的有效组成部分，磋商小组应当及时以书面形式同时通知所有参加磋商的供应商。</w:t>
      </w:r>
    </w:p>
    <w:p w14:paraId="6F906FA2">
      <w:pPr>
        <w:shd w:val="clea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2.6 供应商应当按照磋商文件的变动情况和磋商小组的要求重新提交响应文件，并由其法定代表人或授权代表签字或者加盖公章。由授权代表签字的，应当附法定代表人授权书。供应商为自然人的，应当由本人签字并附身份证明。</w:t>
      </w:r>
    </w:p>
    <w:p w14:paraId="13DC23F7">
      <w:pPr>
        <w:shd w:val="clea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2.7 符合《政府采购竞争性磋商采购方式管理暂行办法》（财库〔2014〕214号）第三条第四项即“市场竞争不充分的科研项目，以及需要扶持的科技成果转化项目”情形的，提交最后报价的供应商可以为2家。</w:t>
      </w:r>
    </w:p>
    <w:p w14:paraId="7C4FDBA6">
      <w:pPr>
        <w:shd w:val="clea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2.8 采用竞争性磋商采购方式采购的政府购买服务项目（含政府和社会资本合作项目），在采购过程中符合要求的供应商（社会资本）只有2家的，竞争性磋商采购活动可以继续进行。采购过程中符合要求的供应商（社会资本）只有1家的，采购人（项目实施机构）或者采购代理机构应当终止竞争性磋商采购活动，发布项目终止公告并说明原因，重新开展采购活动。</w:t>
      </w:r>
    </w:p>
    <w:p w14:paraId="44A5C26D">
      <w:pPr>
        <w:shd w:val="clear"/>
        <w:snapToGrid w:val="0"/>
        <w:spacing w:line="360" w:lineRule="auto"/>
        <w:ind w:firstLine="480"/>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rPr>
        <w:t>3</w:t>
      </w:r>
      <w:r>
        <w:rPr>
          <w:rFonts w:hint="eastAsia" w:ascii="宋体" w:hAnsi="宋体" w:eastAsia="宋体" w:cs="宋体"/>
          <w:b/>
          <w:bCs/>
          <w:color w:val="auto"/>
          <w:sz w:val="24"/>
          <w:szCs w:val="24"/>
          <w:highlight w:val="none"/>
          <w:lang w:val="zh-CN"/>
        </w:rPr>
        <w:t>、最后报价</w:t>
      </w:r>
    </w:p>
    <w:p w14:paraId="36337852">
      <w:pPr>
        <w:shd w:val="clea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3.1商务技术汇总后，供应商开启报价文件，磋商小组应当要求所有实质性响应的供应商在规定时间内提交最后报价。</w:t>
      </w:r>
    </w:p>
    <w:p w14:paraId="53AAE8CC">
      <w:pPr>
        <w:shd w:val="clea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3.2最后报价是供应商响应文件的有效组成部分，若最后报价高于响应</w:t>
      </w:r>
      <w:r>
        <w:rPr>
          <w:rFonts w:hint="eastAsia" w:ascii="宋体" w:hAnsi="宋体" w:cs="宋体"/>
          <w:color w:val="auto"/>
          <w:sz w:val="24"/>
          <w:szCs w:val="24"/>
          <w:highlight w:val="none"/>
          <w:lang w:eastAsia="zh-CN"/>
        </w:rPr>
        <w:t>文件报价</w:t>
      </w:r>
      <w:r>
        <w:rPr>
          <w:rFonts w:hint="eastAsia" w:ascii="宋体" w:hAnsi="宋体" w:eastAsia="宋体" w:cs="宋体"/>
          <w:color w:val="auto"/>
          <w:sz w:val="24"/>
          <w:szCs w:val="24"/>
          <w:highlight w:val="none"/>
        </w:rPr>
        <w:t>，则以第一次报价计入评分。</w:t>
      </w:r>
    </w:p>
    <w:p w14:paraId="03E60F44">
      <w:pPr>
        <w:shd w:val="clea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3.3已提交响应文件的供应商，在提交最后报价之前，若因磋商文件实质性变动导致供应商无法满足采购需求的，允许供应商退出磋商。</w:t>
      </w:r>
    </w:p>
    <w:p w14:paraId="219A6219">
      <w:pPr>
        <w:pStyle w:val="3"/>
        <w:shd w:val="clear"/>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4、电子评标</w:t>
      </w:r>
    </w:p>
    <w:p w14:paraId="205C7E8D">
      <w:pPr>
        <w:pStyle w:val="3"/>
        <w:shd w:val="clear"/>
        <w:spacing w:line="360" w:lineRule="auto"/>
        <w:ind w:firstLine="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4.1磋商活动由采购代理机构主持</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磋商响应截止时间后</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供应商登录政采云平台对电子响应文件进行在线解密；</w:t>
      </w:r>
    </w:p>
    <w:p w14:paraId="641FC0C4">
      <w:pPr>
        <w:pStyle w:val="3"/>
        <w:shd w:val="clea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4.2响应文件解密结束</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开启响应文件</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磋商小组对资格和商务技术响应文件进行资格审查和符合性审查；</w:t>
      </w:r>
    </w:p>
    <w:p w14:paraId="259991ED">
      <w:pPr>
        <w:pStyle w:val="3"/>
        <w:shd w:val="clea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4.3供应商按递交磋商响应文件的前后顺序决定磋商的顺序</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就价格、服务等认为需要磋商的内容进行磋商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供应商逐家回答磋商小组的提问</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供应商作出最终承诺；</w:t>
      </w:r>
    </w:p>
    <w:p w14:paraId="3F08E20A">
      <w:pPr>
        <w:pStyle w:val="3"/>
        <w:shd w:val="clea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4.4磋商小组对商务技术响应文件进行评审；</w:t>
      </w:r>
    </w:p>
    <w:p w14:paraId="34664C2B">
      <w:pPr>
        <w:pStyle w:val="3"/>
        <w:shd w:val="clea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4.5商务技术汇总后，供应商开启报价文件，进行磋商二次报价（最终报价），</w:t>
      </w:r>
      <w:r>
        <w:rPr>
          <w:rFonts w:hint="eastAsia" w:ascii="宋体" w:hAnsi="宋体" w:eastAsia="宋体" w:cs="宋体"/>
          <w:b/>
          <w:bCs/>
          <w:color w:val="auto"/>
          <w:sz w:val="24"/>
          <w:szCs w:val="24"/>
          <w:highlight w:val="none"/>
        </w:rPr>
        <w:t>如果供应商在规定时间30分钟内未提交第二次报价，视该供应商放弃本次投标，作无</w:t>
      </w:r>
      <w:r>
        <w:rPr>
          <w:rFonts w:hint="eastAsia" w:ascii="宋体" w:hAnsi="宋体" w:cs="宋体"/>
          <w:b/>
          <w:bCs/>
          <w:color w:val="auto"/>
          <w:sz w:val="24"/>
          <w:szCs w:val="24"/>
          <w:highlight w:val="none"/>
          <w:lang w:eastAsia="zh-CN"/>
        </w:rPr>
        <w:t>效投</w:t>
      </w:r>
      <w:r>
        <w:rPr>
          <w:rFonts w:hint="eastAsia" w:ascii="宋体" w:hAnsi="宋体" w:eastAsia="宋体" w:cs="宋体"/>
          <w:b/>
          <w:bCs/>
          <w:color w:val="auto"/>
          <w:sz w:val="24"/>
          <w:szCs w:val="24"/>
          <w:highlight w:val="none"/>
        </w:rPr>
        <w:t>标处理</w:t>
      </w:r>
      <w:r>
        <w:rPr>
          <w:rFonts w:hint="eastAsia" w:ascii="宋体" w:hAnsi="宋体" w:eastAsia="宋体" w:cs="宋体"/>
          <w:color w:val="auto"/>
          <w:sz w:val="24"/>
          <w:szCs w:val="24"/>
          <w:highlight w:val="none"/>
        </w:rPr>
        <w:t>；</w:t>
      </w:r>
    </w:p>
    <w:p w14:paraId="2F8AA030">
      <w:pPr>
        <w:pStyle w:val="3"/>
        <w:shd w:val="clea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4.6在系统上开启最终报价情况；</w:t>
      </w:r>
    </w:p>
    <w:p w14:paraId="35B068D7">
      <w:pPr>
        <w:pStyle w:val="3"/>
        <w:shd w:val="clea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4.7磋商小组对报价情况进行评审；</w:t>
      </w:r>
    </w:p>
    <w:p w14:paraId="5BF898EB">
      <w:pPr>
        <w:pStyle w:val="3"/>
        <w:shd w:val="clea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4.8在系统上公开资格和商务技术评审结果；</w:t>
      </w:r>
    </w:p>
    <w:p w14:paraId="1C799CC4">
      <w:pPr>
        <w:pStyle w:val="3"/>
        <w:shd w:val="clea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4.9在系统上公布评审结果。</w:t>
      </w:r>
    </w:p>
    <w:p w14:paraId="1E26A379">
      <w:pPr>
        <w:pStyle w:val="3"/>
        <w:shd w:val="clea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4.10开标会结束。</w:t>
      </w:r>
    </w:p>
    <w:p w14:paraId="14A769F0">
      <w:pPr>
        <w:shd w:val="clear"/>
        <w:snapToGrid w:val="0"/>
        <w:spacing w:line="360" w:lineRule="auto"/>
        <w:ind w:firstLine="480" w:firstLineChars="200"/>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特别说明</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政采云如对电子化开标及评审程序有调整的</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按调整后的程序操作。</w:t>
      </w:r>
    </w:p>
    <w:p w14:paraId="6F0320A3">
      <w:pPr>
        <w:shd w:val="clear"/>
        <w:snapToGrid w:val="0"/>
        <w:spacing w:line="360" w:lineRule="auto"/>
        <w:ind w:firstLine="482" w:firstLineChars="200"/>
        <w:rPr>
          <w:rFonts w:hint="eastAsia" w:ascii="宋体" w:hAnsi="宋体" w:eastAsia="宋体" w:cs="宋体"/>
          <w:b/>
          <w:bCs/>
          <w:color w:val="auto"/>
          <w:sz w:val="24"/>
          <w:szCs w:val="24"/>
          <w:highlight w:val="none"/>
        </w:rPr>
      </w:pPr>
    </w:p>
    <w:p w14:paraId="4EE088F0">
      <w:pPr>
        <w:shd w:val="clear"/>
        <w:snapToGrid w:val="0"/>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5.综合评分</w:t>
      </w:r>
    </w:p>
    <w:p w14:paraId="10AB185E">
      <w:pPr>
        <w:shd w:val="clear"/>
        <w:tabs>
          <w:tab w:val="left" w:pos="-1080"/>
          <w:tab w:val="left" w:pos="180"/>
          <w:tab w:val="left" w:pos="1080"/>
        </w:tabs>
        <w:snapToGrid w:val="0"/>
        <w:spacing w:line="360" w:lineRule="auto"/>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5.1本评标办法采用综合评标法，由商务技术分和报价分合计组成，其中商务技术分</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8</w:t>
      </w:r>
      <w:r>
        <w:rPr>
          <w:rFonts w:hint="eastAsia" w:ascii="宋体" w:hAnsi="宋体" w:eastAsia="宋体" w:cs="宋体"/>
          <w:color w:val="auto"/>
          <w:sz w:val="24"/>
          <w:szCs w:val="24"/>
          <w:highlight w:val="none"/>
          <w:u w:val="single"/>
        </w:rPr>
        <w:t xml:space="preserve">0 </w:t>
      </w:r>
      <w:r>
        <w:rPr>
          <w:rFonts w:hint="eastAsia" w:ascii="宋体" w:hAnsi="宋体" w:eastAsia="宋体" w:cs="宋体"/>
          <w:color w:val="auto"/>
          <w:sz w:val="24"/>
          <w:szCs w:val="24"/>
          <w:highlight w:val="none"/>
        </w:rPr>
        <w:t>分、报价分</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20</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分；满分为100分。</w:t>
      </w:r>
    </w:p>
    <w:p w14:paraId="4E17AF53">
      <w:pPr>
        <w:shd w:val="clear"/>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5.2经初步评审合格的响应文件，磋商小组根据竞争性磋商文件确定的评审标准和方法，对其商务技术部分</w:t>
      </w:r>
      <w:r>
        <w:rPr>
          <w:rFonts w:hint="eastAsia" w:ascii="宋体" w:hAnsi="宋体" w:cs="宋体"/>
          <w:color w:val="auto"/>
          <w:sz w:val="24"/>
          <w:szCs w:val="24"/>
          <w:highlight w:val="none"/>
          <w:lang w:eastAsia="zh-CN"/>
        </w:rPr>
        <w:t>做</w:t>
      </w:r>
      <w:r>
        <w:rPr>
          <w:rFonts w:hint="eastAsia" w:ascii="宋体" w:hAnsi="宋体" w:eastAsia="宋体" w:cs="宋体"/>
          <w:color w:val="auto"/>
          <w:sz w:val="24"/>
          <w:szCs w:val="24"/>
          <w:highlight w:val="none"/>
        </w:rPr>
        <w:t>进一步评审、比较、打分。</w:t>
      </w:r>
    </w:p>
    <w:p w14:paraId="7798497C">
      <w:pPr>
        <w:pStyle w:val="17"/>
        <w:shd w:val="clea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5.3磋商小组成员首先分别对每个供应商商务技术部分进行评审打分，然后计算出算术平均值（保留2位小数），即为供应商的商务技术得分，后计算二次报价，计算公式：投标价格分=(最佳报价/投标报价)*价格权值*100</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综合得分=商务技术分+报价分，以综合得分（保留2位小数）由高到低进行排序后推荐第一名为成交供应商候选人；得分相同的，按报价由低到高的顺序排列；得分且报价相同的，在响应文件满足磋商文件全部实质性要求前提下，按照评审因素的量化指标评审得分最高的供应商；确定成交供应商候选人，并提交评审结果。</w:t>
      </w:r>
    </w:p>
    <w:p w14:paraId="4169B6B1">
      <w:pPr>
        <w:pStyle w:val="17"/>
        <w:shd w:val="clear"/>
        <w:spacing w:line="360" w:lineRule="auto"/>
        <w:ind w:left="420" w:left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6、修正原则</w:t>
      </w:r>
    </w:p>
    <w:p w14:paraId="28376A98">
      <w:pPr>
        <w:pStyle w:val="57"/>
        <w:shd w:val="clear"/>
        <w:spacing w:before="0"/>
        <w:ind w:left="420" w:leftChars="200" w:firstLine="0" w:firstLineChars="0"/>
        <w:rPr>
          <w:rFonts w:hint="eastAsia" w:ascii="宋体" w:hAnsi="宋体" w:eastAsia="宋体" w:cs="宋体"/>
          <w:color w:val="auto"/>
          <w:highlight w:val="none"/>
          <w:lang w:val="zh-CN"/>
        </w:rPr>
      </w:pPr>
      <w:r>
        <w:rPr>
          <w:rFonts w:hint="eastAsia" w:ascii="宋体" w:hAnsi="宋体" w:eastAsia="宋体" w:cs="宋体"/>
          <w:color w:val="auto"/>
          <w:highlight w:val="none"/>
        </w:rPr>
        <w:t>响应</w:t>
      </w:r>
      <w:r>
        <w:rPr>
          <w:rFonts w:hint="eastAsia" w:ascii="宋体" w:hAnsi="宋体" w:eastAsia="宋体" w:cs="宋体"/>
          <w:color w:val="auto"/>
          <w:highlight w:val="none"/>
          <w:lang w:val="zh-CN"/>
        </w:rPr>
        <w:t>文件报价出现前后不一致的，按照下列规定修正：</w:t>
      </w:r>
    </w:p>
    <w:p w14:paraId="1AC3FEED">
      <w:pPr>
        <w:pStyle w:val="57"/>
        <w:shd w:val="clear"/>
        <w:tabs>
          <w:tab w:val="left" w:pos="0"/>
        </w:tabs>
        <w:spacing w:before="0"/>
        <w:ind w:firstLine="480"/>
        <w:rPr>
          <w:rFonts w:hint="eastAsia" w:ascii="宋体" w:hAnsi="宋体" w:eastAsia="宋体" w:cs="宋体"/>
          <w:color w:val="auto"/>
          <w:highlight w:val="none"/>
          <w:lang w:val="zh-CN"/>
        </w:rPr>
      </w:pPr>
      <w:r>
        <w:rPr>
          <w:rFonts w:hint="eastAsia" w:ascii="宋体" w:hAnsi="宋体" w:eastAsia="宋体" w:cs="宋体"/>
          <w:color w:val="auto"/>
          <w:highlight w:val="none"/>
        </w:rPr>
        <w:t>6.1响应</w:t>
      </w:r>
      <w:r>
        <w:rPr>
          <w:rFonts w:hint="eastAsia" w:ascii="宋体" w:hAnsi="宋体" w:eastAsia="宋体" w:cs="宋体"/>
          <w:color w:val="auto"/>
          <w:highlight w:val="none"/>
          <w:lang w:val="zh-CN"/>
        </w:rPr>
        <w:t>文件中</w:t>
      </w:r>
      <w:r>
        <w:rPr>
          <w:rFonts w:hint="eastAsia" w:ascii="宋体" w:hAnsi="宋体" w:eastAsia="宋体" w:cs="宋体"/>
          <w:color w:val="auto"/>
          <w:highlight w:val="none"/>
        </w:rPr>
        <w:t>报价</w:t>
      </w:r>
      <w:r>
        <w:rPr>
          <w:rFonts w:hint="eastAsia" w:ascii="宋体" w:hAnsi="宋体" w:eastAsia="宋体" w:cs="宋体"/>
          <w:color w:val="auto"/>
          <w:highlight w:val="none"/>
          <w:lang w:val="zh-CN"/>
        </w:rPr>
        <w:t>一览表内容与</w:t>
      </w:r>
      <w:r>
        <w:rPr>
          <w:rFonts w:hint="eastAsia" w:ascii="宋体" w:hAnsi="宋体" w:eastAsia="宋体" w:cs="宋体"/>
          <w:color w:val="auto"/>
          <w:highlight w:val="none"/>
        </w:rPr>
        <w:t>响应</w:t>
      </w:r>
      <w:r>
        <w:rPr>
          <w:rFonts w:hint="eastAsia" w:ascii="宋体" w:hAnsi="宋体" w:eastAsia="宋体" w:cs="宋体"/>
          <w:color w:val="auto"/>
          <w:highlight w:val="none"/>
          <w:lang w:val="zh-CN"/>
        </w:rPr>
        <w:t>文件中相应内容不一致的，以</w:t>
      </w:r>
      <w:r>
        <w:rPr>
          <w:rFonts w:hint="eastAsia" w:ascii="宋体" w:hAnsi="宋体" w:eastAsia="宋体" w:cs="宋体"/>
          <w:color w:val="auto"/>
          <w:highlight w:val="none"/>
        </w:rPr>
        <w:t>报价</w:t>
      </w:r>
      <w:r>
        <w:rPr>
          <w:rFonts w:hint="eastAsia" w:ascii="宋体" w:hAnsi="宋体" w:eastAsia="宋体" w:cs="宋体"/>
          <w:color w:val="auto"/>
          <w:highlight w:val="none"/>
          <w:lang w:val="zh-CN"/>
        </w:rPr>
        <w:t>一览表为准；</w:t>
      </w:r>
    </w:p>
    <w:p w14:paraId="1EA677B5">
      <w:pPr>
        <w:pStyle w:val="57"/>
        <w:shd w:val="clear"/>
        <w:tabs>
          <w:tab w:val="left" w:pos="0"/>
        </w:tabs>
        <w:spacing w:before="0"/>
        <w:ind w:firstLine="480"/>
        <w:rPr>
          <w:rFonts w:hint="eastAsia" w:ascii="宋体" w:hAnsi="宋体" w:eastAsia="宋体" w:cs="宋体"/>
          <w:color w:val="auto"/>
          <w:highlight w:val="none"/>
          <w:lang w:val="zh-CN"/>
        </w:rPr>
      </w:pPr>
      <w:r>
        <w:rPr>
          <w:rFonts w:hint="eastAsia" w:ascii="宋体" w:hAnsi="宋体" w:eastAsia="宋体" w:cs="宋体"/>
          <w:color w:val="auto"/>
          <w:highlight w:val="none"/>
        </w:rPr>
        <w:t>6.2</w:t>
      </w:r>
      <w:r>
        <w:rPr>
          <w:rFonts w:hint="eastAsia" w:ascii="宋体" w:hAnsi="宋体" w:eastAsia="宋体" w:cs="宋体"/>
          <w:color w:val="auto"/>
          <w:highlight w:val="none"/>
          <w:lang w:val="zh-CN"/>
        </w:rPr>
        <w:t>大写金额和小写金额不一致的，以大写金额为准；</w:t>
      </w:r>
    </w:p>
    <w:p w14:paraId="2EAE1537">
      <w:pPr>
        <w:pStyle w:val="57"/>
        <w:shd w:val="clear"/>
        <w:tabs>
          <w:tab w:val="left" w:pos="0"/>
        </w:tabs>
        <w:spacing w:before="0"/>
        <w:ind w:firstLine="480"/>
        <w:rPr>
          <w:rFonts w:hint="eastAsia" w:ascii="宋体" w:hAnsi="宋体" w:eastAsia="宋体" w:cs="宋体"/>
          <w:color w:val="auto"/>
          <w:highlight w:val="none"/>
          <w:lang w:val="zh-CN"/>
        </w:rPr>
      </w:pPr>
      <w:r>
        <w:rPr>
          <w:rFonts w:hint="eastAsia" w:ascii="宋体" w:hAnsi="宋体" w:eastAsia="宋体" w:cs="宋体"/>
          <w:color w:val="auto"/>
          <w:highlight w:val="none"/>
        </w:rPr>
        <w:t>6.3</w:t>
      </w:r>
      <w:r>
        <w:rPr>
          <w:rFonts w:hint="eastAsia" w:ascii="宋体" w:hAnsi="宋体" w:eastAsia="宋体" w:cs="宋体"/>
          <w:color w:val="auto"/>
          <w:highlight w:val="none"/>
          <w:lang w:val="zh-CN"/>
        </w:rPr>
        <w:t>单价金额小数点或者百分比有明显错位的，以</w:t>
      </w:r>
      <w:r>
        <w:rPr>
          <w:rFonts w:hint="eastAsia" w:ascii="宋体" w:hAnsi="宋体" w:eastAsia="宋体" w:cs="宋体"/>
          <w:color w:val="auto"/>
          <w:highlight w:val="none"/>
        </w:rPr>
        <w:t>报价</w:t>
      </w:r>
      <w:r>
        <w:rPr>
          <w:rFonts w:hint="eastAsia" w:ascii="宋体" w:hAnsi="宋体" w:eastAsia="宋体" w:cs="宋体"/>
          <w:color w:val="auto"/>
          <w:highlight w:val="none"/>
          <w:lang w:val="zh-CN"/>
        </w:rPr>
        <w:t>一览表的总价为准，并修改单价；</w:t>
      </w:r>
    </w:p>
    <w:p w14:paraId="2EEB6E74">
      <w:pPr>
        <w:pStyle w:val="57"/>
        <w:shd w:val="clear"/>
        <w:tabs>
          <w:tab w:val="left" w:pos="0"/>
        </w:tabs>
        <w:spacing w:before="0"/>
        <w:ind w:firstLine="480"/>
        <w:rPr>
          <w:rFonts w:hint="eastAsia" w:ascii="宋体" w:hAnsi="宋体" w:eastAsia="宋体" w:cs="宋体"/>
          <w:color w:val="auto"/>
          <w:highlight w:val="none"/>
          <w:lang w:val="zh-CN"/>
        </w:rPr>
      </w:pPr>
      <w:r>
        <w:rPr>
          <w:rFonts w:hint="eastAsia" w:ascii="宋体" w:hAnsi="宋体" w:eastAsia="宋体" w:cs="宋体"/>
          <w:color w:val="auto"/>
          <w:highlight w:val="none"/>
        </w:rPr>
        <w:t>6.4</w:t>
      </w:r>
      <w:r>
        <w:rPr>
          <w:rFonts w:hint="eastAsia" w:ascii="宋体" w:hAnsi="宋体" w:eastAsia="宋体" w:cs="宋体"/>
          <w:color w:val="auto"/>
          <w:highlight w:val="none"/>
          <w:lang w:val="zh-CN"/>
        </w:rPr>
        <w:t>总价金额与按单价汇总金额不一致的，以单价金额计算结果为准。</w:t>
      </w:r>
    </w:p>
    <w:p w14:paraId="6705192C">
      <w:pPr>
        <w:pStyle w:val="57"/>
        <w:shd w:val="clear"/>
        <w:spacing w:before="0"/>
        <w:ind w:firstLine="480"/>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同时出现两种以上不一致的，按照前款规定的顺序修正。修正后的报价按照财政部公布第87号令 《政府采购产品和服务招标投标管理办法》第五十一条第二款的规定经</w:t>
      </w:r>
      <w:r>
        <w:rPr>
          <w:rFonts w:hint="eastAsia" w:ascii="宋体" w:hAnsi="宋体" w:eastAsia="宋体" w:cs="宋体"/>
          <w:color w:val="auto"/>
          <w:highlight w:val="none"/>
        </w:rPr>
        <w:t>供应商</w:t>
      </w:r>
      <w:r>
        <w:rPr>
          <w:rFonts w:hint="eastAsia" w:ascii="宋体" w:hAnsi="宋体" w:eastAsia="宋体" w:cs="宋体"/>
          <w:color w:val="auto"/>
          <w:highlight w:val="none"/>
          <w:lang w:val="zh-CN"/>
        </w:rPr>
        <w:t>确认后产生约束力，</w:t>
      </w:r>
      <w:r>
        <w:rPr>
          <w:rFonts w:hint="eastAsia" w:ascii="宋体" w:hAnsi="宋体" w:eastAsia="宋体" w:cs="宋体"/>
          <w:color w:val="auto"/>
          <w:highlight w:val="none"/>
        </w:rPr>
        <w:t>供应商</w:t>
      </w:r>
      <w:r>
        <w:rPr>
          <w:rFonts w:hint="eastAsia" w:ascii="宋体" w:hAnsi="宋体" w:eastAsia="宋体" w:cs="宋体"/>
          <w:color w:val="auto"/>
          <w:highlight w:val="none"/>
          <w:lang w:val="zh-CN"/>
        </w:rPr>
        <w:t>不确认的，其</w:t>
      </w:r>
      <w:r>
        <w:rPr>
          <w:rFonts w:hint="eastAsia" w:ascii="宋体" w:hAnsi="宋体" w:eastAsia="宋体" w:cs="宋体"/>
          <w:color w:val="auto"/>
          <w:highlight w:val="none"/>
        </w:rPr>
        <w:t>磋商</w:t>
      </w:r>
      <w:r>
        <w:rPr>
          <w:rFonts w:hint="eastAsia" w:ascii="宋体" w:hAnsi="宋体" w:eastAsia="宋体" w:cs="宋体"/>
          <w:color w:val="auto"/>
          <w:highlight w:val="none"/>
          <w:lang w:val="zh-CN"/>
        </w:rPr>
        <w:t>无效。</w:t>
      </w:r>
    </w:p>
    <w:p w14:paraId="189E4988">
      <w:pPr>
        <w:pStyle w:val="17"/>
        <w:shd w:val="clear"/>
        <w:spacing w:line="360" w:lineRule="auto"/>
        <w:ind w:left="420" w:left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7、响应文件的澄清</w:t>
      </w:r>
    </w:p>
    <w:p w14:paraId="13D97CE9">
      <w:pPr>
        <w:pStyle w:val="57"/>
        <w:shd w:val="clear"/>
        <w:tabs>
          <w:tab w:val="left" w:pos="0"/>
        </w:tabs>
        <w:spacing w:before="0"/>
        <w:ind w:firstLine="480"/>
        <w:rPr>
          <w:rFonts w:hint="eastAsia" w:ascii="宋体" w:hAnsi="宋体" w:eastAsia="宋体" w:cs="宋体"/>
          <w:color w:val="auto"/>
          <w:highlight w:val="none"/>
          <w:lang w:val="zh-CN"/>
        </w:rPr>
      </w:pPr>
      <w:r>
        <w:rPr>
          <w:rFonts w:hint="eastAsia" w:ascii="宋体" w:hAnsi="宋体" w:eastAsia="宋体" w:cs="宋体"/>
          <w:color w:val="auto"/>
          <w:highlight w:val="none"/>
        </w:rPr>
        <w:t>7.1</w:t>
      </w:r>
      <w:r>
        <w:rPr>
          <w:rFonts w:hint="eastAsia" w:ascii="宋体" w:hAnsi="宋体" w:eastAsia="宋体" w:cs="宋体"/>
          <w:color w:val="auto"/>
          <w:highlight w:val="none"/>
          <w:lang w:val="zh-CN"/>
        </w:rPr>
        <w:t>评审中因</w:t>
      </w:r>
      <w:r>
        <w:rPr>
          <w:rFonts w:hint="eastAsia" w:ascii="宋体" w:hAnsi="宋体" w:eastAsia="宋体" w:cs="宋体"/>
          <w:color w:val="auto"/>
          <w:highlight w:val="none"/>
        </w:rPr>
        <w:t>响应</w:t>
      </w:r>
      <w:r>
        <w:rPr>
          <w:rFonts w:hint="eastAsia" w:ascii="宋体" w:hAnsi="宋体" w:eastAsia="宋体" w:cs="宋体"/>
          <w:color w:val="auto"/>
          <w:highlight w:val="none"/>
          <w:lang w:val="zh-CN"/>
        </w:rPr>
        <w:t>文件含义不明、表述不一致或有明显计算错误等内容需要供应商作出澄清、说明或者补正的，</w:t>
      </w:r>
      <w:r>
        <w:rPr>
          <w:rFonts w:hint="eastAsia" w:ascii="宋体" w:hAnsi="宋体" w:eastAsia="宋体" w:cs="宋体"/>
          <w:color w:val="auto"/>
          <w:highlight w:val="none"/>
        </w:rPr>
        <w:t>磋商小组</w:t>
      </w:r>
      <w:r>
        <w:rPr>
          <w:rFonts w:hint="eastAsia" w:ascii="宋体" w:hAnsi="宋体" w:eastAsia="宋体" w:cs="宋体"/>
          <w:color w:val="auto"/>
          <w:highlight w:val="none"/>
          <w:lang w:val="zh-CN"/>
        </w:rPr>
        <w:t>和供应商应当通过政采云平台交换数据电文，给予供应商提交澄清说明或补正的时间不少于半小时，供应商已经明确表示澄清说明或补正完毕的除外。</w:t>
      </w:r>
    </w:p>
    <w:p w14:paraId="1602E3BB">
      <w:pPr>
        <w:shd w:val="clea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供应商通过政采云平台交换的数据电文必须进行电子签章。</w:t>
      </w:r>
    </w:p>
    <w:p w14:paraId="6E04E4EA">
      <w:pPr>
        <w:pStyle w:val="2"/>
        <w:numPr>
          <w:ilvl w:val="0"/>
          <w:numId w:val="15"/>
        </w:numPr>
        <w:shd w:val="clear"/>
        <w:jc w:val="center"/>
        <w:rPr>
          <w:rFonts w:hint="eastAsia" w:ascii="宋体" w:hAnsi="宋体" w:eastAsia="宋体" w:cs="宋体"/>
          <w:color w:val="auto"/>
          <w:highlight w:val="none"/>
        </w:rPr>
      </w:pPr>
      <w:r>
        <w:rPr>
          <w:rFonts w:hint="eastAsia" w:ascii="宋体" w:hAnsi="宋体" w:eastAsia="宋体" w:cs="宋体"/>
          <w:color w:val="auto"/>
          <w:highlight w:val="none"/>
        </w:rPr>
        <w:t xml:space="preserve"> </w:t>
      </w:r>
      <w:bookmarkStart w:id="87" w:name="_Toc29494"/>
      <w:bookmarkStart w:id="88" w:name="_Toc12816"/>
      <w:r>
        <w:rPr>
          <w:rFonts w:hint="eastAsia" w:ascii="宋体" w:hAnsi="宋体" w:eastAsia="宋体" w:cs="宋体"/>
          <w:color w:val="auto"/>
          <w:highlight w:val="none"/>
        </w:rPr>
        <w:t>注意事项</w:t>
      </w:r>
      <w:bookmarkEnd w:id="87"/>
      <w:bookmarkEnd w:id="88"/>
    </w:p>
    <w:p w14:paraId="69F7EA0C">
      <w:pPr>
        <w:pStyle w:val="3"/>
        <w:shd w:val="clear"/>
        <w:spacing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评审时如发现供应商的报价明显低于其他通过符合性审查供应商的报价，有可能影响产品质量或者不能诚信履约的，磋商小组可要求该供应商书面说明并提供相关证明材料。该供应商不能合理说明原因并提供证明材料的，评审小组应将该供应商的磋商响应文件作无效处理，同时采购组织机构应将该情况报同级财政部门，并视情将其列入不良供应商名单。</w:t>
      </w:r>
    </w:p>
    <w:p w14:paraId="3794B397">
      <w:pPr>
        <w:pStyle w:val="2"/>
        <w:numPr>
          <w:ilvl w:val="0"/>
          <w:numId w:val="16"/>
        </w:numPr>
        <w:shd w:val="clear"/>
        <w:jc w:val="center"/>
        <w:rPr>
          <w:rFonts w:hint="eastAsia" w:ascii="宋体" w:hAnsi="宋体" w:eastAsia="宋体" w:cs="宋体"/>
          <w:color w:val="auto"/>
          <w:highlight w:val="none"/>
        </w:rPr>
      </w:pPr>
      <w:r>
        <w:rPr>
          <w:rFonts w:hint="eastAsia" w:ascii="宋体" w:hAnsi="宋体" w:eastAsia="宋体" w:cs="宋体"/>
          <w:color w:val="auto"/>
          <w:highlight w:val="none"/>
        </w:rPr>
        <w:t xml:space="preserve"> </w:t>
      </w:r>
      <w:bookmarkStart w:id="89" w:name="_Toc12265"/>
      <w:bookmarkStart w:id="90" w:name="_Toc13782"/>
      <w:r>
        <w:rPr>
          <w:rFonts w:hint="eastAsia" w:ascii="宋体" w:hAnsi="宋体" w:eastAsia="宋体" w:cs="宋体"/>
          <w:color w:val="auto"/>
          <w:highlight w:val="none"/>
        </w:rPr>
        <w:t>评分细则</w:t>
      </w:r>
      <w:bookmarkEnd w:id="89"/>
      <w:bookmarkEnd w:id="90"/>
    </w:p>
    <w:p w14:paraId="36256EAA">
      <w:pPr>
        <w:shd w:val="clear"/>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一、报价文件评分标准（</w:t>
      </w:r>
      <w:r>
        <w:rPr>
          <w:rFonts w:hint="eastAsia" w:ascii="宋体" w:hAnsi="宋体" w:eastAsia="宋体" w:cs="宋体"/>
          <w:b/>
          <w:bCs/>
          <w:color w:val="auto"/>
          <w:sz w:val="24"/>
          <w:szCs w:val="24"/>
          <w:highlight w:val="none"/>
          <w:u w:val="single"/>
        </w:rPr>
        <w:t xml:space="preserve"> </w:t>
      </w:r>
      <w:r>
        <w:rPr>
          <w:rFonts w:hint="eastAsia" w:ascii="宋体" w:hAnsi="宋体" w:eastAsia="宋体" w:cs="宋体"/>
          <w:b/>
          <w:bCs/>
          <w:color w:val="auto"/>
          <w:sz w:val="24"/>
          <w:szCs w:val="24"/>
          <w:highlight w:val="none"/>
          <w:u w:val="single"/>
          <w:lang w:val="en-US" w:eastAsia="zh-CN"/>
        </w:rPr>
        <w:t>2</w:t>
      </w:r>
      <w:r>
        <w:rPr>
          <w:rFonts w:hint="eastAsia" w:ascii="宋体" w:hAnsi="宋体" w:eastAsia="宋体" w:cs="宋体"/>
          <w:b/>
          <w:bCs/>
          <w:color w:val="auto"/>
          <w:sz w:val="24"/>
          <w:szCs w:val="24"/>
          <w:highlight w:val="none"/>
          <w:u w:val="single"/>
        </w:rPr>
        <w:t xml:space="preserve">0 </w:t>
      </w:r>
      <w:r>
        <w:rPr>
          <w:rFonts w:hint="eastAsia" w:ascii="宋体" w:hAnsi="宋体" w:eastAsia="宋体" w:cs="宋体"/>
          <w:b/>
          <w:bCs/>
          <w:color w:val="auto"/>
          <w:sz w:val="24"/>
          <w:szCs w:val="24"/>
          <w:highlight w:val="none"/>
        </w:rPr>
        <w:t>分）</w:t>
      </w:r>
    </w:p>
    <w:p w14:paraId="5CED1EA8">
      <w:pPr>
        <w:shd w:val="clea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报价文件主要是对供应商的有效报价进行评议，其评分标准及分值设置规则如下：</w:t>
      </w:r>
    </w:p>
    <w:p w14:paraId="5C0D91D2">
      <w:pPr>
        <w:shd w:val="clea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1、本次采购最高限价规定如下：</w:t>
      </w:r>
    </w:p>
    <w:p w14:paraId="775A86E9">
      <w:pPr>
        <w:shd w:val="clear"/>
        <w:spacing w:line="360" w:lineRule="auto"/>
        <w:ind w:firstLine="480" w:firstLineChars="200"/>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本项目投标报价的最高限价</w:t>
      </w:r>
      <w:r>
        <w:rPr>
          <w:rFonts w:hint="eastAsia" w:ascii="宋体" w:hAnsi="宋体" w:eastAsia="宋体" w:cs="宋体"/>
          <w:b/>
          <w:bCs/>
          <w:color w:val="auto"/>
          <w:sz w:val="24"/>
          <w:szCs w:val="24"/>
          <w:highlight w:val="none"/>
        </w:rPr>
        <w:t>为人民币</w:t>
      </w:r>
      <w:r>
        <w:rPr>
          <w:rFonts w:hint="eastAsia" w:ascii="宋体" w:hAnsi="宋体" w:eastAsia="宋体" w:cs="宋体"/>
          <w:b/>
          <w:bCs/>
          <w:color w:val="auto"/>
          <w:sz w:val="24"/>
          <w:szCs w:val="24"/>
          <w:highlight w:val="none"/>
          <w:u w:val="single"/>
        </w:rPr>
        <w:t xml:space="preserve"> </w:t>
      </w:r>
      <w:r>
        <w:rPr>
          <w:rFonts w:hint="eastAsia" w:ascii="宋体" w:hAnsi="宋体" w:cs="宋体"/>
          <w:b/>
          <w:color w:val="auto"/>
          <w:sz w:val="24"/>
          <w:highlight w:val="none"/>
          <w:u w:val="single"/>
          <w:lang w:val="en-US" w:eastAsia="zh-CN"/>
        </w:rPr>
        <w:fldChar w:fldCharType="begin"/>
      </w:r>
      <w:r>
        <w:rPr>
          <w:rFonts w:hint="eastAsia" w:ascii="宋体" w:hAnsi="宋体" w:cs="宋体"/>
          <w:b/>
          <w:color w:val="auto"/>
          <w:sz w:val="24"/>
          <w:highlight w:val="none"/>
          <w:u w:val="single"/>
          <w:lang w:val="en-US" w:eastAsia="zh-CN"/>
        </w:rPr>
        <w:instrText xml:space="preserve"> = 888000 \* CHINESENUM2 \* MERGEFORMAT </w:instrText>
      </w:r>
      <w:r>
        <w:rPr>
          <w:rFonts w:hint="eastAsia" w:ascii="宋体" w:hAnsi="宋体" w:cs="宋体"/>
          <w:b/>
          <w:color w:val="auto"/>
          <w:sz w:val="24"/>
          <w:highlight w:val="none"/>
          <w:u w:val="single"/>
          <w:lang w:val="en-US" w:eastAsia="zh-CN"/>
        </w:rPr>
        <w:fldChar w:fldCharType="separate"/>
      </w:r>
      <w:r>
        <w:rPr>
          <w:rFonts w:hint="eastAsia" w:ascii="宋体" w:hAnsi="宋体" w:cs="宋体"/>
          <w:b/>
          <w:color w:val="auto"/>
          <w:sz w:val="24"/>
          <w:highlight w:val="none"/>
          <w:u w:val="single"/>
          <w:lang w:val="en-US" w:eastAsia="zh-CN"/>
        </w:rPr>
        <w:t>捌拾捌万捌仟</w:t>
      </w:r>
      <w:r>
        <w:rPr>
          <w:rFonts w:hint="eastAsia" w:ascii="宋体" w:hAnsi="宋体" w:cs="宋体"/>
          <w:b/>
          <w:color w:val="auto"/>
          <w:sz w:val="24"/>
          <w:highlight w:val="none"/>
          <w:u w:val="single"/>
          <w:lang w:val="en-US" w:eastAsia="zh-CN"/>
        </w:rPr>
        <w:fldChar w:fldCharType="end"/>
      </w:r>
      <w:r>
        <w:rPr>
          <w:rFonts w:hint="eastAsia" w:ascii="宋体" w:hAnsi="宋体" w:eastAsia="宋体" w:cs="宋体"/>
          <w:b/>
          <w:color w:val="auto"/>
          <w:sz w:val="24"/>
          <w:highlight w:val="none"/>
        </w:rPr>
        <w:fldChar w:fldCharType="begin"/>
      </w:r>
      <w:r>
        <w:rPr>
          <w:rFonts w:hint="eastAsia" w:ascii="宋体" w:hAnsi="宋体" w:eastAsia="宋体" w:cs="宋体"/>
          <w:b/>
          <w:color w:val="auto"/>
          <w:sz w:val="24"/>
          <w:highlight w:val="none"/>
        </w:rPr>
        <w:instrText xml:space="preserve"> = 1750000 \* CHINESENUM4 \* MERGEFORMAT </w:instrText>
      </w:r>
      <w:r>
        <w:rPr>
          <w:rFonts w:hint="eastAsia" w:ascii="宋体" w:hAnsi="宋体" w:eastAsia="宋体" w:cs="宋体"/>
          <w:b/>
          <w:color w:val="auto"/>
          <w:sz w:val="24"/>
          <w:highlight w:val="none"/>
        </w:rPr>
        <w:fldChar w:fldCharType="separate"/>
      </w:r>
      <w:r>
        <w:rPr>
          <w:rFonts w:hint="eastAsia" w:ascii="宋体" w:hAnsi="宋体" w:eastAsia="宋体" w:cs="宋体"/>
          <w:b/>
          <w:color w:val="auto"/>
          <w:sz w:val="24"/>
          <w:highlight w:val="none"/>
        </w:rPr>
        <w:t>元整</w:t>
      </w:r>
      <w:r>
        <w:rPr>
          <w:rFonts w:hint="eastAsia" w:ascii="宋体" w:hAnsi="宋体" w:eastAsia="宋体" w:cs="宋体"/>
          <w:b/>
          <w:color w:val="auto"/>
          <w:sz w:val="24"/>
          <w:highlight w:val="none"/>
        </w:rPr>
        <w:fldChar w:fldCharType="end"/>
      </w:r>
      <w:r>
        <w:rPr>
          <w:rFonts w:hint="eastAsia" w:ascii="宋体" w:hAnsi="宋体" w:eastAsia="宋体" w:cs="宋体"/>
          <w:b/>
          <w:color w:val="auto"/>
          <w:sz w:val="24"/>
          <w:highlight w:val="none"/>
        </w:rPr>
        <w:t>（小写</w:t>
      </w:r>
      <w:r>
        <w:rPr>
          <w:rFonts w:hint="eastAsia" w:ascii="宋体" w:hAnsi="宋体" w:cs="宋体"/>
          <w:b/>
          <w:color w:val="auto"/>
          <w:sz w:val="24"/>
          <w:highlight w:val="none"/>
          <w:u w:val="single"/>
          <w:lang w:val="en-US" w:eastAsia="zh-CN"/>
        </w:rPr>
        <w:t>888000</w:t>
      </w:r>
      <w:r>
        <w:rPr>
          <w:rFonts w:hint="eastAsia" w:ascii="宋体" w:hAnsi="宋体" w:eastAsia="宋体" w:cs="宋体"/>
          <w:b/>
          <w:color w:val="auto"/>
          <w:sz w:val="24"/>
          <w:highlight w:val="none"/>
          <w:u w:val="single"/>
        </w:rPr>
        <w:t xml:space="preserve">.00 </w:t>
      </w:r>
      <w:r>
        <w:rPr>
          <w:rFonts w:hint="eastAsia" w:ascii="宋体" w:hAnsi="宋体" w:eastAsia="宋体" w:cs="宋体"/>
          <w:b/>
          <w:color w:val="auto"/>
          <w:sz w:val="24"/>
          <w:highlight w:val="none"/>
        </w:rPr>
        <w:t>元）</w:t>
      </w:r>
      <w:r>
        <w:rPr>
          <w:rFonts w:hint="eastAsia" w:ascii="宋体" w:hAnsi="宋体" w:eastAsia="宋体" w:cs="宋体"/>
          <w:b/>
          <w:bCs/>
          <w:color w:val="auto"/>
          <w:sz w:val="24"/>
          <w:szCs w:val="24"/>
          <w:highlight w:val="none"/>
        </w:rPr>
        <w:t>。</w:t>
      </w:r>
    </w:p>
    <w:p w14:paraId="5E3AB9FC">
      <w:pPr>
        <w:shd w:val="clea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2、供应商的报价在最高限价内的，为有效报价。</w:t>
      </w:r>
    </w:p>
    <w:p w14:paraId="45B4783A">
      <w:pPr>
        <w:shd w:val="clea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3、本次评标设有最佳报价。</w:t>
      </w:r>
      <w:r>
        <w:rPr>
          <w:rFonts w:hint="eastAsia" w:ascii="宋体" w:hAnsi="宋体" w:eastAsia="宋体" w:cs="宋体"/>
          <w:color w:val="auto"/>
          <w:highlight w:val="none"/>
        </w:rPr>
        <w:t>最</w:t>
      </w:r>
      <w:r>
        <w:rPr>
          <w:rFonts w:hint="eastAsia" w:ascii="宋体" w:hAnsi="宋体" w:eastAsia="宋体" w:cs="宋体"/>
          <w:color w:val="auto"/>
          <w:sz w:val="24"/>
          <w:szCs w:val="24"/>
          <w:highlight w:val="none"/>
        </w:rPr>
        <w:t>佳报价确定方式：根据所有入围供应商有效报价中的最低报价作为最佳报价。</w:t>
      </w:r>
    </w:p>
    <w:p w14:paraId="0733720D">
      <w:pPr>
        <w:shd w:val="clea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4、最佳报价者的报价分为满分，其他供应商的有效报价与最佳报价相比，按下列方法计算其报价分：</w:t>
      </w:r>
    </w:p>
    <w:p w14:paraId="011D2BE0">
      <w:pPr>
        <w:shd w:val="clea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投标价格分=(最佳报价/投标报价)*价格权值*100。</w:t>
      </w:r>
    </w:p>
    <w:p w14:paraId="73855D72">
      <w:pPr>
        <w:shd w:val="clea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5、当报价一览表与磋商报价明细表报价不一致时，以报价一览表为准，磋商报价明细表报价予以修正并由授权代表签字确认，拒绝修正或确认的，则做无效标处理。</w:t>
      </w:r>
    </w:p>
    <w:p w14:paraId="69D39953">
      <w:pPr>
        <w:shd w:val="clea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6、响应文件只允许有一个报价，磋商报价应按磋商文件中相关附表格式填报，该磋商报价应与明细报价汇总相等，且不允许出现报价优惠、赠送等字样（明细出现“0”元，视同赠送）</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如出现则做</w:t>
      </w:r>
      <w:r>
        <w:rPr>
          <w:rFonts w:hint="eastAsia" w:ascii="宋体" w:hAnsi="宋体" w:eastAsia="宋体" w:cs="宋体"/>
          <w:b/>
          <w:bCs/>
          <w:color w:val="auto"/>
          <w:sz w:val="24"/>
          <w:szCs w:val="24"/>
          <w:highlight w:val="none"/>
        </w:rPr>
        <w:t>无效响应</w:t>
      </w:r>
      <w:r>
        <w:rPr>
          <w:rFonts w:hint="eastAsia" w:ascii="宋体" w:hAnsi="宋体" w:eastAsia="宋体" w:cs="宋体"/>
          <w:color w:val="auto"/>
          <w:sz w:val="24"/>
          <w:szCs w:val="24"/>
          <w:highlight w:val="none"/>
        </w:rPr>
        <w:t>处理。</w:t>
      </w:r>
    </w:p>
    <w:p w14:paraId="4816D4B1">
      <w:pPr>
        <w:shd w:val="clear"/>
        <w:autoSpaceDE w:val="0"/>
        <w:autoSpaceDN w:val="0"/>
        <w:spacing w:line="360" w:lineRule="auto"/>
        <w:ind w:firstLine="48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r>
        <w:rPr>
          <w:rFonts w:hint="eastAsia" w:ascii="宋体" w:hAnsi="宋体" w:eastAsia="宋体" w:cs="宋体"/>
          <w:b/>
          <w:bCs/>
          <w:color w:val="auto"/>
          <w:sz w:val="24"/>
          <w:szCs w:val="24"/>
          <w:highlight w:val="none"/>
        </w:rPr>
        <w:t>投标价格的合理性</w:t>
      </w:r>
      <w:r>
        <w:rPr>
          <w:rFonts w:hint="eastAsia" w:ascii="宋体" w:hAnsi="宋体" w:eastAsia="宋体" w:cs="宋体"/>
          <w:color w:val="auto"/>
          <w:sz w:val="24"/>
          <w:szCs w:val="24"/>
          <w:highlight w:val="none"/>
        </w:rPr>
        <w:t>：评标委员会认为供应商的报价明显低于其他通过符合性审</w:t>
      </w:r>
      <w:r>
        <w:rPr>
          <w:rFonts w:hint="eastAsia" w:ascii="宋体" w:hAnsi="宋体" w:cs="宋体"/>
          <w:color w:val="auto"/>
          <w:sz w:val="24"/>
          <w:szCs w:val="24"/>
          <w:highlight w:val="none"/>
          <w:lang w:eastAsia="zh-CN"/>
        </w:rPr>
        <w:t>查的</w:t>
      </w:r>
      <w:r>
        <w:rPr>
          <w:rFonts w:hint="eastAsia" w:ascii="宋体" w:hAnsi="宋体" w:eastAsia="宋体" w:cs="宋体"/>
          <w:color w:val="auto"/>
          <w:sz w:val="24"/>
          <w:szCs w:val="24"/>
          <w:highlight w:val="none"/>
        </w:rPr>
        <w:t>供应商的报价，有可能影响产品质量或者不能诚信履约的，应当要求其在评标现场合理的时间内提供书面说明，必要时提交相关证明材料；供应商不能证明其报价合理性的，评标委员会应当将其作为无效响应处理。</w:t>
      </w:r>
    </w:p>
    <w:p w14:paraId="54CD32A6">
      <w:pPr>
        <w:shd w:val="clea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8、价格扣除：</w:t>
      </w:r>
      <w:r>
        <w:rPr>
          <w:rFonts w:hint="eastAsia" w:ascii="宋体" w:hAnsi="宋体" w:eastAsia="宋体" w:cs="宋体"/>
          <w:color w:val="auto"/>
          <w:sz w:val="24"/>
          <w:highlight w:val="none"/>
        </w:rPr>
        <w:t>根据工信部等部委发布的《关于印发中小企业划型标准规定的通知》（工信部联企业〔2011〕300号），根据具体品目确定相应标准。符合上述条件的中小微型企业应按照招标文件的格式要求提供《中小企业声明函》及其相关的充分的证明材料。符合《关于促进残疾人就业政府采购政策的通知》（财库〔2017〕141号）规定的条件并提供《残疾人福利性单位声明函》的残疾人福利性单位视同小型</w:t>
      </w:r>
      <w:r>
        <w:rPr>
          <w:rFonts w:hint="eastAsia" w:ascii="宋体" w:hAnsi="宋体" w:eastAsia="宋体" w:cs="宋体"/>
          <w:color w:val="auto"/>
          <w:sz w:val="24"/>
          <w:szCs w:val="24"/>
          <w:highlight w:val="none"/>
        </w:rPr>
        <w:t>、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54F2CBAF">
      <w:pPr>
        <w:shd w:val="clea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财政部的《关于进一步加大政府采购支持中小企业力度的通知》（财库〔2022〕19号）规定，货物和服务项目中未预留份额专门面向中小企业采购的，以及预留份额项目中的非预留部分采购包，采购单位、采购代理机构应结合项目实际，对符合规定的小微企业报价按10%给予扣除，用扣除后的价格参加评审；对于联合协议或者分包意向协议约定小微企业的合同份额占到合同总金额30%以上的，采购单位、采购代理机构应结合项目实际，对联合体或者大中型企业的报价按4%给予扣除，用扣除后的价格参加评审。（中标价及合同价仍以其投标报价为准）</w:t>
      </w:r>
    </w:p>
    <w:p w14:paraId="438D5AE5">
      <w:pPr>
        <w:shd w:val="clear"/>
        <w:spacing w:line="360" w:lineRule="auto"/>
        <w:ind w:firstLine="480" w:firstLineChars="200"/>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组成联合体或者接受分包的小微企业与联合体内其他企业、分包企业之间存在直接控股、管理关系的，不享受价格扣除优惠政策。联合体各方均为小型、微型企业的，联合体视同为小型、微型企业。</w:t>
      </w:r>
    </w:p>
    <w:p w14:paraId="23D1EEE3">
      <w:pPr>
        <w:numPr>
          <w:ilvl w:val="0"/>
          <w:numId w:val="17"/>
        </w:numPr>
        <w:shd w:val="clear"/>
        <w:spacing w:before="156" w:beforeLines="50"/>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商务技术文件评标内容及标准（</w:t>
      </w:r>
      <w:r>
        <w:rPr>
          <w:rFonts w:hint="eastAsia" w:ascii="宋体" w:hAnsi="宋体" w:eastAsia="宋体" w:cs="宋体"/>
          <w:b/>
          <w:bCs/>
          <w:color w:val="auto"/>
          <w:sz w:val="24"/>
          <w:szCs w:val="24"/>
          <w:highlight w:val="none"/>
          <w:u w:val="single"/>
        </w:rPr>
        <w:t xml:space="preserve"> </w:t>
      </w:r>
      <w:r>
        <w:rPr>
          <w:rFonts w:hint="eastAsia" w:ascii="宋体" w:hAnsi="宋体" w:eastAsia="宋体" w:cs="宋体"/>
          <w:b/>
          <w:bCs/>
          <w:color w:val="auto"/>
          <w:sz w:val="24"/>
          <w:szCs w:val="24"/>
          <w:highlight w:val="none"/>
          <w:u w:val="single"/>
          <w:lang w:val="en-US" w:eastAsia="zh-CN"/>
        </w:rPr>
        <w:t>8</w:t>
      </w:r>
      <w:r>
        <w:rPr>
          <w:rFonts w:hint="eastAsia" w:ascii="宋体" w:hAnsi="宋体" w:eastAsia="宋体" w:cs="宋体"/>
          <w:b/>
          <w:bCs/>
          <w:color w:val="auto"/>
          <w:sz w:val="24"/>
          <w:szCs w:val="24"/>
          <w:highlight w:val="none"/>
          <w:u w:val="single"/>
        </w:rPr>
        <w:t xml:space="preserve">0 </w:t>
      </w:r>
      <w:r>
        <w:rPr>
          <w:rFonts w:hint="eastAsia" w:ascii="宋体" w:hAnsi="宋体" w:eastAsia="宋体" w:cs="宋体"/>
          <w:b/>
          <w:bCs/>
          <w:color w:val="auto"/>
          <w:sz w:val="24"/>
          <w:szCs w:val="24"/>
          <w:highlight w:val="none"/>
        </w:rPr>
        <w:t>分）</w:t>
      </w:r>
    </w:p>
    <w:p w14:paraId="0A472A65">
      <w:pPr>
        <w:numPr>
          <w:ilvl w:val="0"/>
          <w:numId w:val="18"/>
        </w:numPr>
        <w:shd w:val="clea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技术评分细则</w:t>
      </w:r>
    </w:p>
    <w:tbl>
      <w:tblPr>
        <w:tblStyle w:val="29"/>
        <w:tblW w:w="99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2"/>
        <w:gridCol w:w="1831"/>
        <w:gridCol w:w="5872"/>
        <w:gridCol w:w="1003"/>
      </w:tblGrid>
      <w:tr w14:paraId="2AEE98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1272" w:type="dxa"/>
            <w:tcBorders>
              <w:top w:val="single" w:color="auto" w:sz="4" w:space="0"/>
              <w:left w:val="single" w:color="auto" w:sz="4" w:space="0"/>
              <w:bottom w:val="single" w:color="auto" w:sz="4" w:space="0"/>
              <w:right w:val="single" w:color="auto" w:sz="4" w:space="0"/>
            </w:tcBorders>
            <w:noWrap w:val="0"/>
            <w:vAlign w:val="center"/>
          </w:tcPr>
          <w:p w14:paraId="1B5C9B21">
            <w:pPr>
              <w:spacing w:line="360" w:lineRule="auto"/>
              <w:jc w:val="left"/>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评分项目</w:t>
            </w:r>
          </w:p>
        </w:tc>
        <w:tc>
          <w:tcPr>
            <w:tcW w:w="7703" w:type="dxa"/>
            <w:gridSpan w:val="2"/>
            <w:tcBorders>
              <w:top w:val="single" w:color="auto" w:sz="4" w:space="0"/>
              <w:left w:val="single" w:color="auto" w:sz="4" w:space="0"/>
              <w:bottom w:val="single" w:color="auto" w:sz="4" w:space="0"/>
              <w:right w:val="single" w:color="auto" w:sz="4" w:space="0"/>
            </w:tcBorders>
            <w:noWrap w:val="0"/>
            <w:vAlign w:val="center"/>
          </w:tcPr>
          <w:p w14:paraId="23B79FFD">
            <w:pPr>
              <w:spacing w:line="360" w:lineRule="auto"/>
              <w:ind w:firstLine="480" w:firstLineChars="200"/>
              <w:jc w:val="left"/>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评标要点及说明</w:t>
            </w:r>
          </w:p>
        </w:tc>
        <w:tc>
          <w:tcPr>
            <w:tcW w:w="1003" w:type="dxa"/>
            <w:tcBorders>
              <w:top w:val="single" w:color="auto" w:sz="4" w:space="0"/>
              <w:left w:val="single" w:color="auto" w:sz="4" w:space="0"/>
              <w:bottom w:val="single" w:color="auto" w:sz="4" w:space="0"/>
              <w:right w:val="single" w:color="auto" w:sz="4" w:space="0"/>
            </w:tcBorders>
            <w:noWrap w:val="0"/>
            <w:vAlign w:val="center"/>
          </w:tcPr>
          <w:p w14:paraId="7E391C29">
            <w:pPr>
              <w:spacing w:line="360" w:lineRule="auto"/>
              <w:jc w:val="left"/>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分值</w:t>
            </w:r>
          </w:p>
        </w:tc>
      </w:tr>
      <w:tr w14:paraId="28E0A6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72" w:type="dxa"/>
            <w:vMerge w:val="restart"/>
            <w:tcBorders>
              <w:top w:val="single" w:color="auto" w:sz="4" w:space="0"/>
              <w:left w:val="single" w:color="auto" w:sz="4" w:space="0"/>
              <w:right w:val="single" w:color="auto" w:sz="4" w:space="0"/>
            </w:tcBorders>
            <w:noWrap w:val="0"/>
            <w:vAlign w:val="center"/>
          </w:tcPr>
          <w:p w14:paraId="05C7F09F">
            <w:pPr>
              <w:spacing w:line="360" w:lineRule="auto"/>
              <w:jc w:val="center"/>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技术</w:t>
            </w:r>
          </w:p>
        </w:tc>
        <w:tc>
          <w:tcPr>
            <w:tcW w:w="1831" w:type="dxa"/>
            <w:tcBorders>
              <w:top w:val="single" w:color="auto" w:sz="4" w:space="0"/>
              <w:left w:val="single" w:color="auto" w:sz="4" w:space="0"/>
              <w:right w:val="single" w:color="auto" w:sz="4" w:space="0"/>
            </w:tcBorders>
            <w:noWrap w:val="0"/>
            <w:vAlign w:val="center"/>
          </w:tcPr>
          <w:p w14:paraId="6BEF7F7C">
            <w:pPr>
              <w:spacing w:line="360" w:lineRule="auto"/>
              <w:jc w:val="center"/>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现状分析</w:t>
            </w:r>
          </w:p>
        </w:tc>
        <w:tc>
          <w:tcPr>
            <w:tcW w:w="5872" w:type="dxa"/>
            <w:tcBorders>
              <w:top w:val="single" w:color="auto" w:sz="4" w:space="0"/>
              <w:left w:val="single" w:color="auto" w:sz="4" w:space="0"/>
              <w:bottom w:val="single" w:color="auto" w:sz="4" w:space="0"/>
              <w:right w:val="single" w:color="auto" w:sz="4" w:space="0"/>
            </w:tcBorders>
            <w:noWrap w:val="0"/>
            <w:vAlign w:val="center"/>
          </w:tcPr>
          <w:p w14:paraId="2C843F38">
            <w:pPr>
              <w:keepNext w:val="0"/>
              <w:keepLines w:val="0"/>
              <w:pageBreakBefore w:val="0"/>
              <w:kinsoku/>
              <w:wordWrap/>
              <w:overflowPunct/>
              <w:topLinePunct w:val="0"/>
              <w:autoSpaceDE/>
              <w:autoSpaceDN/>
              <w:bidi w:val="0"/>
              <w:adjustRightInd/>
              <w:snapToGrid/>
              <w:spacing w:line="320" w:lineRule="exact"/>
              <w:ind w:firstLine="480" w:firstLineChars="200"/>
              <w:jc w:val="left"/>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评委根据投标人对本项目实施环境的了解熟悉程度是否清晰、完整进行打分</w:t>
            </w:r>
            <w:r>
              <w:rPr>
                <w:rFonts w:hint="eastAsia" w:ascii="宋体" w:hAnsi="宋体" w:cs="宋体"/>
                <w:b w:val="0"/>
                <w:bCs w:val="0"/>
                <w:color w:val="auto"/>
                <w:kern w:val="2"/>
                <w:sz w:val="24"/>
                <w:szCs w:val="24"/>
                <w:highlight w:val="none"/>
                <w:lang w:val="en-US" w:eastAsia="zh-CN" w:bidi="ar-SA"/>
              </w:rPr>
              <w:t>。</w:t>
            </w:r>
          </w:p>
        </w:tc>
        <w:tc>
          <w:tcPr>
            <w:tcW w:w="1003" w:type="dxa"/>
            <w:tcBorders>
              <w:top w:val="single" w:color="auto" w:sz="4" w:space="0"/>
              <w:left w:val="single" w:color="auto" w:sz="4" w:space="0"/>
              <w:right w:val="single" w:color="auto" w:sz="4" w:space="0"/>
            </w:tcBorders>
            <w:noWrap w:val="0"/>
            <w:vAlign w:val="center"/>
          </w:tcPr>
          <w:p w14:paraId="040B0C6A">
            <w:pPr>
              <w:spacing w:line="360" w:lineRule="auto"/>
              <w:jc w:val="center"/>
              <w:rPr>
                <w:rFonts w:hint="default"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5</w:t>
            </w:r>
          </w:p>
        </w:tc>
      </w:tr>
      <w:tr w14:paraId="2BB145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1272" w:type="dxa"/>
            <w:vMerge w:val="continue"/>
            <w:tcBorders>
              <w:left w:val="single" w:color="auto" w:sz="4" w:space="0"/>
              <w:right w:val="single" w:color="auto" w:sz="4" w:space="0"/>
            </w:tcBorders>
            <w:noWrap w:val="0"/>
            <w:vAlign w:val="center"/>
          </w:tcPr>
          <w:p w14:paraId="22503F51">
            <w:pPr>
              <w:spacing w:line="360" w:lineRule="auto"/>
              <w:ind w:firstLine="480" w:firstLineChars="200"/>
              <w:jc w:val="left"/>
              <w:rPr>
                <w:rFonts w:hint="eastAsia" w:ascii="宋体" w:hAnsi="宋体" w:eastAsia="宋体" w:cs="宋体"/>
                <w:b w:val="0"/>
                <w:bCs w:val="0"/>
                <w:color w:val="auto"/>
                <w:kern w:val="2"/>
                <w:sz w:val="24"/>
                <w:szCs w:val="24"/>
                <w:highlight w:val="none"/>
                <w:lang w:val="en-US" w:eastAsia="zh-CN" w:bidi="ar-SA"/>
              </w:rPr>
            </w:pPr>
          </w:p>
        </w:tc>
        <w:tc>
          <w:tcPr>
            <w:tcW w:w="1831" w:type="dxa"/>
            <w:vMerge w:val="restart"/>
            <w:tcBorders>
              <w:top w:val="single" w:color="auto" w:sz="4" w:space="0"/>
              <w:left w:val="single" w:color="auto" w:sz="4" w:space="0"/>
              <w:right w:val="single" w:color="auto" w:sz="4" w:space="0"/>
            </w:tcBorders>
            <w:noWrap w:val="0"/>
            <w:vAlign w:val="center"/>
          </w:tcPr>
          <w:p w14:paraId="3EA7DD74">
            <w:pPr>
              <w:spacing w:line="360" w:lineRule="auto"/>
              <w:jc w:val="center"/>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重点、难点及解决措施</w:t>
            </w:r>
          </w:p>
        </w:tc>
        <w:tc>
          <w:tcPr>
            <w:tcW w:w="5872" w:type="dxa"/>
            <w:tcBorders>
              <w:left w:val="single" w:color="auto" w:sz="4" w:space="0"/>
              <w:bottom w:val="single" w:color="auto" w:sz="4" w:space="0"/>
              <w:right w:val="single" w:color="auto" w:sz="4" w:space="0"/>
            </w:tcBorders>
            <w:noWrap w:val="0"/>
            <w:vAlign w:val="center"/>
          </w:tcPr>
          <w:p w14:paraId="7AFC95B9">
            <w:pPr>
              <w:keepNext w:val="0"/>
              <w:keepLines w:val="0"/>
              <w:pageBreakBefore w:val="0"/>
              <w:kinsoku/>
              <w:wordWrap/>
              <w:overflowPunct/>
              <w:topLinePunct w:val="0"/>
              <w:autoSpaceDE/>
              <w:autoSpaceDN/>
              <w:bidi w:val="0"/>
              <w:adjustRightInd/>
              <w:snapToGrid/>
              <w:spacing w:line="320" w:lineRule="exact"/>
              <w:ind w:firstLine="480" w:firstLineChars="200"/>
              <w:jc w:val="left"/>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评委根据投标人对本项目现状、存在的问题的重点、难点分析与理解是否全面，是否合理进行打分</w:t>
            </w:r>
            <w:r>
              <w:rPr>
                <w:rFonts w:hint="eastAsia" w:ascii="宋体" w:hAnsi="宋体" w:cs="宋体"/>
                <w:b w:val="0"/>
                <w:bCs w:val="0"/>
                <w:color w:val="auto"/>
                <w:kern w:val="2"/>
                <w:sz w:val="24"/>
                <w:szCs w:val="24"/>
                <w:highlight w:val="none"/>
                <w:lang w:val="en-US" w:eastAsia="zh-CN" w:bidi="ar-SA"/>
              </w:rPr>
              <w:t>。</w:t>
            </w:r>
          </w:p>
        </w:tc>
        <w:tc>
          <w:tcPr>
            <w:tcW w:w="1003" w:type="dxa"/>
            <w:tcBorders>
              <w:left w:val="single" w:color="auto" w:sz="4" w:space="0"/>
              <w:right w:val="single" w:color="auto" w:sz="4" w:space="0"/>
            </w:tcBorders>
            <w:noWrap w:val="0"/>
            <w:vAlign w:val="center"/>
          </w:tcPr>
          <w:p w14:paraId="2CC284DB">
            <w:pPr>
              <w:spacing w:line="360" w:lineRule="auto"/>
              <w:jc w:val="center"/>
              <w:rPr>
                <w:rFonts w:hint="default" w:ascii="宋体" w:hAnsi="宋体" w:eastAsia="宋体" w:cs="宋体"/>
                <w:b w:val="0"/>
                <w:bCs w:val="0"/>
                <w:color w:val="auto"/>
                <w:kern w:val="2"/>
                <w:sz w:val="24"/>
                <w:szCs w:val="24"/>
                <w:highlight w:val="none"/>
                <w:lang w:val="en-US" w:eastAsia="zh-CN" w:bidi="ar-SA"/>
              </w:rPr>
            </w:pPr>
            <w:r>
              <w:rPr>
                <w:rFonts w:hint="eastAsia" w:ascii="宋体" w:hAnsi="宋体" w:cs="宋体"/>
                <w:b w:val="0"/>
                <w:bCs w:val="0"/>
                <w:color w:val="auto"/>
                <w:kern w:val="2"/>
                <w:sz w:val="24"/>
                <w:szCs w:val="24"/>
                <w:highlight w:val="none"/>
                <w:lang w:val="en-US" w:eastAsia="zh-CN" w:bidi="ar-SA"/>
              </w:rPr>
              <w:t>5</w:t>
            </w:r>
          </w:p>
        </w:tc>
      </w:tr>
      <w:tr w14:paraId="607D2C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jc w:val="center"/>
        </w:trPr>
        <w:tc>
          <w:tcPr>
            <w:tcW w:w="1272" w:type="dxa"/>
            <w:vMerge w:val="continue"/>
            <w:tcBorders>
              <w:left w:val="single" w:color="auto" w:sz="4" w:space="0"/>
              <w:right w:val="single" w:color="auto" w:sz="4" w:space="0"/>
            </w:tcBorders>
            <w:noWrap w:val="0"/>
            <w:vAlign w:val="center"/>
          </w:tcPr>
          <w:p w14:paraId="0F23B804">
            <w:pPr>
              <w:spacing w:line="360" w:lineRule="auto"/>
              <w:ind w:firstLine="480" w:firstLineChars="200"/>
              <w:jc w:val="left"/>
              <w:rPr>
                <w:rFonts w:hint="eastAsia" w:ascii="宋体" w:hAnsi="宋体" w:eastAsia="宋体" w:cs="宋体"/>
                <w:b w:val="0"/>
                <w:bCs w:val="0"/>
                <w:color w:val="auto"/>
                <w:kern w:val="2"/>
                <w:sz w:val="24"/>
                <w:szCs w:val="24"/>
                <w:highlight w:val="none"/>
                <w:lang w:val="en-US" w:eastAsia="zh-CN" w:bidi="ar-SA"/>
              </w:rPr>
            </w:pPr>
          </w:p>
        </w:tc>
        <w:tc>
          <w:tcPr>
            <w:tcW w:w="1831" w:type="dxa"/>
            <w:vMerge w:val="continue"/>
            <w:tcBorders>
              <w:left w:val="single" w:color="auto" w:sz="4" w:space="0"/>
              <w:right w:val="single" w:color="auto" w:sz="4" w:space="0"/>
            </w:tcBorders>
            <w:noWrap w:val="0"/>
            <w:vAlign w:val="center"/>
          </w:tcPr>
          <w:p w14:paraId="07A9C069">
            <w:pPr>
              <w:spacing w:line="360" w:lineRule="auto"/>
              <w:ind w:firstLine="480" w:firstLineChars="200"/>
              <w:jc w:val="center"/>
              <w:rPr>
                <w:rFonts w:hint="eastAsia" w:ascii="宋体" w:hAnsi="宋体" w:eastAsia="宋体" w:cs="宋体"/>
                <w:b w:val="0"/>
                <w:bCs w:val="0"/>
                <w:color w:val="auto"/>
                <w:kern w:val="2"/>
                <w:sz w:val="24"/>
                <w:szCs w:val="24"/>
                <w:highlight w:val="none"/>
                <w:lang w:val="en-US" w:eastAsia="zh-CN" w:bidi="ar-SA"/>
              </w:rPr>
            </w:pPr>
          </w:p>
        </w:tc>
        <w:tc>
          <w:tcPr>
            <w:tcW w:w="5872" w:type="dxa"/>
            <w:tcBorders>
              <w:left w:val="single" w:color="auto" w:sz="4" w:space="0"/>
              <w:bottom w:val="single" w:color="auto" w:sz="4" w:space="0"/>
              <w:right w:val="single" w:color="auto" w:sz="4" w:space="0"/>
            </w:tcBorders>
            <w:noWrap w:val="0"/>
            <w:vAlign w:val="center"/>
          </w:tcPr>
          <w:p w14:paraId="55374E57">
            <w:pPr>
              <w:keepNext w:val="0"/>
              <w:keepLines w:val="0"/>
              <w:pageBreakBefore w:val="0"/>
              <w:kinsoku/>
              <w:wordWrap/>
              <w:overflowPunct/>
              <w:topLinePunct w:val="0"/>
              <w:autoSpaceDE/>
              <w:autoSpaceDN/>
              <w:bidi w:val="0"/>
              <w:adjustRightInd/>
              <w:snapToGrid/>
              <w:spacing w:line="320" w:lineRule="exact"/>
              <w:ind w:firstLine="480" w:firstLineChars="200"/>
              <w:jc w:val="left"/>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评委根据投标人对本项目重点、难点解决措施考虑是否全面及可操作性是否科学合理进行打分</w:t>
            </w:r>
            <w:r>
              <w:rPr>
                <w:rFonts w:hint="eastAsia" w:ascii="宋体" w:hAnsi="宋体" w:cs="宋体"/>
                <w:b w:val="0"/>
                <w:bCs w:val="0"/>
                <w:color w:val="auto"/>
                <w:kern w:val="2"/>
                <w:sz w:val="24"/>
                <w:szCs w:val="24"/>
                <w:highlight w:val="none"/>
                <w:lang w:val="en-US" w:eastAsia="zh-CN" w:bidi="ar-SA"/>
              </w:rPr>
              <w:t>。</w:t>
            </w:r>
          </w:p>
        </w:tc>
        <w:tc>
          <w:tcPr>
            <w:tcW w:w="1003" w:type="dxa"/>
            <w:tcBorders>
              <w:left w:val="single" w:color="auto" w:sz="4" w:space="0"/>
              <w:right w:val="single" w:color="auto" w:sz="4" w:space="0"/>
            </w:tcBorders>
            <w:noWrap w:val="0"/>
            <w:vAlign w:val="center"/>
          </w:tcPr>
          <w:p w14:paraId="6F768802">
            <w:pPr>
              <w:spacing w:line="360" w:lineRule="auto"/>
              <w:jc w:val="center"/>
              <w:rPr>
                <w:rFonts w:hint="default" w:ascii="宋体" w:hAnsi="宋体" w:eastAsia="宋体" w:cs="宋体"/>
                <w:b w:val="0"/>
                <w:bCs w:val="0"/>
                <w:color w:val="auto"/>
                <w:kern w:val="2"/>
                <w:sz w:val="24"/>
                <w:szCs w:val="24"/>
                <w:highlight w:val="none"/>
                <w:lang w:val="en-US" w:eastAsia="zh-CN" w:bidi="ar-SA"/>
              </w:rPr>
            </w:pPr>
            <w:r>
              <w:rPr>
                <w:rFonts w:hint="eastAsia" w:ascii="宋体" w:hAnsi="宋体" w:cs="宋体"/>
                <w:b w:val="0"/>
                <w:bCs w:val="0"/>
                <w:color w:val="auto"/>
                <w:kern w:val="2"/>
                <w:sz w:val="24"/>
                <w:szCs w:val="24"/>
                <w:highlight w:val="none"/>
                <w:lang w:val="en-US" w:eastAsia="zh-CN" w:bidi="ar-SA"/>
              </w:rPr>
              <w:t>5</w:t>
            </w:r>
          </w:p>
        </w:tc>
      </w:tr>
      <w:tr w14:paraId="7AAF05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jc w:val="center"/>
        </w:trPr>
        <w:tc>
          <w:tcPr>
            <w:tcW w:w="1272" w:type="dxa"/>
            <w:vMerge w:val="continue"/>
            <w:tcBorders>
              <w:left w:val="single" w:color="auto" w:sz="4" w:space="0"/>
              <w:right w:val="single" w:color="auto" w:sz="4" w:space="0"/>
            </w:tcBorders>
            <w:noWrap w:val="0"/>
            <w:vAlign w:val="center"/>
          </w:tcPr>
          <w:p w14:paraId="71526DA4">
            <w:pPr>
              <w:spacing w:line="360" w:lineRule="auto"/>
              <w:ind w:firstLine="480" w:firstLineChars="200"/>
              <w:jc w:val="left"/>
              <w:rPr>
                <w:rFonts w:hint="eastAsia" w:ascii="宋体" w:hAnsi="宋体" w:eastAsia="宋体" w:cs="宋体"/>
                <w:b w:val="0"/>
                <w:bCs w:val="0"/>
                <w:color w:val="auto"/>
                <w:kern w:val="2"/>
                <w:sz w:val="24"/>
                <w:szCs w:val="24"/>
                <w:highlight w:val="none"/>
                <w:lang w:val="en-US" w:eastAsia="zh-CN" w:bidi="ar-SA"/>
              </w:rPr>
            </w:pPr>
          </w:p>
        </w:tc>
        <w:tc>
          <w:tcPr>
            <w:tcW w:w="1831" w:type="dxa"/>
            <w:vMerge w:val="restart"/>
            <w:tcBorders>
              <w:top w:val="single" w:color="auto" w:sz="4" w:space="0"/>
              <w:left w:val="single" w:color="auto" w:sz="4" w:space="0"/>
              <w:right w:val="single" w:color="auto" w:sz="4" w:space="0"/>
            </w:tcBorders>
            <w:noWrap w:val="0"/>
            <w:vAlign w:val="center"/>
          </w:tcPr>
          <w:p w14:paraId="737CE20D">
            <w:pPr>
              <w:spacing w:line="360" w:lineRule="auto"/>
              <w:jc w:val="center"/>
              <w:rPr>
                <w:rFonts w:hint="eastAsia" w:ascii="宋体" w:hAnsi="宋体" w:eastAsia="宋体" w:cs="宋体"/>
                <w:b w:val="0"/>
                <w:bCs w:val="0"/>
                <w:color w:val="auto"/>
                <w:kern w:val="2"/>
                <w:sz w:val="24"/>
                <w:szCs w:val="24"/>
                <w:highlight w:val="none"/>
                <w:lang w:val="en-US" w:eastAsia="zh-CN" w:bidi="ar-SA"/>
              </w:rPr>
            </w:pPr>
            <w:r>
              <w:rPr>
                <w:rFonts w:hint="eastAsia" w:ascii="宋体" w:hAnsi="宋体" w:cs="宋体"/>
                <w:b w:val="0"/>
                <w:bCs w:val="0"/>
                <w:color w:val="auto"/>
                <w:kern w:val="2"/>
                <w:sz w:val="24"/>
                <w:szCs w:val="24"/>
                <w:highlight w:val="none"/>
                <w:lang w:val="en-US" w:eastAsia="zh-CN" w:bidi="ar-SA"/>
              </w:rPr>
              <w:t>项目技术方案</w:t>
            </w:r>
          </w:p>
        </w:tc>
        <w:tc>
          <w:tcPr>
            <w:tcW w:w="5872" w:type="dxa"/>
            <w:tcBorders>
              <w:left w:val="single" w:color="auto" w:sz="4" w:space="0"/>
              <w:bottom w:val="single" w:color="auto" w:sz="4" w:space="0"/>
              <w:right w:val="single" w:color="auto" w:sz="4" w:space="0"/>
            </w:tcBorders>
            <w:noWrap w:val="0"/>
            <w:vAlign w:val="center"/>
          </w:tcPr>
          <w:p w14:paraId="0E26CE28">
            <w:pPr>
              <w:keepNext w:val="0"/>
              <w:keepLines w:val="0"/>
              <w:pageBreakBefore w:val="0"/>
              <w:kinsoku/>
              <w:wordWrap/>
              <w:overflowPunct/>
              <w:topLinePunct w:val="0"/>
              <w:autoSpaceDE/>
              <w:autoSpaceDN/>
              <w:bidi w:val="0"/>
              <w:adjustRightInd/>
              <w:snapToGrid/>
              <w:spacing w:line="320" w:lineRule="exact"/>
              <w:ind w:firstLine="480" w:firstLineChars="200"/>
              <w:jc w:val="left"/>
              <w:textAlignment w:val="auto"/>
              <w:rPr>
                <w:rFonts w:hint="eastAsia" w:ascii="宋体" w:hAnsi="宋体" w:eastAsia="宋体" w:cs="宋体"/>
                <w:b w:val="0"/>
                <w:bCs w:val="0"/>
                <w:color w:val="auto"/>
                <w:kern w:val="2"/>
                <w:sz w:val="24"/>
                <w:szCs w:val="24"/>
                <w:highlight w:val="none"/>
                <w:lang w:val="en-US" w:eastAsia="zh-CN" w:bidi="ar-SA"/>
              </w:rPr>
            </w:pPr>
            <w:r>
              <w:rPr>
                <w:rFonts w:hint="eastAsia"/>
                <w:color w:val="auto"/>
                <w:sz w:val="24"/>
                <w:szCs w:val="24"/>
                <w:lang w:val="zh-CN"/>
              </w:rPr>
              <w:t>评委根据投标人</w:t>
            </w:r>
            <w:r>
              <w:rPr>
                <w:rFonts w:hint="eastAsia"/>
                <w:color w:val="auto"/>
                <w:sz w:val="24"/>
                <w:szCs w:val="24"/>
              </w:rPr>
              <w:t>对本项目情况制定的服务方案</w:t>
            </w:r>
            <w:r>
              <w:rPr>
                <w:rFonts w:hint="eastAsia"/>
                <w:color w:val="auto"/>
                <w:sz w:val="24"/>
                <w:szCs w:val="24"/>
                <w:lang w:val="zh-CN"/>
              </w:rPr>
              <w:t>是否具有</w:t>
            </w:r>
            <w:r>
              <w:rPr>
                <w:color w:val="auto"/>
                <w:sz w:val="24"/>
                <w:szCs w:val="24"/>
                <w:lang w:val="zh-CN"/>
              </w:rPr>
              <w:t>科学性</w:t>
            </w:r>
            <w:r>
              <w:rPr>
                <w:rFonts w:hint="eastAsia"/>
                <w:color w:val="auto"/>
                <w:sz w:val="24"/>
                <w:szCs w:val="24"/>
                <w:lang w:val="zh-CN"/>
              </w:rPr>
              <w:t>、</w:t>
            </w:r>
            <w:r>
              <w:rPr>
                <w:color w:val="auto"/>
                <w:sz w:val="24"/>
                <w:szCs w:val="24"/>
                <w:lang w:val="zh-CN"/>
              </w:rPr>
              <w:t>可靠性</w:t>
            </w:r>
            <w:r>
              <w:rPr>
                <w:rFonts w:hint="eastAsia"/>
                <w:color w:val="auto"/>
                <w:sz w:val="24"/>
                <w:szCs w:val="24"/>
                <w:lang w:val="zh-CN"/>
              </w:rPr>
              <w:t>、</w:t>
            </w:r>
            <w:r>
              <w:rPr>
                <w:color w:val="auto"/>
                <w:sz w:val="24"/>
                <w:szCs w:val="24"/>
                <w:lang w:val="zh-CN"/>
              </w:rPr>
              <w:t>可行性</w:t>
            </w:r>
            <w:r>
              <w:rPr>
                <w:rFonts w:hint="eastAsia"/>
                <w:color w:val="auto"/>
                <w:sz w:val="24"/>
                <w:szCs w:val="24"/>
                <w:lang w:val="zh-CN"/>
              </w:rPr>
              <w:t>、</w:t>
            </w:r>
            <w:r>
              <w:rPr>
                <w:color w:val="auto"/>
                <w:sz w:val="24"/>
                <w:szCs w:val="24"/>
                <w:lang w:val="zh-CN"/>
              </w:rPr>
              <w:t>合理性等</w:t>
            </w:r>
            <w:r>
              <w:rPr>
                <w:rFonts w:hint="eastAsia"/>
                <w:color w:val="auto"/>
                <w:sz w:val="24"/>
                <w:szCs w:val="24"/>
                <w:lang w:val="zh-CN"/>
              </w:rPr>
              <w:t>四个方面，</w:t>
            </w:r>
            <w:r>
              <w:rPr>
                <w:color w:val="auto"/>
                <w:sz w:val="24"/>
                <w:szCs w:val="24"/>
              </w:rPr>
              <w:t>进行打分。</w:t>
            </w:r>
          </w:p>
        </w:tc>
        <w:tc>
          <w:tcPr>
            <w:tcW w:w="1003" w:type="dxa"/>
            <w:tcBorders>
              <w:left w:val="single" w:color="auto" w:sz="4" w:space="0"/>
              <w:right w:val="single" w:color="auto" w:sz="4" w:space="0"/>
            </w:tcBorders>
            <w:noWrap w:val="0"/>
            <w:vAlign w:val="center"/>
          </w:tcPr>
          <w:p w14:paraId="0839CBDE">
            <w:pPr>
              <w:spacing w:line="360" w:lineRule="auto"/>
              <w:jc w:val="center"/>
              <w:rPr>
                <w:rFonts w:hint="default" w:ascii="宋体" w:hAnsi="宋体" w:cs="宋体"/>
                <w:b w:val="0"/>
                <w:bCs w:val="0"/>
                <w:color w:val="auto"/>
                <w:kern w:val="2"/>
                <w:sz w:val="24"/>
                <w:szCs w:val="24"/>
                <w:highlight w:val="none"/>
                <w:lang w:val="en-US" w:eastAsia="zh-CN" w:bidi="ar-SA"/>
              </w:rPr>
            </w:pPr>
            <w:r>
              <w:rPr>
                <w:rFonts w:hint="eastAsia" w:ascii="宋体" w:hAnsi="宋体" w:cs="宋体"/>
                <w:b w:val="0"/>
                <w:bCs w:val="0"/>
                <w:color w:val="auto"/>
                <w:kern w:val="2"/>
                <w:sz w:val="24"/>
                <w:szCs w:val="24"/>
                <w:highlight w:val="none"/>
                <w:lang w:val="en-US" w:eastAsia="zh-CN" w:bidi="ar-SA"/>
              </w:rPr>
              <w:t>5</w:t>
            </w:r>
          </w:p>
        </w:tc>
      </w:tr>
      <w:tr w14:paraId="4A90A9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atLeast"/>
          <w:jc w:val="center"/>
        </w:trPr>
        <w:tc>
          <w:tcPr>
            <w:tcW w:w="1272" w:type="dxa"/>
            <w:vMerge w:val="continue"/>
            <w:tcBorders>
              <w:left w:val="single" w:color="auto" w:sz="4" w:space="0"/>
              <w:right w:val="single" w:color="auto" w:sz="4" w:space="0"/>
            </w:tcBorders>
            <w:noWrap w:val="0"/>
            <w:vAlign w:val="center"/>
          </w:tcPr>
          <w:p w14:paraId="031B23B9">
            <w:pPr>
              <w:spacing w:line="360" w:lineRule="auto"/>
              <w:ind w:firstLine="480" w:firstLineChars="200"/>
              <w:jc w:val="left"/>
              <w:rPr>
                <w:rFonts w:hint="eastAsia" w:ascii="宋体" w:hAnsi="宋体" w:eastAsia="宋体" w:cs="宋体"/>
                <w:b w:val="0"/>
                <w:bCs w:val="0"/>
                <w:color w:val="auto"/>
                <w:kern w:val="2"/>
                <w:sz w:val="24"/>
                <w:szCs w:val="24"/>
                <w:highlight w:val="none"/>
                <w:lang w:val="en-US" w:eastAsia="zh-CN" w:bidi="ar-SA"/>
              </w:rPr>
            </w:pPr>
          </w:p>
        </w:tc>
        <w:tc>
          <w:tcPr>
            <w:tcW w:w="1831" w:type="dxa"/>
            <w:vMerge w:val="continue"/>
            <w:tcBorders>
              <w:left w:val="single" w:color="auto" w:sz="4" w:space="0"/>
              <w:right w:val="single" w:color="auto" w:sz="4" w:space="0"/>
            </w:tcBorders>
            <w:noWrap w:val="0"/>
            <w:vAlign w:val="center"/>
          </w:tcPr>
          <w:p w14:paraId="100AAA45">
            <w:pPr>
              <w:spacing w:line="360" w:lineRule="auto"/>
              <w:jc w:val="center"/>
              <w:rPr>
                <w:rFonts w:hint="eastAsia" w:ascii="宋体" w:hAnsi="宋体" w:eastAsia="宋体" w:cs="宋体"/>
                <w:b w:val="0"/>
                <w:bCs w:val="0"/>
                <w:color w:val="auto"/>
                <w:kern w:val="2"/>
                <w:sz w:val="24"/>
                <w:szCs w:val="24"/>
                <w:highlight w:val="none"/>
                <w:lang w:val="en-US" w:eastAsia="zh-CN" w:bidi="ar-SA"/>
              </w:rPr>
            </w:pPr>
          </w:p>
        </w:tc>
        <w:tc>
          <w:tcPr>
            <w:tcW w:w="5872" w:type="dxa"/>
            <w:tcBorders>
              <w:left w:val="single" w:color="auto" w:sz="4" w:space="0"/>
              <w:bottom w:val="single" w:color="auto" w:sz="4" w:space="0"/>
              <w:right w:val="single" w:color="auto" w:sz="4" w:space="0"/>
            </w:tcBorders>
            <w:noWrap w:val="0"/>
            <w:vAlign w:val="center"/>
          </w:tcPr>
          <w:p w14:paraId="67B741D2">
            <w:pPr>
              <w:keepNext w:val="0"/>
              <w:keepLines w:val="0"/>
              <w:pageBreakBefore w:val="0"/>
              <w:kinsoku/>
              <w:wordWrap/>
              <w:overflowPunct/>
              <w:topLinePunct w:val="0"/>
              <w:autoSpaceDE/>
              <w:autoSpaceDN/>
              <w:bidi w:val="0"/>
              <w:adjustRightInd/>
              <w:snapToGrid/>
              <w:spacing w:line="320" w:lineRule="exact"/>
              <w:ind w:firstLine="480" w:firstLineChars="200"/>
              <w:jc w:val="left"/>
              <w:textAlignment w:val="auto"/>
              <w:rPr>
                <w:rFonts w:hint="eastAsia" w:ascii="宋体" w:hAnsi="宋体" w:eastAsia="宋体" w:cs="宋体"/>
                <w:b w:val="0"/>
                <w:bCs w:val="0"/>
                <w:color w:val="auto"/>
                <w:kern w:val="2"/>
                <w:sz w:val="24"/>
                <w:szCs w:val="24"/>
                <w:highlight w:val="none"/>
                <w:lang w:val="en-US" w:eastAsia="zh-CN" w:bidi="ar-SA"/>
              </w:rPr>
            </w:pPr>
            <w:r>
              <w:rPr>
                <w:rFonts w:hint="eastAsia"/>
                <w:color w:val="auto"/>
                <w:sz w:val="24"/>
                <w:szCs w:val="24"/>
              </w:rPr>
              <w:t>评委根据</w:t>
            </w:r>
            <w:r>
              <w:rPr>
                <w:rFonts w:hint="eastAsia"/>
                <w:color w:val="auto"/>
                <w:sz w:val="24"/>
                <w:szCs w:val="24"/>
                <w:lang w:val="zh-CN"/>
              </w:rPr>
              <w:t>投标人</w:t>
            </w:r>
            <w:r>
              <w:rPr>
                <w:color w:val="auto"/>
                <w:sz w:val="24"/>
                <w:szCs w:val="24"/>
              </w:rPr>
              <w:t>对本项目实施的思路、原则、特点的理解情况，排查能力满足</w:t>
            </w:r>
            <w:r>
              <w:rPr>
                <w:rFonts w:hint="eastAsia"/>
                <w:color w:val="auto"/>
                <w:sz w:val="24"/>
                <w:szCs w:val="24"/>
              </w:rPr>
              <w:t>磋商</w:t>
            </w:r>
            <w:r>
              <w:rPr>
                <w:color w:val="auto"/>
                <w:sz w:val="24"/>
                <w:szCs w:val="24"/>
              </w:rPr>
              <w:t>文件要求</w:t>
            </w:r>
            <w:r>
              <w:rPr>
                <w:rFonts w:hint="eastAsia"/>
                <w:color w:val="auto"/>
                <w:sz w:val="24"/>
                <w:szCs w:val="24"/>
              </w:rPr>
              <w:t>的情况，</w:t>
            </w:r>
            <w:r>
              <w:rPr>
                <w:color w:val="auto"/>
                <w:sz w:val="24"/>
                <w:szCs w:val="24"/>
              </w:rPr>
              <w:t>进行打分。</w:t>
            </w:r>
          </w:p>
        </w:tc>
        <w:tc>
          <w:tcPr>
            <w:tcW w:w="1003" w:type="dxa"/>
            <w:tcBorders>
              <w:left w:val="single" w:color="auto" w:sz="4" w:space="0"/>
              <w:right w:val="single" w:color="auto" w:sz="4" w:space="0"/>
            </w:tcBorders>
            <w:noWrap w:val="0"/>
            <w:vAlign w:val="center"/>
          </w:tcPr>
          <w:p w14:paraId="1CD7246D">
            <w:pPr>
              <w:spacing w:line="360" w:lineRule="auto"/>
              <w:jc w:val="center"/>
              <w:rPr>
                <w:rFonts w:hint="default" w:ascii="宋体" w:hAnsi="宋体" w:cs="宋体"/>
                <w:b w:val="0"/>
                <w:bCs w:val="0"/>
                <w:color w:val="auto"/>
                <w:kern w:val="2"/>
                <w:sz w:val="24"/>
                <w:szCs w:val="24"/>
                <w:highlight w:val="none"/>
                <w:lang w:val="en-US" w:eastAsia="zh-CN" w:bidi="ar-SA"/>
              </w:rPr>
            </w:pPr>
            <w:r>
              <w:rPr>
                <w:rFonts w:hint="eastAsia" w:ascii="宋体" w:hAnsi="宋体" w:cs="宋体"/>
                <w:b w:val="0"/>
                <w:bCs w:val="0"/>
                <w:color w:val="auto"/>
                <w:kern w:val="2"/>
                <w:sz w:val="24"/>
                <w:szCs w:val="24"/>
                <w:highlight w:val="none"/>
                <w:lang w:val="en-US" w:eastAsia="zh-CN" w:bidi="ar-SA"/>
              </w:rPr>
              <w:t>5</w:t>
            </w:r>
          </w:p>
        </w:tc>
      </w:tr>
      <w:tr w14:paraId="4AA06F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atLeast"/>
          <w:jc w:val="center"/>
        </w:trPr>
        <w:tc>
          <w:tcPr>
            <w:tcW w:w="1272" w:type="dxa"/>
            <w:vMerge w:val="continue"/>
            <w:tcBorders>
              <w:left w:val="single" w:color="auto" w:sz="4" w:space="0"/>
              <w:right w:val="single" w:color="auto" w:sz="4" w:space="0"/>
            </w:tcBorders>
            <w:noWrap w:val="0"/>
            <w:vAlign w:val="center"/>
          </w:tcPr>
          <w:p w14:paraId="2B709635">
            <w:pPr>
              <w:spacing w:line="360" w:lineRule="auto"/>
              <w:ind w:firstLine="480" w:firstLineChars="200"/>
              <w:jc w:val="left"/>
              <w:rPr>
                <w:rFonts w:hint="eastAsia" w:ascii="宋体" w:hAnsi="宋体" w:eastAsia="宋体" w:cs="宋体"/>
                <w:b w:val="0"/>
                <w:bCs w:val="0"/>
                <w:color w:val="auto"/>
                <w:kern w:val="2"/>
                <w:sz w:val="24"/>
                <w:szCs w:val="24"/>
                <w:highlight w:val="none"/>
                <w:lang w:val="en-US" w:eastAsia="zh-CN" w:bidi="ar-SA"/>
              </w:rPr>
            </w:pPr>
          </w:p>
        </w:tc>
        <w:tc>
          <w:tcPr>
            <w:tcW w:w="1831" w:type="dxa"/>
            <w:tcBorders>
              <w:top w:val="single" w:color="auto" w:sz="4" w:space="0"/>
              <w:left w:val="single" w:color="auto" w:sz="4" w:space="0"/>
              <w:right w:val="single" w:color="auto" w:sz="4" w:space="0"/>
            </w:tcBorders>
            <w:noWrap w:val="0"/>
            <w:vAlign w:val="center"/>
          </w:tcPr>
          <w:p w14:paraId="2049F93E">
            <w:pPr>
              <w:spacing w:line="360" w:lineRule="auto"/>
              <w:jc w:val="center"/>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进度安排</w:t>
            </w:r>
          </w:p>
        </w:tc>
        <w:tc>
          <w:tcPr>
            <w:tcW w:w="5872" w:type="dxa"/>
            <w:tcBorders>
              <w:left w:val="single" w:color="auto" w:sz="4" w:space="0"/>
              <w:bottom w:val="single" w:color="auto" w:sz="4" w:space="0"/>
              <w:right w:val="single" w:color="auto" w:sz="4" w:space="0"/>
            </w:tcBorders>
            <w:noWrap w:val="0"/>
            <w:vAlign w:val="center"/>
          </w:tcPr>
          <w:p w14:paraId="6556C9F6">
            <w:pPr>
              <w:keepNext w:val="0"/>
              <w:keepLines w:val="0"/>
              <w:pageBreakBefore w:val="0"/>
              <w:kinsoku/>
              <w:wordWrap/>
              <w:overflowPunct/>
              <w:topLinePunct w:val="0"/>
              <w:autoSpaceDE/>
              <w:autoSpaceDN/>
              <w:bidi w:val="0"/>
              <w:adjustRightInd/>
              <w:snapToGrid/>
              <w:spacing w:line="320" w:lineRule="exact"/>
              <w:ind w:firstLine="480" w:firstLineChars="200"/>
              <w:jc w:val="left"/>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评委根据投标人对本项目的进度安排计划，项目整体工作阶段及任务划分、进度控制合理、</w:t>
            </w:r>
            <w:r>
              <w:rPr>
                <w:rFonts w:hint="eastAsia" w:ascii="宋体" w:hAnsi="宋体" w:cs="宋体"/>
                <w:b w:val="0"/>
                <w:bCs w:val="0"/>
                <w:color w:val="auto"/>
                <w:kern w:val="2"/>
                <w:sz w:val="24"/>
                <w:szCs w:val="24"/>
                <w:highlight w:val="none"/>
                <w:lang w:val="en-US" w:eastAsia="zh-CN" w:bidi="ar-SA"/>
              </w:rPr>
              <w:t>关键</w:t>
            </w:r>
            <w:r>
              <w:rPr>
                <w:rFonts w:hint="eastAsia" w:ascii="宋体" w:hAnsi="宋体" w:eastAsia="宋体" w:cs="宋体"/>
                <w:b w:val="0"/>
                <w:bCs w:val="0"/>
                <w:color w:val="auto"/>
                <w:kern w:val="2"/>
                <w:sz w:val="24"/>
                <w:szCs w:val="24"/>
                <w:highlight w:val="none"/>
                <w:lang w:val="en-US" w:eastAsia="zh-CN" w:bidi="ar-SA"/>
              </w:rPr>
              <w:t>时间节点把握的科学准确性进行打分</w:t>
            </w:r>
            <w:r>
              <w:rPr>
                <w:rFonts w:hint="eastAsia" w:ascii="宋体" w:hAnsi="宋体" w:cs="宋体"/>
                <w:b w:val="0"/>
                <w:bCs w:val="0"/>
                <w:color w:val="auto"/>
                <w:kern w:val="2"/>
                <w:sz w:val="24"/>
                <w:szCs w:val="24"/>
                <w:highlight w:val="none"/>
                <w:lang w:val="en-US" w:eastAsia="zh-CN" w:bidi="ar-SA"/>
              </w:rPr>
              <w:t>。</w:t>
            </w:r>
          </w:p>
        </w:tc>
        <w:tc>
          <w:tcPr>
            <w:tcW w:w="1003" w:type="dxa"/>
            <w:tcBorders>
              <w:left w:val="single" w:color="auto" w:sz="4" w:space="0"/>
              <w:right w:val="single" w:color="auto" w:sz="4" w:space="0"/>
            </w:tcBorders>
            <w:noWrap w:val="0"/>
            <w:vAlign w:val="center"/>
          </w:tcPr>
          <w:p w14:paraId="636F46FC">
            <w:pPr>
              <w:spacing w:line="360" w:lineRule="auto"/>
              <w:jc w:val="center"/>
              <w:rPr>
                <w:rFonts w:hint="default" w:ascii="宋体" w:hAnsi="宋体" w:eastAsia="宋体" w:cs="宋体"/>
                <w:b w:val="0"/>
                <w:bCs w:val="0"/>
                <w:color w:val="auto"/>
                <w:kern w:val="2"/>
                <w:sz w:val="24"/>
                <w:szCs w:val="24"/>
                <w:highlight w:val="none"/>
                <w:lang w:val="en-US" w:eastAsia="zh-CN" w:bidi="ar-SA"/>
              </w:rPr>
            </w:pPr>
            <w:r>
              <w:rPr>
                <w:rFonts w:hint="eastAsia" w:ascii="宋体" w:hAnsi="宋体" w:cs="宋体"/>
                <w:b w:val="0"/>
                <w:bCs w:val="0"/>
                <w:color w:val="auto"/>
                <w:kern w:val="2"/>
                <w:sz w:val="24"/>
                <w:szCs w:val="24"/>
                <w:highlight w:val="none"/>
                <w:lang w:val="en-US" w:eastAsia="zh-CN" w:bidi="ar-SA"/>
              </w:rPr>
              <w:t>5</w:t>
            </w:r>
          </w:p>
        </w:tc>
      </w:tr>
      <w:tr w14:paraId="3435FF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1272" w:type="dxa"/>
            <w:vMerge w:val="continue"/>
            <w:tcBorders>
              <w:left w:val="single" w:color="auto" w:sz="4" w:space="0"/>
              <w:right w:val="single" w:color="auto" w:sz="4" w:space="0"/>
            </w:tcBorders>
            <w:noWrap w:val="0"/>
            <w:vAlign w:val="center"/>
          </w:tcPr>
          <w:p w14:paraId="1825E71D">
            <w:pPr>
              <w:spacing w:line="360" w:lineRule="auto"/>
              <w:ind w:firstLine="480" w:firstLineChars="200"/>
              <w:jc w:val="left"/>
              <w:rPr>
                <w:rFonts w:hint="eastAsia" w:ascii="宋体" w:hAnsi="宋体" w:eastAsia="宋体" w:cs="宋体"/>
                <w:b w:val="0"/>
                <w:bCs w:val="0"/>
                <w:color w:val="auto"/>
                <w:kern w:val="2"/>
                <w:sz w:val="24"/>
                <w:szCs w:val="24"/>
                <w:highlight w:val="none"/>
                <w:lang w:val="en-US" w:eastAsia="zh-CN" w:bidi="ar-SA"/>
              </w:rPr>
            </w:pPr>
          </w:p>
        </w:tc>
        <w:tc>
          <w:tcPr>
            <w:tcW w:w="1831" w:type="dxa"/>
            <w:tcBorders>
              <w:top w:val="single" w:color="auto" w:sz="4" w:space="0"/>
              <w:left w:val="single" w:color="auto" w:sz="4" w:space="0"/>
              <w:right w:val="single" w:color="auto" w:sz="4" w:space="0"/>
            </w:tcBorders>
            <w:noWrap w:val="0"/>
            <w:vAlign w:val="center"/>
          </w:tcPr>
          <w:p w14:paraId="15EFFFAA">
            <w:pPr>
              <w:spacing w:line="360" w:lineRule="auto"/>
              <w:jc w:val="center"/>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质量保证</w:t>
            </w:r>
          </w:p>
        </w:tc>
        <w:tc>
          <w:tcPr>
            <w:tcW w:w="5872" w:type="dxa"/>
            <w:tcBorders>
              <w:left w:val="single" w:color="auto" w:sz="4" w:space="0"/>
              <w:bottom w:val="single" w:color="auto" w:sz="4" w:space="0"/>
              <w:right w:val="single" w:color="auto" w:sz="4" w:space="0"/>
            </w:tcBorders>
            <w:noWrap w:val="0"/>
            <w:vAlign w:val="center"/>
          </w:tcPr>
          <w:p w14:paraId="3396A945">
            <w:pPr>
              <w:keepNext w:val="0"/>
              <w:keepLines w:val="0"/>
              <w:pageBreakBefore w:val="0"/>
              <w:kinsoku/>
              <w:wordWrap/>
              <w:overflowPunct/>
              <w:topLinePunct w:val="0"/>
              <w:autoSpaceDE/>
              <w:autoSpaceDN/>
              <w:bidi w:val="0"/>
              <w:adjustRightInd/>
              <w:snapToGrid/>
              <w:spacing w:line="320" w:lineRule="exact"/>
              <w:ind w:firstLine="480" w:firstLineChars="200"/>
              <w:jc w:val="left"/>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评委根据投标人对本项目服务质量保证措施，安全、文明作业保证措施方案是否科学、合理进行打分</w:t>
            </w:r>
            <w:r>
              <w:rPr>
                <w:rFonts w:hint="eastAsia" w:ascii="宋体" w:hAnsi="宋体" w:cs="宋体"/>
                <w:b w:val="0"/>
                <w:bCs w:val="0"/>
                <w:color w:val="auto"/>
                <w:kern w:val="2"/>
                <w:sz w:val="24"/>
                <w:szCs w:val="24"/>
                <w:highlight w:val="none"/>
                <w:lang w:val="en-US" w:eastAsia="zh-CN" w:bidi="ar-SA"/>
              </w:rPr>
              <w:t>。</w:t>
            </w:r>
          </w:p>
        </w:tc>
        <w:tc>
          <w:tcPr>
            <w:tcW w:w="1003" w:type="dxa"/>
            <w:tcBorders>
              <w:left w:val="single" w:color="auto" w:sz="4" w:space="0"/>
              <w:right w:val="single" w:color="auto" w:sz="4" w:space="0"/>
            </w:tcBorders>
            <w:noWrap w:val="0"/>
            <w:vAlign w:val="center"/>
          </w:tcPr>
          <w:p w14:paraId="03BC7B3B">
            <w:pPr>
              <w:spacing w:line="360" w:lineRule="auto"/>
              <w:jc w:val="center"/>
              <w:rPr>
                <w:rFonts w:hint="default" w:ascii="宋体" w:hAnsi="宋体" w:eastAsia="宋体" w:cs="宋体"/>
                <w:b w:val="0"/>
                <w:bCs w:val="0"/>
                <w:color w:val="auto"/>
                <w:kern w:val="2"/>
                <w:sz w:val="24"/>
                <w:szCs w:val="24"/>
                <w:highlight w:val="none"/>
                <w:lang w:val="en-US" w:eastAsia="zh-CN" w:bidi="ar-SA"/>
              </w:rPr>
            </w:pPr>
            <w:r>
              <w:rPr>
                <w:rFonts w:hint="eastAsia" w:ascii="宋体" w:hAnsi="宋体" w:cs="宋体"/>
                <w:b w:val="0"/>
                <w:bCs w:val="0"/>
                <w:color w:val="auto"/>
                <w:kern w:val="2"/>
                <w:sz w:val="24"/>
                <w:szCs w:val="24"/>
                <w:highlight w:val="none"/>
                <w:lang w:val="en-US" w:eastAsia="zh-CN" w:bidi="ar-SA"/>
              </w:rPr>
              <w:t>5</w:t>
            </w:r>
          </w:p>
        </w:tc>
      </w:tr>
      <w:tr w14:paraId="0C266B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0" w:hRule="atLeast"/>
          <w:jc w:val="center"/>
        </w:trPr>
        <w:tc>
          <w:tcPr>
            <w:tcW w:w="1272" w:type="dxa"/>
            <w:vMerge w:val="continue"/>
            <w:tcBorders>
              <w:left w:val="single" w:color="auto" w:sz="4" w:space="0"/>
              <w:right w:val="single" w:color="auto" w:sz="4" w:space="0"/>
            </w:tcBorders>
            <w:noWrap w:val="0"/>
            <w:vAlign w:val="center"/>
          </w:tcPr>
          <w:p w14:paraId="4A5D3EAB">
            <w:pPr>
              <w:spacing w:line="360" w:lineRule="auto"/>
              <w:ind w:firstLine="480" w:firstLineChars="200"/>
              <w:jc w:val="left"/>
              <w:rPr>
                <w:rFonts w:hint="eastAsia" w:ascii="宋体" w:hAnsi="宋体" w:eastAsia="宋体" w:cs="宋体"/>
                <w:b w:val="0"/>
                <w:bCs w:val="0"/>
                <w:color w:val="auto"/>
                <w:kern w:val="2"/>
                <w:sz w:val="24"/>
                <w:szCs w:val="24"/>
                <w:highlight w:val="none"/>
                <w:lang w:val="en-US" w:eastAsia="zh-CN" w:bidi="ar-SA"/>
              </w:rPr>
            </w:pPr>
          </w:p>
        </w:tc>
        <w:tc>
          <w:tcPr>
            <w:tcW w:w="1831" w:type="dxa"/>
            <w:tcBorders>
              <w:top w:val="single" w:color="auto" w:sz="4" w:space="0"/>
              <w:left w:val="single" w:color="auto" w:sz="4" w:space="0"/>
              <w:right w:val="single" w:color="auto" w:sz="4" w:space="0"/>
            </w:tcBorders>
            <w:noWrap w:val="0"/>
            <w:vAlign w:val="center"/>
          </w:tcPr>
          <w:p w14:paraId="7B542C9A">
            <w:pPr>
              <w:spacing w:line="360" w:lineRule="auto"/>
              <w:jc w:val="center"/>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特殊时期的应急保障措施</w:t>
            </w:r>
          </w:p>
        </w:tc>
        <w:tc>
          <w:tcPr>
            <w:tcW w:w="5872" w:type="dxa"/>
            <w:tcBorders>
              <w:left w:val="single" w:color="auto" w:sz="4" w:space="0"/>
              <w:bottom w:val="single" w:color="auto" w:sz="4" w:space="0"/>
              <w:right w:val="single" w:color="auto" w:sz="4" w:space="0"/>
            </w:tcBorders>
            <w:noWrap w:val="0"/>
            <w:vAlign w:val="center"/>
          </w:tcPr>
          <w:p w14:paraId="19347D24">
            <w:pPr>
              <w:keepNext w:val="0"/>
              <w:keepLines w:val="0"/>
              <w:pageBreakBefore w:val="0"/>
              <w:kinsoku/>
              <w:wordWrap/>
              <w:overflowPunct/>
              <w:topLinePunct w:val="0"/>
              <w:autoSpaceDE/>
              <w:autoSpaceDN/>
              <w:bidi w:val="0"/>
              <w:adjustRightInd/>
              <w:snapToGrid/>
              <w:spacing w:line="320" w:lineRule="exact"/>
              <w:ind w:firstLine="480" w:firstLineChars="200"/>
              <w:jc w:val="left"/>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评委根据投标人对本项目提供的针对大型活动、节庆假日、创优评优和突击检查等特殊时期的应急保障措施相应时间、调配人数、处理方案等进行综合打分</w:t>
            </w:r>
            <w:r>
              <w:rPr>
                <w:rFonts w:hint="eastAsia" w:ascii="宋体" w:hAnsi="宋体" w:cs="宋体"/>
                <w:b w:val="0"/>
                <w:bCs w:val="0"/>
                <w:color w:val="auto"/>
                <w:kern w:val="2"/>
                <w:sz w:val="24"/>
                <w:szCs w:val="24"/>
                <w:highlight w:val="none"/>
                <w:lang w:val="en-US" w:eastAsia="zh-CN" w:bidi="ar-SA"/>
              </w:rPr>
              <w:t>。</w:t>
            </w:r>
          </w:p>
        </w:tc>
        <w:tc>
          <w:tcPr>
            <w:tcW w:w="1003" w:type="dxa"/>
            <w:tcBorders>
              <w:left w:val="single" w:color="auto" w:sz="4" w:space="0"/>
              <w:right w:val="single" w:color="auto" w:sz="4" w:space="0"/>
            </w:tcBorders>
            <w:noWrap w:val="0"/>
            <w:vAlign w:val="center"/>
          </w:tcPr>
          <w:p w14:paraId="1E493889">
            <w:pPr>
              <w:spacing w:line="360" w:lineRule="auto"/>
              <w:jc w:val="center"/>
              <w:rPr>
                <w:rFonts w:hint="default" w:ascii="宋体" w:hAnsi="宋体" w:eastAsia="宋体" w:cs="宋体"/>
                <w:b w:val="0"/>
                <w:bCs w:val="0"/>
                <w:color w:val="auto"/>
                <w:kern w:val="2"/>
                <w:sz w:val="24"/>
                <w:szCs w:val="24"/>
                <w:highlight w:val="none"/>
                <w:lang w:val="en-US" w:eastAsia="zh-CN" w:bidi="ar-SA"/>
              </w:rPr>
            </w:pPr>
            <w:r>
              <w:rPr>
                <w:rFonts w:hint="eastAsia" w:ascii="宋体" w:hAnsi="宋体" w:cs="宋体"/>
                <w:b w:val="0"/>
                <w:bCs w:val="0"/>
                <w:color w:val="auto"/>
                <w:kern w:val="2"/>
                <w:sz w:val="24"/>
                <w:szCs w:val="24"/>
                <w:highlight w:val="none"/>
                <w:lang w:val="en-US" w:eastAsia="zh-CN" w:bidi="ar-SA"/>
              </w:rPr>
              <w:t>5</w:t>
            </w:r>
          </w:p>
        </w:tc>
      </w:tr>
      <w:tr w14:paraId="2191F2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272" w:type="dxa"/>
            <w:vMerge w:val="continue"/>
            <w:tcBorders>
              <w:left w:val="single" w:color="auto" w:sz="4" w:space="0"/>
              <w:right w:val="single" w:color="auto" w:sz="4" w:space="0"/>
            </w:tcBorders>
            <w:noWrap w:val="0"/>
            <w:vAlign w:val="center"/>
          </w:tcPr>
          <w:p w14:paraId="60E4AEA6">
            <w:pPr>
              <w:spacing w:line="360" w:lineRule="auto"/>
              <w:ind w:firstLine="480" w:firstLineChars="200"/>
              <w:jc w:val="left"/>
              <w:rPr>
                <w:rFonts w:hint="eastAsia" w:ascii="宋体" w:hAnsi="宋体" w:eastAsia="宋体" w:cs="宋体"/>
                <w:b w:val="0"/>
                <w:bCs w:val="0"/>
                <w:color w:val="auto"/>
                <w:kern w:val="2"/>
                <w:sz w:val="24"/>
                <w:szCs w:val="24"/>
                <w:highlight w:val="none"/>
                <w:lang w:val="en-US" w:eastAsia="zh-CN" w:bidi="ar-SA"/>
              </w:rPr>
            </w:pPr>
          </w:p>
        </w:tc>
        <w:tc>
          <w:tcPr>
            <w:tcW w:w="1831" w:type="dxa"/>
            <w:vMerge w:val="restart"/>
            <w:tcBorders>
              <w:top w:val="single" w:color="auto" w:sz="4" w:space="0"/>
              <w:left w:val="single" w:color="auto" w:sz="4" w:space="0"/>
              <w:right w:val="single" w:color="auto" w:sz="4" w:space="0"/>
            </w:tcBorders>
            <w:noWrap w:val="0"/>
            <w:vAlign w:val="center"/>
          </w:tcPr>
          <w:p w14:paraId="03A7E7EA">
            <w:pPr>
              <w:spacing w:line="360" w:lineRule="auto"/>
              <w:jc w:val="center"/>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zh-CN" w:eastAsia="zh-CN" w:bidi="ar-SA"/>
              </w:rPr>
              <w:t>人员配备</w:t>
            </w:r>
          </w:p>
        </w:tc>
        <w:tc>
          <w:tcPr>
            <w:tcW w:w="5872" w:type="dxa"/>
            <w:tcBorders>
              <w:left w:val="single" w:color="auto" w:sz="4" w:space="0"/>
              <w:bottom w:val="single" w:color="auto" w:sz="4" w:space="0"/>
              <w:right w:val="single" w:color="auto" w:sz="4" w:space="0"/>
            </w:tcBorders>
            <w:noWrap w:val="0"/>
            <w:vAlign w:val="center"/>
          </w:tcPr>
          <w:p w14:paraId="37897FF1">
            <w:pPr>
              <w:keepNext w:val="0"/>
              <w:keepLines w:val="0"/>
              <w:pageBreakBefore w:val="0"/>
              <w:kinsoku/>
              <w:wordWrap/>
              <w:overflowPunct/>
              <w:topLinePunct w:val="0"/>
              <w:autoSpaceDE/>
              <w:autoSpaceDN/>
              <w:bidi w:val="0"/>
              <w:adjustRightInd/>
              <w:snapToGrid/>
              <w:spacing w:line="320" w:lineRule="exact"/>
              <w:ind w:firstLine="480" w:firstLineChars="200"/>
              <w:jc w:val="left"/>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评委根据投标人拟投入本项目人员的配备情况、人员的分工合理性、职责的明确性等进行综合评分</w:t>
            </w:r>
            <w:r>
              <w:rPr>
                <w:rFonts w:hint="eastAsia" w:ascii="宋体" w:hAnsi="宋体" w:cs="宋体"/>
                <w:b w:val="0"/>
                <w:bCs w:val="0"/>
                <w:color w:val="auto"/>
                <w:kern w:val="2"/>
                <w:sz w:val="24"/>
                <w:szCs w:val="24"/>
                <w:highlight w:val="none"/>
                <w:lang w:val="en-US" w:eastAsia="zh-CN" w:bidi="ar-SA"/>
              </w:rPr>
              <w:t>。</w:t>
            </w:r>
          </w:p>
        </w:tc>
        <w:tc>
          <w:tcPr>
            <w:tcW w:w="1003" w:type="dxa"/>
            <w:tcBorders>
              <w:left w:val="single" w:color="auto" w:sz="4" w:space="0"/>
              <w:right w:val="single" w:color="auto" w:sz="4" w:space="0"/>
            </w:tcBorders>
            <w:noWrap w:val="0"/>
            <w:vAlign w:val="center"/>
          </w:tcPr>
          <w:p w14:paraId="51F625EA">
            <w:pPr>
              <w:spacing w:line="360" w:lineRule="auto"/>
              <w:jc w:val="center"/>
              <w:rPr>
                <w:rFonts w:hint="default"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5</w:t>
            </w:r>
          </w:p>
        </w:tc>
      </w:tr>
      <w:tr w14:paraId="41A0EC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9" w:hRule="atLeast"/>
          <w:jc w:val="center"/>
        </w:trPr>
        <w:tc>
          <w:tcPr>
            <w:tcW w:w="1272" w:type="dxa"/>
            <w:vMerge w:val="continue"/>
            <w:tcBorders>
              <w:left w:val="single" w:color="auto" w:sz="4" w:space="0"/>
              <w:right w:val="single" w:color="auto" w:sz="4" w:space="0"/>
            </w:tcBorders>
            <w:noWrap w:val="0"/>
            <w:vAlign w:val="center"/>
          </w:tcPr>
          <w:p w14:paraId="595180F7">
            <w:pPr>
              <w:spacing w:line="360" w:lineRule="auto"/>
              <w:ind w:firstLine="480" w:firstLineChars="200"/>
              <w:jc w:val="left"/>
              <w:rPr>
                <w:rFonts w:hint="eastAsia" w:ascii="宋体" w:hAnsi="宋体" w:eastAsia="宋体" w:cs="宋体"/>
                <w:b w:val="0"/>
                <w:bCs w:val="0"/>
                <w:color w:val="auto"/>
                <w:kern w:val="2"/>
                <w:sz w:val="24"/>
                <w:szCs w:val="24"/>
                <w:highlight w:val="none"/>
                <w:lang w:val="en-US" w:eastAsia="zh-CN" w:bidi="ar-SA"/>
              </w:rPr>
            </w:pPr>
          </w:p>
        </w:tc>
        <w:tc>
          <w:tcPr>
            <w:tcW w:w="1831" w:type="dxa"/>
            <w:vMerge w:val="continue"/>
            <w:tcBorders>
              <w:left w:val="single" w:color="auto" w:sz="4" w:space="0"/>
              <w:right w:val="single" w:color="auto" w:sz="4" w:space="0"/>
            </w:tcBorders>
            <w:noWrap w:val="0"/>
            <w:vAlign w:val="center"/>
          </w:tcPr>
          <w:p w14:paraId="742554B2">
            <w:pPr>
              <w:spacing w:line="360" w:lineRule="auto"/>
              <w:ind w:firstLine="480" w:firstLineChars="200"/>
              <w:jc w:val="center"/>
              <w:rPr>
                <w:rFonts w:hint="eastAsia" w:ascii="宋体" w:hAnsi="宋体" w:eastAsia="宋体" w:cs="宋体"/>
                <w:b w:val="0"/>
                <w:bCs w:val="0"/>
                <w:color w:val="auto"/>
                <w:kern w:val="2"/>
                <w:sz w:val="24"/>
                <w:szCs w:val="24"/>
                <w:highlight w:val="none"/>
                <w:lang w:val="en-US" w:eastAsia="zh-CN" w:bidi="ar-SA"/>
              </w:rPr>
            </w:pPr>
          </w:p>
        </w:tc>
        <w:tc>
          <w:tcPr>
            <w:tcW w:w="5872" w:type="dxa"/>
            <w:tcBorders>
              <w:left w:val="single" w:color="auto" w:sz="4" w:space="0"/>
              <w:bottom w:val="single" w:color="auto" w:sz="4" w:space="0"/>
              <w:right w:val="single" w:color="auto" w:sz="4" w:space="0"/>
            </w:tcBorders>
            <w:noWrap w:val="0"/>
            <w:vAlign w:val="center"/>
          </w:tcPr>
          <w:p w14:paraId="34B4772B">
            <w:pPr>
              <w:keepNext w:val="0"/>
              <w:keepLines w:val="0"/>
              <w:pageBreakBefore w:val="0"/>
              <w:kinsoku/>
              <w:wordWrap/>
              <w:overflowPunct/>
              <w:topLinePunct w:val="0"/>
              <w:autoSpaceDE/>
              <w:autoSpaceDN/>
              <w:bidi w:val="0"/>
              <w:adjustRightInd/>
              <w:snapToGrid/>
              <w:spacing w:line="320" w:lineRule="exact"/>
              <w:ind w:firstLine="480" w:firstLineChars="200"/>
              <w:jc w:val="left"/>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评委根据投标人拟投入本项目人员的文化水平、专业技术职称、从业资格证书及工作经验等进行综合评分</w:t>
            </w:r>
            <w:r>
              <w:rPr>
                <w:rFonts w:hint="eastAsia" w:ascii="宋体" w:hAnsi="宋体" w:cs="宋体"/>
                <w:b w:val="0"/>
                <w:bCs w:val="0"/>
                <w:color w:val="auto"/>
                <w:kern w:val="2"/>
                <w:sz w:val="24"/>
                <w:szCs w:val="24"/>
                <w:highlight w:val="none"/>
                <w:lang w:val="en-US" w:eastAsia="zh-CN" w:bidi="ar-SA"/>
              </w:rPr>
              <w:t>。</w:t>
            </w:r>
            <w:r>
              <w:rPr>
                <w:rFonts w:hint="eastAsia" w:ascii="宋体" w:hAnsi="宋体" w:eastAsia="宋体" w:cs="宋体"/>
                <w:b/>
                <w:bCs/>
                <w:color w:val="auto"/>
                <w:kern w:val="2"/>
                <w:sz w:val="24"/>
                <w:szCs w:val="24"/>
                <w:highlight w:val="none"/>
                <w:lang w:val="en-US" w:eastAsia="zh-CN" w:bidi="ar-SA"/>
              </w:rPr>
              <w:t>（须提供相应证书及社保缴纳证明材料并加盖单位公章）</w:t>
            </w:r>
          </w:p>
        </w:tc>
        <w:tc>
          <w:tcPr>
            <w:tcW w:w="1003" w:type="dxa"/>
            <w:tcBorders>
              <w:left w:val="single" w:color="auto" w:sz="4" w:space="0"/>
              <w:right w:val="single" w:color="auto" w:sz="4" w:space="0"/>
            </w:tcBorders>
            <w:noWrap w:val="0"/>
            <w:vAlign w:val="center"/>
          </w:tcPr>
          <w:p w14:paraId="6CEADB40">
            <w:pPr>
              <w:spacing w:line="360" w:lineRule="auto"/>
              <w:jc w:val="center"/>
              <w:rPr>
                <w:rFonts w:hint="default" w:ascii="宋体" w:hAnsi="宋体" w:eastAsia="宋体" w:cs="宋体"/>
                <w:b w:val="0"/>
                <w:bCs w:val="0"/>
                <w:color w:val="auto"/>
                <w:kern w:val="2"/>
                <w:sz w:val="24"/>
                <w:szCs w:val="24"/>
                <w:highlight w:val="none"/>
                <w:lang w:val="en-US" w:eastAsia="zh-CN" w:bidi="ar-SA"/>
              </w:rPr>
            </w:pPr>
            <w:r>
              <w:rPr>
                <w:rFonts w:hint="eastAsia" w:ascii="宋体" w:hAnsi="宋体" w:cs="宋体"/>
                <w:b w:val="0"/>
                <w:bCs w:val="0"/>
                <w:color w:val="auto"/>
                <w:kern w:val="2"/>
                <w:sz w:val="24"/>
                <w:szCs w:val="24"/>
                <w:highlight w:val="none"/>
                <w:lang w:val="en-US" w:eastAsia="zh-CN" w:bidi="ar-SA"/>
              </w:rPr>
              <w:t>5</w:t>
            </w:r>
          </w:p>
        </w:tc>
      </w:tr>
      <w:tr w14:paraId="138B79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1272" w:type="dxa"/>
            <w:vMerge w:val="continue"/>
            <w:tcBorders>
              <w:left w:val="single" w:color="auto" w:sz="4" w:space="0"/>
              <w:right w:val="single" w:color="auto" w:sz="4" w:space="0"/>
            </w:tcBorders>
            <w:noWrap w:val="0"/>
            <w:vAlign w:val="center"/>
          </w:tcPr>
          <w:p w14:paraId="4C87B9E7">
            <w:pPr>
              <w:widowControl/>
              <w:spacing w:line="360" w:lineRule="auto"/>
              <w:jc w:val="left"/>
              <w:rPr>
                <w:rFonts w:hint="eastAsia" w:ascii="宋体" w:hAnsi="宋体" w:cs="宋体"/>
                <w:color w:val="auto"/>
                <w:sz w:val="24"/>
                <w:highlight w:val="none"/>
              </w:rPr>
            </w:pPr>
          </w:p>
        </w:tc>
        <w:tc>
          <w:tcPr>
            <w:tcW w:w="1831" w:type="dxa"/>
            <w:tcBorders>
              <w:top w:val="single" w:color="auto" w:sz="4" w:space="0"/>
              <w:left w:val="single" w:color="auto" w:sz="4" w:space="0"/>
              <w:right w:val="single" w:color="auto" w:sz="4" w:space="0"/>
            </w:tcBorders>
            <w:noWrap w:val="0"/>
            <w:vAlign w:val="center"/>
          </w:tcPr>
          <w:p w14:paraId="4BF9F4A7">
            <w:pPr>
              <w:spacing w:line="360" w:lineRule="auto"/>
              <w:jc w:val="center"/>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安全作业培训</w:t>
            </w:r>
          </w:p>
        </w:tc>
        <w:tc>
          <w:tcPr>
            <w:tcW w:w="5872" w:type="dxa"/>
            <w:tcBorders>
              <w:left w:val="single" w:color="auto" w:sz="4" w:space="0"/>
              <w:bottom w:val="single" w:color="auto" w:sz="4" w:space="0"/>
              <w:right w:val="single" w:color="auto" w:sz="4" w:space="0"/>
            </w:tcBorders>
            <w:noWrap w:val="0"/>
            <w:vAlign w:val="center"/>
          </w:tcPr>
          <w:p w14:paraId="5934EE6C">
            <w:pPr>
              <w:keepNext w:val="0"/>
              <w:keepLines w:val="0"/>
              <w:pageBreakBefore w:val="0"/>
              <w:kinsoku/>
              <w:wordWrap/>
              <w:overflowPunct/>
              <w:topLinePunct w:val="0"/>
              <w:autoSpaceDE/>
              <w:autoSpaceDN/>
              <w:bidi w:val="0"/>
              <w:adjustRightInd/>
              <w:snapToGrid/>
              <w:spacing w:line="320" w:lineRule="exact"/>
              <w:ind w:firstLine="480" w:firstLineChars="200"/>
              <w:jc w:val="left"/>
              <w:textAlignment w:val="auto"/>
              <w:rPr>
                <w:rFonts w:hint="eastAsia" w:ascii="宋体" w:hAnsi="宋体" w:eastAsia="宋体" w:cs="宋体"/>
                <w:b w:val="0"/>
                <w:bCs w:val="0"/>
                <w:color w:val="auto"/>
                <w:kern w:val="2"/>
                <w:sz w:val="24"/>
                <w:szCs w:val="24"/>
                <w:highlight w:val="none"/>
                <w:lang w:val="zh-CN" w:eastAsia="zh-CN" w:bidi="ar-SA"/>
              </w:rPr>
            </w:pPr>
            <w:r>
              <w:rPr>
                <w:rFonts w:hint="eastAsia" w:ascii="宋体" w:hAnsi="宋体" w:eastAsia="宋体" w:cs="宋体"/>
                <w:b w:val="0"/>
                <w:bCs w:val="0"/>
                <w:color w:val="auto"/>
                <w:kern w:val="2"/>
                <w:sz w:val="24"/>
                <w:szCs w:val="24"/>
                <w:highlight w:val="none"/>
                <w:lang w:val="en-US" w:eastAsia="zh-CN" w:bidi="ar-SA"/>
              </w:rPr>
              <w:t>评委根据投标人对本项目提供安全作业培训方案科学性、合理性及可实施性进行打分</w:t>
            </w:r>
            <w:r>
              <w:rPr>
                <w:rFonts w:hint="eastAsia" w:ascii="宋体" w:hAnsi="宋体" w:cs="宋体"/>
                <w:b w:val="0"/>
                <w:bCs w:val="0"/>
                <w:color w:val="auto"/>
                <w:kern w:val="2"/>
                <w:sz w:val="24"/>
                <w:szCs w:val="24"/>
                <w:highlight w:val="none"/>
                <w:lang w:val="en-US" w:eastAsia="zh-CN" w:bidi="ar-SA"/>
              </w:rPr>
              <w:t>。</w:t>
            </w:r>
          </w:p>
        </w:tc>
        <w:tc>
          <w:tcPr>
            <w:tcW w:w="1003" w:type="dxa"/>
            <w:tcBorders>
              <w:left w:val="single" w:color="auto" w:sz="4" w:space="0"/>
              <w:right w:val="single" w:color="auto" w:sz="4" w:space="0"/>
            </w:tcBorders>
            <w:noWrap w:val="0"/>
            <w:vAlign w:val="center"/>
          </w:tcPr>
          <w:p w14:paraId="1EDCD54A">
            <w:pPr>
              <w:widowControl/>
              <w:spacing w:line="360" w:lineRule="auto"/>
              <w:jc w:val="center"/>
              <w:rPr>
                <w:rFonts w:hint="default" w:ascii="宋体" w:hAnsi="宋体" w:eastAsia="宋体" w:cs="宋体"/>
                <w:b w:val="0"/>
                <w:bCs w:val="0"/>
                <w:color w:val="auto"/>
                <w:kern w:val="2"/>
                <w:sz w:val="24"/>
                <w:szCs w:val="24"/>
                <w:highlight w:val="none"/>
                <w:lang w:val="en-US" w:eastAsia="zh-CN" w:bidi="ar-SA"/>
              </w:rPr>
            </w:pPr>
            <w:r>
              <w:rPr>
                <w:rFonts w:hint="eastAsia" w:ascii="宋体" w:hAnsi="宋体" w:cs="宋体"/>
                <w:b w:val="0"/>
                <w:bCs w:val="0"/>
                <w:color w:val="auto"/>
                <w:kern w:val="2"/>
                <w:sz w:val="24"/>
                <w:szCs w:val="24"/>
                <w:highlight w:val="none"/>
                <w:lang w:val="en-US" w:eastAsia="zh-CN" w:bidi="ar-SA"/>
              </w:rPr>
              <w:t>5</w:t>
            </w:r>
          </w:p>
        </w:tc>
      </w:tr>
      <w:tr w14:paraId="23B748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atLeast"/>
          <w:jc w:val="center"/>
        </w:trPr>
        <w:tc>
          <w:tcPr>
            <w:tcW w:w="1272" w:type="dxa"/>
            <w:vMerge w:val="continue"/>
            <w:tcBorders>
              <w:left w:val="single" w:color="auto" w:sz="4" w:space="0"/>
              <w:right w:val="single" w:color="auto" w:sz="4" w:space="0"/>
            </w:tcBorders>
            <w:noWrap w:val="0"/>
            <w:vAlign w:val="center"/>
          </w:tcPr>
          <w:p w14:paraId="07D2D21E">
            <w:pPr>
              <w:widowControl/>
              <w:spacing w:line="360" w:lineRule="auto"/>
              <w:jc w:val="left"/>
              <w:rPr>
                <w:rFonts w:hint="eastAsia" w:ascii="宋体" w:hAnsi="宋体" w:cs="宋体"/>
                <w:color w:val="auto"/>
                <w:sz w:val="24"/>
                <w:highlight w:val="none"/>
              </w:rPr>
            </w:pPr>
          </w:p>
        </w:tc>
        <w:tc>
          <w:tcPr>
            <w:tcW w:w="1831" w:type="dxa"/>
            <w:vMerge w:val="restart"/>
            <w:tcBorders>
              <w:top w:val="single" w:color="auto" w:sz="4" w:space="0"/>
              <w:left w:val="single" w:color="auto" w:sz="4" w:space="0"/>
              <w:right w:val="single" w:color="auto" w:sz="4" w:space="0"/>
            </w:tcBorders>
            <w:noWrap w:val="0"/>
            <w:vAlign w:val="center"/>
          </w:tcPr>
          <w:p w14:paraId="3B0581FA">
            <w:pPr>
              <w:spacing w:line="360" w:lineRule="auto"/>
              <w:jc w:val="center"/>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内部管理制度</w:t>
            </w:r>
          </w:p>
        </w:tc>
        <w:tc>
          <w:tcPr>
            <w:tcW w:w="5872" w:type="dxa"/>
            <w:tcBorders>
              <w:left w:val="single" w:color="auto" w:sz="4" w:space="0"/>
              <w:bottom w:val="single" w:color="auto" w:sz="4" w:space="0"/>
              <w:right w:val="single" w:color="auto" w:sz="4" w:space="0"/>
            </w:tcBorders>
            <w:noWrap w:val="0"/>
            <w:vAlign w:val="center"/>
          </w:tcPr>
          <w:p w14:paraId="01DCE1E6">
            <w:pPr>
              <w:keepNext w:val="0"/>
              <w:keepLines w:val="0"/>
              <w:pageBreakBefore w:val="0"/>
              <w:kinsoku/>
              <w:wordWrap/>
              <w:overflowPunct/>
              <w:topLinePunct w:val="0"/>
              <w:autoSpaceDE/>
              <w:autoSpaceDN/>
              <w:bidi w:val="0"/>
              <w:adjustRightInd/>
              <w:snapToGrid/>
              <w:spacing w:line="320" w:lineRule="exact"/>
              <w:ind w:firstLine="480" w:firstLineChars="200"/>
              <w:textAlignment w:val="auto"/>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color w:val="auto"/>
                <w:sz w:val="24"/>
                <w:szCs w:val="24"/>
                <w:highlight w:val="none"/>
                <w:lang w:val="en-US" w:eastAsia="zh-CN"/>
              </w:rPr>
              <w:t>根据</w:t>
            </w:r>
            <w:r>
              <w:rPr>
                <w:rFonts w:hint="eastAsia" w:ascii="宋体" w:hAnsi="宋体" w:eastAsia="宋体" w:cs="宋体"/>
                <w:b w:val="0"/>
                <w:bCs w:val="0"/>
                <w:color w:val="auto"/>
                <w:kern w:val="2"/>
                <w:sz w:val="24"/>
                <w:szCs w:val="24"/>
                <w:highlight w:val="none"/>
                <w:lang w:val="en-US" w:eastAsia="zh-CN" w:bidi="ar-SA"/>
              </w:rPr>
              <w:t>投标人</w:t>
            </w:r>
            <w:r>
              <w:rPr>
                <w:rFonts w:hint="eastAsia" w:ascii="宋体" w:hAnsi="宋体" w:eastAsia="宋体" w:cs="宋体"/>
                <w:color w:val="auto"/>
                <w:sz w:val="24"/>
                <w:szCs w:val="24"/>
                <w:highlight w:val="none"/>
              </w:rPr>
              <w:t>内部管理制度建立健全，有较完善的质量管理制度，明确工作职责、工作程序和工作要求进行综合评</w:t>
            </w:r>
            <w:r>
              <w:rPr>
                <w:rFonts w:hint="eastAsia" w:ascii="宋体" w:hAnsi="宋体" w:eastAsia="宋体" w:cs="宋体"/>
                <w:color w:val="auto"/>
                <w:sz w:val="24"/>
                <w:szCs w:val="24"/>
                <w:highlight w:val="none"/>
                <w:lang w:val="en-US" w:eastAsia="zh-CN"/>
              </w:rPr>
              <w:t>分。</w:t>
            </w:r>
          </w:p>
        </w:tc>
        <w:tc>
          <w:tcPr>
            <w:tcW w:w="1003" w:type="dxa"/>
            <w:tcBorders>
              <w:left w:val="single" w:color="auto" w:sz="4" w:space="0"/>
              <w:right w:val="single" w:color="auto" w:sz="4" w:space="0"/>
            </w:tcBorders>
            <w:noWrap w:val="0"/>
            <w:vAlign w:val="center"/>
          </w:tcPr>
          <w:p w14:paraId="5CE4063B">
            <w:pPr>
              <w:spacing w:line="240" w:lineRule="auto"/>
              <w:jc w:val="center"/>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4</w:t>
            </w:r>
          </w:p>
        </w:tc>
      </w:tr>
      <w:tr w14:paraId="2F9B2B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jc w:val="center"/>
        </w:trPr>
        <w:tc>
          <w:tcPr>
            <w:tcW w:w="1272" w:type="dxa"/>
            <w:vMerge w:val="continue"/>
            <w:tcBorders>
              <w:left w:val="single" w:color="auto" w:sz="4" w:space="0"/>
              <w:right w:val="single" w:color="auto" w:sz="4" w:space="0"/>
            </w:tcBorders>
            <w:noWrap w:val="0"/>
            <w:vAlign w:val="center"/>
          </w:tcPr>
          <w:p w14:paraId="6CB0BA26">
            <w:pPr>
              <w:widowControl/>
              <w:spacing w:line="360" w:lineRule="auto"/>
              <w:jc w:val="left"/>
              <w:rPr>
                <w:rFonts w:hint="eastAsia" w:ascii="宋体" w:hAnsi="宋体" w:cs="宋体"/>
                <w:color w:val="auto"/>
                <w:sz w:val="24"/>
                <w:highlight w:val="none"/>
              </w:rPr>
            </w:pPr>
          </w:p>
        </w:tc>
        <w:tc>
          <w:tcPr>
            <w:tcW w:w="1831" w:type="dxa"/>
            <w:vMerge w:val="continue"/>
            <w:tcBorders>
              <w:left w:val="single" w:color="auto" w:sz="4" w:space="0"/>
              <w:right w:val="single" w:color="auto" w:sz="4" w:space="0"/>
            </w:tcBorders>
            <w:noWrap w:val="0"/>
            <w:vAlign w:val="center"/>
          </w:tcPr>
          <w:p w14:paraId="6CFF7A5E">
            <w:pPr>
              <w:spacing w:line="360" w:lineRule="auto"/>
              <w:jc w:val="center"/>
              <w:rPr>
                <w:rFonts w:hint="eastAsia" w:ascii="宋体" w:hAnsi="宋体" w:eastAsia="宋体" w:cs="宋体"/>
                <w:b w:val="0"/>
                <w:bCs w:val="0"/>
                <w:color w:val="auto"/>
                <w:kern w:val="2"/>
                <w:sz w:val="24"/>
                <w:szCs w:val="24"/>
                <w:highlight w:val="none"/>
                <w:lang w:val="en-US" w:eastAsia="zh-CN" w:bidi="ar-SA"/>
              </w:rPr>
            </w:pPr>
          </w:p>
        </w:tc>
        <w:tc>
          <w:tcPr>
            <w:tcW w:w="5872" w:type="dxa"/>
            <w:tcBorders>
              <w:left w:val="single" w:color="auto" w:sz="4" w:space="0"/>
              <w:bottom w:val="single" w:color="auto" w:sz="4" w:space="0"/>
              <w:right w:val="single" w:color="auto" w:sz="4" w:space="0"/>
            </w:tcBorders>
            <w:noWrap w:val="0"/>
            <w:vAlign w:val="center"/>
          </w:tcPr>
          <w:p w14:paraId="14FE93A5">
            <w:pPr>
              <w:keepNext w:val="0"/>
              <w:keepLines w:val="0"/>
              <w:pageBreakBefore w:val="0"/>
              <w:kinsoku/>
              <w:wordWrap/>
              <w:overflowPunct/>
              <w:topLinePunct w:val="0"/>
              <w:autoSpaceDE/>
              <w:autoSpaceDN/>
              <w:bidi w:val="0"/>
              <w:adjustRightInd/>
              <w:snapToGrid/>
              <w:spacing w:line="320" w:lineRule="exact"/>
              <w:ind w:firstLine="480" w:firstLineChars="200"/>
              <w:jc w:val="left"/>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根据</w:t>
            </w:r>
            <w:r>
              <w:rPr>
                <w:rFonts w:hint="eastAsia" w:ascii="宋体" w:hAnsi="宋体" w:eastAsia="宋体" w:cs="宋体"/>
                <w:b w:val="0"/>
                <w:bCs w:val="0"/>
                <w:color w:val="auto"/>
                <w:kern w:val="2"/>
                <w:sz w:val="24"/>
                <w:szCs w:val="24"/>
                <w:highlight w:val="none"/>
                <w:lang w:val="en-US" w:eastAsia="zh-CN" w:bidi="ar-SA"/>
              </w:rPr>
              <w:t>投标人</w:t>
            </w:r>
            <w:r>
              <w:rPr>
                <w:rFonts w:hint="eastAsia" w:ascii="宋体" w:hAnsi="宋体" w:eastAsia="宋体" w:cs="宋体"/>
                <w:color w:val="auto"/>
                <w:sz w:val="24"/>
                <w:szCs w:val="24"/>
                <w:highlight w:val="none"/>
              </w:rPr>
              <w:t>档案管理制度以及保密管理制度等进行综合评</w:t>
            </w:r>
            <w:r>
              <w:rPr>
                <w:rFonts w:hint="eastAsia" w:ascii="宋体" w:hAnsi="宋体" w:eastAsia="宋体" w:cs="宋体"/>
                <w:color w:val="auto"/>
                <w:sz w:val="24"/>
                <w:szCs w:val="24"/>
                <w:highlight w:val="none"/>
                <w:lang w:val="en-US" w:eastAsia="zh-CN"/>
              </w:rPr>
              <w:t>分。</w:t>
            </w:r>
          </w:p>
        </w:tc>
        <w:tc>
          <w:tcPr>
            <w:tcW w:w="1003" w:type="dxa"/>
            <w:tcBorders>
              <w:left w:val="single" w:color="auto" w:sz="4" w:space="0"/>
              <w:right w:val="single" w:color="auto" w:sz="4" w:space="0"/>
            </w:tcBorders>
            <w:noWrap w:val="0"/>
            <w:vAlign w:val="center"/>
          </w:tcPr>
          <w:p w14:paraId="44AA346E">
            <w:pPr>
              <w:widowControl/>
              <w:spacing w:line="360" w:lineRule="auto"/>
              <w:jc w:val="center"/>
              <w:rPr>
                <w:rFonts w:hint="default" w:ascii="宋体" w:hAnsi="宋体" w:eastAsia="宋体" w:cs="宋体"/>
                <w:b w:val="0"/>
                <w:bCs w:val="0"/>
                <w:color w:val="auto"/>
                <w:kern w:val="2"/>
                <w:sz w:val="24"/>
                <w:szCs w:val="24"/>
                <w:highlight w:val="none"/>
                <w:lang w:val="en-US" w:eastAsia="zh-CN" w:bidi="ar-SA"/>
              </w:rPr>
            </w:pPr>
            <w:r>
              <w:rPr>
                <w:rFonts w:hint="eastAsia" w:ascii="宋体" w:hAnsi="宋体" w:cs="宋体"/>
                <w:b w:val="0"/>
                <w:bCs w:val="0"/>
                <w:color w:val="auto"/>
                <w:kern w:val="2"/>
                <w:sz w:val="24"/>
                <w:szCs w:val="24"/>
                <w:highlight w:val="none"/>
                <w:lang w:val="en-US" w:eastAsia="zh-CN" w:bidi="ar-SA"/>
              </w:rPr>
              <w:t>4</w:t>
            </w:r>
          </w:p>
        </w:tc>
      </w:tr>
      <w:tr w14:paraId="6EAA3A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1272" w:type="dxa"/>
            <w:vMerge w:val="continue"/>
            <w:tcBorders>
              <w:left w:val="single" w:color="auto" w:sz="4" w:space="0"/>
              <w:right w:val="single" w:color="auto" w:sz="4" w:space="0"/>
            </w:tcBorders>
            <w:noWrap w:val="0"/>
            <w:vAlign w:val="center"/>
          </w:tcPr>
          <w:p w14:paraId="7A293143">
            <w:pPr>
              <w:widowControl/>
              <w:spacing w:line="360" w:lineRule="auto"/>
              <w:jc w:val="left"/>
              <w:rPr>
                <w:rFonts w:hint="eastAsia" w:ascii="宋体" w:hAnsi="宋体" w:cs="宋体"/>
                <w:color w:val="auto"/>
                <w:sz w:val="24"/>
                <w:highlight w:val="none"/>
              </w:rPr>
            </w:pPr>
          </w:p>
        </w:tc>
        <w:tc>
          <w:tcPr>
            <w:tcW w:w="1831" w:type="dxa"/>
            <w:vMerge w:val="restart"/>
            <w:tcBorders>
              <w:top w:val="single" w:color="auto" w:sz="4" w:space="0"/>
              <w:left w:val="single" w:color="auto" w:sz="4" w:space="0"/>
              <w:right w:val="single" w:color="auto" w:sz="4" w:space="0"/>
            </w:tcBorders>
            <w:noWrap w:val="0"/>
            <w:vAlign w:val="center"/>
          </w:tcPr>
          <w:p w14:paraId="37547B07">
            <w:pPr>
              <w:spacing w:line="360" w:lineRule="auto"/>
              <w:jc w:val="center"/>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服务</w:t>
            </w:r>
            <w:r>
              <w:rPr>
                <w:rFonts w:hint="eastAsia" w:ascii="宋体" w:hAnsi="宋体" w:cs="宋体"/>
                <w:b w:val="0"/>
                <w:bCs w:val="0"/>
                <w:color w:val="auto"/>
                <w:kern w:val="2"/>
                <w:sz w:val="24"/>
                <w:szCs w:val="24"/>
                <w:highlight w:val="none"/>
                <w:lang w:val="en-US" w:eastAsia="zh-CN" w:bidi="ar-SA"/>
              </w:rPr>
              <w:t>能力</w:t>
            </w:r>
          </w:p>
        </w:tc>
        <w:tc>
          <w:tcPr>
            <w:tcW w:w="5872" w:type="dxa"/>
            <w:tcBorders>
              <w:left w:val="single" w:color="auto" w:sz="4" w:space="0"/>
              <w:bottom w:val="single" w:color="auto" w:sz="4" w:space="0"/>
              <w:right w:val="single" w:color="auto" w:sz="4" w:space="0"/>
            </w:tcBorders>
            <w:noWrap w:val="0"/>
            <w:vAlign w:val="center"/>
          </w:tcPr>
          <w:p w14:paraId="3B0260AC">
            <w:pPr>
              <w:keepNext w:val="0"/>
              <w:keepLines w:val="0"/>
              <w:pageBreakBefore w:val="0"/>
              <w:kinsoku/>
              <w:wordWrap/>
              <w:overflowPunct/>
              <w:topLinePunct w:val="0"/>
              <w:autoSpaceDE/>
              <w:autoSpaceDN/>
              <w:bidi w:val="0"/>
              <w:adjustRightInd/>
              <w:snapToGrid/>
              <w:spacing w:line="320" w:lineRule="exact"/>
              <w:ind w:firstLine="480" w:firstLineChars="200"/>
              <w:jc w:val="left"/>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cs="宋体"/>
                <w:b w:val="0"/>
                <w:bCs w:val="0"/>
                <w:color w:val="auto"/>
                <w:kern w:val="2"/>
                <w:sz w:val="24"/>
                <w:szCs w:val="24"/>
                <w:highlight w:val="none"/>
                <w:lang w:val="en-US" w:eastAsia="zh-CN" w:bidi="ar-SA"/>
              </w:rPr>
              <w:t>评委根据投标人的服务能力、是否具有快速响应能力等进行打分。</w:t>
            </w:r>
          </w:p>
        </w:tc>
        <w:tc>
          <w:tcPr>
            <w:tcW w:w="1003" w:type="dxa"/>
            <w:tcBorders>
              <w:left w:val="single" w:color="auto" w:sz="4" w:space="0"/>
              <w:right w:val="single" w:color="auto" w:sz="4" w:space="0"/>
            </w:tcBorders>
            <w:noWrap w:val="0"/>
            <w:vAlign w:val="center"/>
          </w:tcPr>
          <w:p w14:paraId="7ED2A8DD">
            <w:pPr>
              <w:widowControl/>
              <w:spacing w:line="360" w:lineRule="auto"/>
              <w:jc w:val="center"/>
              <w:rPr>
                <w:rFonts w:hint="eastAsia" w:ascii="宋体" w:hAnsi="宋体" w:eastAsia="宋体" w:cs="宋体"/>
                <w:b w:val="0"/>
                <w:bCs w:val="0"/>
                <w:color w:val="auto"/>
                <w:kern w:val="2"/>
                <w:sz w:val="24"/>
                <w:szCs w:val="24"/>
                <w:highlight w:val="none"/>
                <w:lang w:val="en-US" w:eastAsia="zh-CN" w:bidi="ar-SA"/>
              </w:rPr>
            </w:pPr>
            <w:r>
              <w:rPr>
                <w:rFonts w:hint="eastAsia" w:ascii="宋体" w:hAnsi="宋体" w:cs="宋体"/>
                <w:b w:val="0"/>
                <w:bCs w:val="0"/>
                <w:color w:val="auto"/>
                <w:kern w:val="2"/>
                <w:sz w:val="24"/>
                <w:szCs w:val="24"/>
                <w:highlight w:val="none"/>
                <w:lang w:val="en-US" w:eastAsia="zh-CN" w:bidi="ar-SA"/>
              </w:rPr>
              <w:t>5</w:t>
            </w:r>
          </w:p>
        </w:tc>
      </w:tr>
      <w:tr w14:paraId="5F3577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1272" w:type="dxa"/>
            <w:vMerge w:val="continue"/>
            <w:tcBorders>
              <w:left w:val="single" w:color="auto" w:sz="4" w:space="0"/>
              <w:right w:val="single" w:color="auto" w:sz="4" w:space="0"/>
            </w:tcBorders>
            <w:noWrap w:val="0"/>
            <w:vAlign w:val="center"/>
          </w:tcPr>
          <w:p w14:paraId="48DCC96B">
            <w:pPr>
              <w:widowControl/>
              <w:spacing w:line="360" w:lineRule="auto"/>
              <w:jc w:val="left"/>
              <w:rPr>
                <w:rFonts w:hint="eastAsia" w:ascii="宋体" w:hAnsi="宋体" w:cs="宋体"/>
                <w:color w:val="auto"/>
                <w:sz w:val="24"/>
                <w:highlight w:val="none"/>
              </w:rPr>
            </w:pPr>
          </w:p>
        </w:tc>
        <w:tc>
          <w:tcPr>
            <w:tcW w:w="1831" w:type="dxa"/>
            <w:vMerge w:val="continue"/>
            <w:tcBorders>
              <w:left w:val="single" w:color="auto" w:sz="4" w:space="0"/>
              <w:right w:val="single" w:color="auto" w:sz="4" w:space="0"/>
            </w:tcBorders>
            <w:noWrap w:val="0"/>
            <w:vAlign w:val="center"/>
          </w:tcPr>
          <w:p w14:paraId="1DC5F61F">
            <w:pPr>
              <w:spacing w:line="360" w:lineRule="auto"/>
              <w:jc w:val="center"/>
              <w:rPr>
                <w:rFonts w:hint="eastAsia" w:ascii="宋体" w:hAnsi="宋体" w:eastAsia="宋体" w:cs="宋体"/>
                <w:b w:val="0"/>
                <w:bCs w:val="0"/>
                <w:color w:val="auto"/>
                <w:kern w:val="2"/>
                <w:sz w:val="24"/>
                <w:szCs w:val="24"/>
                <w:highlight w:val="none"/>
                <w:lang w:val="en-US" w:eastAsia="zh-CN" w:bidi="ar-SA"/>
              </w:rPr>
            </w:pPr>
          </w:p>
        </w:tc>
        <w:tc>
          <w:tcPr>
            <w:tcW w:w="5872" w:type="dxa"/>
            <w:tcBorders>
              <w:left w:val="single" w:color="auto" w:sz="4" w:space="0"/>
              <w:bottom w:val="single" w:color="auto" w:sz="4" w:space="0"/>
              <w:right w:val="single" w:color="auto" w:sz="4" w:space="0"/>
            </w:tcBorders>
            <w:noWrap w:val="0"/>
            <w:vAlign w:val="center"/>
          </w:tcPr>
          <w:p w14:paraId="121D852E">
            <w:pPr>
              <w:keepNext w:val="0"/>
              <w:keepLines w:val="0"/>
              <w:pageBreakBefore w:val="0"/>
              <w:kinsoku/>
              <w:wordWrap/>
              <w:overflowPunct/>
              <w:topLinePunct w:val="0"/>
              <w:autoSpaceDE/>
              <w:autoSpaceDN/>
              <w:bidi w:val="0"/>
              <w:adjustRightInd/>
              <w:snapToGrid/>
              <w:spacing w:line="320" w:lineRule="exact"/>
              <w:ind w:firstLine="480" w:firstLineChars="200"/>
              <w:jc w:val="left"/>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评委根据投标人提供的针对本项目需要提供的驻点人员的安排方案、定期巡检计划的有效性进行打分。</w:t>
            </w:r>
          </w:p>
        </w:tc>
        <w:tc>
          <w:tcPr>
            <w:tcW w:w="1003" w:type="dxa"/>
            <w:tcBorders>
              <w:left w:val="single" w:color="auto" w:sz="4" w:space="0"/>
              <w:right w:val="single" w:color="auto" w:sz="4" w:space="0"/>
            </w:tcBorders>
            <w:noWrap w:val="0"/>
            <w:vAlign w:val="center"/>
          </w:tcPr>
          <w:p w14:paraId="5E688F2A">
            <w:pPr>
              <w:widowControl/>
              <w:spacing w:line="360" w:lineRule="auto"/>
              <w:jc w:val="center"/>
              <w:rPr>
                <w:rFonts w:hint="default" w:ascii="宋体" w:hAnsi="宋体" w:cs="宋体"/>
                <w:b w:val="0"/>
                <w:bCs w:val="0"/>
                <w:color w:val="auto"/>
                <w:kern w:val="2"/>
                <w:sz w:val="24"/>
                <w:szCs w:val="24"/>
                <w:highlight w:val="none"/>
                <w:lang w:val="en-US" w:eastAsia="zh-CN" w:bidi="ar-SA"/>
              </w:rPr>
            </w:pPr>
            <w:r>
              <w:rPr>
                <w:rFonts w:hint="eastAsia" w:ascii="宋体" w:hAnsi="宋体" w:cs="宋体"/>
                <w:b w:val="0"/>
                <w:bCs w:val="0"/>
                <w:color w:val="auto"/>
                <w:kern w:val="2"/>
                <w:sz w:val="24"/>
                <w:szCs w:val="24"/>
                <w:highlight w:val="none"/>
                <w:lang w:val="en-US" w:eastAsia="zh-CN" w:bidi="ar-SA"/>
              </w:rPr>
              <w:t>5</w:t>
            </w:r>
          </w:p>
        </w:tc>
      </w:tr>
      <w:tr w14:paraId="48B94B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jc w:val="center"/>
        </w:trPr>
        <w:tc>
          <w:tcPr>
            <w:tcW w:w="1272" w:type="dxa"/>
            <w:vMerge w:val="continue"/>
            <w:tcBorders>
              <w:left w:val="single" w:color="auto" w:sz="4" w:space="0"/>
              <w:right w:val="single" w:color="auto" w:sz="4" w:space="0"/>
            </w:tcBorders>
            <w:noWrap w:val="0"/>
            <w:vAlign w:val="center"/>
          </w:tcPr>
          <w:p w14:paraId="26A4E378">
            <w:pPr>
              <w:widowControl/>
              <w:spacing w:line="360" w:lineRule="auto"/>
              <w:jc w:val="left"/>
              <w:rPr>
                <w:rFonts w:hint="eastAsia" w:ascii="宋体" w:hAnsi="宋体" w:cs="宋体"/>
                <w:color w:val="auto"/>
                <w:sz w:val="24"/>
                <w:highlight w:val="none"/>
              </w:rPr>
            </w:pPr>
          </w:p>
        </w:tc>
        <w:tc>
          <w:tcPr>
            <w:tcW w:w="1831" w:type="dxa"/>
            <w:tcBorders>
              <w:top w:val="single" w:color="auto" w:sz="4" w:space="0"/>
              <w:left w:val="single" w:color="auto" w:sz="4" w:space="0"/>
              <w:right w:val="single" w:color="auto" w:sz="4" w:space="0"/>
            </w:tcBorders>
            <w:noWrap w:val="0"/>
            <w:vAlign w:val="center"/>
          </w:tcPr>
          <w:p w14:paraId="787EBF90">
            <w:pPr>
              <w:spacing w:line="360" w:lineRule="auto"/>
              <w:jc w:val="center"/>
              <w:rPr>
                <w:rFonts w:hint="default" w:ascii="宋体" w:hAnsi="宋体" w:eastAsia="宋体" w:cs="宋体"/>
                <w:b w:val="0"/>
                <w:bCs w:val="0"/>
                <w:color w:val="auto"/>
                <w:kern w:val="2"/>
                <w:sz w:val="24"/>
                <w:szCs w:val="24"/>
                <w:highlight w:val="none"/>
                <w:lang w:val="en-US" w:eastAsia="zh-CN" w:bidi="ar-SA"/>
              </w:rPr>
            </w:pPr>
            <w:r>
              <w:rPr>
                <w:rFonts w:hint="eastAsia" w:ascii="宋体" w:hAnsi="宋体" w:cs="宋体"/>
                <w:b w:val="0"/>
                <w:bCs w:val="0"/>
                <w:color w:val="auto"/>
                <w:kern w:val="2"/>
                <w:sz w:val="24"/>
                <w:szCs w:val="24"/>
                <w:highlight w:val="none"/>
                <w:lang w:val="en-US" w:eastAsia="zh-CN" w:bidi="ar-SA"/>
              </w:rPr>
              <w:t>合理化建议</w:t>
            </w:r>
          </w:p>
        </w:tc>
        <w:tc>
          <w:tcPr>
            <w:tcW w:w="5872" w:type="dxa"/>
            <w:tcBorders>
              <w:left w:val="single" w:color="auto" w:sz="4" w:space="0"/>
              <w:bottom w:val="single" w:color="auto" w:sz="4" w:space="0"/>
              <w:right w:val="single" w:color="auto" w:sz="4" w:space="0"/>
            </w:tcBorders>
            <w:noWrap w:val="0"/>
            <w:vAlign w:val="center"/>
          </w:tcPr>
          <w:p w14:paraId="7B652348">
            <w:pPr>
              <w:keepNext w:val="0"/>
              <w:keepLines w:val="0"/>
              <w:pageBreakBefore w:val="0"/>
              <w:kinsoku/>
              <w:wordWrap/>
              <w:overflowPunct/>
              <w:topLinePunct w:val="0"/>
              <w:autoSpaceDE/>
              <w:autoSpaceDN/>
              <w:bidi w:val="0"/>
              <w:adjustRightInd/>
              <w:snapToGrid/>
              <w:spacing w:line="320" w:lineRule="exact"/>
              <w:ind w:firstLine="480" w:firstLineChars="200"/>
              <w:jc w:val="left"/>
              <w:textAlignment w:val="auto"/>
              <w:rPr>
                <w:rFonts w:hint="default"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评委根据投标人对本项目服务的</w:t>
            </w:r>
            <w:r>
              <w:rPr>
                <w:rFonts w:hint="eastAsia" w:ascii="宋体" w:hAnsi="宋体" w:cs="宋体"/>
                <w:b w:val="0"/>
                <w:bCs w:val="0"/>
                <w:color w:val="auto"/>
                <w:kern w:val="2"/>
                <w:sz w:val="24"/>
                <w:szCs w:val="24"/>
                <w:highlight w:val="none"/>
                <w:lang w:val="en-US" w:eastAsia="zh-CN" w:bidi="ar-SA"/>
              </w:rPr>
              <w:t>合理化建议进行综合评议。</w:t>
            </w:r>
          </w:p>
        </w:tc>
        <w:tc>
          <w:tcPr>
            <w:tcW w:w="1003" w:type="dxa"/>
            <w:tcBorders>
              <w:left w:val="single" w:color="auto" w:sz="4" w:space="0"/>
              <w:right w:val="single" w:color="auto" w:sz="4" w:space="0"/>
            </w:tcBorders>
            <w:noWrap w:val="0"/>
            <w:vAlign w:val="center"/>
          </w:tcPr>
          <w:p w14:paraId="2B1E06BB">
            <w:pPr>
              <w:widowControl/>
              <w:spacing w:line="360" w:lineRule="auto"/>
              <w:jc w:val="center"/>
              <w:rPr>
                <w:rFonts w:hint="default" w:ascii="宋体" w:hAnsi="宋体" w:cs="宋体"/>
                <w:b w:val="0"/>
                <w:bCs w:val="0"/>
                <w:color w:val="auto"/>
                <w:kern w:val="2"/>
                <w:sz w:val="24"/>
                <w:szCs w:val="24"/>
                <w:highlight w:val="none"/>
                <w:lang w:val="en-US" w:eastAsia="zh-CN" w:bidi="ar-SA"/>
              </w:rPr>
            </w:pPr>
            <w:r>
              <w:rPr>
                <w:rFonts w:hint="eastAsia" w:ascii="宋体" w:hAnsi="宋体" w:cs="宋体"/>
                <w:b w:val="0"/>
                <w:bCs w:val="0"/>
                <w:color w:val="auto"/>
                <w:kern w:val="2"/>
                <w:sz w:val="24"/>
                <w:szCs w:val="24"/>
                <w:highlight w:val="none"/>
                <w:lang w:val="en-US" w:eastAsia="zh-CN" w:bidi="ar-SA"/>
              </w:rPr>
              <w:t>3</w:t>
            </w:r>
          </w:p>
        </w:tc>
      </w:tr>
      <w:tr w14:paraId="417221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1272" w:type="dxa"/>
            <w:vMerge w:val="restart"/>
            <w:tcBorders>
              <w:left w:val="single" w:color="auto" w:sz="4" w:space="0"/>
              <w:right w:val="single" w:color="auto" w:sz="4" w:space="0"/>
            </w:tcBorders>
            <w:noWrap w:val="0"/>
            <w:vAlign w:val="center"/>
          </w:tcPr>
          <w:p w14:paraId="41BDA6A7">
            <w:pPr>
              <w:spacing w:line="360" w:lineRule="auto"/>
              <w:jc w:val="center"/>
              <w:rPr>
                <w:rFonts w:hint="eastAsia" w:ascii="宋体" w:hAnsi="宋体" w:cs="宋体"/>
                <w:color w:val="auto"/>
                <w:sz w:val="24"/>
                <w:highlight w:val="none"/>
              </w:rPr>
            </w:pPr>
            <w:r>
              <w:rPr>
                <w:rFonts w:hint="eastAsia" w:ascii="宋体" w:hAnsi="宋体"/>
                <w:color w:val="auto"/>
                <w:sz w:val="24"/>
                <w:highlight w:val="none"/>
              </w:rPr>
              <w:t>资信</w:t>
            </w:r>
          </w:p>
        </w:tc>
        <w:tc>
          <w:tcPr>
            <w:tcW w:w="183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3281119">
            <w:pPr>
              <w:widowControl/>
              <w:spacing w:line="360" w:lineRule="auto"/>
              <w:jc w:val="center"/>
              <w:rPr>
                <w:rFonts w:hint="eastAsia" w:ascii="宋体" w:hAnsi="宋体" w:eastAsia="宋体" w:cs="Times New Roman"/>
                <w:color w:val="auto"/>
                <w:kern w:val="2"/>
                <w:sz w:val="24"/>
                <w:szCs w:val="21"/>
                <w:highlight w:val="none"/>
                <w:lang w:val="en-US" w:eastAsia="zh-CN" w:bidi="ar-SA"/>
              </w:rPr>
            </w:pPr>
            <w:r>
              <w:rPr>
                <w:rFonts w:hint="eastAsia" w:ascii="宋体" w:hAnsi="宋体"/>
                <w:color w:val="auto"/>
                <w:sz w:val="24"/>
                <w:highlight w:val="none"/>
                <w:lang w:val="en-US" w:eastAsia="zh-CN"/>
              </w:rPr>
              <w:t>人员证书</w:t>
            </w:r>
          </w:p>
        </w:tc>
        <w:tc>
          <w:tcPr>
            <w:tcW w:w="587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E6100FC">
            <w:pPr>
              <w:keepNext w:val="0"/>
              <w:keepLines w:val="0"/>
              <w:pageBreakBefore w:val="0"/>
              <w:widowControl/>
              <w:kinsoku/>
              <w:wordWrap/>
              <w:overflowPunct/>
              <w:topLinePunct w:val="0"/>
              <w:autoSpaceDE/>
              <w:autoSpaceDN/>
              <w:bidi w:val="0"/>
              <w:adjustRightInd/>
              <w:snapToGrid/>
              <w:spacing w:line="320" w:lineRule="exact"/>
              <w:ind w:firstLine="480" w:firstLineChars="200"/>
              <w:jc w:val="left"/>
              <w:textAlignment w:val="auto"/>
              <w:rPr>
                <w:rFonts w:hint="eastAsia" w:ascii="宋体" w:hAnsi="宋体" w:eastAsia="宋体" w:cs="Times New Roman"/>
                <w:color w:val="auto"/>
                <w:kern w:val="2"/>
                <w:sz w:val="24"/>
                <w:szCs w:val="21"/>
                <w:highlight w:val="none"/>
                <w:lang w:val="en-US" w:eastAsia="zh-CN" w:bidi="ar-SA"/>
              </w:rPr>
            </w:pPr>
            <w:r>
              <w:rPr>
                <w:rFonts w:hint="eastAsia" w:ascii="宋体" w:hAnsi="宋体"/>
                <w:color w:val="auto"/>
                <w:sz w:val="24"/>
                <w:highlight w:val="none"/>
                <w:lang w:val="en-US" w:eastAsia="zh-CN"/>
              </w:rPr>
              <w:t>人员证书</w:t>
            </w:r>
            <w:r>
              <w:rPr>
                <w:rFonts w:hint="eastAsia" w:ascii="宋体" w:hAnsi="宋体"/>
                <w:b/>
                <w:bCs/>
                <w:color w:val="auto"/>
                <w:sz w:val="24"/>
                <w:highlight w:val="none"/>
              </w:rPr>
              <w:t>（具体详见商务要求表）</w:t>
            </w:r>
          </w:p>
        </w:tc>
        <w:tc>
          <w:tcPr>
            <w:tcW w:w="1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4A85649">
            <w:pPr>
              <w:spacing w:line="360" w:lineRule="auto"/>
              <w:jc w:val="center"/>
              <w:rPr>
                <w:rFonts w:hint="eastAsia" w:ascii="宋体" w:hAnsi="宋体" w:eastAsia="宋体" w:cs="Times New Roman"/>
                <w:color w:val="auto"/>
                <w:kern w:val="2"/>
                <w:sz w:val="24"/>
                <w:szCs w:val="21"/>
                <w:highlight w:val="none"/>
                <w:lang w:val="en-US" w:eastAsia="zh-CN" w:bidi="ar-SA"/>
              </w:rPr>
            </w:pPr>
            <w:r>
              <w:rPr>
                <w:rFonts w:hint="eastAsia" w:ascii="宋体" w:hAnsi="宋体"/>
                <w:color w:val="auto"/>
                <w:sz w:val="24"/>
                <w:highlight w:val="none"/>
                <w:lang w:val="en-US" w:eastAsia="zh-CN"/>
              </w:rPr>
              <w:t>2</w:t>
            </w:r>
          </w:p>
        </w:tc>
      </w:tr>
      <w:tr w14:paraId="387715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1272" w:type="dxa"/>
            <w:vMerge w:val="continue"/>
            <w:tcBorders>
              <w:left w:val="single" w:color="auto" w:sz="4" w:space="0"/>
              <w:right w:val="single" w:color="auto" w:sz="4" w:space="0"/>
            </w:tcBorders>
            <w:noWrap w:val="0"/>
            <w:vAlign w:val="center"/>
          </w:tcPr>
          <w:p w14:paraId="76DE962D">
            <w:pPr>
              <w:widowControl/>
              <w:spacing w:line="360" w:lineRule="auto"/>
              <w:jc w:val="left"/>
              <w:rPr>
                <w:rFonts w:hint="eastAsia" w:ascii="宋体" w:hAnsi="宋体" w:cs="宋体"/>
                <w:color w:val="auto"/>
                <w:sz w:val="24"/>
                <w:highlight w:val="none"/>
              </w:rPr>
            </w:pPr>
          </w:p>
        </w:tc>
        <w:tc>
          <w:tcPr>
            <w:tcW w:w="183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889F391">
            <w:pPr>
              <w:widowControl/>
              <w:spacing w:line="360" w:lineRule="auto"/>
              <w:jc w:val="center"/>
              <w:rPr>
                <w:rFonts w:hint="eastAsia" w:ascii="宋体" w:hAnsi="宋体" w:eastAsia="宋体" w:cs="Times New Roman"/>
                <w:color w:val="auto"/>
                <w:kern w:val="2"/>
                <w:sz w:val="24"/>
                <w:szCs w:val="24"/>
                <w:highlight w:val="none"/>
                <w:lang w:val="en-US" w:eastAsia="zh-CN" w:bidi="ar-SA"/>
              </w:rPr>
            </w:pPr>
            <w:r>
              <w:rPr>
                <w:rFonts w:hint="eastAsia" w:ascii="宋体" w:hAnsi="宋体"/>
                <w:color w:val="auto"/>
                <w:sz w:val="24"/>
                <w:highlight w:val="none"/>
                <w:lang w:val="en-US" w:eastAsia="zh-CN"/>
              </w:rPr>
              <w:t>企业证书</w:t>
            </w:r>
          </w:p>
        </w:tc>
        <w:tc>
          <w:tcPr>
            <w:tcW w:w="587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04F5E74">
            <w:pPr>
              <w:keepNext w:val="0"/>
              <w:keepLines w:val="0"/>
              <w:pageBreakBefore w:val="0"/>
              <w:widowControl/>
              <w:kinsoku/>
              <w:wordWrap/>
              <w:overflowPunct/>
              <w:topLinePunct w:val="0"/>
              <w:autoSpaceDE/>
              <w:autoSpaceDN/>
              <w:bidi w:val="0"/>
              <w:adjustRightInd/>
              <w:snapToGrid/>
              <w:spacing w:line="320" w:lineRule="exact"/>
              <w:ind w:firstLine="480" w:firstLineChars="200"/>
              <w:jc w:val="left"/>
              <w:textAlignment w:val="auto"/>
              <w:rPr>
                <w:rFonts w:hint="eastAsia" w:ascii="宋体" w:hAnsi="宋体" w:eastAsia="宋体" w:cs="Times New Roman"/>
                <w:color w:val="auto"/>
                <w:kern w:val="2"/>
                <w:sz w:val="24"/>
                <w:szCs w:val="24"/>
                <w:highlight w:val="none"/>
                <w:lang w:val="en-US" w:eastAsia="zh-CN" w:bidi="ar-SA"/>
              </w:rPr>
            </w:pPr>
            <w:r>
              <w:rPr>
                <w:rFonts w:hint="eastAsia" w:ascii="宋体" w:hAnsi="宋体"/>
                <w:color w:val="auto"/>
                <w:sz w:val="24"/>
                <w:highlight w:val="none"/>
                <w:lang w:val="en-US" w:eastAsia="zh-CN"/>
              </w:rPr>
              <w:t>企业证书</w:t>
            </w:r>
            <w:r>
              <w:rPr>
                <w:rFonts w:hint="eastAsia" w:ascii="宋体" w:hAnsi="宋体"/>
                <w:b/>
                <w:bCs/>
                <w:color w:val="auto"/>
                <w:sz w:val="24"/>
                <w:highlight w:val="none"/>
              </w:rPr>
              <w:t>（具体详见商务要求表）</w:t>
            </w:r>
          </w:p>
        </w:tc>
        <w:tc>
          <w:tcPr>
            <w:tcW w:w="1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40E4642">
            <w:pPr>
              <w:spacing w:line="360" w:lineRule="auto"/>
              <w:jc w:val="center"/>
              <w:rPr>
                <w:rFonts w:hint="default" w:ascii="宋体" w:hAnsi="宋体" w:eastAsia="宋体" w:cs="Times New Roman"/>
                <w:color w:val="auto"/>
                <w:kern w:val="2"/>
                <w:sz w:val="24"/>
                <w:szCs w:val="24"/>
                <w:highlight w:val="none"/>
                <w:lang w:val="en-US" w:eastAsia="zh-CN" w:bidi="ar-SA"/>
              </w:rPr>
            </w:pPr>
            <w:r>
              <w:rPr>
                <w:rFonts w:hint="eastAsia" w:ascii="宋体" w:hAnsi="宋体"/>
                <w:color w:val="auto"/>
                <w:sz w:val="24"/>
                <w:highlight w:val="none"/>
                <w:lang w:val="en-US" w:eastAsia="zh-CN"/>
              </w:rPr>
              <w:t>2</w:t>
            </w:r>
          </w:p>
        </w:tc>
      </w:tr>
    </w:tbl>
    <w:p w14:paraId="5F0525BB">
      <w:pPr>
        <w:pStyle w:val="6"/>
        <w:rPr>
          <w:rFonts w:hint="eastAsia" w:ascii="宋体" w:hAnsi="宋体" w:eastAsia="宋体" w:cs="宋体"/>
          <w:color w:val="auto"/>
          <w:highlight w:val="none"/>
        </w:rPr>
      </w:pPr>
    </w:p>
    <w:p w14:paraId="70D41D0D">
      <w:pPr>
        <w:numPr>
          <w:ilvl w:val="0"/>
          <w:numId w:val="19"/>
        </w:numPr>
        <w:shd w:val="clear"/>
        <w:spacing w:line="360" w:lineRule="auto"/>
        <w:ind w:firstLine="482" w:firstLineChars="200"/>
        <w:rPr>
          <w:rFonts w:hint="eastAsia" w:ascii="宋体" w:hAnsi="宋体" w:eastAsia="宋体" w:cs="宋体"/>
          <w:color w:val="auto"/>
          <w:highlight w:val="none"/>
        </w:rPr>
      </w:pPr>
      <w:r>
        <w:rPr>
          <w:rFonts w:hint="eastAsia" w:ascii="宋体" w:hAnsi="宋体" w:eastAsia="宋体" w:cs="宋体"/>
          <w:b/>
          <w:bCs/>
          <w:color w:val="auto"/>
          <w:sz w:val="24"/>
          <w:szCs w:val="21"/>
          <w:highlight w:val="none"/>
        </w:rPr>
        <w:t>商务要求表</w:t>
      </w:r>
      <w:r>
        <w:rPr>
          <w:rFonts w:hint="eastAsia" w:ascii="宋体" w:hAnsi="宋体" w:eastAsia="宋体" w:cs="宋体"/>
          <w:color w:val="auto"/>
          <w:sz w:val="24"/>
          <w:szCs w:val="21"/>
          <w:highlight w:val="none"/>
        </w:rPr>
        <w:t>（对应评分标准）</w:t>
      </w:r>
    </w:p>
    <w:tbl>
      <w:tblPr>
        <w:tblStyle w:val="29"/>
        <w:tblW w:w="98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5"/>
        <w:gridCol w:w="1341"/>
        <w:gridCol w:w="6528"/>
      </w:tblGrid>
      <w:tr w14:paraId="152B6D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995" w:type="dxa"/>
            <w:vMerge w:val="restart"/>
            <w:tcBorders>
              <w:left w:val="single" w:color="auto" w:sz="4" w:space="0"/>
              <w:right w:val="single" w:color="auto" w:sz="4" w:space="0"/>
            </w:tcBorders>
            <w:noWrap w:val="0"/>
            <w:vAlign w:val="center"/>
          </w:tcPr>
          <w:p w14:paraId="06935E66">
            <w:pPr>
              <w:spacing w:line="360" w:lineRule="auto"/>
              <w:jc w:val="center"/>
              <w:rPr>
                <w:rFonts w:ascii="宋体" w:hAnsi="宋体"/>
                <w:color w:val="auto"/>
                <w:sz w:val="24"/>
                <w:highlight w:val="none"/>
              </w:rPr>
            </w:pPr>
            <w:r>
              <w:rPr>
                <w:rFonts w:hint="eastAsia" w:ascii="宋体" w:hAnsi="宋体"/>
                <w:color w:val="auto"/>
                <w:sz w:val="24"/>
                <w:highlight w:val="none"/>
              </w:rPr>
              <w:t>资信</w:t>
            </w:r>
          </w:p>
        </w:tc>
        <w:tc>
          <w:tcPr>
            <w:tcW w:w="1341" w:type="dxa"/>
            <w:tcBorders>
              <w:left w:val="nil"/>
              <w:right w:val="single" w:color="auto" w:sz="4" w:space="0"/>
            </w:tcBorders>
            <w:shd w:val="clear" w:color="auto" w:fill="auto"/>
            <w:noWrap w:val="0"/>
            <w:vAlign w:val="center"/>
          </w:tcPr>
          <w:p w14:paraId="57EB24E0">
            <w:pPr>
              <w:widowControl/>
              <w:spacing w:line="360" w:lineRule="auto"/>
              <w:jc w:val="center"/>
              <w:rPr>
                <w:rFonts w:hint="eastAsia" w:ascii="宋体" w:hAnsi="宋体" w:eastAsia="宋体" w:cs="Times New Roman"/>
                <w:color w:val="auto"/>
                <w:kern w:val="2"/>
                <w:sz w:val="24"/>
                <w:szCs w:val="21"/>
                <w:highlight w:val="none"/>
                <w:lang w:val="en-US" w:eastAsia="zh-CN" w:bidi="ar-SA"/>
              </w:rPr>
            </w:pPr>
            <w:r>
              <w:rPr>
                <w:rFonts w:hint="eastAsia" w:ascii="宋体" w:hAnsi="宋体"/>
                <w:color w:val="auto"/>
                <w:sz w:val="24"/>
                <w:highlight w:val="none"/>
              </w:rPr>
              <w:t>人员证书</w:t>
            </w:r>
          </w:p>
        </w:tc>
        <w:tc>
          <w:tcPr>
            <w:tcW w:w="6528" w:type="dxa"/>
            <w:tcBorders>
              <w:top w:val="single" w:color="auto" w:sz="4" w:space="0"/>
              <w:left w:val="nil"/>
              <w:right w:val="single" w:color="auto" w:sz="4" w:space="0"/>
            </w:tcBorders>
            <w:shd w:val="clear" w:color="auto" w:fill="auto"/>
            <w:noWrap w:val="0"/>
            <w:vAlign w:val="center"/>
          </w:tcPr>
          <w:p w14:paraId="07B7AC92">
            <w:pPr>
              <w:pStyle w:val="76"/>
              <w:numPr>
                <w:ilvl w:val="0"/>
                <w:numId w:val="0"/>
              </w:numPr>
              <w:spacing w:line="360" w:lineRule="auto"/>
              <w:ind w:left="0" w:leftChars="0" w:firstLine="480" w:firstLineChars="200"/>
              <w:rPr>
                <w:rFonts w:hint="eastAsia" w:ascii="宋体" w:hAnsi="宋体" w:eastAsia="宋体" w:cs="Times New Roman"/>
                <w:color w:val="auto"/>
                <w:kern w:val="2"/>
                <w:sz w:val="24"/>
                <w:szCs w:val="24"/>
                <w:highlight w:val="none"/>
                <w:lang w:val="zh-CN" w:eastAsia="zh-CN" w:bidi="ar-SA"/>
              </w:rPr>
            </w:pPr>
            <w:r>
              <w:rPr>
                <w:rStyle w:val="73"/>
                <w:rFonts w:hint="eastAsia" w:ascii="宋体" w:hAnsi="宋体" w:eastAsia="宋体" w:cs="宋体"/>
                <w:snapToGrid w:val="0"/>
                <w:color w:val="auto"/>
                <w:kern w:val="0"/>
                <w:sz w:val="24"/>
                <w:szCs w:val="24"/>
                <w:highlight w:val="none"/>
                <w:lang w:val="en-US" w:eastAsia="zh-CN" w:bidi="ar-SA"/>
              </w:rPr>
              <w:t>投标人项目负责人具有消防工程师</w:t>
            </w:r>
            <w:r>
              <w:rPr>
                <w:rStyle w:val="73"/>
                <w:rFonts w:hint="eastAsia" w:ascii="宋体" w:hAnsi="宋体" w:cs="宋体"/>
                <w:snapToGrid w:val="0"/>
                <w:color w:val="auto"/>
                <w:kern w:val="0"/>
                <w:sz w:val="24"/>
                <w:szCs w:val="24"/>
                <w:highlight w:val="none"/>
                <w:lang w:val="en-US" w:eastAsia="zh-CN" w:bidi="ar-SA"/>
              </w:rPr>
              <w:t>或</w:t>
            </w:r>
            <w:r>
              <w:rPr>
                <w:rStyle w:val="73"/>
                <w:rFonts w:hint="eastAsia" w:ascii="宋体" w:hAnsi="宋体" w:eastAsia="宋体" w:cs="宋体"/>
                <w:snapToGrid w:val="0"/>
                <w:color w:val="auto"/>
                <w:kern w:val="0"/>
                <w:sz w:val="24"/>
                <w:szCs w:val="24"/>
                <w:highlight w:val="none"/>
                <w:lang w:val="en-US" w:eastAsia="zh-CN" w:bidi="ar-SA"/>
              </w:rPr>
              <w:t>安全工程师证书的得</w:t>
            </w:r>
            <w:r>
              <w:rPr>
                <w:rStyle w:val="73"/>
                <w:rFonts w:hint="eastAsia" w:ascii="宋体" w:hAnsi="宋体" w:cs="宋体"/>
                <w:snapToGrid w:val="0"/>
                <w:color w:val="auto"/>
                <w:kern w:val="0"/>
                <w:sz w:val="24"/>
                <w:szCs w:val="24"/>
                <w:highlight w:val="none"/>
                <w:lang w:val="en-US" w:eastAsia="zh-CN" w:bidi="ar-SA"/>
              </w:rPr>
              <w:t>2</w:t>
            </w:r>
            <w:r>
              <w:rPr>
                <w:rStyle w:val="73"/>
                <w:rFonts w:hint="eastAsia" w:ascii="宋体" w:hAnsi="宋体" w:eastAsia="宋体" w:cs="宋体"/>
                <w:snapToGrid w:val="0"/>
                <w:color w:val="auto"/>
                <w:kern w:val="0"/>
                <w:sz w:val="24"/>
                <w:szCs w:val="24"/>
                <w:highlight w:val="none"/>
                <w:lang w:val="en-US" w:eastAsia="zh-CN" w:bidi="ar-SA"/>
              </w:rPr>
              <w:t>分，最高得</w:t>
            </w:r>
            <w:r>
              <w:rPr>
                <w:rStyle w:val="73"/>
                <w:rFonts w:hint="eastAsia" w:ascii="宋体" w:hAnsi="宋体" w:cs="宋体"/>
                <w:snapToGrid w:val="0"/>
                <w:color w:val="auto"/>
                <w:kern w:val="0"/>
                <w:sz w:val="24"/>
                <w:szCs w:val="24"/>
                <w:highlight w:val="none"/>
                <w:lang w:val="en-US" w:eastAsia="zh-CN" w:bidi="ar-SA"/>
              </w:rPr>
              <w:t>2</w:t>
            </w:r>
            <w:r>
              <w:rPr>
                <w:rStyle w:val="73"/>
                <w:rFonts w:hint="eastAsia" w:ascii="宋体" w:hAnsi="宋体" w:eastAsia="宋体" w:cs="宋体"/>
                <w:snapToGrid w:val="0"/>
                <w:color w:val="auto"/>
                <w:kern w:val="0"/>
                <w:sz w:val="24"/>
                <w:szCs w:val="24"/>
                <w:highlight w:val="none"/>
                <w:lang w:val="en-US" w:eastAsia="zh-CN" w:bidi="ar-SA"/>
              </w:rPr>
              <w:t>分</w:t>
            </w:r>
            <w:r>
              <w:rPr>
                <w:rStyle w:val="73"/>
                <w:rFonts w:hint="eastAsia" w:ascii="宋体" w:hAnsi="宋体" w:cs="宋体"/>
                <w:snapToGrid w:val="0"/>
                <w:color w:val="auto"/>
                <w:kern w:val="0"/>
                <w:sz w:val="24"/>
                <w:szCs w:val="24"/>
                <w:highlight w:val="none"/>
                <w:lang w:val="en-US" w:eastAsia="zh-CN" w:bidi="ar-SA"/>
              </w:rPr>
              <w:t>。</w:t>
            </w:r>
            <w:r>
              <w:rPr>
                <w:rFonts w:hint="eastAsia" w:ascii="宋体" w:hAnsi="宋体" w:eastAsia="宋体" w:cs="宋体"/>
                <w:b/>
                <w:bCs/>
                <w:color w:val="auto"/>
                <w:kern w:val="0"/>
                <w:sz w:val="24"/>
                <w:szCs w:val="24"/>
                <w:highlight w:val="none"/>
              </w:rPr>
              <w:t>（</w:t>
            </w:r>
            <w:r>
              <w:rPr>
                <w:rFonts w:hint="eastAsia" w:ascii="宋体" w:hAnsi="宋体" w:eastAsia="宋体" w:cs="宋体"/>
                <w:b/>
                <w:bCs/>
                <w:color w:val="auto"/>
                <w:kern w:val="0"/>
                <w:sz w:val="24"/>
                <w:szCs w:val="24"/>
                <w:highlight w:val="none"/>
                <w:lang w:eastAsia="zh-CN"/>
              </w:rPr>
              <w:t>须</w:t>
            </w:r>
            <w:r>
              <w:rPr>
                <w:rFonts w:hint="eastAsia" w:ascii="宋体" w:hAnsi="宋体" w:eastAsia="宋体" w:cs="宋体"/>
                <w:b/>
                <w:bCs/>
                <w:color w:val="auto"/>
                <w:kern w:val="0"/>
                <w:sz w:val="24"/>
                <w:szCs w:val="24"/>
                <w:highlight w:val="none"/>
              </w:rPr>
              <w:t>提供</w:t>
            </w:r>
            <w:r>
              <w:rPr>
                <w:rFonts w:hint="eastAsia" w:ascii="宋体" w:hAnsi="宋体" w:eastAsia="宋体" w:cs="宋体"/>
                <w:b/>
                <w:bCs/>
                <w:color w:val="auto"/>
                <w:kern w:val="0"/>
                <w:sz w:val="24"/>
                <w:szCs w:val="24"/>
                <w:highlight w:val="none"/>
                <w:lang w:eastAsia="zh-CN"/>
              </w:rPr>
              <w:t>相关</w:t>
            </w:r>
            <w:r>
              <w:rPr>
                <w:rFonts w:hint="eastAsia" w:ascii="宋体" w:hAnsi="宋体" w:eastAsia="宋体" w:cs="宋体"/>
                <w:b/>
                <w:bCs/>
                <w:color w:val="auto"/>
                <w:kern w:val="0"/>
                <w:sz w:val="24"/>
                <w:szCs w:val="24"/>
                <w:highlight w:val="none"/>
              </w:rPr>
              <w:t>证书</w:t>
            </w:r>
            <w:r>
              <w:rPr>
                <w:rFonts w:hint="eastAsia" w:ascii="宋体" w:hAnsi="宋体" w:eastAsia="宋体" w:cs="宋体"/>
                <w:b/>
                <w:bCs/>
                <w:color w:val="auto"/>
                <w:kern w:val="0"/>
                <w:sz w:val="24"/>
                <w:szCs w:val="24"/>
                <w:highlight w:val="none"/>
                <w:lang w:eastAsia="zh-CN"/>
              </w:rPr>
              <w:t>扫描</w:t>
            </w:r>
            <w:r>
              <w:rPr>
                <w:rFonts w:hint="eastAsia" w:ascii="宋体" w:hAnsi="宋体" w:eastAsia="宋体" w:cs="宋体"/>
                <w:b/>
                <w:bCs/>
                <w:color w:val="auto"/>
                <w:kern w:val="0"/>
                <w:sz w:val="24"/>
                <w:szCs w:val="24"/>
                <w:highlight w:val="none"/>
              </w:rPr>
              <w:t>件</w:t>
            </w:r>
            <w:r>
              <w:rPr>
                <w:rFonts w:hint="eastAsia" w:ascii="宋体" w:hAnsi="宋体" w:eastAsia="宋体" w:cs="宋体"/>
                <w:b/>
                <w:bCs/>
                <w:color w:val="auto"/>
                <w:kern w:val="0"/>
                <w:sz w:val="24"/>
                <w:szCs w:val="24"/>
                <w:highlight w:val="none"/>
                <w:lang w:eastAsia="zh-CN"/>
              </w:rPr>
              <w:t>及</w:t>
            </w:r>
            <w:r>
              <w:rPr>
                <w:rFonts w:hint="eastAsia" w:ascii="宋体" w:hAnsi="宋体" w:eastAsia="宋体" w:cs="宋体"/>
                <w:b/>
                <w:bCs/>
                <w:color w:val="auto"/>
                <w:kern w:val="0"/>
                <w:sz w:val="24"/>
                <w:szCs w:val="24"/>
                <w:highlight w:val="none"/>
                <w:lang w:val="en-US" w:eastAsia="zh-CN"/>
              </w:rPr>
              <w:t>社保缴纳证明材料并</w:t>
            </w:r>
            <w:r>
              <w:rPr>
                <w:rFonts w:hint="eastAsia" w:ascii="宋体" w:hAnsi="宋体" w:eastAsia="宋体" w:cs="宋体"/>
                <w:b/>
                <w:bCs/>
                <w:color w:val="auto"/>
                <w:kern w:val="0"/>
                <w:sz w:val="24"/>
                <w:szCs w:val="24"/>
                <w:highlight w:val="none"/>
              </w:rPr>
              <w:t>加盖</w:t>
            </w:r>
            <w:r>
              <w:rPr>
                <w:rFonts w:hint="eastAsia" w:ascii="宋体" w:hAnsi="宋体" w:eastAsia="宋体" w:cs="宋体"/>
                <w:b/>
                <w:bCs/>
                <w:color w:val="auto"/>
                <w:kern w:val="0"/>
                <w:sz w:val="24"/>
                <w:szCs w:val="24"/>
                <w:highlight w:val="none"/>
                <w:lang w:eastAsia="zh-CN"/>
              </w:rPr>
              <w:t>单位</w:t>
            </w:r>
            <w:r>
              <w:rPr>
                <w:rFonts w:hint="eastAsia" w:ascii="宋体" w:hAnsi="宋体" w:eastAsia="宋体" w:cs="宋体"/>
                <w:b/>
                <w:bCs/>
                <w:color w:val="auto"/>
                <w:kern w:val="0"/>
                <w:sz w:val="24"/>
                <w:szCs w:val="24"/>
                <w:highlight w:val="none"/>
              </w:rPr>
              <w:t>公章）</w:t>
            </w:r>
          </w:p>
        </w:tc>
      </w:tr>
      <w:tr w14:paraId="798194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1995" w:type="dxa"/>
            <w:vMerge w:val="continue"/>
            <w:tcBorders>
              <w:left w:val="single" w:color="auto" w:sz="4" w:space="0"/>
              <w:right w:val="single" w:color="auto" w:sz="4" w:space="0"/>
            </w:tcBorders>
            <w:noWrap w:val="0"/>
            <w:vAlign w:val="center"/>
          </w:tcPr>
          <w:p w14:paraId="5F016CC4">
            <w:pPr>
              <w:spacing w:line="360" w:lineRule="auto"/>
              <w:jc w:val="center"/>
              <w:rPr>
                <w:rFonts w:ascii="宋体" w:hAnsi="宋体"/>
                <w:color w:val="auto"/>
                <w:sz w:val="24"/>
                <w:highlight w:val="none"/>
              </w:rPr>
            </w:pPr>
          </w:p>
        </w:tc>
        <w:tc>
          <w:tcPr>
            <w:tcW w:w="1341" w:type="dxa"/>
            <w:tcBorders>
              <w:left w:val="nil"/>
              <w:right w:val="single" w:color="auto" w:sz="4" w:space="0"/>
            </w:tcBorders>
            <w:shd w:val="clear" w:color="auto" w:fill="auto"/>
            <w:noWrap w:val="0"/>
            <w:vAlign w:val="center"/>
          </w:tcPr>
          <w:p w14:paraId="270C57E3">
            <w:pPr>
              <w:widowControl/>
              <w:spacing w:line="360" w:lineRule="auto"/>
              <w:jc w:val="center"/>
              <w:rPr>
                <w:rFonts w:hint="eastAsia" w:ascii="宋体" w:hAnsi="宋体" w:eastAsia="宋体" w:cs="Times New Roman"/>
                <w:color w:val="auto"/>
                <w:kern w:val="2"/>
                <w:sz w:val="24"/>
                <w:szCs w:val="21"/>
                <w:highlight w:val="none"/>
                <w:lang w:val="en-US" w:eastAsia="zh-CN" w:bidi="ar-SA"/>
              </w:rPr>
            </w:pPr>
            <w:r>
              <w:rPr>
                <w:rFonts w:hint="eastAsia" w:ascii="宋体" w:hAnsi="宋体"/>
                <w:color w:val="auto"/>
                <w:sz w:val="24"/>
                <w:highlight w:val="none"/>
                <w:lang w:val="en-US" w:eastAsia="zh-CN"/>
              </w:rPr>
              <w:t>企业证书</w:t>
            </w:r>
          </w:p>
        </w:tc>
        <w:tc>
          <w:tcPr>
            <w:tcW w:w="6528" w:type="dxa"/>
            <w:tcBorders>
              <w:top w:val="single" w:color="auto" w:sz="4" w:space="0"/>
              <w:left w:val="nil"/>
              <w:bottom w:val="single" w:color="auto" w:sz="4" w:space="0"/>
              <w:right w:val="single" w:color="auto" w:sz="4" w:space="0"/>
            </w:tcBorders>
            <w:shd w:val="clear" w:color="auto" w:fill="auto"/>
            <w:noWrap w:val="0"/>
            <w:vAlign w:val="center"/>
          </w:tcPr>
          <w:p w14:paraId="7C079A25">
            <w:pPr>
              <w:spacing w:line="360" w:lineRule="auto"/>
              <w:ind w:firstLine="480" w:firstLineChars="200"/>
              <w:rPr>
                <w:rFonts w:hint="eastAsia" w:ascii="宋体" w:hAnsi="宋体" w:eastAsia="宋体" w:cs="Times New Roman"/>
                <w:color w:val="auto"/>
                <w:kern w:val="2"/>
                <w:sz w:val="24"/>
                <w:szCs w:val="21"/>
                <w:highlight w:val="none"/>
                <w:lang w:val="zh-CN" w:eastAsia="zh-CN" w:bidi="ar-SA"/>
              </w:rPr>
            </w:pPr>
            <w:bookmarkStart w:id="119" w:name="_GoBack"/>
            <w:r>
              <w:rPr>
                <w:rStyle w:val="73"/>
                <w:rFonts w:hint="eastAsia" w:ascii="宋体" w:hAnsi="宋体" w:eastAsia="宋体" w:cs="宋体"/>
                <w:snapToGrid w:val="0"/>
                <w:color w:val="auto"/>
                <w:kern w:val="0"/>
                <w:sz w:val="24"/>
                <w:szCs w:val="24"/>
                <w:highlight w:val="none"/>
                <w:lang w:val="en-US" w:eastAsia="zh-CN" w:bidi="ar-SA"/>
              </w:rPr>
              <w:t>投标人具有安全隐患排查治理信息化系统软件著作权的</w:t>
            </w:r>
            <w:r>
              <w:rPr>
                <w:rStyle w:val="73"/>
                <w:rFonts w:hint="eastAsia" w:ascii="宋体" w:hAnsi="宋体" w:cs="宋体"/>
                <w:snapToGrid w:val="0"/>
                <w:color w:val="auto"/>
                <w:kern w:val="0"/>
                <w:sz w:val="24"/>
                <w:szCs w:val="24"/>
                <w:highlight w:val="none"/>
                <w:lang w:val="en-US" w:eastAsia="zh-CN" w:bidi="ar-SA"/>
              </w:rPr>
              <w:t>每个得1分，最高</w:t>
            </w:r>
            <w:r>
              <w:rPr>
                <w:rStyle w:val="73"/>
                <w:rFonts w:hint="eastAsia" w:ascii="宋体" w:hAnsi="宋体" w:eastAsia="宋体" w:cs="宋体"/>
                <w:snapToGrid w:val="0"/>
                <w:color w:val="auto"/>
                <w:kern w:val="0"/>
                <w:sz w:val="24"/>
                <w:szCs w:val="24"/>
                <w:highlight w:val="none"/>
                <w:lang w:val="en-US" w:eastAsia="zh-CN" w:bidi="ar-SA"/>
              </w:rPr>
              <w:t>得</w:t>
            </w:r>
            <w:r>
              <w:rPr>
                <w:rStyle w:val="73"/>
                <w:rFonts w:hint="eastAsia" w:ascii="宋体" w:hAnsi="宋体" w:cs="宋体"/>
                <w:snapToGrid w:val="0"/>
                <w:color w:val="auto"/>
                <w:kern w:val="0"/>
                <w:sz w:val="24"/>
                <w:szCs w:val="24"/>
                <w:highlight w:val="none"/>
                <w:lang w:val="en-US" w:eastAsia="zh-CN" w:bidi="ar-SA"/>
              </w:rPr>
              <w:t>2</w:t>
            </w:r>
            <w:r>
              <w:rPr>
                <w:rStyle w:val="73"/>
                <w:rFonts w:hint="eastAsia" w:ascii="宋体" w:hAnsi="宋体" w:eastAsia="宋体" w:cs="宋体"/>
                <w:snapToGrid w:val="0"/>
                <w:color w:val="auto"/>
                <w:kern w:val="0"/>
                <w:sz w:val="24"/>
                <w:szCs w:val="24"/>
                <w:highlight w:val="none"/>
                <w:lang w:val="en-US" w:eastAsia="zh-CN" w:bidi="ar-SA"/>
              </w:rPr>
              <w:t>分</w:t>
            </w:r>
            <w:r>
              <w:rPr>
                <w:rStyle w:val="73"/>
                <w:rFonts w:hint="eastAsia" w:ascii="宋体" w:hAnsi="宋体" w:cs="宋体"/>
                <w:snapToGrid w:val="0"/>
                <w:color w:val="auto"/>
                <w:kern w:val="0"/>
                <w:sz w:val="24"/>
                <w:szCs w:val="24"/>
                <w:highlight w:val="none"/>
                <w:lang w:val="en-US" w:eastAsia="zh-CN" w:bidi="ar-SA"/>
              </w:rPr>
              <w:t>。</w:t>
            </w:r>
            <w:r>
              <w:rPr>
                <w:rFonts w:hint="eastAsia" w:ascii="宋体" w:hAnsi="宋体" w:eastAsia="宋体" w:cs="宋体"/>
                <w:b/>
                <w:bCs/>
                <w:color w:val="auto"/>
                <w:kern w:val="0"/>
                <w:sz w:val="24"/>
                <w:szCs w:val="24"/>
                <w:highlight w:val="none"/>
                <w:lang w:val="en-US" w:eastAsia="zh-CN"/>
              </w:rPr>
              <w:t>（须</w:t>
            </w:r>
            <w:r>
              <w:rPr>
                <w:rFonts w:hint="eastAsia" w:ascii="宋体" w:hAnsi="宋体" w:eastAsia="宋体" w:cs="宋体"/>
                <w:b/>
                <w:bCs/>
                <w:color w:val="auto"/>
                <w:kern w:val="0"/>
                <w:sz w:val="24"/>
                <w:szCs w:val="24"/>
                <w:highlight w:val="none"/>
                <w:lang w:val="en-US"/>
              </w:rPr>
              <w:t>提供</w:t>
            </w:r>
            <w:r>
              <w:rPr>
                <w:rFonts w:hint="eastAsia" w:ascii="宋体" w:hAnsi="宋体" w:eastAsia="宋体" w:cs="宋体"/>
                <w:b/>
                <w:bCs/>
                <w:color w:val="auto"/>
                <w:kern w:val="0"/>
                <w:sz w:val="24"/>
                <w:szCs w:val="24"/>
                <w:highlight w:val="none"/>
                <w:lang w:val="en-US" w:eastAsia="zh-CN"/>
              </w:rPr>
              <w:t>相关证明材料扫描件并加盖单位公章）</w:t>
            </w:r>
            <w:bookmarkEnd w:id="119"/>
          </w:p>
        </w:tc>
      </w:tr>
    </w:tbl>
    <w:p w14:paraId="0F2A4AB0">
      <w:pPr>
        <w:shd w:val="clea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w:t>
      </w:r>
    </w:p>
    <w:p w14:paraId="4CCDA6AF">
      <w:pPr>
        <w:shd w:val="clea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1、评标委员会各成员应当独立对每个供应商的响应文件进行评价，并汇总每个供应商的得分。资信分为客观分，也需独立进行评价并核对分值，最终分值需一致。</w:t>
      </w:r>
    </w:p>
    <w:p w14:paraId="21722677">
      <w:pPr>
        <w:shd w:val="clea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2、所有文件、合同、证书、资质等需要真实有效。成交供应商在中标后签订合同时需提供以上证明文件原件，若发现资料作假的取消中标资格。</w:t>
      </w:r>
      <w:bookmarkStart w:id="91" w:name="_Toc4517"/>
      <w:bookmarkStart w:id="92" w:name="_Toc8033"/>
      <w:r>
        <w:rPr>
          <w:rFonts w:hint="eastAsia" w:ascii="宋体" w:hAnsi="宋体" w:eastAsia="宋体" w:cs="宋体"/>
          <w:color w:val="auto"/>
          <w:sz w:val="24"/>
          <w:szCs w:val="24"/>
          <w:highlight w:val="none"/>
        </w:rPr>
        <w:t xml:space="preserve"> </w:t>
      </w:r>
    </w:p>
    <w:bookmarkEnd w:id="91"/>
    <w:bookmarkEnd w:id="92"/>
    <w:p w14:paraId="13696BC3">
      <w:pPr>
        <w:shd w:val="clear"/>
        <w:rPr>
          <w:rFonts w:hint="eastAsia" w:ascii="宋体" w:hAnsi="宋体" w:eastAsia="宋体" w:cs="宋体"/>
          <w:b/>
          <w:color w:val="auto"/>
          <w:sz w:val="36"/>
          <w:szCs w:val="36"/>
          <w:highlight w:val="none"/>
        </w:rPr>
      </w:pPr>
      <w:bookmarkStart w:id="93" w:name="_Toc11497"/>
      <w:bookmarkStart w:id="94" w:name="_Toc4669"/>
      <w:bookmarkStart w:id="95" w:name="_Toc7690"/>
      <w:r>
        <w:rPr>
          <w:rFonts w:hint="eastAsia" w:ascii="宋体" w:hAnsi="宋体" w:eastAsia="宋体" w:cs="宋体"/>
          <w:b/>
          <w:color w:val="auto"/>
          <w:sz w:val="36"/>
          <w:szCs w:val="36"/>
          <w:highlight w:val="none"/>
        </w:rPr>
        <w:br w:type="page"/>
      </w:r>
    </w:p>
    <w:p w14:paraId="7823A37E">
      <w:pPr>
        <w:pStyle w:val="9"/>
        <w:numPr>
          <w:ilvl w:val="0"/>
          <w:numId w:val="0"/>
        </w:numPr>
        <w:shd w:val="clear"/>
        <w:jc w:val="center"/>
        <w:rPr>
          <w:rFonts w:hint="eastAsia" w:ascii="宋体" w:hAnsi="宋体" w:eastAsia="宋体" w:cs="宋体"/>
          <w:color w:val="auto"/>
          <w:sz w:val="36"/>
          <w:szCs w:val="36"/>
          <w:highlight w:val="none"/>
        </w:rPr>
      </w:pPr>
      <w:bookmarkStart w:id="96" w:name="_Toc7418"/>
      <w:r>
        <w:rPr>
          <w:rFonts w:hint="eastAsia" w:ascii="宋体" w:hAnsi="宋体" w:eastAsia="宋体" w:cs="宋体"/>
          <w:b/>
          <w:bCs/>
          <w:color w:val="auto"/>
          <w:kern w:val="44"/>
          <w:sz w:val="36"/>
          <w:szCs w:val="36"/>
          <w:highlight w:val="none"/>
          <w:lang w:val="en-US" w:eastAsia="zh-CN" w:bidi="ar-SA"/>
        </w:rPr>
        <w:t>第五部分</w:t>
      </w:r>
      <w:r>
        <w:rPr>
          <w:rFonts w:hint="eastAsia" w:ascii="宋体" w:hAnsi="宋体" w:eastAsia="宋体" w:cs="宋体"/>
          <w:color w:val="auto"/>
          <w:sz w:val="36"/>
          <w:szCs w:val="36"/>
          <w:highlight w:val="none"/>
        </w:rPr>
        <w:t>采购合同</w:t>
      </w:r>
      <w:bookmarkEnd w:id="93"/>
      <w:bookmarkEnd w:id="96"/>
    </w:p>
    <w:p w14:paraId="342552C3">
      <w:pPr>
        <w:shd w:val="clear"/>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合同编号：（202</w:t>
      </w:r>
      <w:r>
        <w:rPr>
          <w:rFonts w:hint="eastAsia" w:ascii="宋体" w:hAnsi="宋体" w:cs="宋体"/>
          <w:color w:val="auto"/>
          <w:kern w:val="0"/>
          <w:sz w:val="24"/>
          <w:highlight w:val="none"/>
          <w:lang w:val="en-US" w:eastAsia="zh-CN"/>
        </w:rPr>
        <w:t>5</w:t>
      </w:r>
      <w:r>
        <w:rPr>
          <w:rFonts w:hint="eastAsia" w:ascii="宋体" w:hAnsi="宋体" w:eastAsia="宋体" w:cs="宋体"/>
          <w:color w:val="auto"/>
          <w:kern w:val="0"/>
          <w:sz w:val="24"/>
          <w:highlight w:val="none"/>
        </w:rPr>
        <w:t>）第</w:t>
      </w:r>
      <w:r>
        <w:rPr>
          <w:rFonts w:hint="eastAsia" w:ascii="宋体" w:hAnsi="宋体" w:eastAsia="宋体" w:cs="宋体"/>
          <w:color w:val="auto"/>
          <w:kern w:val="0"/>
          <w:sz w:val="24"/>
          <w:highlight w:val="none"/>
          <w:u w:val="single"/>
        </w:rPr>
        <w:t>　　</w:t>
      </w:r>
      <w:r>
        <w:rPr>
          <w:rFonts w:hint="eastAsia" w:ascii="宋体" w:hAnsi="宋体" w:eastAsia="宋体" w:cs="宋体"/>
          <w:color w:val="auto"/>
          <w:kern w:val="0"/>
          <w:sz w:val="24"/>
          <w:highlight w:val="none"/>
        </w:rPr>
        <w:t>号</w:t>
      </w:r>
    </w:p>
    <w:p w14:paraId="201EB78B">
      <w:pPr>
        <w:shd w:val="clear"/>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签订日期：202</w:t>
      </w:r>
      <w:r>
        <w:rPr>
          <w:rFonts w:hint="eastAsia" w:ascii="宋体" w:hAnsi="宋体" w:cs="宋体"/>
          <w:color w:val="auto"/>
          <w:kern w:val="0"/>
          <w:sz w:val="24"/>
          <w:highlight w:val="none"/>
          <w:lang w:val="en-US" w:eastAsia="zh-CN"/>
        </w:rPr>
        <w:t>5</w:t>
      </w:r>
      <w:r>
        <w:rPr>
          <w:rFonts w:hint="eastAsia" w:ascii="宋体" w:hAnsi="宋体" w:eastAsia="宋体" w:cs="宋体"/>
          <w:color w:val="auto"/>
          <w:kern w:val="0"/>
          <w:sz w:val="24"/>
          <w:highlight w:val="none"/>
        </w:rPr>
        <w:t>年</w:t>
      </w:r>
      <w:r>
        <w:rPr>
          <w:rFonts w:hint="eastAsia" w:ascii="宋体" w:hAnsi="宋体" w:eastAsia="宋体" w:cs="宋体"/>
          <w:color w:val="auto"/>
          <w:kern w:val="0"/>
          <w:sz w:val="24"/>
          <w:highlight w:val="none"/>
          <w:u w:val="single"/>
        </w:rPr>
        <w:t>　　</w:t>
      </w:r>
      <w:r>
        <w:rPr>
          <w:rFonts w:hint="eastAsia" w:ascii="宋体" w:hAnsi="宋体" w:eastAsia="宋体" w:cs="宋体"/>
          <w:color w:val="auto"/>
          <w:kern w:val="0"/>
          <w:sz w:val="24"/>
          <w:highlight w:val="none"/>
        </w:rPr>
        <w:t>月</w:t>
      </w:r>
      <w:r>
        <w:rPr>
          <w:rFonts w:hint="eastAsia" w:ascii="宋体" w:hAnsi="宋体" w:eastAsia="宋体" w:cs="宋体"/>
          <w:color w:val="auto"/>
          <w:kern w:val="0"/>
          <w:sz w:val="24"/>
          <w:highlight w:val="none"/>
          <w:u w:val="single"/>
        </w:rPr>
        <w:t>　　</w:t>
      </w:r>
      <w:r>
        <w:rPr>
          <w:rFonts w:hint="eastAsia" w:ascii="宋体" w:hAnsi="宋体" w:eastAsia="宋体" w:cs="宋体"/>
          <w:color w:val="auto"/>
          <w:kern w:val="0"/>
          <w:sz w:val="24"/>
          <w:highlight w:val="none"/>
        </w:rPr>
        <w:t>日</w:t>
      </w:r>
    </w:p>
    <w:p w14:paraId="68774D3A">
      <w:pPr>
        <w:shd w:val="clear"/>
        <w:spacing w:line="360" w:lineRule="auto"/>
        <w:ind w:firstLine="480" w:firstLineChars="200"/>
        <w:jc w:val="left"/>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采购单位：</w:t>
      </w:r>
      <w:r>
        <w:rPr>
          <w:rFonts w:hint="eastAsia" w:ascii="宋体" w:hAnsi="宋体" w:eastAsia="宋体" w:cs="宋体"/>
          <w:color w:val="auto"/>
          <w:sz w:val="24"/>
          <w:highlight w:val="none"/>
          <w:u w:val="single"/>
        </w:rPr>
        <w:t>　　　　　　　　　　　　　　　　　　　　　　</w:t>
      </w:r>
      <w:r>
        <w:rPr>
          <w:rFonts w:hint="eastAsia" w:ascii="宋体" w:hAnsi="宋体" w:eastAsia="宋体" w:cs="宋体"/>
          <w:color w:val="auto"/>
          <w:sz w:val="24"/>
          <w:highlight w:val="none"/>
        </w:rPr>
        <w:t>（甲方）</w:t>
      </w:r>
    </w:p>
    <w:p w14:paraId="2EE43633">
      <w:pPr>
        <w:shd w:val="clea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中标单位：</w:t>
      </w:r>
      <w:r>
        <w:rPr>
          <w:rFonts w:hint="eastAsia" w:ascii="宋体" w:hAnsi="宋体" w:eastAsia="宋体" w:cs="宋体"/>
          <w:color w:val="auto"/>
          <w:sz w:val="24"/>
          <w:highlight w:val="none"/>
          <w:u w:val="single"/>
        </w:rPr>
        <w:t>　　　　　　　　　　　　　　　　　　　　　　</w:t>
      </w:r>
      <w:r>
        <w:rPr>
          <w:rFonts w:hint="eastAsia" w:ascii="宋体" w:hAnsi="宋体" w:eastAsia="宋体" w:cs="宋体"/>
          <w:color w:val="auto"/>
          <w:sz w:val="24"/>
          <w:highlight w:val="none"/>
        </w:rPr>
        <w:t>（乙方）</w:t>
      </w:r>
    </w:p>
    <w:p w14:paraId="6BB2934B">
      <w:pPr>
        <w:pStyle w:val="2"/>
        <w:keepNext/>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根据《中华人民共和国民法典》、政府采购编号为</w:t>
      </w:r>
      <w:r>
        <w:rPr>
          <w:rFonts w:hint="eastAsia" w:hAnsi="宋体" w:cs="宋体"/>
          <w:b w:val="0"/>
          <w:bCs w:val="0"/>
          <w:color w:val="auto"/>
          <w:sz w:val="24"/>
          <w:highlight w:val="none"/>
          <w:lang w:eastAsia="zh-CN"/>
        </w:rPr>
        <w:t>YK2025301</w:t>
      </w:r>
      <w:r>
        <w:rPr>
          <w:rFonts w:hint="eastAsia" w:ascii="宋体" w:hAnsi="宋体" w:eastAsia="宋体" w:cs="宋体"/>
          <w:b w:val="0"/>
          <w:bCs w:val="0"/>
          <w:color w:val="auto"/>
          <w:sz w:val="24"/>
          <w:highlight w:val="none"/>
        </w:rPr>
        <w:t>招标文件、中标人响应文件的规定，经公开招标采购，签订本合同。</w:t>
      </w:r>
    </w:p>
    <w:p w14:paraId="14A92F47">
      <w:pPr>
        <w:snapToGrid w:val="0"/>
        <w:spacing w:line="360" w:lineRule="auto"/>
        <w:ind w:firstLine="482" w:firstLineChars="200"/>
        <w:rPr>
          <w:rFonts w:hint="eastAsia" w:ascii="宋体" w:hAnsi="宋体" w:eastAsia="宋体" w:cs="宋体"/>
          <w:b/>
          <w:bCs/>
          <w:snapToGrid w:val="0"/>
          <w:color w:val="auto"/>
          <w:sz w:val="24"/>
          <w:highlight w:val="none"/>
          <w:lang w:eastAsia="zh-CN"/>
        </w:rPr>
      </w:pPr>
      <w:r>
        <w:rPr>
          <w:rFonts w:hint="eastAsia" w:ascii="宋体" w:hAnsi="宋体" w:eastAsia="宋体" w:cs="宋体"/>
          <w:b/>
          <w:bCs/>
          <w:color w:val="auto"/>
          <w:sz w:val="24"/>
          <w:highlight w:val="none"/>
        </w:rPr>
        <w:t>一、</w:t>
      </w:r>
      <w:r>
        <w:rPr>
          <w:rFonts w:hint="eastAsia" w:ascii="宋体" w:hAnsi="宋体" w:eastAsia="宋体" w:cs="宋体"/>
          <w:b/>
          <w:bCs/>
          <w:snapToGrid w:val="0"/>
          <w:color w:val="auto"/>
          <w:sz w:val="24"/>
          <w:highlight w:val="none"/>
          <w:lang w:eastAsia="zh-CN"/>
        </w:rPr>
        <w:t>项目概况</w:t>
      </w:r>
    </w:p>
    <w:p w14:paraId="4477270E">
      <w:pPr>
        <w:snapToGrid w:val="0"/>
        <w:spacing w:line="360" w:lineRule="auto"/>
        <w:ind w:firstLine="480" w:firstLineChars="200"/>
        <w:rPr>
          <w:rFonts w:hint="eastAsia" w:ascii="宋体" w:hAnsi="宋体" w:eastAsia="宋体" w:cs="宋体"/>
          <w:snapToGrid w:val="0"/>
          <w:color w:val="auto"/>
          <w:sz w:val="24"/>
          <w:highlight w:val="none"/>
          <w:lang w:val="en-US" w:eastAsia="zh-CN"/>
        </w:rPr>
      </w:pPr>
      <w:r>
        <w:rPr>
          <w:rFonts w:hint="eastAsia" w:ascii="宋体" w:hAnsi="宋体" w:eastAsia="宋体" w:cs="宋体"/>
          <w:snapToGrid w:val="0"/>
          <w:color w:val="auto"/>
          <w:sz w:val="24"/>
          <w:highlight w:val="none"/>
          <w:lang w:val="en-US" w:eastAsia="zh-CN"/>
        </w:rPr>
        <w:t>为进一步夯实安全生产、消防安全工作基础，提高监管效能，增强生产安全事故防范能力，借助安全生产中介机构专业技术力量为各单位提供安全生产、消防安全管理和技术服务，有效提升各单位安全生产、消防安全基础管理水平和安全生产条件，促进辖区内安全生产、消防安全形势进一步好转，以企业实现绩效。</w:t>
      </w:r>
    </w:p>
    <w:p w14:paraId="426D9DAC">
      <w:pPr>
        <w:snapToGrid w:val="0"/>
        <w:spacing w:line="360" w:lineRule="auto"/>
        <w:ind w:firstLine="480" w:firstLineChars="200"/>
        <w:rPr>
          <w:rFonts w:hint="eastAsia" w:ascii="宋体" w:hAnsi="宋体" w:eastAsia="宋体" w:cs="宋体"/>
          <w:snapToGrid w:val="0"/>
          <w:color w:val="auto"/>
          <w:sz w:val="24"/>
          <w:highlight w:val="none"/>
          <w:lang w:val="en-US" w:eastAsia="zh-CN"/>
        </w:rPr>
      </w:pPr>
      <w:r>
        <w:rPr>
          <w:rFonts w:hint="eastAsia" w:ascii="宋体" w:hAnsi="宋体" w:eastAsia="宋体" w:cs="宋体"/>
          <w:snapToGrid w:val="0"/>
          <w:color w:val="auto"/>
          <w:sz w:val="24"/>
          <w:highlight w:val="none"/>
          <w:lang w:val="en-US" w:eastAsia="zh-CN"/>
        </w:rPr>
        <w:t>对百官街道辖区内工业企业、沿街商铺进行安全生产、消防安全隐患排查、检查整改、</w:t>
      </w:r>
      <w:r>
        <w:rPr>
          <w:rFonts w:hint="eastAsia" w:ascii="宋体" w:hAnsi="宋体" w:cs="宋体"/>
          <w:snapToGrid w:val="0"/>
          <w:color w:val="auto"/>
          <w:sz w:val="24"/>
          <w:highlight w:val="none"/>
          <w:lang w:val="en-US" w:eastAsia="zh-CN"/>
        </w:rPr>
        <w:t>闭环销号、</w:t>
      </w:r>
      <w:r>
        <w:rPr>
          <w:rFonts w:hint="eastAsia" w:ascii="宋体" w:hAnsi="宋体" w:eastAsia="宋体" w:cs="宋体"/>
          <w:snapToGrid w:val="0"/>
          <w:color w:val="auto"/>
          <w:sz w:val="24"/>
          <w:highlight w:val="none"/>
          <w:lang w:val="en-US" w:eastAsia="zh-CN"/>
        </w:rPr>
        <w:t>资料上报、安全生产平台、141平台、九小场所平台数据录入等工作，及配合街道其他专业应消委开展专项性、突击性消防与安全检查等其他相关服务工作。</w:t>
      </w:r>
    </w:p>
    <w:p w14:paraId="7BBD6368">
      <w:pPr>
        <w:pStyle w:val="9"/>
        <w:spacing w:line="360" w:lineRule="auto"/>
        <w:ind w:firstLine="482" w:firstLineChars="200"/>
        <w:rPr>
          <w:rFonts w:hint="eastAsia" w:cs="Times New Roman" w:asciiTheme="minorEastAsia" w:hAnsiTheme="minorEastAsia" w:eastAsiaTheme="minorEastAsia"/>
          <w:color w:val="auto"/>
          <w:sz w:val="24"/>
          <w:szCs w:val="24"/>
          <w:highlight w:val="none"/>
          <w:lang w:eastAsia="zh-CN"/>
        </w:rPr>
      </w:pPr>
      <w:r>
        <w:rPr>
          <w:rFonts w:hint="eastAsia" w:cs="Times New Roman" w:asciiTheme="minorEastAsia" w:hAnsiTheme="minorEastAsia" w:eastAsiaTheme="minorEastAsia"/>
          <w:color w:val="auto"/>
          <w:sz w:val="24"/>
          <w:szCs w:val="24"/>
          <w:highlight w:val="none"/>
        </w:rPr>
        <w:t>二、</w:t>
      </w:r>
      <w:r>
        <w:rPr>
          <w:rFonts w:hint="eastAsia" w:cs="Times New Roman" w:asciiTheme="minorEastAsia" w:hAnsiTheme="minorEastAsia" w:eastAsiaTheme="minorEastAsia"/>
          <w:color w:val="auto"/>
          <w:sz w:val="24"/>
          <w:szCs w:val="24"/>
          <w:highlight w:val="none"/>
          <w:lang w:eastAsia="zh-CN"/>
        </w:rPr>
        <w:t>服务要求</w:t>
      </w:r>
    </w:p>
    <w:p w14:paraId="1E3254DB">
      <w:pPr>
        <w:spacing w:line="360" w:lineRule="auto"/>
        <w:ind w:firstLine="480" w:firstLineChars="200"/>
        <w:jc w:val="left"/>
        <w:rPr>
          <w:rFonts w:hint="eastAsia" w:cs="Times New Roman" w:asciiTheme="minorEastAsia" w:hAnsiTheme="minorEastAsia" w:eastAsiaTheme="minorEastAsia"/>
          <w:b w:val="0"/>
          <w:bCs w:val="0"/>
          <w:color w:val="auto"/>
          <w:kern w:val="44"/>
          <w:sz w:val="24"/>
          <w:szCs w:val="24"/>
          <w:highlight w:val="none"/>
          <w:lang w:val="en-US" w:eastAsia="zh-CN" w:bidi="ar-SA"/>
        </w:rPr>
      </w:pPr>
      <w:r>
        <w:rPr>
          <w:rFonts w:hint="eastAsia" w:cs="Times New Roman" w:asciiTheme="minorEastAsia" w:hAnsiTheme="minorEastAsia" w:eastAsiaTheme="minorEastAsia"/>
          <w:b w:val="0"/>
          <w:bCs w:val="0"/>
          <w:color w:val="auto"/>
          <w:kern w:val="44"/>
          <w:sz w:val="24"/>
          <w:szCs w:val="24"/>
          <w:highlight w:val="none"/>
          <w:lang w:val="en-US" w:eastAsia="zh-CN" w:bidi="ar-SA"/>
        </w:rPr>
        <w:t>（一）巡查要求</w:t>
      </w:r>
    </w:p>
    <w:p w14:paraId="58642C08">
      <w:pPr>
        <w:spacing w:line="360" w:lineRule="auto"/>
        <w:ind w:firstLine="480" w:firstLineChars="200"/>
        <w:jc w:val="left"/>
        <w:rPr>
          <w:rFonts w:hint="eastAsia" w:cs="Times New Roman" w:asciiTheme="minorEastAsia" w:hAnsiTheme="minorEastAsia" w:eastAsiaTheme="minorEastAsia"/>
          <w:b w:val="0"/>
          <w:bCs w:val="0"/>
          <w:color w:val="auto"/>
          <w:kern w:val="44"/>
          <w:sz w:val="24"/>
          <w:szCs w:val="24"/>
          <w:highlight w:val="none"/>
          <w:lang w:val="en-US" w:eastAsia="zh-CN" w:bidi="ar-SA"/>
        </w:rPr>
      </w:pPr>
      <w:r>
        <w:rPr>
          <w:rFonts w:hint="eastAsia" w:cs="Times New Roman" w:asciiTheme="minorEastAsia" w:hAnsiTheme="minorEastAsia" w:eastAsiaTheme="minorEastAsia"/>
          <w:b w:val="0"/>
          <w:bCs w:val="0"/>
          <w:color w:val="auto"/>
          <w:kern w:val="44"/>
          <w:sz w:val="24"/>
          <w:szCs w:val="24"/>
          <w:highlight w:val="none"/>
          <w:lang w:val="en-US" w:eastAsia="zh-CN" w:bidi="ar-SA"/>
        </w:rPr>
        <w:t>1、设置不少于12个巡查岗位，其中4个岗位需在街道设立驻点，协助街道安委会对百官街道辖区内工业企业、沿街商铺进行安全生产、消防安全隐患排查、检查整改、</w:t>
      </w:r>
      <w:r>
        <w:rPr>
          <w:rFonts w:hint="eastAsia" w:ascii="宋体" w:hAnsi="宋体" w:cs="宋体"/>
          <w:snapToGrid w:val="0"/>
          <w:color w:val="auto"/>
          <w:sz w:val="24"/>
          <w:highlight w:val="none"/>
          <w:lang w:val="en-US" w:eastAsia="zh-CN"/>
        </w:rPr>
        <w:t>闭环销号、</w:t>
      </w:r>
      <w:r>
        <w:rPr>
          <w:rFonts w:hint="eastAsia" w:cs="Times New Roman" w:asciiTheme="minorEastAsia" w:hAnsiTheme="minorEastAsia" w:eastAsiaTheme="minorEastAsia"/>
          <w:b w:val="0"/>
          <w:bCs w:val="0"/>
          <w:color w:val="auto"/>
          <w:kern w:val="44"/>
          <w:sz w:val="24"/>
          <w:szCs w:val="24"/>
          <w:highlight w:val="none"/>
          <w:lang w:val="en-US" w:eastAsia="zh-CN" w:bidi="ar-SA"/>
        </w:rPr>
        <w:t>资料上报、安全生产平台、141平台、九小场所平台数据录入等工作及配合街道其他专业应消委开展专项性、突击性消防与安全检查等其他相关服务工作。巡查频率为沿街店铺、工业企业每个季度一次全覆盖。项目团队成员中具有相关注册证书的人员不少于50%（以社保缴纳为准）。</w:t>
      </w:r>
    </w:p>
    <w:p w14:paraId="5CCF93ED">
      <w:pPr>
        <w:spacing w:line="360" w:lineRule="auto"/>
        <w:ind w:firstLine="480" w:firstLineChars="200"/>
        <w:jc w:val="left"/>
        <w:rPr>
          <w:rFonts w:hint="eastAsia" w:cs="Times New Roman" w:asciiTheme="minorEastAsia" w:hAnsiTheme="minorEastAsia" w:eastAsiaTheme="minorEastAsia"/>
          <w:b w:val="0"/>
          <w:bCs w:val="0"/>
          <w:color w:val="auto"/>
          <w:kern w:val="44"/>
          <w:sz w:val="24"/>
          <w:szCs w:val="24"/>
          <w:highlight w:val="none"/>
          <w:lang w:val="en-US" w:eastAsia="zh-CN" w:bidi="ar-SA"/>
        </w:rPr>
      </w:pPr>
      <w:r>
        <w:rPr>
          <w:rFonts w:hint="eastAsia" w:cs="Times New Roman" w:asciiTheme="minorEastAsia" w:hAnsiTheme="minorEastAsia" w:eastAsiaTheme="minorEastAsia"/>
          <w:b w:val="0"/>
          <w:bCs w:val="0"/>
          <w:color w:val="auto"/>
          <w:kern w:val="44"/>
          <w:sz w:val="24"/>
          <w:szCs w:val="24"/>
          <w:highlight w:val="none"/>
          <w:lang w:val="en-US" w:eastAsia="zh-CN" w:bidi="ar-SA"/>
        </w:rPr>
        <w:t>2、投标人需在应急局进行备案，提供应急局网站截图并加盖单位公章。</w:t>
      </w:r>
    </w:p>
    <w:p w14:paraId="5AD1379E">
      <w:pPr>
        <w:spacing w:line="360" w:lineRule="auto"/>
        <w:ind w:firstLine="480" w:firstLineChars="200"/>
        <w:jc w:val="left"/>
        <w:rPr>
          <w:rFonts w:hint="default" w:cs="Times New Roman" w:asciiTheme="minorEastAsia" w:hAnsiTheme="minorEastAsia" w:eastAsiaTheme="minorEastAsia"/>
          <w:b w:val="0"/>
          <w:bCs w:val="0"/>
          <w:color w:val="auto"/>
          <w:kern w:val="44"/>
          <w:sz w:val="24"/>
          <w:szCs w:val="24"/>
          <w:highlight w:val="none"/>
          <w:lang w:val="en-US" w:eastAsia="zh-CN" w:bidi="ar-SA"/>
        </w:rPr>
      </w:pPr>
      <w:r>
        <w:rPr>
          <w:rFonts w:hint="eastAsia" w:cs="Times New Roman" w:asciiTheme="minorEastAsia" w:hAnsiTheme="minorEastAsia" w:eastAsiaTheme="minorEastAsia"/>
          <w:b w:val="0"/>
          <w:bCs w:val="0"/>
          <w:color w:val="auto"/>
          <w:kern w:val="44"/>
          <w:sz w:val="24"/>
          <w:szCs w:val="24"/>
          <w:highlight w:val="none"/>
          <w:lang w:val="en-US" w:eastAsia="zh-CN" w:bidi="ar-SA"/>
        </w:rPr>
        <w:t>（二）服务期限：签订合同之日起一年，2025年  月  日至2026年  月  日。</w:t>
      </w:r>
    </w:p>
    <w:p w14:paraId="0F293A69">
      <w:pPr>
        <w:spacing w:line="360" w:lineRule="auto"/>
        <w:ind w:firstLine="480" w:firstLineChars="200"/>
        <w:jc w:val="left"/>
        <w:rPr>
          <w:rFonts w:hint="eastAsia" w:cs="Times New Roman" w:asciiTheme="minorEastAsia" w:hAnsiTheme="minorEastAsia" w:eastAsiaTheme="minorEastAsia"/>
          <w:b w:val="0"/>
          <w:bCs w:val="0"/>
          <w:color w:val="auto"/>
          <w:kern w:val="44"/>
          <w:sz w:val="24"/>
          <w:szCs w:val="24"/>
          <w:highlight w:val="none"/>
          <w:lang w:val="en-US" w:eastAsia="zh-CN" w:bidi="ar-SA"/>
        </w:rPr>
      </w:pPr>
      <w:r>
        <w:rPr>
          <w:rFonts w:hint="eastAsia" w:cs="Times New Roman" w:asciiTheme="minorEastAsia" w:hAnsiTheme="minorEastAsia" w:eastAsiaTheme="minorEastAsia"/>
          <w:b w:val="0"/>
          <w:bCs w:val="0"/>
          <w:color w:val="auto"/>
          <w:kern w:val="44"/>
          <w:sz w:val="24"/>
          <w:szCs w:val="24"/>
          <w:highlight w:val="none"/>
          <w:lang w:val="en-US" w:eastAsia="zh-CN" w:bidi="ar-SA"/>
        </w:rPr>
        <w:t>（三）具体工作内容</w:t>
      </w:r>
    </w:p>
    <w:p w14:paraId="5D639EEA">
      <w:pPr>
        <w:spacing w:line="360" w:lineRule="auto"/>
        <w:ind w:firstLine="480" w:firstLineChars="200"/>
        <w:jc w:val="left"/>
        <w:rPr>
          <w:rFonts w:hint="eastAsia" w:cs="Times New Roman" w:asciiTheme="minorEastAsia" w:hAnsiTheme="minorEastAsia" w:eastAsiaTheme="minorEastAsia"/>
          <w:b w:val="0"/>
          <w:bCs w:val="0"/>
          <w:color w:val="auto"/>
          <w:kern w:val="44"/>
          <w:sz w:val="24"/>
          <w:szCs w:val="24"/>
          <w:highlight w:val="none"/>
          <w:lang w:val="en-US" w:eastAsia="zh-CN" w:bidi="ar-SA"/>
        </w:rPr>
      </w:pPr>
      <w:r>
        <w:rPr>
          <w:rFonts w:hint="eastAsia" w:cs="Times New Roman" w:asciiTheme="minorEastAsia" w:hAnsiTheme="minorEastAsia" w:eastAsiaTheme="minorEastAsia"/>
          <w:b w:val="0"/>
          <w:bCs w:val="0"/>
          <w:color w:val="auto"/>
          <w:kern w:val="44"/>
          <w:sz w:val="24"/>
          <w:szCs w:val="24"/>
          <w:highlight w:val="none"/>
          <w:lang w:val="en-US" w:eastAsia="zh-CN" w:bidi="ar-SA"/>
        </w:rPr>
        <w:t>1、制定有针对性的安全生产服务方案；</w:t>
      </w:r>
    </w:p>
    <w:p w14:paraId="4A60C769">
      <w:pPr>
        <w:spacing w:line="360" w:lineRule="auto"/>
        <w:ind w:firstLine="480" w:firstLineChars="200"/>
        <w:jc w:val="left"/>
        <w:rPr>
          <w:rFonts w:hint="eastAsia" w:cs="Times New Roman" w:asciiTheme="minorEastAsia" w:hAnsiTheme="minorEastAsia" w:eastAsiaTheme="minorEastAsia"/>
          <w:b w:val="0"/>
          <w:bCs w:val="0"/>
          <w:color w:val="auto"/>
          <w:kern w:val="44"/>
          <w:sz w:val="24"/>
          <w:szCs w:val="24"/>
          <w:highlight w:val="none"/>
          <w:lang w:val="en-US" w:eastAsia="zh-CN" w:bidi="ar-SA"/>
        </w:rPr>
      </w:pPr>
      <w:r>
        <w:rPr>
          <w:rFonts w:hint="eastAsia" w:cs="Times New Roman" w:asciiTheme="minorEastAsia" w:hAnsiTheme="minorEastAsia" w:eastAsiaTheme="minorEastAsia"/>
          <w:b w:val="0"/>
          <w:bCs w:val="0"/>
          <w:color w:val="auto"/>
          <w:kern w:val="44"/>
          <w:sz w:val="24"/>
          <w:szCs w:val="24"/>
          <w:highlight w:val="none"/>
          <w:lang w:val="en-US" w:eastAsia="zh-CN" w:bidi="ar-SA"/>
        </w:rPr>
        <w:t>2、贯彻宣传有关安全生产法律法规和方针政策；</w:t>
      </w:r>
    </w:p>
    <w:p w14:paraId="269F056A">
      <w:pPr>
        <w:spacing w:line="360" w:lineRule="auto"/>
        <w:ind w:firstLine="480" w:firstLineChars="200"/>
        <w:jc w:val="left"/>
        <w:rPr>
          <w:rFonts w:hint="eastAsia" w:cs="Times New Roman" w:asciiTheme="minorEastAsia" w:hAnsiTheme="minorEastAsia" w:eastAsiaTheme="minorEastAsia"/>
          <w:b w:val="0"/>
          <w:bCs w:val="0"/>
          <w:color w:val="auto"/>
          <w:kern w:val="44"/>
          <w:sz w:val="24"/>
          <w:szCs w:val="24"/>
          <w:highlight w:val="none"/>
          <w:lang w:val="en-US" w:eastAsia="zh-CN" w:bidi="ar-SA"/>
        </w:rPr>
      </w:pPr>
      <w:r>
        <w:rPr>
          <w:rFonts w:hint="eastAsia" w:cs="Times New Roman" w:asciiTheme="minorEastAsia" w:hAnsiTheme="minorEastAsia" w:eastAsiaTheme="minorEastAsia"/>
          <w:b w:val="0"/>
          <w:bCs w:val="0"/>
          <w:color w:val="auto"/>
          <w:kern w:val="44"/>
          <w:sz w:val="24"/>
          <w:szCs w:val="24"/>
          <w:highlight w:val="none"/>
          <w:lang w:val="en-US" w:eastAsia="zh-CN" w:bidi="ar-SA"/>
        </w:rPr>
        <w:t>3、指导帮助各单位建立安全生产、消防安全组织机构，落实安全生产、消防安全责任制，完善各类安全生产、消防安全管理制度、应急预案、操作规程和基础台账资料；</w:t>
      </w:r>
    </w:p>
    <w:p w14:paraId="6B936F8B">
      <w:pPr>
        <w:spacing w:line="360" w:lineRule="auto"/>
        <w:ind w:firstLine="480" w:firstLineChars="200"/>
        <w:jc w:val="left"/>
        <w:rPr>
          <w:rFonts w:hint="eastAsia" w:cs="Times New Roman" w:asciiTheme="minorEastAsia" w:hAnsiTheme="minorEastAsia" w:eastAsiaTheme="minorEastAsia"/>
          <w:b w:val="0"/>
          <w:bCs w:val="0"/>
          <w:color w:val="auto"/>
          <w:kern w:val="44"/>
          <w:sz w:val="24"/>
          <w:szCs w:val="24"/>
          <w:highlight w:val="none"/>
          <w:lang w:val="en-US" w:eastAsia="zh-CN" w:bidi="ar-SA"/>
        </w:rPr>
      </w:pPr>
      <w:r>
        <w:rPr>
          <w:rFonts w:hint="eastAsia" w:cs="Times New Roman" w:asciiTheme="minorEastAsia" w:hAnsiTheme="minorEastAsia" w:eastAsiaTheme="minorEastAsia"/>
          <w:b w:val="0"/>
          <w:bCs w:val="0"/>
          <w:color w:val="auto"/>
          <w:kern w:val="44"/>
          <w:sz w:val="24"/>
          <w:szCs w:val="24"/>
          <w:highlight w:val="none"/>
          <w:lang w:val="en-US" w:eastAsia="zh-CN" w:bidi="ar-SA"/>
        </w:rPr>
        <w:t>4、指导各单位负责人、安管员、特种作业人员参加培训并取得相应资格证书，落实三级教育，协助各单位开展安全生产、消防安全教育培训及应急演练；</w:t>
      </w:r>
    </w:p>
    <w:p w14:paraId="5C111D74">
      <w:pPr>
        <w:spacing w:line="360" w:lineRule="auto"/>
        <w:ind w:firstLine="480" w:firstLineChars="200"/>
        <w:jc w:val="left"/>
        <w:rPr>
          <w:rFonts w:hint="eastAsia" w:cs="Times New Roman" w:asciiTheme="minorEastAsia" w:hAnsiTheme="minorEastAsia" w:eastAsiaTheme="minorEastAsia"/>
          <w:b w:val="0"/>
          <w:bCs w:val="0"/>
          <w:color w:val="auto"/>
          <w:kern w:val="44"/>
          <w:sz w:val="24"/>
          <w:szCs w:val="24"/>
          <w:highlight w:val="none"/>
          <w:lang w:val="en-US" w:eastAsia="zh-CN" w:bidi="ar-SA"/>
        </w:rPr>
      </w:pPr>
      <w:r>
        <w:rPr>
          <w:rFonts w:hint="eastAsia" w:cs="Times New Roman" w:asciiTheme="minorEastAsia" w:hAnsiTheme="minorEastAsia" w:eastAsiaTheme="minorEastAsia"/>
          <w:b w:val="0"/>
          <w:bCs w:val="0"/>
          <w:color w:val="auto"/>
          <w:kern w:val="44"/>
          <w:sz w:val="24"/>
          <w:szCs w:val="24"/>
          <w:highlight w:val="none"/>
          <w:lang w:val="en-US" w:eastAsia="zh-CN" w:bidi="ar-SA"/>
        </w:rPr>
        <w:t>5、指导各单位开展安全生产、消防安全隐患排查，突出消防设施、设备、电线私拉私接、电瓶车乱停放、燃气违规存放使用、消防通道畅通等方面。</w:t>
      </w:r>
    </w:p>
    <w:p w14:paraId="1C131887">
      <w:pPr>
        <w:spacing w:line="360" w:lineRule="auto"/>
        <w:ind w:firstLine="480" w:firstLineChars="200"/>
        <w:jc w:val="left"/>
        <w:rPr>
          <w:rFonts w:hint="eastAsia" w:cs="Times New Roman" w:asciiTheme="minorEastAsia" w:hAnsiTheme="minorEastAsia" w:eastAsiaTheme="minorEastAsia"/>
          <w:b w:val="0"/>
          <w:bCs w:val="0"/>
          <w:color w:val="auto"/>
          <w:kern w:val="44"/>
          <w:sz w:val="24"/>
          <w:szCs w:val="24"/>
          <w:highlight w:val="none"/>
          <w:lang w:val="en-US" w:eastAsia="zh-CN" w:bidi="ar-SA"/>
        </w:rPr>
      </w:pPr>
      <w:r>
        <w:rPr>
          <w:rFonts w:hint="eastAsia" w:cs="Times New Roman" w:asciiTheme="minorEastAsia" w:hAnsiTheme="minorEastAsia" w:eastAsiaTheme="minorEastAsia"/>
          <w:b w:val="0"/>
          <w:bCs w:val="0"/>
          <w:color w:val="auto"/>
          <w:kern w:val="44"/>
          <w:sz w:val="24"/>
          <w:szCs w:val="24"/>
          <w:highlight w:val="none"/>
          <w:lang w:val="en-US" w:eastAsia="zh-CN" w:bidi="ar-SA"/>
        </w:rPr>
        <w:t>6、配合街道其他专业应消委开展专项性、突击性消防与安全检查等其他相关服务工作。</w:t>
      </w:r>
    </w:p>
    <w:p w14:paraId="36DE7302">
      <w:pPr>
        <w:pStyle w:val="9"/>
        <w:spacing w:line="360" w:lineRule="auto"/>
        <w:ind w:firstLine="482" w:firstLineChars="200"/>
        <w:rPr>
          <w:rFonts w:hint="eastAsia" w:cs="Times New Roman" w:asciiTheme="minorEastAsia" w:hAnsiTheme="minorEastAsia" w:eastAsiaTheme="minorEastAsia"/>
          <w:color w:val="auto"/>
          <w:sz w:val="24"/>
          <w:szCs w:val="24"/>
          <w:highlight w:val="none"/>
          <w:lang w:eastAsia="zh-CN"/>
        </w:rPr>
      </w:pPr>
      <w:r>
        <w:rPr>
          <w:rFonts w:hint="eastAsia" w:cs="Times New Roman" w:asciiTheme="minorEastAsia" w:hAnsiTheme="minorEastAsia" w:eastAsiaTheme="minorEastAsia"/>
          <w:color w:val="auto"/>
          <w:sz w:val="24"/>
          <w:szCs w:val="24"/>
          <w:highlight w:val="none"/>
        </w:rPr>
        <w:t>三、</w:t>
      </w:r>
      <w:r>
        <w:rPr>
          <w:rFonts w:hint="eastAsia" w:cs="Times New Roman" w:asciiTheme="minorEastAsia" w:hAnsiTheme="minorEastAsia" w:eastAsiaTheme="minorEastAsia"/>
          <w:color w:val="auto"/>
          <w:sz w:val="24"/>
          <w:szCs w:val="24"/>
          <w:highlight w:val="none"/>
          <w:lang w:eastAsia="zh-CN"/>
        </w:rPr>
        <w:t>考核验收办法</w:t>
      </w:r>
    </w:p>
    <w:p w14:paraId="222DC2F3">
      <w:pPr>
        <w:spacing w:line="360" w:lineRule="auto"/>
        <w:ind w:firstLine="480" w:firstLineChars="200"/>
        <w:jc w:val="left"/>
        <w:rPr>
          <w:rFonts w:hint="eastAsia"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中标单位必须及时将安全检查资料、现场勘查记录、影像资料及有关证据等所有资料归档整理，且不得外泄，并按照安全、消防部门要求及时报送各类检查报告及相关资料，原则上每季度提交一次资料，每季度末的一周内提交，逾期未交的每天扣500元，扣款上限为5000元，资料有弄虚作假的发现扣2000元/次。</w:t>
      </w:r>
    </w:p>
    <w:p w14:paraId="06D7274C">
      <w:pPr>
        <w:spacing w:line="360" w:lineRule="auto"/>
        <w:ind w:firstLine="480" w:firstLineChars="200"/>
        <w:jc w:val="left"/>
        <w:rPr>
          <w:rFonts w:hint="eastAsia"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2、中标单位必须依法指导服务，不得假借政府部门及其工作人员名义或采取不正当手段获取利益，不得借机推销产品或服务，杜绝商业贿赂及其他经济违法行为。被举报存在违法违规行为，并经查证属实的立即终止合同，不再支付合同费用。</w:t>
      </w:r>
    </w:p>
    <w:p w14:paraId="3BF6F25C">
      <w:pPr>
        <w:spacing w:line="360" w:lineRule="auto"/>
        <w:ind w:firstLine="480" w:firstLineChars="200"/>
        <w:jc w:val="left"/>
        <w:rPr>
          <w:rFonts w:hint="eastAsia"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3、中标单位开展工作中，应有较好的服务态度和合适的工作方法，必须配合社区、业主委员会、物业、商家、企业的合理要求，并对专业上的予以解答和帮助，不得无故推脱，被举报并经查实扣100元/次，情节严重的扣500元/次。</w:t>
      </w:r>
    </w:p>
    <w:p w14:paraId="696F7332">
      <w:pPr>
        <w:spacing w:line="360" w:lineRule="auto"/>
        <w:ind w:firstLine="480" w:firstLineChars="200"/>
        <w:jc w:val="left"/>
        <w:rPr>
          <w:rFonts w:hint="eastAsia"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4、中标后需将投标文件中的项目成员在街道备案，合同执行中不得</w:t>
      </w:r>
      <w:r>
        <w:rPr>
          <w:rFonts w:hint="eastAsia" w:asciiTheme="minorEastAsia" w:hAnsiTheme="minorEastAsia" w:eastAsiaTheme="minorEastAsia"/>
          <w:color w:val="auto"/>
          <w:sz w:val="24"/>
          <w:szCs w:val="24"/>
          <w:highlight w:val="none"/>
          <w:lang w:eastAsia="zh-CN"/>
        </w:rPr>
        <w:t>更换项目负责人。其他成员</w:t>
      </w:r>
      <w:r>
        <w:rPr>
          <w:rFonts w:hint="eastAsia" w:asciiTheme="minorEastAsia" w:hAnsiTheme="minorEastAsia" w:eastAsiaTheme="minorEastAsia"/>
          <w:color w:val="auto"/>
          <w:sz w:val="24"/>
          <w:szCs w:val="24"/>
          <w:highlight w:val="none"/>
        </w:rPr>
        <w:t>更换需征得业主同意，</w:t>
      </w:r>
      <w:r>
        <w:rPr>
          <w:rFonts w:hint="eastAsia" w:asciiTheme="minorEastAsia" w:hAnsiTheme="minorEastAsia" w:eastAsiaTheme="minorEastAsia"/>
          <w:color w:val="auto"/>
          <w:sz w:val="24"/>
          <w:szCs w:val="24"/>
          <w:highlight w:val="none"/>
          <w:lang w:eastAsia="zh-CN"/>
        </w:rPr>
        <w:t>每</w:t>
      </w:r>
      <w:r>
        <w:rPr>
          <w:rFonts w:hint="eastAsia" w:asciiTheme="minorEastAsia" w:hAnsiTheme="minorEastAsia" w:eastAsiaTheme="minorEastAsia"/>
          <w:color w:val="auto"/>
          <w:sz w:val="24"/>
          <w:szCs w:val="24"/>
          <w:highlight w:val="none"/>
        </w:rPr>
        <w:t>更换一次扣除合同费用</w:t>
      </w:r>
      <w:r>
        <w:rPr>
          <w:rFonts w:hint="eastAsia" w:asciiTheme="minorEastAsia" w:hAnsiTheme="minorEastAsia" w:eastAsiaTheme="minorEastAsia"/>
          <w:color w:val="auto"/>
          <w:sz w:val="24"/>
          <w:szCs w:val="24"/>
          <w:highlight w:val="none"/>
          <w:lang w:val="en-US" w:eastAsia="zh-CN"/>
        </w:rPr>
        <w:t>5000元；若擅自更换，每更换一次扣除合同费用10000元</w:t>
      </w:r>
      <w:r>
        <w:rPr>
          <w:rFonts w:hint="eastAsia" w:asciiTheme="minorEastAsia" w:hAnsiTheme="minorEastAsia" w:eastAsiaTheme="minorEastAsia"/>
          <w:color w:val="auto"/>
          <w:sz w:val="24"/>
          <w:szCs w:val="24"/>
          <w:highlight w:val="none"/>
        </w:rPr>
        <w:t>。</w:t>
      </w:r>
    </w:p>
    <w:p w14:paraId="6A4DC707">
      <w:pPr>
        <w:spacing w:line="360" w:lineRule="auto"/>
        <w:ind w:firstLine="480" w:firstLineChars="200"/>
        <w:jc w:val="left"/>
        <w:rPr>
          <w:rFonts w:hint="eastAsia" w:cs="Times New Roman" w:asciiTheme="minorEastAsia" w:hAnsiTheme="minorEastAsia" w:eastAsiaTheme="minorEastAsia"/>
          <w:b w:val="0"/>
          <w:bCs w:val="0"/>
          <w:color w:val="auto"/>
          <w:kern w:val="44"/>
          <w:sz w:val="24"/>
          <w:szCs w:val="24"/>
          <w:highlight w:val="none"/>
          <w:lang w:val="en-US" w:eastAsia="zh-CN" w:bidi="ar-SA"/>
        </w:rPr>
      </w:pPr>
      <w:r>
        <w:rPr>
          <w:rFonts w:hint="eastAsia" w:asciiTheme="minorEastAsia" w:hAnsiTheme="minorEastAsia" w:eastAsiaTheme="minorEastAsia"/>
          <w:color w:val="auto"/>
          <w:sz w:val="24"/>
          <w:szCs w:val="24"/>
          <w:highlight w:val="none"/>
        </w:rPr>
        <w:t>5、其他有不合规的情况视情况扣款。</w:t>
      </w:r>
    </w:p>
    <w:p w14:paraId="765E081C">
      <w:pPr>
        <w:spacing w:line="360" w:lineRule="auto"/>
        <w:ind w:firstLine="482" w:firstLineChars="200"/>
        <w:rPr>
          <w:rFonts w:ascii="宋体" w:hAnsi="宋体"/>
          <w:b/>
          <w:bCs/>
          <w:color w:val="auto"/>
          <w:sz w:val="24"/>
          <w:highlight w:val="none"/>
        </w:rPr>
      </w:pPr>
      <w:r>
        <w:rPr>
          <w:rFonts w:hint="eastAsia" w:ascii="宋体" w:hAnsi="宋体"/>
          <w:b/>
          <w:bCs/>
          <w:color w:val="auto"/>
          <w:sz w:val="24"/>
          <w:highlight w:val="none"/>
          <w:lang w:eastAsia="zh-CN"/>
        </w:rPr>
        <w:t>四</w:t>
      </w:r>
      <w:r>
        <w:rPr>
          <w:rFonts w:hint="eastAsia" w:ascii="宋体" w:hAnsi="宋体"/>
          <w:b/>
          <w:bCs/>
          <w:color w:val="auto"/>
          <w:sz w:val="24"/>
          <w:highlight w:val="none"/>
        </w:rPr>
        <w:t>、合同金额</w:t>
      </w:r>
    </w:p>
    <w:p w14:paraId="7D0C538A">
      <w:pPr>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本合同金额为人民币（大写）：________元（</w:t>
      </w:r>
      <w:r>
        <w:rPr>
          <w:rFonts w:hint="eastAsia" w:ascii="宋体" w:hAnsi="宋体" w:cs="宋体"/>
          <w:bCs/>
          <w:color w:val="auto"/>
          <w:sz w:val="24"/>
          <w:highlight w:val="none"/>
          <w:lang w:val="en-US" w:eastAsia="zh-CN"/>
        </w:rPr>
        <w:t>¥</w:t>
      </w:r>
      <w:r>
        <w:rPr>
          <w:rFonts w:hint="eastAsia" w:ascii="宋体" w:hAnsi="宋体" w:cs="宋体"/>
          <w:bCs/>
          <w:color w:val="auto"/>
          <w:sz w:val="24"/>
          <w:highlight w:val="none"/>
        </w:rPr>
        <w:t>_______元）。</w:t>
      </w:r>
    </w:p>
    <w:p w14:paraId="2D11DBFA">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lang w:eastAsia="zh-CN"/>
        </w:rPr>
        <w:t>五</w:t>
      </w:r>
      <w:r>
        <w:rPr>
          <w:rFonts w:hint="eastAsia" w:ascii="宋体" w:hAnsi="宋体" w:cs="宋体"/>
          <w:b/>
          <w:bCs/>
          <w:color w:val="auto"/>
          <w:sz w:val="24"/>
          <w:highlight w:val="none"/>
        </w:rPr>
        <w:t>、付款方式：</w:t>
      </w:r>
    </w:p>
    <w:p w14:paraId="72C813BF">
      <w:pPr>
        <w:autoSpaceDE w:val="0"/>
        <w:autoSpaceDN w:val="0"/>
        <w:adjustRightInd w:val="0"/>
        <w:spacing w:line="360" w:lineRule="auto"/>
        <w:ind w:firstLine="482" w:firstLineChars="200"/>
        <w:rPr>
          <w:rFonts w:hint="eastAsia" w:ascii="宋体" w:hAnsi="宋体" w:eastAsia="宋体" w:cs="宋体"/>
          <w:b/>
          <w:bCs/>
          <w:color w:val="auto"/>
          <w:sz w:val="24"/>
          <w:highlight w:val="none"/>
          <w:lang w:val="en-US" w:eastAsia="zh-CN"/>
        </w:rPr>
      </w:pPr>
      <w:r>
        <w:rPr>
          <w:rFonts w:hint="eastAsia" w:ascii="宋体" w:hAnsi="宋体" w:eastAsia="宋体" w:cs="宋体"/>
          <w:b/>
          <w:bCs/>
          <w:color w:val="auto"/>
          <w:sz w:val="24"/>
          <w:highlight w:val="none"/>
          <w:lang w:val="en-US" w:eastAsia="zh-CN"/>
        </w:rPr>
        <w:t>1、付款方式</w:t>
      </w:r>
    </w:p>
    <w:p w14:paraId="1563BF26">
      <w:pPr>
        <w:autoSpaceDE w:val="0"/>
        <w:autoSpaceDN w:val="0"/>
        <w:adjustRightIn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color w:val="auto"/>
          <w:sz w:val="24"/>
          <w:highlight w:val="none"/>
        </w:rPr>
        <w:t>合同签订后7个工作日内，支付合同款</w:t>
      </w:r>
      <w:r>
        <w:rPr>
          <w:rFonts w:hint="eastAsia" w:ascii="宋体" w:hAnsi="宋体"/>
          <w:color w:val="auto"/>
          <w:sz w:val="24"/>
          <w:highlight w:val="none"/>
          <w:lang w:val="en-US" w:eastAsia="zh-CN"/>
        </w:rPr>
        <w:t>20</w:t>
      </w:r>
      <w:r>
        <w:rPr>
          <w:rFonts w:hint="eastAsia" w:ascii="宋体" w:hAnsi="宋体"/>
          <w:color w:val="auto"/>
          <w:sz w:val="24"/>
          <w:highlight w:val="none"/>
        </w:rPr>
        <w:t>%</w:t>
      </w:r>
      <w:r>
        <w:rPr>
          <w:rFonts w:hint="eastAsia" w:ascii="宋体" w:hAnsi="宋体"/>
          <w:color w:val="auto"/>
          <w:sz w:val="24"/>
          <w:highlight w:val="none"/>
          <w:lang w:eastAsia="zh-CN"/>
        </w:rPr>
        <w:t>；</w:t>
      </w:r>
    </w:p>
    <w:p w14:paraId="67388880">
      <w:pPr>
        <w:autoSpaceDE w:val="0"/>
        <w:autoSpaceDN w:val="0"/>
        <w:adjustRightIn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color w:val="auto"/>
          <w:sz w:val="24"/>
          <w:highlight w:val="none"/>
          <w:lang w:eastAsia="zh-CN"/>
        </w:rPr>
        <w:t>服务满</w:t>
      </w:r>
      <w:r>
        <w:rPr>
          <w:rFonts w:hint="eastAsia" w:ascii="宋体" w:hAnsi="宋体"/>
          <w:color w:val="auto"/>
          <w:sz w:val="24"/>
          <w:highlight w:val="none"/>
          <w:lang w:val="en-US" w:eastAsia="zh-CN"/>
        </w:rPr>
        <w:t>6个月</w:t>
      </w:r>
      <w:r>
        <w:rPr>
          <w:rFonts w:hint="eastAsia" w:ascii="宋体" w:hAnsi="宋体"/>
          <w:color w:val="auto"/>
          <w:sz w:val="24"/>
          <w:highlight w:val="none"/>
          <w:lang w:eastAsia="zh-CN"/>
        </w:rPr>
        <w:t>支付至合同价款的</w:t>
      </w:r>
      <w:r>
        <w:rPr>
          <w:rFonts w:hint="eastAsia" w:ascii="宋体" w:hAnsi="宋体"/>
          <w:color w:val="auto"/>
          <w:sz w:val="24"/>
          <w:highlight w:val="none"/>
          <w:lang w:val="en-US" w:eastAsia="zh-CN"/>
        </w:rPr>
        <w:t>40%；</w:t>
      </w:r>
    </w:p>
    <w:p w14:paraId="090E8FEF">
      <w:pPr>
        <w:autoSpaceDE w:val="0"/>
        <w:autoSpaceDN w:val="0"/>
        <w:adjustRightInd w:val="0"/>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（3）</w:t>
      </w:r>
      <w:r>
        <w:rPr>
          <w:rFonts w:hint="eastAsia" w:ascii="宋体" w:hAnsi="宋体"/>
          <w:color w:val="auto"/>
          <w:sz w:val="24"/>
          <w:highlight w:val="none"/>
          <w:lang w:val="en-US" w:eastAsia="zh-CN"/>
        </w:rPr>
        <w:t>服务满9个月支付至合同价款的60%；</w:t>
      </w:r>
    </w:p>
    <w:p w14:paraId="7EE3CB84">
      <w:pPr>
        <w:autoSpaceDE w:val="0"/>
        <w:autoSpaceDN w:val="0"/>
        <w:adjustRightIn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lang w:eastAsia="zh-CN"/>
        </w:rPr>
        <w:t>）</w:t>
      </w:r>
      <w:r>
        <w:rPr>
          <w:rFonts w:hint="eastAsia" w:ascii="宋体" w:hAnsi="宋体"/>
          <w:color w:val="auto"/>
          <w:sz w:val="24"/>
          <w:highlight w:val="none"/>
          <w:lang w:val="en-US" w:eastAsia="zh-CN"/>
        </w:rPr>
        <w:t>余款在项目完成并根据考核结果付清</w:t>
      </w:r>
      <w:r>
        <w:rPr>
          <w:rFonts w:ascii="宋体" w:hAnsi="宋体" w:cs="宋体"/>
          <w:color w:val="auto"/>
          <w:sz w:val="24"/>
          <w:highlight w:val="none"/>
        </w:rPr>
        <w:t>。</w:t>
      </w:r>
    </w:p>
    <w:p w14:paraId="31576B06">
      <w:pPr>
        <w:keepNext w:val="0"/>
        <w:keepLines w:val="0"/>
        <w:pageBreakBefore w:val="0"/>
        <w:widowControl w:val="0"/>
        <w:numPr>
          <w:ilvl w:val="0"/>
          <w:numId w:val="0"/>
        </w:numPr>
        <w:shd w:val="clear"/>
        <w:kinsoku/>
        <w:wordWrap/>
        <w:overflowPunct/>
        <w:topLinePunct w:val="0"/>
        <w:autoSpaceDE w:val="0"/>
        <w:autoSpaceDN w:val="0"/>
        <w:bidi w:val="0"/>
        <w:adjustRightInd w:val="0"/>
        <w:snapToGrid/>
        <w:spacing w:line="360" w:lineRule="auto"/>
        <w:ind w:leftChars="200"/>
        <w:jc w:val="left"/>
        <w:textAlignment w:val="auto"/>
        <w:rPr>
          <w:rFonts w:hint="eastAsia" w:ascii="宋体" w:hAnsi="宋体" w:eastAsia="宋体" w:cs="宋体"/>
          <w:b/>
          <w:bCs/>
          <w:color w:val="auto"/>
          <w:sz w:val="24"/>
          <w:highlight w:val="none"/>
          <w:lang w:val="zh-CN"/>
        </w:rPr>
      </w:pPr>
      <w:r>
        <w:rPr>
          <w:rFonts w:hint="eastAsia" w:ascii="宋体" w:hAnsi="宋体" w:eastAsia="宋体" w:cs="宋体"/>
          <w:b/>
          <w:bCs/>
          <w:color w:val="auto"/>
          <w:sz w:val="24"/>
          <w:highlight w:val="none"/>
          <w:lang w:val="en-US" w:eastAsia="zh-CN"/>
        </w:rPr>
        <w:t>2、</w:t>
      </w:r>
      <w:r>
        <w:rPr>
          <w:rFonts w:hint="eastAsia" w:ascii="宋体" w:hAnsi="宋体" w:eastAsia="宋体" w:cs="宋体"/>
          <w:b/>
          <w:bCs/>
          <w:color w:val="auto"/>
          <w:sz w:val="24"/>
          <w:highlight w:val="none"/>
        </w:rPr>
        <w:t>付款要求</w:t>
      </w:r>
    </w:p>
    <w:p w14:paraId="1C033E22">
      <w:pPr>
        <w:numPr>
          <w:ilvl w:val="0"/>
          <w:numId w:val="0"/>
        </w:numPr>
        <w:shd w:val="clear"/>
        <w:spacing w:line="360" w:lineRule="auto"/>
        <w:ind w:firstLine="480" w:firstLineChars="200"/>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lang w:val="en-US" w:eastAsia="zh-CN" w:bidi="ar-SA"/>
        </w:rPr>
        <w:t>（1）</w:t>
      </w:r>
      <w:r>
        <w:rPr>
          <w:rFonts w:hint="eastAsia" w:ascii="宋体" w:hAnsi="宋体" w:eastAsia="宋体" w:cs="宋体"/>
          <w:bCs/>
          <w:color w:val="auto"/>
          <w:kern w:val="2"/>
          <w:sz w:val="24"/>
          <w:szCs w:val="24"/>
          <w:highlight w:val="none"/>
          <w:lang w:val="en-US" w:eastAsia="zh-CN" w:bidi="ar-SA"/>
        </w:rPr>
        <w:t>供应商正常履约且经采购单位认可后分阶段支付费用。</w:t>
      </w:r>
    </w:p>
    <w:p w14:paraId="35780E96">
      <w:pPr>
        <w:numPr>
          <w:ilvl w:val="0"/>
          <w:numId w:val="0"/>
        </w:numPr>
        <w:shd w:val="clea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lang w:val="en-US" w:eastAsia="zh-CN" w:bidi="ar-SA"/>
        </w:rPr>
        <w:t>（2）</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在收款之前，应向采购人提供发票，采购人凭发票付款。如</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未按约定提供发票的，采购人有权拒绝付款，直至收到</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提交的相应发票为止，在此情况下，采购人不承担逾期付款违约责任。</w:t>
      </w:r>
    </w:p>
    <w:p w14:paraId="0DF5B7F2">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lang w:val="en-US" w:eastAsia="zh-CN"/>
        </w:rPr>
        <w:t>六</w:t>
      </w:r>
      <w:r>
        <w:rPr>
          <w:rFonts w:hint="eastAsia" w:ascii="宋体" w:hAnsi="宋体" w:cs="宋体"/>
          <w:b/>
          <w:bCs/>
          <w:color w:val="auto"/>
          <w:sz w:val="24"/>
          <w:highlight w:val="none"/>
        </w:rPr>
        <w:t>、其他要求</w:t>
      </w:r>
    </w:p>
    <w:p w14:paraId="519BD564">
      <w:pPr>
        <w:pStyle w:val="6"/>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1、项目组负责人必须是该项目实施全过程的组织者，担负项目实质性工作。挂名或不担负实质性工作的人不得作为项目负责人申请项目。</w:t>
      </w:r>
    </w:p>
    <w:p w14:paraId="15C9775D">
      <w:pPr>
        <w:pStyle w:val="6"/>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2、期间所需一切费用（</w:t>
      </w:r>
      <w:r>
        <w:rPr>
          <w:rFonts w:hint="eastAsia" w:hAnsi="宋体" w:cs="Times New Roman"/>
          <w:b/>
          <w:bCs/>
          <w:color w:val="auto"/>
          <w:sz w:val="24"/>
          <w:szCs w:val="24"/>
          <w:highlight w:val="none"/>
        </w:rPr>
        <w:t>即人员的工资福利、员工五险费(养老保险、医疗保险、失业保险、工伤保险、生育保险)、交通费、设备和设施费、管理费、税费等一切税金和费用</w:t>
      </w:r>
      <w:r>
        <w:rPr>
          <w:rFonts w:hint="eastAsia" w:ascii="宋体" w:hAnsi="宋体" w:cs="宋体"/>
          <w:color w:val="auto"/>
          <w:sz w:val="24"/>
          <w:szCs w:val="24"/>
          <w:highlight w:val="none"/>
        </w:rPr>
        <w:t>）由供应商自行负责。</w:t>
      </w:r>
    </w:p>
    <w:p w14:paraId="1C2DAA95">
      <w:pPr>
        <w:pStyle w:val="6"/>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3、供应商必须按规定程序和安全文明施工有关要求</w:t>
      </w:r>
      <w:r>
        <w:rPr>
          <w:rFonts w:hint="eastAsia" w:ascii="宋体" w:hAnsi="宋体" w:cs="宋体"/>
          <w:color w:val="auto"/>
          <w:sz w:val="24"/>
          <w:szCs w:val="24"/>
          <w:highlight w:val="none"/>
          <w:lang w:eastAsia="zh-CN"/>
        </w:rPr>
        <w:t>实施</w:t>
      </w:r>
      <w:r>
        <w:rPr>
          <w:rFonts w:hint="eastAsia" w:ascii="宋体" w:hAnsi="宋体" w:cs="宋体"/>
          <w:color w:val="auto"/>
          <w:sz w:val="24"/>
          <w:szCs w:val="24"/>
          <w:highlight w:val="none"/>
        </w:rPr>
        <w:t>，过程中的各种意外，其责任由供应商承担，采购人不承担任何责任。</w:t>
      </w:r>
    </w:p>
    <w:p w14:paraId="60C11B1D">
      <w:pPr>
        <w:snapToGrid w:val="0"/>
        <w:spacing w:line="360" w:lineRule="auto"/>
        <w:ind w:firstLine="482"/>
        <w:rPr>
          <w:color w:val="auto"/>
          <w:highlight w:val="none"/>
        </w:rPr>
      </w:pPr>
      <w:r>
        <w:rPr>
          <w:rFonts w:hint="eastAsia" w:ascii="宋体" w:hAnsi="宋体" w:cs="宋体"/>
          <w:color w:val="auto"/>
          <w:sz w:val="24"/>
          <w:szCs w:val="24"/>
          <w:highlight w:val="none"/>
        </w:rPr>
        <w:t>4、项目范围内供应商后期须提供跟踪服务，费用不再另计</w:t>
      </w:r>
      <w:r>
        <w:rPr>
          <w:rFonts w:hint="eastAsia" w:ascii="宋体" w:hAnsi="宋体" w:cs="宋体"/>
          <w:color w:val="auto"/>
          <w:kern w:val="0"/>
          <w:sz w:val="24"/>
          <w:highlight w:val="none"/>
        </w:rPr>
        <w:t>。</w:t>
      </w:r>
    </w:p>
    <w:p w14:paraId="509259F3">
      <w:pPr>
        <w:spacing w:line="360" w:lineRule="auto"/>
        <w:ind w:left="480"/>
        <w:rPr>
          <w:rFonts w:ascii="宋体" w:hAnsi="宋体" w:cs="宋体"/>
          <w:b/>
          <w:bCs/>
          <w:color w:val="auto"/>
          <w:sz w:val="24"/>
          <w:highlight w:val="none"/>
        </w:rPr>
      </w:pPr>
      <w:r>
        <w:rPr>
          <w:rFonts w:hint="eastAsia" w:ascii="宋体" w:hAnsi="宋体" w:cs="宋体"/>
          <w:b/>
          <w:bCs/>
          <w:color w:val="auto"/>
          <w:sz w:val="24"/>
          <w:highlight w:val="none"/>
          <w:lang w:val="en-US" w:eastAsia="zh-CN"/>
        </w:rPr>
        <w:t>七</w:t>
      </w:r>
      <w:r>
        <w:rPr>
          <w:rFonts w:hint="eastAsia" w:ascii="宋体" w:hAnsi="宋体" w:cs="宋体"/>
          <w:b/>
          <w:bCs/>
          <w:color w:val="auto"/>
          <w:sz w:val="24"/>
          <w:highlight w:val="none"/>
        </w:rPr>
        <w:t>、甲方的义务</w:t>
      </w:r>
    </w:p>
    <w:p w14:paraId="2C6D855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自本合同签订之日起15日内向乙方提交有关资料</w:t>
      </w:r>
      <w:r>
        <w:rPr>
          <w:rFonts w:hint="eastAsia" w:ascii="宋体" w:hAnsi="宋体" w:cs="宋体"/>
          <w:color w:val="auto"/>
          <w:sz w:val="24"/>
          <w:highlight w:val="none"/>
          <w:lang w:val="en-US" w:eastAsia="zh-CN"/>
        </w:rPr>
        <w:t>及</w:t>
      </w:r>
      <w:r>
        <w:rPr>
          <w:rFonts w:hint="eastAsia" w:ascii="宋体" w:hAnsi="宋体" w:cs="宋体"/>
          <w:color w:val="auto"/>
          <w:sz w:val="24"/>
          <w:highlight w:val="none"/>
        </w:rPr>
        <w:t>要求。</w:t>
      </w:r>
    </w:p>
    <w:p w14:paraId="198DD8F3">
      <w:pPr>
        <w:spacing w:line="360" w:lineRule="auto"/>
        <w:ind w:left="480"/>
        <w:rPr>
          <w:rFonts w:ascii="宋体" w:hAnsi="宋体" w:cs="宋体"/>
          <w:b/>
          <w:bCs/>
          <w:color w:val="auto"/>
          <w:sz w:val="24"/>
          <w:highlight w:val="none"/>
        </w:rPr>
      </w:pPr>
      <w:r>
        <w:rPr>
          <w:rFonts w:hint="eastAsia" w:ascii="宋体" w:hAnsi="宋体" w:cs="宋体"/>
          <w:b/>
          <w:bCs/>
          <w:color w:val="auto"/>
          <w:sz w:val="24"/>
          <w:highlight w:val="none"/>
          <w:lang w:val="en-US" w:eastAsia="zh-CN"/>
        </w:rPr>
        <w:t>八</w:t>
      </w:r>
      <w:r>
        <w:rPr>
          <w:rFonts w:hint="eastAsia" w:ascii="宋体" w:hAnsi="宋体" w:cs="宋体"/>
          <w:b/>
          <w:bCs/>
          <w:color w:val="auto"/>
          <w:sz w:val="24"/>
          <w:highlight w:val="none"/>
        </w:rPr>
        <w:t>、乙方的义务</w:t>
      </w:r>
    </w:p>
    <w:p w14:paraId="107B41E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按合同要求完成</w:t>
      </w:r>
      <w:r>
        <w:rPr>
          <w:rFonts w:hint="eastAsia" w:ascii="宋体" w:hAnsi="宋体" w:cs="宋体"/>
          <w:color w:val="auto"/>
          <w:sz w:val="24"/>
          <w:highlight w:val="none"/>
          <w:lang w:eastAsia="zh-CN"/>
        </w:rPr>
        <w:t>项目内容</w:t>
      </w:r>
      <w:r>
        <w:rPr>
          <w:rFonts w:hint="eastAsia" w:ascii="宋体" w:hAnsi="宋体" w:cs="宋体"/>
          <w:color w:val="auto"/>
          <w:sz w:val="24"/>
          <w:highlight w:val="none"/>
        </w:rPr>
        <w:t>。</w:t>
      </w:r>
    </w:p>
    <w:p w14:paraId="2DAF0C3E">
      <w:pPr>
        <w:spacing w:line="360" w:lineRule="auto"/>
        <w:ind w:left="480"/>
        <w:rPr>
          <w:rFonts w:ascii="宋体" w:hAnsi="宋体" w:cs="宋体"/>
          <w:b/>
          <w:bCs/>
          <w:color w:val="auto"/>
          <w:sz w:val="24"/>
          <w:highlight w:val="none"/>
        </w:rPr>
      </w:pPr>
      <w:r>
        <w:rPr>
          <w:rFonts w:hint="eastAsia" w:ascii="宋体" w:hAnsi="宋体" w:cs="宋体"/>
          <w:b/>
          <w:bCs/>
          <w:color w:val="auto"/>
          <w:sz w:val="24"/>
          <w:highlight w:val="none"/>
          <w:lang w:val="en-US" w:eastAsia="zh-CN"/>
        </w:rPr>
        <w:t>九</w:t>
      </w:r>
      <w:r>
        <w:rPr>
          <w:rFonts w:hint="eastAsia" w:ascii="宋体" w:hAnsi="宋体" w:cs="宋体"/>
          <w:b/>
          <w:bCs/>
          <w:color w:val="auto"/>
          <w:sz w:val="24"/>
          <w:highlight w:val="none"/>
        </w:rPr>
        <w:t>、违约责任</w:t>
      </w:r>
    </w:p>
    <w:p w14:paraId="436EE736">
      <w:pPr>
        <w:snapToGrid w:val="0"/>
        <w:spacing w:line="360" w:lineRule="auto"/>
        <w:ind w:firstLine="482"/>
        <w:rPr>
          <w:rFonts w:ascii="宋体" w:hAnsi="宋体" w:cs="宋体"/>
          <w:color w:val="auto"/>
          <w:kern w:val="0"/>
          <w:sz w:val="24"/>
          <w:highlight w:val="none"/>
        </w:rPr>
      </w:pPr>
      <w:r>
        <w:rPr>
          <w:rFonts w:hint="eastAsia" w:ascii="宋体" w:hAnsi="宋体" w:cs="宋体"/>
          <w:color w:val="auto"/>
          <w:kern w:val="0"/>
          <w:sz w:val="24"/>
          <w:highlight w:val="none"/>
        </w:rPr>
        <w:t>1、甲方无正当理由拒绝服务的，乙方有要求甲方赔偿的权利。</w:t>
      </w:r>
    </w:p>
    <w:p w14:paraId="2D71416C">
      <w:pPr>
        <w:snapToGrid w:val="0"/>
        <w:spacing w:line="360" w:lineRule="auto"/>
        <w:ind w:firstLine="482"/>
        <w:rPr>
          <w:rFonts w:ascii="宋体" w:hAnsi="宋体" w:cs="宋体"/>
          <w:color w:val="auto"/>
          <w:kern w:val="0"/>
          <w:sz w:val="24"/>
          <w:highlight w:val="none"/>
        </w:rPr>
      </w:pPr>
      <w:r>
        <w:rPr>
          <w:rFonts w:hint="eastAsia" w:ascii="宋体" w:hAnsi="宋体" w:cs="宋体"/>
          <w:color w:val="auto"/>
          <w:kern w:val="0"/>
          <w:sz w:val="24"/>
          <w:highlight w:val="none"/>
        </w:rPr>
        <w:t>2、甲方无正当理由拒绝支付合同款或者延期支付的，由甲方按应支付每天万分之</w:t>
      </w:r>
      <w:r>
        <w:rPr>
          <w:rFonts w:hint="eastAsia" w:ascii="宋体" w:hAnsi="宋体" w:cs="宋体"/>
          <w:color w:val="auto"/>
          <w:kern w:val="0"/>
          <w:sz w:val="24"/>
          <w:highlight w:val="none"/>
          <w:u w:val="single"/>
        </w:rPr>
        <w:t>　　</w:t>
      </w:r>
      <w:r>
        <w:rPr>
          <w:rFonts w:hint="eastAsia" w:ascii="宋体" w:hAnsi="宋体" w:cs="宋体"/>
          <w:color w:val="auto"/>
          <w:kern w:val="0"/>
          <w:sz w:val="24"/>
          <w:highlight w:val="none"/>
        </w:rPr>
        <w:t>的延期违约金。</w:t>
      </w:r>
    </w:p>
    <w:p w14:paraId="7A7720AB">
      <w:pPr>
        <w:snapToGrid w:val="0"/>
        <w:spacing w:line="360" w:lineRule="auto"/>
        <w:ind w:firstLine="482"/>
        <w:rPr>
          <w:rFonts w:ascii="宋体" w:hAnsi="宋体" w:cs="宋体"/>
          <w:color w:val="auto"/>
          <w:kern w:val="0"/>
          <w:sz w:val="24"/>
          <w:highlight w:val="none"/>
        </w:rPr>
      </w:pPr>
      <w:r>
        <w:rPr>
          <w:rFonts w:hint="eastAsia" w:ascii="宋体" w:hAnsi="宋体" w:cs="宋体"/>
          <w:color w:val="auto"/>
          <w:kern w:val="0"/>
          <w:sz w:val="24"/>
          <w:highlight w:val="none"/>
        </w:rPr>
        <w:t>3、乙方所交付服务（软件）品种、型号、规格、数量、质量不符合合同规定标准的，甲方有权拒绝接收，并有要求乙方赔偿的权利。</w:t>
      </w:r>
    </w:p>
    <w:p w14:paraId="6D01EA98">
      <w:pPr>
        <w:snapToGrid w:val="0"/>
        <w:spacing w:line="360" w:lineRule="auto"/>
        <w:ind w:firstLine="482"/>
        <w:rPr>
          <w:rFonts w:ascii="宋体" w:hAnsi="宋体" w:cs="宋体"/>
          <w:color w:val="auto"/>
          <w:kern w:val="0"/>
          <w:sz w:val="24"/>
          <w:highlight w:val="none"/>
        </w:rPr>
      </w:pPr>
      <w:r>
        <w:rPr>
          <w:rFonts w:hint="eastAsia" w:ascii="宋体" w:hAnsi="宋体" w:cs="宋体"/>
          <w:color w:val="auto"/>
          <w:kern w:val="0"/>
          <w:sz w:val="24"/>
          <w:highlight w:val="none"/>
        </w:rPr>
        <w:t>4、乙方未能及时交货</w:t>
      </w:r>
      <w:r>
        <w:rPr>
          <w:rFonts w:hint="eastAsia" w:ascii="宋体" w:hAnsi="宋体" w:cs="宋体"/>
          <w:color w:val="auto"/>
          <w:kern w:val="0"/>
          <w:sz w:val="24"/>
          <w:highlight w:val="none"/>
          <w:lang w:eastAsia="zh-CN"/>
        </w:rPr>
        <w:t>或其他</w:t>
      </w:r>
      <w:r>
        <w:rPr>
          <w:rFonts w:hint="eastAsia" w:ascii="宋体" w:hAnsi="宋体" w:cs="宋体"/>
          <w:color w:val="auto"/>
          <w:kern w:val="0"/>
          <w:sz w:val="24"/>
          <w:highlight w:val="none"/>
        </w:rPr>
        <w:t>非甲方原因引起验收交货延迟的，由乙方支付迟交服务（软件）合同价每天万分之</w:t>
      </w:r>
      <w:r>
        <w:rPr>
          <w:rFonts w:hint="eastAsia" w:ascii="宋体" w:hAnsi="宋体" w:cs="宋体"/>
          <w:color w:val="auto"/>
          <w:kern w:val="0"/>
          <w:sz w:val="24"/>
          <w:highlight w:val="none"/>
          <w:u w:val="single"/>
        </w:rPr>
        <w:t>　　</w:t>
      </w:r>
      <w:r>
        <w:rPr>
          <w:rFonts w:hint="eastAsia" w:ascii="宋体" w:hAnsi="宋体" w:cs="宋体"/>
          <w:color w:val="auto"/>
          <w:kern w:val="0"/>
          <w:sz w:val="24"/>
          <w:highlight w:val="none"/>
        </w:rPr>
        <w:t>的误期赔偿费。</w:t>
      </w:r>
    </w:p>
    <w:p w14:paraId="49A07573">
      <w:pPr>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cs="宋体"/>
          <w:color w:val="auto"/>
          <w:kern w:val="0"/>
          <w:sz w:val="24"/>
          <w:highlight w:val="none"/>
        </w:rPr>
        <w:t>5、</w:t>
      </w:r>
      <w:r>
        <w:rPr>
          <w:rFonts w:hint="eastAsia" w:ascii="宋体" w:hAnsi="宋体" w:eastAsia="宋体" w:cs="宋体"/>
          <w:color w:val="auto"/>
          <w:sz w:val="24"/>
          <w:highlight w:val="none"/>
          <w:lang w:val="en-US" w:eastAsia="zh-CN"/>
        </w:rPr>
        <w:t>本项目货物如涉及柴油动力移动源，柴油动力移动源应当符合低排放要求。</w:t>
      </w:r>
    </w:p>
    <w:p w14:paraId="742DDA61">
      <w:pPr>
        <w:spacing w:line="360" w:lineRule="auto"/>
        <w:ind w:left="480"/>
        <w:rPr>
          <w:rFonts w:hint="eastAsia" w:ascii="宋体" w:hAnsi="宋体" w:eastAsia="宋体" w:cs="宋体"/>
          <w:b/>
          <w:bCs/>
          <w:color w:val="auto"/>
          <w:sz w:val="24"/>
          <w:highlight w:val="none"/>
          <w:lang w:eastAsia="zh-CN"/>
        </w:rPr>
      </w:pPr>
      <w:r>
        <w:rPr>
          <w:rFonts w:hint="eastAsia" w:ascii="宋体" w:hAnsi="宋体" w:cs="宋体"/>
          <w:b/>
          <w:bCs/>
          <w:color w:val="auto"/>
          <w:sz w:val="24"/>
          <w:highlight w:val="none"/>
        </w:rPr>
        <w:t>十、</w:t>
      </w:r>
      <w:r>
        <w:rPr>
          <w:rFonts w:hint="eastAsia" w:ascii="宋体" w:hAnsi="宋体" w:cs="宋体"/>
          <w:b/>
          <w:bCs/>
          <w:color w:val="auto"/>
          <w:sz w:val="24"/>
          <w:highlight w:val="none"/>
          <w:lang w:eastAsia="zh-CN"/>
        </w:rPr>
        <w:t>争议解决</w:t>
      </w:r>
    </w:p>
    <w:p w14:paraId="70FF5CA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本合同执行过程中的未尽事宜，双方应本着实事求是友好协商的态度加以解决。双方协商一致的，签订补充协议。补充协议与本合同具有同等效力。</w:t>
      </w:r>
    </w:p>
    <w:p w14:paraId="486A464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由于不可抗力，致使合同无法履行时，双方应按有关法律规定及时协商处理。</w:t>
      </w:r>
    </w:p>
    <w:p w14:paraId="0DC5963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因合同执行过程中双方发生纠纷，可由双方协商解决或由双方主管部门调解，若达不成协议，双方同意就本合同产生的纠纷向仲裁委员会申请仲裁。当事人双方不在合同中约定仲裁机构的，事后又没有达成书面仲裁协议的，可向有管辖权的人民法院起诉。</w:t>
      </w:r>
    </w:p>
    <w:p w14:paraId="7982B31D">
      <w:pPr>
        <w:spacing w:line="360" w:lineRule="auto"/>
        <w:ind w:left="480"/>
        <w:rPr>
          <w:rFonts w:ascii="宋体" w:hAnsi="宋体" w:cs="宋体"/>
          <w:b/>
          <w:bCs/>
          <w:color w:val="auto"/>
          <w:sz w:val="24"/>
          <w:highlight w:val="none"/>
        </w:rPr>
      </w:pPr>
      <w:r>
        <w:rPr>
          <w:rFonts w:hint="eastAsia" w:ascii="宋体" w:hAnsi="宋体" w:cs="宋体"/>
          <w:b/>
          <w:bCs/>
          <w:color w:val="auto"/>
          <w:sz w:val="24"/>
          <w:highlight w:val="none"/>
        </w:rPr>
        <w:t>十</w:t>
      </w:r>
      <w:r>
        <w:rPr>
          <w:rFonts w:hint="eastAsia" w:ascii="宋体" w:hAnsi="宋体" w:cs="宋体"/>
          <w:b/>
          <w:bCs/>
          <w:color w:val="auto"/>
          <w:sz w:val="24"/>
          <w:highlight w:val="none"/>
          <w:lang w:val="en-US" w:eastAsia="zh-CN"/>
        </w:rPr>
        <w:t>一</w:t>
      </w:r>
      <w:r>
        <w:rPr>
          <w:rFonts w:hint="eastAsia" w:ascii="宋体" w:hAnsi="宋体" w:cs="宋体"/>
          <w:b/>
          <w:bCs/>
          <w:color w:val="auto"/>
          <w:sz w:val="24"/>
          <w:highlight w:val="none"/>
        </w:rPr>
        <w:t>、附则</w:t>
      </w:r>
    </w:p>
    <w:p w14:paraId="31CD6759">
      <w:pPr>
        <w:snapToGrid w:val="0"/>
        <w:spacing w:line="360" w:lineRule="auto"/>
        <w:ind w:firstLine="480" w:firstLineChars="200"/>
        <w:jc w:val="left"/>
        <w:rPr>
          <w:rFonts w:ascii="宋体" w:hAnsi="宋体"/>
          <w:color w:val="auto"/>
          <w:sz w:val="24"/>
          <w:szCs w:val="24"/>
          <w:highlight w:val="none"/>
        </w:rPr>
      </w:pPr>
      <w:r>
        <w:rPr>
          <w:rFonts w:hint="eastAsia" w:ascii="宋体" w:hAnsi="宋体" w:cs="宋体"/>
          <w:color w:val="auto"/>
          <w:sz w:val="24"/>
          <w:highlight w:val="none"/>
        </w:rPr>
        <w:t>本合同由双方代表签字，加盖双方公章或合同专用章即生效。全部</w:t>
      </w:r>
      <w:r>
        <w:rPr>
          <w:rFonts w:hint="eastAsia" w:ascii="宋体" w:hAnsi="宋体" w:cs="宋体"/>
          <w:color w:val="auto"/>
          <w:sz w:val="24"/>
          <w:highlight w:val="none"/>
          <w:lang w:eastAsia="zh-CN"/>
        </w:rPr>
        <w:t>资料</w:t>
      </w:r>
      <w:r>
        <w:rPr>
          <w:rFonts w:hint="eastAsia" w:ascii="宋体" w:hAnsi="宋体" w:cs="宋体"/>
          <w:color w:val="auto"/>
          <w:sz w:val="24"/>
          <w:highlight w:val="none"/>
        </w:rPr>
        <w:t>交接完毕和服务费结算完成后，本合同终止</w:t>
      </w:r>
      <w:r>
        <w:rPr>
          <w:rFonts w:hint="eastAsia" w:ascii="宋体" w:hAnsi="宋体"/>
          <w:color w:val="auto"/>
          <w:sz w:val="24"/>
          <w:szCs w:val="24"/>
          <w:highlight w:val="none"/>
        </w:rPr>
        <w:t>。</w:t>
      </w:r>
    </w:p>
    <w:p w14:paraId="0886228F">
      <w:pPr>
        <w:snapToGrid w:val="0"/>
        <w:spacing w:line="360" w:lineRule="auto"/>
        <w:ind w:firstLine="482" w:firstLineChars="200"/>
        <w:jc w:val="left"/>
        <w:rPr>
          <w:rFonts w:ascii="宋体" w:hAnsi="宋体"/>
          <w:color w:val="auto"/>
          <w:sz w:val="24"/>
          <w:szCs w:val="24"/>
          <w:highlight w:val="none"/>
        </w:rPr>
      </w:pPr>
      <w:r>
        <w:rPr>
          <w:rFonts w:hint="eastAsia" w:ascii="宋体" w:hAnsi="宋体" w:cs="宋体"/>
          <w:b/>
          <w:color w:val="auto"/>
          <w:kern w:val="0"/>
          <w:sz w:val="24"/>
          <w:highlight w:val="none"/>
        </w:rPr>
        <w:t>本合同一式</w:t>
      </w:r>
      <w:r>
        <w:rPr>
          <w:rFonts w:hint="eastAsia" w:ascii="宋体" w:hAnsi="宋体" w:cs="宋体"/>
          <w:b/>
          <w:color w:val="auto"/>
          <w:kern w:val="0"/>
          <w:sz w:val="24"/>
          <w:highlight w:val="none"/>
          <w:u w:val="single"/>
        </w:rPr>
        <w:t xml:space="preserve">　　　 </w:t>
      </w:r>
      <w:r>
        <w:rPr>
          <w:rFonts w:hint="eastAsia" w:ascii="宋体" w:hAnsi="宋体" w:cs="宋体"/>
          <w:b/>
          <w:color w:val="auto"/>
          <w:kern w:val="0"/>
          <w:sz w:val="24"/>
          <w:highlight w:val="none"/>
        </w:rPr>
        <w:t>份，其中正本两份，采购人和中标人各执一份，并由采购人在30日内做好政采云平台网上合同创建及备案</w:t>
      </w:r>
      <w:r>
        <w:rPr>
          <w:rFonts w:hint="eastAsia" w:ascii="宋体" w:hAnsi="宋体"/>
          <w:color w:val="auto"/>
          <w:sz w:val="24"/>
          <w:szCs w:val="24"/>
          <w:highlight w:val="none"/>
        </w:rPr>
        <w:t>。</w:t>
      </w:r>
    </w:p>
    <w:p w14:paraId="5EEC4663">
      <w:pPr>
        <w:pStyle w:val="2"/>
        <w:rPr>
          <w:rFonts w:hint="eastAsia" w:ascii="宋体" w:hAnsi="宋体" w:eastAsia="宋体" w:cs="宋体"/>
          <w:color w:val="auto"/>
          <w:highlight w:val="none"/>
        </w:rPr>
      </w:pPr>
    </w:p>
    <w:tbl>
      <w:tblPr>
        <w:tblStyle w:val="29"/>
        <w:tblW w:w="8077" w:type="dxa"/>
        <w:tblInd w:w="2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5"/>
        <w:gridCol w:w="2333"/>
        <w:gridCol w:w="1616"/>
        <w:gridCol w:w="2693"/>
      </w:tblGrid>
      <w:tr w14:paraId="7EDA92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0" w:hRule="atLeast"/>
        </w:trPr>
        <w:tc>
          <w:tcPr>
            <w:tcW w:w="1435" w:type="dxa"/>
            <w:vAlign w:val="center"/>
          </w:tcPr>
          <w:p w14:paraId="56692450">
            <w:pPr>
              <w:shd w:val="clear"/>
              <w:snapToGrid w:val="0"/>
              <w:spacing w:line="360" w:lineRule="auto"/>
              <w:jc w:val="center"/>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供方单位</w:t>
            </w:r>
          </w:p>
        </w:tc>
        <w:tc>
          <w:tcPr>
            <w:tcW w:w="2333" w:type="dxa"/>
            <w:vAlign w:val="center"/>
          </w:tcPr>
          <w:p w14:paraId="74D40E0A">
            <w:pPr>
              <w:shd w:val="clear"/>
              <w:snapToGrid w:val="0"/>
              <w:spacing w:line="360" w:lineRule="auto"/>
              <w:jc w:val="center"/>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（盖章）</w:t>
            </w:r>
          </w:p>
        </w:tc>
        <w:tc>
          <w:tcPr>
            <w:tcW w:w="1616" w:type="dxa"/>
            <w:vAlign w:val="center"/>
          </w:tcPr>
          <w:p w14:paraId="3BF86893">
            <w:pPr>
              <w:shd w:val="clear"/>
              <w:snapToGrid w:val="0"/>
              <w:spacing w:line="360" w:lineRule="auto"/>
              <w:jc w:val="center"/>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需方单位</w:t>
            </w:r>
          </w:p>
        </w:tc>
        <w:tc>
          <w:tcPr>
            <w:tcW w:w="2693" w:type="dxa"/>
            <w:vAlign w:val="center"/>
          </w:tcPr>
          <w:p w14:paraId="75AA8FD9">
            <w:pPr>
              <w:shd w:val="clear"/>
              <w:snapToGrid w:val="0"/>
              <w:spacing w:line="360" w:lineRule="auto"/>
              <w:jc w:val="center"/>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（盖章）</w:t>
            </w:r>
          </w:p>
        </w:tc>
      </w:tr>
      <w:tr w14:paraId="7D2AEC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0" w:hRule="atLeast"/>
        </w:trPr>
        <w:tc>
          <w:tcPr>
            <w:tcW w:w="1435" w:type="dxa"/>
            <w:vAlign w:val="center"/>
          </w:tcPr>
          <w:p w14:paraId="77051A4C">
            <w:pPr>
              <w:shd w:val="clear"/>
              <w:snapToGrid w:val="0"/>
              <w:spacing w:line="360" w:lineRule="auto"/>
              <w:jc w:val="center"/>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代表签名</w:t>
            </w:r>
          </w:p>
        </w:tc>
        <w:tc>
          <w:tcPr>
            <w:tcW w:w="2333" w:type="dxa"/>
            <w:vAlign w:val="center"/>
          </w:tcPr>
          <w:p w14:paraId="7F07B5D8">
            <w:pPr>
              <w:shd w:val="clear"/>
              <w:snapToGrid w:val="0"/>
              <w:spacing w:line="360" w:lineRule="auto"/>
              <w:jc w:val="center"/>
              <w:rPr>
                <w:rFonts w:hint="eastAsia" w:ascii="宋体" w:hAnsi="宋体" w:eastAsia="宋体" w:cs="宋体"/>
                <w:snapToGrid w:val="0"/>
                <w:color w:val="auto"/>
                <w:kern w:val="0"/>
                <w:sz w:val="24"/>
                <w:szCs w:val="24"/>
                <w:highlight w:val="none"/>
              </w:rPr>
            </w:pPr>
          </w:p>
        </w:tc>
        <w:tc>
          <w:tcPr>
            <w:tcW w:w="1616" w:type="dxa"/>
            <w:vAlign w:val="center"/>
          </w:tcPr>
          <w:p w14:paraId="10BABADF">
            <w:pPr>
              <w:shd w:val="clear"/>
              <w:snapToGrid w:val="0"/>
              <w:spacing w:line="360" w:lineRule="auto"/>
              <w:jc w:val="center"/>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代表签名</w:t>
            </w:r>
          </w:p>
        </w:tc>
        <w:tc>
          <w:tcPr>
            <w:tcW w:w="2693" w:type="dxa"/>
            <w:vAlign w:val="center"/>
          </w:tcPr>
          <w:p w14:paraId="2739CB5E">
            <w:pPr>
              <w:shd w:val="clear"/>
              <w:snapToGrid w:val="0"/>
              <w:spacing w:line="360" w:lineRule="auto"/>
              <w:jc w:val="center"/>
              <w:rPr>
                <w:rFonts w:hint="eastAsia" w:ascii="宋体" w:hAnsi="宋体" w:eastAsia="宋体" w:cs="宋体"/>
                <w:snapToGrid w:val="0"/>
                <w:color w:val="auto"/>
                <w:kern w:val="0"/>
                <w:sz w:val="24"/>
                <w:szCs w:val="24"/>
                <w:highlight w:val="none"/>
              </w:rPr>
            </w:pPr>
          </w:p>
        </w:tc>
      </w:tr>
      <w:tr w14:paraId="2BC031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0" w:hRule="atLeast"/>
        </w:trPr>
        <w:tc>
          <w:tcPr>
            <w:tcW w:w="1435" w:type="dxa"/>
            <w:vAlign w:val="center"/>
          </w:tcPr>
          <w:p w14:paraId="0C433E3B">
            <w:pPr>
              <w:shd w:val="clear"/>
              <w:snapToGrid w:val="0"/>
              <w:spacing w:line="360" w:lineRule="auto"/>
              <w:jc w:val="center"/>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地址</w:t>
            </w:r>
          </w:p>
        </w:tc>
        <w:tc>
          <w:tcPr>
            <w:tcW w:w="2333" w:type="dxa"/>
            <w:vAlign w:val="center"/>
          </w:tcPr>
          <w:p w14:paraId="5E7249BA">
            <w:pPr>
              <w:shd w:val="clear"/>
              <w:snapToGrid w:val="0"/>
              <w:spacing w:line="360" w:lineRule="auto"/>
              <w:jc w:val="center"/>
              <w:rPr>
                <w:rFonts w:hint="eastAsia" w:ascii="宋体" w:hAnsi="宋体" w:eastAsia="宋体" w:cs="宋体"/>
                <w:snapToGrid w:val="0"/>
                <w:color w:val="auto"/>
                <w:kern w:val="0"/>
                <w:sz w:val="24"/>
                <w:szCs w:val="24"/>
                <w:highlight w:val="none"/>
              </w:rPr>
            </w:pPr>
          </w:p>
        </w:tc>
        <w:tc>
          <w:tcPr>
            <w:tcW w:w="1616" w:type="dxa"/>
            <w:vAlign w:val="center"/>
          </w:tcPr>
          <w:p w14:paraId="7B91CD97">
            <w:pPr>
              <w:shd w:val="clear"/>
              <w:snapToGrid w:val="0"/>
              <w:spacing w:line="360" w:lineRule="auto"/>
              <w:jc w:val="center"/>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地址</w:t>
            </w:r>
          </w:p>
        </w:tc>
        <w:tc>
          <w:tcPr>
            <w:tcW w:w="2693" w:type="dxa"/>
            <w:vAlign w:val="center"/>
          </w:tcPr>
          <w:p w14:paraId="30D3ECD0">
            <w:pPr>
              <w:shd w:val="clear"/>
              <w:snapToGrid w:val="0"/>
              <w:spacing w:line="360" w:lineRule="auto"/>
              <w:jc w:val="center"/>
              <w:rPr>
                <w:rFonts w:hint="eastAsia" w:ascii="宋体" w:hAnsi="宋体" w:eastAsia="宋体" w:cs="宋体"/>
                <w:snapToGrid w:val="0"/>
                <w:color w:val="auto"/>
                <w:kern w:val="0"/>
                <w:sz w:val="24"/>
                <w:szCs w:val="24"/>
                <w:highlight w:val="none"/>
              </w:rPr>
            </w:pPr>
          </w:p>
        </w:tc>
      </w:tr>
      <w:tr w14:paraId="1F9D69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0" w:hRule="atLeast"/>
        </w:trPr>
        <w:tc>
          <w:tcPr>
            <w:tcW w:w="1435" w:type="dxa"/>
            <w:vAlign w:val="center"/>
          </w:tcPr>
          <w:p w14:paraId="17A36549">
            <w:pPr>
              <w:shd w:val="clear"/>
              <w:snapToGrid w:val="0"/>
              <w:spacing w:line="360" w:lineRule="auto"/>
              <w:jc w:val="center"/>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电话</w:t>
            </w:r>
          </w:p>
        </w:tc>
        <w:tc>
          <w:tcPr>
            <w:tcW w:w="2333" w:type="dxa"/>
            <w:vAlign w:val="center"/>
          </w:tcPr>
          <w:p w14:paraId="31CD419B">
            <w:pPr>
              <w:shd w:val="clear"/>
              <w:snapToGrid w:val="0"/>
              <w:spacing w:line="360" w:lineRule="auto"/>
              <w:jc w:val="center"/>
              <w:rPr>
                <w:rFonts w:hint="eastAsia" w:ascii="宋体" w:hAnsi="宋体" w:eastAsia="宋体" w:cs="宋体"/>
                <w:snapToGrid w:val="0"/>
                <w:color w:val="auto"/>
                <w:kern w:val="0"/>
                <w:sz w:val="24"/>
                <w:szCs w:val="24"/>
                <w:highlight w:val="none"/>
              </w:rPr>
            </w:pPr>
          </w:p>
        </w:tc>
        <w:tc>
          <w:tcPr>
            <w:tcW w:w="1616" w:type="dxa"/>
            <w:vAlign w:val="center"/>
          </w:tcPr>
          <w:p w14:paraId="52A4A209">
            <w:pPr>
              <w:shd w:val="clear"/>
              <w:snapToGrid w:val="0"/>
              <w:spacing w:line="360" w:lineRule="auto"/>
              <w:jc w:val="center"/>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电话</w:t>
            </w:r>
          </w:p>
        </w:tc>
        <w:tc>
          <w:tcPr>
            <w:tcW w:w="2693" w:type="dxa"/>
            <w:vAlign w:val="center"/>
          </w:tcPr>
          <w:p w14:paraId="47239F8B">
            <w:pPr>
              <w:shd w:val="clear"/>
              <w:snapToGrid w:val="0"/>
              <w:spacing w:line="360" w:lineRule="auto"/>
              <w:jc w:val="center"/>
              <w:rPr>
                <w:rFonts w:hint="eastAsia" w:ascii="宋体" w:hAnsi="宋体" w:eastAsia="宋体" w:cs="宋体"/>
                <w:snapToGrid w:val="0"/>
                <w:color w:val="auto"/>
                <w:kern w:val="0"/>
                <w:sz w:val="24"/>
                <w:szCs w:val="24"/>
                <w:highlight w:val="none"/>
              </w:rPr>
            </w:pPr>
          </w:p>
        </w:tc>
      </w:tr>
      <w:tr w14:paraId="6E44FB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0" w:hRule="atLeast"/>
        </w:trPr>
        <w:tc>
          <w:tcPr>
            <w:tcW w:w="1435" w:type="dxa"/>
            <w:vAlign w:val="center"/>
          </w:tcPr>
          <w:p w14:paraId="31639046">
            <w:pPr>
              <w:shd w:val="clear"/>
              <w:snapToGrid w:val="0"/>
              <w:spacing w:line="360" w:lineRule="auto"/>
              <w:jc w:val="center"/>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开户银行</w:t>
            </w:r>
          </w:p>
        </w:tc>
        <w:tc>
          <w:tcPr>
            <w:tcW w:w="2333" w:type="dxa"/>
            <w:vAlign w:val="center"/>
          </w:tcPr>
          <w:p w14:paraId="146D06E4">
            <w:pPr>
              <w:shd w:val="clear"/>
              <w:snapToGrid w:val="0"/>
              <w:spacing w:line="360" w:lineRule="auto"/>
              <w:jc w:val="center"/>
              <w:rPr>
                <w:rFonts w:hint="eastAsia" w:ascii="宋体" w:hAnsi="宋体" w:eastAsia="宋体" w:cs="宋体"/>
                <w:snapToGrid w:val="0"/>
                <w:color w:val="auto"/>
                <w:kern w:val="0"/>
                <w:sz w:val="24"/>
                <w:szCs w:val="24"/>
                <w:highlight w:val="none"/>
              </w:rPr>
            </w:pPr>
          </w:p>
        </w:tc>
        <w:tc>
          <w:tcPr>
            <w:tcW w:w="1616" w:type="dxa"/>
            <w:vAlign w:val="center"/>
          </w:tcPr>
          <w:p w14:paraId="3E819DFD">
            <w:pPr>
              <w:shd w:val="clear"/>
              <w:snapToGrid w:val="0"/>
              <w:spacing w:line="360" w:lineRule="auto"/>
              <w:jc w:val="center"/>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开户银行</w:t>
            </w:r>
          </w:p>
        </w:tc>
        <w:tc>
          <w:tcPr>
            <w:tcW w:w="2693" w:type="dxa"/>
            <w:vAlign w:val="center"/>
          </w:tcPr>
          <w:p w14:paraId="0BFEB583">
            <w:pPr>
              <w:shd w:val="clear"/>
              <w:snapToGrid w:val="0"/>
              <w:spacing w:line="360" w:lineRule="auto"/>
              <w:jc w:val="center"/>
              <w:rPr>
                <w:rFonts w:hint="eastAsia" w:ascii="宋体" w:hAnsi="宋体" w:eastAsia="宋体" w:cs="宋体"/>
                <w:snapToGrid w:val="0"/>
                <w:color w:val="auto"/>
                <w:kern w:val="0"/>
                <w:sz w:val="24"/>
                <w:szCs w:val="24"/>
                <w:highlight w:val="none"/>
              </w:rPr>
            </w:pPr>
          </w:p>
        </w:tc>
      </w:tr>
      <w:tr w14:paraId="23F06A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trPr>
        <w:tc>
          <w:tcPr>
            <w:tcW w:w="1435" w:type="dxa"/>
            <w:vAlign w:val="center"/>
          </w:tcPr>
          <w:p w14:paraId="025C6B13">
            <w:pPr>
              <w:shd w:val="clear"/>
              <w:snapToGrid w:val="0"/>
              <w:spacing w:line="360" w:lineRule="auto"/>
              <w:jc w:val="center"/>
              <w:rPr>
                <w:rFonts w:hint="eastAsia" w:ascii="宋体" w:hAnsi="宋体" w:eastAsia="宋体" w:cs="宋体"/>
                <w:snapToGrid w:val="0"/>
                <w:color w:val="auto"/>
                <w:kern w:val="0"/>
                <w:sz w:val="24"/>
                <w:szCs w:val="24"/>
                <w:highlight w:val="none"/>
                <w:lang w:eastAsia="zh-CN"/>
              </w:rPr>
            </w:pPr>
            <w:r>
              <w:rPr>
                <w:rFonts w:hint="eastAsia" w:ascii="宋体" w:hAnsi="宋体" w:eastAsia="宋体" w:cs="宋体"/>
                <w:snapToGrid w:val="0"/>
                <w:color w:val="auto"/>
                <w:kern w:val="0"/>
                <w:sz w:val="24"/>
                <w:szCs w:val="24"/>
                <w:highlight w:val="none"/>
                <w:lang w:val="en-US" w:eastAsia="zh-CN"/>
              </w:rPr>
              <w:t>账号</w:t>
            </w:r>
          </w:p>
        </w:tc>
        <w:tc>
          <w:tcPr>
            <w:tcW w:w="2333" w:type="dxa"/>
            <w:vAlign w:val="center"/>
          </w:tcPr>
          <w:p w14:paraId="5BF5F669">
            <w:pPr>
              <w:shd w:val="clear"/>
              <w:snapToGrid w:val="0"/>
              <w:spacing w:line="360" w:lineRule="auto"/>
              <w:jc w:val="center"/>
              <w:rPr>
                <w:rFonts w:hint="eastAsia" w:ascii="宋体" w:hAnsi="宋体" w:eastAsia="宋体" w:cs="宋体"/>
                <w:snapToGrid w:val="0"/>
                <w:color w:val="auto"/>
                <w:kern w:val="0"/>
                <w:sz w:val="24"/>
                <w:szCs w:val="24"/>
                <w:highlight w:val="none"/>
              </w:rPr>
            </w:pPr>
          </w:p>
        </w:tc>
        <w:tc>
          <w:tcPr>
            <w:tcW w:w="1616" w:type="dxa"/>
            <w:vAlign w:val="center"/>
          </w:tcPr>
          <w:p w14:paraId="175A4F1D">
            <w:pPr>
              <w:shd w:val="clear"/>
              <w:snapToGrid w:val="0"/>
              <w:spacing w:line="360" w:lineRule="auto"/>
              <w:jc w:val="center"/>
              <w:rPr>
                <w:rFonts w:hint="eastAsia" w:ascii="宋体" w:hAnsi="宋体" w:eastAsia="宋体" w:cs="宋体"/>
                <w:snapToGrid w:val="0"/>
                <w:color w:val="auto"/>
                <w:kern w:val="0"/>
                <w:sz w:val="24"/>
                <w:szCs w:val="24"/>
                <w:highlight w:val="none"/>
                <w:lang w:eastAsia="zh-CN"/>
              </w:rPr>
            </w:pPr>
            <w:r>
              <w:rPr>
                <w:rFonts w:hint="eastAsia" w:ascii="宋体" w:hAnsi="宋体" w:eastAsia="宋体" w:cs="宋体"/>
                <w:snapToGrid w:val="0"/>
                <w:color w:val="auto"/>
                <w:kern w:val="0"/>
                <w:sz w:val="24"/>
                <w:szCs w:val="24"/>
                <w:highlight w:val="none"/>
                <w:lang w:val="en-US" w:eastAsia="zh-CN"/>
              </w:rPr>
              <w:t>账号</w:t>
            </w:r>
          </w:p>
        </w:tc>
        <w:tc>
          <w:tcPr>
            <w:tcW w:w="2693" w:type="dxa"/>
            <w:vAlign w:val="center"/>
          </w:tcPr>
          <w:p w14:paraId="399FC960">
            <w:pPr>
              <w:shd w:val="clear"/>
              <w:snapToGrid w:val="0"/>
              <w:spacing w:line="360" w:lineRule="auto"/>
              <w:jc w:val="center"/>
              <w:rPr>
                <w:rFonts w:hint="eastAsia" w:ascii="宋体" w:hAnsi="宋体" w:eastAsia="宋体" w:cs="宋体"/>
                <w:snapToGrid w:val="0"/>
                <w:color w:val="auto"/>
                <w:kern w:val="0"/>
                <w:sz w:val="24"/>
                <w:szCs w:val="24"/>
                <w:highlight w:val="none"/>
              </w:rPr>
            </w:pPr>
          </w:p>
        </w:tc>
      </w:tr>
    </w:tbl>
    <w:p w14:paraId="7EB39E87">
      <w:pPr>
        <w:rPr>
          <w:rFonts w:hint="eastAsia" w:ascii="宋体" w:hAnsi="宋体" w:eastAsia="宋体" w:cs="宋体"/>
          <w:color w:val="auto"/>
          <w:highlight w:val="none"/>
        </w:rPr>
      </w:pPr>
    </w:p>
    <w:bookmarkEnd w:id="94"/>
    <w:bookmarkEnd w:id="95"/>
    <w:p w14:paraId="4E70E885">
      <w:pPr>
        <w:pStyle w:val="9"/>
        <w:keepLines w:val="0"/>
        <w:numPr>
          <w:ilvl w:val="0"/>
          <w:numId w:val="0"/>
        </w:numPr>
        <w:shd w:val="clear"/>
        <w:jc w:val="center"/>
        <w:rPr>
          <w:rFonts w:hint="eastAsia" w:ascii="宋体" w:hAnsi="宋体" w:eastAsia="宋体" w:cs="宋体"/>
          <w:b/>
          <w:bCs/>
          <w:color w:val="auto"/>
          <w:kern w:val="44"/>
          <w:sz w:val="36"/>
          <w:szCs w:val="36"/>
          <w:highlight w:val="none"/>
          <w:lang w:val="en-US" w:eastAsia="zh-CN" w:bidi="ar-SA"/>
        </w:rPr>
      </w:pPr>
      <w:bookmarkStart w:id="97" w:name="_Toc27957"/>
    </w:p>
    <w:p w14:paraId="1E33D273">
      <w:pPr>
        <w:pStyle w:val="9"/>
        <w:keepLines w:val="0"/>
        <w:numPr>
          <w:ilvl w:val="0"/>
          <w:numId w:val="0"/>
        </w:numPr>
        <w:shd w:val="clear"/>
        <w:jc w:val="center"/>
        <w:rPr>
          <w:rFonts w:hint="eastAsia" w:ascii="宋体" w:hAnsi="宋体" w:eastAsia="宋体" w:cs="宋体"/>
          <w:b/>
          <w:bCs/>
          <w:color w:val="auto"/>
          <w:kern w:val="44"/>
          <w:sz w:val="36"/>
          <w:szCs w:val="36"/>
          <w:highlight w:val="none"/>
          <w:lang w:val="en-US" w:eastAsia="zh-CN" w:bidi="ar-SA"/>
        </w:rPr>
      </w:pPr>
    </w:p>
    <w:p w14:paraId="66B370DB">
      <w:pPr>
        <w:pStyle w:val="9"/>
        <w:keepLines w:val="0"/>
        <w:numPr>
          <w:ilvl w:val="0"/>
          <w:numId w:val="0"/>
        </w:numPr>
        <w:shd w:val="clear"/>
        <w:jc w:val="center"/>
        <w:rPr>
          <w:rFonts w:hint="eastAsia" w:ascii="宋体" w:hAnsi="宋体" w:eastAsia="宋体" w:cs="宋体"/>
          <w:color w:val="auto"/>
          <w:sz w:val="36"/>
          <w:szCs w:val="36"/>
          <w:highlight w:val="none"/>
        </w:rPr>
      </w:pPr>
      <w:r>
        <w:rPr>
          <w:rFonts w:hint="eastAsia" w:ascii="宋体" w:hAnsi="宋体" w:eastAsia="宋体" w:cs="宋体"/>
          <w:b/>
          <w:bCs/>
          <w:color w:val="auto"/>
          <w:kern w:val="44"/>
          <w:sz w:val="36"/>
          <w:szCs w:val="36"/>
          <w:highlight w:val="none"/>
          <w:lang w:val="en-US" w:eastAsia="zh-CN" w:bidi="ar-SA"/>
        </w:rPr>
        <w:t xml:space="preserve">第六部分 </w:t>
      </w:r>
      <w:r>
        <w:rPr>
          <w:rFonts w:hint="eastAsia" w:ascii="宋体" w:hAnsi="宋体" w:eastAsia="宋体" w:cs="宋体"/>
          <w:color w:val="auto"/>
          <w:sz w:val="36"/>
          <w:szCs w:val="36"/>
          <w:highlight w:val="none"/>
        </w:rPr>
        <w:t>应提交的有关格式范例</w:t>
      </w:r>
      <w:bookmarkEnd w:id="97"/>
    </w:p>
    <w:p w14:paraId="296D303F">
      <w:pPr>
        <w:shd w:val="clear"/>
        <w:rPr>
          <w:rFonts w:hint="eastAsia" w:ascii="宋体" w:hAnsi="宋体" w:eastAsia="宋体" w:cs="宋体"/>
          <w:color w:val="auto"/>
          <w:highlight w:val="none"/>
        </w:rPr>
      </w:pPr>
    </w:p>
    <w:p w14:paraId="4DFCCA1F">
      <w:pPr>
        <w:shd w:val="clea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供应商按照以下格式编制响应文件，</w:t>
      </w:r>
      <w:r>
        <w:rPr>
          <w:rFonts w:hint="eastAsia" w:ascii="宋体" w:hAnsi="宋体" w:eastAsia="宋体" w:cs="宋体"/>
          <w:b/>
          <w:bCs/>
          <w:color w:val="auto"/>
          <w:sz w:val="24"/>
          <w:szCs w:val="24"/>
          <w:highlight w:val="none"/>
        </w:rPr>
        <w:t>“资格文件</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rPr>
        <w:t>商务技术文件</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rPr>
        <w:t>报价文件”须分3个PDF格式分别导入。</w:t>
      </w:r>
    </w:p>
    <w:p w14:paraId="0525F070">
      <w:pPr>
        <w:shd w:val="clear"/>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此格式内容仅为参考模板，具体内容供应商应根据磋商文件要求进行调整。未按以下格式编制响应文件或因格式不规范、页码不清等原因引发的一切后果由供应商自行承担。</w:t>
      </w:r>
    </w:p>
    <w:p w14:paraId="06E9956D">
      <w:pPr>
        <w:shd w:val="clear"/>
        <w:spacing w:line="360" w:lineRule="auto"/>
        <w:jc w:val="center"/>
        <w:rPr>
          <w:rFonts w:hint="eastAsia" w:ascii="宋体" w:hAnsi="宋体" w:eastAsia="宋体" w:cs="宋体"/>
          <w:b/>
          <w:bCs/>
          <w:color w:val="auto"/>
          <w:kern w:val="0"/>
          <w:sz w:val="36"/>
          <w:szCs w:val="36"/>
          <w:highlight w:val="none"/>
        </w:rPr>
      </w:pPr>
    </w:p>
    <w:p w14:paraId="6CAAC473">
      <w:pPr>
        <w:shd w:val="clear"/>
        <w:spacing w:line="360" w:lineRule="auto"/>
        <w:jc w:val="center"/>
        <w:rPr>
          <w:rFonts w:hint="eastAsia" w:ascii="宋体" w:hAnsi="宋体" w:eastAsia="宋体" w:cs="宋体"/>
          <w:b/>
          <w:bCs/>
          <w:color w:val="auto"/>
          <w:kern w:val="0"/>
          <w:sz w:val="36"/>
          <w:szCs w:val="36"/>
          <w:highlight w:val="none"/>
        </w:rPr>
      </w:pPr>
    </w:p>
    <w:p w14:paraId="0FE25759">
      <w:pPr>
        <w:shd w:val="clear"/>
        <w:spacing w:line="360" w:lineRule="auto"/>
        <w:jc w:val="center"/>
        <w:rPr>
          <w:rFonts w:hint="eastAsia" w:ascii="宋体" w:hAnsi="宋体" w:eastAsia="宋体" w:cs="宋体"/>
          <w:b/>
          <w:bCs/>
          <w:color w:val="auto"/>
          <w:kern w:val="0"/>
          <w:sz w:val="36"/>
          <w:szCs w:val="36"/>
          <w:highlight w:val="none"/>
        </w:rPr>
      </w:pPr>
    </w:p>
    <w:p w14:paraId="6DAF7C8D">
      <w:pPr>
        <w:shd w:val="clear"/>
        <w:spacing w:line="360" w:lineRule="auto"/>
        <w:jc w:val="center"/>
        <w:rPr>
          <w:rFonts w:hint="eastAsia" w:ascii="宋体" w:hAnsi="宋体" w:eastAsia="宋体" w:cs="宋体"/>
          <w:b/>
          <w:bCs/>
          <w:color w:val="auto"/>
          <w:kern w:val="0"/>
          <w:sz w:val="36"/>
          <w:szCs w:val="36"/>
          <w:highlight w:val="none"/>
        </w:rPr>
      </w:pPr>
    </w:p>
    <w:p w14:paraId="61AFA88C">
      <w:pPr>
        <w:shd w:val="clear"/>
        <w:spacing w:line="360" w:lineRule="auto"/>
        <w:jc w:val="center"/>
        <w:rPr>
          <w:rFonts w:hint="eastAsia" w:ascii="宋体" w:hAnsi="宋体" w:eastAsia="宋体" w:cs="宋体"/>
          <w:b/>
          <w:bCs/>
          <w:color w:val="auto"/>
          <w:kern w:val="0"/>
          <w:sz w:val="36"/>
          <w:szCs w:val="36"/>
          <w:highlight w:val="none"/>
        </w:rPr>
      </w:pPr>
    </w:p>
    <w:p w14:paraId="0B7C9D8A">
      <w:pPr>
        <w:shd w:val="clear"/>
        <w:spacing w:line="360" w:lineRule="auto"/>
        <w:jc w:val="center"/>
        <w:rPr>
          <w:rFonts w:hint="eastAsia" w:ascii="宋体" w:hAnsi="宋体" w:eastAsia="宋体" w:cs="宋体"/>
          <w:b/>
          <w:bCs/>
          <w:color w:val="auto"/>
          <w:kern w:val="0"/>
          <w:sz w:val="36"/>
          <w:szCs w:val="36"/>
          <w:highlight w:val="none"/>
        </w:rPr>
      </w:pPr>
    </w:p>
    <w:p w14:paraId="598088B6">
      <w:pPr>
        <w:shd w:val="clear"/>
        <w:spacing w:line="360" w:lineRule="auto"/>
        <w:jc w:val="center"/>
        <w:rPr>
          <w:rFonts w:hint="eastAsia" w:ascii="宋体" w:hAnsi="宋体" w:eastAsia="宋体" w:cs="宋体"/>
          <w:b/>
          <w:bCs/>
          <w:color w:val="auto"/>
          <w:kern w:val="0"/>
          <w:sz w:val="36"/>
          <w:szCs w:val="36"/>
          <w:highlight w:val="none"/>
        </w:rPr>
      </w:pPr>
    </w:p>
    <w:p w14:paraId="2E7D871B">
      <w:pPr>
        <w:shd w:val="clear"/>
        <w:spacing w:line="360" w:lineRule="auto"/>
        <w:jc w:val="center"/>
        <w:rPr>
          <w:rFonts w:hint="eastAsia" w:ascii="宋体" w:hAnsi="宋体" w:eastAsia="宋体" w:cs="宋体"/>
          <w:b/>
          <w:bCs/>
          <w:color w:val="auto"/>
          <w:kern w:val="0"/>
          <w:sz w:val="36"/>
          <w:szCs w:val="36"/>
          <w:highlight w:val="none"/>
        </w:rPr>
      </w:pPr>
    </w:p>
    <w:p w14:paraId="1068590A">
      <w:pPr>
        <w:shd w:val="clear"/>
        <w:spacing w:line="360" w:lineRule="auto"/>
        <w:jc w:val="center"/>
        <w:rPr>
          <w:rFonts w:hint="eastAsia" w:ascii="宋体" w:hAnsi="宋体" w:eastAsia="宋体" w:cs="宋体"/>
          <w:b/>
          <w:bCs/>
          <w:color w:val="auto"/>
          <w:kern w:val="0"/>
          <w:sz w:val="36"/>
          <w:szCs w:val="36"/>
          <w:highlight w:val="none"/>
        </w:rPr>
      </w:pPr>
    </w:p>
    <w:p w14:paraId="4E4779B3">
      <w:pPr>
        <w:shd w:val="clear"/>
        <w:spacing w:line="360" w:lineRule="auto"/>
        <w:jc w:val="center"/>
        <w:rPr>
          <w:rFonts w:hint="eastAsia" w:ascii="宋体" w:hAnsi="宋体" w:eastAsia="宋体" w:cs="宋体"/>
          <w:b/>
          <w:bCs/>
          <w:color w:val="auto"/>
          <w:kern w:val="0"/>
          <w:sz w:val="36"/>
          <w:szCs w:val="36"/>
          <w:highlight w:val="none"/>
        </w:rPr>
      </w:pPr>
    </w:p>
    <w:p w14:paraId="6B020AE3">
      <w:pPr>
        <w:shd w:val="clear"/>
        <w:spacing w:line="360" w:lineRule="auto"/>
        <w:jc w:val="center"/>
        <w:rPr>
          <w:rFonts w:hint="eastAsia" w:ascii="宋体" w:hAnsi="宋体" w:eastAsia="宋体" w:cs="宋体"/>
          <w:b/>
          <w:bCs/>
          <w:color w:val="auto"/>
          <w:kern w:val="0"/>
          <w:sz w:val="36"/>
          <w:szCs w:val="36"/>
          <w:highlight w:val="none"/>
        </w:rPr>
      </w:pPr>
    </w:p>
    <w:p w14:paraId="7E29D16E">
      <w:pPr>
        <w:shd w:val="clear"/>
        <w:spacing w:line="360" w:lineRule="auto"/>
        <w:jc w:val="center"/>
        <w:rPr>
          <w:rFonts w:hint="eastAsia" w:ascii="宋体" w:hAnsi="宋体" w:eastAsia="宋体" w:cs="宋体"/>
          <w:b/>
          <w:bCs/>
          <w:color w:val="auto"/>
          <w:kern w:val="0"/>
          <w:sz w:val="36"/>
          <w:szCs w:val="36"/>
          <w:highlight w:val="none"/>
        </w:rPr>
      </w:pPr>
    </w:p>
    <w:p w14:paraId="53AB16AC">
      <w:pPr>
        <w:shd w:val="clear"/>
        <w:spacing w:line="360" w:lineRule="auto"/>
        <w:jc w:val="center"/>
        <w:rPr>
          <w:rFonts w:hint="eastAsia" w:ascii="宋体" w:hAnsi="宋体" w:eastAsia="宋体" w:cs="宋体"/>
          <w:b/>
          <w:bCs/>
          <w:color w:val="auto"/>
          <w:kern w:val="0"/>
          <w:sz w:val="36"/>
          <w:szCs w:val="36"/>
          <w:highlight w:val="none"/>
        </w:rPr>
      </w:pPr>
    </w:p>
    <w:p w14:paraId="59EAE059">
      <w:pPr>
        <w:shd w:val="clear"/>
        <w:spacing w:line="360" w:lineRule="auto"/>
        <w:jc w:val="center"/>
        <w:rPr>
          <w:rFonts w:hint="eastAsia" w:ascii="宋体" w:hAnsi="宋体" w:eastAsia="宋体" w:cs="宋体"/>
          <w:b/>
          <w:bCs/>
          <w:color w:val="auto"/>
          <w:kern w:val="0"/>
          <w:sz w:val="36"/>
          <w:szCs w:val="36"/>
          <w:highlight w:val="none"/>
        </w:rPr>
      </w:pPr>
    </w:p>
    <w:p w14:paraId="0676D8A2">
      <w:pPr>
        <w:shd w:val="clear"/>
        <w:spacing w:line="360" w:lineRule="auto"/>
        <w:jc w:val="center"/>
        <w:rPr>
          <w:rFonts w:hint="eastAsia" w:ascii="宋体" w:hAnsi="宋体" w:eastAsia="宋体" w:cs="宋体"/>
          <w:b/>
          <w:bCs/>
          <w:color w:val="auto"/>
          <w:kern w:val="0"/>
          <w:sz w:val="36"/>
          <w:szCs w:val="36"/>
          <w:highlight w:val="none"/>
        </w:rPr>
      </w:pPr>
    </w:p>
    <w:p w14:paraId="4B9DBD2A">
      <w:pPr>
        <w:shd w:val="clear"/>
        <w:spacing w:line="360" w:lineRule="auto"/>
        <w:jc w:val="center"/>
        <w:rPr>
          <w:rFonts w:hint="eastAsia" w:ascii="宋体" w:hAnsi="宋体" w:eastAsia="宋体" w:cs="宋体"/>
          <w:b/>
          <w:bCs/>
          <w:color w:val="auto"/>
          <w:kern w:val="0"/>
          <w:sz w:val="36"/>
          <w:szCs w:val="36"/>
          <w:highlight w:val="none"/>
        </w:rPr>
      </w:pPr>
    </w:p>
    <w:p w14:paraId="42A34A02">
      <w:pPr>
        <w:shd w:val="clear"/>
        <w:spacing w:line="360" w:lineRule="auto"/>
        <w:jc w:val="center"/>
        <w:rPr>
          <w:rFonts w:hint="eastAsia" w:ascii="宋体" w:hAnsi="宋体" w:eastAsia="宋体" w:cs="宋体"/>
          <w:b/>
          <w:bCs/>
          <w:color w:val="auto"/>
          <w:kern w:val="0"/>
          <w:sz w:val="36"/>
          <w:szCs w:val="36"/>
          <w:highlight w:val="none"/>
        </w:rPr>
      </w:pPr>
      <w:r>
        <w:rPr>
          <w:rFonts w:hint="eastAsia" w:ascii="宋体" w:hAnsi="宋体" w:eastAsia="宋体" w:cs="宋体"/>
          <w:b/>
          <w:bCs/>
          <w:color w:val="auto"/>
          <w:kern w:val="0"/>
          <w:sz w:val="36"/>
          <w:szCs w:val="36"/>
          <w:highlight w:val="none"/>
        </w:rPr>
        <w:t>资格文件部分</w:t>
      </w:r>
    </w:p>
    <w:p w14:paraId="1BC9D067">
      <w:pPr>
        <w:shd w:val="clear"/>
        <w:spacing w:line="360" w:lineRule="auto"/>
        <w:jc w:val="center"/>
        <w:rPr>
          <w:rFonts w:hint="eastAsia" w:ascii="宋体" w:hAnsi="宋体" w:eastAsia="宋体" w:cs="宋体"/>
          <w:b/>
          <w:bCs/>
          <w:color w:val="auto"/>
          <w:kern w:val="0"/>
          <w:sz w:val="36"/>
          <w:szCs w:val="36"/>
          <w:highlight w:val="none"/>
        </w:rPr>
      </w:pPr>
    </w:p>
    <w:p w14:paraId="5FBB37D0">
      <w:pPr>
        <w:shd w:val="clear"/>
        <w:spacing w:line="360" w:lineRule="auto"/>
        <w:jc w:val="center"/>
        <w:rPr>
          <w:rFonts w:hint="eastAsia" w:ascii="宋体" w:hAnsi="宋体" w:eastAsia="宋体" w:cs="宋体"/>
          <w:b/>
          <w:bCs/>
          <w:color w:val="auto"/>
          <w:kern w:val="0"/>
          <w:sz w:val="36"/>
          <w:szCs w:val="36"/>
          <w:highlight w:val="none"/>
        </w:rPr>
      </w:pPr>
      <w:r>
        <w:rPr>
          <w:rFonts w:hint="eastAsia" w:ascii="宋体" w:hAnsi="宋体" w:eastAsia="宋体" w:cs="宋体"/>
          <w:b/>
          <w:bCs/>
          <w:color w:val="auto"/>
          <w:kern w:val="0"/>
          <w:sz w:val="36"/>
          <w:szCs w:val="36"/>
          <w:highlight w:val="none"/>
        </w:rPr>
        <w:t>目录</w:t>
      </w:r>
    </w:p>
    <w:p w14:paraId="7D31FC29">
      <w:pPr>
        <w:shd w:val="clea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（1）法定代表人授权书；（格式见附件）</w:t>
      </w:r>
    </w:p>
    <w:p w14:paraId="4B591C69">
      <w:pPr>
        <w:shd w:val="clea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（2）营业执照</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或事业法人登记证或其他工商等登记证明材料</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复印件、税务登记证</w:t>
      </w:r>
      <w:r>
        <w:rPr>
          <w:rFonts w:hint="eastAsia" w:ascii="宋体" w:hAnsi="宋体" w:eastAsia="宋体" w:cs="宋体"/>
          <w:color w:val="auto"/>
          <w:sz w:val="24"/>
          <w:szCs w:val="24"/>
          <w:highlight w:val="none"/>
          <w:lang w:eastAsia="zh-CN"/>
        </w:rPr>
        <w:t>（或其他</w:t>
      </w:r>
      <w:r>
        <w:rPr>
          <w:rFonts w:hint="eastAsia" w:ascii="宋体" w:hAnsi="宋体" w:eastAsia="宋体" w:cs="宋体"/>
          <w:color w:val="auto"/>
          <w:sz w:val="24"/>
          <w:szCs w:val="24"/>
          <w:highlight w:val="none"/>
        </w:rPr>
        <w:t>缴纳证明材料</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复印件、社保登记证（</w:t>
      </w:r>
      <w:r>
        <w:rPr>
          <w:rFonts w:hint="eastAsia" w:ascii="宋体" w:hAnsi="宋体" w:eastAsia="宋体" w:cs="宋体"/>
          <w:color w:val="auto"/>
          <w:sz w:val="24"/>
          <w:szCs w:val="24"/>
          <w:highlight w:val="none"/>
          <w:lang w:eastAsia="zh-CN"/>
        </w:rPr>
        <w:t>或其他</w:t>
      </w:r>
      <w:r>
        <w:rPr>
          <w:rFonts w:hint="eastAsia" w:ascii="宋体" w:hAnsi="宋体" w:eastAsia="宋体" w:cs="宋体"/>
          <w:color w:val="auto"/>
          <w:sz w:val="24"/>
          <w:szCs w:val="24"/>
          <w:highlight w:val="none"/>
        </w:rPr>
        <w:t>缴纳证明材料）复印件；实施“五证合一、一照一码”登记制度改革的，只需提供改革后取得的营业执照复印件；事业单位的，则提供有效的《事业单位法人证书》副本复印件并加盖单位公章；</w:t>
      </w:r>
    </w:p>
    <w:p w14:paraId="3D0AA8BF">
      <w:pPr>
        <w:shd w:val="clea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响应文件中提供相关材料），证明其具备实际承担责任的能力和法定的缔结合同能力，可以独立参加政府采购活动，由单位负责人签署相关文件材料；</w:t>
      </w:r>
    </w:p>
    <w:p w14:paraId="6A14CA25">
      <w:pPr>
        <w:shd w:val="clea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（3）具有履行合同所必需的产品和专业技术能力的承诺函；</w:t>
      </w:r>
    </w:p>
    <w:p w14:paraId="043ABA1F">
      <w:pPr>
        <w:shd w:val="clea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（4）投标人承诺函（格式见附件）；</w:t>
      </w:r>
    </w:p>
    <w:p w14:paraId="20D91CD5">
      <w:pPr>
        <w:shd w:val="clea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中小企业声明函（格式见附件）；</w:t>
      </w:r>
    </w:p>
    <w:p w14:paraId="69B9A585">
      <w:pPr>
        <w:shd w:val="clea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残疾人福利性单位声明函</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如有</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（格式见附件）；</w:t>
      </w:r>
    </w:p>
    <w:p w14:paraId="11F81928">
      <w:pPr>
        <w:shd w:val="clear"/>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监狱企业证明文件</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如有</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（格式见附件）</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highlight w:val="none"/>
        </w:rPr>
        <w:br w:type="page"/>
      </w:r>
      <w:bookmarkStart w:id="98" w:name="_Toc24699"/>
    </w:p>
    <w:p w14:paraId="651B6EC7">
      <w:pPr>
        <w:shd w:val="clear"/>
        <w:rPr>
          <w:rFonts w:hint="eastAsia" w:ascii="宋体" w:hAnsi="宋体" w:eastAsia="宋体" w:cs="宋体"/>
          <w:b/>
          <w:bCs/>
          <w:color w:val="auto"/>
          <w:highlight w:val="none"/>
        </w:rPr>
      </w:pPr>
      <w:r>
        <w:rPr>
          <w:rFonts w:hint="eastAsia" w:ascii="宋体" w:hAnsi="宋体" w:eastAsia="宋体" w:cs="宋体"/>
          <w:b/>
          <w:bCs/>
          <w:color w:val="auto"/>
          <w:highlight w:val="none"/>
        </w:rPr>
        <w:t>附件一：</w:t>
      </w:r>
    </w:p>
    <w:p w14:paraId="66152F32">
      <w:pPr>
        <w:shd w:val="clear"/>
        <w:spacing w:line="360" w:lineRule="auto"/>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法定代表人授权书</w:t>
      </w:r>
      <w:bookmarkEnd w:id="98"/>
    </w:p>
    <w:p w14:paraId="01ED87C8">
      <w:pPr>
        <w:pStyle w:val="3"/>
        <w:shd w:val="clear"/>
        <w:spacing w:line="360" w:lineRule="auto"/>
        <w:rPr>
          <w:rFonts w:hint="eastAsia" w:ascii="宋体" w:hAnsi="宋体" w:eastAsia="宋体" w:cs="宋体"/>
          <w:color w:val="auto"/>
          <w:highlight w:val="none"/>
        </w:rPr>
      </w:pPr>
    </w:p>
    <w:p w14:paraId="23A99E32">
      <w:pPr>
        <w:shd w:val="clear"/>
        <w:spacing w:line="360" w:lineRule="auto"/>
        <w:ind w:firstLine="480" w:firstLineChars="20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绍兴市上虞区百官街道办事处</w:t>
      </w:r>
      <w:r>
        <w:rPr>
          <w:rFonts w:hint="eastAsia" w:ascii="宋体" w:hAnsi="宋体" w:eastAsia="宋体" w:cs="宋体"/>
          <w:color w:val="auto"/>
          <w:sz w:val="24"/>
          <w:szCs w:val="24"/>
          <w:highlight w:val="none"/>
        </w:rPr>
        <w:t>：</w:t>
      </w:r>
    </w:p>
    <w:p w14:paraId="4F2D6DE7">
      <w:pPr>
        <w:shd w:val="clea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浙江宇康工程管理咨询有限公司：</w:t>
      </w:r>
    </w:p>
    <w:p w14:paraId="700C1FA7">
      <w:pPr>
        <w:shd w:val="clea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 xml:space="preserve">  （供应商全称） </w:t>
      </w:r>
      <w:r>
        <w:rPr>
          <w:rFonts w:hint="eastAsia" w:ascii="宋体" w:hAnsi="宋体" w:eastAsia="宋体" w:cs="宋体"/>
          <w:color w:val="auto"/>
          <w:sz w:val="24"/>
          <w:szCs w:val="24"/>
          <w:highlight w:val="none"/>
        </w:rPr>
        <w:t>法定代表人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授权</w:t>
      </w:r>
      <w:r>
        <w:rPr>
          <w:rFonts w:hint="eastAsia" w:ascii="宋体" w:hAnsi="宋体" w:eastAsia="宋体" w:cs="宋体"/>
          <w:color w:val="auto"/>
          <w:sz w:val="24"/>
          <w:szCs w:val="24"/>
          <w:highlight w:val="none"/>
          <w:u w:val="single"/>
        </w:rPr>
        <w:t>（授权代表名称）</w:t>
      </w:r>
      <w:r>
        <w:rPr>
          <w:rFonts w:hint="eastAsia" w:ascii="宋体" w:hAnsi="宋体" w:eastAsia="宋体" w:cs="宋体"/>
          <w:color w:val="auto"/>
          <w:sz w:val="24"/>
          <w:szCs w:val="24"/>
          <w:highlight w:val="none"/>
        </w:rPr>
        <w:t>为授权代表，参加贵处组织的</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项目</w:t>
      </w:r>
      <w:r>
        <w:rPr>
          <w:rFonts w:hint="eastAsia" w:ascii="宋体" w:hAnsi="宋体" w:eastAsia="宋体" w:cs="宋体"/>
          <w:color w:val="auto"/>
          <w:sz w:val="24"/>
          <w:szCs w:val="24"/>
          <w:highlight w:val="none"/>
          <w:u w:val="single"/>
        </w:rPr>
        <w:t>（括号内填写招标编号）</w:t>
      </w:r>
      <w:r>
        <w:rPr>
          <w:rFonts w:hint="eastAsia" w:ascii="宋体" w:hAnsi="宋体" w:eastAsia="宋体" w:cs="宋体"/>
          <w:color w:val="auto"/>
          <w:sz w:val="24"/>
          <w:szCs w:val="24"/>
          <w:highlight w:val="none"/>
        </w:rPr>
        <w:t>，授权处理招投标活动中的一切事宜。</w:t>
      </w:r>
    </w:p>
    <w:p w14:paraId="75F88DC5">
      <w:pPr>
        <w:shd w:val="clear"/>
        <w:spacing w:line="360" w:lineRule="auto"/>
        <w:ind w:firstLine="480" w:firstLineChars="200"/>
        <w:rPr>
          <w:rFonts w:hint="eastAsia" w:ascii="宋体" w:hAnsi="宋体" w:eastAsia="宋体" w:cs="宋体"/>
          <w:color w:val="auto"/>
          <w:sz w:val="24"/>
          <w:szCs w:val="24"/>
          <w:highlight w:val="none"/>
        </w:rPr>
      </w:pPr>
    </w:p>
    <w:p w14:paraId="5F9873F4">
      <w:pPr>
        <w:shd w:val="clea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法定代表人签字：</w:t>
      </w:r>
    </w:p>
    <w:p w14:paraId="1E048BE9">
      <w:pPr>
        <w:shd w:val="clea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供应商全称：（盖章）</w:t>
      </w:r>
    </w:p>
    <w:p w14:paraId="5B22B6C4">
      <w:pPr>
        <w:shd w:val="clea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p>
    <w:p w14:paraId="2C03C953">
      <w:pPr>
        <w:shd w:val="clea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w:t>
      </w:r>
    </w:p>
    <w:p w14:paraId="05AA7B9C">
      <w:pPr>
        <w:shd w:val="clea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授权代表姓名：</w:t>
      </w:r>
    </w:p>
    <w:p w14:paraId="09457EAA">
      <w:pPr>
        <w:shd w:val="clea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职务：</w:t>
      </w:r>
    </w:p>
    <w:p w14:paraId="522C5E1F">
      <w:pPr>
        <w:shd w:val="clea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详细通讯地址：</w:t>
      </w:r>
    </w:p>
    <w:p w14:paraId="01D4800B">
      <w:pPr>
        <w:shd w:val="clea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传真：</w:t>
      </w:r>
    </w:p>
    <w:p w14:paraId="0C004B61">
      <w:pPr>
        <w:shd w:val="clea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电话：</w:t>
      </w:r>
    </w:p>
    <w:p w14:paraId="6CEB00E9">
      <w:pPr>
        <w:shd w:val="clea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邮政编码：</w:t>
      </w:r>
    </w:p>
    <w:p w14:paraId="7A131967">
      <w:pPr>
        <w:pStyle w:val="17"/>
        <w:shd w:val="clear"/>
        <w:snapToGrid w:val="0"/>
        <w:spacing w:line="360" w:lineRule="auto"/>
        <w:rPr>
          <w:rFonts w:hint="eastAsia" w:ascii="宋体" w:hAnsi="宋体" w:eastAsia="宋体" w:cs="宋体"/>
          <w:color w:val="auto"/>
          <w:sz w:val="24"/>
          <w:szCs w:val="24"/>
          <w:highlight w:val="none"/>
        </w:rPr>
      </w:pPr>
    </w:p>
    <w:p w14:paraId="5AF0637E">
      <w:pPr>
        <w:pStyle w:val="17"/>
        <w:shd w:val="clear"/>
        <w:snapToGrid w:val="0"/>
        <w:spacing w:line="360" w:lineRule="auto"/>
        <w:rPr>
          <w:rFonts w:hint="eastAsia" w:ascii="宋体" w:hAnsi="宋体" w:eastAsia="宋体" w:cs="宋体"/>
          <w:color w:val="auto"/>
          <w:sz w:val="24"/>
          <w:szCs w:val="24"/>
          <w:highlight w:val="none"/>
        </w:rPr>
      </w:pPr>
    </w:p>
    <w:p w14:paraId="2B648010">
      <w:pPr>
        <w:pStyle w:val="17"/>
        <w:shd w:val="clear"/>
        <w:snapToGrid w:val="0"/>
        <w:spacing w:line="360" w:lineRule="auto"/>
        <w:rPr>
          <w:rFonts w:hint="eastAsia" w:ascii="宋体" w:hAnsi="宋体" w:eastAsia="宋体" w:cs="宋体"/>
          <w:color w:val="auto"/>
          <w:sz w:val="24"/>
          <w:szCs w:val="24"/>
          <w:highlight w:val="none"/>
        </w:rPr>
      </w:pPr>
    </w:p>
    <w:p w14:paraId="3FF4BD6B">
      <w:pPr>
        <w:shd w:val="clear"/>
        <w:spacing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附：授权代表身份证复印件（正反面）</w:t>
      </w:r>
    </w:p>
    <w:p w14:paraId="09BDC8BE">
      <w:pPr>
        <w:shd w:val="clear"/>
        <w:spacing w:line="360" w:lineRule="auto"/>
        <w:rPr>
          <w:rFonts w:hint="eastAsia" w:ascii="宋体" w:hAnsi="宋体" w:eastAsia="宋体" w:cs="宋体"/>
          <w:b/>
          <w:bCs/>
          <w:color w:val="auto"/>
          <w:sz w:val="24"/>
          <w:szCs w:val="24"/>
          <w:highlight w:val="none"/>
        </w:rPr>
      </w:pPr>
    </w:p>
    <w:p w14:paraId="153FBA53">
      <w:pPr>
        <w:pStyle w:val="4"/>
        <w:shd w:val="clear"/>
        <w:ind w:firstLine="486"/>
        <w:rPr>
          <w:rFonts w:hint="eastAsia" w:ascii="宋体" w:hAnsi="宋体" w:eastAsia="宋体" w:cs="宋体"/>
          <w:color w:val="auto"/>
          <w:highlight w:val="none"/>
        </w:rPr>
      </w:pPr>
    </w:p>
    <w:p w14:paraId="726EDBFE">
      <w:pPr>
        <w:shd w:val="clear"/>
        <w:snapToGrid w:val="0"/>
        <w:spacing w:before="50" w:after="156" w:afterLines="50"/>
        <w:jc w:val="left"/>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rPr>
        <w:br w:type="page"/>
      </w:r>
      <w:r>
        <w:rPr>
          <w:rFonts w:hint="eastAsia" w:ascii="宋体" w:hAnsi="宋体" w:eastAsia="宋体" w:cs="宋体"/>
          <w:b/>
          <w:bCs/>
          <w:color w:val="auto"/>
          <w:sz w:val="24"/>
          <w:szCs w:val="24"/>
          <w:highlight w:val="none"/>
          <w:lang w:val="zh-CN"/>
        </w:rPr>
        <w:t>附件二：</w:t>
      </w:r>
    </w:p>
    <w:p w14:paraId="52EB9D3A">
      <w:pPr>
        <w:shd w:val="clear"/>
        <w:spacing w:line="360" w:lineRule="auto"/>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投 标 人 承 诺 函</w:t>
      </w:r>
    </w:p>
    <w:p w14:paraId="2E244083">
      <w:pPr>
        <w:pStyle w:val="8"/>
        <w:shd w:val="clear"/>
        <w:rPr>
          <w:rFonts w:hint="eastAsia" w:ascii="宋体" w:hAnsi="宋体" w:eastAsia="宋体" w:cs="宋体"/>
          <w:color w:val="auto"/>
          <w:highlight w:val="none"/>
        </w:rPr>
      </w:pPr>
    </w:p>
    <w:p w14:paraId="6FE80922">
      <w:pPr>
        <w:shd w:val="clear"/>
        <w:rPr>
          <w:rFonts w:hint="eastAsia" w:ascii="宋体" w:hAnsi="宋体" w:eastAsia="宋体" w:cs="宋体"/>
          <w:color w:val="auto"/>
          <w:highlight w:val="none"/>
        </w:rPr>
      </w:pPr>
    </w:p>
    <w:p w14:paraId="3D203E5A">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cs="宋体"/>
          <w:color w:val="auto"/>
          <w:sz w:val="24"/>
          <w:highlight w:val="none"/>
          <w:lang w:eastAsia="zh-CN"/>
        </w:rPr>
        <w:t>绍兴市上虞区百官街道办事处</w:t>
      </w:r>
      <w:r>
        <w:rPr>
          <w:rFonts w:hint="eastAsia" w:ascii="宋体" w:hAnsi="宋体" w:eastAsia="宋体" w:cs="宋体"/>
          <w:color w:val="auto"/>
          <w:sz w:val="24"/>
          <w:highlight w:val="none"/>
        </w:rPr>
        <w:t xml:space="preserve"> ：</w:t>
      </w:r>
    </w:p>
    <w:p w14:paraId="476EB137">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浙江宇康工程管理咨询有限公司：</w:t>
      </w:r>
    </w:p>
    <w:p w14:paraId="3E69855D">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rPr>
        <w:t>（投标人名称）</w:t>
      </w:r>
      <w:r>
        <w:rPr>
          <w:rFonts w:hint="eastAsia" w:ascii="宋体" w:hAnsi="宋体" w:eastAsia="宋体" w:cs="宋体"/>
          <w:color w:val="auto"/>
          <w:sz w:val="24"/>
          <w:highlight w:val="none"/>
        </w:rPr>
        <w:t>系中华人民共和国合法企业，经营地址</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32F37491">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我</w:t>
      </w:r>
      <w:r>
        <w:rPr>
          <w:rFonts w:hint="eastAsia" w:ascii="宋体" w:hAnsi="宋体" w:eastAsia="宋体" w:cs="宋体"/>
          <w:color w:val="auto"/>
          <w:sz w:val="24"/>
          <w:highlight w:val="none"/>
          <w:u w:val="single"/>
        </w:rPr>
        <w:t>（姓名）</w:t>
      </w:r>
      <w:r>
        <w:rPr>
          <w:rFonts w:hint="eastAsia" w:ascii="宋体" w:hAnsi="宋体" w:eastAsia="宋体" w:cs="宋体"/>
          <w:color w:val="auto"/>
          <w:sz w:val="24"/>
          <w:highlight w:val="none"/>
        </w:rPr>
        <w:t>系</w:t>
      </w:r>
      <w:r>
        <w:rPr>
          <w:rFonts w:hint="eastAsia" w:ascii="宋体" w:hAnsi="宋体" w:eastAsia="宋体" w:cs="宋体"/>
          <w:color w:val="auto"/>
          <w:sz w:val="24"/>
          <w:highlight w:val="none"/>
          <w:u w:val="single"/>
        </w:rPr>
        <w:t>（投标人名称）</w:t>
      </w:r>
      <w:r>
        <w:rPr>
          <w:rFonts w:hint="eastAsia" w:ascii="宋体" w:hAnsi="宋体" w:eastAsia="宋体" w:cs="宋体"/>
          <w:color w:val="auto"/>
          <w:sz w:val="24"/>
          <w:highlight w:val="none"/>
        </w:rPr>
        <w:t>的法定代表人，我方愿意参加贵方组织的</w:t>
      </w:r>
      <w:r>
        <w:rPr>
          <w:rFonts w:hint="eastAsia" w:ascii="宋体" w:hAnsi="宋体" w:eastAsia="宋体" w:cs="宋体"/>
          <w:color w:val="auto"/>
          <w:sz w:val="24"/>
          <w:highlight w:val="none"/>
          <w:u w:val="single"/>
        </w:rPr>
        <w:t>（招标项目名称）（编号为）</w:t>
      </w:r>
      <w:r>
        <w:rPr>
          <w:rFonts w:hint="eastAsia" w:ascii="宋体" w:hAnsi="宋体" w:eastAsia="宋体" w:cs="宋体"/>
          <w:color w:val="auto"/>
          <w:sz w:val="24"/>
          <w:highlight w:val="none"/>
        </w:rPr>
        <w:t>的投标，为此，我方就本次投标有关事项郑重承诺如下：</w:t>
      </w:r>
    </w:p>
    <w:p w14:paraId="63D97E20">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1、我方已详细审查全部招标文件，同意招标文件的各项要求。</w:t>
      </w:r>
    </w:p>
    <w:p w14:paraId="43F125A9">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2、我方向贵方提交的所有投标文件、资料都是准确的和真实的。</w:t>
      </w:r>
    </w:p>
    <w:p w14:paraId="21FAFBE0">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3、若中标，我方将按招标文件规定履行合同责任和义务。</w:t>
      </w:r>
    </w:p>
    <w:p w14:paraId="529FDFDA">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4、我方不是采购人的附属机构；在获知本项目采购信息后，与采购人聘请的为此项目提供咨询服务的公司及其附属机构没有任何联系。</w:t>
      </w:r>
    </w:p>
    <w:p w14:paraId="773FAB35">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5、投标文件自开标日起有效期为90天。</w:t>
      </w:r>
    </w:p>
    <w:p w14:paraId="43AEF6C7">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6、我方参与本项目前3年内的经营活动中没有重大违法记录；</w:t>
      </w:r>
    </w:p>
    <w:p w14:paraId="62898B2F">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7、我方通过“信用中国”网站（www.creditchina.gov.cn）、中国政府采购网（www.ccgp.gov.cn）查询，未被列入失信被执行人、重大税收违法案件当事人名单、政府采购严重违法失信行为记录名单。</w:t>
      </w:r>
    </w:p>
    <w:p w14:paraId="6244E40F">
      <w:pPr>
        <w:pStyle w:val="57"/>
        <w:shd w:val="clear"/>
        <w:spacing w:before="0"/>
        <w:ind w:firstLine="480"/>
        <w:jc w:val="left"/>
        <w:rPr>
          <w:rFonts w:hint="eastAsia" w:ascii="宋体" w:hAnsi="宋体" w:eastAsia="宋体" w:cs="宋体"/>
          <w:color w:val="auto"/>
          <w:highlight w:val="none"/>
        </w:rPr>
      </w:pPr>
      <w:r>
        <w:rPr>
          <w:rFonts w:hint="eastAsia" w:ascii="宋体" w:hAnsi="宋体" w:eastAsia="宋体" w:cs="宋体"/>
          <w:color w:val="auto"/>
          <w:highlight w:val="none"/>
        </w:rPr>
        <w:t>8、具有良好的商业信誉和健全的财务会计制度；</w:t>
      </w:r>
    </w:p>
    <w:p w14:paraId="7BDAE261">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9、具有依法缴纳税收和社会保障资金的良好记录；</w:t>
      </w:r>
    </w:p>
    <w:p w14:paraId="5FD9AC70">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10、以上事项如有虚假或隐瞒，我方愿意承担一切后果，并不再寻求任何旨在减轻或免除法律责任的辩解。</w:t>
      </w:r>
    </w:p>
    <w:p w14:paraId="4E164193">
      <w:pPr>
        <w:shd w:val="clear"/>
        <w:spacing w:line="360" w:lineRule="auto"/>
        <w:ind w:firstLine="480" w:firstLineChars="200"/>
        <w:rPr>
          <w:rFonts w:hint="eastAsia" w:ascii="宋体" w:hAnsi="宋体" w:eastAsia="宋体" w:cs="宋体"/>
          <w:color w:val="auto"/>
          <w:sz w:val="24"/>
          <w:highlight w:val="none"/>
        </w:rPr>
      </w:pPr>
    </w:p>
    <w:p w14:paraId="2E6C9739">
      <w:pPr>
        <w:pStyle w:val="4"/>
        <w:shd w:val="clear"/>
        <w:rPr>
          <w:rFonts w:hint="eastAsia" w:ascii="宋体" w:hAnsi="宋体" w:eastAsia="宋体" w:cs="宋体"/>
          <w:color w:val="auto"/>
          <w:highlight w:val="none"/>
        </w:rPr>
      </w:pPr>
    </w:p>
    <w:p w14:paraId="0742FDBB">
      <w:pPr>
        <w:shd w:val="clear"/>
        <w:spacing w:line="360" w:lineRule="auto"/>
        <w:ind w:left="3780" w:leftChars="18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法定代表人签名（或签名章）：                       </w:t>
      </w:r>
    </w:p>
    <w:p w14:paraId="47267A8C">
      <w:pPr>
        <w:shd w:val="clear"/>
        <w:spacing w:line="360" w:lineRule="auto"/>
        <w:ind w:left="3780" w:leftChars="18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日 期：</w:t>
      </w:r>
    </w:p>
    <w:p w14:paraId="09F26AF6">
      <w:pPr>
        <w:shd w:val="clear"/>
        <w:spacing w:line="360" w:lineRule="auto"/>
        <w:ind w:left="3780" w:leftChars="18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投标人全称（公章）：</w:t>
      </w:r>
    </w:p>
    <w:p w14:paraId="42D47A52">
      <w:pPr>
        <w:shd w:val="clear"/>
        <w:spacing w:line="360" w:lineRule="auto"/>
        <w:ind w:left="3780" w:leftChars="1800" w:firstLine="480" w:firstLineChars="200"/>
        <w:rPr>
          <w:rFonts w:hint="eastAsia" w:ascii="宋体" w:hAnsi="宋体" w:eastAsia="宋体" w:cs="宋体"/>
          <w:color w:val="auto"/>
          <w:sz w:val="24"/>
          <w:szCs w:val="24"/>
          <w:highlight w:val="none"/>
        </w:rPr>
      </w:pPr>
    </w:p>
    <w:p w14:paraId="2698A44D">
      <w:pPr>
        <w:shd w:val="clear"/>
        <w:rPr>
          <w:rFonts w:hint="eastAsia" w:ascii="宋体" w:hAnsi="宋体" w:eastAsia="宋体" w:cs="宋体"/>
          <w:b/>
          <w:bCs/>
          <w:color w:val="auto"/>
          <w:kern w:val="0"/>
          <w:sz w:val="36"/>
          <w:szCs w:val="36"/>
          <w:highlight w:val="none"/>
        </w:rPr>
      </w:pPr>
      <w:r>
        <w:rPr>
          <w:rFonts w:hint="eastAsia" w:ascii="宋体" w:hAnsi="宋体" w:eastAsia="宋体" w:cs="宋体"/>
          <w:b/>
          <w:bCs/>
          <w:color w:val="auto"/>
          <w:kern w:val="0"/>
          <w:sz w:val="36"/>
          <w:szCs w:val="36"/>
          <w:highlight w:val="none"/>
        </w:rPr>
        <w:br w:type="page"/>
      </w:r>
    </w:p>
    <w:p w14:paraId="6B037EB5">
      <w:pPr>
        <w:shd w:val="clear"/>
        <w:spacing w:line="360" w:lineRule="auto"/>
        <w:jc w:val="left"/>
        <w:rPr>
          <w:rFonts w:hint="eastAsia" w:ascii="宋体" w:hAnsi="宋体" w:eastAsia="宋体" w:cs="宋体"/>
          <w:b/>
          <w:bCs/>
          <w:color w:val="auto"/>
          <w:sz w:val="32"/>
          <w:szCs w:val="32"/>
          <w:highlight w:val="none"/>
        </w:rPr>
      </w:pPr>
      <w:r>
        <w:rPr>
          <w:rFonts w:hint="eastAsia" w:ascii="宋体" w:hAnsi="宋体" w:eastAsia="宋体" w:cs="宋体"/>
          <w:b/>
          <w:bCs/>
          <w:color w:val="auto"/>
          <w:sz w:val="24"/>
          <w:szCs w:val="24"/>
          <w:highlight w:val="none"/>
          <w:lang w:val="zh-CN"/>
        </w:rPr>
        <w:t>附件</w:t>
      </w:r>
      <w:r>
        <w:rPr>
          <w:rFonts w:hint="eastAsia" w:ascii="宋体" w:hAnsi="宋体" w:cs="宋体"/>
          <w:b/>
          <w:bCs/>
          <w:color w:val="auto"/>
          <w:sz w:val="24"/>
          <w:szCs w:val="24"/>
          <w:highlight w:val="none"/>
          <w:lang w:val="en-US" w:eastAsia="zh-CN"/>
        </w:rPr>
        <w:t>三</w:t>
      </w:r>
      <w:r>
        <w:rPr>
          <w:rFonts w:hint="eastAsia" w:ascii="宋体" w:hAnsi="宋体" w:eastAsia="宋体" w:cs="宋体"/>
          <w:b/>
          <w:bCs/>
          <w:color w:val="auto"/>
          <w:sz w:val="24"/>
          <w:szCs w:val="24"/>
          <w:highlight w:val="none"/>
          <w:lang w:val="zh-CN"/>
        </w:rPr>
        <w:t>：</w:t>
      </w:r>
    </w:p>
    <w:p w14:paraId="685C8C59">
      <w:pPr>
        <w:shd w:val="clear"/>
        <w:spacing w:line="360" w:lineRule="auto"/>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中小企业声明函</w:t>
      </w:r>
    </w:p>
    <w:p w14:paraId="2AA7BB74">
      <w:pPr>
        <w:shd w:val="clear"/>
        <w:spacing w:line="288" w:lineRule="auto"/>
        <w:ind w:firstLine="480" w:firstLineChars="200"/>
        <w:jc w:val="left"/>
        <w:rPr>
          <w:rFonts w:hint="eastAsia" w:ascii="宋体" w:hAnsi="宋体" w:eastAsia="宋体" w:cs="宋体"/>
          <w:color w:val="auto"/>
          <w:sz w:val="24"/>
          <w:szCs w:val="24"/>
          <w:highlight w:val="none"/>
        </w:rPr>
      </w:pPr>
    </w:p>
    <w:p w14:paraId="798DA960">
      <w:pPr>
        <w:shd w:val="clear"/>
        <w:spacing w:line="288"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本公司（联合体）郑重声明，根据《政府采购促进中小企业发展管理办法》 （财库﹝2020﹞46 号）的规定，本公司（联合体）参加</w:t>
      </w:r>
      <w:r>
        <w:rPr>
          <w:rFonts w:hint="eastAsia" w:ascii="宋体" w:hAnsi="宋体" w:eastAsia="宋体" w:cs="宋体"/>
          <w:color w:val="auto"/>
          <w:sz w:val="24"/>
          <w:szCs w:val="24"/>
          <w:highlight w:val="none"/>
          <w:u w:val="single"/>
        </w:rPr>
        <w:t xml:space="preserve"> （采购人名称） </w:t>
      </w:r>
      <w:r>
        <w:rPr>
          <w:rFonts w:hint="eastAsia" w:ascii="宋体" w:hAnsi="宋体" w:eastAsia="宋体" w:cs="宋体"/>
          <w:color w:val="auto"/>
          <w:sz w:val="24"/>
          <w:szCs w:val="24"/>
          <w:highlight w:val="none"/>
        </w:rPr>
        <w:t>的</w:t>
      </w:r>
      <w:r>
        <w:rPr>
          <w:rFonts w:hint="eastAsia" w:ascii="宋体" w:hAnsi="宋体" w:eastAsia="宋体" w:cs="宋体"/>
          <w:color w:val="auto"/>
          <w:sz w:val="24"/>
          <w:szCs w:val="24"/>
          <w:highlight w:val="none"/>
          <w:u w:val="single"/>
        </w:rPr>
        <w:t xml:space="preserve"> （项目名称）     </w:t>
      </w:r>
      <w:r>
        <w:rPr>
          <w:rFonts w:hint="eastAsia" w:ascii="宋体" w:hAnsi="宋体" w:eastAsia="宋体" w:cs="宋体"/>
          <w:color w:val="auto"/>
          <w:sz w:val="24"/>
          <w:szCs w:val="24"/>
          <w:highlight w:val="none"/>
        </w:rPr>
        <w:t>采购活动，服务全部由符合政策要求的中小企业承接。相关企业（含联合体中的中小企业、签订分包意向协议的中小企业）的具体情况如下：</w:t>
      </w:r>
    </w:p>
    <w:p w14:paraId="6F9A5B4E">
      <w:pPr>
        <w:shd w:val="clear"/>
        <w:spacing w:line="288"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u w:val="single"/>
        </w:rPr>
        <w:t xml:space="preserve">  （项目名称）</w:t>
      </w:r>
      <w:r>
        <w:rPr>
          <w:rFonts w:hint="eastAsia" w:ascii="宋体" w:hAnsi="宋体" w:eastAsia="宋体" w:cs="宋体"/>
          <w:color w:val="auto"/>
          <w:sz w:val="24"/>
          <w:szCs w:val="24"/>
          <w:highlight w:val="none"/>
        </w:rPr>
        <w:t>，属于</w:t>
      </w:r>
      <w:r>
        <w:rPr>
          <w:rFonts w:hint="eastAsia" w:ascii="宋体" w:hAnsi="宋体" w:eastAsia="宋体" w:cs="宋体"/>
          <w:color w:val="auto"/>
          <w:sz w:val="24"/>
          <w:szCs w:val="24"/>
          <w:highlight w:val="none"/>
          <w:u w:val="single"/>
        </w:rPr>
        <w:t xml:space="preserve"> 其他未列明</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none"/>
        </w:rPr>
        <w:t>行业</w:t>
      </w:r>
      <w:r>
        <w:rPr>
          <w:rFonts w:hint="eastAsia" w:ascii="宋体" w:hAnsi="宋体" w:eastAsia="宋体" w:cs="宋体"/>
          <w:color w:val="auto"/>
          <w:sz w:val="24"/>
          <w:szCs w:val="24"/>
          <w:highlight w:val="none"/>
        </w:rPr>
        <w:t>；承接企业为</w:t>
      </w:r>
      <w:r>
        <w:rPr>
          <w:rFonts w:hint="eastAsia" w:ascii="宋体" w:hAnsi="宋体" w:eastAsia="宋体" w:cs="宋体"/>
          <w:color w:val="auto"/>
          <w:sz w:val="24"/>
          <w:szCs w:val="24"/>
          <w:highlight w:val="none"/>
          <w:u w:val="single"/>
        </w:rPr>
        <w:t xml:space="preserve">           （企业名称） </w:t>
      </w:r>
      <w:r>
        <w:rPr>
          <w:rFonts w:hint="eastAsia" w:ascii="宋体" w:hAnsi="宋体" w:eastAsia="宋体" w:cs="宋体"/>
          <w:color w:val="auto"/>
          <w:sz w:val="24"/>
          <w:szCs w:val="24"/>
          <w:highlight w:val="none"/>
        </w:rPr>
        <w:t>，从业人员</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人，营业收入为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万元，资产总额为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万元 ，属于</w:t>
      </w:r>
      <w:r>
        <w:rPr>
          <w:rFonts w:hint="eastAsia" w:ascii="宋体" w:hAnsi="宋体" w:eastAsia="宋体" w:cs="宋体"/>
          <w:color w:val="auto"/>
          <w:sz w:val="24"/>
          <w:szCs w:val="24"/>
          <w:highlight w:val="none"/>
          <w:u w:val="single"/>
        </w:rPr>
        <w:t xml:space="preserve">       （中型企业、小型企业、微型企业）</w:t>
      </w:r>
      <w:r>
        <w:rPr>
          <w:rFonts w:hint="eastAsia" w:ascii="宋体" w:hAnsi="宋体" w:eastAsia="宋体" w:cs="宋体"/>
          <w:color w:val="auto"/>
          <w:sz w:val="24"/>
          <w:szCs w:val="24"/>
          <w:highlight w:val="none"/>
        </w:rPr>
        <w:t xml:space="preserve"> ；</w:t>
      </w:r>
    </w:p>
    <w:p w14:paraId="61C6BEAA">
      <w:pPr>
        <w:shd w:val="clear"/>
        <w:spacing w:line="288"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p w14:paraId="3330AD0F">
      <w:pPr>
        <w:shd w:val="clear"/>
        <w:spacing w:line="288"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以上企业，不属于大企业的分支机构，不存在控股股东为大企业的情形，也不存在与大企业的负责人为同一人的情形。</w:t>
      </w:r>
    </w:p>
    <w:p w14:paraId="29363F20">
      <w:pPr>
        <w:shd w:val="clear"/>
        <w:spacing w:line="288"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本企业对上述声明内容的真实性负责。如有虚假，将依法承担相应责任。</w:t>
      </w:r>
    </w:p>
    <w:p w14:paraId="0110CE3D">
      <w:pPr>
        <w:shd w:val="clear"/>
        <w:spacing w:line="288" w:lineRule="auto"/>
        <w:ind w:right="420" w:firstLine="4320" w:firstLineChars="1800"/>
        <w:rPr>
          <w:rFonts w:hint="eastAsia" w:ascii="宋体" w:hAnsi="宋体" w:eastAsia="宋体" w:cs="宋体"/>
          <w:color w:val="auto"/>
          <w:sz w:val="24"/>
          <w:szCs w:val="24"/>
          <w:highlight w:val="none"/>
        </w:rPr>
      </w:pPr>
    </w:p>
    <w:p w14:paraId="3BE6EEF1">
      <w:pPr>
        <w:shd w:val="clear"/>
        <w:spacing w:line="288" w:lineRule="auto"/>
        <w:ind w:right="420" w:firstLine="4320" w:firstLineChars="1800"/>
        <w:rPr>
          <w:rFonts w:hint="eastAsia" w:ascii="宋体" w:hAnsi="宋体" w:eastAsia="宋体" w:cs="宋体"/>
          <w:color w:val="auto"/>
          <w:sz w:val="24"/>
          <w:szCs w:val="24"/>
          <w:highlight w:val="none"/>
        </w:rPr>
      </w:pPr>
    </w:p>
    <w:p w14:paraId="5AA27C18">
      <w:pPr>
        <w:shd w:val="clear"/>
        <w:spacing w:line="288" w:lineRule="auto"/>
        <w:ind w:right="420" w:firstLine="4800" w:firstLineChars="20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企业名称（盖章）： </w:t>
      </w:r>
    </w:p>
    <w:p w14:paraId="1E6E1056">
      <w:pPr>
        <w:shd w:val="clear"/>
        <w:spacing w:line="288" w:lineRule="auto"/>
        <w:ind w:left="3780" w:leftChars="1800"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   年     月     日</w:t>
      </w:r>
    </w:p>
    <w:p w14:paraId="62686FCB">
      <w:pPr>
        <w:pStyle w:val="3"/>
        <w:shd w:val="clear"/>
        <w:spacing w:line="288" w:lineRule="auto"/>
        <w:rPr>
          <w:rFonts w:hint="eastAsia" w:ascii="宋体" w:hAnsi="宋体" w:eastAsia="宋体" w:cs="宋体"/>
          <w:color w:val="auto"/>
          <w:sz w:val="24"/>
          <w:szCs w:val="24"/>
          <w:highlight w:val="none"/>
        </w:rPr>
      </w:pPr>
    </w:p>
    <w:p w14:paraId="00633291">
      <w:pPr>
        <w:shd w:val="clear"/>
        <w:spacing w:line="288" w:lineRule="auto"/>
        <w:ind w:firstLine="480" w:firstLineChars="200"/>
        <w:jc w:val="left"/>
        <w:rPr>
          <w:rFonts w:hint="eastAsia" w:ascii="宋体" w:hAnsi="宋体" w:eastAsia="宋体" w:cs="宋体"/>
          <w:color w:val="auto"/>
          <w:sz w:val="24"/>
          <w:szCs w:val="24"/>
          <w:highlight w:val="none"/>
        </w:rPr>
      </w:pPr>
    </w:p>
    <w:p w14:paraId="4ADC1814">
      <w:pPr>
        <w:shd w:val="clear"/>
        <w:spacing w:line="288" w:lineRule="auto"/>
        <w:ind w:firstLine="480" w:firstLineChars="200"/>
        <w:jc w:val="left"/>
        <w:rPr>
          <w:rFonts w:hint="eastAsia" w:ascii="宋体" w:hAnsi="宋体" w:eastAsia="宋体" w:cs="宋体"/>
          <w:color w:val="auto"/>
          <w:sz w:val="24"/>
          <w:szCs w:val="24"/>
          <w:highlight w:val="none"/>
        </w:rPr>
      </w:pPr>
    </w:p>
    <w:p w14:paraId="33171A68">
      <w:pPr>
        <w:shd w:val="clear"/>
        <w:spacing w:line="288" w:lineRule="auto"/>
        <w:ind w:firstLine="480" w:firstLineChars="200"/>
        <w:jc w:val="left"/>
        <w:rPr>
          <w:rFonts w:hint="eastAsia" w:ascii="宋体" w:hAnsi="宋体" w:eastAsia="宋体" w:cs="宋体"/>
          <w:color w:val="auto"/>
          <w:sz w:val="24"/>
          <w:szCs w:val="24"/>
          <w:highlight w:val="none"/>
        </w:rPr>
      </w:pPr>
    </w:p>
    <w:p w14:paraId="77AE38F7">
      <w:pPr>
        <w:shd w:val="clear"/>
        <w:spacing w:line="288"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注：从业人员、营业收入、资产总额填报上一年度数据，无上一年度数据的新成立企业可不填报。</w:t>
      </w:r>
    </w:p>
    <w:p w14:paraId="017BD945">
      <w:pPr>
        <w:widowControl/>
        <w:shd w:val="clear"/>
        <w:snapToGrid w:val="0"/>
        <w:spacing w:line="324" w:lineRule="auto"/>
        <w:ind w:firstLine="480" w:firstLineChars="200"/>
        <w:jc w:val="left"/>
        <w:rPr>
          <w:rFonts w:hint="eastAsia" w:ascii="宋体" w:hAnsi="宋体" w:eastAsia="宋体" w:cs="宋体"/>
          <w:color w:val="auto"/>
          <w:sz w:val="24"/>
          <w:szCs w:val="24"/>
          <w:highlight w:val="none"/>
        </w:rPr>
      </w:pPr>
    </w:p>
    <w:p w14:paraId="05C22C0A">
      <w:pPr>
        <w:pStyle w:val="2"/>
        <w:shd w:val="clear"/>
        <w:spacing w:line="360" w:lineRule="auto"/>
        <w:jc w:val="center"/>
        <w:rPr>
          <w:rFonts w:hint="eastAsia" w:ascii="宋体" w:hAnsi="宋体" w:eastAsia="宋体" w:cs="宋体"/>
          <w:color w:val="auto"/>
          <w:sz w:val="24"/>
          <w:szCs w:val="24"/>
          <w:highlight w:val="none"/>
        </w:rPr>
      </w:pPr>
    </w:p>
    <w:p w14:paraId="025AA32C">
      <w:pPr>
        <w:pStyle w:val="2"/>
        <w:shd w:val="clear"/>
        <w:spacing w:line="360" w:lineRule="auto"/>
        <w:jc w:val="center"/>
        <w:rPr>
          <w:rFonts w:hint="eastAsia" w:ascii="宋体" w:hAnsi="宋体" w:eastAsia="宋体" w:cs="宋体"/>
          <w:color w:val="auto"/>
          <w:sz w:val="24"/>
          <w:szCs w:val="24"/>
          <w:highlight w:val="none"/>
        </w:rPr>
      </w:pPr>
    </w:p>
    <w:p w14:paraId="6ABF3696">
      <w:pPr>
        <w:shd w:val="clear"/>
        <w:jc w:val="center"/>
        <w:rPr>
          <w:rFonts w:hint="eastAsia" w:ascii="宋体" w:hAnsi="宋体" w:eastAsia="宋体" w:cs="宋体"/>
          <w:color w:val="auto"/>
          <w:highlight w:val="none"/>
          <w:lang w:val="zh-CN"/>
        </w:rPr>
      </w:pPr>
      <w:bookmarkStart w:id="99" w:name="_Toc2071"/>
      <w:bookmarkStart w:id="100" w:name="_Toc3295"/>
      <w:bookmarkStart w:id="101" w:name="_Toc30916"/>
      <w:r>
        <w:rPr>
          <w:rFonts w:hint="eastAsia" w:ascii="宋体" w:hAnsi="宋体" w:eastAsia="宋体" w:cs="宋体"/>
          <w:color w:val="auto"/>
          <w:highlight w:val="none"/>
        </w:rPr>
        <w:br w:type="page"/>
      </w:r>
      <w:bookmarkEnd w:id="99"/>
      <w:bookmarkEnd w:id="100"/>
      <w:bookmarkEnd w:id="101"/>
    </w:p>
    <w:p w14:paraId="3C015D4E">
      <w:pPr>
        <w:shd w:val="clear"/>
        <w:rPr>
          <w:rFonts w:hint="eastAsia" w:ascii="宋体" w:hAnsi="宋体" w:eastAsia="宋体" w:cs="宋体"/>
          <w:b/>
          <w:bCs/>
          <w:color w:val="auto"/>
          <w:sz w:val="24"/>
          <w:szCs w:val="24"/>
          <w:highlight w:val="none"/>
          <w:lang w:val="zh-CN"/>
        </w:rPr>
      </w:pPr>
      <w:bookmarkStart w:id="102" w:name="_Toc25017"/>
      <w:bookmarkStart w:id="103" w:name="_Toc31472"/>
      <w:bookmarkStart w:id="104" w:name="_Toc9715"/>
      <w:bookmarkStart w:id="105" w:name="_Toc16150"/>
      <w:r>
        <w:rPr>
          <w:rFonts w:hint="eastAsia" w:ascii="宋体" w:hAnsi="宋体" w:eastAsia="宋体" w:cs="宋体"/>
          <w:b/>
          <w:bCs/>
          <w:color w:val="auto"/>
          <w:sz w:val="24"/>
          <w:szCs w:val="24"/>
          <w:highlight w:val="none"/>
          <w:lang w:val="zh-CN"/>
        </w:rPr>
        <w:t>附件</w:t>
      </w:r>
      <w:r>
        <w:rPr>
          <w:rFonts w:hint="eastAsia" w:ascii="宋体" w:hAnsi="宋体" w:cs="宋体"/>
          <w:b/>
          <w:bCs/>
          <w:color w:val="auto"/>
          <w:sz w:val="24"/>
          <w:szCs w:val="24"/>
          <w:highlight w:val="none"/>
          <w:lang w:val="en-US" w:eastAsia="zh-CN"/>
        </w:rPr>
        <w:t>四</w:t>
      </w:r>
      <w:r>
        <w:rPr>
          <w:rFonts w:hint="eastAsia" w:ascii="宋体" w:hAnsi="宋体" w:eastAsia="宋体" w:cs="宋体"/>
          <w:b/>
          <w:bCs/>
          <w:color w:val="auto"/>
          <w:sz w:val="24"/>
          <w:szCs w:val="24"/>
          <w:highlight w:val="none"/>
        </w:rPr>
        <w:t>：</w:t>
      </w:r>
    </w:p>
    <w:p w14:paraId="4FF35B5B">
      <w:pPr>
        <w:shd w:val="clear"/>
        <w:spacing w:line="360" w:lineRule="auto"/>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残疾人福利性单位声明函</w:t>
      </w:r>
      <w:bookmarkEnd w:id="102"/>
      <w:bookmarkEnd w:id="103"/>
      <w:bookmarkEnd w:id="104"/>
      <w:bookmarkEnd w:id="105"/>
    </w:p>
    <w:p w14:paraId="40C4DA4B">
      <w:pPr>
        <w:widowControl/>
        <w:shd w:val="clear"/>
        <w:snapToGrid w:val="0"/>
        <w:spacing w:line="324" w:lineRule="auto"/>
        <w:ind w:firstLine="480" w:firstLineChars="20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【不属于残疾人福利性单位的无需填写、递交】</w:t>
      </w:r>
    </w:p>
    <w:p w14:paraId="11F51756">
      <w:pPr>
        <w:shd w:val="clear"/>
        <w:spacing w:line="588" w:lineRule="exact"/>
        <w:rPr>
          <w:rFonts w:hint="eastAsia" w:ascii="宋体" w:hAnsi="宋体" w:eastAsia="宋体" w:cs="宋体"/>
          <w:b/>
          <w:bCs/>
          <w:color w:val="auto"/>
          <w:spacing w:val="6"/>
          <w:sz w:val="30"/>
          <w:szCs w:val="30"/>
          <w:highlight w:val="none"/>
        </w:rPr>
      </w:pPr>
    </w:p>
    <w:p w14:paraId="19A60FCC">
      <w:pPr>
        <w:shd w:val="clear"/>
        <w:spacing w:line="588"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服务，或者提供其他残疾人福利性单位提供的服务。本单位对上述声明的真实性负责。如有虚假，将依法承担相应责任。</w:t>
      </w:r>
    </w:p>
    <w:p w14:paraId="0B16D68E">
      <w:pPr>
        <w:pStyle w:val="2"/>
        <w:shd w:val="clear"/>
        <w:rPr>
          <w:rFonts w:hint="eastAsia" w:ascii="宋体" w:hAnsi="宋体" w:eastAsia="宋体" w:cs="宋体"/>
          <w:color w:val="auto"/>
          <w:highlight w:val="none"/>
        </w:rPr>
      </w:pPr>
    </w:p>
    <w:p w14:paraId="0F5CE30B">
      <w:pPr>
        <w:pStyle w:val="3"/>
        <w:shd w:val="clear"/>
        <w:rPr>
          <w:rFonts w:hint="eastAsia" w:ascii="宋体" w:hAnsi="宋体" w:eastAsia="宋体" w:cs="宋体"/>
          <w:color w:val="auto"/>
          <w:highlight w:val="none"/>
        </w:rPr>
      </w:pPr>
    </w:p>
    <w:p w14:paraId="23D55CC7">
      <w:pPr>
        <w:shd w:val="clear"/>
        <w:spacing w:line="588" w:lineRule="exact"/>
        <w:rPr>
          <w:rFonts w:hint="eastAsia" w:ascii="宋体" w:hAnsi="宋体" w:eastAsia="宋体" w:cs="宋体"/>
          <w:color w:val="auto"/>
          <w:sz w:val="24"/>
          <w:szCs w:val="24"/>
          <w:highlight w:val="none"/>
        </w:rPr>
      </w:pPr>
    </w:p>
    <w:p w14:paraId="2B1ACE06">
      <w:pPr>
        <w:shd w:val="clear"/>
        <w:spacing w:line="360" w:lineRule="auto"/>
        <w:ind w:left="3780" w:leftChars="180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法定代表人签名（或签名章）：                       </w:t>
      </w:r>
    </w:p>
    <w:p w14:paraId="7D8C2038">
      <w:pPr>
        <w:shd w:val="clear"/>
        <w:spacing w:line="360" w:lineRule="auto"/>
        <w:ind w:left="3780" w:leftChars="180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 期：</w:t>
      </w:r>
    </w:p>
    <w:p w14:paraId="13A0E7D7">
      <w:pPr>
        <w:shd w:val="clear"/>
        <w:spacing w:line="360" w:lineRule="auto"/>
        <w:ind w:left="3780" w:leftChars="180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供应商全称（公章）：</w:t>
      </w:r>
    </w:p>
    <w:p w14:paraId="35979C25">
      <w:pPr>
        <w:shd w:val="clear"/>
        <w:rPr>
          <w:rFonts w:hint="eastAsia" w:ascii="宋体" w:hAnsi="宋体" w:eastAsia="宋体" w:cs="宋体"/>
          <w:b/>
          <w:bCs/>
          <w:color w:val="auto"/>
          <w:sz w:val="24"/>
          <w:szCs w:val="24"/>
          <w:highlight w:val="none"/>
          <w:lang w:val="zh-CN"/>
        </w:rPr>
      </w:pPr>
      <w:bookmarkStart w:id="106" w:name="_Toc15966"/>
      <w:bookmarkStart w:id="107" w:name="_Toc24"/>
      <w:bookmarkStart w:id="108" w:name="_Toc2386"/>
      <w:bookmarkStart w:id="109" w:name="_Toc5441"/>
      <w:r>
        <w:rPr>
          <w:rFonts w:hint="eastAsia" w:ascii="宋体" w:hAnsi="宋体" w:eastAsia="宋体" w:cs="宋体"/>
          <w:color w:val="auto"/>
          <w:sz w:val="24"/>
          <w:szCs w:val="24"/>
          <w:highlight w:val="none"/>
          <w:lang w:val="zh-CN"/>
        </w:rPr>
        <w:br w:type="page"/>
      </w:r>
      <w:r>
        <w:rPr>
          <w:rFonts w:hint="eastAsia" w:ascii="宋体" w:hAnsi="宋体" w:eastAsia="宋体" w:cs="宋体"/>
          <w:b/>
          <w:bCs/>
          <w:color w:val="auto"/>
          <w:sz w:val="24"/>
          <w:szCs w:val="24"/>
          <w:highlight w:val="none"/>
          <w:lang w:val="zh-CN"/>
        </w:rPr>
        <w:t>附件</w:t>
      </w:r>
      <w:r>
        <w:rPr>
          <w:rFonts w:hint="eastAsia" w:ascii="宋体" w:hAnsi="宋体" w:cs="宋体"/>
          <w:b/>
          <w:bCs/>
          <w:color w:val="auto"/>
          <w:sz w:val="24"/>
          <w:szCs w:val="24"/>
          <w:highlight w:val="none"/>
          <w:lang w:val="en-US" w:eastAsia="zh-CN"/>
        </w:rPr>
        <w:t>五</w:t>
      </w:r>
      <w:r>
        <w:rPr>
          <w:rFonts w:hint="eastAsia" w:ascii="宋体" w:hAnsi="宋体" w:eastAsia="宋体" w:cs="宋体"/>
          <w:b/>
          <w:bCs/>
          <w:color w:val="auto"/>
          <w:sz w:val="24"/>
          <w:szCs w:val="24"/>
          <w:highlight w:val="none"/>
        </w:rPr>
        <w:t>：</w:t>
      </w:r>
    </w:p>
    <w:p w14:paraId="66E9C393">
      <w:pPr>
        <w:shd w:val="clear"/>
        <w:spacing w:line="360" w:lineRule="auto"/>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监狱企业证明文件</w:t>
      </w:r>
      <w:bookmarkEnd w:id="106"/>
      <w:bookmarkEnd w:id="107"/>
      <w:bookmarkEnd w:id="108"/>
      <w:bookmarkEnd w:id="109"/>
    </w:p>
    <w:p w14:paraId="517EABB4">
      <w:pPr>
        <w:widowControl/>
        <w:shd w:val="clear"/>
        <w:snapToGrid w:val="0"/>
        <w:spacing w:line="360" w:lineRule="auto"/>
        <w:jc w:val="center"/>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【不属于监狱企业的无需填写、递交】</w:t>
      </w:r>
    </w:p>
    <w:p w14:paraId="2E696278">
      <w:pPr>
        <w:widowControl/>
        <w:shd w:val="clear"/>
        <w:snapToGrid w:val="0"/>
        <w:spacing w:line="324" w:lineRule="auto"/>
        <w:jc w:val="center"/>
        <w:rPr>
          <w:rFonts w:hint="eastAsia" w:ascii="宋体" w:hAnsi="宋体" w:eastAsia="宋体" w:cs="宋体"/>
          <w:color w:val="auto"/>
          <w:kern w:val="0"/>
          <w:sz w:val="24"/>
          <w:szCs w:val="24"/>
          <w:highlight w:val="none"/>
        </w:rPr>
      </w:pPr>
    </w:p>
    <w:p w14:paraId="57DF8919">
      <w:pPr>
        <w:shd w:val="clear"/>
        <w:spacing w:line="588" w:lineRule="exact"/>
        <w:ind w:firstLine="480" w:firstLineChars="200"/>
        <w:rPr>
          <w:rFonts w:hint="eastAsia" w:ascii="宋体" w:hAnsi="宋体" w:eastAsia="宋体" w:cs="宋体"/>
          <w:color w:val="auto"/>
          <w:sz w:val="24"/>
          <w:szCs w:val="24"/>
          <w:highlight w:val="none"/>
        </w:rPr>
      </w:pPr>
    </w:p>
    <w:p w14:paraId="2D7BD5EF">
      <w:pPr>
        <w:shd w:val="clear"/>
        <w:adjustRightInd w:val="0"/>
        <w:snapToGrid w:val="0"/>
        <w:spacing w:before="156" w:beforeLines="5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监狱企业需提供省级以上的监狱管理局、戒毒管理局（含新疆生产建设兵团）出具的属于监狱企业的证明文件。  </w:t>
      </w:r>
    </w:p>
    <w:p w14:paraId="6DBE4905">
      <w:pPr>
        <w:pStyle w:val="2"/>
        <w:shd w:val="clear"/>
        <w:rPr>
          <w:rFonts w:hint="eastAsia" w:ascii="宋体" w:hAnsi="宋体" w:eastAsia="宋体" w:cs="宋体"/>
          <w:color w:val="auto"/>
          <w:highlight w:val="none"/>
        </w:rPr>
      </w:pPr>
    </w:p>
    <w:p w14:paraId="32BBF2D5">
      <w:pPr>
        <w:pStyle w:val="3"/>
        <w:shd w:val="clear"/>
        <w:rPr>
          <w:rFonts w:hint="eastAsia" w:ascii="宋体" w:hAnsi="宋体" w:eastAsia="宋体" w:cs="宋体"/>
          <w:color w:val="auto"/>
          <w:highlight w:val="none"/>
        </w:rPr>
      </w:pPr>
    </w:p>
    <w:p w14:paraId="05FF01B2">
      <w:pPr>
        <w:shd w:val="clear"/>
        <w:spacing w:line="360" w:lineRule="auto"/>
        <w:ind w:left="3780" w:leftChars="180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法定代表人签名（或签名章）：                       </w:t>
      </w:r>
    </w:p>
    <w:p w14:paraId="635DD904">
      <w:pPr>
        <w:shd w:val="clear"/>
        <w:spacing w:line="360" w:lineRule="auto"/>
        <w:ind w:left="3780" w:leftChars="180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 期：</w:t>
      </w:r>
    </w:p>
    <w:p w14:paraId="54FA5A86">
      <w:pPr>
        <w:shd w:val="clear"/>
        <w:spacing w:line="360" w:lineRule="auto"/>
        <w:ind w:left="3780" w:leftChars="1800" w:firstLine="480" w:firstLineChars="200"/>
        <w:rPr>
          <w:rFonts w:hint="eastAsia" w:ascii="宋体" w:hAnsi="宋体" w:eastAsia="宋体" w:cs="宋体"/>
          <w:color w:val="auto"/>
          <w:highlight w:val="none"/>
        </w:rPr>
      </w:pPr>
      <w:r>
        <w:rPr>
          <w:rFonts w:hint="eastAsia" w:ascii="宋体" w:hAnsi="宋体" w:eastAsia="宋体" w:cs="宋体"/>
          <w:color w:val="auto"/>
          <w:sz w:val="24"/>
          <w:szCs w:val="24"/>
          <w:highlight w:val="none"/>
        </w:rPr>
        <w:t>供应商全称（公章）：</w:t>
      </w:r>
    </w:p>
    <w:p w14:paraId="12368C81">
      <w:pPr>
        <w:shd w:val="clear"/>
        <w:rPr>
          <w:rFonts w:hint="eastAsia" w:ascii="宋体" w:hAnsi="宋体" w:eastAsia="宋体" w:cs="宋体"/>
          <w:color w:val="auto"/>
          <w:highlight w:val="none"/>
        </w:rPr>
      </w:pPr>
    </w:p>
    <w:p w14:paraId="39749A5C">
      <w:pPr>
        <w:shd w:val="clear"/>
        <w:rPr>
          <w:rFonts w:hint="eastAsia" w:ascii="宋体" w:hAnsi="宋体" w:eastAsia="宋体" w:cs="宋体"/>
          <w:b/>
          <w:bCs/>
          <w:color w:val="auto"/>
          <w:kern w:val="0"/>
          <w:sz w:val="36"/>
          <w:szCs w:val="36"/>
          <w:highlight w:val="none"/>
        </w:rPr>
      </w:pPr>
      <w:r>
        <w:rPr>
          <w:rFonts w:hint="eastAsia" w:ascii="宋体" w:hAnsi="宋体" w:eastAsia="宋体" w:cs="宋体"/>
          <w:b/>
          <w:bCs/>
          <w:color w:val="auto"/>
          <w:kern w:val="0"/>
          <w:sz w:val="36"/>
          <w:szCs w:val="36"/>
          <w:highlight w:val="none"/>
        </w:rPr>
        <w:br w:type="page"/>
      </w:r>
    </w:p>
    <w:p w14:paraId="5051BE59">
      <w:pPr>
        <w:shd w:val="clear"/>
        <w:spacing w:line="360" w:lineRule="auto"/>
        <w:jc w:val="center"/>
        <w:rPr>
          <w:rFonts w:hint="eastAsia" w:ascii="宋体" w:hAnsi="宋体" w:eastAsia="宋体" w:cs="宋体"/>
          <w:b/>
          <w:bCs/>
          <w:color w:val="auto"/>
          <w:kern w:val="0"/>
          <w:sz w:val="36"/>
          <w:szCs w:val="36"/>
          <w:highlight w:val="none"/>
        </w:rPr>
      </w:pPr>
      <w:r>
        <w:rPr>
          <w:rFonts w:hint="eastAsia" w:ascii="宋体" w:hAnsi="宋体" w:eastAsia="宋体" w:cs="宋体"/>
          <w:b/>
          <w:bCs/>
          <w:color w:val="auto"/>
          <w:kern w:val="0"/>
          <w:sz w:val="36"/>
          <w:szCs w:val="36"/>
          <w:highlight w:val="none"/>
        </w:rPr>
        <w:t>商务技术文件</w:t>
      </w:r>
    </w:p>
    <w:p w14:paraId="417598D3">
      <w:pPr>
        <w:shd w:val="clear"/>
        <w:spacing w:line="360" w:lineRule="auto"/>
        <w:jc w:val="center"/>
        <w:rPr>
          <w:rFonts w:hint="eastAsia" w:ascii="宋体" w:hAnsi="宋体" w:eastAsia="宋体" w:cs="宋体"/>
          <w:b/>
          <w:bCs/>
          <w:color w:val="auto"/>
          <w:kern w:val="0"/>
          <w:sz w:val="36"/>
          <w:szCs w:val="36"/>
          <w:highlight w:val="none"/>
        </w:rPr>
      </w:pPr>
    </w:p>
    <w:p w14:paraId="146ED045">
      <w:pPr>
        <w:shd w:val="clear"/>
        <w:spacing w:line="360" w:lineRule="auto"/>
        <w:jc w:val="center"/>
        <w:rPr>
          <w:rFonts w:hint="eastAsia" w:ascii="宋体" w:hAnsi="宋体" w:eastAsia="宋体" w:cs="宋体"/>
          <w:b/>
          <w:bCs/>
          <w:color w:val="auto"/>
          <w:kern w:val="0"/>
          <w:sz w:val="36"/>
          <w:szCs w:val="36"/>
          <w:highlight w:val="none"/>
        </w:rPr>
      </w:pPr>
      <w:r>
        <w:rPr>
          <w:rFonts w:hint="eastAsia" w:ascii="宋体" w:hAnsi="宋体" w:eastAsia="宋体" w:cs="宋体"/>
          <w:b/>
          <w:bCs/>
          <w:color w:val="auto"/>
          <w:kern w:val="0"/>
          <w:sz w:val="36"/>
          <w:szCs w:val="36"/>
          <w:highlight w:val="none"/>
        </w:rPr>
        <w:t>目录</w:t>
      </w:r>
    </w:p>
    <w:p w14:paraId="50DE005B">
      <w:pPr>
        <w:pStyle w:val="4"/>
        <w:shd w:val="clear"/>
        <w:ind w:left="426" w:firstLine="486"/>
        <w:rPr>
          <w:rFonts w:hint="eastAsia" w:ascii="宋体" w:hAnsi="宋体" w:eastAsia="宋体" w:cs="宋体"/>
          <w:color w:val="auto"/>
          <w:highlight w:val="none"/>
        </w:rPr>
      </w:pPr>
    </w:p>
    <w:p w14:paraId="102B270C">
      <w:pPr>
        <w:numPr>
          <w:ilvl w:val="0"/>
          <w:numId w:val="20"/>
        </w:num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评分对应表（格式见附件，主要用于评委对应评分内容）</w:t>
      </w:r>
    </w:p>
    <w:p w14:paraId="2CA2EAD0">
      <w:pPr>
        <w:numPr>
          <w:ilvl w:val="0"/>
          <w:numId w:val="20"/>
        </w:num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供应商商务技术文件中资信分自评表（格式见附件）；</w:t>
      </w:r>
    </w:p>
    <w:p w14:paraId="043754CA">
      <w:pPr>
        <w:numPr>
          <w:ilvl w:val="0"/>
          <w:numId w:val="20"/>
        </w:num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磋商项目明细清单（格式见附件）；</w:t>
      </w:r>
    </w:p>
    <w:p w14:paraId="379F333C">
      <w:pPr>
        <w:numPr>
          <w:ilvl w:val="0"/>
          <w:numId w:val="20"/>
        </w:num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技术响应及建议表（格式见附件）；</w:t>
      </w:r>
    </w:p>
    <w:p w14:paraId="0BA0488D">
      <w:pPr>
        <w:numPr>
          <w:ilvl w:val="0"/>
          <w:numId w:val="20"/>
        </w:num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商务响应表（格式见附件）；</w:t>
      </w:r>
    </w:p>
    <w:p w14:paraId="2DE24750">
      <w:pPr>
        <w:numPr>
          <w:ilvl w:val="0"/>
          <w:numId w:val="20"/>
        </w:numPr>
        <w:spacing w:line="360" w:lineRule="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现状分析</w:t>
      </w:r>
      <w:r>
        <w:rPr>
          <w:rFonts w:hint="eastAsia" w:ascii="宋体" w:hAnsi="宋体" w:eastAsia="宋体" w:cs="宋体"/>
          <w:color w:val="auto"/>
          <w:sz w:val="24"/>
          <w:szCs w:val="24"/>
          <w:highlight w:val="none"/>
        </w:rPr>
        <w:t>；</w:t>
      </w:r>
    </w:p>
    <w:p w14:paraId="11F4DAB7">
      <w:pPr>
        <w:numPr>
          <w:ilvl w:val="0"/>
          <w:numId w:val="20"/>
        </w:numPr>
        <w:spacing w:line="360" w:lineRule="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重点、难点及解决措施</w:t>
      </w:r>
      <w:r>
        <w:rPr>
          <w:rFonts w:hint="eastAsia" w:ascii="宋体" w:hAnsi="宋体" w:eastAsia="宋体" w:cs="宋体"/>
          <w:color w:val="auto"/>
          <w:sz w:val="24"/>
          <w:szCs w:val="24"/>
          <w:highlight w:val="none"/>
        </w:rPr>
        <w:t>；</w:t>
      </w:r>
    </w:p>
    <w:p w14:paraId="3F446A70">
      <w:pPr>
        <w:numPr>
          <w:ilvl w:val="0"/>
          <w:numId w:val="20"/>
        </w:numPr>
        <w:spacing w:line="360" w:lineRule="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项目技术方案；</w:t>
      </w:r>
    </w:p>
    <w:p w14:paraId="40E76EBB">
      <w:pPr>
        <w:numPr>
          <w:ilvl w:val="0"/>
          <w:numId w:val="20"/>
        </w:numPr>
        <w:spacing w:line="360" w:lineRule="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进度安排</w:t>
      </w:r>
      <w:r>
        <w:rPr>
          <w:rFonts w:hint="eastAsia" w:ascii="宋体" w:hAnsi="宋体" w:eastAsia="宋体" w:cs="宋体"/>
          <w:color w:val="auto"/>
          <w:sz w:val="24"/>
          <w:szCs w:val="24"/>
          <w:highlight w:val="none"/>
        </w:rPr>
        <w:t>；</w:t>
      </w:r>
    </w:p>
    <w:p w14:paraId="3172AD5A">
      <w:pPr>
        <w:numPr>
          <w:ilvl w:val="0"/>
          <w:numId w:val="20"/>
        </w:numPr>
        <w:spacing w:line="360" w:lineRule="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质量保证</w:t>
      </w:r>
      <w:r>
        <w:rPr>
          <w:rFonts w:hint="eastAsia" w:ascii="宋体" w:hAnsi="宋体" w:eastAsia="宋体" w:cs="宋体"/>
          <w:color w:val="auto"/>
          <w:sz w:val="24"/>
          <w:szCs w:val="24"/>
          <w:highlight w:val="none"/>
        </w:rPr>
        <w:t>；</w:t>
      </w:r>
    </w:p>
    <w:p w14:paraId="26CFA6E3">
      <w:pPr>
        <w:numPr>
          <w:ilvl w:val="0"/>
          <w:numId w:val="20"/>
        </w:numPr>
        <w:spacing w:line="360" w:lineRule="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特殊时期的应急保障措施</w:t>
      </w:r>
      <w:r>
        <w:rPr>
          <w:rFonts w:hint="eastAsia" w:ascii="宋体" w:hAnsi="宋体" w:eastAsia="宋体" w:cs="宋体"/>
          <w:color w:val="auto"/>
          <w:sz w:val="24"/>
          <w:szCs w:val="24"/>
          <w:highlight w:val="none"/>
        </w:rPr>
        <w:t>；</w:t>
      </w:r>
    </w:p>
    <w:p w14:paraId="3C2D0D19">
      <w:pPr>
        <w:numPr>
          <w:ilvl w:val="0"/>
          <w:numId w:val="20"/>
        </w:numPr>
        <w:spacing w:line="360" w:lineRule="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人员配备</w:t>
      </w:r>
      <w:r>
        <w:rPr>
          <w:rFonts w:hint="eastAsia" w:ascii="宋体" w:hAnsi="宋体" w:eastAsia="宋体" w:cs="宋体"/>
          <w:color w:val="auto"/>
          <w:sz w:val="24"/>
          <w:szCs w:val="24"/>
          <w:highlight w:val="none"/>
          <w:lang w:eastAsia="zh-CN"/>
        </w:rPr>
        <w:t>；</w:t>
      </w:r>
    </w:p>
    <w:p w14:paraId="663D0641">
      <w:pPr>
        <w:numPr>
          <w:ilvl w:val="0"/>
          <w:numId w:val="20"/>
        </w:numPr>
        <w:spacing w:line="360" w:lineRule="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安全作业培训</w:t>
      </w:r>
      <w:r>
        <w:rPr>
          <w:rFonts w:hint="eastAsia" w:ascii="宋体" w:hAnsi="宋体" w:eastAsia="宋体" w:cs="宋体"/>
          <w:color w:val="auto"/>
          <w:sz w:val="24"/>
          <w:szCs w:val="24"/>
          <w:highlight w:val="none"/>
        </w:rPr>
        <w:t>；</w:t>
      </w:r>
    </w:p>
    <w:p w14:paraId="1756BC9C">
      <w:pPr>
        <w:numPr>
          <w:ilvl w:val="0"/>
          <w:numId w:val="20"/>
        </w:numPr>
        <w:spacing w:line="360" w:lineRule="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内部管理制度</w:t>
      </w:r>
      <w:r>
        <w:rPr>
          <w:rFonts w:hint="eastAsia" w:ascii="宋体" w:hAnsi="宋体" w:eastAsia="宋体" w:cs="宋体"/>
          <w:color w:val="auto"/>
          <w:sz w:val="24"/>
          <w:szCs w:val="24"/>
          <w:highlight w:val="none"/>
        </w:rPr>
        <w:t>；</w:t>
      </w:r>
    </w:p>
    <w:p w14:paraId="742D235C">
      <w:pPr>
        <w:numPr>
          <w:ilvl w:val="0"/>
          <w:numId w:val="20"/>
        </w:numPr>
        <w:spacing w:line="360" w:lineRule="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服务承诺</w:t>
      </w:r>
      <w:r>
        <w:rPr>
          <w:rFonts w:hint="eastAsia" w:ascii="宋体" w:hAnsi="宋体" w:eastAsia="宋体" w:cs="宋体"/>
          <w:color w:val="auto"/>
          <w:sz w:val="24"/>
          <w:szCs w:val="24"/>
          <w:highlight w:val="none"/>
        </w:rPr>
        <w:t>；</w:t>
      </w:r>
    </w:p>
    <w:p w14:paraId="5A691BBC">
      <w:pPr>
        <w:numPr>
          <w:ilvl w:val="0"/>
          <w:numId w:val="20"/>
        </w:numPr>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合理化建议；</w:t>
      </w:r>
    </w:p>
    <w:p w14:paraId="4C2B200B">
      <w:pPr>
        <w:numPr>
          <w:ilvl w:val="0"/>
          <w:numId w:val="20"/>
        </w:numPr>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人员证书；</w:t>
      </w:r>
    </w:p>
    <w:p w14:paraId="7E5C2705">
      <w:pPr>
        <w:numPr>
          <w:ilvl w:val="0"/>
          <w:numId w:val="20"/>
        </w:numPr>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企业证书</w:t>
      </w:r>
    </w:p>
    <w:p w14:paraId="7F3121A2">
      <w:pPr>
        <w:numPr>
          <w:ilvl w:val="0"/>
          <w:numId w:val="20"/>
        </w:num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供应商认为需要的其他文件</w:t>
      </w:r>
      <w:r>
        <w:rPr>
          <w:rFonts w:hint="eastAsia" w:ascii="宋体" w:hAnsi="宋体" w:eastAsia="宋体" w:cs="宋体"/>
          <w:color w:val="auto"/>
          <w:sz w:val="24"/>
          <w:szCs w:val="24"/>
          <w:highlight w:val="none"/>
        </w:rPr>
        <w:t>资料。</w:t>
      </w:r>
    </w:p>
    <w:p w14:paraId="7DFD5E0F">
      <w:pPr>
        <w:shd w:val="clear"/>
        <w:spacing w:line="360" w:lineRule="auto"/>
        <w:ind w:firstLine="480" w:firstLineChars="200"/>
        <w:rPr>
          <w:rFonts w:hint="eastAsia" w:ascii="宋体" w:hAnsi="宋体" w:eastAsia="宋体" w:cs="宋体"/>
          <w:color w:val="auto"/>
          <w:sz w:val="24"/>
          <w:szCs w:val="24"/>
          <w:highlight w:val="none"/>
        </w:rPr>
      </w:pPr>
    </w:p>
    <w:p w14:paraId="28EF22ED">
      <w:pPr>
        <w:pStyle w:val="4"/>
        <w:shd w:val="clear"/>
        <w:ind w:firstLine="566"/>
        <w:rPr>
          <w:rFonts w:hint="eastAsia" w:ascii="宋体" w:hAnsi="宋体" w:eastAsia="宋体" w:cs="宋体"/>
          <w:color w:val="auto"/>
          <w:sz w:val="28"/>
          <w:szCs w:val="28"/>
          <w:highlight w:val="none"/>
        </w:rPr>
      </w:pPr>
    </w:p>
    <w:p w14:paraId="67491D27">
      <w:pPr>
        <w:pStyle w:val="4"/>
        <w:shd w:val="clear"/>
        <w:ind w:firstLine="566"/>
        <w:rPr>
          <w:rFonts w:hint="eastAsia" w:ascii="宋体" w:hAnsi="宋体" w:eastAsia="宋体" w:cs="宋体"/>
          <w:color w:val="auto"/>
          <w:sz w:val="28"/>
          <w:szCs w:val="28"/>
          <w:highlight w:val="none"/>
        </w:rPr>
      </w:pPr>
    </w:p>
    <w:p w14:paraId="60279306">
      <w:pPr>
        <w:shd w:val="clea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br w:type="page"/>
      </w:r>
    </w:p>
    <w:p w14:paraId="07CEDFC3">
      <w:pPr>
        <w:shd w:val="clear"/>
        <w:snapToGrid w:val="0"/>
        <w:spacing w:before="50" w:after="50"/>
        <w:jc w:val="left"/>
        <w:rPr>
          <w:rFonts w:hint="eastAsia" w:ascii="宋体" w:hAnsi="宋体" w:eastAsia="宋体" w:cs="宋体"/>
          <w:b/>
          <w:bCs/>
          <w:color w:val="auto"/>
          <w:sz w:val="24"/>
          <w:szCs w:val="24"/>
          <w:highlight w:val="none"/>
          <w:lang w:val="zh-CN"/>
        </w:rPr>
      </w:pPr>
      <w:bookmarkStart w:id="110" w:name="_Toc10131"/>
      <w:r>
        <w:rPr>
          <w:rFonts w:hint="eastAsia" w:ascii="宋体" w:hAnsi="宋体" w:eastAsia="宋体" w:cs="宋体"/>
          <w:b/>
          <w:bCs/>
          <w:color w:val="auto"/>
          <w:sz w:val="24"/>
          <w:szCs w:val="24"/>
          <w:highlight w:val="none"/>
          <w:lang w:val="zh-CN"/>
        </w:rPr>
        <w:t>附件</w:t>
      </w:r>
      <w:r>
        <w:rPr>
          <w:rFonts w:hint="eastAsia" w:ascii="宋体" w:hAnsi="宋体" w:cs="宋体"/>
          <w:b/>
          <w:bCs/>
          <w:color w:val="auto"/>
          <w:sz w:val="24"/>
          <w:szCs w:val="24"/>
          <w:highlight w:val="none"/>
          <w:lang w:val="en-US" w:eastAsia="zh-CN"/>
        </w:rPr>
        <w:t>六</w:t>
      </w:r>
      <w:r>
        <w:rPr>
          <w:rFonts w:hint="eastAsia" w:ascii="宋体" w:hAnsi="宋体" w:eastAsia="宋体" w:cs="宋体"/>
          <w:b/>
          <w:bCs/>
          <w:color w:val="auto"/>
          <w:sz w:val="24"/>
          <w:szCs w:val="24"/>
          <w:highlight w:val="none"/>
          <w:lang w:val="zh-CN"/>
        </w:rPr>
        <w:t>：</w:t>
      </w:r>
    </w:p>
    <w:p w14:paraId="356F3C04">
      <w:pPr>
        <w:shd w:val="clear"/>
        <w:spacing w:line="360" w:lineRule="auto"/>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评分对应表</w:t>
      </w:r>
    </w:p>
    <w:p w14:paraId="74F95EE0">
      <w:pPr>
        <w:shd w:val="clear"/>
        <w:snapToGrid w:val="0"/>
        <w:spacing w:before="50"/>
        <w:jc w:val="center"/>
        <w:rPr>
          <w:rFonts w:hint="eastAsia" w:ascii="宋体" w:hAnsi="宋体" w:eastAsia="宋体" w:cs="宋体"/>
          <w:b/>
          <w:bCs/>
          <w:color w:val="auto"/>
          <w:sz w:val="32"/>
          <w:szCs w:val="32"/>
          <w:highlight w:val="none"/>
        </w:rPr>
      </w:pPr>
    </w:p>
    <w:p w14:paraId="40838B89">
      <w:pPr>
        <w:shd w:val="clea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w:t>
      </w:r>
    </w:p>
    <w:p w14:paraId="70FE8F80">
      <w:pPr>
        <w:shd w:val="clea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采购编号：</w:t>
      </w:r>
    </w:p>
    <w:tbl>
      <w:tblPr>
        <w:tblStyle w:val="29"/>
        <w:tblW w:w="892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888"/>
        <w:gridCol w:w="3060"/>
        <w:gridCol w:w="1977"/>
      </w:tblGrid>
      <w:tr w14:paraId="00DFF48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3888" w:type="dxa"/>
            <w:tcBorders>
              <w:top w:val="single" w:color="auto" w:sz="4" w:space="0"/>
              <w:bottom w:val="single" w:color="auto" w:sz="4" w:space="0"/>
              <w:right w:val="single" w:color="auto" w:sz="4" w:space="0"/>
            </w:tcBorders>
            <w:vAlign w:val="center"/>
          </w:tcPr>
          <w:p w14:paraId="557652C9">
            <w:pPr>
              <w:shd w:val="clea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评分项目</w:t>
            </w:r>
          </w:p>
        </w:tc>
        <w:tc>
          <w:tcPr>
            <w:tcW w:w="3060" w:type="dxa"/>
            <w:tcBorders>
              <w:top w:val="single" w:color="auto" w:sz="4" w:space="0"/>
              <w:left w:val="single" w:color="auto" w:sz="4" w:space="0"/>
              <w:bottom w:val="single" w:color="auto" w:sz="4" w:space="0"/>
              <w:right w:val="single" w:color="auto" w:sz="4" w:space="0"/>
            </w:tcBorders>
            <w:vAlign w:val="center"/>
          </w:tcPr>
          <w:p w14:paraId="5D83014D">
            <w:pPr>
              <w:shd w:val="clea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响应文件对应资料</w:t>
            </w:r>
          </w:p>
        </w:tc>
        <w:tc>
          <w:tcPr>
            <w:tcW w:w="1977" w:type="dxa"/>
            <w:tcBorders>
              <w:top w:val="single" w:color="auto" w:sz="4" w:space="0"/>
              <w:left w:val="single" w:color="auto" w:sz="4" w:space="0"/>
              <w:bottom w:val="single" w:color="auto" w:sz="4" w:space="0"/>
            </w:tcBorders>
            <w:vAlign w:val="center"/>
          </w:tcPr>
          <w:p w14:paraId="700DA801">
            <w:pPr>
              <w:shd w:val="clea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响应文件页码</w:t>
            </w:r>
          </w:p>
        </w:tc>
      </w:tr>
      <w:tr w14:paraId="4746AC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3888" w:type="dxa"/>
            <w:tcBorders>
              <w:top w:val="single" w:color="auto" w:sz="4" w:space="0"/>
              <w:bottom w:val="single" w:color="auto" w:sz="4" w:space="0"/>
              <w:right w:val="single" w:color="auto" w:sz="4" w:space="0"/>
            </w:tcBorders>
            <w:vAlign w:val="center"/>
          </w:tcPr>
          <w:p w14:paraId="1E30B918">
            <w:pPr>
              <w:shd w:val="clea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对应评分办法及评分标准</w:t>
            </w:r>
          </w:p>
          <w:p w14:paraId="6812F213">
            <w:pPr>
              <w:shd w:val="clea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（报价除外）</w:t>
            </w:r>
          </w:p>
        </w:tc>
        <w:tc>
          <w:tcPr>
            <w:tcW w:w="3060" w:type="dxa"/>
            <w:tcBorders>
              <w:top w:val="single" w:color="auto" w:sz="4" w:space="0"/>
              <w:left w:val="single" w:color="auto" w:sz="4" w:space="0"/>
              <w:bottom w:val="single" w:color="auto" w:sz="4" w:space="0"/>
              <w:right w:val="single" w:color="auto" w:sz="4" w:space="0"/>
            </w:tcBorders>
            <w:vAlign w:val="center"/>
          </w:tcPr>
          <w:p w14:paraId="286C2DBD">
            <w:pPr>
              <w:shd w:val="clear"/>
              <w:jc w:val="center"/>
              <w:rPr>
                <w:rFonts w:hint="eastAsia" w:ascii="宋体" w:hAnsi="宋体" w:eastAsia="宋体" w:cs="宋体"/>
                <w:color w:val="auto"/>
                <w:sz w:val="24"/>
                <w:szCs w:val="24"/>
                <w:highlight w:val="none"/>
              </w:rPr>
            </w:pPr>
          </w:p>
        </w:tc>
        <w:tc>
          <w:tcPr>
            <w:tcW w:w="1977" w:type="dxa"/>
            <w:tcBorders>
              <w:top w:val="single" w:color="auto" w:sz="4" w:space="0"/>
              <w:left w:val="single" w:color="auto" w:sz="4" w:space="0"/>
              <w:bottom w:val="single" w:color="auto" w:sz="4" w:space="0"/>
            </w:tcBorders>
            <w:vAlign w:val="center"/>
          </w:tcPr>
          <w:p w14:paraId="0AD55E4F">
            <w:pPr>
              <w:shd w:val="clear"/>
              <w:jc w:val="center"/>
              <w:rPr>
                <w:rFonts w:hint="eastAsia" w:ascii="宋体" w:hAnsi="宋体" w:eastAsia="宋体" w:cs="宋体"/>
                <w:color w:val="auto"/>
                <w:sz w:val="24"/>
                <w:szCs w:val="24"/>
                <w:highlight w:val="none"/>
              </w:rPr>
            </w:pPr>
          </w:p>
        </w:tc>
      </w:tr>
      <w:tr w14:paraId="4AA87D2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3888" w:type="dxa"/>
            <w:tcBorders>
              <w:top w:val="single" w:color="auto" w:sz="4" w:space="0"/>
              <w:bottom w:val="single" w:color="auto" w:sz="4" w:space="0"/>
              <w:right w:val="single" w:color="auto" w:sz="4" w:space="0"/>
            </w:tcBorders>
            <w:vAlign w:val="center"/>
          </w:tcPr>
          <w:p w14:paraId="2EE706C3">
            <w:pPr>
              <w:shd w:val="clea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3060" w:type="dxa"/>
            <w:tcBorders>
              <w:top w:val="single" w:color="auto" w:sz="4" w:space="0"/>
              <w:left w:val="single" w:color="auto" w:sz="4" w:space="0"/>
              <w:bottom w:val="single" w:color="auto" w:sz="4" w:space="0"/>
              <w:right w:val="single" w:color="auto" w:sz="4" w:space="0"/>
            </w:tcBorders>
            <w:vAlign w:val="center"/>
          </w:tcPr>
          <w:p w14:paraId="51EB5D6C">
            <w:pPr>
              <w:shd w:val="clear"/>
              <w:jc w:val="center"/>
              <w:rPr>
                <w:rFonts w:hint="eastAsia" w:ascii="宋体" w:hAnsi="宋体" w:eastAsia="宋体" w:cs="宋体"/>
                <w:color w:val="auto"/>
                <w:sz w:val="24"/>
                <w:szCs w:val="24"/>
                <w:highlight w:val="none"/>
              </w:rPr>
            </w:pPr>
          </w:p>
        </w:tc>
        <w:tc>
          <w:tcPr>
            <w:tcW w:w="1977" w:type="dxa"/>
            <w:tcBorders>
              <w:top w:val="single" w:color="auto" w:sz="4" w:space="0"/>
              <w:left w:val="single" w:color="auto" w:sz="4" w:space="0"/>
              <w:bottom w:val="single" w:color="auto" w:sz="4" w:space="0"/>
            </w:tcBorders>
            <w:vAlign w:val="center"/>
          </w:tcPr>
          <w:p w14:paraId="455DCCE4">
            <w:pPr>
              <w:shd w:val="clear"/>
              <w:jc w:val="center"/>
              <w:rPr>
                <w:rFonts w:hint="eastAsia" w:ascii="宋体" w:hAnsi="宋体" w:eastAsia="宋体" w:cs="宋体"/>
                <w:color w:val="auto"/>
                <w:sz w:val="24"/>
                <w:szCs w:val="24"/>
                <w:highlight w:val="none"/>
              </w:rPr>
            </w:pPr>
          </w:p>
        </w:tc>
      </w:tr>
      <w:tr w14:paraId="019C62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3888" w:type="dxa"/>
            <w:tcBorders>
              <w:top w:val="single" w:color="auto" w:sz="4" w:space="0"/>
              <w:bottom w:val="single" w:color="auto" w:sz="4" w:space="0"/>
              <w:right w:val="single" w:color="auto" w:sz="4" w:space="0"/>
            </w:tcBorders>
            <w:vAlign w:val="center"/>
          </w:tcPr>
          <w:p w14:paraId="103F336B">
            <w:pPr>
              <w:shd w:val="clear"/>
              <w:jc w:val="center"/>
              <w:rPr>
                <w:rFonts w:hint="eastAsia" w:ascii="宋体" w:hAnsi="宋体" w:eastAsia="宋体" w:cs="宋体"/>
                <w:color w:val="auto"/>
                <w:sz w:val="24"/>
                <w:szCs w:val="24"/>
                <w:highlight w:val="none"/>
              </w:rPr>
            </w:pPr>
          </w:p>
        </w:tc>
        <w:tc>
          <w:tcPr>
            <w:tcW w:w="3060" w:type="dxa"/>
            <w:tcBorders>
              <w:top w:val="single" w:color="auto" w:sz="4" w:space="0"/>
              <w:left w:val="single" w:color="auto" w:sz="4" w:space="0"/>
              <w:bottom w:val="single" w:color="auto" w:sz="4" w:space="0"/>
              <w:right w:val="single" w:color="auto" w:sz="4" w:space="0"/>
            </w:tcBorders>
            <w:vAlign w:val="center"/>
          </w:tcPr>
          <w:p w14:paraId="13E1E6B4">
            <w:pPr>
              <w:shd w:val="clear"/>
              <w:jc w:val="center"/>
              <w:rPr>
                <w:rFonts w:hint="eastAsia" w:ascii="宋体" w:hAnsi="宋体" w:eastAsia="宋体" w:cs="宋体"/>
                <w:color w:val="auto"/>
                <w:sz w:val="24"/>
                <w:szCs w:val="24"/>
                <w:highlight w:val="none"/>
              </w:rPr>
            </w:pPr>
          </w:p>
        </w:tc>
        <w:tc>
          <w:tcPr>
            <w:tcW w:w="1977" w:type="dxa"/>
            <w:tcBorders>
              <w:top w:val="single" w:color="auto" w:sz="4" w:space="0"/>
              <w:left w:val="single" w:color="auto" w:sz="4" w:space="0"/>
              <w:bottom w:val="single" w:color="auto" w:sz="4" w:space="0"/>
            </w:tcBorders>
            <w:vAlign w:val="center"/>
          </w:tcPr>
          <w:p w14:paraId="3F86D07E">
            <w:pPr>
              <w:shd w:val="clear"/>
              <w:jc w:val="center"/>
              <w:rPr>
                <w:rFonts w:hint="eastAsia" w:ascii="宋体" w:hAnsi="宋体" w:eastAsia="宋体" w:cs="宋体"/>
                <w:color w:val="auto"/>
                <w:sz w:val="24"/>
                <w:szCs w:val="24"/>
                <w:highlight w:val="none"/>
              </w:rPr>
            </w:pPr>
          </w:p>
        </w:tc>
      </w:tr>
      <w:tr w14:paraId="7C809E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3888" w:type="dxa"/>
            <w:tcBorders>
              <w:top w:val="single" w:color="auto" w:sz="4" w:space="0"/>
              <w:bottom w:val="single" w:color="auto" w:sz="4" w:space="0"/>
              <w:right w:val="single" w:color="auto" w:sz="4" w:space="0"/>
            </w:tcBorders>
            <w:vAlign w:val="center"/>
          </w:tcPr>
          <w:p w14:paraId="1270EB1D">
            <w:pPr>
              <w:shd w:val="clear"/>
              <w:spacing w:line="360" w:lineRule="auto"/>
              <w:ind w:firstLine="480" w:firstLineChars="200"/>
              <w:jc w:val="center"/>
              <w:rPr>
                <w:rFonts w:hint="eastAsia" w:ascii="宋体" w:hAnsi="宋体" w:eastAsia="宋体" w:cs="宋体"/>
                <w:color w:val="auto"/>
                <w:sz w:val="24"/>
                <w:szCs w:val="24"/>
                <w:highlight w:val="none"/>
              </w:rPr>
            </w:pPr>
          </w:p>
        </w:tc>
        <w:tc>
          <w:tcPr>
            <w:tcW w:w="3060" w:type="dxa"/>
            <w:tcBorders>
              <w:top w:val="single" w:color="auto" w:sz="4" w:space="0"/>
              <w:left w:val="single" w:color="auto" w:sz="4" w:space="0"/>
              <w:bottom w:val="single" w:color="auto" w:sz="4" w:space="0"/>
              <w:right w:val="single" w:color="auto" w:sz="4" w:space="0"/>
            </w:tcBorders>
            <w:vAlign w:val="center"/>
          </w:tcPr>
          <w:p w14:paraId="11DC121E">
            <w:pPr>
              <w:shd w:val="clear"/>
              <w:spacing w:line="360" w:lineRule="auto"/>
              <w:ind w:firstLine="480" w:firstLineChars="200"/>
              <w:jc w:val="center"/>
              <w:rPr>
                <w:rFonts w:hint="eastAsia" w:ascii="宋体" w:hAnsi="宋体" w:eastAsia="宋体" w:cs="宋体"/>
                <w:color w:val="auto"/>
                <w:sz w:val="24"/>
                <w:szCs w:val="24"/>
                <w:highlight w:val="none"/>
              </w:rPr>
            </w:pPr>
          </w:p>
        </w:tc>
        <w:tc>
          <w:tcPr>
            <w:tcW w:w="1977" w:type="dxa"/>
            <w:tcBorders>
              <w:top w:val="single" w:color="auto" w:sz="4" w:space="0"/>
              <w:left w:val="single" w:color="auto" w:sz="4" w:space="0"/>
              <w:bottom w:val="single" w:color="auto" w:sz="4" w:space="0"/>
            </w:tcBorders>
            <w:vAlign w:val="center"/>
          </w:tcPr>
          <w:p w14:paraId="75F3B529">
            <w:pPr>
              <w:shd w:val="clear"/>
              <w:spacing w:line="360" w:lineRule="auto"/>
              <w:ind w:firstLine="480" w:firstLineChars="200"/>
              <w:jc w:val="center"/>
              <w:rPr>
                <w:rFonts w:hint="eastAsia" w:ascii="宋体" w:hAnsi="宋体" w:eastAsia="宋体" w:cs="宋体"/>
                <w:color w:val="auto"/>
                <w:sz w:val="24"/>
                <w:szCs w:val="24"/>
                <w:highlight w:val="none"/>
              </w:rPr>
            </w:pPr>
          </w:p>
        </w:tc>
      </w:tr>
      <w:tr w14:paraId="643A534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3888" w:type="dxa"/>
            <w:tcBorders>
              <w:top w:val="single" w:color="auto" w:sz="4" w:space="0"/>
              <w:bottom w:val="single" w:color="auto" w:sz="4" w:space="0"/>
              <w:right w:val="single" w:color="auto" w:sz="4" w:space="0"/>
            </w:tcBorders>
            <w:vAlign w:val="center"/>
          </w:tcPr>
          <w:p w14:paraId="4CCBAED4">
            <w:pPr>
              <w:shd w:val="clear"/>
              <w:spacing w:line="360" w:lineRule="auto"/>
              <w:ind w:firstLine="480" w:firstLineChars="200"/>
              <w:jc w:val="center"/>
              <w:rPr>
                <w:rFonts w:hint="eastAsia" w:ascii="宋体" w:hAnsi="宋体" w:eastAsia="宋体" w:cs="宋体"/>
                <w:color w:val="auto"/>
                <w:sz w:val="24"/>
                <w:szCs w:val="24"/>
                <w:highlight w:val="none"/>
              </w:rPr>
            </w:pPr>
          </w:p>
        </w:tc>
        <w:tc>
          <w:tcPr>
            <w:tcW w:w="3060" w:type="dxa"/>
            <w:tcBorders>
              <w:top w:val="single" w:color="auto" w:sz="4" w:space="0"/>
              <w:left w:val="single" w:color="auto" w:sz="4" w:space="0"/>
              <w:bottom w:val="single" w:color="auto" w:sz="4" w:space="0"/>
              <w:right w:val="single" w:color="auto" w:sz="4" w:space="0"/>
            </w:tcBorders>
            <w:vAlign w:val="center"/>
          </w:tcPr>
          <w:p w14:paraId="6923ACDE">
            <w:pPr>
              <w:shd w:val="clear"/>
              <w:spacing w:line="360" w:lineRule="auto"/>
              <w:ind w:firstLine="480" w:firstLineChars="200"/>
              <w:jc w:val="center"/>
              <w:rPr>
                <w:rFonts w:hint="eastAsia" w:ascii="宋体" w:hAnsi="宋体" w:eastAsia="宋体" w:cs="宋体"/>
                <w:color w:val="auto"/>
                <w:sz w:val="24"/>
                <w:szCs w:val="24"/>
                <w:highlight w:val="none"/>
              </w:rPr>
            </w:pPr>
          </w:p>
        </w:tc>
        <w:tc>
          <w:tcPr>
            <w:tcW w:w="1977" w:type="dxa"/>
            <w:tcBorders>
              <w:top w:val="single" w:color="auto" w:sz="4" w:space="0"/>
              <w:left w:val="single" w:color="auto" w:sz="4" w:space="0"/>
              <w:bottom w:val="single" w:color="auto" w:sz="4" w:space="0"/>
            </w:tcBorders>
            <w:vAlign w:val="center"/>
          </w:tcPr>
          <w:p w14:paraId="764BFF7D">
            <w:pPr>
              <w:shd w:val="clear"/>
              <w:spacing w:line="360" w:lineRule="auto"/>
              <w:ind w:firstLine="480" w:firstLineChars="200"/>
              <w:jc w:val="center"/>
              <w:rPr>
                <w:rFonts w:hint="eastAsia" w:ascii="宋体" w:hAnsi="宋体" w:eastAsia="宋体" w:cs="宋体"/>
                <w:color w:val="auto"/>
                <w:sz w:val="24"/>
                <w:szCs w:val="24"/>
                <w:highlight w:val="none"/>
              </w:rPr>
            </w:pPr>
          </w:p>
        </w:tc>
      </w:tr>
      <w:tr w14:paraId="38A7A14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3888" w:type="dxa"/>
            <w:tcBorders>
              <w:top w:val="single" w:color="auto" w:sz="4" w:space="0"/>
              <w:bottom w:val="single" w:color="auto" w:sz="4" w:space="0"/>
              <w:right w:val="single" w:color="auto" w:sz="4" w:space="0"/>
            </w:tcBorders>
            <w:vAlign w:val="center"/>
          </w:tcPr>
          <w:p w14:paraId="0FCC3A74">
            <w:pPr>
              <w:shd w:val="clear"/>
              <w:spacing w:line="360" w:lineRule="auto"/>
              <w:ind w:firstLine="480" w:firstLineChars="200"/>
              <w:jc w:val="center"/>
              <w:rPr>
                <w:rFonts w:hint="eastAsia" w:ascii="宋体" w:hAnsi="宋体" w:eastAsia="宋体" w:cs="宋体"/>
                <w:color w:val="auto"/>
                <w:sz w:val="24"/>
                <w:szCs w:val="24"/>
                <w:highlight w:val="none"/>
              </w:rPr>
            </w:pPr>
          </w:p>
        </w:tc>
        <w:tc>
          <w:tcPr>
            <w:tcW w:w="3060" w:type="dxa"/>
            <w:tcBorders>
              <w:top w:val="single" w:color="auto" w:sz="4" w:space="0"/>
              <w:left w:val="single" w:color="auto" w:sz="4" w:space="0"/>
              <w:bottom w:val="single" w:color="auto" w:sz="4" w:space="0"/>
              <w:right w:val="single" w:color="auto" w:sz="4" w:space="0"/>
            </w:tcBorders>
            <w:vAlign w:val="center"/>
          </w:tcPr>
          <w:p w14:paraId="3CB0EC92">
            <w:pPr>
              <w:shd w:val="clear"/>
              <w:spacing w:line="360" w:lineRule="auto"/>
              <w:ind w:firstLine="480" w:firstLineChars="200"/>
              <w:jc w:val="center"/>
              <w:rPr>
                <w:rFonts w:hint="eastAsia" w:ascii="宋体" w:hAnsi="宋体" w:eastAsia="宋体" w:cs="宋体"/>
                <w:color w:val="auto"/>
                <w:sz w:val="24"/>
                <w:szCs w:val="24"/>
                <w:highlight w:val="none"/>
              </w:rPr>
            </w:pPr>
          </w:p>
        </w:tc>
        <w:tc>
          <w:tcPr>
            <w:tcW w:w="1977" w:type="dxa"/>
            <w:tcBorders>
              <w:top w:val="single" w:color="auto" w:sz="4" w:space="0"/>
              <w:left w:val="single" w:color="auto" w:sz="4" w:space="0"/>
              <w:bottom w:val="single" w:color="auto" w:sz="4" w:space="0"/>
            </w:tcBorders>
            <w:vAlign w:val="center"/>
          </w:tcPr>
          <w:p w14:paraId="6E92121D">
            <w:pPr>
              <w:shd w:val="clear"/>
              <w:spacing w:line="360" w:lineRule="auto"/>
              <w:ind w:firstLine="480" w:firstLineChars="200"/>
              <w:jc w:val="center"/>
              <w:rPr>
                <w:rFonts w:hint="eastAsia" w:ascii="宋体" w:hAnsi="宋体" w:eastAsia="宋体" w:cs="宋体"/>
                <w:color w:val="auto"/>
                <w:sz w:val="24"/>
                <w:szCs w:val="24"/>
                <w:highlight w:val="none"/>
              </w:rPr>
            </w:pPr>
          </w:p>
        </w:tc>
      </w:tr>
      <w:tr w14:paraId="4ED87EC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3888" w:type="dxa"/>
            <w:tcBorders>
              <w:top w:val="single" w:color="auto" w:sz="4" w:space="0"/>
              <w:bottom w:val="single" w:color="auto" w:sz="4" w:space="0"/>
              <w:right w:val="single" w:color="auto" w:sz="4" w:space="0"/>
            </w:tcBorders>
            <w:vAlign w:val="center"/>
          </w:tcPr>
          <w:p w14:paraId="61DD32AE">
            <w:pPr>
              <w:shd w:val="clear"/>
              <w:spacing w:line="360" w:lineRule="auto"/>
              <w:ind w:firstLine="480" w:firstLineChars="200"/>
              <w:jc w:val="center"/>
              <w:rPr>
                <w:rFonts w:hint="eastAsia" w:ascii="宋体" w:hAnsi="宋体" w:eastAsia="宋体" w:cs="宋体"/>
                <w:color w:val="auto"/>
                <w:sz w:val="24"/>
                <w:szCs w:val="24"/>
                <w:highlight w:val="none"/>
              </w:rPr>
            </w:pPr>
          </w:p>
        </w:tc>
        <w:tc>
          <w:tcPr>
            <w:tcW w:w="3060" w:type="dxa"/>
            <w:tcBorders>
              <w:top w:val="single" w:color="auto" w:sz="4" w:space="0"/>
              <w:left w:val="single" w:color="auto" w:sz="4" w:space="0"/>
              <w:bottom w:val="single" w:color="auto" w:sz="4" w:space="0"/>
              <w:right w:val="single" w:color="auto" w:sz="4" w:space="0"/>
            </w:tcBorders>
            <w:vAlign w:val="center"/>
          </w:tcPr>
          <w:p w14:paraId="404BE276">
            <w:pPr>
              <w:shd w:val="clear"/>
              <w:spacing w:line="360" w:lineRule="auto"/>
              <w:ind w:firstLine="480" w:firstLineChars="200"/>
              <w:jc w:val="center"/>
              <w:rPr>
                <w:rFonts w:hint="eastAsia" w:ascii="宋体" w:hAnsi="宋体" w:eastAsia="宋体" w:cs="宋体"/>
                <w:color w:val="auto"/>
                <w:sz w:val="24"/>
                <w:szCs w:val="24"/>
                <w:highlight w:val="none"/>
              </w:rPr>
            </w:pPr>
          </w:p>
        </w:tc>
        <w:tc>
          <w:tcPr>
            <w:tcW w:w="1977" w:type="dxa"/>
            <w:tcBorders>
              <w:top w:val="single" w:color="auto" w:sz="4" w:space="0"/>
              <w:left w:val="single" w:color="auto" w:sz="4" w:space="0"/>
              <w:bottom w:val="single" w:color="auto" w:sz="4" w:space="0"/>
            </w:tcBorders>
            <w:vAlign w:val="center"/>
          </w:tcPr>
          <w:p w14:paraId="50A9F50B">
            <w:pPr>
              <w:shd w:val="clear"/>
              <w:spacing w:line="360" w:lineRule="auto"/>
              <w:ind w:firstLine="480" w:firstLineChars="200"/>
              <w:jc w:val="center"/>
              <w:rPr>
                <w:rFonts w:hint="eastAsia" w:ascii="宋体" w:hAnsi="宋体" w:eastAsia="宋体" w:cs="宋体"/>
                <w:color w:val="auto"/>
                <w:sz w:val="24"/>
                <w:szCs w:val="24"/>
                <w:highlight w:val="none"/>
              </w:rPr>
            </w:pPr>
          </w:p>
        </w:tc>
      </w:tr>
      <w:tr w14:paraId="1045FB4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3888" w:type="dxa"/>
            <w:tcBorders>
              <w:top w:val="single" w:color="auto" w:sz="4" w:space="0"/>
              <w:bottom w:val="single" w:color="auto" w:sz="4" w:space="0"/>
              <w:right w:val="single" w:color="auto" w:sz="4" w:space="0"/>
            </w:tcBorders>
            <w:vAlign w:val="center"/>
          </w:tcPr>
          <w:p w14:paraId="7AB61DE7">
            <w:pPr>
              <w:shd w:val="clear"/>
              <w:spacing w:line="360" w:lineRule="auto"/>
              <w:ind w:firstLine="480" w:firstLineChars="200"/>
              <w:jc w:val="center"/>
              <w:rPr>
                <w:rFonts w:hint="eastAsia" w:ascii="宋体" w:hAnsi="宋体" w:eastAsia="宋体" w:cs="宋体"/>
                <w:color w:val="auto"/>
                <w:sz w:val="24"/>
                <w:szCs w:val="24"/>
                <w:highlight w:val="none"/>
              </w:rPr>
            </w:pPr>
          </w:p>
        </w:tc>
        <w:tc>
          <w:tcPr>
            <w:tcW w:w="3060" w:type="dxa"/>
            <w:tcBorders>
              <w:top w:val="single" w:color="auto" w:sz="4" w:space="0"/>
              <w:left w:val="single" w:color="auto" w:sz="4" w:space="0"/>
              <w:bottom w:val="single" w:color="auto" w:sz="4" w:space="0"/>
              <w:right w:val="single" w:color="auto" w:sz="4" w:space="0"/>
            </w:tcBorders>
            <w:vAlign w:val="center"/>
          </w:tcPr>
          <w:p w14:paraId="27E16B34">
            <w:pPr>
              <w:shd w:val="clear"/>
              <w:spacing w:line="360" w:lineRule="auto"/>
              <w:ind w:firstLine="480" w:firstLineChars="200"/>
              <w:jc w:val="center"/>
              <w:rPr>
                <w:rFonts w:hint="eastAsia" w:ascii="宋体" w:hAnsi="宋体" w:eastAsia="宋体" w:cs="宋体"/>
                <w:color w:val="auto"/>
                <w:sz w:val="24"/>
                <w:szCs w:val="24"/>
                <w:highlight w:val="none"/>
              </w:rPr>
            </w:pPr>
          </w:p>
        </w:tc>
        <w:tc>
          <w:tcPr>
            <w:tcW w:w="1977" w:type="dxa"/>
            <w:tcBorders>
              <w:top w:val="single" w:color="auto" w:sz="4" w:space="0"/>
              <w:left w:val="single" w:color="auto" w:sz="4" w:space="0"/>
              <w:bottom w:val="single" w:color="auto" w:sz="4" w:space="0"/>
            </w:tcBorders>
            <w:vAlign w:val="center"/>
          </w:tcPr>
          <w:p w14:paraId="0A9A8B45">
            <w:pPr>
              <w:shd w:val="clear"/>
              <w:spacing w:line="360" w:lineRule="auto"/>
              <w:ind w:firstLine="480" w:firstLineChars="200"/>
              <w:jc w:val="center"/>
              <w:rPr>
                <w:rFonts w:hint="eastAsia" w:ascii="宋体" w:hAnsi="宋体" w:eastAsia="宋体" w:cs="宋体"/>
                <w:color w:val="auto"/>
                <w:sz w:val="24"/>
                <w:szCs w:val="24"/>
                <w:highlight w:val="none"/>
              </w:rPr>
            </w:pPr>
          </w:p>
        </w:tc>
      </w:tr>
      <w:tr w14:paraId="4CF8C67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3888" w:type="dxa"/>
            <w:tcBorders>
              <w:top w:val="single" w:color="auto" w:sz="4" w:space="0"/>
              <w:bottom w:val="single" w:color="auto" w:sz="4" w:space="0"/>
              <w:right w:val="single" w:color="auto" w:sz="4" w:space="0"/>
            </w:tcBorders>
            <w:vAlign w:val="center"/>
          </w:tcPr>
          <w:p w14:paraId="3928040E">
            <w:pPr>
              <w:shd w:val="clear"/>
              <w:spacing w:line="360" w:lineRule="auto"/>
              <w:ind w:firstLine="480" w:firstLineChars="200"/>
              <w:jc w:val="center"/>
              <w:rPr>
                <w:rFonts w:hint="eastAsia" w:ascii="宋体" w:hAnsi="宋体" w:eastAsia="宋体" w:cs="宋体"/>
                <w:color w:val="auto"/>
                <w:sz w:val="24"/>
                <w:szCs w:val="24"/>
                <w:highlight w:val="none"/>
              </w:rPr>
            </w:pPr>
          </w:p>
        </w:tc>
        <w:tc>
          <w:tcPr>
            <w:tcW w:w="3060" w:type="dxa"/>
            <w:tcBorders>
              <w:top w:val="single" w:color="auto" w:sz="4" w:space="0"/>
              <w:left w:val="single" w:color="auto" w:sz="4" w:space="0"/>
              <w:bottom w:val="single" w:color="auto" w:sz="4" w:space="0"/>
              <w:right w:val="single" w:color="auto" w:sz="4" w:space="0"/>
            </w:tcBorders>
            <w:vAlign w:val="center"/>
          </w:tcPr>
          <w:p w14:paraId="699BB6C7">
            <w:pPr>
              <w:shd w:val="clear"/>
              <w:spacing w:line="360" w:lineRule="auto"/>
              <w:ind w:firstLine="480" w:firstLineChars="200"/>
              <w:jc w:val="center"/>
              <w:rPr>
                <w:rFonts w:hint="eastAsia" w:ascii="宋体" w:hAnsi="宋体" w:eastAsia="宋体" w:cs="宋体"/>
                <w:color w:val="auto"/>
                <w:sz w:val="24"/>
                <w:szCs w:val="24"/>
                <w:highlight w:val="none"/>
              </w:rPr>
            </w:pPr>
          </w:p>
        </w:tc>
        <w:tc>
          <w:tcPr>
            <w:tcW w:w="1977" w:type="dxa"/>
            <w:tcBorders>
              <w:top w:val="single" w:color="auto" w:sz="4" w:space="0"/>
              <w:left w:val="single" w:color="auto" w:sz="4" w:space="0"/>
              <w:bottom w:val="single" w:color="auto" w:sz="4" w:space="0"/>
            </w:tcBorders>
            <w:vAlign w:val="center"/>
          </w:tcPr>
          <w:p w14:paraId="063AF850">
            <w:pPr>
              <w:shd w:val="clear"/>
              <w:spacing w:line="360" w:lineRule="auto"/>
              <w:ind w:firstLine="480" w:firstLineChars="200"/>
              <w:jc w:val="center"/>
              <w:rPr>
                <w:rFonts w:hint="eastAsia" w:ascii="宋体" w:hAnsi="宋体" w:eastAsia="宋体" w:cs="宋体"/>
                <w:color w:val="auto"/>
                <w:sz w:val="24"/>
                <w:szCs w:val="24"/>
                <w:highlight w:val="none"/>
              </w:rPr>
            </w:pPr>
          </w:p>
        </w:tc>
      </w:tr>
    </w:tbl>
    <w:p w14:paraId="3CD307B7">
      <w:pPr>
        <w:shd w:val="clear"/>
        <w:spacing w:line="360" w:lineRule="auto"/>
        <w:ind w:firstLine="480" w:firstLineChars="200"/>
        <w:rPr>
          <w:rFonts w:hint="eastAsia" w:ascii="宋体" w:hAnsi="宋体" w:eastAsia="宋体" w:cs="宋体"/>
          <w:color w:val="auto"/>
          <w:sz w:val="24"/>
          <w:szCs w:val="24"/>
          <w:highlight w:val="none"/>
        </w:rPr>
      </w:pPr>
    </w:p>
    <w:p w14:paraId="50AD7084">
      <w:pPr>
        <w:shd w:val="clear"/>
        <w:spacing w:line="360" w:lineRule="auto"/>
        <w:ind w:left="3780" w:leftChars="1800" w:firstLine="480" w:firstLineChars="200"/>
        <w:rPr>
          <w:rFonts w:hint="eastAsia" w:ascii="宋体" w:hAnsi="宋体" w:eastAsia="宋体" w:cs="宋体"/>
          <w:color w:val="auto"/>
          <w:sz w:val="24"/>
          <w:szCs w:val="24"/>
          <w:highlight w:val="none"/>
        </w:rPr>
      </w:pPr>
    </w:p>
    <w:p w14:paraId="7E67E20D">
      <w:pPr>
        <w:shd w:val="clear"/>
        <w:spacing w:line="360" w:lineRule="auto"/>
        <w:ind w:left="3780" w:leftChars="180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法定代表人签名（或签名章）：                       </w:t>
      </w:r>
    </w:p>
    <w:p w14:paraId="57EB5FBD">
      <w:pPr>
        <w:shd w:val="clear"/>
        <w:spacing w:line="360" w:lineRule="auto"/>
        <w:ind w:left="3780" w:leftChars="180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 期：</w:t>
      </w:r>
    </w:p>
    <w:p w14:paraId="02501E72">
      <w:pPr>
        <w:shd w:val="clear"/>
        <w:spacing w:line="360" w:lineRule="auto"/>
        <w:ind w:left="3780" w:leftChars="180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供应商全称（公章）：</w:t>
      </w:r>
    </w:p>
    <w:p w14:paraId="65B1305E">
      <w:pPr>
        <w:shd w:val="clear"/>
        <w:rPr>
          <w:rFonts w:hint="eastAsia" w:ascii="宋体" w:hAnsi="宋体" w:eastAsia="宋体" w:cs="宋体"/>
          <w:color w:val="auto"/>
          <w:highlight w:val="none"/>
          <w:lang w:val="zh-CN"/>
        </w:rPr>
      </w:pPr>
    </w:p>
    <w:p w14:paraId="2B7065F7">
      <w:pPr>
        <w:shd w:val="clear"/>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附件</w:t>
      </w:r>
      <w:r>
        <w:rPr>
          <w:rFonts w:hint="eastAsia" w:ascii="宋体" w:hAnsi="宋体" w:cs="宋体"/>
          <w:b/>
          <w:bCs/>
          <w:color w:val="auto"/>
          <w:sz w:val="24"/>
          <w:szCs w:val="24"/>
          <w:highlight w:val="none"/>
          <w:lang w:val="en-US" w:eastAsia="zh-CN"/>
        </w:rPr>
        <w:t>七</w:t>
      </w:r>
      <w:r>
        <w:rPr>
          <w:rFonts w:hint="eastAsia" w:ascii="宋体" w:hAnsi="宋体" w:eastAsia="宋体" w:cs="宋体"/>
          <w:b/>
          <w:bCs/>
          <w:color w:val="auto"/>
          <w:sz w:val="24"/>
          <w:szCs w:val="24"/>
          <w:highlight w:val="none"/>
        </w:rPr>
        <w:t>：</w:t>
      </w:r>
    </w:p>
    <w:p w14:paraId="67DFBB53">
      <w:pPr>
        <w:shd w:val="clear"/>
        <w:spacing w:line="360" w:lineRule="auto"/>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供应商商务技术文件中资信分自评表</w:t>
      </w:r>
      <w:bookmarkEnd w:id="110"/>
    </w:p>
    <w:p w14:paraId="74D5AC6B">
      <w:pPr>
        <w:shd w:val="clear"/>
        <w:snapToGrid w:val="0"/>
        <w:spacing w:before="50"/>
        <w:jc w:val="center"/>
        <w:rPr>
          <w:rFonts w:hint="eastAsia" w:ascii="宋体" w:hAnsi="宋体" w:eastAsia="宋体" w:cs="宋体"/>
          <w:b/>
          <w:bCs/>
          <w:color w:val="auto"/>
          <w:sz w:val="32"/>
          <w:szCs w:val="32"/>
          <w:highlight w:val="none"/>
        </w:rPr>
      </w:pPr>
    </w:p>
    <w:p w14:paraId="5B9E2B11">
      <w:pPr>
        <w:shd w:val="clea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w:t>
      </w:r>
    </w:p>
    <w:p w14:paraId="232E3748">
      <w:pPr>
        <w:shd w:val="clea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采购编号：</w:t>
      </w:r>
    </w:p>
    <w:tbl>
      <w:tblPr>
        <w:tblStyle w:val="29"/>
        <w:tblW w:w="899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82"/>
        <w:gridCol w:w="2387"/>
        <w:gridCol w:w="1462"/>
        <w:gridCol w:w="2415"/>
        <w:gridCol w:w="1746"/>
      </w:tblGrid>
      <w:tr w14:paraId="067BAB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982" w:type="dxa"/>
            <w:vAlign w:val="center"/>
          </w:tcPr>
          <w:p w14:paraId="37AD44B3">
            <w:pPr>
              <w:shd w:val="clea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2387" w:type="dxa"/>
            <w:vAlign w:val="center"/>
          </w:tcPr>
          <w:p w14:paraId="04509DD8">
            <w:pPr>
              <w:shd w:val="clea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资信分内容</w:t>
            </w:r>
          </w:p>
        </w:tc>
        <w:tc>
          <w:tcPr>
            <w:tcW w:w="1462" w:type="dxa"/>
            <w:vAlign w:val="center"/>
          </w:tcPr>
          <w:p w14:paraId="273310A5">
            <w:pPr>
              <w:shd w:val="clea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自评得分</w:t>
            </w:r>
          </w:p>
        </w:tc>
        <w:tc>
          <w:tcPr>
            <w:tcW w:w="2415" w:type="dxa"/>
            <w:tcBorders>
              <w:right w:val="single" w:color="auto" w:sz="4" w:space="0"/>
            </w:tcBorders>
            <w:vAlign w:val="center"/>
          </w:tcPr>
          <w:p w14:paraId="5BA094B8">
            <w:pPr>
              <w:shd w:val="clea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响应文件对应资料</w:t>
            </w:r>
          </w:p>
        </w:tc>
        <w:tc>
          <w:tcPr>
            <w:tcW w:w="1746" w:type="dxa"/>
            <w:tcBorders>
              <w:left w:val="single" w:color="auto" w:sz="4" w:space="0"/>
            </w:tcBorders>
            <w:vAlign w:val="center"/>
          </w:tcPr>
          <w:p w14:paraId="49B08498">
            <w:pPr>
              <w:shd w:val="clea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响应文件页码</w:t>
            </w:r>
          </w:p>
        </w:tc>
      </w:tr>
      <w:tr w14:paraId="2E2406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982" w:type="dxa"/>
            <w:vAlign w:val="center"/>
          </w:tcPr>
          <w:p w14:paraId="1C8A75BE">
            <w:pPr>
              <w:shd w:val="clea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2387" w:type="dxa"/>
          </w:tcPr>
          <w:p w14:paraId="2C0F216D">
            <w:pPr>
              <w:shd w:val="clear"/>
              <w:jc w:val="center"/>
              <w:rPr>
                <w:rFonts w:hint="eastAsia" w:ascii="宋体" w:hAnsi="宋体" w:eastAsia="宋体" w:cs="宋体"/>
                <w:color w:val="auto"/>
                <w:sz w:val="24"/>
                <w:szCs w:val="24"/>
                <w:highlight w:val="none"/>
              </w:rPr>
            </w:pPr>
          </w:p>
        </w:tc>
        <w:tc>
          <w:tcPr>
            <w:tcW w:w="1462" w:type="dxa"/>
          </w:tcPr>
          <w:p w14:paraId="16E0C98C">
            <w:pPr>
              <w:shd w:val="clear"/>
              <w:jc w:val="center"/>
              <w:rPr>
                <w:rFonts w:hint="eastAsia" w:ascii="宋体" w:hAnsi="宋体" w:eastAsia="宋体" w:cs="宋体"/>
                <w:color w:val="auto"/>
                <w:sz w:val="24"/>
                <w:szCs w:val="24"/>
                <w:highlight w:val="none"/>
              </w:rPr>
            </w:pPr>
          </w:p>
        </w:tc>
        <w:tc>
          <w:tcPr>
            <w:tcW w:w="2415" w:type="dxa"/>
            <w:tcBorders>
              <w:right w:val="single" w:color="auto" w:sz="4" w:space="0"/>
            </w:tcBorders>
          </w:tcPr>
          <w:p w14:paraId="086C3D5D">
            <w:pPr>
              <w:shd w:val="clear"/>
              <w:jc w:val="center"/>
              <w:rPr>
                <w:rFonts w:hint="eastAsia" w:ascii="宋体" w:hAnsi="宋体" w:eastAsia="宋体" w:cs="宋体"/>
                <w:color w:val="auto"/>
                <w:sz w:val="24"/>
                <w:szCs w:val="24"/>
                <w:highlight w:val="none"/>
              </w:rPr>
            </w:pPr>
          </w:p>
        </w:tc>
        <w:tc>
          <w:tcPr>
            <w:tcW w:w="1746" w:type="dxa"/>
            <w:tcBorders>
              <w:left w:val="single" w:color="auto" w:sz="4" w:space="0"/>
            </w:tcBorders>
          </w:tcPr>
          <w:p w14:paraId="072D65BA">
            <w:pPr>
              <w:shd w:val="clear"/>
              <w:jc w:val="center"/>
              <w:rPr>
                <w:rFonts w:hint="eastAsia" w:ascii="宋体" w:hAnsi="宋体" w:eastAsia="宋体" w:cs="宋体"/>
                <w:color w:val="auto"/>
                <w:sz w:val="24"/>
                <w:szCs w:val="24"/>
                <w:highlight w:val="none"/>
              </w:rPr>
            </w:pPr>
          </w:p>
        </w:tc>
      </w:tr>
      <w:tr w14:paraId="553438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982" w:type="dxa"/>
            <w:vAlign w:val="center"/>
          </w:tcPr>
          <w:p w14:paraId="64B2BE2E">
            <w:pPr>
              <w:shd w:val="clea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2387" w:type="dxa"/>
          </w:tcPr>
          <w:p w14:paraId="6320793D">
            <w:pPr>
              <w:shd w:val="clear"/>
              <w:jc w:val="center"/>
              <w:rPr>
                <w:rFonts w:hint="eastAsia" w:ascii="宋体" w:hAnsi="宋体" w:eastAsia="宋体" w:cs="宋体"/>
                <w:color w:val="auto"/>
                <w:sz w:val="24"/>
                <w:szCs w:val="24"/>
                <w:highlight w:val="none"/>
              </w:rPr>
            </w:pPr>
          </w:p>
        </w:tc>
        <w:tc>
          <w:tcPr>
            <w:tcW w:w="1462" w:type="dxa"/>
          </w:tcPr>
          <w:p w14:paraId="1A8100E2">
            <w:pPr>
              <w:shd w:val="clear"/>
              <w:jc w:val="center"/>
              <w:rPr>
                <w:rFonts w:hint="eastAsia" w:ascii="宋体" w:hAnsi="宋体" w:eastAsia="宋体" w:cs="宋体"/>
                <w:color w:val="auto"/>
                <w:sz w:val="24"/>
                <w:szCs w:val="24"/>
                <w:highlight w:val="none"/>
              </w:rPr>
            </w:pPr>
          </w:p>
        </w:tc>
        <w:tc>
          <w:tcPr>
            <w:tcW w:w="2415" w:type="dxa"/>
            <w:tcBorders>
              <w:right w:val="single" w:color="auto" w:sz="4" w:space="0"/>
            </w:tcBorders>
          </w:tcPr>
          <w:p w14:paraId="3CBACB79">
            <w:pPr>
              <w:shd w:val="clear"/>
              <w:jc w:val="center"/>
              <w:rPr>
                <w:rFonts w:hint="eastAsia" w:ascii="宋体" w:hAnsi="宋体" w:eastAsia="宋体" w:cs="宋体"/>
                <w:color w:val="auto"/>
                <w:sz w:val="24"/>
                <w:szCs w:val="24"/>
                <w:highlight w:val="none"/>
              </w:rPr>
            </w:pPr>
          </w:p>
        </w:tc>
        <w:tc>
          <w:tcPr>
            <w:tcW w:w="1746" w:type="dxa"/>
            <w:tcBorders>
              <w:left w:val="single" w:color="auto" w:sz="4" w:space="0"/>
            </w:tcBorders>
          </w:tcPr>
          <w:p w14:paraId="42C6EE49">
            <w:pPr>
              <w:shd w:val="clear"/>
              <w:jc w:val="center"/>
              <w:rPr>
                <w:rFonts w:hint="eastAsia" w:ascii="宋体" w:hAnsi="宋体" w:eastAsia="宋体" w:cs="宋体"/>
                <w:color w:val="auto"/>
                <w:sz w:val="24"/>
                <w:szCs w:val="24"/>
                <w:highlight w:val="none"/>
              </w:rPr>
            </w:pPr>
          </w:p>
        </w:tc>
      </w:tr>
      <w:tr w14:paraId="30A10F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982" w:type="dxa"/>
            <w:vAlign w:val="center"/>
          </w:tcPr>
          <w:p w14:paraId="644DE563">
            <w:pPr>
              <w:shd w:val="clea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2387" w:type="dxa"/>
          </w:tcPr>
          <w:p w14:paraId="3594E9BD">
            <w:pPr>
              <w:shd w:val="clear"/>
              <w:jc w:val="center"/>
              <w:rPr>
                <w:rFonts w:hint="eastAsia" w:ascii="宋体" w:hAnsi="宋体" w:eastAsia="宋体" w:cs="宋体"/>
                <w:color w:val="auto"/>
                <w:sz w:val="24"/>
                <w:szCs w:val="24"/>
                <w:highlight w:val="none"/>
              </w:rPr>
            </w:pPr>
          </w:p>
        </w:tc>
        <w:tc>
          <w:tcPr>
            <w:tcW w:w="1462" w:type="dxa"/>
          </w:tcPr>
          <w:p w14:paraId="68E62031">
            <w:pPr>
              <w:shd w:val="clear"/>
              <w:jc w:val="center"/>
              <w:rPr>
                <w:rFonts w:hint="eastAsia" w:ascii="宋体" w:hAnsi="宋体" w:eastAsia="宋体" w:cs="宋体"/>
                <w:color w:val="auto"/>
                <w:sz w:val="24"/>
                <w:szCs w:val="24"/>
                <w:highlight w:val="none"/>
              </w:rPr>
            </w:pPr>
          </w:p>
        </w:tc>
        <w:tc>
          <w:tcPr>
            <w:tcW w:w="2415" w:type="dxa"/>
            <w:tcBorders>
              <w:right w:val="single" w:color="auto" w:sz="4" w:space="0"/>
            </w:tcBorders>
          </w:tcPr>
          <w:p w14:paraId="33A56357">
            <w:pPr>
              <w:shd w:val="clear"/>
              <w:jc w:val="center"/>
              <w:rPr>
                <w:rFonts w:hint="eastAsia" w:ascii="宋体" w:hAnsi="宋体" w:eastAsia="宋体" w:cs="宋体"/>
                <w:color w:val="auto"/>
                <w:sz w:val="24"/>
                <w:szCs w:val="24"/>
                <w:highlight w:val="none"/>
              </w:rPr>
            </w:pPr>
          </w:p>
        </w:tc>
        <w:tc>
          <w:tcPr>
            <w:tcW w:w="1746" w:type="dxa"/>
            <w:tcBorders>
              <w:left w:val="single" w:color="auto" w:sz="4" w:space="0"/>
            </w:tcBorders>
          </w:tcPr>
          <w:p w14:paraId="5916526D">
            <w:pPr>
              <w:shd w:val="clear"/>
              <w:jc w:val="center"/>
              <w:rPr>
                <w:rFonts w:hint="eastAsia" w:ascii="宋体" w:hAnsi="宋体" w:eastAsia="宋体" w:cs="宋体"/>
                <w:color w:val="auto"/>
                <w:sz w:val="24"/>
                <w:szCs w:val="24"/>
                <w:highlight w:val="none"/>
              </w:rPr>
            </w:pPr>
          </w:p>
        </w:tc>
      </w:tr>
      <w:tr w14:paraId="2FF059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982" w:type="dxa"/>
            <w:vAlign w:val="center"/>
          </w:tcPr>
          <w:p w14:paraId="3019533B">
            <w:pPr>
              <w:shd w:val="clea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2387" w:type="dxa"/>
          </w:tcPr>
          <w:p w14:paraId="6CB5F8FF">
            <w:pPr>
              <w:shd w:val="clear"/>
              <w:jc w:val="center"/>
              <w:rPr>
                <w:rFonts w:hint="eastAsia" w:ascii="宋体" w:hAnsi="宋体" w:eastAsia="宋体" w:cs="宋体"/>
                <w:color w:val="auto"/>
                <w:sz w:val="24"/>
                <w:szCs w:val="24"/>
                <w:highlight w:val="none"/>
              </w:rPr>
            </w:pPr>
          </w:p>
        </w:tc>
        <w:tc>
          <w:tcPr>
            <w:tcW w:w="1462" w:type="dxa"/>
          </w:tcPr>
          <w:p w14:paraId="49AEBA90">
            <w:pPr>
              <w:shd w:val="clear"/>
              <w:jc w:val="center"/>
              <w:rPr>
                <w:rFonts w:hint="eastAsia" w:ascii="宋体" w:hAnsi="宋体" w:eastAsia="宋体" w:cs="宋体"/>
                <w:color w:val="auto"/>
                <w:sz w:val="24"/>
                <w:szCs w:val="24"/>
                <w:highlight w:val="none"/>
              </w:rPr>
            </w:pPr>
          </w:p>
        </w:tc>
        <w:tc>
          <w:tcPr>
            <w:tcW w:w="2415" w:type="dxa"/>
            <w:tcBorders>
              <w:right w:val="single" w:color="auto" w:sz="4" w:space="0"/>
            </w:tcBorders>
          </w:tcPr>
          <w:p w14:paraId="0BDA66D4">
            <w:pPr>
              <w:shd w:val="clear"/>
              <w:jc w:val="center"/>
              <w:rPr>
                <w:rFonts w:hint="eastAsia" w:ascii="宋体" w:hAnsi="宋体" w:eastAsia="宋体" w:cs="宋体"/>
                <w:color w:val="auto"/>
                <w:sz w:val="24"/>
                <w:szCs w:val="24"/>
                <w:highlight w:val="none"/>
              </w:rPr>
            </w:pPr>
          </w:p>
        </w:tc>
        <w:tc>
          <w:tcPr>
            <w:tcW w:w="1746" w:type="dxa"/>
            <w:tcBorders>
              <w:left w:val="single" w:color="auto" w:sz="4" w:space="0"/>
            </w:tcBorders>
          </w:tcPr>
          <w:p w14:paraId="636F5F3C">
            <w:pPr>
              <w:shd w:val="clear"/>
              <w:jc w:val="center"/>
              <w:rPr>
                <w:rFonts w:hint="eastAsia" w:ascii="宋体" w:hAnsi="宋体" w:eastAsia="宋体" w:cs="宋体"/>
                <w:color w:val="auto"/>
                <w:sz w:val="24"/>
                <w:szCs w:val="24"/>
                <w:highlight w:val="none"/>
              </w:rPr>
            </w:pPr>
          </w:p>
        </w:tc>
      </w:tr>
      <w:tr w14:paraId="09963A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982" w:type="dxa"/>
            <w:vAlign w:val="center"/>
          </w:tcPr>
          <w:p w14:paraId="2FE009F0">
            <w:pPr>
              <w:shd w:val="clea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2387" w:type="dxa"/>
          </w:tcPr>
          <w:p w14:paraId="257C630C">
            <w:pPr>
              <w:shd w:val="clear"/>
              <w:jc w:val="center"/>
              <w:rPr>
                <w:rFonts w:hint="eastAsia" w:ascii="宋体" w:hAnsi="宋体" w:eastAsia="宋体" w:cs="宋体"/>
                <w:color w:val="auto"/>
                <w:sz w:val="24"/>
                <w:szCs w:val="24"/>
                <w:highlight w:val="none"/>
              </w:rPr>
            </w:pPr>
          </w:p>
        </w:tc>
        <w:tc>
          <w:tcPr>
            <w:tcW w:w="1462" w:type="dxa"/>
          </w:tcPr>
          <w:p w14:paraId="78AF7C6A">
            <w:pPr>
              <w:shd w:val="clear"/>
              <w:jc w:val="center"/>
              <w:rPr>
                <w:rFonts w:hint="eastAsia" w:ascii="宋体" w:hAnsi="宋体" w:eastAsia="宋体" w:cs="宋体"/>
                <w:color w:val="auto"/>
                <w:sz w:val="24"/>
                <w:szCs w:val="24"/>
                <w:highlight w:val="none"/>
              </w:rPr>
            </w:pPr>
          </w:p>
        </w:tc>
        <w:tc>
          <w:tcPr>
            <w:tcW w:w="2415" w:type="dxa"/>
            <w:tcBorders>
              <w:right w:val="single" w:color="auto" w:sz="4" w:space="0"/>
            </w:tcBorders>
          </w:tcPr>
          <w:p w14:paraId="75B79308">
            <w:pPr>
              <w:shd w:val="clear"/>
              <w:jc w:val="center"/>
              <w:rPr>
                <w:rFonts w:hint="eastAsia" w:ascii="宋体" w:hAnsi="宋体" w:eastAsia="宋体" w:cs="宋体"/>
                <w:color w:val="auto"/>
                <w:sz w:val="24"/>
                <w:szCs w:val="24"/>
                <w:highlight w:val="none"/>
              </w:rPr>
            </w:pPr>
          </w:p>
        </w:tc>
        <w:tc>
          <w:tcPr>
            <w:tcW w:w="1746" w:type="dxa"/>
            <w:tcBorders>
              <w:left w:val="single" w:color="auto" w:sz="4" w:space="0"/>
            </w:tcBorders>
          </w:tcPr>
          <w:p w14:paraId="75E6124E">
            <w:pPr>
              <w:shd w:val="clear"/>
              <w:jc w:val="center"/>
              <w:rPr>
                <w:rFonts w:hint="eastAsia" w:ascii="宋体" w:hAnsi="宋体" w:eastAsia="宋体" w:cs="宋体"/>
                <w:color w:val="auto"/>
                <w:sz w:val="24"/>
                <w:szCs w:val="24"/>
                <w:highlight w:val="none"/>
              </w:rPr>
            </w:pPr>
          </w:p>
        </w:tc>
      </w:tr>
      <w:tr w14:paraId="1F8398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982" w:type="dxa"/>
            <w:vAlign w:val="center"/>
          </w:tcPr>
          <w:p w14:paraId="6C39D9DC">
            <w:pPr>
              <w:shd w:val="clea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p>
        </w:tc>
        <w:tc>
          <w:tcPr>
            <w:tcW w:w="2387" w:type="dxa"/>
          </w:tcPr>
          <w:p w14:paraId="6547879D">
            <w:pPr>
              <w:shd w:val="clear"/>
              <w:jc w:val="center"/>
              <w:rPr>
                <w:rFonts w:hint="eastAsia" w:ascii="宋体" w:hAnsi="宋体" w:eastAsia="宋体" w:cs="宋体"/>
                <w:color w:val="auto"/>
                <w:sz w:val="24"/>
                <w:szCs w:val="24"/>
                <w:highlight w:val="none"/>
              </w:rPr>
            </w:pPr>
          </w:p>
        </w:tc>
        <w:tc>
          <w:tcPr>
            <w:tcW w:w="1462" w:type="dxa"/>
          </w:tcPr>
          <w:p w14:paraId="7B4259B6">
            <w:pPr>
              <w:shd w:val="clear"/>
              <w:jc w:val="center"/>
              <w:rPr>
                <w:rFonts w:hint="eastAsia" w:ascii="宋体" w:hAnsi="宋体" w:eastAsia="宋体" w:cs="宋体"/>
                <w:color w:val="auto"/>
                <w:sz w:val="24"/>
                <w:szCs w:val="24"/>
                <w:highlight w:val="none"/>
              </w:rPr>
            </w:pPr>
          </w:p>
        </w:tc>
        <w:tc>
          <w:tcPr>
            <w:tcW w:w="2415" w:type="dxa"/>
            <w:tcBorders>
              <w:right w:val="single" w:color="auto" w:sz="4" w:space="0"/>
            </w:tcBorders>
          </w:tcPr>
          <w:p w14:paraId="66B13578">
            <w:pPr>
              <w:shd w:val="clear"/>
              <w:jc w:val="center"/>
              <w:rPr>
                <w:rFonts w:hint="eastAsia" w:ascii="宋体" w:hAnsi="宋体" w:eastAsia="宋体" w:cs="宋体"/>
                <w:color w:val="auto"/>
                <w:sz w:val="24"/>
                <w:szCs w:val="24"/>
                <w:highlight w:val="none"/>
              </w:rPr>
            </w:pPr>
          </w:p>
        </w:tc>
        <w:tc>
          <w:tcPr>
            <w:tcW w:w="1746" w:type="dxa"/>
            <w:tcBorders>
              <w:left w:val="single" w:color="auto" w:sz="4" w:space="0"/>
            </w:tcBorders>
          </w:tcPr>
          <w:p w14:paraId="3828818F">
            <w:pPr>
              <w:shd w:val="clear"/>
              <w:jc w:val="center"/>
              <w:rPr>
                <w:rFonts w:hint="eastAsia" w:ascii="宋体" w:hAnsi="宋体" w:eastAsia="宋体" w:cs="宋体"/>
                <w:color w:val="auto"/>
                <w:sz w:val="24"/>
                <w:szCs w:val="24"/>
                <w:highlight w:val="none"/>
              </w:rPr>
            </w:pPr>
          </w:p>
        </w:tc>
      </w:tr>
      <w:tr w14:paraId="5AE91B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982" w:type="dxa"/>
            <w:vAlign w:val="center"/>
          </w:tcPr>
          <w:p w14:paraId="61651C2A">
            <w:pPr>
              <w:shd w:val="clea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p>
        </w:tc>
        <w:tc>
          <w:tcPr>
            <w:tcW w:w="2387" w:type="dxa"/>
          </w:tcPr>
          <w:p w14:paraId="2B62C8AF">
            <w:pPr>
              <w:shd w:val="clear"/>
              <w:jc w:val="center"/>
              <w:rPr>
                <w:rFonts w:hint="eastAsia" w:ascii="宋体" w:hAnsi="宋体" w:eastAsia="宋体" w:cs="宋体"/>
                <w:color w:val="auto"/>
                <w:sz w:val="24"/>
                <w:szCs w:val="24"/>
                <w:highlight w:val="none"/>
              </w:rPr>
            </w:pPr>
          </w:p>
        </w:tc>
        <w:tc>
          <w:tcPr>
            <w:tcW w:w="1462" w:type="dxa"/>
          </w:tcPr>
          <w:p w14:paraId="2C589749">
            <w:pPr>
              <w:shd w:val="clear"/>
              <w:jc w:val="center"/>
              <w:rPr>
                <w:rFonts w:hint="eastAsia" w:ascii="宋体" w:hAnsi="宋体" w:eastAsia="宋体" w:cs="宋体"/>
                <w:color w:val="auto"/>
                <w:sz w:val="24"/>
                <w:szCs w:val="24"/>
                <w:highlight w:val="none"/>
              </w:rPr>
            </w:pPr>
          </w:p>
        </w:tc>
        <w:tc>
          <w:tcPr>
            <w:tcW w:w="2415" w:type="dxa"/>
            <w:tcBorders>
              <w:right w:val="single" w:color="auto" w:sz="4" w:space="0"/>
            </w:tcBorders>
          </w:tcPr>
          <w:p w14:paraId="0C987D1D">
            <w:pPr>
              <w:shd w:val="clear"/>
              <w:jc w:val="center"/>
              <w:rPr>
                <w:rFonts w:hint="eastAsia" w:ascii="宋体" w:hAnsi="宋体" w:eastAsia="宋体" w:cs="宋体"/>
                <w:color w:val="auto"/>
                <w:sz w:val="24"/>
                <w:szCs w:val="24"/>
                <w:highlight w:val="none"/>
              </w:rPr>
            </w:pPr>
          </w:p>
        </w:tc>
        <w:tc>
          <w:tcPr>
            <w:tcW w:w="1746" w:type="dxa"/>
            <w:tcBorders>
              <w:left w:val="single" w:color="auto" w:sz="4" w:space="0"/>
            </w:tcBorders>
          </w:tcPr>
          <w:p w14:paraId="5AAD1E5E">
            <w:pPr>
              <w:shd w:val="clear"/>
              <w:jc w:val="center"/>
              <w:rPr>
                <w:rFonts w:hint="eastAsia" w:ascii="宋体" w:hAnsi="宋体" w:eastAsia="宋体" w:cs="宋体"/>
                <w:color w:val="auto"/>
                <w:sz w:val="24"/>
                <w:szCs w:val="24"/>
                <w:highlight w:val="none"/>
              </w:rPr>
            </w:pPr>
          </w:p>
        </w:tc>
      </w:tr>
      <w:tr w14:paraId="6918ED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982" w:type="dxa"/>
            <w:vAlign w:val="center"/>
          </w:tcPr>
          <w:p w14:paraId="0A1D7F68">
            <w:pPr>
              <w:shd w:val="clea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w:t>
            </w:r>
          </w:p>
        </w:tc>
        <w:tc>
          <w:tcPr>
            <w:tcW w:w="2387" w:type="dxa"/>
          </w:tcPr>
          <w:p w14:paraId="76D906BC">
            <w:pPr>
              <w:shd w:val="clear"/>
              <w:jc w:val="center"/>
              <w:rPr>
                <w:rFonts w:hint="eastAsia" w:ascii="宋体" w:hAnsi="宋体" w:eastAsia="宋体" w:cs="宋体"/>
                <w:color w:val="auto"/>
                <w:sz w:val="24"/>
                <w:szCs w:val="24"/>
                <w:highlight w:val="none"/>
              </w:rPr>
            </w:pPr>
          </w:p>
        </w:tc>
        <w:tc>
          <w:tcPr>
            <w:tcW w:w="1462" w:type="dxa"/>
          </w:tcPr>
          <w:p w14:paraId="43BE105D">
            <w:pPr>
              <w:shd w:val="clear"/>
              <w:jc w:val="center"/>
              <w:rPr>
                <w:rFonts w:hint="eastAsia" w:ascii="宋体" w:hAnsi="宋体" w:eastAsia="宋体" w:cs="宋体"/>
                <w:color w:val="auto"/>
                <w:sz w:val="24"/>
                <w:szCs w:val="24"/>
                <w:highlight w:val="none"/>
              </w:rPr>
            </w:pPr>
          </w:p>
        </w:tc>
        <w:tc>
          <w:tcPr>
            <w:tcW w:w="2415" w:type="dxa"/>
            <w:tcBorders>
              <w:right w:val="single" w:color="auto" w:sz="4" w:space="0"/>
            </w:tcBorders>
          </w:tcPr>
          <w:p w14:paraId="2CA5B375">
            <w:pPr>
              <w:shd w:val="clear"/>
              <w:jc w:val="center"/>
              <w:rPr>
                <w:rFonts w:hint="eastAsia" w:ascii="宋体" w:hAnsi="宋体" w:eastAsia="宋体" w:cs="宋体"/>
                <w:color w:val="auto"/>
                <w:sz w:val="24"/>
                <w:szCs w:val="24"/>
                <w:highlight w:val="none"/>
              </w:rPr>
            </w:pPr>
          </w:p>
        </w:tc>
        <w:tc>
          <w:tcPr>
            <w:tcW w:w="1746" w:type="dxa"/>
            <w:tcBorders>
              <w:left w:val="single" w:color="auto" w:sz="4" w:space="0"/>
            </w:tcBorders>
          </w:tcPr>
          <w:p w14:paraId="17D614BE">
            <w:pPr>
              <w:shd w:val="clear"/>
              <w:jc w:val="center"/>
              <w:rPr>
                <w:rFonts w:hint="eastAsia" w:ascii="宋体" w:hAnsi="宋体" w:eastAsia="宋体" w:cs="宋体"/>
                <w:color w:val="auto"/>
                <w:sz w:val="24"/>
                <w:szCs w:val="24"/>
                <w:highlight w:val="none"/>
              </w:rPr>
            </w:pPr>
          </w:p>
        </w:tc>
      </w:tr>
      <w:tr w14:paraId="4D8EC5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982" w:type="dxa"/>
            <w:vAlign w:val="center"/>
          </w:tcPr>
          <w:p w14:paraId="476DEF67">
            <w:pPr>
              <w:shd w:val="clea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合计</w:t>
            </w:r>
          </w:p>
        </w:tc>
        <w:tc>
          <w:tcPr>
            <w:tcW w:w="2387" w:type="dxa"/>
          </w:tcPr>
          <w:p w14:paraId="2694C744">
            <w:pPr>
              <w:shd w:val="clear"/>
              <w:jc w:val="center"/>
              <w:rPr>
                <w:rFonts w:hint="eastAsia" w:ascii="宋体" w:hAnsi="宋体" w:eastAsia="宋体" w:cs="宋体"/>
                <w:color w:val="auto"/>
                <w:sz w:val="24"/>
                <w:szCs w:val="24"/>
                <w:highlight w:val="none"/>
              </w:rPr>
            </w:pPr>
          </w:p>
        </w:tc>
        <w:tc>
          <w:tcPr>
            <w:tcW w:w="1462" w:type="dxa"/>
          </w:tcPr>
          <w:p w14:paraId="07F60789">
            <w:pPr>
              <w:shd w:val="clear"/>
              <w:jc w:val="center"/>
              <w:rPr>
                <w:rFonts w:hint="eastAsia" w:ascii="宋体" w:hAnsi="宋体" w:eastAsia="宋体" w:cs="宋体"/>
                <w:color w:val="auto"/>
                <w:sz w:val="24"/>
                <w:szCs w:val="24"/>
                <w:highlight w:val="none"/>
              </w:rPr>
            </w:pPr>
          </w:p>
        </w:tc>
        <w:tc>
          <w:tcPr>
            <w:tcW w:w="2415" w:type="dxa"/>
            <w:tcBorders>
              <w:right w:val="single" w:color="auto" w:sz="4" w:space="0"/>
            </w:tcBorders>
          </w:tcPr>
          <w:p w14:paraId="34BABB37">
            <w:pPr>
              <w:shd w:val="clear"/>
              <w:jc w:val="center"/>
              <w:rPr>
                <w:rFonts w:hint="eastAsia" w:ascii="宋体" w:hAnsi="宋体" w:eastAsia="宋体" w:cs="宋体"/>
                <w:color w:val="auto"/>
                <w:sz w:val="24"/>
                <w:szCs w:val="24"/>
                <w:highlight w:val="none"/>
              </w:rPr>
            </w:pPr>
          </w:p>
        </w:tc>
        <w:tc>
          <w:tcPr>
            <w:tcW w:w="1746" w:type="dxa"/>
            <w:tcBorders>
              <w:left w:val="single" w:color="auto" w:sz="4" w:space="0"/>
            </w:tcBorders>
          </w:tcPr>
          <w:p w14:paraId="5AEDA1C3">
            <w:pPr>
              <w:shd w:val="clear"/>
              <w:jc w:val="center"/>
              <w:rPr>
                <w:rFonts w:hint="eastAsia" w:ascii="宋体" w:hAnsi="宋体" w:eastAsia="宋体" w:cs="宋体"/>
                <w:color w:val="auto"/>
                <w:sz w:val="24"/>
                <w:szCs w:val="24"/>
                <w:highlight w:val="none"/>
              </w:rPr>
            </w:pPr>
          </w:p>
        </w:tc>
      </w:tr>
    </w:tbl>
    <w:p w14:paraId="1A96442F">
      <w:pPr>
        <w:shd w:val="clear"/>
        <w:spacing w:line="360" w:lineRule="auto"/>
        <w:ind w:firstLine="480" w:firstLineChars="200"/>
        <w:rPr>
          <w:rFonts w:hint="eastAsia" w:ascii="宋体" w:hAnsi="宋体" w:eastAsia="宋体" w:cs="宋体"/>
          <w:color w:val="auto"/>
          <w:sz w:val="24"/>
          <w:szCs w:val="24"/>
          <w:highlight w:val="none"/>
        </w:rPr>
      </w:pPr>
    </w:p>
    <w:p w14:paraId="206663AE">
      <w:pPr>
        <w:shd w:val="clear"/>
        <w:spacing w:line="360" w:lineRule="auto"/>
        <w:ind w:left="3780" w:leftChars="1800" w:firstLine="480" w:firstLineChars="200"/>
        <w:rPr>
          <w:rFonts w:hint="eastAsia" w:ascii="宋体" w:hAnsi="宋体" w:eastAsia="宋体" w:cs="宋体"/>
          <w:color w:val="auto"/>
          <w:sz w:val="24"/>
          <w:szCs w:val="24"/>
          <w:highlight w:val="none"/>
        </w:rPr>
      </w:pPr>
    </w:p>
    <w:p w14:paraId="02456A07">
      <w:pPr>
        <w:shd w:val="clear"/>
        <w:spacing w:line="360" w:lineRule="auto"/>
        <w:ind w:left="3780" w:leftChars="180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法定代表人签名（或签名章）：                       </w:t>
      </w:r>
    </w:p>
    <w:p w14:paraId="5C844EA1">
      <w:pPr>
        <w:shd w:val="clear"/>
        <w:spacing w:line="360" w:lineRule="auto"/>
        <w:ind w:left="3780" w:leftChars="180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 期：</w:t>
      </w:r>
    </w:p>
    <w:p w14:paraId="50FC3D3F">
      <w:pPr>
        <w:shd w:val="clear"/>
        <w:spacing w:line="360" w:lineRule="auto"/>
        <w:ind w:left="3780" w:leftChars="180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供应商全称（公章）：</w:t>
      </w:r>
    </w:p>
    <w:p w14:paraId="6B3C0D4A">
      <w:pPr>
        <w:shd w:val="clear"/>
        <w:snapToGrid w:val="0"/>
        <w:spacing w:before="50" w:after="156" w:afterLines="50"/>
        <w:jc w:val="left"/>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30"/>
          <w:szCs w:val="30"/>
          <w:highlight w:val="none"/>
        </w:rPr>
        <w:br w:type="page"/>
      </w:r>
      <w:r>
        <w:rPr>
          <w:rFonts w:hint="eastAsia" w:ascii="宋体" w:hAnsi="宋体" w:eastAsia="宋体" w:cs="宋体"/>
          <w:b/>
          <w:bCs/>
          <w:color w:val="auto"/>
          <w:sz w:val="24"/>
          <w:szCs w:val="24"/>
          <w:highlight w:val="none"/>
          <w:lang w:val="zh-CN"/>
        </w:rPr>
        <w:t>附件</w:t>
      </w:r>
      <w:r>
        <w:rPr>
          <w:rFonts w:hint="eastAsia" w:ascii="宋体" w:hAnsi="宋体" w:cs="宋体"/>
          <w:b/>
          <w:bCs/>
          <w:color w:val="auto"/>
          <w:sz w:val="24"/>
          <w:szCs w:val="24"/>
          <w:highlight w:val="none"/>
          <w:lang w:val="en-US" w:eastAsia="zh-CN"/>
        </w:rPr>
        <w:t>八</w:t>
      </w:r>
      <w:r>
        <w:rPr>
          <w:rFonts w:hint="eastAsia" w:ascii="宋体" w:hAnsi="宋体" w:eastAsia="宋体" w:cs="宋体"/>
          <w:b/>
          <w:bCs/>
          <w:color w:val="auto"/>
          <w:sz w:val="24"/>
          <w:szCs w:val="24"/>
          <w:highlight w:val="none"/>
          <w:lang w:val="zh-CN"/>
        </w:rPr>
        <w:t>：</w:t>
      </w:r>
    </w:p>
    <w:p w14:paraId="21DE77B9">
      <w:pPr>
        <w:shd w:val="clear"/>
        <w:spacing w:line="360" w:lineRule="auto"/>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投标项目明细清单</w:t>
      </w:r>
    </w:p>
    <w:p w14:paraId="654521F1">
      <w:pPr>
        <w:shd w:val="clear"/>
        <w:spacing w:line="360" w:lineRule="auto"/>
        <w:ind w:firstLine="480" w:firstLineChars="200"/>
        <w:rPr>
          <w:rFonts w:hint="eastAsia" w:ascii="宋体" w:hAnsi="宋体" w:eastAsia="宋体" w:cs="宋体"/>
          <w:color w:val="auto"/>
          <w:sz w:val="24"/>
          <w:szCs w:val="24"/>
          <w:highlight w:val="none"/>
        </w:rPr>
      </w:pPr>
    </w:p>
    <w:p w14:paraId="277DAEC1">
      <w:pPr>
        <w:shd w:val="clea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w:t>
      </w:r>
    </w:p>
    <w:p w14:paraId="77A2EADF">
      <w:pPr>
        <w:shd w:val="clea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采购编号：</w:t>
      </w:r>
    </w:p>
    <w:tbl>
      <w:tblPr>
        <w:tblStyle w:val="29"/>
        <w:tblW w:w="904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4"/>
        <w:gridCol w:w="2829"/>
        <w:gridCol w:w="2829"/>
        <w:gridCol w:w="2830"/>
      </w:tblGrid>
      <w:tr w14:paraId="0B9C169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bottom w:val="single" w:color="auto" w:sz="4" w:space="0"/>
              <w:right w:val="single" w:color="auto" w:sz="4" w:space="0"/>
            </w:tcBorders>
            <w:vAlign w:val="center"/>
          </w:tcPr>
          <w:p w14:paraId="12586339">
            <w:pPr>
              <w:shd w:val="clear"/>
              <w:snapToGrid w:val="0"/>
              <w:spacing w:before="50" w:after="5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2829" w:type="dxa"/>
            <w:tcBorders>
              <w:top w:val="single" w:color="auto" w:sz="4" w:space="0"/>
              <w:left w:val="single" w:color="auto" w:sz="4" w:space="0"/>
              <w:bottom w:val="single" w:color="auto" w:sz="4" w:space="0"/>
              <w:right w:val="single" w:color="auto" w:sz="4" w:space="0"/>
            </w:tcBorders>
            <w:vAlign w:val="center"/>
          </w:tcPr>
          <w:p w14:paraId="1CC43218">
            <w:pPr>
              <w:shd w:val="clear"/>
              <w:snapToGrid w:val="0"/>
              <w:spacing w:before="50" w:after="5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服务内容</w:t>
            </w:r>
          </w:p>
        </w:tc>
        <w:tc>
          <w:tcPr>
            <w:tcW w:w="2829" w:type="dxa"/>
            <w:tcBorders>
              <w:top w:val="single" w:color="auto" w:sz="4" w:space="0"/>
              <w:left w:val="single" w:color="auto" w:sz="4" w:space="0"/>
              <w:bottom w:val="single" w:color="auto" w:sz="4" w:space="0"/>
              <w:right w:val="single" w:color="auto" w:sz="4" w:space="0"/>
            </w:tcBorders>
            <w:vAlign w:val="center"/>
          </w:tcPr>
          <w:p w14:paraId="7A2BBC35">
            <w:pPr>
              <w:shd w:val="clear"/>
              <w:snapToGrid w:val="0"/>
              <w:spacing w:before="50" w:after="5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服务人员数量</w:t>
            </w:r>
          </w:p>
        </w:tc>
        <w:tc>
          <w:tcPr>
            <w:tcW w:w="2830" w:type="dxa"/>
            <w:tcBorders>
              <w:top w:val="single" w:color="auto" w:sz="4" w:space="0"/>
              <w:left w:val="single" w:color="auto" w:sz="4" w:space="0"/>
              <w:bottom w:val="single" w:color="auto" w:sz="4" w:space="0"/>
            </w:tcBorders>
            <w:vAlign w:val="center"/>
          </w:tcPr>
          <w:p w14:paraId="0A52BE6F">
            <w:pPr>
              <w:shd w:val="clear"/>
              <w:snapToGrid w:val="0"/>
              <w:spacing w:before="50" w:after="5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工作量</w:t>
            </w:r>
          </w:p>
        </w:tc>
      </w:tr>
      <w:tr w14:paraId="0D61989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bottom w:val="single" w:color="auto" w:sz="4" w:space="0"/>
              <w:right w:val="single" w:color="auto" w:sz="4" w:space="0"/>
            </w:tcBorders>
            <w:vAlign w:val="center"/>
          </w:tcPr>
          <w:p w14:paraId="667DA342">
            <w:pPr>
              <w:shd w:val="clear"/>
              <w:snapToGrid w:val="0"/>
              <w:spacing w:before="50" w:after="50"/>
              <w:jc w:val="center"/>
              <w:rPr>
                <w:rFonts w:hint="eastAsia" w:ascii="宋体" w:hAnsi="宋体" w:eastAsia="宋体" w:cs="宋体"/>
                <w:color w:val="auto"/>
                <w:sz w:val="24"/>
                <w:szCs w:val="24"/>
                <w:highlight w:val="none"/>
              </w:rPr>
            </w:pPr>
          </w:p>
        </w:tc>
        <w:tc>
          <w:tcPr>
            <w:tcW w:w="2829" w:type="dxa"/>
            <w:tcBorders>
              <w:top w:val="single" w:color="auto" w:sz="4" w:space="0"/>
              <w:left w:val="single" w:color="auto" w:sz="4" w:space="0"/>
              <w:bottom w:val="single" w:color="auto" w:sz="4" w:space="0"/>
              <w:right w:val="single" w:color="auto" w:sz="4" w:space="0"/>
            </w:tcBorders>
            <w:vAlign w:val="center"/>
          </w:tcPr>
          <w:p w14:paraId="24A19F25">
            <w:pPr>
              <w:shd w:val="clear"/>
              <w:snapToGrid w:val="0"/>
              <w:spacing w:before="50" w:after="50"/>
              <w:jc w:val="center"/>
              <w:rPr>
                <w:rFonts w:hint="eastAsia" w:ascii="宋体" w:hAnsi="宋体" w:eastAsia="宋体" w:cs="宋体"/>
                <w:color w:val="auto"/>
                <w:sz w:val="24"/>
                <w:szCs w:val="24"/>
                <w:highlight w:val="none"/>
              </w:rPr>
            </w:pPr>
          </w:p>
        </w:tc>
        <w:tc>
          <w:tcPr>
            <w:tcW w:w="2829" w:type="dxa"/>
            <w:tcBorders>
              <w:top w:val="single" w:color="auto" w:sz="4" w:space="0"/>
              <w:left w:val="single" w:color="auto" w:sz="4" w:space="0"/>
              <w:bottom w:val="single" w:color="auto" w:sz="4" w:space="0"/>
              <w:right w:val="single" w:color="auto" w:sz="4" w:space="0"/>
            </w:tcBorders>
            <w:vAlign w:val="center"/>
          </w:tcPr>
          <w:p w14:paraId="536E4A0B">
            <w:pPr>
              <w:shd w:val="clear"/>
              <w:snapToGrid w:val="0"/>
              <w:spacing w:before="50" w:after="50"/>
              <w:ind w:left="480" w:hanging="480"/>
              <w:jc w:val="center"/>
              <w:rPr>
                <w:rFonts w:hint="eastAsia" w:ascii="宋体" w:hAnsi="宋体" w:eastAsia="宋体" w:cs="宋体"/>
                <w:color w:val="auto"/>
                <w:sz w:val="24"/>
                <w:szCs w:val="24"/>
                <w:highlight w:val="none"/>
              </w:rPr>
            </w:pPr>
          </w:p>
        </w:tc>
        <w:tc>
          <w:tcPr>
            <w:tcW w:w="2830" w:type="dxa"/>
            <w:tcBorders>
              <w:top w:val="single" w:color="auto" w:sz="4" w:space="0"/>
              <w:left w:val="single" w:color="auto" w:sz="4" w:space="0"/>
              <w:bottom w:val="single" w:color="auto" w:sz="4" w:space="0"/>
            </w:tcBorders>
            <w:vAlign w:val="center"/>
          </w:tcPr>
          <w:p w14:paraId="48D654AB">
            <w:pPr>
              <w:shd w:val="clear"/>
              <w:snapToGrid w:val="0"/>
              <w:spacing w:before="50" w:after="50"/>
              <w:jc w:val="center"/>
              <w:rPr>
                <w:rFonts w:hint="eastAsia" w:ascii="宋体" w:hAnsi="宋体" w:eastAsia="宋体" w:cs="宋体"/>
                <w:color w:val="auto"/>
                <w:sz w:val="24"/>
                <w:szCs w:val="24"/>
                <w:highlight w:val="none"/>
              </w:rPr>
            </w:pPr>
          </w:p>
        </w:tc>
      </w:tr>
      <w:tr w14:paraId="5E0691F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bottom w:val="single" w:color="auto" w:sz="4" w:space="0"/>
              <w:right w:val="single" w:color="auto" w:sz="4" w:space="0"/>
            </w:tcBorders>
            <w:vAlign w:val="center"/>
          </w:tcPr>
          <w:p w14:paraId="05E4B317">
            <w:pPr>
              <w:shd w:val="clear"/>
              <w:snapToGrid w:val="0"/>
              <w:spacing w:before="50" w:after="50"/>
              <w:jc w:val="center"/>
              <w:rPr>
                <w:rFonts w:hint="eastAsia" w:ascii="宋体" w:hAnsi="宋体" w:eastAsia="宋体" w:cs="宋体"/>
                <w:color w:val="auto"/>
                <w:sz w:val="24"/>
                <w:szCs w:val="24"/>
                <w:highlight w:val="none"/>
              </w:rPr>
            </w:pPr>
          </w:p>
        </w:tc>
        <w:tc>
          <w:tcPr>
            <w:tcW w:w="2829" w:type="dxa"/>
            <w:tcBorders>
              <w:top w:val="single" w:color="auto" w:sz="4" w:space="0"/>
              <w:left w:val="single" w:color="auto" w:sz="4" w:space="0"/>
              <w:bottom w:val="single" w:color="auto" w:sz="4" w:space="0"/>
              <w:right w:val="single" w:color="auto" w:sz="4" w:space="0"/>
            </w:tcBorders>
            <w:vAlign w:val="center"/>
          </w:tcPr>
          <w:p w14:paraId="16CD33C8">
            <w:pPr>
              <w:shd w:val="clear"/>
              <w:snapToGrid w:val="0"/>
              <w:spacing w:before="50" w:after="50"/>
              <w:jc w:val="center"/>
              <w:rPr>
                <w:rFonts w:hint="eastAsia" w:ascii="宋体" w:hAnsi="宋体" w:eastAsia="宋体" w:cs="宋体"/>
                <w:color w:val="auto"/>
                <w:sz w:val="24"/>
                <w:szCs w:val="24"/>
                <w:highlight w:val="none"/>
              </w:rPr>
            </w:pPr>
          </w:p>
        </w:tc>
        <w:tc>
          <w:tcPr>
            <w:tcW w:w="2829" w:type="dxa"/>
            <w:tcBorders>
              <w:top w:val="single" w:color="auto" w:sz="4" w:space="0"/>
              <w:left w:val="single" w:color="auto" w:sz="4" w:space="0"/>
              <w:bottom w:val="single" w:color="auto" w:sz="4" w:space="0"/>
              <w:right w:val="single" w:color="auto" w:sz="4" w:space="0"/>
            </w:tcBorders>
            <w:vAlign w:val="center"/>
          </w:tcPr>
          <w:p w14:paraId="125CA7B8">
            <w:pPr>
              <w:shd w:val="clear"/>
              <w:snapToGrid w:val="0"/>
              <w:spacing w:before="50" w:after="50"/>
              <w:ind w:left="480" w:hanging="480"/>
              <w:jc w:val="center"/>
              <w:rPr>
                <w:rFonts w:hint="eastAsia" w:ascii="宋体" w:hAnsi="宋体" w:eastAsia="宋体" w:cs="宋体"/>
                <w:color w:val="auto"/>
                <w:sz w:val="24"/>
                <w:szCs w:val="24"/>
                <w:highlight w:val="none"/>
              </w:rPr>
            </w:pPr>
          </w:p>
        </w:tc>
        <w:tc>
          <w:tcPr>
            <w:tcW w:w="2830" w:type="dxa"/>
            <w:tcBorders>
              <w:top w:val="single" w:color="auto" w:sz="4" w:space="0"/>
              <w:left w:val="single" w:color="auto" w:sz="4" w:space="0"/>
              <w:bottom w:val="single" w:color="auto" w:sz="4" w:space="0"/>
            </w:tcBorders>
            <w:vAlign w:val="center"/>
          </w:tcPr>
          <w:p w14:paraId="1BCCF8AA">
            <w:pPr>
              <w:shd w:val="clear"/>
              <w:snapToGrid w:val="0"/>
              <w:spacing w:before="50" w:after="50"/>
              <w:jc w:val="center"/>
              <w:rPr>
                <w:rFonts w:hint="eastAsia" w:ascii="宋体" w:hAnsi="宋体" w:eastAsia="宋体" w:cs="宋体"/>
                <w:color w:val="auto"/>
                <w:sz w:val="24"/>
                <w:szCs w:val="24"/>
                <w:highlight w:val="none"/>
              </w:rPr>
            </w:pPr>
          </w:p>
        </w:tc>
      </w:tr>
    </w:tbl>
    <w:p w14:paraId="7D4C9A2F">
      <w:pPr>
        <w:shd w:val="clear"/>
        <w:snapToGrid w:val="0"/>
        <w:spacing w:before="156" w:beforeLines="5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注：在填写时，如上表不适合本项目的实际情况，可在确保投标明细内容完整的情况下，根据上表格式自行划表填写。</w:t>
      </w:r>
    </w:p>
    <w:p w14:paraId="66DB6CAC">
      <w:pPr>
        <w:pStyle w:val="4"/>
        <w:shd w:val="clear"/>
        <w:rPr>
          <w:rFonts w:hint="eastAsia" w:ascii="宋体" w:hAnsi="宋体" w:eastAsia="宋体" w:cs="宋体"/>
          <w:color w:val="auto"/>
          <w:highlight w:val="none"/>
        </w:rPr>
      </w:pPr>
    </w:p>
    <w:p w14:paraId="2550987C">
      <w:pPr>
        <w:pStyle w:val="4"/>
        <w:shd w:val="clear"/>
        <w:rPr>
          <w:rFonts w:hint="eastAsia" w:ascii="宋体" w:hAnsi="宋体" w:eastAsia="宋体" w:cs="宋体"/>
          <w:color w:val="auto"/>
          <w:highlight w:val="none"/>
        </w:rPr>
      </w:pPr>
    </w:p>
    <w:p w14:paraId="5EB176CF">
      <w:pPr>
        <w:pStyle w:val="4"/>
        <w:shd w:val="clear"/>
        <w:rPr>
          <w:rFonts w:hint="eastAsia" w:ascii="宋体" w:hAnsi="宋体" w:eastAsia="宋体" w:cs="宋体"/>
          <w:color w:val="auto"/>
          <w:highlight w:val="none"/>
        </w:rPr>
      </w:pPr>
    </w:p>
    <w:p w14:paraId="0DE0CBB1">
      <w:pPr>
        <w:shd w:val="clear"/>
        <w:snapToGrid w:val="0"/>
        <w:spacing w:before="156" w:beforeLines="50"/>
        <w:rPr>
          <w:rFonts w:hint="eastAsia" w:ascii="宋体" w:hAnsi="宋体" w:eastAsia="宋体" w:cs="宋体"/>
          <w:color w:val="auto"/>
          <w:sz w:val="24"/>
          <w:szCs w:val="24"/>
          <w:highlight w:val="none"/>
        </w:rPr>
      </w:pPr>
    </w:p>
    <w:p w14:paraId="1298B459">
      <w:pPr>
        <w:shd w:val="clear"/>
        <w:spacing w:line="360" w:lineRule="auto"/>
        <w:ind w:left="3780" w:leftChars="180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法定代表人签名（或签名章）：                       </w:t>
      </w:r>
    </w:p>
    <w:p w14:paraId="5D2F2D82">
      <w:pPr>
        <w:shd w:val="clear"/>
        <w:spacing w:line="360" w:lineRule="auto"/>
        <w:ind w:left="3780" w:leftChars="180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 期：</w:t>
      </w:r>
    </w:p>
    <w:p w14:paraId="6710499A">
      <w:pPr>
        <w:shd w:val="clear"/>
        <w:spacing w:line="360" w:lineRule="auto"/>
        <w:ind w:left="3780" w:leftChars="180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供应商全称（公章）：</w:t>
      </w:r>
    </w:p>
    <w:p w14:paraId="0095DAAD">
      <w:pPr>
        <w:shd w:val="clear"/>
        <w:snapToGrid w:val="0"/>
        <w:spacing w:before="50" w:after="50"/>
        <w:rPr>
          <w:rFonts w:hint="eastAsia" w:ascii="宋体" w:hAnsi="宋体" w:eastAsia="宋体" w:cs="宋体"/>
          <w:color w:val="auto"/>
          <w:spacing w:val="20"/>
          <w:sz w:val="24"/>
          <w:szCs w:val="24"/>
          <w:highlight w:val="none"/>
        </w:rPr>
      </w:pPr>
    </w:p>
    <w:p w14:paraId="11E1A501">
      <w:pPr>
        <w:shd w:val="clear"/>
        <w:snapToGrid w:val="0"/>
        <w:spacing w:before="50" w:after="50"/>
        <w:rPr>
          <w:rFonts w:hint="eastAsia" w:ascii="宋体" w:hAnsi="宋体" w:eastAsia="宋体" w:cs="宋体"/>
          <w:color w:val="auto"/>
          <w:spacing w:val="20"/>
          <w:sz w:val="30"/>
          <w:szCs w:val="30"/>
          <w:highlight w:val="none"/>
        </w:rPr>
      </w:pPr>
    </w:p>
    <w:p w14:paraId="17934A06">
      <w:pPr>
        <w:pStyle w:val="4"/>
        <w:shd w:val="clear"/>
        <w:ind w:firstLine="686"/>
        <w:rPr>
          <w:rFonts w:hint="eastAsia" w:ascii="宋体" w:hAnsi="宋体" w:eastAsia="宋体" w:cs="宋体"/>
          <w:color w:val="auto"/>
          <w:spacing w:val="20"/>
          <w:sz w:val="30"/>
          <w:szCs w:val="30"/>
          <w:highlight w:val="none"/>
        </w:rPr>
      </w:pPr>
    </w:p>
    <w:p w14:paraId="074FB28A">
      <w:pPr>
        <w:pStyle w:val="4"/>
        <w:shd w:val="clear"/>
        <w:ind w:firstLine="686"/>
        <w:rPr>
          <w:rFonts w:hint="eastAsia" w:ascii="宋体" w:hAnsi="宋体" w:eastAsia="宋体" w:cs="宋体"/>
          <w:color w:val="auto"/>
          <w:spacing w:val="20"/>
          <w:sz w:val="30"/>
          <w:szCs w:val="30"/>
          <w:highlight w:val="none"/>
        </w:rPr>
        <w:sectPr>
          <w:footerReference r:id="rId5" w:type="default"/>
          <w:pgSz w:w="11906" w:h="16838"/>
          <w:pgMar w:top="1440" w:right="1800" w:bottom="1440" w:left="1800" w:header="851" w:footer="992" w:gutter="0"/>
          <w:cols w:space="425" w:num="1"/>
          <w:docGrid w:type="lines" w:linePitch="312" w:charSpace="0"/>
        </w:sectPr>
      </w:pPr>
    </w:p>
    <w:p w14:paraId="259C8357">
      <w:pPr>
        <w:shd w:val="clear"/>
        <w:rPr>
          <w:rFonts w:hint="eastAsia" w:ascii="宋体" w:hAnsi="宋体" w:eastAsia="宋体" w:cs="宋体"/>
          <w:b/>
          <w:bCs/>
          <w:color w:val="auto"/>
          <w:sz w:val="24"/>
          <w:szCs w:val="24"/>
          <w:highlight w:val="none"/>
        </w:rPr>
      </w:pPr>
      <w:bookmarkStart w:id="111" w:name="_Toc2823"/>
      <w:r>
        <w:rPr>
          <w:rFonts w:hint="eastAsia" w:ascii="宋体" w:hAnsi="宋体" w:eastAsia="宋体" w:cs="宋体"/>
          <w:b/>
          <w:bCs/>
          <w:color w:val="auto"/>
          <w:sz w:val="24"/>
          <w:szCs w:val="24"/>
          <w:highlight w:val="none"/>
        </w:rPr>
        <w:t>附件</w:t>
      </w:r>
      <w:r>
        <w:rPr>
          <w:rFonts w:hint="eastAsia" w:ascii="宋体" w:hAnsi="宋体" w:cs="宋体"/>
          <w:b/>
          <w:bCs/>
          <w:color w:val="auto"/>
          <w:sz w:val="24"/>
          <w:szCs w:val="24"/>
          <w:highlight w:val="none"/>
          <w:lang w:val="en-US" w:eastAsia="zh-CN"/>
        </w:rPr>
        <w:t>九</w:t>
      </w:r>
      <w:r>
        <w:rPr>
          <w:rFonts w:hint="eastAsia" w:ascii="宋体" w:hAnsi="宋体" w:eastAsia="宋体" w:cs="宋体"/>
          <w:b/>
          <w:bCs/>
          <w:color w:val="auto"/>
          <w:sz w:val="24"/>
          <w:szCs w:val="24"/>
          <w:highlight w:val="none"/>
        </w:rPr>
        <w:t>：</w:t>
      </w:r>
    </w:p>
    <w:p w14:paraId="276638F3">
      <w:pPr>
        <w:shd w:val="clear"/>
        <w:spacing w:line="360" w:lineRule="auto"/>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技术响应及建议表</w:t>
      </w:r>
      <w:bookmarkEnd w:id="111"/>
    </w:p>
    <w:p w14:paraId="1220BC08">
      <w:pPr>
        <w:shd w:val="clea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14:paraId="5867EBE8">
      <w:pPr>
        <w:shd w:val="clea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w:t>
      </w:r>
    </w:p>
    <w:p w14:paraId="65774CF4">
      <w:pPr>
        <w:shd w:val="clea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采购编号：</w:t>
      </w:r>
    </w:p>
    <w:tbl>
      <w:tblPr>
        <w:tblStyle w:val="29"/>
        <w:tblW w:w="86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440"/>
        <w:gridCol w:w="1980"/>
        <w:gridCol w:w="2520"/>
        <w:gridCol w:w="1953"/>
      </w:tblGrid>
      <w:tr w14:paraId="57ED7A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20" w:type="dxa"/>
            <w:vAlign w:val="center"/>
          </w:tcPr>
          <w:p w14:paraId="127DCD02">
            <w:pPr>
              <w:shd w:val="clear"/>
              <w:snapToGrid w:val="0"/>
              <w:spacing w:before="50" w:after="5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1440" w:type="dxa"/>
            <w:vAlign w:val="center"/>
          </w:tcPr>
          <w:p w14:paraId="301B1CA2">
            <w:pPr>
              <w:shd w:val="clear"/>
              <w:snapToGrid w:val="0"/>
              <w:spacing w:before="50" w:after="5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名称</w:t>
            </w:r>
          </w:p>
        </w:tc>
        <w:tc>
          <w:tcPr>
            <w:tcW w:w="1980" w:type="dxa"/>
            <w:vAlign w:val="center"/>
          </w:tcPr>
          <w:p w14:paraId="2848B8C1">
            <w:pPr>
              <w:shd w:val="clear"/>
              <w:snapToGrid w:val="0"/>
              <w:spacing w:before="50" w:after="5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磋商文件要求</w:t>
            </w:r>
          </w:p>
        </w:tc>
        <w:tc>
          <w:tcPr>
            <w:tcW w:w="2520" w:type="dxa"/>
            <w:vAlign w:val="center"/>
          </w:tcPr>
          <w:p w14:paraId="2B44C77C">
            <w:pPr>
              <w:shd w:val="clear"/>
              <w:snapToGrid w:val="0"/>
              <w:spacing w:before="50" w:after="5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响应文件响应</w:t>
            </w:r>
          </w:p>
        </w:tc>
        <w:tc>
          <w:tcPr>
            <w:tcW w:w="1953" w:type="dxa"/>
            <w:vAlign w:val="center"/>
          </w:tcPr>
          <w:p w14:paraId="281D27A9">
            <w:pPr>
              <w:shd w:val="clear"/>
              <w:snapToGrid w:val="0"/>
              <w:spacing w:before="50" w:after="5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偏离情况</w:t>
            </w:r>
          </w:p>
        </w:tc>
      </w:tr>
      <w:tr w14:paraId="3B779A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20" w:type="dxa"/>
            <w:vAlign w:val="center"/>
          </w:tcPr>
          <w:p w14:paraId="7A2890FE">
            <w:pPr>
              <w:shd w:val="clear"/>
              <w:snapToGrid w:val="0"/>
              <w:spacing w:before="50" w:after="50"/>
              <w:jc w:val="center"/>
              <w:rPr>
                <w:rFonts w:hint="eastAsia" w:ascii="宋体" w:hAnsi="宋体" w:eastAsia="宋体" w:cs="宋体"/>
                <w:color w:val="auto"/>
                <w:sz w:val="24"/>
                <w:szCs w:val="24"/>
                <w:highlight w:val="none"/>
              </w:rPr>
            </w:pPr>
          </w:p>
        </w:tc>
        <w:tc>
          <w:tcPr>
            <w:tcW w:w="1440" w:type="dxa"/>
            <w:vAlign w:val="center"/>
          </w:tcPr>
          <w:p w14:paraId="06420F30">
            <w:pPr>
              <w:shd w:val="clear"/>
              <w:snapToGrid w:val="0"/>
              <w:spacing w:before="50" w:after="50"/>
              <w:jc w:val="center"/>
              <w:rPr>
                <w:rFonts w:hint="eastAsia" w:ascii="宋体" w:hAnsi="宋体" w:eastAsia="宋体" w:cs="宋体"/>
                <w:color w:val="auto"/>
                <w:sz w:val="24"/>
                <w:szCs w:val="24"/>
                <w:highlight w:val="none"/>
              </w:rPr>
            </w:pPr>
          </w:p>
        </w:tc>
        <w:tc>
          <w:tcPr>
            <w:tcW w:w="1980" w:type="dxa"/>
            <w:vAlign w:val="center"/>
          </w:tcPr>
          <w:p w14:paraId="0F08B3C7">
            <w:pPr>
              <w:shd w:val="clear"/>
              <w:snapToGrid w:val="0"/>
              <w:spacing w:before="50" w:after="50"/>
              <w:jc w:val="center"/>
              <w:rPr>
                <w:rFonts w:hint="eastAsia" w:ascii="宋体" w:hAnsi="宋体" w:eastAsia="宋体" w:cs="宋体"/>
                <w:color w:val="auto"/>
                <w:sz w:val="24"/>
                <w:szCs w:val="24"/>
                <w:highlight w:val="none"/>
              </w:rPr>
            </w:pPr>
          </w:p>
        </w:tc>
        <w:tc>
          <w:tcPr>
            <w:tcW w:w="2520" w:type="dxa"/>
            <w:vAlign w:val="center"/>
          </w:tcPr>
          <w:p w14:paraId="7518BABB">
            <w:pPr>
              <w:shd w:val="clear"/>
              <w:snapToGrid w:val="0"/>
              <w:spacing w:before="50" w:after="50"/>
              <w:jc w:val="center"/>
              <w:rPr>
                <w:rFonts w:hint="eastAsia" w:ascii="宋体" w:hAnsi="宋体" w:eastAsia="宋体" w:cs="宋体"/>
                <w:color w:val="auto"/>
                <w:sz w:val="24"/>
                <w:szCs w:val="24"/>
                <w:highlight w:val="none"/>
              </w:rPr>
            </w:pPr>
          </w:p>
        </w:tc>
        <w:tc>
          <w:tcPr>
            <w:tcW w:w="1953" w:type="dxa"/>
            <w:vAlign w:val="center"/>
          </w:tcPr>
          <w:p w14:paraId="09D54037">
            <w:pPr>
              <w:shd w:val="clear"/>
              <w:snapToGrid w:val="0"/>
              <w:spacing w:before="50" w:after="50"/>
              <w:jc w:val="center"/>
              <w:rPr>
                <w:rFonts w:hint="eastAsia" w:ascii="宋体" w:hAnsi="宋体" w:eastAsia="宋体" w:cs="宋体"/>
                <w:color w:val="auto"/>
                <w:sz w:val="24"/>
                <w:szCs w:val="24"/>
                <w:highlight w:val="none"/>
              </w:rPr>
            </w:pPr>
          </w:p>
        </w:tc>
      </w:tr>
      <w:tr w14:paraId="4CA2E4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20" w:type="dxa"/>
            <w:vAlign w:val="center"/>
          </w:tcPr>
          <w:p w14:paraId="6034F85F">
            <w:pPr>
              <w:shd w:val="clear"/>
              <w:snapToGrid w:val="0"/>
              <w:spacing w:before="50" w:after="50"/>
              <w:jc w:val="center"/>
              <w:rPr>
                <w:rFonts w:hint="eastAsia" w:ascii="宋体" w:hAnsi="宋体" w:eastAsia="宋体" w:cs="宋体"/>
                <w:color w:val="auto"/>
                <w:sz w:val="24"/>
                <w:szCs w:val="24"/>
                <w:highlight w:val="none"/>
              </w:rPr>
            </w:pPr>
          </w:p>
        </w:tc>
        <w:tc>
          <w:tcPr>
            <w:tcW w:w="1440" w:type="dxa"/>
            <w:vAlign w:val="center"/>
          </w:tcPr>
          <w:p w14:paraId="27835C25">
            <w:pPr>
              <w:shd w:val="clear"/>
              <w:snapToGrid w:val="0"/>
              <w:spacing w:before="50" w:after="50"/>
              <w:jc w:val="center"/>
              <w:rPr>
                <w:rFonts w:hint="eastAsia" w:ascii="宋体" w:hAnsi="宋体" w:eastAsia="宋体" w:cs="宋体"/>
                <w:color w:val="auto"/>
                <w:sz w:val="24"/>
                <w:szCs w:val="24"/>
                <w:highlight w:val="none"/>
              </w:rPr>
            </w:pPr>
          </w:p>
        </w:tc>
        <w:tc>
          <w:tcPr>
            <w:tcW w:w="1980" w:type="dxa"/>
            <w:vAlign w:val="center"/>
          </w:tcPr>
          <w:p w14:paraId="57308339">
            <w:pPr>
              <w:shd w:val="clear"/>
              <w:snapToGrid w:val="0"/>
              <w:spacing w:before="50" w:after="50"/>
              <w:jc w:val="center"/>
              <w:rPr>
                <w:rFonts w:hint="eastAsia" w:ascii="宋体" w:hAnsi="宋体" w:eastAsia="宋体" w:cs="宋体"/>
                <w:color w:val="auto"/>
                <w:sz w:val="24"/>
                <w:szCs w:val="24"/>
                <w:highlight w:val="none"/>
              </w:rPr>
            </w:pPr>
          </w:p>
        </w:tc>
        <w:tc>
          <w:tcPr>
            <w:tcW w:w="2520" w:type="dxa"/>
            <w:vAlign w:val="center"/>
          </w:tcPr>
          <w:p w14:paraId="6F3A08A7">
            <w:pPr>
              <w:shd w:val="clear"/>
              <w:snapToGrid w:val="0"/>
              <w:spacing w:before="50" w:after="50"/>
              <w:jc w:val="center"/>
              <w:rPr>
                <w:rFonts w:hint="eastAsia" w:ascii="宋体" w:hAnsi="宋体" w:eastAsia="宋体" w:cs="宋体"/>
                <w:color w:val="auto"/>
                <w:sz w:val="24"/>
                <w:szCs w:val="24"/>
                <w:highlight w:val="none"/>
              </w:rPr>
            </w:pPr>
          </w:p>
        </w:tc>
        <w:tc>
          <w:tcPr>
            <w:tcW w:w="1953" w:type="dxa"/>
            <w:vAlign w:val="center"/>
          </w:tcPr>
          <w:p w14:paraId="3473AFC4">
            <w:pPr>
              <w:shd w:val="clear"/>
              <w:snapToGrid w:val="0"/>
              <w:spacing w:before="50" w:after="50"/>
              <w:jc w:val="center"/>
              <w:rPr>
                <w:rFonts w:hint="eastAsia" w:ascii="宋体" w:hAnsi="宋体" w:eastAsia="宋体" w:cs="宋体"/>
                <w:color w:val="auto"/>
                <w:sz w:val="24"/>
                <w:szCs w:val="24"/>
                <w:highlight w:val="none"/>
              </w:rPr>
            </w:pPr>
          </w:p>
        </w:tc>
      </w:tr>
      <w:tr w14:paraId="0EAE50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20" w:type="dxa"/>
            <w:vAlign w:val="center"/>
          </w:tcPr>
          <w:p w14:paraId="684A675F">
            <w:pPr>
              <w:shd w:val="clear"/>
              <w:snapToGrid w:val="0"/>
              <w:spacing w:before="50" w:after="50"/>
              <w:jc w:val="center"/>
              <w:rPr>
                <w:rFonts w:hint="eastAsia" w:ascii="宋体" w:hAnsi="宋体" w:eastAsia="宋体" w:cs="宋体"/>
                <w:color w:val="auto"/>
                <w:sz w:val="24"/>
                <w:szCs w:val="24"/>
                <w:highlight w:val="none"/>
              </w:rPr>
            </w:pPr>
          </w:p>
        </w:tc>
        <w:tc>
          <w:tcPr>
            <w:tcW w:w="1440" w:type="dxa"/>
            <w:vAlign w:val="center"/>
          </w:tcPr>
          <w:p w14:paraId="313F3827">
            <w:pPr>
              <w:shd w:val="clear"/>
              <w:snapToGrid w:val="0"/>
              <w:spacing w:before="50" w:after="50"/>
              <w:jc w:val="center"/>
              <w:rPr>
                <w:rFonts w:hint="eastAsia" w:ascii="宋体" w:hAnsi="宋体" w:eastAsia="宋体" w:cs="宋体"/>
                <w:color w:val="auto"/>
                <w:sz w:val="24"/>
                <w:szCs w:val="24"/>
                <w:highlight w:val="none"/>
              </w:rPr>
            </w:pPr>
          </w:p>
        </w:tc>
        <w:tc>
          <w:tcPr>
            <w:tcW w:w="1980" w:type="dxa"/>
            <w:vAlign w:val="center"/>
          </w:tcPr>
          <w:p w14:paraId="50DAC91A">
            <w:pPr>
              <w:shd w:val="clear"/>
              <w:snapToGrid w:val="0"/>
              <w:spacing w:before="50" w:after="50"/>
              <w:jc w:val="center"/>
              <w:rPr>
                <w:rFonts w:hint="eastAsia" w:ascii="宋体" w:hAnsi="宋体" w:eastAsia="宋体" w:cs="宋体"/>
                <w:color w:val="auto"/>
                <w:sz w:val="24"/>
                <w:szCs w:val="24"/>
                <w:highlight w:val="none"/>
              </w:rPr>
            </w:pPr>
          </w:p>
        </w:tc>
        <w:tc>
          <w:tcPr>
            <w:tcW w:w="2520" w:type="dxa"/>
            <w:vAlign w:val="center"/>
          </w:tcPr>
          <w:p w14:paraId="71D5ABD3">
            <w:pPr>
              <w:shd w:val="clear"/>
              <w:snapToGrid w:val="0"/>
              <w:spacing w:before="50" w:after="50"/>
              <w:jc w:val="center"/>
              <w:rPr>
                <w:rFonts w:hint="eastAsia" w:ascii="宋体" w:hAnsi="宋体" w:eastAsia="宋体" w:cs="宋体"/>
                <w:color w:val="auto"/>
                <w:sz w:val="24"/>
                <w:szCs w:val="24"/>
                <w:highlight w:val="none"/>
              </w:rPr>
            </w:pPr>
          </w:p>
        </w:tc>
        <w:tc>
          <w:tcPr>
            <w:tcW w:w="1953" w:type="dxa"/>
            <w:vAlign w:val="center"/>
          </w:tcPr>
          <w:p w14:paraId="3EFA902C">
            <w:pPr>
              <w:shd w:val="clear"/>
              <w:snapToGrid w:val="0"/>
              <w:spacing w:before="50" w:after="50"/>
              <w:jc w:val="center"/>
              <w:rPr>
                <w:rFonts w:hint="eastAsia" w:ascii="宋体" w:hAnsi="宋体" w:eastAsia="宋体" w:cs="宋体"/>
                <w:color w:val="auto"/>
                <w:sz w:val="24"/>
                <w:szCs w:val="24"/>
                <w:highlight w:val="none"/>
              </w:rPr>
            </w:pPr>
          </w:p>
        </w:tc>
      </w:tr>
      <w:tr w14:paraId="06EABD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20" w:type="dxa"/>
            <w:vAlign w:val="center"/>
          </w:tcPr>
          <w:p w14:paraId="2D27565B">
            <w:pPr>
              <w:shd w:val="clear"/>
              <w:snapToGrid w:val="0"/>
              <w:spacing w:before="50" w:after="50"/>
              <w:jc w:val="center"/>
              <w:rPr>
                <w:rFonts w:hint="eastAsia" w:ascii="宋体" w:hAnsi="宋体" w:eastAsia="宋体" w:cs="宋体"/>
                <w:color w:val="auto"/>
                <w:sz w:val="24"/>
                <w:szCs w:val="24"/>
                <w:highlight w:val="none"/>
              </w:rPr>
            </w:pPr>
          </w:p>
        </w:tc>
        <w:tc>
          <w:tcPr>
            <w:tcW w:w="1440" w:type="dxa"/>
            <w:vAlign w:val="center"/>
          </w:tcPr>
          <w:p w14:paraId="77460C38">
            <w:pPr>
              <w:shd w:val="clear"/>
              <w:snapToGrid w:val="0"/>
              <w:spacing w:before="50" w:after="50"/>
              <w:jc w:val="center"/>
              <w:rPr>
                <w:rFonts w:hint="eastAsia" w:ascii="宋体" w:hAnsi="宋体" w:eastAsia="宋体" w:cs="宋体"/>
                <w:color w:val="auto"/>
                <w:sz w:val="24"/>
                <w:szCs w:val="24"/>
                <w:highlight w:val="none"/>
              </w:rPr>
            </w:pPr>
          </w:p>
        </w:tc>
        <w:tc>
          <w:tcPr>
            <w:tcW w:w="1980" w:type="dxa"/>
            <w:vAlign w:val="center"/>
          </w:tcPr>
          <w:p w14:paraId="6F039E98">
            <w:pPr>
              <w:shd w:val="clear"/>
              <w:snapToGrid w:val="0"/>
              <w:spacing w:before="50" w:after="50"/>
              <w:jc w:val="center"/>
              <w:rPr>
                <w:rFonts w:hint="eastAsia" w:ascii="宋体" w:hAnsi="宋体" w:eastAsia="宋体" w:cs="宋体"/>
                <w:color w:val="auto"/>
                <w:sz w:val="24"/>
                <w:szCs w:val="24"/>
                <w:highlight w:val="none"/>
              </w:rPr>
            </w:pPr>
          </w:p>
        </w:tc>
        <w:tc>
          <w:tcPr>
            <w:tcW w:w="2520" w:type="dxa"/>
            <w:vAlign w:val="center"/>
          </w:tcPr>
          <w:p w14:paraId="5F01DCF1">
            <w:pPr>
              <w:shd w:val="clear"/>
              <w:snapToGrid w:val="0"/>
              <w:spacing w:before="50" w:after="50"/>
              <w:jc w:val="center"/>
              <w:rPr>
                <w:rFonts w:hint="eastAsia" w:ascii="宋体" w:hAnsi="宋体" w:eastAsia="宋体" w:cs="宋体"/>
                <w:color w:val="auto"/>
                <w:sz w:val="24"/>
                <w:szCs w:val="24"/>
                <w:highlight w:val="none"/>
              </w:rPr>
            </w:pPr>
          </w:p>
        </w:tc>
        <w:tc>
          <w:tcPr>
            <w:tcW w:w="1953" w:type="dxa"/>
            <w:vAlign w:val="center"/>
          </w:tcPr>
          <w:p w14:paraId="498BA133">
            <w:pPr>
              <w:shd w:val="clear"/>
              <w:snapToGrid w:val="0"/>
              <w:spacing w:before="50" w:after="50"/>
              <w:jc w:val="center"/>
              <w:rPr>
                <w:rFonts w:hint="eastAsia" w:ascii="宋体" w:hAnsi="宋体" w:eastAsia="宋体" w:cs="宋体"/>
                <w:color w:val="auto"/>
                <w:sz w:val="24"/>
                <w:szCs w:val="24"/>
                <w:highlight w:val="none"/>
              </w:rPr>
            </w:pPr>
          </w:p>
        </w:tc>
      </w:tr>
      <w:tr w14:paraId="6589BA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20" w:type="dxa"/>
            <w:vAlign w:val="center"/>
          </w:tcPr>
          <w:p w14:paraId="4FC72B33">
            <w:pPr>
              <w:shd w:val="clear"/>
              <w:snapToGrid w:val="0"/>
              <w:spacing w:before="50" w:after="50"/>
              <w:jc w:val="center"/>
              <w:rPr>
                <w:rFonts w:hint="eastAsia" w:ascii="宋体" w:hAnsi="宋体" w:eastAsia="宋体" w:cs="宋体"/>
                <w:color w:val="auto"/>
                <w:sz w:val="24"/>
                <w:szCs w:val="24"/>
                <w:highlight w:val="none"/>
              </w:rPr>
            </w:pPr>
          </w:p>
        </w:tc>
        <w:tc>
          <w:tcPr>
            <w:tcW w:w="1440" w:type="dxa"/>
            <w:vAlign w:val="center"/>
          </w:tcPr>
          <w:p w14:paraId="291683E2">
            <w:pPr>
              <w:shd w:val="clear"/>
              <w:snapToGrid w:val="0"/>
              <w:spacing w:before="50" w:after="50"/>
              <w:jc w:val="center"/>
              <w:rPr>
                <w:rFonts w:hint="eastAsia" w:ascii="宋体" w:hAnsi="宋体" w:eastAsia="宋体" w:cs="宋体"/>
                <w:color w:val="auto"/>
                <w:sz w:val="24"/>
                <w:szCs w:val="24"/>
                <w:highlight w:val="none"/>
              </w:rPr>
            </w:pPr>
          </w:p>
        </w:tc>
        <w:tc>
          <w:tcPr>
            <w:tcW w:w="1980" w:type="dxa"/>
            <w:vAlign w:val="center"/>
          </w:tcPr>
          <w:p w14:paraId="38FE93BD">
            <w:pPr>
              <w:shd w:val="clear"/>
              <w:snapToGrid w:val="0"/>
              <w:spacing w:before="50" w:after="50"/>
              <w:jc w:val="center"/>
              <w:rPr>
                <w:rFonts w:hint="eastAsia" w:ascii="宋体" w:hAnsi="宋体" w:eastAsia="宋体" w:cs="宋体"/>
                <w:color w:val="auto"/>
                <w:sz w:val="24"/>
                <w:szCs w:val="24"/>
                <w:highlight w:val="none"/>
              </w:rPr>
            </w:pPr>
          </w:p>
        </w:tc>
        <w:tc>
          <w:tcPr>
            <w:tcW w:w="2520" w:type="dxa"/>
            <w:vAlign w:val="center"/>
          </w:tcPr>
          <w:p w14:paraId="4F004C6F">
            <w:pPr>
              <w:shd w:val="clear"/>
              <w:snapToGrid w:val="0"/>
              <w:spacing w:before="50" w:after="50"/>
              <w:jc w:val="center"/>
              <w:rPr>
                <w:rFonts w:hint="eastAsia" w:ascii="宋体" w:hAnsi="宋体" w:eastAsia="宋体" w:cs="宋体"/>
                <w:color w:val="auto"/>
                <w:sz w:val="24"/>
                <w:szCs w:val="24"/>
                <w:highlight w:val="none"/>
              </w:rPr>
            </w:pPr>
          </w:p>
        </w:tc>
        <w:tc>
          <w:tcPr>
            <w:tcW w:w="1953" w:type="dxa"/>
            <w:vAlign w:val="center"/>
          </w:tcPr>
          <w:p w14:paraId="0AD07E52">
            <w:pPr>
              <w:shd w:val="clear"/>
              <w:snapToGrid w:val="0"/>
              <w:spacing w:before="50" w:after="50"/>
              <w:jc w:val="center"/>
              <w:rPr>
                <w:rFonts w:hint="eastAsia" w:ascii="宋体" w:hAnsi="宋体" w:eastAsia="宋体" w:cs="宋体"/>
                <w:color w:val="auto"/>
                <w:sz w:val="24"/>
                <w:szCs w:val="24"/>
                <w:highlight w:val="none"/>
              </w:rPr>
            </w:pPr>
          </w:p>
        </w:tc>
      </w:tr>
      <w:tr w14:paraId="5F1475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2160" w:type="dxa"/>
            <w:gridSpan w:val="2"/>
            <w:vAlign w:val="center"/>
          </w:tcPr>
          <w:p w14:paraId="071EC645">
            <w:pPr>
              <w:shd w:val="clear"/>
              <w:snapToGrid w:val="0"/>
              <w:spacing w:before="50" w:after="5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投标建议</w:t>
            </w:r>
          </w:p>
        </w:tc>
        <w:tc>
          <w:tcPr>
            <w:tcW w:w="6453" w:type="dxa"/>
            <w:gridSpan w:val="3"/>
            <w:vAlign w:val="center"/>
          </w:tcPr>
          <w:p w14:paraId="4DA8DC64">
            <w:pPr>
              <w:shd w:val="clear"/>
              <w:spacing w:line="360" w:lineRule="auto"/>
              <w:jc w:val="center"/>
              <w:rPr>
                <w:rFonts w:hint="eastAsia" w:ascii="宋体" w:hAnsi="宋体" w:eastAsia="宋体" w:cs="宋体"/>
                <w:color w:val="auto"/>
                <w:sz w:val="24"/>
                <w:szCs w:val="24"/>
                <w:highlight w:val="none"/>
              </w:rPr>
            </w:pPr>
          </w:p>
        </w:tc>
      </w:tr>
    </w:tbl>
    <w:p w14:paraId="77B3DC64">
      <w:pPr>
        <w:shd w:val="clear"/>
        <w:snapToGrid w:val="0"/>
        <w:spacing w:line="360" w:lineRule="auto"/>
        <w:rPr>
          <w:rFonts w:hint="eastAsia" w:ascii="宋体" w:hAnsi="宋体" w:eastAsia="宋体" w:cs="宋体"/>
          <w:color w:val="auto"/>
          <w:sz w:val="24"/>
          <w:szCs w:val="24"/>
          <w:highlight w:val="none"/>
        </w:rPr>
      </w:pPr>
    </w:p>
    <w:p w14:paraId="68C3B7AD">
      <w:pPr>
        <w:pStyle w:val="17"/>
        <w:shd w:val="clea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注：名称可基于项目清单根据供应商实际情况调整。</w:t>
      </w:r>
    </w:p>
    <w:p w14:paraId="127FD8DB">
      <w:pPr>
        <w:shd w:val="clear"/>
        <w:rPr>
          <w:rFonts w:hint="eastAsia" w:ascii="宋体" w:hAnsi="宋体" w:eastAsia="宋体" w:cs="宋体"/>
          <w:color w:val="auto"/>
          <w:sz w:val="24"/>
          <w:szCs w:val="24"/>
          <w:highlight w:val="none"/>
        </w:rPr>
      </w:pPr>
    </w:p>
    <w:p w14:paraId="7BC86551">
      <w:pPr>
        <w:pStyle w:val="4"/>
        <w:shd w:val="clear"/>
        <w:rPr>
          <w:rFonts w:hint="eastAsia" w:ascii="宋体" w:hAnsi="宋体" w:eastAsia="宋体" w:cs="宋体"/>
          <w:color w:val="auto"/>
          <w:highlight w:val="none"/>
        </w:rPr>
      </w:pPr>
    </w:p>
    <w:p w14:paraId="7020D367">
      <w:pPr>
        <w:shd w:val="clear"/>
        <w:snapToGrid w:val="0"/>
        <w:spacing w:line="360" w:lineRule="auto"/>
        <w:rPr>
          <w:rFonts w:hint="eastAsia" w:ascii="宋体" w:hAnsi="宋体" w:eastAsia="宋体" w:cs="宋体"/>
          <w:color w:val="auto"/>
          <w:sz w:val="24"/>
          <w:szCs w:val="24"/>
          <w:highlight w:val="none"/>
        </w:rPr>
      </w:pPr>
    </w:p>
    <w:p w14:paraId="77E33E22">
      <w:pPr>
        <w:shd w:val="clear"/>
        <w:spacing w:line="360" w:lineRule="auto"/>
        <w:ind w:left="3780" w:leftChars="180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法定代表人签名（或签名章）：                       </w:t>
      </w:r>
    </w:p>
    <w:p w14:paraId="51FC84C6">
      <w:pPr>
        <w:shd w:val="clear"/>
        <w:spacing w:line="360" w:lineRule="auto"/>
        <w:ind w:left="3780" w:leftChars="180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 期：</w:t>
      </w:r>
    </w:p>
    <w:p w14:paraId="0BF9CDCB">
      <w:pPr>
        <w:shd w:val="clear"/>
        <w:spacing w:line="360" w:lineRule="auto"/>
        <w:ind w:left="3780" w:leftChars="180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供应商全称（公章）：</w:t>
      </w:r>
    </w:p>
    <w:p w14:paraId="14DFBAFA">
      <w:pPr>
        <w:shd w:val="clea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p>
    <w:p w14:paraId="43CFF9FB">
      <w:pPr>
        <w:shd w:val="clea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附件</w:t>
      </w:r>
      <w:r>
        <w:rPr>
          <w:rFonts w:hint="eastAsia" w:ascii="宋体" w:hAnsi="宋体" w:cs="宋体"/>
          <w:b/>
          <w:bCs/>
          <w:color w:val="auto"/>
          <w:sz w:val="24"/>
          <w:szCs w:val="24"/>
          <w:highlight w:val="none"/>
          <w:lang w:val="en-US" w:eastAsia="zh-CN"/>
        </w:rPr>
        <w:t>十</w:t>
      </w:r>
      <w:r>
        <w:rPr>
          <w:rFonts w:hint="eastAsia" w:ascii="宋体" w:hAnsi="宋体" w:eastAsia="宋体" w:cs="宋体"/>
          <w:b/>
          <w:bCs/>
          <w:color w:val="auto"/>
          <w:sz w:val="24"/>
          <w:szCs w:val="24"/>
          <w:highlight w:val="none"/>
        </w:rPr>
        <w:t>：</w:t>
      </w:r>
    </w:p>
    <w:p w14:paraId="0CD3111E">
      <w:pPr>
        <w:shd w:val="clear"/>
        <w:spacing w:line="360" w:lineRule="auto"/>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商务响应表</w:t>
      </w:r>
    </w:p>
    <w:p w14:paraId="333EE9B6">
      <w:pPr>
        <w:shd w:val="clear"/>
        <w:snapToGrid w:val="0"/>
        <w:spacing w:before="50"/>
        <w:jc w:val="center"/>
        <w:rPr>
          <w:rFonts w:hint="eastAsia" w:ascii="宋体" w:hAnsi="宋体" w:eastAsia="宋体" w:cs="宋体"/>
          <w:b/>
          <w:bCs/>
          <w:color w:val="auto"/>
          <w:sz w:val="32"/>
          <w:szCs w:val="32"/>
          <w:highlight w:val="none"/>
        </w:rPr>
      </w:pPr>
    </w:p>
    <w:p w14:paraId="0B7BF605">
      <w:pPr>
        <w:shd w:val="clea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w:t>
      </w:r>
    </w:p>
    <w:p w14:paraId="2F477973">
      <w:pPr>
        <w:shd w:val="clea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采购编号：</w:t>
      </w:r>
    </w:p>
    <w:tbl>
      <w:tblPr>
        <w:tblStyle w:val="29"/>
        <w:tblW w:w="9434"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454"/>
        <w:gridCol w:w="2700"/>
        <w:gridCol w:w="1260"/>
        <w:gridCol w:w="3020"/>
      </w:tblGrid>
      <w:tr w14:paraId="15D19A7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454" w:type="dxa"/>
            <w:tcBorders>
              <w:top w:val="single" w:color="auto" w:sz="4" w:space="0"/>
              <w:bottom w:val="single" w:color="auto" w:sz="4" w:space="0"/>
              <w:right w:val="single" w:color="auto" w:sz="4" w:space="0"/>
            </w:tcBorders>
            <w:vAlign w:val="center"/>
          </w:tcPr>
          <w:p w14:paraId="382BC251">
            <w:pPr>
              <w:shd w:val="clear"/>
              <w:snapToGrid w:val="0"/>
              <w:spacing w:before="50" w:after="5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w:t>
            </w:r>
          </w:p>
        </w:tc>
        <w:tc>
          <w:tcPr>
            <w:tcW w:w="2700" w:type="dxa"/>
            <w:tcBorders>
              <w:top w:val="single" w:color="auto" w:sz="4" w:space="0"/>
              <w:left w:val="single" w:color="auto" w:sz="4" w:space="0"/>
              <w:bottom w:val="single" w:color="auto" w:sz="4" w:space="0"/>
              <w:right w:val="single" w:color="auto" w:sz="4" w:space="0"/>
            </w:tcBorders>
            <w:vAlign w:val="center"/>
          </w:tcPr>
          <w:p w14:paraId="3D5E6591">
            <w:pPr>
              <w:shd w:val="clear"/>
              <w:snapToGrid w:val="0"/>
              <w:spacing w:before="50" w:after="5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磋商文件要求</w:t>
            </w:r>
          </w:p>
        </w:tc>
        <w:tc>
          <w:tcPr>
            <w:tcW w:w="1260" w:type="dxa"/>
            <w:tcBorders>
              <w:top w:val="single" w:color="auto" w:sz="4" w:space="0"/>
              <w:left w:val="single" w:color="auto" w:sz="4" w:space="0"/>
              <w:bottom w:val="single" w:color="auto" w:sz="4" w:space="0"/>
              <w:right w:val="single" w:color="auto" w:sz="4" w:space="0"/>
            </w:tcBorders>
            <w:vAlign w:val="center"/>
          </w:tcPr>
          <w:p w14:paraId="53DE4D17">
            <w:pPr>
              <w:shd w:val="clear"/>
              <w:snapToGrid w:val="0"/>
              <w:spacing w:before="50" w:after="5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是否</w:t>
            </w:r>
          </w:p>
          <w:p w14:paraId="362BD09F">
            <w:pPr>
              <w:shd w:val="clear"/>
              <w:snapToGrid w:val="0"/>
              <w:spacing w:before="50" w:after="5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响应</w:t>
            </w:r>
          </w:p>
        </w:tc>
        <w:tc>
          <w:tcPr>
            <w:tcW w:w="3020" w:type="dxa"/>
            <w:tcBorders>
              <w:top w:val="single" w:color="auto" w:sz="4" w:space="0"/>
              <w:left w:val="single" w:color="auto" w:sz="4" w:space="0"/>
              <w:bottom w:val="single" w:color="auto" w:sz="4" w:space="0"/>
            </w:tcBorders>
            <w:vAlign w:val="center"/>
          </w:tcPr>
          <w:p w14:paraId="665D38C3">
            <w:pPr>
              <w:shd w:val="clear"/>
              <w:snapToGrid w:val="0"/>
              <w:spacing w:before="50" w:after="5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供应商的承诺或说明</w:t>
            </w:r>
          </w:p>
        </w:tc>
      </w:tr>
      <w:tr w14:paraId="492D8A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454" w:type="dxa"/>
            <w:tcBorders>
              <w:top w:val="single" w:color="auto" w:sz="4" w:space="0"/>
              <w:bottom w:val="single" w:color="auto" w:sz="4" w:space="0"/>
              <w:right w:val="single" w:color="auto" w:sz="4" w:space="0"/>
            </w:tcBorders>
            <w:vAlign w:val="center"/>
          </w:tcPr>
          <w:p w14:paraId="1C881E8E">
            <w:pPr>
              <w:shd w:val="clear"/>
              <w:snapToGrid w:val="0"/>
              <w:spacing w:before="50" w:after="5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服务时间及地点</w:t>
            </w:r>
          </w:p>
        </w:tc>
        <w:tc>
          <w:tcPr>
            <w:tcW w:w="2700" w:type="dxa"/>
            <w:tcBorders>
              <w:top w:val="single" w:color="auto" w:sz="4" w:space="0"/>
              <w:left w:val="single" w:color="auto" w:sz="4" w:space="0"/>
              <w:bottom w:val="single" w:color="auto" w:sz="4" w:space="0"/>
              <w:right w:val="single" w:color="auto" w:sz="4" w:space="0"/>
            </w:tcBorders>
            <w:vAlign w:val="center"/>
          </w:tcPr>
          <w:p w14:paraId="7CF44274">
            <w:pPr>
              <w:shd w:val="clear"/>
              <w:snapToGrid w:val="0"/>
              <w:spacing w:before="50" w:after="50"/>
              <w:jc w:val="center"/>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6744A112">
            <w:pPr>
              <w:shd w:val="clear"/>
              <w:snapToGrid w:val="0"/>
              <w:spacing w:before="50" w:after="50"/>
              <w:jc w:val="center"/>
              <w:rPr>
                <w:rFonts w:hint="eastAsia" w:ascii="宋体" w:hAnsi="宋体" w:eastAsia="宋体" w:cs="宋体"/>
                <w:color w:val="auto"/>
                <w:sz w:val="24"/>
                <w:szCs w:val="24"/>
                <w:highlight w:val="none"/>
              </w:rPr>
            </w:pPr>
          </w:p>
        </w:tc>
        <w:tc>
          <w:tcPr>
            <w:tcW w:w="3020" w:type="dxa"/>
            <w:tcBorders>
              <w:top w:val="single" w:color="auto" w:sz="4" w:space="0"/>
              <w:left w:val="single" w:color="auto" w:sz="4" w:space="0"/>
              <w:bottom w:val="single" w:color="auto" w:sz="4" w:space="0"/>
            </w:tcBorders>
            <w:vAlign w:val="center"/>
          </w:tcPr>
          <w:p w14:paraId="736FE721">
            <w:pPr>
              <w:shd w:val="clear"/>
              <w:snapToGrid w:val="0"/>
              <w:spacing w:before="50" w:after="50"/>
              <w:jc w:val="center"/>
              <w:rPr>
                <w:rFonts w:hint="eastAsia" w:ascii="宋体" w:hAnsi="宋体" w:eastAsia="宋体" w:cs="宋体"/>
                <w:color w:val="auto"/>
                <w:sz w:val="24"/>
                <w:szCs w:val="24"/>
                <w:highlight w:val="none"/>
              </w:rPr>
            </w:pPr>
          </w:p>
        </w:tc>
      </w:tr>
      <w:tr w14:paraId="2F27EA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454" w:type="dxa"/>
            <w:tcBorders>
              <w:top w:val="single" w:color="auto" w:sz="4" w:space="0"/>
              <w:bottom w:val="single" w:color="auto" w:sz="4" w:space="0"/>
              <w:right w:val="single" w:color="auto" w:sz="4" w:space="0"/>
            </w:tcBorders>
            <w:vAlign w:val="center"/>
          </w:tcPr>
          <w:p w14:paraId="32D568CE">
            <w:pPr>
              <w:shd w:val="clear"/>
              <w:snapToGrid w:val="0"/>
              <w:spacing w:before="50" w:after="5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付款条件</w:t>
            </w:r>
          </w:p>
        </w:tc>
        <w:tc>
          <w:tcPr>
            <w:tcW w:w="2700" w:type="dxa"/>
            <w:tcBorders>
              <w:top w:val="single" w:color="auto" w:sz="4" w:space="0"/>
              <w:left w:val="single" w:color="auto" w:sz="4" w:space="0"/>
              <w:bottom w:val="single" w:color="auto" w:sz="4" w:space="0"/>
              <w:right w:val="single" w:color="auto" w:sz="4" w:space="0"/>
            </w:tcBorders>
            <w:vAlign w:val="center"/>
          </w:tcPr>
          <w:p w14:paraId="29AF63C1">
            <w:pPr>
              <w:shd w:val="clear"/>
              <w:snapToGrid w:val="0"/>
              <w:spacing w:before="50" w:after="50"/>
              <w:jc w:val="center"/>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779E6547">
            <w:pPr>
              <w:shd w:val="clear"/>
              <w:snapToGrid w:val="0"/>
              <w:spacing w:before="50" w:after="50"/>
              <w:jc w:val="center"/>
              <w:rPr>
                <w:rFonts w:hint="eastAsia" w:ascii="宋体" w:hAnsi="宋体" w:eastAsia="宋体" w:cs="宋体"/>
                <w:color w:val="auto"/>
                <w:sz w:val="24"/>
                <w:szCs w:val="24"/>
                <w:highlight w:val="none"/>
              </w:rPr>
            </w:pPr>
          </w:p>
        </w:tc>
        <w:tc>
          <w:tcPr>
            <w:tcW w:w="3020" w:type="dxa"/>
            <w:tcBorders>
              <w:top w:val="single" w:color="auto" w:sz="4" w:space="0"/>
              <w:left w:val="single" w:color="auto" w:sz="4" w:space="0"/>
              <w:bottom w:val="single" w:color="auto" w:sz="4" w:space="0"/>
            </w:tcBorders>
            <w:vAlign w:val="center"/>
          </w:tcPr>
          <w:p w14:paraId="2353551B">
            <w:pPr>
              <w:shd w:val="clear"/>
              <w:snapToGrid w:val="0"/>
              <w:spacing w:before="50" w:after="50"/>
              <w:jc w:val="center"/>
              <w:rPr>
                <w:rFonts w:hint="eastAsia" w:ascii="宋体" w:hAnsi="宋体" w:eastAsia="宋体" w:cs="宋体"/>
                <w:color w:val="auto"/>
                <w:sz w:val="24"/>
                <w:szCs w:val="24"/>
                <w:highlight w:val="none"/>
              </w:rPr>
            </w:pPr>
          </w:p>
        </w:tc>
      </w:tr>
      <w:tr w14:paraId="164A915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454" w:type="dxa"/>
            <w:tcBorders>
              <w:top w:val="single" w:color="auto" w:sz="4" w:space="0"/>
              <w:bottom w:val="single" w:color="auto" w:sz="4" w:space="0"/>
              <w:right w:val="single" w:color="auto" w:sz="4" w:space="0"/>
            </w:tcBorders>
            <w:vAlign w:val="center"/>
          </w:tcPr>
          <w:p w14:paraId="0629E543">
            <w:pPr>
              <w:shd w:val="clear"/>
              <w:snapToGrid w:val="0"/>
              <w:spacing w:before="50" w:after="5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违约责任及争议解决方式</w:t>
            </w:r>
          </w:p>
        </w:tc>
        <w:tc>
          <w:tcPr>
            <w:tcW w:w="2700" w:type="dxa"/>
            <w:tcBorders>
              <w:top w:val="single" w:color="auto" w:sz="4" w:space="0"/>
              <w:left w:val="single" w:color="auto" w:sz="4" w:space="0"/>
              <w:bottom w:val="single" w:color="auto" w:sz="4" w:space="0"/>
              <w:right w:val="single" w:color="auto" w:sz="4" w:space="0"/>
            </w:tcBorders>
            <w:vAlign w:val="center"/>
          </w:tcPr>
          <w:p w14:paraId="2F701153">
            <w:pPr>
              <w:shd w:val="clear"/>
              <w:snapToGrid w:val="0"/>
              <w:spacing w:before="50" w:after="50"/>
              <w:jc w:val="center"/>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3793819A">
            <w:pPr>
              <w:shd w:val="clear"/>
              <w:snapToGrid w:val="0"/>
              <w:spacing w:before="50" w:after="50"/>
              <w:jc w:val="center"/>
              <w:rPr>
                <w:rFonts w:hint="eastAsia" w:ascii="宋体" w:hAnsi="宋体" w:eastAsia="宋体" w:cs="宋体"/>
                <w:color w:val="auto"/>
                <w:sz w:val="24"/>
                <w:szCs w:val="24"/>
                <w:highlight w:val="none"/>
              </w:rPr>
            </w:pPr>
          </w:p>
        </w:tc>
        <w:tc>
          <w:tcPr>
            <w:tcW w:w="3020" w:type="dxa"/>
            <w:tcBorders>
              <w:top w:val="single" w:color="auto" w:sz="4" w:space="0"/>
              <w:left w:val="single" w:color="auto" w:sz="4" w:space="0"/>
              <w:bottom w:val="single" w:color="auto" w:sz="4" w:space="0"/>
            </w:tcBorders>
            <w:vAlign w:val="center"/>
          </w:tcPr>
          <w:p w14:paraId="2D4DFDC7">
            <w:pPr>
              <w:shd w:val="clear"/>
              <w:snapToGrid w:val="0"/>
              <w:spacing w:before="50" w:after="50"/>
              <w:jc w:val="center"/>
              <w:rPr>
                <w:rFonts w:hint="eastAsia" w:ascii="宋体" w:hAnsi="宋体" w:eastAsia="宋体" w:cs="宋体"/>
                <w:color w:val="auto"/>
                <w:sz w:val="24"/>
                <w:szCs w:val="24"/>
                <w:highlight w:val="none"/>
              </w:rPr>
            </w:pPr>
          </w:p>
        </w:tc>
      </w:tr>
      <w:tr w14:paraId="130B0AB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454" w:type="dxa"/>
            <w:tcBorders>
              <w:top w:val="single" w:color="auto" w:sz="4" w:space="0"/>
              <w:bottom w:val="single" w:color="auto" w:sz="4" w:space="0"/>
              <w:right w:val="single" w:color="auto" w:sz="4" w:space="0"/>
            </w:tcBorders>
            <w:vAlign w:val="center"/>
          </w:tcPr>
          <w:p w14:paraId="3886B5D4">
            <w:pPr>
              <w:shd w:val="clear"/>
              <w:snapToGrid w:val="0"/>
              <w:spacing w:before="50" w:after="50"/>
              <w:jc w:val="center"/>
              <w:rPr>
                <w:rFonts w:hint="eastAsia" w:ascii="宋体" w:hAnsi="宋体" w:eastAsia="宋体" w:cs="宋体"/>
                <w:color w:val="auto"/>
                <w:sz w:val="24"/>
                <w:szCs w:val="24"/>
                <w:highlight w:val="none"/>
              </w:rPr>
            </w:pPr>
          </w:p>
        </w:tc>
        <w:tc>
          <w:tcPr>
            <w:tcW w:w="2700" w:type="dxa"/>
            <w:tcBorders>
              <w:top w:val="single" w:color="auto" w:sz="4" w:space="0"/>
              <w:left w:val="single" w:color="auto" w:sz="4" w:space="0"/>
              <w:bottom w:val="single" w:color="auto" w:sz="4" w:space="0"/>
              <w:right w:val="single" w:color="auto" w:sz="4" w:space="0"/>
            </w:tcBorders>
            <w:vAlign w:val="center"/>
          </w:tcPr>
          <w:p w14:paraId="0E351C20">
            <w:pPr>
              <w:shd w:val="clear"/>
              <w:snapToGrid w:val="0"/>
              <w:spacing w:before="50" w:after="50"/>
              <w:jc w:val="center"/>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6FE371DD">
            <w:pPr>
              <w:shd w:val="clear"/>
              <w:snapToGrid w:val="0"/>
              <w:spacing w:before="50" w:after="50"/>
              <w:jc w:val="center"/>
              <w:rPr>
                <w:rFonts w:hint="eastAsia" w:ascii="宋体" w:hAnsi="宋体" w:eastAsia="宋体" w:cs="宋体"/>
                <w:color w:val="auto"/>
                <w:sz w:val="24"/>
                <w:szCs w:val="24"/>
                <w:highlight w:val="none"/>
              </w:rPr>
            </w:pPr>
          </w:p>
        </w:tc>
        <w:tc>
          <w:tcPr>
            <w:tcW w:w="3020" w:type="dxa"/>
            <w:tcBorders>
              <w:top w:val="single" w:color="auto" w:sz="4" w:space="0"/>
              <w:left w:val="single" w:color="auto" w:sz="4" w:space="0"/>
              <w:bottom w:val="single" w:color="auto" w:sz="4" w:space="0"/>
            </w:tcBorders>
            <w:vAlign w:val="center"/>
          </w:tcPr>
          <w:p w14:paraId="5BFC321E">
            <w:pPr>
              <w:shd w:val="clear"/>
              <w:snapToGrid w:val="0"/>
              <w:spacing w:before="50" w:after="50"/>
              <w:jc w:val="center"/>
              <w:rPr>
                <w:rFonts w:hint="eastAsia" w:ascii="宋体" w:hAnsi="宋体" w:eastAsia="宋体" w:cs="宋体"/>
                <w:color w:val="auto"/>
                <w:sz w:val="24"/>
                <w:szCs w:val="24"/>
                <w:highlight w:val="none"/>
              </w:rPr>
            </w:pPr>
          </w:p>
        </w:tc>
      </w:tr>
      <w:tr w14:paraId="3591AAB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454" w:type="dxa"/>
            <w:tcBorders>
              <w:top w:val="single" w:color="auto" w:sz="4" w:space="0"/>
              <w:bottom w:val="single" w:color="auto" w:sz="4" w:space="0"/>
              <w:right w:val="single" w:color="auto" w:sz="4" w:space="0"/>
            </w:tcBorders>
            <w:vAlign w:val="center"/>
          </w:tcPr>
          <w:p w14:paraId="3AA1790D">
            <w:pPr>
              <w:shd w:val="clear"/>
              <w:snapToGrid w:val="0"/>
              <w:spacing w:before="50" w:after="50"/>
              <w:jc w:val="center"/>
              <w:rPr>
                <w:rFonts w:hint="eastAsia" w:ascii="宋体" w:hAnsi="宋体" w:eastAsia="宋体" w:cs="宋体"/>
                <w:color w:val="auto"/>
                <w:sz w:val="24"/>
                <w:szCs w:val="24"/>
                <w:highlight w:val="none"/>
              </w:rPr>
            </w:pPr>
          </w:p>
        </w:tc>
        <w:tc>
          <w:tcPr>
            <w:tcW w:w="2700" w:type="dxa"/>
            <w:tcBorders>
              <w:top w:val="single" w:color="auto" w:sz="4" w:space="0"/>
              <w:left w:val="single" w:color="auto" w:sz="4" w:space="0"/>
              <w:bottom w:val="single" w:color="auto" w:sz="4" w:space="0"/>
              <w:right w:val="single" w:color="auto" w:sz="4" w:space="0"/>
            </w:tcBorders>
            <w:vAlign w:val="center"/>
          </w:tcPr>
          <w:p w14:paraId="3DDEC3F0">
            <w:pPr>
              <w:shd w:val="clear"/>
              <w:snapToGrid w:val="0"/>
              <w:spacing w:before="50" w:after="50"/>
              <w:jc w:val="center"/>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32316C56">
            <w:pPr>
              <w:shd w:val="clear"/>
              <w:snapToGrid w:val="0"/>
              <w:spacing w:before="50" w:after="50"/>
              <w:jc w:val="center"/>
              <w:rPr>
                <w:rFonts w:hint="eastAsia" w:ascii="宋体" w:hAnsi="宋体" w:eastAsia="宋体" w:cs="宋体"/>
                <w:color w:val="auto"/>
                <w:sz w:val="24"/>
                <w:szCs w:val="24"/>
                <w:highlight w:val="none"/>
              </w:rPr>
            </w:pPr>
          </w:p>
        </w:tc>
        <w:tc>
          <w:tcPr>
            <w:tcW w:w="3020" w:type="dxa"/>
            <w:tcBorders>
              <w:top w:val="single" w:color="auto" w:sz="4" w:space="0"/>
              <w:left w:val="single" w:color="auto" w:sz="4" w:space="0"/>
              <w:bottom w:val="single" w:color="auto" w:sz="4" w:space="0"/>
            </w:tcBorders>
            <w:vAlign w:val="center"/>
          </w:tcPr>
          <w:p w14:paraId="2C864C15">
            <w:pPr>
              <w:shd w:val="clear"/>
              <w:snapToGrid w:val="0"/>
              <w:spacing w:before="50" w:after="50"/>
              <w:jc w:val="center"/>
              <w:rPr>
                <w:rFonts w:hint="eastAsia" w:ascii="宋体" w:hAnsi="宋体" w:eastAsia="宋体" w:cs="宋体"/>
                <w:color w:val="auto"/>
                <w:sz w:val="24"/>
                <w:szCs w:val="24"/>
                <w:highlight w:val="none"/>
              </w:rPr>
            </w:pPr>
          </w:p>
        </w:tc>
      </w:tr>
      <w:tr w14:paraId="4483FA5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454" w:type="dxa"/>
            <w:tcBorders>
              <w:top w:val="single" w:color="auto" w:sz="4" w:space="0"/>
              <w:bottom w:val="single" w:color="auto" w:sz="4" w:space="0"/>
              <w:right w:val="single" w:color="auto" w:sz="4" w:space="0"/>
            </w:tcBorders>
            <w:vAlign w:val="center"/>
          </w:tcPr>
          <w:p w14:paraId="7BB4A87C">
            <w:pPr>
              <w:shd w:val="clear"/>
              <w:snapToGrid w:val="0"/>
              <w:spacing w:before="50" w:after="50"/>
              <w:jc w:val="center"/>
              <w:rPr>
                <w:rFonts w:hint="eastAsia" w:ascii="宋体" w:hAnsi="宋体" w:eastAsia="宋体" w:cs="宋体"/>
                <w:color w:val="auto"/>
                <w:sz w:val="24"/>
                <w:szCs w:val="24"/>
                <w:highlight w:val="none"/>
              </w:rPr>
            </w:pPr>
          </w:p>
        </w:tc>
        <w:tc>
          <w:tcPr>
            <w:tcW w:w="2700" w:type="dxa"/>
            <w:tcBorders>
              <w:top w:val="single" w:color="auto" w:sz="4" w:space="0"/>
              <w:left w:val="single" w:color="auto" w:sz="4" w:space="0"/>
              <w:bottom w:val="single" w:color="auto" w:sz="4" w:space="0"/>
              <w:right w:val="single" w:color="auto" w:sz="4" w:space="0"/>
            </w:tcBorders>
            <w:vAlign w:val="center"/>
          </w:tcPr>
          <w:p w14:paraId="7D019BF8">
            <w:pPr>
              <w:shd w:val="clear"/>
              <w:snapToGrid w:val="0"/>
              <w:spacing w:before="50" w:after="50"/>
              <w:jc w:val="center"/>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745C7F2D">
            <w:pPr>
              <w:shd w:val="clear"/>
              <w:snapToGrid w:val="0"/>
              <w:spacing w:before="50" w:after="50"/>
              <w:jc w:val="center"/>
              <w:rPr>
                <w:rFonts w:hint="eastAsia" w:ascii="宋体" w:hAnsi="宋体" w:eastAsia="宋体" w:cs="宋体"/>
                <w:color w:val="auto"/>
                <w:sz w:val="24"/>
                <w:szCs w:val="24"/>
                <w:highlight w:val="none"/>
              </w:rPr>
            </w:pPr>
          </w:p>
        </w:tc>
        <w:tc>
          <w:tcPr>
            <w:tcW w:w="3020" w:type="dxa"/>
            <w:tcBorders>
              <w:top w:val="single" w:color="auto" w:sz="4" w:space="0"/>
              <w:left w:val="single" w:color="auto" w:sz="4" w:space="0"/>
              <w:bottom w:val="single" w:color="auto" w:sz="4" w:space="0"/>
            </w:tcBorders>
            <w:vAlign w:val="center"/>
          </w:tcPr>
          <w:p w14:paraId="0CC3ED23">
            <w:pPr>
              <w:shd w:val="clear"/>
              <w:snapToGrid w:val="0"/>
              <w:spacing w:before="50" w:after="50"/>
              <w:jc w:val="center"/>
              <w:rPr>
                <w:rFonts w:hint="eastAsia" w:ascii="宋体" w:hAnsi="宋体" w:eastAsia="宋体" w:cs="宋体"/>
                <w:color w:val="auto"/>
                <w:sz w:val="24"/>
                <w:szCs w:val="24"/>
                <w:highlight w:val="none"/>
              </w:rPr>
            </w:pPr>
          </w:p>
        </w:tc>
      </w:tr>
      <w:tr w14:paraId="76D9C02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454" w:type="dxa"/>
            <w:tcBorders>
              <w:top w:val="single" w:color="auto" w:sz="4" w:space="0"/>
              <w:bottom w:val="single" w:color="auto" w:sz="4" w:space="0"/>
              <w:right w:val="single" w:color="auto" w:sz="4" w:space="0"/>
            </w:tcBorders>
            <w:vAlign w:val="center"/>
          </w:tcPr>
          <w:p w14:paraId="21E9C990">
            <w:pPr>
              <w:shd w:val="clear"/>
              <w:snapToGrid w:val="0"/>
              <w:spacing w:before="50" w:after="50"/>
              <w:jc w:val="center"/>
              <w:rPr>
                <w:rFonts w:hint="eastAsia" w:ascii="宋体" w:hAnsi="宋体" w:eastAsia="宋体" w:cs="宋体"/>
                <w:color w:val="auto"/>
                <w:sz w:val="24"/>
                <w:szCs w:val="24"/>
                <w:highlight w:val="none"/>
              </w:rPr>
            </w:pPr>
          </w:p>
        </w:tc>
        <w:tc>
          <w:tcPr>
            <w:tcW w:w="2700" w:type="dxa"/>
            <w:tcBorders>
              <w:top w:val="single" w:color="auto" w:sz="4" w:space="0"/>
              <w:left w:val="single" w:color="auto" w:sz="4" w:space="0"/>
              <w:bottom w:val="single" w:color="auto" w:sz="4" w:space="0"/>
              <w:right w:val="single" w:color="auto" w:sz="4" w:space="0"/>
            </w:tcBorders>
            <w:vAlign w:val="center"/>
          </w:tcPr>
          <w:p w14:paraId="4B17DD87">
            <w:pPr>
              <w:shd w:val="clear"/>
              <w:snapToGrid w:val="0"/>
              <w:spacing w:before="50" w:after="50"/>
              <w:jc w:val="center"/>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65AC384A">
            <w:pPr>
              <w:shd w:val="clear"/>
              <w:snapToGrid w:val="0"/>
              <w:spacing w:before="50" w:after="50"/>
              <w:jc w:val="center"/>
              <w:rPr>
                <w:rFonts w:hint="eastAsia" w:ascii="宋体" w:hAnsi="宋体" w:eastAsia="宋体" w:cs="宋体"/>
                <w:color w:val="auto"/>
                <w:sz w:val="24"/>
                <w:szCs w:val="24"/>
                <w:highlight w:val="none"/>
              </w:rPr>
            </w:pPr>
          </w:p>
        </w:tc>
        <w:tc>
          <w:tcPr>
            <w:tcW w:w="3020" w:type="dxa"/>
            <w:tcBorders>
              <w:top w:val="single" w:color="auto" w:sz="4" w:space="0"/>
              <w:left w:val="single" w:color="auto" w:sz="4" w:space="0"/>
              <w:bottom w:val="single" w:color="auto" w:sz="4" w:space="0"/>
            </w:tcBorders>
            <w:vAlign w:val="center"/>
          </w:tcPr>
          <w:p w14:paraId="0E4D6CB7">
            <w:pPr>
              <w:shd w:val="clear"/>
              <w:snapToGrid w:val="0"/>
              <w:spacing w:before="50" w:after="50"/>
              <w:jc w:val="center"/>
              <w:rPr>
                <w:rFonts w:hint="eastAsia" w:ascii="宋体" w:hAnsi="宋体" w:eastAsia="宋体" w:cs="宋体"/>
                <w:color w:val="auto"/>
                <w:sz w:val="24"/>
                <w:szCs w:val="24"/>
                <w:highlight w:val="none"/>
              </w:rPr>
            </w:pPr>
          </w:p>
        </w:tc>
      </w:tr>
      <w:tr w14:paraId="6BFB901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2" w:hRule="atLeast"/>
          <w:jc w:val="center"/>
        </w:trPr>
        <w:tc>
          <w:tcPr>
            <w:tcW w:w="2454" w:type="dxa"/>
            <w:tcBorders>
              <w:top w:val="single" w:color="auto" w:sz="4" w:space="0"/>
              <w:bottom w:val="single" w:color="auto" w:sz="4" w:space="0"/>
              <w:right w:val="single" w:color="auto" w:sz="4" w:space="0"/>
            </w:tcBorders>
            <w:vAlign w:val="center"/>
          </w:tcPr>
          <w:p w14:paraId="6473D393">
            <w:pPr>
              <w:shd w:val="clear"/>
              <w:snapToGrid w:val="0"/>
              <w:spacing w:before="50" w:after="50"/>
              <w:jc w:val="center"/>
              <w:rPr>
                <w:rFonts w:hint="eastAsia" w:ascii="宋体" w:hAnsi="宋体" w:eastAsia="宋体" w:cs="宋体"/>
                <w:color w:val="auto"/>
                <w:sz w:val="24"/>
                <w:szCs w:val="24"/>
                <w:highlight w:val="none"/>
              </w:rPr>
            </w:pPr>
          </w:p>
        </w:tc>
        <w:tc>
          <w:tcPr>
            <w:tcW w:w="2700" w:type="dxa"/>
            <w:tcBorders>
              <w:top w:val="single" w:color="auto" w:sz="4" w:space="0"/>
              <w:left w:val="single" w:color="auto" w:sz="4" w:space="0"/>
              <w:bottom w:val="single" w:color="auto" w:sz="4" w:space="0"/>
              <w:right w:val="single" w:color="auto" w:sz="4" w:space="0"/>
            </w:tcBorders>
            <w:vAlign w:val="center"/>
          </w:tcPr>
          <w:p w14:paraId="50E267DE">
            <w:pPr>
              <w:shd w:val="clear"/>
              <w:snapToGrid w:val="0"/>
              <w:spacing w:before="50" w:after="50"/>
              <w:jc w:val="center"/>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61087BE3">
            <w:pPr>
              <w:shd w:val="clear"/>
              <w:snapToGrid w:val="0"/>
              <w:spacing w:before="50" w:after="50"/>
              <w:jc w:val="center"/>
              <w:rPr>
                <w:rFonts w:hint="eastAsia" w:ascii="宋体" w:hAnsi="宋体" w:eastAsia="宋体" w:cs="宋体"/>
                <w:color w:val="auto"/>
                <w:sz w:val="24"/>
                <w:szCs w:val="24"/>
                <w:highlight w:val="none"/>
              </w:rPr>
            </w:pPr>
          </w:p>
        </w:tc>
        <w:tc>
          <w:tcPr>
            <w:tcW w:w="3020" w:type="dxa"/>
            <w:tcBorders>
              <w:top w:val="single" w:color="auto" w:sz="4" w:space="0"/>
              <w:left w:val="single" w:color="auto" w:sz="4" w:space="0"/>
              <w:bottom w:val="single" w:color="auto" w:sz="4" w:space="0"/>
            </w:tcBorders>
            <w:vAlign w:val="center"/>
          </w:tcPr>
          <w:p w14:paraId="53C82ED1">
            <w:pPr>
              <w:shd w:val="clear"/>
              <w:snapToGrid w:val="0"/>
              <w:spacing w:before="50" w:after="50"/>
              <w:jc w:val="center"/>
              <w:rPr>
                <w:rFonts w:hint="eastAsia" w:ascii="宋体" w:hAnsi="宋体" w:eastAsia="宋体" w:cs="宋体"/>
                <w:color w:val="auto"/>
                <w:sz w:val="24"/>
                <w:szCs w:val="24"/>
                <w:highlight w:val="none"/>
              </w:rPr>
            </w:pPr>
          </w:p>
        </w:tc>
      </w:tr>
      <w:tr w14:paraId="79F949D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454" w:type="dxa"/>
            <w:tcBorders>
              <w:top w:val="single" w:color="auto" w:sz="4" w:space="0"/>
              <w:bottom w:val="single" w:color="auto" w:sz="4" w:space="0"/>
              <w:right w:val="single" w:color="auto" w:sz="4" w:space="0"/>
            </w:tcBorders>
            <w:vAlign w:val="center"/>
          </w:tcPr>
          <w:p w14:paraId="3732EBC5">
            <w:pPr>
              <w:shd w:val="clear"/>
              <w:snapToGrid w:val="0"/>
              <w:spacing w:before="50" w:after="50"/>
              <w:jc w:val="center"/>
              <w:rPr>
                <w:rFonts w:hint="eastAsia" w:ascii="宋体" w:hAnsi="宋体" w:eastAsia="宋体" w:cs="宋体"/>
                <w:color w:val="auto"/>
                <w:sz w:val="24"/>
                <w:szCs w:val="24"/>
                <w:highlight w:val="none"/>
              </w:rPr>
            </w:pPr>
          </w:p>
        </w:tc>
        <w:tc>
          <w:tcPr>
            <w:tcW w:w="2700" w:type="dxa"/>
            <w:tcBorders>
              <w:top w:val="single" w:color="auto" w:sz="4" w:space="0"/>
              <w:left w:val="single" w:color="auto" w:sz="4" w:space="0"/>
              <w:bottom w:val="single" w:color="auto" w:sz="4" w:space="0"/>
              <w:right w:val="single" w:color="auto" w:sz="4" w:space="0"/>
            </w:tcBorders>
            <w:vAlign w:val="center"/>
          </w:tcPr>
          <w:p w14:paraId="19E8D07F">
            <w:pPr>
              <w:shd w:val="clear"/>
              <w:snapToGrid w:val="0"/>
              <w:spacing w:before="50" w:after="50"/>
              <w:jc w:val="center"/>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7A93FB63">
            <w:pPr>
              <w:shd w:val="clear"/>
              <w:snapToGrid w:val="0"/>
              <w:spacing w:before="50" w:after="50"/>
              <w:jc w:val="center"/>
              <w:rPr>
                <w:rFonts w:hint="eastAsia" w:ascii="宋体" w:hAnsi="宋体" w:eastAsia="宋体" w:cs="宋体"/>
                <w:color w:val="auto"/>
                <w:sz w:val="24"/>
                <w:szCs w:val="24"/>
                <w:highlight w:val="none"/>
              </w:rPr>
            </w:pPr>
          </w:p>
        </w:tc>
        <w:tc>
          <w:tcPr>
            <w:tcW w:w="3020" w:type="dxa"/>
            <w:tcBorders>
              <w:top w:val="single" w:color="auto" w:sz="4" w:space="0"/>
              <w:left w:val="single" w:color="auto" w:sz="4" w:space="0"/>
              <w:bottom w:val="single" w:color="auto" w:sz="4" w:space="0"/>
            </w:tcBorders>
            <w:vAlign w:val="center"/>
          </w:tcPr>
          <w:p w14:paraId="572109C8">
            <w:pPr>
              <w:shd w:val="clear"/>
              <w:snapToGrid w:val="0"/>
              <w:spacing w:before="50" w:after="50"/>
              <w:jc w:val="center"/>
              <w:rPr>
                <w:rFonts w:hint="eastAsia" w:ascii="宋体" w:hAnsi="宋体" w:eastAsia="宋体" w:cs="宋体"/>
                <w:color w:val="auto"/>
                <w:sz w:val="24"/>
                <w:szCs w:val="24"/>
                <w:highlight w:val="none"/>
              </w:rPr>
            </w:pPr>
          </w:p>
        </w:tc>
      </w:tr>
      <w:tr w14:paraId="114F26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454" w:type="dxa"/>
            <w:tcBorders>
              <w:top w:val="single" w:color="auto" w:sz="4" w:space="0"/>
              <w:bottom w:val="single" w:color="auto" w:sz="4" w:space="0"/>
              <w:right w:val="single" w:color="auto" w:sz="4" w:space="0"/>
            </w:tcBorders>
            <w:vAlign w:val="center"/>
          </w:tcPr>
          <w:p w14:paraId="6A416871">
            <w:pPr>
              <w:shd w:val="clear"/>
              <w:snapToGrid w:val="0"/>
              <w:spacing w:before="50" w:after="50"/>
              <w:jc w:val="center"/>
              <w:rPr>
                <w:rFonts w:hint="eastAsia" w:ascii="宋体" w:hAnsi="宋体" w:eastAsia="宋体" w:cs="宋体"/>
                <w:color w:val="auto"/>
                <w:sz w:val="24"/>
                <w:szCs w:val="24"/>
                <w:highlight w:val="none"/>
              </w:rPr>
            </w:pPr>
          </w:p>
        </w:tc>
        <w:tc>
          <w:tcPr>
            <w:tcW w:w="2700" w:type="dxa"/>
            <w:tcBorders>
              <w:top w:val="single" w:color="auto" w:sz="4" w:space="0"/>
              <w:left w:val="single" w:color="auto" w:sz="4" w:space="0"/>
              <w:bottom w:val="single" w:color="auto" w:sz="4" w:space="0"/>
              <w:right w:val="single" w:color="auto" w:sz="4" w:space="0"/>
            </w:tcBorders>
            <w:vAlign w:val="center"/>
          </w:tcPr>
          <w:p w14:paraId="05BC8FF1">
            <w:pPr>
              <w:shd w:val="clear"/>
              <w:snapToGrid w:val="0"/>
              <w:spacing w:before="50" w:after="50"/>
              <w:jc w:val="center"/>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577CEB6B">
            <w:pPr>
              <w:shd w:val="clear"/>
              <w:snapToGrid w:val="0"/>
              <w:spacing w:before="50" w:after="50"/>
              <w:jc w:val="center"/>
              <w:rPr>
                <w:rFonts w:hint="eastAsia" w:ascii="宋体" w:hAnsi="宋体" w:eastAsia="宋体" w:cs="宋体"/>
                <w:color w:val="auto"/>
                <w:sz w:val="24"/>
                <w:szCs w:val="24"/>
                <w:highlight w:val="none"/>
              </w:rPr>
            </w:pPr>
          </w:p>
        </w:tc>
        <w:tc>
          <w:tcPr>
            <w:tcW w:w="3020" w:type="dxa"/>
            <w:tcBorders>
              <w:top w:val="single" w:color="auto" w:sz="4" w:space="0"/>
              <w:left w:val="single" w:color="auto" w:sz="4" w:space="0"/>
              <w:bottom w:val="single" w:color="auto" w:sz="4" w:space="0"/>
            </w:tcBorders>
            <w:vAlign w:val="center"/>
          </w:tcPr>
          <w:p w14:paraId="3B368C2E">
            <w:pPr>
              <w:shd w:val="clear"/>
              <w:snapToGrid w:val="0"/>
              <w:spacing w:before="50" w:after="50"/>
              <w:jc w:val="center"/>
              <w:rPr>
                <w:rFonts w:hint="eastAsia" w:ascii="宋体" w:hAnsi="宋体" w:eastAsia="宋体" w:cs="宋体"/>
                <w:color w:val="auto"/>
                <w:sz w:val="24"/>
                <w:szCs w:val="24"/>
                <w:highlight w:val="none"/>
              </w:rPr>
            </w:pPr>
          </w:p>
        </w:tc>
      </w:tr>
      <w:tr w14:paraId="3FA726B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454" w:type="dxa"/>
            <w:tcBorders>
              <w:top w:val="single" w:color="auto" w:sz="4" w:space="0"/>
              <w:bottom w:val="single" w:color="auto" w:sz="4" w:space="0"/>
              <w:right w:val="single" w:color="auto" w:sz="4" w:space="0"/>
            </w:tcBorders>
            <w:vAlign w:val="center"/>
          </w:tcPr>
          <w:p w14:paraId="01FF4ACE">
            <w:pPr>
              <w:shd w:val="clear"/>
              <w:snapToGrid w:val="0"/>
              <w:spacing w:before="50" w:after="5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2700" w:type="dxa"/>
            <w:tcBorders>
              <w:top w:val="single" w:color="auto" w:sz="4" w:space="0"/>
              <w:left w:val="single" w:color="auto" w:sz="4" w:space="0"/>
              <w:bottom w:val="single" w:color="auto" w:sz="4" w:space="0"/>
              <w:right w:val="single" w:color="auto" w:sz="4" w:space="0"/>
            </w:tcBorders>
            <w:vAlign w:val="center"/>
          </w:tcPr>
          <w:p w14:paraId="709BA141">
            <w:pPr>
              <w:shd w:val="clear"/>
              <w:snapToGrid w:val="0"/>
              <w:spacing w:before="50" w:after="50"/>
              <w:jc w:val="center"/>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0E9C3E4F">
            <w:pPr>
              <w:shd w:val="clear"/>
              <w:snapToGrid w:val="0"/>
              <w:spacing w:before="50" w:after="50"/>
              <w:jc w:val="center"/>
              <w:rPr>
                <w:rFonts w:hint="eastAsia" w:ascii="宋体" w:hAnsi="宋体" w:eastAsia="宋体" w:cs="宋体"/>
                <w:color w:val="auto"/>
                <w:sz w:val="24"/>
                <w:szCs w:val="24"/>
                <w:highlight w:val="none"/>
              </w:rPr>
            </w:pPr>
          </w:p>
        </w:tc>
        <w:tc>
          <w:tcPr>
            <w:tcW w:w="3020" w:type="dxa"/>
            <w:tcBorders>
              <w:top w:val="single" w:color="auto" w:sz="4" w:space="0"/>
              <w:left w:val="single" w:color="auto" w:sz="4" w:space="0"/>
              <w:bottom w:val="single" w:color="auto" w:sz="4" w:space="0"/>
            </w:tcBorders>
            <w:vAlign w:val="center"/>
          </w:tcPr>
          <w:p w14:paraId="6F713F89">
            <w:pPr>
              <w:shd w:val="clear"/>
              <w:snapToGrid w:val="0"/>
              <w:spacing w:before="50" w:after="50"/>
              <w:jc w:val="center"/>
              <w:rPr>
                <w:rFonts w:hint="eastAsia" w:ascii="宋体" w:hAnsi="宋体" w:eastAsia="宋体" w:cs="宋体"/>
                <w:color w:val="auto"/>
                <w:sz w:val="24"/>
                <w:szCs w:val="24"/>
                <w:highlight w:val="none"/>
              </w:rPr>
            </w:pPr>
          </w:p>
        </w:tc>
      </w:tr>
    </w:tbl>
    <w:p w14:paraId="7694D28A">
      <w:pPr>
        <w:shd w:val="clear"/>
        <w:spacing w:line="360" w:lineRule="auto"/>
        <w:ind w:left="3780" w:leftChars="1800" w:firstLine="480" w:firstLineChars="200"/>
        <w:rPr>
          <w:rFonts w:hint="eastAsia" w:ascii="宋体" w:hAnsi="宋体" w:eastAsia="宋体" w:cs="宋体"/>
          <w:color w:val="auto"/>
          <w:sz w:val="24"/>
          <w:szCs w:val="24"/>
          <w:highlight w:val="none"/>
        </w:rPr>
      </w:pPr>
    </w:p>
    <w:p w14:paraId="7CC1DEEA">
      <w:pPr>
        <w:shd w:val="clear"/>
        <w:spacing w:line="360" w:lineRule="auto"/>
        <w:ind w:left="3780" w:leftChars="1800" w:firstLine="480" w:firstLineChars="200"/>
        <w:rPr>
          <w:rFonts w:hint="eastAsia" w:ascii="宋体" w:hAnsi="宋体" w:eastAsia="宋体" w:cs="宋体"/>
          <w:color w:val="auto"/>
          <w:sz w:val="24"/>
          <w:szCs w:val="24"/>
          <w:highlight w:val="none"/>
        </w:rPr>
      </w:pPr>
    </w:p>
    <w:p w14:paraId="1E90AFC7">
      <w:pPr>
        <w:shd w:val="clear"/>
        <w:spacing w:line="360" w:lineRule="auto"/>
        <w:ind w:left="3780" w:leftChars="1800" w:firstLine="480" w:firstLineChars="200"/>
        <w:rPr>
          <w:rFonts w:hint="eastAsia" w:ascii="宋体" w:hAnsi="宋体" w:eastAsia="宋体" w:cs="宋体"/>
          <w:color w:val="auto"/>
          <w:sz w:val="24"/>
          <w:szCs w:val="24"/>
          <w:highlight w:val="none"/>
        </w:rPr>
      </w:pPr>
    </w:p>
    <w:p w14:paraId="2998F6A8">
      <w:pPr>
        <w:shd w:val="clear"/>
        <w:spacing w:line="360" w:lineRule="auto"/>
        <w:ind w:left="3780" w:leftChars="180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法定代表人签名（或签名章）：                       </w:t>
      </w:r>
    </w:p>
    <w:p w14:paraId="5F43D840">
      <w:pPr>
        <w:shd w:val="clear"/>
        <w:spacing w:line="360" w:lineRule="auto"/>
        <w:ind w:left="3780" w:leftChars="180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 期：</w:t>
      </w:r>
    </w:p>
    <w:p w14:paraId="33D6E3DB">
      <w:pPr>
        <w:shd w:val="clear"/>
        <w:spacing w:line="360" w:lineRule="auto"/>
        <w:ind w:left="3780" w:leftChars="180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供应商全称（公章）：</w:t>
      </w:r>
    </w:p>
    <w:p w14:paraId="6D8066DD">
      <w:pPr>
        <w:shd w:val="clear"/>
        <w:snapToGrid w:val="0"/>
        <w:spacing w:before="50" w:after="50"/>
        <w:rPr>
          <w:rFonts w:hint="eastAsia" w:ascii="宋体" w:hAnsi="宋体" w:eastAsia="宋体" w:cs="宋体"/>
          <w:b/>
          <w:bCs/>
          <w:color w:val="auto"/>
          <w:sz w:val="24"/>
          <w:szCs w:val="24"/>
          <w:highlight w:val="none"/>
          <w:lang w:val="zh-CN"/>
        </w:rPr>
      </w:pPr>
      <w:r>
        <w:rPr>
          <w:rFonts w:hint="eastAsia" w:ascii="宋体" w:hAnsi="宋体" w:eastAsia="宋体" w:cs="宋体"/>
          <w:color w:val="auto"/>
          <w:sz w:val="24"/>
          <w:szCs w:val="24"/>
          <w:highlight w:val="none"/>
        </w:rPr>
        <w:br w:type="page"/>
      </w:r>
      <w:r>
        <w:rPr>
          <w:rFonts w:hint="eastAsia" w:ascii="宋体" w:hAnsi="宋体" w:eastAsia="宋体" w:cs="宋体"/>
          <w:b/>
          <w:bCs/>
          <w:color w:val="auto"/>
          <w:sz w:val="24"/>
          <w:szCs w:val="24"/>
          <w:highlight w:val="none"/>
          <w:lang w:val="zh-CN"/>
        </w:rPr>
        <w:t>附件</w:t>
      </w:r>
      <w:r>
        <w:rPr>
          <w:rFonts w:hint="eastAsia" w:ascii="宋体" w:hAnsi="宋体" w:cs="宋体"/>
          <w:b/>
          <w:bCs/>
          <w:color w:val="auto"/>
          <w:sz w:val="24"/>
          <w:szCs w:val="24"/>
          <w:highlight w:val="none"/>
          <w:lang w:val="zh-CN"/>
        </w:rPr>
        <w:t>十一</w:t>
      </w:r>
      <w:r>
        <w:rPr>
          <w:rFonts w:hint="eastAsia" w:ascii="宋体" w:hAnsi="宋体" w:eastAsia="宋体" w:cs="宋体"/>
          <w:b/>
          <w:bCs/>
          <w:color w:val="auto"/>
          <w:sz w:val="24"/>
          <w:szCs w:val="24"/>
          <w:highlight w:val="none"/>
          <w:lang w:val="zh-CN"/>
        </w:rPr>
        <w:t>：</w:t>
      </w:r>
    </w:p>
    <w:p w14:paraId="33BD4E78">
      <w:pPr>
        <w:shd w:val="clear"/>
        <w:spacing w:line="360" w:lineRule="auto"/>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项目组人员清单</w:t>
      </w:r>
    </w:p>
    <w:p w14:paraId="763E0734">
      <w:pPr>
        <w:shd w:val="clear"/>
        <w:snapToGrid w:val="0"/>
        <w:spacing w:before="156" w:beforeLines="50" w:after="50"/>
        <w:jc w:val="center"/>
        <w:rPr>
          <w:rFonts w:hint="eastAsia" w:ascii="宋体" w:hAnsi="宋体" w:eastAsia="宋体" w:cs="宋体"/>
          <w:b/>
          <w:bCs/>
          <w:color w:val="auto"/>
          <w:sz w:val="30"/>
          <w:szCs w:val="30"/>
          <w:highlight w:val="none"/>
        </w:rPr>
      </w:pPr>
    </w:p>
    <w:p w14:paraId="6579169A">
      <w:pPr>
        <w:shd w:val="clea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w:t>
      </w:r>
    </w:p>
    <w:p w14:paraId="31C6F38C">
      <w:pPr>
        <w:shd w:val="clea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采购编号：</w:t>
      </w:r>
    </w:p>
    <w:tbl>
      <w:tblPr>
        <w:tblStyle w:val="29"/>
        <w:tblW w:w="853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04"/>
        <w:gridCol w:w="1004"/>
        <w:gridCol w:w="1663"/>
        <w:gridCol w:w="1260"/>
        <w:gridCol w:w="1800"/>
        <w:gridCol w:w="1800"/>
      </w:tblGrid>
      <w:tr w14:paraId="6CCF7DC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04" w:type="dxa"/>
            <w:tcBorders>
              <w:top w:val="single" w:color="auto" w:sz="4" w:space="0"/>
              <w:bottom w:val="single" w:color="auto" w:sz="4" w:space="0"/>
              <w:right w:val="single" w:color="auto" w:sz="4" w:space="0"/>
            </w:tcBorders>
            <w:vAlign w:val="center"/>
          </w:tcPr>
          <w:p w14:paraId="10811723">
            <w:pPr>
              <w:shd w:val="clear"/>
              <w:snapToGrid w:val="0"/>
              <w:spacing w:before="50" w:after="5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姓名</w:t>
            </w:r>
          </w:p>
        </w:tc>
        <w:tc>
          <w:tcPr>
            <w:tcW w:w="1004" w:type="dxa"/>
            <w:tcBorders>
              <w:top w:val="single" w:color="auto" w:sz="4" w:space="0"/>
              <w:left w:val="single" w:color="auto" w:sz="4" w:space="0"/>
              <w:bottom w:val="single" w:color="auto" w:sz="4" w:space="0"/>
              <w:right w:val="single" w:color="auto" w:sz="4" w:space="0"/>
            </w:tcBorders>
            <w:vAlign w:val="center"/>
          </w:tcPr>
          <w:p w14:paraId="6B39633B">
            <w:pPr>
              <w:shd w:val="clear"/>
              <w:snapToGrid w:val="0"/>
              <w:spacing w:before="50" w:after="5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职务</w:t>
            </w:r>
          </w:p>
        </w:tc>
        <w:tc>
          <w:tcPr>
            <w:tcW w:w="1663" w:type="dxa"/>
            <w:tcBorders>
              <w:top w:val="single" w:color="auto" w:sz="4" w:space="0"/>
              <w:left w:val="single" w:color="auto" w:sz="4" w:space="0"/>
              <w:bottom w:val="single" w:color="auto" w:sz="4" w:space="0"/>
              <w:right w:val="single" w:color="auto" w:sz="4" w:space="0"/>
            </w:tcBorders>
            <w:vAlign w:val="center"/>
          </w:tcPr>
          <w:p w14:paraId="6471ABE3">
            <w:pPr>
              <w:shd w:val="clear"/>
              <w:snapToGrid w:val="0"/>
              <w:spacing w:before="50" w:after="5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专业技术资格</w:t>
            </w:r>
          </w:p>
        </w:tc>
        <w:tc>
          <w:tcPr>
            <w:tcW w:w="1260" w:type="dxa"/>
            <w:tcBorders>
              <w:top w:val="single" w:color="auto" w:sz="4" w:space="0"/>
              <w:left w:val="single" w:color="auto" w:sz="4" w:space="0"/>
              <w:bottom w:val="single" w:color="auto" w:sz="4" w:space="0"/>
              <w:right w:val="single" w:color="auto" w:sz="4" w:space="0"/>
            </w:tcBorders>
            <w:vAlign w:val="center"/>
          </w:tcPr>
          <w:p w14:paraId="12C133F2">
            <w:pPr>
              <w:shd w:val="clear"/>
              <w:snapToGrid w:val="0"/>
              <w:spacing w:before="50" w:after="5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证书编号</w:t>
            </w:r>
          </w:p>
        </w:tc>
        <w:tc>
          <w:tcPr>
            <w:tcW w:w="1800" w:type="dxa"/>
            <w:tcBorders>
              <w:top w:val="single" w:color="auto" w:sz="4" w:space="0"/>
              <w:left w:val="single" w:color="auto" w:sz="4" w:space="0"/>
              <w:bottom w:val="single" w:color="auto" w:sz="4" w:space="0"/>
              <w:right w:val="single" w:color="auto" w:sz="4" w:space="0"/>
            </w:tcBorders>
            <w:vAlign w:val="center"/>
          </w:tcPr>
          <w:p w14:paraId="3BF88828">
            <w:pPr>
              <w:shd w:val="clear"/>
              <w:snapToGrid w:val="0"/>
              <w:spacing w:before="50" w:after="5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参加本单位工作时间</w:t>
            </w:r>
          </w:p>
        </w:tc>
        <w:tc>
          <w:tcPr>
            <w:tcW w:w="1800" w:type="dxa"/>
            <w:tcBorders>
              <w:top w:val="single" w:color="auto" w:sz="4" w:space="0"/>
              <w:left w:val="single" w:color="auto" w:sz="4" w:space="0"/>
              <w:bottom w:val="single" w:color="auto" w:sz="4" w:space="0"/>
            </w:tcBorders>
            <w:vAlign w:val="center"/>
          </w:tcPr>
          <w:p w14:paraId="03C74F9E">
            <w:pPr>
              <w:shd w:val="clear"/>
              <w:snapToGrid w:val="0"/>
              <w:spacing w:before="50" w:after="5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劳动合同编号</w:t>
            </w:r>
          </w:p>
        </w:tc>
      </w:tr>
      <w:tr w14:paraId="256B6BC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04" w:type="dxa"/>
            <w:tcBorders>
              <w:top w:val="single" w:color="auto" w:sz="4" w:space="0"/>
              <w:bottom w:val="single" w:color="auto" w:sz="4" w:space="0"/>
              <w:right w:val="single" w:color="auto" w:sz="4" w:space="0"/>
            </w:tcBorders>
          </w:tcPr>
          <w:p w14:paraId="6ADCE694">
            <w:pPr>
              <w:shd w:val="clear"/>
              <w:snapToGrid w:val="0"/>
              <w:spacing w:before="156" w:beforeLines="50" w:after="50" w:line="460" w:lineRule="exact"/>
              <w:rPr>
                <w:rFonts w:hint="eastAsia" w:ascii="宋体" w:hAnsi="宋体" w:eastAsia="宋体" w:cs="宋体"/>
                <w:color w:val="auto"/>
                <w:sz w:val="24"/>
                <w:szCs w:val="24"/>
                <w:highlight w:val="none"/>
              </w:rPr>
            </w:pPr>
          </w:p>
        </w:tc>
        <w:tc>
          <w:tcPr>
            <w:tcW w:w="1004" w:type="dxa"/>
            <w:tcBorders>
              <w:top w:val="single" w:color="auto" w:sz="4" w:space="0"/>
              <w:left w:val="single" w:color="auto" w:sz="4" w:space="0"/>
              <w:bottom w:val="single" w:color="auto" w:sz="4" w:space="0"/>
              <w:right w:val="single" w:color="auto" w:sz="4" w:space="0"/>
            </w:tcBorders>
          </w:tcPr>
          <w:p w14:paraId="3ADC89D3">
            <w:pPr>
              <w:shd w:val="clear"/>
              <w:snapToGrid w:val="0"/>
              <w:spacing w:before="156" w:beforeLines="50" w:after="50" w:line="460" w:lineRule="exact"/>
              <w:rPr>
                <w:rFonts w:hint="eastAsia" w:ascii="宋体" w:hAnsi="宋体" w:eastAsia="宋体" w:cs="宋体"/>
                <w:color w:val="auto"/>
                <w:sz w:val="24"/>
                <w:szCs w:val="24"/>
                <w:highlight w:val="none"/>
              </w:rPr>
            </w:pPr>
          </w:p>
        </w:tc>
        <w:tc>
          <w:tcPr>
            <w:tcW w:w="1663" w:type="dxa"/>
            <w:tcBorders>
              <w:top w:val="single" w:color="auto" w:sz="4" w:space="0"/>
              <w:left w:val="single" w:color="auto" w:sz="4" w:space="0"/>
              <w:bottom w:val="single" w:color="auto" w:sz="4" w:space="0"/>
              <w:right w:val="single" w:color="auto" w:sz="4" w:space="0"/>
            </w:tcBorders>
          </w:tcPr>
          <w:p w14:paraId="382BE3EE">
            <w:pPr>
              <w:shd w:val="clear"/>
              <w:snapToGrid w:val="0"/>
              <w:spacing w:before="156" w:beforeLines="50" w:after="50" w:line="460" w:lineRule="exact"/>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tcPr>
          <w:p w14:paraId="1F68BE8A">
            <w:pPr>
              <w:shd w:val="clear"/>
              <w:snapToGrid w:val="0"/>
              <w:spacing w:before="156" w:beforeLines="50" w:after="50" w:line="460" w:lineRule="exact"/>
              <w:rPr>
                <w:rFonts w:hint="eastAsia" w:ascii="宋体" w:hAnsi="宋体" w:eastAsia="宋体" w:cs="宋体"/>
                <w:color w:val="auto"/>
                <w:sz w:val="24"/>
                <w:szCs w:val="24"/>
                <w:highlight w:val="none"/>
              </w:rPr>
            </w:pPr>
          </w:p>
        </w:tc>
        <w:tc>
          <w:tcPr>
            <w:tcW w:w="1800" w:type="dxa"/>
            <w:tcBorders>
              <w:top w:val="single" w:color="auto" w:sz="4" w:space="0"/>
              <w:left w:val="single" w:color="auto" w:sz="4" w:space="0"/>
              <w:bottom w:val="single" w:color="auto" w:sz="4" w:space="0"/>
              <w:right w:val="single" w:color="auto" w:sz="4" w:space="0"/>
            </w:tcBorders>
          </w:tcPr>
          <w:p w14:paraId="510D96BB">
            <w:pPr>
              <w:shd w:val="clear"/>
              <w:snapToGrid w:val="0"/>
              <w:spacing w:before="156" w:beforeLines="50" w:after="50" w:line="460" w:lineRule="exact"/>
              <w:rPr>
                <w:rFonts w:hint="eastAsia" w:ascii="宋体" w:hAnsi="宋体" w:eastAsia="宋体" w:cs="宋体"/>
                <w:color w:val="auto"/>
                <w:sz w:val="24"/>
                <w:szCs w:val="24"/>
                <w:highlight w:val="none"/>
              </w:rPr>
            </w:pPr>
          </w:p>
        </w:tc>
        <w:tc>
          <w:tcPr>
            <w:tcW w:w="1800" w:type="dxa"/>
            <w:tcBorders>
              <w:top w:val="single" w:color="auto" w:sz="4" w:space="0"/>
              <w:left w:val="single" w:color="auto" w:sz="4" w:space="0"/>
              <w:bottom w:val="single" w:color="auto" w:sz="4" w:space="0"/>
            </w:tcBorders>
          </w:tcPr>
          <w:p w14:paraId="5DDD4180">
            <w:pPr>
              <w:shd w:val="clear"/>
              <w:snapToGrid w:val="0"/>
              <w:spacing w:before="156" w:beforeLines="50" w:after="50" w:line="460" w:lineRule="exact"/>
              <w:rPr>
                <w:rFonts w:hint="eastAsia" w:ascii="宋体" w:hAnsi="宋体" w:eastAsia="宋体" w:cs="宋体"/>
                <w:color w:val="auto"/>
                <w:sz w:val="24"/>
                <w:szCs w:val="24"/>
                <w:highlight w:val="none"/>
              </w:rPr>
            </w:pPr>
          </w:p>
        </w:tc>
      </w:tr>
      <w:tr w14:paraId="7E7F39D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04" w:type="dxa"/>
            <w:tcBorders>
              <w:top w:val="single" w:color="auto" w:sz="4" w:space="0"/>
              <w:bottom w:val="single" w:color="auto" w:sz="4" w:space="0"/>
              <w:right w:val="single" w:color="auto" w:sz="4" w:space="0"/>
            </w:tcBorders>
          </w:tcPr>
          <w:p w14:paraId="37AC886E">
            <w:pPr>
              <w:shd w:val="clear"/>
              <w:snapToGrid w:val="0"/>
              <w:spacing w:before="156" w:beforeLines="50" w:after="50" w:line="460" w:lineRule="exact"/>
              <w:rPr>
                <w:rFonts w:hint="eastAsia" w:ascii="宋体" w:hAnsi="宋体" w:eastAsia="宋体" w:cs="宋体"/>
                <w:color w:val="auto"/>
                <w:sz w:val="24"/>
                <w:szCs w:val="24"/>
                <w:highlight w:val="none"/>
              </w:rPr>
            </w:pPr>
          </w:p>
        </w:tc>
        <w:tc>
          <w:tcPr>
            <w:tcW w:w="1004" w:type="dxa"/>
            <w:tcBorders>
              <w:top w:val="single" w:color="auto" w:sz="4" w:space="0"/>
              <w:left w:val="single" w:color="auto" w:sz="4" w:space="0"/>
              <w:bottom w:val="single" w:color="auto" w:sz="4" w:space="0"/>
              <w:right w:val="single" w:color="auto" w:sz="4" w:space="0"/>
            </w:tcBorders>
          </w:tcPr>
          <w:p w14:paraId="67E0D19C">
            <w:pPr>
              <w:shd w:val="clear"/>
              <w:snapToGrid w:val="0"/>
              <w:spacing w:before="156" w:beforeLines="50" w:after="50" w:line="460" w:lineRule="exact"/>
              <w:rPr>
                <w:rFonts w:hint="eastAsia" w:ascii="宋体" w:hAnsi="宋体" w:eastAsia="宋体" w:cs="宋体"/>
                <w:color w:val="auto"/>
                <w:sz w:val="24"/>
                <w:szCs w:val="24"/>
                <w:highlight w:val="none"/>
              </w:rPr>
            </w:pPr>
          </w:p>
        </w:tc>
        <w:tc>
          <w:tcPr>
            <w:tcW w:w="1663" w:type="dxa"/>
            <w:tcBorders>
              <w:top w:val="single" w:color="auto" w:sz="4" w:space="0"/>
              <w:left w:val="single" w:color="auto" w:sz="4" w:space="0"/>
              <w:bottom w:val="single" w:color="auto" w:sz="4" w:space="0"/>
              <w:right w:val="single" w:color="auto" w:sz="4" w:space="0"/>
            </w:tcBorders>
          </w:tcPr>
          <w:p w14:paraId="4E32172F">
            <w:pPr>
              <w:shd w:val="clear"/>
              <w:snapToGrid w:val="0"/>
              <w:spacing w:before="156" w:beforeLines="50" w:after="50" w:line="460" w:lineRule="exact"/>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tcPr>
          <w:p w14:paraId="49F6F3E1">
            <w:pPr>
              <w:shd w:val="clear"/>
              <w:snapToGrid w:val="0"/>
              <w:spacing w:before="156" w:beforeLines="50" w:after="50" w:line="460" w:lineRule="exact"/>
              <w:rPr>
                <w:rFonts w:hint="eastAsia" w:ascii="宋体" w:hAnsi="宋体" w:eastAsia="宋体" w:cs="宋体"/>
                <w:color w:val="auto"/>
                <w:sz w:val="24"/>
                <w:szCs w:val="24"/>
                <w:highlight w:val="none"/>
              </w:rPr>
            </w:pPr>
          </w:p>
        </w:tc>
        <w:tc>
          <w:tcPr>
            <w:tcW w:w="1800" w:type="dxa"/>
            <w:tcBorders>
              <w:top w:val="single" w:color="auto" w:sz="4" w:space="0"/>
              <w:left w:val="single" w:color="auto" w:sz="4" w:space="0"/>
              <w:bottom w:val="single" w:color="auto" w:sz="4" w:space="0"/>
              <w:right w:val="single" w:color="auto" w:sz="4" w:space="0"/>
            </w:tcBorders>
          </w:tcPr>
          <w:p w14:paraId="4846062B">
            <w:pPr>
              <w:shd w:val="clear"/>
              <w:snapToGrid w:val="0"/>
              <w:spacing w:before="156" w:beforeLines="50" w:after="50" w:line="460" w:lineRule="exact"/>
              <w:rPr>
                <w:rFonts w:hint="eastAsia" w:ascii="宋体" w:hAnsi="宋体" w:eastAsia="宋体" w:cs="宋体"/>
                <w:color w:val="auto"/>
                <w:sz w:val="24"/>
                <w:szCs w:val="24"/>
                <w:highlight w:val="none"/>
              </w:rPr>
            </w:pPr>
          </w:p>
        </w:tc>
        <w:tc>
          <w:tcPr>
            <w:tcW w:w="1800" w:type="dxa"/>
            <w:tcBorders>
              <w:top w:val="single" w:color="auto" w:sz="4" w:space="0"/>
              <w:left w:val="single" w:color="auto" w:sz="4" w:space="0"/>
              <w:bottom w:val="single" w:color="auto" w:sz="4" w:space="0"/>
            </w:tcBorders>
          </w:tcPr>
          <w:p w14:paraId="72C4C0C5">
            <w:pPr>
              <w:shd w:val="clear"/>
              <w:snapToGrid w:val="0"/>
              <w:spacing w:before="156" w:beforeLines="50" w:after="50" w:line="460" w:lineRule="exact"/>
              <w:rPr>
                <w:rFonts w:hint="eastAsia" w:ascii="宋体" w:hAnsi="宋体" w:eastAsia="宋体" w:cs="宋体"/>
                <w:color w:val="auto"/>
                <w:sz w:val="24"/>
                <w:szCs w:val="24"/>
                <w:highlight w:val="none"/>
              </w:rPr>
            </w:pPr>
          </w:p>
        </w:tc>
      </w:tr>
      <w:tr w14:paraId="53A7C3E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04" w:type="dxa"/>
            <w:tcBorders>
              <w:top w:val="single" w:color="auto" w:sz="4" w:space="0"/>
              <w:bottom w:val="single" w:color="auto" w:sz="4" w:space="0"/>
              <w:right w:val="single" w:color="auto" w:sz="4" w:space="0"/>
            </w:tcBorders>
          </w:tcPr>
          <w:p w14:paraId="0B7FAAB5">
            <w:pPr>
              <w:shd w:val="clear"/>
              <w:snapToGrid w:val="0"/>
              <w:spacing w:before="156" w:beforeLines="50" w:after="50" w:line="460" w:lineRule="exact"/>
              <w:rPr>
                <w:rFonts w:hint="eastAsia" w:ascii="宋体" w:hAnsi="宋体" w:eastAsia="宋体" w:cs="宋体"/>
                <w:color w:val="auto"/>
                <w:sz w:val="24"/>
                <w:szCs w:val="24"/>
                <w:highlight w:val="none"/>
              </w:rPr>
            </w:pPr>
          </w:p>
        </w:tc>
        <w:tc>
          <w:tcPr>
            <w:tcW w:w="1004" w:type="dxa"/>
            <w:tcBorders>
              <w:top w:val="single" w:color="auto" w:sz="4" w:space="0"/>
              <w:left w:val="single" w:color="auto" w:sz="4" w:space="0"/>
              <w:bottom w:val="single" w:color="auto" w:sz="4" w:space="0"/>
              <w:right w:val="single" w:color="auto" w:sz="4" w:space="0"/>
            </w:tcBorders>
          </w:tcPr>
          <w:p w14:paraId="37116ACE">
            <w:pPr>
              <w:shd w:val="clear"/>
              <w:snapToGrid w:val="0"/>
              <w:spacing w:before="156" w:beforeLines="50" w:after="50" w:line="460" w:lineRule="exact"/>
              <w:rPr>
                <w:rFonts w:hint="eastAsia" w:ascii="宋体" w:hAnsi="宋体" w:eastAsia="宋体" w:cs="宋体"/>
                <w:color w:val="auto"/>
                <w:sz w:val="24"/>
                <w:szCs w:val="24"/>
                <w:highlight w:val="none"/>
              </w:rPr>
            </w:pPr>
          </w:p>
        </w:tc>
        <w:tc>
          <w:tcPr>
            <w:tcW w:w="1663" w:type="dxa"/>
            <w:tcBorders>
              <w:top w:val="single" w:color="auto" w:sz="4" w:space="0"/>
              <w:left w:val="single" w:color="auto" w:sz="4" w:space="0"/>
              <w:bottom w:val="single" w:color="auto" w:sz="4" w:space="0"/>
              <w:right w:val="single" w:color="auto" w:sz="4" w:space="0"/>
            </w:tcBorders>
          </w:tcPr>
          <w:p w14:paraId="0A3349CE">
            <w:pPr>
              <w:pStyle w:val="18"/>
              <w:shd w:val="clear"/>
              <w:snapToGrid w:val="0"/>
              <w:spacing w:before="156" w:beforeLines="50" w:after="50" w:line="460" w:lineRule="exact"/>
              <w:ind w:left="5250"/>
              <w:rPr>
                <w:rFonts w:hint="eastAsia" w:ascii="宋体" w:hAnsi="宋体" w:eastAsia="宋体" w:cs="宋体"/>
                <w:color w:val="auto"/>
                <w:highlight w:val="none"/>
              </w:rPr>
            </w:pPr>
          </w:p>
        </w:tc>
        <w:tc>
          <w:tcPr>
            <w:tcW w:w="1260" w:type="dxa"/>
            <w:tcBorders>
              <w:top w:val="single" w:color="auto" w:sz="4" w:space="0"/>
              <w:left w:val="single" w:color="auto" w:sz="4" w:space="0"/>
              <w:bottom w:val="single" w:color="auto" w:sz="4" w:space="0"/>
              <w:right w:val="single" w:color="auto" w:sz="4" w:space="0"/>
            </w:tcBorders>
          </w:tcPr>
          <w:p w14:paraId="2B306FB0">
            <w:pPr>
              <w:shd w:val="clear"/>
              <w:snapToGrid w:val="0"/>
              <w:spacing w:before="156" w:beforeLines="50" w:after="50" w:line="460" w:lineRule="exact"/>
              <w:rPr>
                <w:rFonts w:hint="eastAsia" w:ascii="宋体" w:hAnsi="宋体" w:eastAsia="宋体" w:cs="宋体"/>
                <w:color w:val="auto"/>
                <w:sz w:val="24"/>
                <w:szCs w:val="24"/>
                <w:highlight w:val="none"/>
              </w:rPr>
            </w:pPr>
          </w:p>
        </w:tc>
        <w:tc>
          <w:tcPr>
            <w:tcW w:w="1800" w:type="dxa"/>
            <w:tcBorders>
              <w:top w:val="single" w:color="auto" w:sz="4" w:space="0"/>
              <w:left w:val="single" w:color="auto" w:sz="4" w:space="0"/>
              <w:bottom w:val="single" w:color="auto" w:sz="4" w:space="0"/>
              <w:right w:val="single" w:color="auto" w:sz="4" w:space="0"/>
            </w:tcBorders>
          </w:tcPr>
          <w:p w14:paraId="3709C8AB">
            <w:pPr>
              <w:shd w:val="clear"/>
              <w:snapToGrid w:val="0"/>
              <w:spacing w:before="156" w:beforeLines="50" w:after="50" w:line="460" w:lineRule="exact"/>
              <w:rPr>
                <w:rFonts w:hint="eastAsia" w:ascii="宋体" w:hAnsi="宋体" w:eastAsia="宋体" w:cs="宋体"/>
                <w:color w:val="auto"/>
                <w:sz w:val="24"/>
                <w:szCs w:val="24"/>
                <w:highlight w:val="none"/>
              </w:rPr>
            </w:pPr>
          </w:p>
        </w:tc>
        <w:tc>
          <w:tcPr>
            <w:tcW w:w="1800" w:type="dxa"/>
            <w:tcBorders>
              <w:top w:val="single" w:color="auto" w:sz="4" w:space="0"/>
              <w:left w:val="single" w:color="auto" w:sz="4" w:space="0"/>
              <w:bottom w:val="single" w:color="auto" w:sz="4" w:space="0"/>
            </w:tcBorders>
          </w:tcPr>
          <w:p w14:paraId="08354957">
            <w:pPr>
              <w:shd w:val="clear"/>
              <w:snapToGrid w:val="0"/>
              <w:spacing w:before="156" w:beforeLines="50" w:after="50" w:line="460" w:lineRule="exact"/>
              <w:rPr>
                <w:rFonts w:hint="eastAsia" w:ascii="宋体" w:hAnsi="宋体" w:eastAsia="宋体" w:cs="宋体"/>
                <w:color w:val="auto"/>
                <w:sz w:val="24"/>
                <w:szCs w:val="24"/>
                <w:highlight w:val="none"/>
              </w:rPr>
            </w:pPr>
          </w:p>
        </w:tc>
      </w:tr>
      <w:tr w14:paraId="2BC708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04" w:type="dxa"/>
            <w:tcBorders>
              <w:top w:val="single" w:color="auto" w:sz="4" w:space="0"/>
              <w:bottom w:val="single" w:color="auto" w:sz="4" w:space="0"/>
              <w:right w:val="single" w:color="auto" w:sz="4" w:space="0"/>
            </w:tcBorders>
          </w:tcPr>
          <w:p w14:paraId="209AC933">
            <w:pPr>
              <w:shd w:val="clear"/>
              <w:snapToGrid w:val="0"/>
              <w:spacing w:before="156" w:beforeLines="50" w:after="50" w:line="460" w:lineRule="exact"/>
              <w:rPr>
                <w:rFonts w:hint="eastAsia" w:ascii="宋体" w:hAnsi="宋体" w:eastAsia="宋体" w:cs="宋体"/>
                <w:color w:val="auto"/>
                <w:sz w:val="24"/>
                <w:szCs w:val="24"/>
                <w:highlight w:val="none"/>
              </w:rPr>
            </w:pPr>
          </w:p>
        </w:tc>
        <w:tc>
          <w:tcPr>
            <w:tcW w:w="1004" w:type="dxa"/>
            <w:tcBorders>
              <w:top w:val="single" w:color="auto" w:sz="4" w:space="0"/>
              <w:left w:val="single" w:color="auto" w:sz="4" w:space="0"/>
              <w:bottom w:val="single" w:color="auto" w:sz="4" w:space="0"/>
              <w:right w:val="single" w:color="auto" w:sz="4" w:space="0"/>
            </w:tcBorders>
          </w:tcPr>
          <w:p w14:paraId="75BC7442">
            <w:pPr>
              <w:shd w:val="clear"/>
              <w:snapToGrid w:val="0"/>
              <w:spacing w:before="156" w:beforeLines="50" w:after="50" w:line="460" w:lineRule="exact"/>
              <w:rPr>
                <w:rFonts w:hint="eastAsia" w:ascii="宋体" w:hAnsi="宋体" w:eastAsia="宋体" w:cs="宋体"/>
                <w:color w:val="auto"/>
                <w:sz w:val="24"/>
                <w:szCs w:val="24"/>
                <w:highlight w:val="none"/>
              </w:rPr>
            </w:pPr>
          </w:p>
        </w:tc>
        <w:tc>
          <w:tcPr>
            <w:tcW w:w="1663" w:type="dxa"/>
            <w:tcBorders>
              <w:top w:val="single" w:color="auto" w:sz="4" w:space="0"/>
              <w:left w:val="single" w:color="auto" w:sz="4" w:space="0"/>
              <w:bottom w:val="single" w:color="auto" w:sz="4" w:space="0"/>
              <w:right w:val="single" w:color="auto" w:sz="4" w:space="0"/>
            </w:tcBorders>
          </w:tcPr>
          <w:p w14:paraId="54310C92">
            <w:pPr>
              <w:shd w:val="clear"/>
              <w:snapToGrid w:val="0"/>
              <w:spacing w:before="156" w:beforeLines="50" w:after="50" w:line="460" w:lineRule="exact"/>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tcPr>
          <w:p w14:paraId="2D12F10A">
            <w:pPr>
              <w:shd w:val="clear"/>
              <w:snapToGrid w:val="0"/>
              <w:spacing w:before="156" w:beforeLines="50" w:after="50" w:line="460" w:lineRule="exact"/>
              <w:rPr>
                <w:rFonts w:hint="eastAsia" w:ascii="宋体" w:hAnsi="宋体" w:eastAsia="宋体" w:cs="宋体"/>
                <w:color w:val="auto"/>
                <w:sz w:val="24"/>
                <w:szCs w:val="24"/>
                <w:highlight w:val="none"/>
              </w:rPr>
            </w:pPr>
          </w:p>
        </w:tc>
        <w:tc>
          <w:tcPr>
            <w:tcW w:w="1800" w:type="dxa"/>
            <w:tcBorders>
              <w:top w:val="single" w:color="auto" w:sz="4" w:space="0"/>
              <w:left w:val="single" w:color="auto" w:sz="4" w:space="0"/>
              <w:bottom w:val="single" w:color="auto" w:sz="4" w:space="0"/>
              <w:right w:val="single" w:color="auto" w:sz="4" w:space="0"/>
            </w:tcBorders>
          </w:tcPr>
          <w:p w14:paraId="6AF7D496">
            <w:pPr>
              <w:shd w:val="clear"/>
              <w:snapToGrid w:val="0"/>
              <w:spacing w:before="156" w:beforeLines="50" w:after="50" w:line="460" w:lineRule="exact"/>
              <w:rPr>
                <w:rFonts w:hint="eastAsia" w:ascii="宋体" w:hAnsi="宋体" w:eastAsia="宋体" w:cs="宋体"/>
                <w:color w:val="auto"/>
                <w:sz w:val="24"/>
                <w:szCs w:val="24"/>
                <w:highlight w:val="none"/>
              </w:rPr>
            </w:pPr>
          </w:p>
        </w:tc>
        <w:tc>
          <w:tcPr>
            <w:tcW w:w="1800" w:type="dxa"/>
            <w:tcBorders>
              <w:top w:val="single" w:color="auto" w:sz="4" w:space="0"/>
              <w:left w:val="single" w:color="auto" w:sz="4" w:space="0"/>
              <w:bottom w:val="single" w:color="auto" w:sz="4" w:space="0"/>
            </w:tcBorders>
          </w:tcPr>
          <w:p w14:paraId="52D39E25">
            <w:pPr>
              <w:shd w:val="clear"/>
              <w:snapToGrid w:val="0"/>
              <w:spacing w:before="156" w:beforeLines="50" w:after="50" w:line="460" w:lineRule="exact"/>
              <w:rPr>
                <w:rFonts w:hint="eastAsia" w:ascii="宋体" w:hAnsi="宋体" w:eastAsia="宋体" w:cs="宋体"/>
                <w:color w:val="auto"/>
                <w:sz w:val="24"/>
                <w:szCs w:val="24"/>
                <w:highlight w:val="none"/>
              </w:rPr>
            </w:pPr>
          </w:p>
        </w:tc>
      </w:tr>
      <w:tr w14:paraId="7764C67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04" w:type="dxa"/>
            <w:tcBorders>
              <w:top w:val="single" w:color="auto" w:sz="4" w:space="0"/>
              <w:bottom w:val="single" w:color="auto" w:sz="4" w:space="0"/>
              <w:right w:val="single" w:color="auto" w:sz="4" w:space="0"/>
            </w:tcBorders>
          </w:tcPr>
          <w:p w14:paraId="217E9D9C">
            <w:pPr>
              <w:shd w:val="clear"/>
              <w:snapToGrid w:val="0"/>
              <w:spacing w:before="156" w:beforeLines="50" w:after="50" w:line="460" w:lineRule="exact"/>
              <w:rPr>
                <w:rFonts w:hint="eastAsia" w:ascii="宋体" w:hAnsi="宋体" w:eastAsia="宋体" w:cs="宋体"/>
                <w:color w:val="auto"/>
                <w:sz w:val="24"/>
                <w:szCs w:val="24"/>
                <w:highlight w:val="none"/>
              </w:rPr>
            </w:pPr>
          </w:p>
        </w:tc>
        <w:tc>
          <w:tcPr>
            <w:tcW w:w="1004" w:type="dxa"/>
            <w:tcBorders>
              <w:top w:val="single" w:color="auto" w:sz="4" w:space="0"/>
              <w:left w:val="single" w:color="auto" w:sz="4" w:space="0"/>
              <w:bottom w:val="single" w:color="auto" w:sz="4" w:space="0"/>
              <w:right w:val="single" w:color="auto" w:sz="4" w:space="0"/>
            </w:tcBorders>
          </w:tcPr>
          <w:p w14:paraId="3DF7D016">
            <w:pPr>
              <w:shd w:val="clear"/>
              <w:snapToGrid w:val="0"/>
              <w:spacing w:before="156" w:beforeLines="50" w:after="50" w:line="460" w:lineRule="exact"/>
              <w:rPr>
                <w:rFonts w:hint="eastAsia" w:ascii="宋体" w:hAnsi="宋体" w:eastAsia="宋体" w:cs="宋体"/>
                <w:color w:val="auto"/>
                <w:sz w:val="24"/>
                <w:szCs w:val="24"/>
                <w:highlight w:val="none"/>
              </w:rPr>
            </w:pPr>
          </w:p>
        </w:tc>
        <w:tc>
          <w:tcPr>
            <w:tcW w:w="1663" w:type="dxa"/>
            <w:tcBorders>
              <w:top w:val="single" w:color="auto" w:sz="4" w:space="0"/>
              <w:left w:val="single" w:color="auto" w:sz="4" w:space="0"/>
              <w:bottom w:val="single" w:color="auto" w:sz="4" w:space="0"/>
              <w:right w:val="single" w:color="auto" w:sz="4" w:space="0"/>
            </w:tcBorders>
          </w:tcPr>
          <w:p w14:paraId="70D7EB7A">
            <w:pPr>
              <w:shd w:val="clear"/>
              <w:snapToGrid w:val="0"/>
              <w:spacing w:before="156" w:beforeLines="50" w:after="50" w:line="460" w:lineRule="exact"/>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tcPr>
          <w:p w14:paraId="5CE6227A">
            <w:pPr>
              <w:shd w:val="clear"/>
              <w:snapToGrid w:val="0"/>
              <w:spacing w:before="156" w:beforeLines="50" w:after="50" w:line="460" w:lineRule="exact"/>
              <w:rPr>
                <w:rFonts w:hint="eastAsia" w:ascii="宋体" w:hAnsi="宋体" w:eastAsia="宋体" w:cs="宋体"/>
                <w:color w:val="auto"/>
                <w:sz w:val="24"/>
                <w:szCs w:val="24"/>
                <w:highlight w:val="none"/>
              </w:rPr>
            </w:pPr>
          </w:p>
        </w:tc>
        <w:tc>
          <w:tcPr>
            <w:tcW w:w="1800" w:type="dxa"/>
            <w:tcBorders>
              <w:top w:val="single" w:color="auto" w:sz="4" w:space="0"/>
              <w:left w:val="single" w:color="auto" w:sz="4" w:space="0"/>
              <w:bottom w:val="single" w:color="auto" w:sz="4" w:space="0"/>
              <w:right w:val="single" w:color="auto" w:sz="4" w:space="0"/>
            </w:tcBorders>
          </w:tcPr>
          <w:p w14:paraId="2458AE93">
            <w:pPr>
              <w:shd w:val="clear"/>
              <w:snapToGrid w:val="0"/>
              <w:spacing w:before="156" w:beforeLines="50" w:after="50" w:line="460" w:lineRule="exact"/>
              <w:rPr>
                <w:rFonts w:hint="eastAsia" w:ascii="宋体" w:hAnsi="宋体" w:eastAsia="宋体" w:cs="宋体"/>
                <w:color w:val="auto"/>
                <w:sz w:val="24"/>
                <w:szCs w:val="24"/>
                <w:highlight w:val="none"/>
              </w:rPr>
            </w:pPr>
          </w:p>
        </w:tc>
        <w:tc>
          <w:tcPr>
            <w:tcW w:w="1800" w:type="dxa"/>
            <w:tcBorders>
              <w:top w:val="single" w:color="auto" w:sz="4" w:space="0"/>
              <w:left w:val="single" w:color="auto" w:sz="4" w:space="0"/>
              <w:bottom w:val="single" w:color="auto" w:sz="4" w:space="0"/>
            </w:tcBorders>
          </w:tcPr>
          <w:p w14:paraId="3066E82C">
            <w:pPr>
              <w:shd w:val="clear"/>
              <w:snapToGrid w:val="0"/>
              <w:spacing w:before="156" w:beforeLines="50" w:after="50" w:line="460" w:lineRule="exact"/>
              <w:rPr>
                <w:rFonts w:hint="eastAsia" w:ascii="宋体" w:hAnsi="宋体" w:eastAsia="宋体" w:cs="宋体"/>
                <w:color w:val="auto"/>
                <w:sz w:val="24"/>
                <w:szCs w:val="24"/>
                <w:highlight w:val="none"/>
              </w:rPr>
            </w:pPr>
          </w:p>
        </w:tc>
      </w:tr>
      <w:tr w14:paraId="2DB7A4A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04" w:type="dxa"/>
            <w:tcBorders>
              <w:top w:val="single" w:color="auto" w:sz="4" w:space="0"/>
              <w:bottom w:val="single" w:color="auto" w:sz="4" w:space="0"/>
              <w:right w:val="single" w:color="auto" w:sz="4" w:space="0"/>
            </w:tcBorders>
          </w:tcPr>
          <w:p w14:paraId="793164C5">
            <w:pPr>
              <w:shd w:val="clear"/>
              <w:snapToGrid w:val="0"/>
              <w:spacing w:before="156" w:beforeLines="50" w:after="50" w:line="460" w:lineRule="exact"/>
              <w:rPr>
                <w:rFonts w:hint="eastAsia" w:ascii="宋体" w:hAnsi="宋体" w:eastAsia="宋体" w:cs="宋体"/>
                <w:color w:val="auto"/>
                <w:sz w:val="24"/>
                <w:szCs w:val="24"/>
                <w:highlight w:val="none"/>
              </w:rPr>
            </w:pPr>
          </w:p>
        </w:tc>
        <w:tc>
          <w:tcPr>
            <w:tcW w:w="1004" w:type="dxa"/>
            <w:tcBorders>
              <w:top w:val="single" w:color="auto" w:sz="4" w:space="0"/>
              <w:left w:val="single" w:color="auto" w:sz="4" w:space="0"/>
              <w:bottom w:val="single" w:color="auto" w:sz="4" w:space="0"/>
              <w:right w:val="single" w:color="auto" w:sz="4" w:space="0"/>
            </w:tcBorders>
          </w:tcPr>
          <w:p w14:paraId="44359E87">
            <w:pPr>
              <w:shd w:val="clear"/>
              <w:snapToGrid w:val="0"/>
              <w:spacing w:before="156" w:beforeLines="50" w:after="50" w:line="460" w:lineRule="exact"/>
              <w:rPr>
                <w:rFonts w:hint="eastAsia" w:ascii="宋体" w:hAnsi="宋体" w:eastAsia="宋体" w:cs="宋体"/>
                <w:color w:val="auto"/>
                <w:sz w:val="24"/>
                <w:szCs w:val="24"/>
                <w:highlight w:val="none"/>
              </w:rPr>
            </w:pPr>
          </w:p>
        </w:tc>
        <w:tc>
          <w:tcPr>
            <w:tcW w:w="1663" w:type="dxa"/>
            <w:tcBorders>
              <w:top w:val="single" w:color="auto" w:sz="4" w:space="0"/>
              <w:left w:val="single" w:color="auto" w:sz="4" w:space="0"/>
              <w:bottom w:val="single" w:color="auto" w:sz="4" w:space="0"/>
              <w:right w:val="single" w:color="auto" w:sz="4" w:space="0"/>
            </w:tcBorders>
          </w:tcPr>
          <w:p w14:paraId="05D79EB3">
            <w:pPr>
              <w:shd w:val="clear"/>
              <w:snapToGrid w:val="0"/>
              <w:spacing w:before="156" w:beforeLines="50" w:after="50" w:line="460" w:lineRule="exact"/>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tcPr>
          <w:p w14:paraId="6514A35F">
            <w:pPr>
              <w:shd w:val="clear"/>
              <w:snapToGrid w:val="0"/>
              <w:spacing w:before="156" w:beforeLines="50" w:after="50" w:line="460" w:lineRule="exact"/>
              <w:rPr>
                <w:rFonts w:hint="eastAsia" w:ascii="宋体" w:hAnsi="宋体" w:eastAsia="宋体" w:cs="宋体"/>
                <w:color w:val="auto"/>
                <w:sz w:val="24"/>
                <w:szCs w:val="24"/>
                <w:highlight w:val="none"/>
              </w:rPr>
            </w:pPr>
          </w:p>
        </w:tc>
        <w:tc>
          <w:tcPr>
            <w:tcW w:w="1800" w:type="dxa"/>
            <w:tcBorders>
              <w:top w:val="single" w:color="auto" w:sz="4" w:space="0"/>
              <w:left w:val="single" w:color="auto" w:sz="4" w:space="0"/>
              <w:bottom w:val="single" w:color="auto" w:sz="4" w:space="0"/>
              <w:right w:val="single" w:color="auto" w:sz="4" w:space="0"/>
            </w:tcBorders>
          </w:tcPr>
          <w:p w14:paraId="49794CEA">
            <w:pPr>
              <w:shd w:val="clear"/>
              <w:snapToGrid w:val="0"/>
              <w:spacing w:before="156" w:beforeLines="50" w:after="50" w:line="460" w:lineRule="exact"/>
              <w:rPr>
                <w:rFonts w:hint="eastAsia" w:ascii="宋体" w:hAnsi="宋体" w:eastAsia="宋体" w:cs="宋体"/>
                <w:color w:val="auto"/>
                <w:sz w:val="24"/>
                <w:szCs w:val="24"/>
                <w:highlight w:val="none"/>
              </w:rPr>
            </w:pPr>
          </w:p>
        </w:tc>
        <w:tc>
          <w:tcPr>
            <w:tcW w:w="1800" w:type="dxa"/>
            <w:tcBorders>
              <w:top w:val="single" w:color="auto" w:sz="4" w:space="0"/>
              <w:left w:val="single" w:color="auto" w:sz="4" w:space="0"/>
              <w:bottom w:val="single" w:color="auto" w:sz="4" w:space="0"/>
            </w:tcBorders>
          </w:tcPr>
          <w:p w14:paraId="0543FBFF">
            <w:pPr>
              <w:shd w:val="clear"/>
              <w:snapToGrid w:val="0"/>
              <w:spacing w:before="156" w:beforeLines="50" w:after="50" w:line="460" w:lineRule="exact"/>
              <w:rPr>
                <w:rFonts w:hint="eastAsia" w:ascii="宋体" w:hAnsi="宋体" w:eastAsia="宋体" w:cs="宋体"/>
                <w:color w:val="auto"/>
                <w:sz w:val="24"/>
                <w:szCs w:val="24"/>
                <w:highlight w:val="none"/>
              </w:rPr>
            </w:pPr>
          </w:p>
        </w:tc>
      </w:tr>
      <w:tr w14:paraId="4460029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04" w:type="dxa"/>
            <w:tcBorders>
              <w:top w:val="single" w:color="auto" w:sz="4" w:space="0"/>
              <w:bottom w:val="single" w:color="auto" w:sz="4" w:space="0"/>
              <w:right w:val="single" w:color="auto" w:sz="4" w:space="0"/>
            </w:tcBorders>
          </w:tcPr>
          <w:p w14:paraId="10460779">
            <w:pPr>
              <w:shd w:val="clear"/>
              <w:snapToGrid w:val="0"/>
              <w:spacing w:before="156" w:beforeLines="50" w:after="50" w:line="460" w:lineRule="exact"/>
              <w:rPr>
                <w:rFonts w:hint="eastAsia" w:ascii="宋体" w:hAnsi="宋体" w:eastAsia="宋体" w:cs="宋体"/>
                <w:color w:val="auto"/>
                <w:sz w:val="24"/>
                <w:szCs w:val="24"/>
                <w:highlight w:val="none"/>
              </w:rPr>
            </w:pPr>
          </w:p>
        </w:tc>
        <w:tc>
          <w:tcPr>
            <w:tcW w:w="1004" w:type="dxa"/>
            <w:tcBorders>
              <w:top w:val="single" w:color="auto" w:sz="4" w:space="0"/>
              <w:left w:val="single" w:color="auto" w:sz="4" w:space="0"/>
              <w:bottom w:val="single" w:color="auto" w:sz="4" w:space="0"/>
              <w:right w:val="single" w:color="auto" w:sz="4" w:space="0"/>
            </w:tcBorders>
          </w:tcPr>
          <w:p w14:paraId="1D91AECB">
            <w:pPr>
              <w:shd w:val="clear"/>
              <w:snapToGrid w:val="0"/>
              <w:spacing w:before="156" w:beforeLines="50" w:after="50" w:line="460" w:lineRule="exact"/>
              <w:rPr>
                <w:rFonts w:hint="eastAsia" w:ascii="宋体" w:hAnsi="宋体" w:eastAsia="宋体" w:cs="宋体"/>
                <w:color w:val="auto"/>
                <w:sz w:val="24"/>
                <w:szCs w:val="24"/>
                <w:highlight w:val="none"/>
              </w:rPr>
            </w:pPr>
          </w:p>
        </w:tc>
        <w:tc>
          <w:tcPr>
            <w:tcW w:w="1663" w:type="dxa"/>
            <w:tcBorders>
              <w:top w:val="single" w:color="auto" w:sz="4" w:space="0"/>
              <w:left w:val="single" w:color="auto" w:sz="4" w:space="0"/>
              <w:bottom w:val="single" w:color="auto" w:sz="4" w:space="0"/>
              <w:right w:val="single" w:color="auto" w:sz="4" w:space="0"/>
            </w:tcBorders>
          </w:tcPr>
          <w:p w14:paraId="0AA80C37">
            <w:pPr>
              <w:shd w:val="clear"/>
              <w:snapToGrid w:val="0"/>
              <w:spacing w:before="156" w:beforeLines="50" w:after="50" w:line="460" w:lineRule="exact"/>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tcPr>
          <w:p w14:paraId="41E4984F">
            <w:pPr>
              <w:shd w:val="clear"/>
              <w:snapToGrid w:val="0"/>
              <w:spacing w:before="156" w:beforeLines="50" w:after="50" w:line="460" w:lineRule="exact"/>
              <w:rPr>
                <w:rFonts w:hint="eastAsia" w:ascii="宋体" w:hAnsi="宋体" w:eastAsia="宋体" w:cs="宋体"/>
                <w:color w:val="auto"/>
                <w:sz w:val="24"/>
                <w:szCs w:val="24"/>
                <w:highlight w:val="none"/>
              </w:rPr>
            </w:pPr>
          </w:p>
        </w:tc>
        <w:tc>
          <w:tcPr>
            <w:tcW w:w="1800" w:type="dxa"/>
            <w:tcBorders>
              <w:top w:val="single" w:color="auto" w:sz="4" w:space="0"/>
              <w:left w:val="single" w:color="auto" w:sz="4" w:space="0"/>
              <w:bottom w:val="single" w:color="auto" w:sz="4" w:space="0"/>
              <w:right w:val="single" w:color="auto" w:sz="4" w:space="0"/>
            </w:tcBorders>
          </w:tcPr>
          <w:p w14:paraId="1570F291">
            <w:pPr>
              <w:shd w:val="clear"/>
              <w:snapToGrid w:val="0"/>
              <w:spacing w:before="156" w:beforeLines="50" w:after="50" w:line="460" w:lineRule="exact"/>
              <w:rPr>
                <w:rFonts w:hint="eastAsia" w:ascii="宋体" w:hAnsi="宋体" w:eastAsia="宋体" w:cs="宋体"/>
                <w:color w:val="auto"/>
                <w:sz w:val="24"/>
                <w:szCs w:val="24"/>
                <w:highlight w:val="none"/>
              </w:rPr>
            </w:pPr>
          </w:p>
        </w:tc>
        <w:tc>
          <w:tcPr>
            <w:tcW w:w="1800" w:type="dxa"/>
            <w:tcBorders>
              <w:top w:val="single" w:color="auto" w:sz="4" w:space="0"/>
              <w:left w:val="single" w:color="auto" w:sz="4" w:space="0"/>
              <w:bottom w:val="single" w:color="auto" w:sz="4" w:space="0"/>
            </w:tcBorders>
          </w:tcPr>
          <w:p w14:paraId="0CB5EA15">
            <w:pPr>
              <w:shd w:val="clear"/>
              <w:snapToGrid w:val="0"/>
              <w:spacing w:before="156" w:beforeLines="50" w:after="50" w:line="460" w:lineRule="exact"/>
              <w:rPr>
                <w:rFonts w:hint="eastAsia" w:ascii="宋体" w:hAnsi="宋体" w:eastAsia="宋体" w:cs="宋体"/>
                <w:color w:val="auto"/>
                <w:sz w:val="24"/>
                <w:szCs w:val="24"/>
                <w:highlight w:val="none"/>
              </w:rPr>
            </w:pPr>
          </w:p>
        </w:tc>
      </w:tr>
      <w:tr w14:paraId="3BA12BE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04" w:type="dxa"/>
            <w:tcBorders>
              <w:top w:val="single" w:color="auto" w:sz="4" w:space="0"/>
              <w:bottom w:val="single" w:color="auto" w:sz="4" w:space="0"/>
              <w:right w:val="single" w:color="auto" w:sz="4" w:space="0"/>
            </w:tcBorders>
          </w:tcPr>
          <w:p w14:paraId="15C92007">
            <w:pPr>
              <w:shd w:val="clear"/>
              <w:snapToGrid w:val="0"/>
              <w:spacing w:before="156" w:beforeLines="50" w:after="50" w:line="460" w:lineRule="exact"/>
              <w:rPr>
                <w:rFonts w:hint="eastAsia" w:ascii="宋体" w:hAnsi="宋体" w:eastAsia="宋体" w:cs="宋体"/>
                <w:color w:val="auto"/>
                <w:sz w:val="24"/>
                <w:szCs w:val="24"/>
                <w:highlight w:val="none"/>
              </w:rPr>
            </w:pPr>
          </w:p>
        </w:tc>
        <w:tc>
          <w:tcPr>
            <w:tcW w:w="1004" w:type="dxa"/>
            <w:tcBorders>
              <w:top w:val="single" w:color="auto" w:sz="4" w:space="0"/>
              <w:left w:val="single" w:color="auto" w:sz="4" w:space="0"/>
              <w:bottom w:val="single" w:color="auto" w:sz="4" w:space="0"/>
              <w:right w:val="single" w:color="auto" w:sz="4" w:space="0"/>
            </w:tcBorders>
          </w:tcPr>
          <w:p w14:paraId="692E8EF9">
            <w:pPr>
              <w:shd w:val="clear"/>
              <w:snapToGrid w:val="0"/>
              <w:spacing w:before="156" w:beforeLines="50" w:after="50" w:line="460" w:lineRule="exact"/>
              <w:rPr>
                <w:rFonts w:hint="eastAsia" w:ascii="宋体" w:hAnsi="宋体" w:eastAsia="宋体" w:cs="宋体"/>
                <w:color w:val="auto"/>
                <w:sz w:val="24"/>
                <w:szCs w:val="24"/>
                <w:highlight w:val="none"/>
              </w:rPr>
            </w:pPr>
          </w:p>
        </w:tc>
        <w:tc>
          <w:tcPr>
            <w:tcW w:w="1663" w:type="dxa"/>
            <w:tcBorders>
              <w:top w:val="single" w:color="auto" w:sz="4" w:space="0"/>
              <w:left w:val="single" w:color="auto" w:sz="4" w:space="0"/>
              <w:bottom w:val="single" w:color="auto" w:sz="4" w:space="0"/>
              <w:right w:val="single" w:color="auto" w:sz="4" w:space="0"/>
            </w:tcBorders>
          </w:tcPr>
          <w:p w14:paraId="4EEF8B30">
            <w:pPr>
              <w:shd w:val="clear"/>
              <w:snapToGrid w:val="0"/>
              <w:spacing w:before="156" w:beforeLines="50" w:after="50" w:line="460" w:lineRule="exact"/>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tcPr>
          <w:p w14:paraId="71E6311E">
            <w:pPr>
              <w:shd w:val="clear"/>
              <w:snapToGrid w:val="0"/>
              <w:spacing w:before="156" w:beforeLines="50" w:after="50" w:line="460" w:lineRule="exact"/>
              <w:rPr>
                <w:rFonts w:hint="eastAsia" w:ascii="宋体" w:hAnsi="宋体" w:eastAsia="宋体" w:cs="宋体"/>
                <w:color w:val="auto"/>
                <w:sz w:val="24"/>
                <w:szCs w:val="24"/>
                <w:highlight w:val="none"/>
              </w:rPr>
            </w:pPr>
          </w:p>
        </w:tc>
        <w:tc>
          <w:tcPr>
            <w:tcW w:w="1800" w:type="dxa"/>
            <w:tcBorders>
              <w:top w:val="single" w:color="auto" w:sz="4" w:space="0"/>
              <w:left w:val="single" w:color="auto" w:sz="4" w:space="0"/>
              <w:bottom w:val="single" w:color="auto" w:sz="4" w:space="0"/>
              <w:right w:val="single" w:color="auto" w:sz="4" w:space="0"/>
            </w:tcBorders>
          </w:tcPr>
          <w:p w14:paraId="018AA39B">
            <w:pPr>
              <w:shd w:val="clear"/>
              <w:snapToGrid w:val="0"/>
              <w:spacing w:before="156" w:beforeLines="50" w:after="50" w:line="460" w:lineRule="exact"/>
              <w:rPr>
                <w:rFonts w:hint="eastAsia" w:ascii="宋体" w:hAnsi="宋体" w:eastAsia="宋体" w:cs="宋体"/>
                <w:color w:val="auto"/>
                <w:sz w:val="24"/>
                <w:szCs w:val="24"/>
                <w:highlight w:val="none"/>
              </w:rPr>
            </w:pPr>
          </w:p>
        </w:tc>
        <w:tc>
          <w:tcPr>
            <w:tcW w:w="1800" w:type="dxa"/>
            <w:tcBorders>
              <w:top w:val="single" w:color="auto" w:sz="4" w:space="0"/>
              <w:left w:val="single" w:color="auto" w:sz="4" w:space="0"/>
              <w:bottom w:val="single" w:color="auto" w:sz="4" w:space="0"/>
            </w:tcBorders>
          </w:tcPr>
          <w:p w14:paraId="1A413239">
            <w:pPr>
              <w:shd w:val="clear"/>
              <w:snapToGrid w:val="0"/>
              <w:spacing w:before="156" w:beforeLines="50" w:after="50" w:line="460" w:lineRule="exact"/>
              <w:rPr>
                <w:rFonts w:hint="eastAsia" w:ascii="宋体" w:hAnsi="宋体" w:eastAsia="宋体" w:cs="宋体"/>
                <w:color w:val="auto"/>
                <w:sz w:val="24"/>
                <w:szCs w:val="24"/>
                <w:highlight w:val="none"/>
              </w:rPr>
            </w:pPr>
          </w:p>
        </w:tc>
      </w:tr>
      <w:tr w14:paraId="4CD680E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04" w:type="dxa"/>
            <w:tcBorders>
              <w:top w:val="single" w:color="auto" w:sz="4" w:space="0"/>
              <w:bottom w:val="single" w:color="auto" w:sz="4" w:space="0"/>
              <w:right w:val="single" w:color="auto" w:sz="4" w:space="0"/>
            </w:tcBorders>
          </w:tcPr>
          <w:p w14:paraId="101C0781">
            <w:pPr>
              <w:shd w:val="clear"/>
              <w:snapToGrid w:val="0"/>
              <w:spacing w:before="156" w:beforeLines="50" w:after="50" w:line="460" w:lineRule="exact"/>
              <w:rPr>
                <w:rFonts w:hint="eastAsia" w:ascii="宋体" w:hAnsi="宋体" w:eastAsia="宋体" w:cs="宋体"/>
                <w:color w:val="auto"/>
                <w:sz w:val="24"/>
                <w:szCs w:val="24"/>
                <w:highlight w:val="none"/>
              </w:rPr>
            </w:pPr>
          </w:p>
        </w:tc>
        <w:tc>
          <w:tcPr>
            <w:tcW w:w="1004" w:type="dxa"/>
            <w:tcBorders>
              <w:top w:val="single" w:color="auto" w:sz="4" w:space="0"/>
              <w:left w:val="single" w:color="auto" w:sz="4" w:space="0"/>
              <w:bottom w:val="single" w:color="auto" w:sz="4" w:space="0"/>
              <w:right w:val="single" w:color="auto" w:sz="4" w:space="0"/>
            </w:tcBorders>
          </w:tcPr>
          <w:p w14:paraId="16BEF02F">
            <w:pPr>
              <w:shd w:val="clear"/>
              <w:snapToGrid w:val="0"/>
              <w:spacing w:before="156" w:beforeLines="50" w:after="50" w:line="460" w:lineRule="exact"/>
              <w:rPr>
                <w:rFonts w:hint="eastAsia" w:ascii="宋体" w:hAnsi="宋体" w:eastAsia="宋体" w:cs="宋体"/>
                <w:color w:val="auto"/>
                <w:sz w:val="24"/>
                <w:szCs w:val="24"/>
                <w:highlight w:val="none"/>
              </w:rPr>
            </w:pPr>
          </w:p>
        </w:tc>
        <w:tc>
          <w:tcPr>
            <w:tcW w:w="1663" w:type="dxa"/>
            <w:tcBorders>
              <w:top w:val="single" w:color="auto" w:sz="4" w:space="0"/>
              <w:left w:val="single" w:color="auto" w:sz="4" w:space="0"/>
              <w:bottom w:val="single" w:color="auto" w:sz="4" w:space="0"/>
              <w:right w:val="single" w:color="auto" w:sz="4" w:space="0"/>
            </w:tcBorders>
          </w:tcPr>
          <w:p w14:paraId="30906EB6">
            <w:pPr>
              <w:shd w:val="clear"/>
              <w:snapToGrid w:val="0"/>
              <w:spacing w:before="156" w:beforeLines="50" w:after="50" w:line="460" w:lineRule="exact"/>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tcPr>
          <w:p w14:paraId="0D96F038">
            <w:pPr>
              <w:shd w:val="clear"/>
              <w:snapToGrid w:val="0"/>
              <w:spacing w:before="156" w:beforeLines="50" w:after="50" w:line="460" w:lineRule="exact"/>
              <w:rPr>
                <w:rFonts w:hint="eastAsia" w:ascii="宋体" w:hAnsi="宋体" w:eastAsia="宋体" w:cs="宋体"/>
                <w:color w:val="auto"/>
                <w:sz w:val="24"/>
                <w:szCs w:val="24"/>
                <w:highlight w:val="none"/>
              </w:rPr>
            </w:pPr>
          </w:p>
        </w:tc>
        <w:tc>
          <w:tcPr>
            <w:tcW w:w="1800" w:type="dxa"/>
            <w:tcBorders>
              <w:top w:val="single" w:color="auto" w:sz="4" w:space="0"/>
              <w:left w:val="single" w:color="auto" w:sz="4" w:space="0"/>
              <w:bottom w:val="single" w:color="auto" w:sz="4" w:space="0"/>
              <w:right w:val="single" w:color="auto" w:sz="4" w:space="0"/>
            </w:tcBorders>
          </w:tcPr>
          <w:p w14:paraId="5C3FA029">
            <w:pPr>
              <w:shd w:val="clear"/>
              <w:snapToGrid w:val="0"/>
              <w:spacing w:before="156" w:beforeLines="50" w:after="50" w:line="460" w:lineRule="exact"/>
              <w:rPr>
                <w:rFonts w:hint="eastAsia" w:ascii="宋体" w:hAnsi="宋体" w:eastAsia="宋体" w:cs="宋体"/>
                <w:color w:val="auto"/>
                <w:sz w:val="24"/>
                <w:szCs w:val="24"/>
                <w:highlight w:val="none"/>
              </w:rPr>
            </w:pPr>
          </w:p>
        </w:tc>
        <w:tc>
          <w:tcPr>
            <w:tcW w:w="1800" w:type="dxa"/>
            <w:tcBorders>
              <w:top w:val="single" w:color="auto" w:sz="4" w:space="0"/>
              <w:left w:val="single" w:color="auto" w:sz="4" w:space="0"/>
              <w:bottom w:val="single" w:color="auto" w:sz="4" w:space="0"/>
            </w:tcBorders>
          </w:tcPr>
          <w:p w14:paraId="44E4D16B">
            <w:pPr>
              <w:shd w:val="clear"/>
              <w:snapToGrid w:val="0"/>
              <w:spacing w:before="156" w:beforeLines="50" w:after="50" w:line="460" w:lineRule="exact"/>
              <w:rPr>
                <w:rFonts w:hint="eastAsia" w:ascii="宋体" w:hAnsi="宋体" w:eastAsia="宋体" w:cs="宋体"/>
                <w:color w:val="auto"/>
                <w:sz w:val="24"/>
                <w:szCs w:val="24"/>
                <w:highlight w:val="none"/>
              </w:rPr>
            </w:pPr>
          </w:p>
        </w:tc>
      </w:tr>
    </w:tbl>
    <w:p w14:paraId="4E18F361">
      <w:pPr>
        <w:shd w:val="clear"/>
        <w:adjustRightInd w:val="0"/>
        <w:snapToGrid w:val="0"/>
        <w:spacing w:line="360" w:lineRule="auto"/>
        <w:jc w:val="left"/>
        <w:rPr>
          <w:rFonts w:hint="eastAsia" w:ascii="宋体" w:hAnsi="宋体" w:eastAsia="宋体" w:cs="宋体"/>
          <w:color w:val="auto"/>
          <w:sz w:val="24"/>
          <w:szCs w:val="24"/>
          <w:highlight w:val="none"/>
        </w:rPr>
      </w:pPr>
    </w:p>
    <w:p w14:paraId="6F2C1BA0">
      <w:pPr>
        <w:shd w:val="clear"/>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注：在填写时，如本表格不适合投标单位的实际情况，可根据本表格式自行划表填写。 </w:t>
      </w:r>
    </w:p>
    <w:p w14:paraId="7C712EA9">
      <w:pPr>
        <w:shd w:val="clear"/>
        <w:snapToGrid w:val="0"/>
        <w:spacing w:before="50" w:after="156" w:afterLines="50" w:line="460" w:lineRule="exact"/>
        <w:jc w:val="left"/>
        <w:rPr>
          <w:rFonts w:hint="eastAsia" w:ascii="宋体" w:hAnsi="宋体" w:eastAsia="宋体" w:cs="宋体"/>
          <w:color w:val="auto"/>
          <w:sz w:val="24"/>
          <w:szCs w:val="24"/>
          <w:highlight w:val="none"/>
        </w:rPr>
      </w:pPr>
    </w:p>
    <w:p w14:paraId="4A50DE0F">
      <w:pPr>
        <w:pStyle w:val="4"/>
        <w:shd w:val="clear"/>
        <w:rPr>
          <w:rFonts w:hint="eastAsia" w:ascii="宋体" w:hAnsi="宋体" w:eastAsia="宋体" w:cs="宋体"/>
          <w:color w:val="auto"/>
          <w:highlight w:val="none"/>
        </w:rPr>
      </w:pPr>
    </w:p>
    <w:p w14:paraId="58D1CCE2">
      <w:pPr>
        <w:shd w:val="clear"/>
        <w:spacing w:line="360" w:lineRule="auto"/>
        <w:ind w:left="3780" w:leftChars="180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法定代表人签名（或签名章）：                       </w:t>
      </w:r>
    </w:p>
    <w:p w14:paraId="2A28EED0">
      <w:pPr>
        <w:shd w:val="clear"/>
        <w:spacing w:line="360" w:lineRule="auto"/>
        <w:ind w:left="3780" w:leftChars="180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 期：</w:t>
      </w:r>
    </w:p>
    <w:p w14:paraId="54DB6D94">
      <w:pPr>
        <w:shd w:val="clear"/>
        <w:spacing w:line="360" w:lineRule="auto"/>
        <w:ind w:left="3780" w:leftChars="180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供应商全称（公章）：</w:t>
      </w:r>
    </w:p>
    <w:p w14:paraId="579892D2">
      <w:pPr>
        <w:shd w:val="clear"/>
        <w:spacing w:line="360" w:lineRule="auto"/>
        <w:jc w:val="center"/>
        <w:rPr>
          <w:rFonts w:hint="eastAsia" w:ascii="宋体" w:hAnsi="宋体" w:eastAsia="宋体" w:cs="宋体"/>
          <w:b/>
          <w:bCs/>
          <w:color w:val="auto"/>
          <w:kern w:val="0"/>
          <w:sz w:val="36"/>
          <w:szCs w:val="36"/>
          <w:highlight w:val="none"/>
        </w:rPr>
      </w:pPr>
      <w:r>
        <w:rPr>
          <w:rFonts w:hint="eastAsia" w:ascii="宋体" w:hAnsi="宋体" w:eastAsia="宋体" w:cs="宋体"/>
          <w:color w:val="auto"/>
          <w:spacing w:val="20"/>
          <w:sz w:val="30"/>
          <w:szCs w:val="30"/>
          <w:highlight w:val="none"/>
        </w:rPr>
        <w:br w:type="page"/>
      </w:r>
      <w:r>
        <w:rPr>
          <w:rFonts w:hint="eastAsia" w:ascii="宋体" w:hAnsi="宋体" w:eastAsia="宋体" w:cs="宋体"/>
          <w:b/>
          <w:bCs/>
          <w:color w:val="auto"/>
          <w:kern w:val="0"/>
          <w:sz w:val="36"/>
          <w:szCs w:val="36"/>
          <w:highlight w:val="none"/>
        </w:rPr>
        <w:t>报价文件</w:t>
      </w:r>
    </w:p>
    <w:p w14:paraId="6B219D8A">
      <w:pPr>
        <w:shd w:val="clear"/>
        <w:spacing w:line="360" w:lineRule="auto"/>
        <w:jc w:val="center"/>
        <w:rPr>
          <w:rFonts w:hint="eastAsia" w:ascii="宋体" w:hAnsi="宋体" w:eastAsia="宋体" w:cs="宋体"/>
          <w:b/>
          <w:bCs/>
          <w:color w:val="auto"/>
          <w:kern w:val="0"/>
          <w:sz w:val="36"/>
          <w:szCs w:val="36"/>
          <w:highlight w:val="none"/>
        </w:rPr>
      </w:pPr>
    </w:p>
    <w:p w14:paraId="6C8C0FFF">
      <w:pPr>
        <w:shd w:val="clear"/>
        <w:spacing w:line="360" w:lineRule="auto"/>
        <w:jc w:val="center"/>
        <w:rPr>
          <w:rFonts w:hint="eastAsia" w:ascii="宋体" w:hAnsi="宋体" w:eastAsia="宋体" w:cs="宋体"/>
          <w:b/>
          <w:bCs/>
          <w:color w:val="auto"/>
          <w:kern w:val="0"/>
          <w:sz w:val="36"/>
          <w:szCs w:val="36"/>
          <w:highlight w:val="none"/>
        </w:rPr>
      </w:pPr>
      <w:r>
        <w:rPr>
          <w:rFonts w:hint="eastAsia" w:ascii="宋体" w:hAnsi="宋体" w:eastAsia="宋体" w:cs="宋体"/>
          <w:b/>
          <w:bCs/>
          <w:color w:val="auto"/>
          <w:kern w:val="0"/>
          <w:sz w:val="36"/>
          <w:szCs w:val="36"/>
          <w:highlight w:val="none"/>
        </w:rPr>
        <w:t>目录</w:t>
      </w:r>
    </w:p>
    <w:p w14:paraId="1E93B7A7">
      <w:pPr>
        <w:pStyle w:val="4"/>
        <w:shd w:val="clear"/>
        <w:ind w:firstLine="723"/>
        <w:rPr>
          <w:rFonts w:hint="eastAsia" w:ascii="宋体" w:hAnsi="宋体" w:eastAsia="宋体" w:cs="宋体"/>
          <w:b/>
          <w:bCs/>
          <w:color w:val="auto"/>
          <w:kern w:val="0"/>
          <w:sz w:val="36"/>
          <w:szCs w:val="36"/>
          <w:highlight w:val="none"/>
        </w:rPr>
      </w:pPr>
    </w:p>
    <w:p w14:paraId="0A0F957F">
      <w:pPr>
        <w:shd w:val="clea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（1）磋商函（格式见附件）；</w:t>
      </w:r>
    </w:p>
    <w:p w14:paraId="29E635EB">
      <w:pPr>
        <w:shd w:val="clea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（2）报价一览表（格式见附件）；</w:t>
      </w:r>
    </w:p>
    <w:p w14:paraId="4C9C2199">
      <w:pPr>
        <w:shd w:val="clea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（3）磋商报价明细表（格式见附件）。</w:t>
      </w:r>
    </w:p>
    <w:p w14:paraId="56E3009C">
      <w:pPr>
        <w:pStyle w:val="4"/>
        <w:shd w:val="clear"/>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541A15E5">
      <w:pPr>
        <w:shd w:val="clear"/>
        <w:rPr>
          <w:rFonts w:hint="eastAsia" w:ascii="宋体" w:hAnsi="宋体" w:eastAsia="宋体" w:cs="宋体"/>
          <w:b/>
          <w:bCs/>
          <w:color w:val="auto"/>
          <w:highlight w:val="none"/>
          <w:lang w:val="zh-CN"/>
        </w:rPr>
      </w:pPr>
      <w:bookmarkStart w:id="112" w:name="_Toc3094"/>
      <w:r>
        <w:rPr>
          <w:rFonts w:hint="eastAsia" w:ascii="宋体" w:hAnsi="宋体" w:eastAsia="宋体" w:cs="宋体"/>
          <w:b/>
          <w:bCs/>
          <w:color w:val="auto"/>
          <w:sz w:val="24"/>
          <w:szCs w:val="24"/>
          <w:highlight w:val="none"/>
          <w:lang w:val="zh-CN"/>
        </w:rPr>
        <w:t>附件</w:t>
      </w:r>
      <w:bookmarkStart w:id="113" w:name="_Toc130094924"/>
      <w:bookmarkStart w:id="114" w:name="_Toc98731770"/>
      <w:r>
        <w:rPr>
          <w:rFonts w:hint="eastAsia" w:ascii="宋体" w:hAnsi="宋体" w:cs="宋体"/>
          <w:b/>
          <w:bCs/>
          <w:color w:val="auto"/>
          <w:sz w:val="24"/>
          <w:szCs w:val="24"/>
          <w:highlight w:val="none"/>
          <w:lang w:val="en-US" w:eastAsia="zh-CN"/>
        </w:rPr>
        <w:t>十二</w:t>
      </w:r>
      <w:r>
        <w:rPr>
          <w:rFonts w:hint="eastAsia" w:ascii="宋体" w:hAnsi="宋体" w:eastAsia="宋体" w:cs="宋体"/>
          <w:b/>
          <w:bCs/>
          <w:color w:val="auto"/>
          <w:sz w:val="24"/>
          <w:szCs w:val="24"/>
          <w:highlight w:val="none"/>
        </w:rPr>
        <w:t>：</w:t>
      </w:r>
    </w:p>
    <w:p w14:paraId="1E3F71D9">
      <w:pPr>
        <w:shd w:val="clear"/>
        <w:spacing w:line="360" w:lineRule="auto"/>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磋 商 函</w:t>
      </w:r>
      <w:bookmarkEnd w:id="112"/>
      <w:bookmarkEnd w:id="113"/>
      <w:bookmarkEnd w:id="114"/>
    </w:p>
    <w:p w14:paraId="3B83442B">
      <w:pPr>
        <w:shd w:val="clear"/>
        <w:spacing w:line="360" w:lineRule="auto"/>
        <w:ind w:firstLine="480" w:firstLineChars="200"/>
        <w:rPr>
          <w:rFonts w:hint="eastAsia" w:ascii="宋体" w:hAnsi="宋体" w:eastAsia="宋体" w:cs="宋体"/>
          <w:color w:val="auto"/>
          <w:sz w:val="24"/>
          <w:szCs w:val="24"/>
          <w:highlight w:val="none"/>
          <w:u w:val="single"/>
        </w:rPr>
      </w:pPr>
    </w:p>
    <w:p w14:paraId="51C8EBA2">
      <w:pPr>
        <w:shd w:val="clear"/>
        <w:spacing w:line="360" w:lineRule="auto"/>
        <w:ind w:firstLine="480" w:firstLineChars="20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绍兴市上虞区百官街道办事处</w:t>
      </w:r>
      <w:r>
        <w:rPr>
          <w:rFonts w:hint="eastAsia" w:ascii="宋体" w:hAnsi="宋体" w:eastAsia="宋体" w:cs="宋体"/>
          <w:color w:val="auto"/>
          <w:sz w:val="24"/>
          <w:szCs w:val="24"/>
          <w:highlight w:val="none"/>
        </w:rPr>
        <w:t>：</w:t>
      </w:r>
    </w:p>
    <w:p w14:paraId="1EEC44EC">
      <w:pPr>
        <w:shd w:val="clea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浙江宇康工程管理咨询有限公司：</w:t>
      </w:r>
    </w:p>
    <w:p w14:paraId="454D39C5">
      <w:pPr>
        <w:shd w:val="clear"/>
        <w:spacing w:line="360" w:lineRule="auto"/>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我单位认真研究了关于</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的磋商文件，包括修改文件（如有的话）以及全部参考资料和有关附件。我们完全理解并接受磋商文件的各项规定和要求，对磋商文件的合理性、合法性不再有异议。如磋商文件前后有矛盾的，我方完全同意按贵方的理解处理。我单位承诺：</w:t>
      </w:r>
    </w:p>
    <w:p w14:paraId="4B3656D5">
      <w:pPr>
        <w:shd w:val="clear"/>
        <w:spacing w:line="360" w:lineRule="auto"/>
        <w:ind w:firstLine="504" w:firstLineChars="240"/>
        <w:rPr>
          <w:rFonts w:hint="eastAsia" w:ascii="宋体" w:hAnsi="宋体" w:eastAsia="宋体" w:cs="宋体"/>
          <w:color w:val="auto"/>
          <w:sz w:val="24"/>
          <w:szCs w:val="24"/>
          <w:highlight w:val="none"/>
        </w:rPr>
      </w:pPr>
      <w:r>
        <w:rPr>
          <w:rFonts w:hint="eastAsia" w:ascii="宋体" w:hAnsi="宋体" w:eastAsia="宋体" w:cs="宋体"/>
          <w:color w:val="auto"/>
          <w:highlight w:val="none"/>
        </w:rPr>
        <mc:AlternateContent>
          <mc:Choice Requires="wps">
            <w:drawing>
              <wp:anchor distT="0" distB="0" distL="114300" distR="114300" simplePos="0" relativeHeight="251659264" behindDoc="0" locked="0" layoutInCell="0" allowOverlap="1">
                <wp:simplePos x="0" y="0"/>
                <wp:positionH relativeFrom="column">
                  <wp:posOffset>114300</wp:posOffset>
                </wp:positionH>
                <wp:positionV relativeFrom="paragraph">
                  <wp:posOffset>495300</wp:posOffset>
                </wp:positionV>
                <wp:extent cx="635" cy="0"/>
                <wp:effectExtent l="0" t="0" r="0" b="0"/>
                <wp:wrapNone/>
                <wp:docPr id="1" name="直线 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直线 3" o:spid="_x0000_s1026" o:spt="20" style="position:absolute;left:0pt;margin-left:9pt;margin-top:39pt;height:0pt;width:0.05pt;z-index:251659264;mso-width-relative:page;mso-height-relative:page;" filled="f" stroked="t" coordsize="21600,21600" o:allowincell="f" o:gfxdata="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6T0kGtIAAAAHAQAADwAAAAAA&#10;AAABACAAAAAiAAAAZHJzL2Rvd25yZXYueG1sUEsBAhQAFAAAAAgAh07iQJF8yb/gAQAA2QMAAA4A&#10;AAAAAAAAAQAgAAAAIQEAAGRycy9lMm9Eb2MueG1sUEsFBgAAAAAGAAYAWQEAAHMFAAAAAA==&#10;">
                <v:fill on="f" focussize="0,0"/>
                <v:stroke color="#000000" joinstyle="round"/>
                <v:imagedata o:title=""/>
                <o:lock v:ext="edit" aspectratio="f"/>
              </v:line>
            </w:pict>
          </mc:Fallback>
        </mc:AlternateContent>
      </w:r>
      <w:r>
        <w:rPr>
          <w:rFonts w:hint="eastAsia" w:ascii="宋体" w:hAnsi="宋体" w:eastAsia="宋体" w:cs="宋体"/>
          <w:color w:val="auto"/>
          <w:sz w:val="24"/>
          <w:szCs w:val="24"/>
          <w:highlight w:val="none"/>
        </w:rPr>
        <w:t>1、一旦我单位中标，我单位愿意承接报价一览表中所列的技术服务，服务期为：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天。</w:t>
      </w:r>
    </w:p>
    <w:p w14:paraId="74474B55">
      <w:pPr>
        <w:shd w:val="clea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2、我单位同意提供按照采购人的可能要求与其投标有关的一切数据和资料，完全理解采购人不一定要接受最低价者作为成交供应商。</w:t>
      </w:r>
    </w:p>
    <w:p w14:paraId="08E25FB5">
      <w:pPr>
        <w:shd w:val="clea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3、一旦我单位中标，我们保证按照磋商文件的要求，完成服务。</w:t>
      </w:r>
    </w:p>
    <w:p w14:paraId="3037F884">
      <w:pPr>
        <w:shd w:val="clea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4、如果我单位中标，我方将按照要求严格履行合同义务。</w:t>
      </w:r>
    </w:p>
    <w:p w14:paraId="1FC40472">
      <w:pPr>
        <w:shd w:val="clea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5、除非另行达成协议并生效，你方的成交通知书和本磋商函将构成约束你我双方的合同。</w:t>
      </w:r>
    </w:p>
    <w:p w14:paraId="2A900E10">
      <w:pPr>
        <w:shd w:val="clea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6、我单位承诺，一旦发生磋商文件第二部分第11条规定情形之一的，承担该条款约定的责任。</w:t>
      </w:r>
    </w:p>
    <w:p w14:paraId="5452ABDB">
      <w:pPr>
        <w:pStyle w:val="17"/>
        <w:shd w:val="clear"/>
        <w:snapToGrid w:val="0"/>
        <w:spacing w:line="360" w:lineRule="auto"/>
        <w:ind w:left="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14:paraId="3AAABE47">
      <w:pPr>
        <w:shd w:val="clea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地址：</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邮编：</w:t>
      </w:r>
      <w:r>
        <w:rPr>
          <w:rFonts w:hint="eastAsia" w:ascii="宋体" w:hAnsi="宋体" w:eastAsia="宋体" w:cs="宋体"/>
          <w:color w:val="auto"/>
          <w:sz w:val="24"/>
          <w:szCs w:val="24"/>
          <w:highlight w:val="none"/>
          <w:u w:val="single"/>
        </w:rPr>
        <w:t xml:space="preserve">                 </w:t>
      </w:r>
    </w:p>
    <w:p w14:paraId="6E5E6342">
      <w:pPr>
        <w:shd w:val="clear"/>
        <w:spacing w:line="360" w:lineRule="auto"/>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电话：</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传真：</w:t>
      </w:r>
      <w:r>
        <w:rPr>
          <w:rFonts w:hint="eastAsia" w:ascii="宋体" w:hAnsi="宋体" w:eastAsia="宋体" w:cs="宋体"/>
          <w:color w:val="auto"/>
          <w:sz w:val="24"/>
          <w:szCs w:val="24"/>
          <w:highlight w:val="none"/>
          <w:u w:val="single"/>
        </w:rPr>
        <w:t xml:space="preserve">                 </w:t>
      </w:r>
    </w:p>
    <w:p w14:paraId="44F5CD41">
      <w:pPr>
        <w:shd w:val="clea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供应商代表姓名：</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职务：</w:t>
      </w:r>
      <w:r>
        <w:rPr>
          <w:rFonts w:hint="eastAsia" w:ascii="宋体" w:hAnsi="宋体" w:eastAsia="宋体" w:cs="宋体"/>
          <w:color w:val="auto"/>
          <w:sz w:val="24"/>
          <w:szCs w:val="24"/>
          <w:highlight w:val="none"/>
          <w:u w:val="single"/>
        </w:rPr>
        <w:t xml:space="preserve">                 </w:t>
      </w:r>
    </w:p>
    <w:p w14:paraId="4350EF34">
      <w:pPr>
        <w:shd w:val="clea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供应商名称</w:t>
      </w:r>
      <w:r>
        <w:rPr>
          <w:rFonts w:hint="eastAsia" w:ascii="宋体" w:hAnsi="宋体" w:eastAsia="宋体" w:cs="宋体"/>
          <w:color w:val="auto"/>
          <w:sz w:val="24"/>
          <w:szCs w:val="24"/>
          <w:highlight w:val="none"/>
          <w:u w:val="single"/>
        </w:rPr>
        <w:t>：                   　　　</w:t>
      </w:r>
    </w:p>
    <w:p w14:paraId="182C2FB8">
      <w:pPr>
        <w:shd w:val="clea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（公章）：                   </w:t>
      </w:r>
    </w:p>
    <w:p w14:paraId="1EA21417">
      <w:pPr>
        <w:shd w:val="clear"/>
        <w:spacing w:line="360" w:lineRule="auto"/>
        <w:ind w:left="3780" w:leftChars="180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法定代表人签名（或签名章）：                       </w:t>
      </w:r>
    </w:p>
    <w:p w14:paraId="678EDAA8">
      <w:pPr>
        <w:shd w:val="clear"/>
        <w:spacing w:line="360" w:lineRule="auto"/>
        <w:ind w:left="3780" w:leftChars="180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 期：</w:t>
      </w:r>
    </w:p>
    <w:p w14:paraId="67159A9C">
      <w:pPr>
        <w:shd w:val="clear"/>
        <w:spacing w:line="360" w:lineRule="auto"/>
        <w:ind w:firstLine="5280" w:firstLineChars="2200"/>
        <w:rPr>
          <w:rFonts w:hint="eastAsia" w:ascii="宋体" w:hAnsi="宋体" w:eastAsia="宋体" w:cs="宋体"/>
          <w:color w:val="auto"/>
          <w:sz w:val="24"/>
          <w:szCs w:val="24"/>
          <w:highlight w:val="none"/>
        </w:rPr>
      </w:pPr>
    </w:p>
    <w:p w14:paraId="6A31B547">
      <w:pPr>
        <w:shd w:val="clear"/>
        <w:rPr>
          <w:rFonts w:hint="eastAsia" w:ascii="宋体" w:hAnsi="宋体" w:eastAsia="宋体" w:cs="宋体"/>
          <w:color w:val="auto"/>
          <w:sz w:val="24"/>
          <w:szCs w:val="24"/>
          <w:highlight w:val="none"/>
          <w:lang w:val="zh-CN"/>
        </w:rPr>
      </w:pPr>
      <w:bookmarkStart w:id="115" w:name="_Toc12011"/>
      <w:r>
        <w:rPr>
          <w:rFonts w:hint="eastAsia" w:ascii="宋体" w:hAnsi="宋体" w:eastAsia="宋体" w:cs="宋体"/>
          <w:color w:val="auto"/>
          <w:sz w:val="24"/>
          <w:szCs w:val="24"/>
          <w:highlight w:val="none"/>
          <w:lang w:val="zh-CN"/>
        </w:rPr>
        <w:br w:type="page"/>
      </w:r>
    </w:p>
    <w:p w14:paraId="68EAD0F7">
      <w:pPr>
        <w:shd w:val="clear"/>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附件</w:t>
      </w:r>
      <w:bookmarkStart w:id="116" w:name="_Toc98731771"/>
      <w:bookmarkStart w:id="117" w:name="_Toc130094925"/>
      <w:r>
        <w:rPr>
          <w:rFonts w:hint="eastAsia" w:ascii="宋体" w:hAnsi="宋体" w:eastAsia="宋体" w:cs="宋体"/>
          <w:b/>
          <w:bCs/>
          <w:color w:val="auto"/>
          <w:sz w:val="24"/>
          <w:szCs w:val="24"/>
          <w:highlight w:val="none"/>
        </w:rPr>
        <w:t>十</w:t>
      </w:r>
      <w:r>
        <w:rPr>
          <w:rFonts w:hint="eastAsia" w:ascii="宋体" w:hAnsi="宋体" w:cs="宋体"/>
          <w:b/>
          <w:bCs/>
          <w:color w:val="auto"/>
          <w:sz w:val="24"/>
          <w:szCs w:val="24"/>
          <w:highlight w:val="none"/>
          <w:lang w:eastAsia="zh-CN"/>
        </w:rPr>
        <w:t>三</w:t>
      </w:r>
      <w:r>
        <w:rPr>
          <w:rFonts w:hint="eastAsia" w:ascii="宋体" w:hAnsi="宋体" w:eastAsia="宋体" w:cs="宋体"/>
          <w:b/>
          <w:bCs/>
          <w:color w:val="auto"/>
          <w:sz w:val="24"/>
          <w:szCs w:val="24"/>
          <w:highlight w:val="none"/>
        </w:rPr>
        <w:t>：</w:t>
      </w:r>
    </w:p>
    <w:p w14:paraId="09F7E360">
      <w:pPr>
        <w:shd w:val="clear"/>
        <w:spacing w:line="360" w:lineRule="auto"/>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报价一览表</w:t>
      </w:r>
      <w:bookmarkEnd w:id="115"/>
      <w:bookmarkEnd w:id="116"/>
      <w:bookmarkEnd w:id="117"/>
    </w:p>
    <w:p w14:paraId="194231CC">
      <w:pPr>
        <w:pStyle w:val="17"/>
        <w:shd w:val="clear"/>
        <w:spacing w:line="360" w:lineRule="auto"/>
        <w:rPr>
          <w:rFonts w:hint="eastAsia" w:ascii="宋体" w:hAnsi="宋体" w:eastAsia="宋体" w:cs="宋体"/>
          <w:color w:val="auto"/>
          <w:sz w:val="24"/>
          <w:szCs w:val="24"/>
          <w:highlight w:val="none"/>
        </w:rPr>
      </w:pPr>
    </w:p>
    <w:p w14:paraId="19CC2970">
      <w:pPr>
        <w:shd w:val="clea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w:t>
      </w:r>
    </w:p>
    <w:p w14:paraId="5B72BDF2">
      <w:pPr>
        <w:shd w:val="clea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采购编号：               </w:t>
      </w:r>
    </w:p>
    <w:tbl>
      <w:tblPr>
        <w:tblStyle w:val="29"/>
        <w:tblW w:w="87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9"/>
        <w:gridCol w:w="6707"/>
      </w:tblGrid>
      <w:tr w14:paraId="3D65F3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79" w:hRule="atLeast"/>
          <w:jc w:val="center"/>
        </w:trPr>
        <w:tc>
          <w:tcPr>
            <w:tcW w:w="2089" w:type="dxa"/>
            <w:vAlign w:val="center"/>
          </w:tcPr>
          <w:p w14:paraId="2CA687BF">
            <w:pPr>
              <w:pStyle w:val="17"/>
              <w:shd w:val="clear"/>
              <w:spacing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投标总价</w:t>
            </w:r>
          </w:p>
        </w:tc>
        <w:tc>
          <w:tcPr>
            <w:tcW w:w="6707" w:type="dxa"/>
            <w:vAlign w:val="center"/>
          </w:tcPr>
          <w:p w14:paraId="65450E2D">
            <w:pPr>
              <w:pStyle w:val="17"/>
              <w:shd w:val="clear"/>
              <w:spacing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大写：</w:t>
            </w:r>
            <w:r>
              <w:rPr>
                <w:rFonts w:hint="eastAsia" w:ascii="宋体" w:hAnsi="宋体" w:eastAsia="宋体" w:cs="宋体"/>
                <w:b/>
                <w:bCs/>
                <w:color w:val="auto"/>
                <w:sz w:val="24"/>
                <w:szCs w:val="24"/>
                <w:highlight w:val="none"/>
                <w:u w:val="single"/>
              </w:rPr>
              <w:t xml:space="preserve">　　　　            </w:t>
            </w:r>
            <w:r>
              <w:rPr>
                <w:rFonts w:hint="eastAsia" w:ascii="宋体" w:hAnsi="宋体" w:eastAsia="宋体" w:cs="宋体"/>
                <w:b/>
                <w:bCs/>
                <w:color w:val="auto"/>
                <w:sz w:val="24"/>
                <w:szCs w:val="24"/>
                <w:highlight w:val="none"/>
              </w:rPr>
              <w:t>元（小写：</w:t>
            </w:r>
            <w:r>
              <w:rPr>
                <w:rFonts w:hint="eastAsia" w:ascii="宋体" w:hAnsi="宋体" w:eastAsia="宋体" w:cs="宋体"/>
                <w:b/>
                <w:bCs/>
                <w:color w:val="auto"/>
                <w:sz w:val="24"/>
                <w:szCs w:val="24"/>
                <w:highlight w:val="none"/>
                <w:u w:val="single"/>
              </w:rPr>
              <w:t xml:space="preserve">　　　　 </w:t>
            </w:r>
            <w:r>
              <w:rPr>
                <w:rFonts w:hint="eastAsia" w:ascii="宋体" w:hAnsi="宋体" w:eastAsia="宋体" w:cs="宋体"/>
                <w:b/>
                <w:bCs/>
                <w:color w:val="auto"/>
                <w:sz w:val="24"/>
                <w:szCs w:val="24"/>
                <w:highlight w:val="none"/>
              </w:rPr>
              <w:t>）</w:t>
            </w:r>
          </w:p>
        </w:tc>
      </w:tr>
      <w:tr w14:paraId="0AB7EA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98" w:hRule="atLeast"/>
          <w:jc w:val="center"/>
        </w:trPr>
        <w:tc>
          <w:tcPr>
            <w:tcW w:w="8796" w:type="dxa"/>
            <w:gridSpan w:val="2"/>
            <w:vAlign w:val="center"/>
          </w:tcPr>
          <w:p w14:paraId="06BA0E06">
            <w:pPr>
              <w:pStyle w:val="17"/>
              <w:shd w:val="clear"/>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本次报价应包含项目所需全部服务，不得缺漏，是履行合同的最终价格（即人员的工资福利、员工五险费(养老保险、医疗保险、失业保险、工伤保险、生育保险)、交通费、设备和设施费、管理费、税费等一切税金和费用）。</w:t>
            </w:r>
          </w:p>
        </w:tc>
      </w:tr>
    </w:tbl>
    <w:p w14:paraId="6B1160D6">
      <w:pPr>
        <w:pStyle w:val="17"/>
        <w:shd w:val="clear"/>
        <w:spacing w:line="360" w:lineRule="auto"/>
        <w:rPr>
          <w:rFonts w:hint="eastAsia" w:ascii="宋体" w:hAnsi="宋体" w:eastAsia="宋体" w:cs="宋体"/>
          <w:color w:val="auto"/>
          <w:sz w:val="24"/>
          <w:szCs w:val="24"/>
          <w:highlight w:val="none"/>
        </w:rPr>
      </w:pPr>
    </w:p>
    <w:p w14:paraId="5A1DFC6B">
      <w:pPr>
        <w:pStyle w:val="17"/>
        <w:shd w:val="clear"/>
        <w:spacing w:line="360" w:lineRule="auto"/>
        <w:rPr>
          <w:rFonts w:hint="eastAsia" w:ascii="宋体" w:hAnsi="宋体" w:eastAsia="宋体" w:cs="宋体"/>
          <w:color w:val="auto"/>
          <w:sz w:val="24"/>
          <w:szCs w:val="24"/>
          <w:highlight w:val="none"/>
        </w:rPr>
      </w:pPr>
    </w:p>
    <w:p w14:paraId="63BFAFDD">
      <w:pPr>
        <w:pStyle w:val="17"/>
        <w:shd w:val="clear"/>
        <w:spacing w:line="360" w:lineRule="auto"/>
        <w:rPr>
          <w:rFonts w:hint="eastAsia" w:ascii="宋体" w:hAnsi="宋体" w:eastAsia="宋体" w:cs="宋体"/>
          <w:color w:val="auto"/>
          <w:sz w:val="24"/>
          <w:szCs w:val="24"/>
          <w:highlight w:val="none"/>
        </w:rPr>
      </w:pPr>
    </w:p>
    <w:p w14:paraId="40381B91">
      <w:pPr>
        <w:shd w:val="clear"/>
        <w:spacing w:line="360" w:lineRule="auto"/>
        <w:ind w:left="3780" w:leftChars="180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法定代表人签名（或签名章）：                       </w:t>
      </w:r>
    </w:p>
    <w:p w14:paraId="4B4994C1">
      <w:pPr>
        <w:shd w:val="clear"/>
        <w:spacing w:line="360" w:lineRule="auto"/>
        <w:ind w:left="3780" w:leftChars="180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 期：</w:t>
      </w:r>
    </w:p>
    <w:p w14:paraId="3D41CCB8">
      <w:pPr>
        <w:shd w:val="clear"/>
        <w:spacing w:line="360" w:lineRule="auto"/>
        <w:ind w:left="3780" w:leftChars="180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供应商全称（公章）：</w:t>
      </w:r>
    </w:p>
    <w:p w14:paraId="4A743880">
      <w:pPr>
        <w:shd w:val="clear"/>
        <w:snapToGrid w:val="0"/>
        <w:spacing w:line="360" w:lineRule="auto"/>
        <w:ind w:firstLine="435"/>
        <w:rPr>
          <w:rFonts w:hint="eastAsia" w:ascii="宋体" w:hAnsi="宋体" w:eastAsia="宋体" w:cs="宋体"/>
          <w:color w:val="auto"/>
          <w:highlight w:val="none"/>
        </w:rPr>
      </w:pPr>
    </w:p>
    <w:p w14:paraId="39F7E055">
      <w:pPr>
        <w:shd w:val="clear"/>
        <w:snapToGrid w:val="0"/>
        <w:spacing w:line="360" w:lineRule="auto"/>
        <w:ind w:firstLine="435"/>
        <w:rPr>
          <w:rFonts w:hint="eastAsia" w:ascii="宋体" w:hAnsi="宋体" w:eastAsia="宋体" w:cs="宋体"/>
          <w:color w:val="auto"/>
          <w:highlight w:val="none"/>
        </w:rPr>
      </w:pPr>
    </w:p>
    <w:p w14:paraId="42720D08">
      <w:pPr>
        <w:shd w:val="clear"/>
        <w:snapToGrid w:val="0"/>
        <w:spacing w:line="360" w:lineRule="auto"/>
        <w:ind w:firstLine="435"/>
        <w:rPr>
          <w:rFonts w:hint="eastAsia" w:ascii="宋体" w:hAnsi="宋体" w:eastAsia="宋体" w:cs="宋体"/>
          <w:color w:val="auto"/>
          <w:highlight w:val="none"/>
        </w:rPr>
      </w:pPr>
    </w:p>
    <w:p w14:paraId="48DDC518">
      <w:pPr>
        <w:shd w:val="clear"/>
        <w:snapToGrid w:val="0"/>
        <w:spacing w:line="360" w:lineRule="auto"/>
        <w:ind w:firstLine="435"/>
        <w:rPr>
          <w:rFonts w:hint="eastAsia" w:ascii="宋体" w:hAnsi="宋体" w:eastAsia="宋体" w:cs="宋体"/>
          <w:color w:val="auto"/>
          <w:highlight w:val="none"/>
        </w:rPr>
      </w:pPr>
    </w:p>
    <w:p w14:paraId="0A0D782F">
      <w:pPr>
        <w:shd w:val="clear"/>
        <w:snapToGrid w:val="0"/>
        <w:spacing w:line="360" w:lineRule="auto"/>
        <w:ind w:firstLine="435"/>
        <w:rPr>
          <w:rFonts w:hint="eastAsia" w:ascii="宋体" w:hAnsi="宋体" w:eastAsia="宋体" w:cs="宋体"/>
          <w:color w:val="auto"/>
          <w:highlight w:val="none"/>
        </w:rPr>
      </w:pPr>
    </w:p>
    <w:p w14:paraId="78D07D67">
      <w:pPr>
        <w:shd w:val="clear" w:color="auto" w:fill="auto"/>
        <w:spacing w:line="360" w:lineRule="auto"/>
        <w:jc w:val="left"/>
        <w:rPr>
          <w:rFonts w:hint="eastAsia" w:ascii="宋体" w:hAnsi="宋体" w:eastAsia="宋体" w:cs="宋体"/>
          <w:b/>
          <w:bCs/>
          <w:color w:val="auto"/>
          <w:sz w:val="24"/>
          <w:szCs w:val="24"/>
          <w:highlight w:val="none"/>
          <w:lang w:val="zh-CN"/>
        </w:rPr>
      </w:pPr>
      <w:r>
        <w:rPr>
          <w:rFonts w:hint="eastAsia" w:ascii="宋体" w:hAnsi="宋体" w:eastAsia="宋体" w:cs="宋体"/>
          <w:color w:val="auto"/>
          <w:highlight w:val="none"/>
        </w:rPr>
        <w:br w:type="page"/>
      </w:r>
      <w:bookmarkStart w:id="118" w:name="_Toc7196"/>
      <w:r>
        <w:rPr>
          <w:rFonts w:hint="eastAsia" w:ascii="宋体" w:hAnsi="宋体" w:eastAsia="宋体" w:cs="宋体"/>
          <w:b/>
          <w:bCs/>
          <w:color w:val="auto"/>
          <w:sz w:val="24"/>
          <w:szCs w:val="24"/>
          <w:highlight w:val="none"/>
          <w:lang w:val="zh-CN"/>
        </w:rPr>
        <w:t>附件十</w:t>
      </w:r>
      <w:r>
        <w:rPr>
          <w:rFonts w:hint="eastAsia" w:ascii="宋体" w:hAnsi="宋体" w:cs="宋体"/>
          <w:b/>
          <w:bCs/>
          <w:color w:val="auto"/>
          <w:sz w:val="24"/>
          <w:szCs w:val="24"/>
          <w:highlight w:val="none"/>
          <w:lang w:val="en-US" w:eastAsia="zh-CN"/>
        </w:rPr>
        <w:t>四</w:t>
      </w:r>
      <w:r>
        <w:rPr>
          <w:rFonts w:hint="eastAsia" w:ascii="宋体" w:hAnsi="宋体" w:eastAsia="宋体" w:cs="宋体"/>
          <w:b/>
          <w:bCs/>
          <w:color w:val="auto"/>
          <w:sz w:val="24"/>
          <w:szCs w:val="24"/>
          <w:highlight w:val="none"/>
          <w:lang w:val="zh-CN"/>
        </w:rPr>
        <w:t>：</w:t>
      </w:r>
    </w:p>
    <w:p w14:paraId="351ECCE0">
      <w:pPr>
        <w:shd w:val="clear" w:color="auto" w:fill="auto"/>
        <w:spacing w:line="360" w:lineRule="auto"/>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磋商报价明细表</w:t>
      </w:r>
    </w:p>
    <w:p w14:paraId="675843FD">
      <w:pPr>
        <w:shd w:val="clear" w:color="auto" w:fill="auto"/>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w:t>
      </w:r>
    </w:p>
    <w:p w14:paraId="11983880">
      <w:pPr>
        <w:shd w:val="clear" w:color="auto" w:fill="auto"/>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采购编号： </w:t>
      </w:r>
    </w:p>
    <w:tbl>
      <w:tblPr>
        <w:tblStyle w:val="29"/>
        <w:tblW w:w="90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9"/>
        <w:gridCol w:w="2490"/>
        <w:gridCol w:w="915"/>
        <w:gridCol w:w="1875"/>
        <w:gridCol w:w="495"/>
        <w:gridCol w:w="498"/>
        <w:gridCol w:w="1147"/>
        <w:gridCol w:w="1123"/>
      </w:tblGrid>
      <w:tr w14:paraId="2632E1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89" w:type="dxa"/>
            <w:vMerge w:val="restart"/>
            <w:vAlign w:val="center"/>
          </w:tcPr>
          <w:p w14:paraId="565BB6C3">
            <w:pPr>
              <w:pStyle w:val="17"/>
              <w:spacing w:line="360" w:lineRule="auto"/>
              <w:jc w:val="center"/>
              <w:rPr>
                <w:rFonts w:hAnsi="宋体"/>
                <w:color w:val="auto"/>
                <w:sz w:val="22"/>
                <w:szCs w:val="22"/>
                <w:highlight w:val="none"/>
              </w:rPr>
            </w:pPr>
            <w:r>
              <w:rPr>
                <w:rFonts w:hint="eastAsia" w:hAnsi="宋体"/>
                <w:color w:val="auto"/>
                <w:sz w:val="22"/>
                <w:szCs w:val="22"/>
                <w:highlight w:val="none"/>
              </w:rPr>
              <w:t>序</w:t>
            </w:r>
          </w:p>
          <w:p w14:paraId="318D0FCB">
            <w:pPr>
              <w:pStyle w:val="17"/>
              <w:spacing w:line="360" w:lineRule="auto"/>
              <w:jc w:val="center"/>
              <w:rPr>
                <w:rFonts w:hAnsi="宋体"/>
                <w:color w:val="auto"/>
                <w:sz w:val="22"/>
                <w:szCs w:val="22"/>
                <w:highlight w:val="none"/>
              </w:rPr>
            </w:pPr>
            <w:r>
              <w:rPr>
                <w:rFonts w:hint="eastAsia" w:hAnsi="宋体"/>
                <w:color w:val="auto"/>
                <w:sz w:val="22"/>
                <w:szCs w:val="22"/>
                <w:highlight w:val="none"/>
              </w:rPr>
              <w:t>号</w:t>
            </w:r>
          </w:p>
        </w:tc>
        <w:tc>
          <w:tcPr>
            <w:tcW w:w="2490" w:type="dxa"/>
            <w:vMerge w:val="restart"/>
            <w:vAlign w:val="center"/>
          </w:tcPr>
          <w:p w14:paraId="7F2DFD41">
            <w:pPr>
              <w:pStyle w:val="17"/>
              <w:spacing w:line="360" w:lineRule="auto"/>
              <w:jc w:val="center"/>
              <w:rPr>
                <w:rFonts w:hAnsi="宋体"/>
                <w:color w:val="auto"/>
                <w:sz w:val="22"/>
                <w:szCs w:val="22"/>
                <w:highlight w:val="none"/>
              </w:rPr>
            </w:pPr>
            <w:r>
              <w:rPr>
                <w:rFonts w:hint="eastAsia" w:hAnsi="宋体"/>
                <w:color w:val="auto"/>
                <w:sz w:val="22"/>
                <w:szCs w:val="22"/>
                <w:highlight w:val="none"/>
              </w:rPr>
              <w:t>名称</w:t>
            </w:r>
          </w:p>
        </w:tc>
        <w:tc>
          <w:tcPr>
            <w:tcW w:w="915" w:type="dxa"/>
            <w:vMerge w:val="restart"/>
            <w:vAlign w:val="center"/>
          </w:tcPr>
          <w:p w14:paraId="390B2304">
            <w:pPr>
              <w:pStyle w:val="17"/>
              <w:spacing w:line="360" w:lineRule="auto"/>
              <w:jc w:val="center"/>
              <w:rPr>
                <w:rFonts w:hAnsi="宋体"/>
                <w:color w:val="auto"/>
                <w:sz w:val="22"/>
                <w:szCs w:val="22"/>
                <w:highlight w:val="none"/>
              </w:rPr>
            </w:pPr>
            <w:r>
              <w:rPr>
                <w:rFonts w:hint="eastAsia" w:hAnsi="宋体"/>
                <w:color w:val="auto"/>
                <w:sz w:val="22"/>
                <w:szCs w:val="22"/>
                <w:highlight w:val="none"/>
              </w:rPr>
              <w:t>内容</w:t>
            </w:r>
          </w:p>
        </w:tc>
        <w:tc>
          <w:tcPr>
            <w:tcW w:w="1875" w:type="dxa"/>
            <w:vMerge w:val="restart"/>
            <w:vAlign w:val="center"/>
          </w:tcPr>
          <w:p w14:paraId="7A921D39">
            <w:pPr>
              <w:pStyle w:val="17"/>
              <w:spacing w:line="360" w:lineRule="auto"/>
              <w:jc w:val="center"/>
              <w:rPr>
                <w:rFonts w:hAnsi="宋体"/>
                <w:color w:val="auto"/>
                <w:sz w:val="22"/>
                <w:szCs w:val="22"/>
                <w:highlight w:val="none"/>
              </w:rPr>
            </w:pPr>
            <w:r>
              <w:rPr>
                <w:rFonts w:hint="eastAsia" w:hAnsi="宋体"/>
                <w:color w:val="auto"/>
                <w:sz w:val="22"/>
                <w:szCs w:val="22"/>
                <w:highlight w:val="none"/>
              </w:rPr>
              <w:t>其他</w:t>
            </w:r>
          </w:p>
        </w:tc>
        <w:tc>
          <w:tcPr>
            <w:tcW w:w="495" w:type="dxa"/>
            <w:vMerge w:val="restart"/>
            <w:vAlign w:val="center"/>
          </w:tcPr>
          <w:p w14:paraId="27ED32B2">
            <w:pPr>
              <w:pStyle w:val="17"/>
              <w:spacing w:line="360" w:lineRule="auto"/>
              <w:jc w:val="center"/>
              <w:rPr>
                <w:rFonts w:hAnsi="宋体"/>
                <w:color w:val="auto"/>
                <w:sz w:val="22"/>
                <w:szCs w:val="22"/>
                <w:highlight w:val="none"/>
              </w:rPr>
            </w:pPr>
            <w:r>
              <w:rPr>
                <w:rFonts w:hint="eastAsia" w:hAnsi="宋体"/>
                <w:color w:val="auto"/>
                <w:sz w:val="22"/>
                <w:szCs w:val="22"/>
                <w:highlight w:val="none"/>
              </w:rPr>
              <w:t>单</w:t>
            </w:r>
          </w:p>
          <w:p w14:paraId="3B8A24E1">
            <w:pPr>
              <w:pStyle w:val="17"/>
              <w:spacing w:line="360" w:lineRule="auto"/>
              <w:jc w:val="center"/>
              <w:rPr>
                <w:rFonts w:hAnsi="宋体"/>
                <w:color w:val="auto"/>
                <w:sz w:val="22"/>
                <w:szCs w:val="22"/>
                <w:highlight w:val="none"/>
              </w:rPr>
            </w:pPr>
            <w:r>
              <w:rPr>
                <w:rFonts w:hint="eastAsia" w:hAnsi="宋体"/>
                <w:color w:val="auto"/>
                <w:sz w:val="22"/>
                <w:szCs w:val="22"/>
                <w:highlight w:val="none"/>
              </w:rPr>
              <w:t>位</w:t>
            </w:r>
          </w:p>
        </w:tc>
        <w:tc>
          <w:tcPr>
            <w:tcW w:w="498" w:type="dxa"/>
            <w:vMerge w:val="restart"/>
            <w:vAlign w:val="center"/>
          </w:tcPr>
          <w:p w14:paraId="0F1B3201">
            <w:pPr>
              <w:pStyle w:val="17"/>
              <w:spacing w:line="360" w:lineRule="auto"/>
              <w:jc w:val="center"/>
              <w:rPr>
                <w:rFonts w:hAnsi="宋体"/>
                <w:color w:val="auto"/>
                <w:sz w:val="22"/>
                <w:szCs w:val="22"/>
                <w:highlight w:val="none"/>
              </w:rPr>
            </w:pPr>
            <w:r>
              <w:rPr>
                <w:rFonts w:hint="eastAsia" w:hAnsi="宋体"/>
                <w:color w:val="auto"/>
                <w:sz w:val="22"/>
                <w:szCs w:val="22"/>
                <w:highlight w:val="none"/>
              </w:rPr>
              <w:t>数量</w:t>
            </w:r>
          </w:p>
        </w:tc>
        <w:tc>
          <w:tcPr>
            <w:tcW w:w="2270" w:type="dxa"/>
            <w:gridSpan w:val="2"/>
            <w:vAlign w:val="center"/>
          </w:tcPr>
          <w:p w14:paraId="4A497F73">
            <w:pPr>
              <w:pStyle w:val="17"/>
              <w:spacing w:line="360" w:lineRule="auto"/>
              <w:jc w:val="center"/>
              <w:rPr>
                <w:rFonts w:hAnsi="宋体"/>
                <w:color w:val="auto"/>
                <w:sz w:val="22"/>
                <w:szCs w:val="22"/>
                <w:highlight w:val="none"/>
              </w:rPr>
            </w:pPr>
            <w:r>
              <w:rPr>
                <w:rFonts w:hint="eastAsia" w:hAnsi="宋体"/>
                <w:color w:val="auto"/>
                <w:sz w:val="22"/>
                <w:szCs w:val="22"/>
                <w:highlight w:val="none"/>
              </w:rPr>
              <w:t>投标报价（元）</w:t>
            </w:r>
          </w:p>
        </w:tc>
      </w:tr>
      <w:tr w14:paraId="488F1A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89" w:type="dxa"/>
            <w:vMerge w:val="continue"/>
            <w:vAlign w:val="center"/>
          </w:tcPr>
          <w:p w14:paraId="02A90E08">
            <w:pPr>
              <w:pStyle w:val="17"/>
              <w:spacing w:line="360" w:lineRule="auto"/>
              <w:jc w:val="center"/>
              <w:rPr>
                <w:rFonts w:hAnsi="宋体"/>
                <w:color w:val="auto"/>
                <w:sz w:val="22"/>
                <w:szCs w:val="22"/>
                <w:highlight w:val="none"/>
              </w:rPr>
            </w:pPr>
          </w:p>
        </w:tc>
        <w:tc>
          <w:tcPr>
            <w:tcW w:w="2490" w:type="dxa"/>
            <w:vMerge w:val="continue"/>
            <w:vAlign w:val="center"/>
          </w:tcPr>
          <w:p w14:paraId="5D5B9E5D">
            <w:pPr>
              <w:pStyle w:val="17"/>
              <w:spacing w:line="360" w:lineRule="auto"/>
              <w:jc w:val="center"/>
              <w:rPr>
                <w:rFonts w:hAnsi="宋体"/>
                <w:color w:val="auto"/>
                <w:sz w:val="22"/>
                <w:szCs w:val="22"/>
                <w:highlight w:val="none"/>
              </w:rPr>
            </w:pPr>
          </w:p>
        </w:tc>
        <w:tc>
          <w:tcPr>
            <w:tcW w:w="915" w:type="dxa"/>
            <w:vMerge w:val="continue"/>
            <w:vAlign w:val="center"/>
          </w:tcPr>
          <w:p w14:paraId="66FFA563">
            <w:pPr>
              <w:pStyle w:val="17"/>
              <w:spacing w:line="360" w:lineRule="auto"/>
              <w:jc w:val="center"/>
              <w:rPr>
                <w:rFonts w:hAnsi="宋体"/>
                <w:color w:val="auto"/>
                <w:sz w:val="22"/>
                <w:szCs w:val="22"/>
                <w:highlight w:val="none"/>
              </w:rPr>
            </w:pPr>
          </w:p>
        </w:tc>
        <w:tc>
          <w:tcPr>
            <w:tcW w:w="1875" w:type="dxa"/>
            <w:vMerge w:val="continue"/>
            <w:vAlign w:val="center"/>
          </w:tcPr>
          <w:p w14:paraId="3E7E0B32">
            <w:pPr>
              <w:pStyle w:val="17"/>
              <w:spacing w:line="360" w:lineRule="auto"/>
              <w:jc w:val="center"/>
              <w:rPr>
                <w:rFonts w:hAnsi="宋体"/>
                <w:color w:val="auto"/>
                <w:sz w:val="22"/>
                <w:szCs w:val="22"/>
                <w:highlight w:val="none"/>
              </w:rPr>
            </w:pPr>
          </w:p>
        </w:tc>
        <w:tc>
          <w:tcPr>
            <w:tcW w:w="495" w:type="dxa"/>
            <w:vMerge w:val="continue"/>
            <w:vAlign w:val="center"/>
          </w:tcPr>
          <w:p w14:paraId="3DC7DB84">
            <w:pPr>
              <w:pStyle w:val="17"/>
              <w:spacing w:line="360" w:lineRule="auto"/>
              <w:jc w:val="center"/>
              <w:rPr>
                <w:rFonts w:hAnsi="宋体"/>
                <w:color w:val="auto"/>
                <w:sz w:val="22"/>
                <w:szCs w:val="22"/>
                <w:highlight w:val="none"/>
              </w:rPr>
            </w:pPr>
          </w:p>
        </w:tc>
        <w:tc>
          <w:tcPr>
            <w:tcW w:w="498" w:type="dxa"/>
            <w:vMerge w:val="continue"/>
            <w:vAlign w:val="center"/>
          </w:tcPr>
          <w:p w14:paraId="465DEEC9">
            <w:pPr>
              <w:pStyle w:val="17"/>
              <w:spacing w:line="360" w:lineRule="auto"/>
              <w:jc w:val="center"/>
              <w:rPr>
                <w:rFonts w:hAnsi="宋体"/>
                <w:color w:val="auto"/>
                <w:sz w:val="22"/>
                <w:szCs w:val="22"/>
                <w:highlight w:val="none"/>
              </w:rPr>
            </w:pPr>
          </w:p>
        </w:tc>
        <w:tc>
          <w:tcPr>
            <w:tcW w:w="1147" w:type="dxa"/>
            <w:vAlign w:val="center"/>
          </w:tcPr>
          <w:p w14:paraId="75387559">
            <w:pPr>
              <w:pStyle w:val="17"/>
              <w:spacing w:line="360" w:lineRule="auto"/>
              <w:jc w:val="center"/>
              <w:rPr>
                <w:rFonts w:hAnsi="宋体"/>
                <w:color w:val="auto"/>
                <w:sz w:val="22"/>
                <w:szCs w:val="22"/>
                <w:highlight w:val="none"/>
              </w:rPr>
            </w:pPr>
            <w:r>
              <w:rPr>
                <w:rFonts w:hint="eastAsia" w:hAnsi="宋体"/>
                <w:color w:val="auto"/>
                <w:sz w:val="22"/>
                <w:szCs w:val="22"/>
                <w:highlight w:val="none"/>
              </w:rPr>
              <w:t>单价</w:t>
            </w:r>
          </w:p>
        </w:tc>
        <w:tc>
          <w:tcPr>
            <w:tcW w:w="1123" w:type="dxa"/>
            <w:vAlign w:val="center"/>
          </w:tcPr>
          <w:p w14:paraId="6C1E057F">
            <w:pPr>
              <w:pStyle w:val="17"/>
              <w:spacing w:line="360" w:lineRule="auto"/>
              <w:jc w:val="center"/>
              <w:rPr>
                <w:rFonts w:hAnsi="宋体"/>
                <w:color w:val="auto"/>
                <w:sz w:val="22"/>
                <w:szCs w:val="22"/>
                <w:highlight w:val="none"/>
              </w:rPr>
            </w:pPr>
            <w:r>
              <w:rPr>
                <w:rFonts w:hint="eastAsia" w:hAnsi="宋体"/>
                <w:color w:val="auto"/>
                <w:sz w:val="22"/>
                <w:szCs w:val="22"/>
                <w:highlight w:val="none"/>
              </w:rPr>
              <w:t>小计</w:t>
            </w:r>
          </w:p>
        </w:tc>
      </w:tr>
      <w:tr w14:paraId="1E7285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89" w:type="dxa"/>
            <w:vAlign w:val="center"/>
          </w:tcPr>
          <w:p w14:paraId="5C5BC8E8">
            <w:pPr>
              <w:pStyle w:val="17"/>
              <w:jc w:val="center"/>
              <w:rPr>
                <w:rFonts w:hAnsi="宋体"/>
                <w:color w:val="auto"/>
                <w:sz w:val="22"/>
                <w:szCs w:val="22"/>
                <w:highlight w:val="none"/>
              </w:rPr>
            </w:pPr>
            <w:r>
              <w:rPr>
                <w:rFonts w:hint="eastAsia" w:hAnsi="宋体"/>
                <w:color w:val="auto"/>
                <w:sz w:val="22"/>
                <w:szCs w:val="22"/>
                <w:highlight w:val="none"/>
              </w:rPr>
              <w:t>1</w:t>
            </w:r>
          </w:p>
        </w:tc>
        <w:tc>
          <w:tcPr>
            <w:tcW w:w="2490" w:type="dxa"/>
            <w:vAlign w:val="center"/>
          </w:tcPr>
          <w:p w14:paraId="50BC7B18">
            <w:pPr>
              <w:pStyle w:val="17"/>
              <w:rPr>
                <w:rFonts w:hAnsi="宋体"/>
                <w:color w:val="auto"/>
                <w:sz w:val="22"/>
                <w:szCs w:val="22"/>
                <w:highlight w:val="none"/>
              </w:rPr>
            </w:pPr>
          </w:p>
        </w:tc>
        <w:tc>
          <w:tcPr>
            <w:tcW w:w="915" w:type="dxa"/>
            <w:vAlign w:val="center"/>
          </w:tcPr>
          <w:p w14:paraId="5AC72702">
            <w:pPr>
              <w:pStyle w:val="17"/>
              <w:spacing w:line="360" w:lineRule="auto"/>
              <w:rPr>
                <w:rFonts w:hAnsi="宋体"/>
                <w:b/>
                <w:bCs/>
                <w:color w:val="auto"/>
                <w:sz w:val="22"/>
                <w:szCs w:val="22"/>
                <w:highlight w:val="none"/>
              </w:rPr>
            </w:pPr>
          </w:p>
        </w:tc>
        <w:tc>
          <w:tcPr>
            <w:tcW w:w="1875" w:type="dxa"/>
            <w:vAlign w:val="center"/>
          </w:tcPr>
          <w:p w14:paraId="6B58D82E">
            <w:pPr>
              <w:pStyle w:val="17"/>
              <w:spacing w:line="360" w:lineRule="auto"/>
              <w:rPr>
                <w:rFonts w:hAnsi="宋体"/>
                <w:b/>
                <w:bCs/>
                <w:color w:val="auto"/>
                <w:sz w:val="22"/>
                <w:szCs w:val="22"/>
                <w:highlight w:val="none"/>
              </w:rPr>
            </w:pPr>
          </w:p>
        </w:tc>
        <w:tc>
          <w:tcPr>
            <w:tcW w:w="495" w:type="dxa"/>
            <w:vAlign w:val="center"/>
          </w:tcPr>
          <w:p w14:paraId="351B3183">
            <w:pPr>
              <w:pStyle w:val="17"/>
              <w:spacing w:line="360" w:lineRule="auto"/>
              <w:rPr>
                <w:rFonts w:hAnsi="宋体"/>
                <w:b/>
                <w:bCs/>
                <w:color w:val="auto"/>
                <w:sz w:val="22"/>
                <w:szCs w:val="22"/>
                <w:highlight w:val="none"/>
              </w:rPr>
            </w:pPr>
          </w:p>
        </w:tc>
        <w:tc>
          <w:tcPr>
            <w:tcW w:w="498" w:type="dxa"/>
            <w:vAlign w:val="center"/>
          </w:tcPr>
          <w:p w14:paraId="09631674">
            <w:pPr>
              <w:pStyle w:val="17"/>
              <w:spacing w:line="360" w:lineRule="auto"/>
              <w:rPr>
                <w:rFonts w:hAnsi="宋体"/>
                <w:b/>
                <w:bCs/>
                <w:color w:val="auto"/>
                <w:sz w:val="22"/>
                <w:szCs w:val="22"/>
                <w:highlight w:val="none"/>
              </w:rPr>
            </w:pPr>
          </w:p>
        </w:tc>
        <w:tc>
          <w:tcPr>
            <w:tcW w:w="1147" w:type="dxa"/>
          </w:tcPr>
          <w:p w14:paraId="47EAE54F">
            <w:pPr>
              <w:pStyle w:val="17"/>
              <w:spacing w:line="360" w:lineRule="auto"/>
              <w:rPr>
                <w:rFonts w:hAnsi="宋体"/>
                <w:color w:val="auto"/>
                <w:sz w:val="22"/>
                <w:szCs w:val="22"/>
                <w:highlight w:val="none"/>
              </w:rPr>
            </w:pPr>
          </w:p>
        </w:tc>
        <w:tc>
          <w:tcPr>
            <w:tcW w:w="1123" w:type="dxa"/>
          </w:tcPr>
          <w:p w14:paraId="2E676409">
            <w:pPr>
              <w:pStyle w:val="17"/>
              <w:spacing w:line="360" w:lineRule="auto"/>
              <w:rPr>
                <w:rFonts w:hAnsi="宋体"/>
                <w:color w:val="auto"/>
                <w:sz w:val="22"/>
                <w:szCs w:val="22"/>
                <w:highlight w:val="none"/>
              </w:rPr>
            </w:pPr>
          </w:p>
        </w:tc>
      </w:tr>
      <w:tr w14:paraId="728AE5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89" w:type="dxa"/>
            <w:vAlign w:val="center"/>
          </w:tcPr>
          <w:p w14:paraId="0FACE74C">
            <w:pPr>
              <w:pStyle w:val="17"/>
              <w:jc w:val="center"/>
              <w:rPr>
                <w:rFonts w:hAnsi="宋体"/>
                <w:color w:val="auto"/>
                <w:sz w:val="22"/>
                <w:szCs w:val="22"/>
                <w:highlight w:val="none"/>
              </w:rPr>
            </w:pPr>
            <w:r>
              <w:rPr>
                <w:rFonts w:hint="eastAsia" w:hAnsi="宋体"/>
                <w:color w:val="auto"/>
                <w:sz w:val="22"/>
                <w:szCs w:val="22"/>
                <w:highlight w:val="none"/>
              </w:rPr>
              <w:t>2</w:t>
            </w:r>
          </w:p>
        </w:tc>
        <w:tc>
          <w:tcPr>
            <w:tcW w:w="2490" w:type="dxa"/>
            <w:vAlign w:val="center"/>
          </w:tcPr>
          <w:p w14:paraId="6FC95F2E">
            <w:pPr>
              <w:pStyle w:val="17"/>
              <w:rPr>
                <w:rFonts w:hAnsi="宋体"/>
                <w:color w:val="auto"/>
                <w:sz w:val="22"/>
                <w:szCs w:val="22"/>
                <w:highlight w:val="none"/>
              </w:rPr>
            </w:pPr>
          </w:p>
        </w:tc>
        <w:tc>
          <w:tcPr>
            <w:tcW w:w="915" w:type="dxa"/>
            <w:vAlign w:val="center"/>
          </w:tcPr>
          <w:p w14:paraId="74866D95">
            <w:pPr>
              <w:pStyle w:val="17"/>
              <w:spacing w:line="360" w:lineRule="auto"/>
              <w:rPr>
                <w:rFonts w:hAnsi="宋体"/>
                <w:b/>
                <w:bCs/>
                <w:color w:val="auto"/>
                <w:sz w:val="22"/>
                <w:szCs w:val="22"/>
                <w:highlight w:val="none"/>
              </w:rPr>
            </w:pPr>
          </w:p>
        </w:tc>
        <w:tc>
          <w:tcPr>
            <w:tcW w:w="1875" w:type="dxa"/>
            <w:vAlign w:val="center"/>
          </w:tcPr>
          <w:p w14:paraId="627AC9AF">
            <w:pPr>
              <w:pStyle w:val="17"/>
              <w:spacing w:line="360" w:lineRule="auto"/>
              <w:rPr>
                <w:rFonts w:hAnsi="宋体"/>
                <w:b/>
                <w:bCs/>
                <w:color w:val="auto"/>
                <w:sz w:val="22"/>
                <w:szCs w:val="22"/>
                <w:highlight w:val="none"/>
              </w:rPr>
            </w:pPr>
          </w:p>
        </w:tc>
        <w:tc>
          <w:tcPr>
            <w:tcW w:w="495" w:type="dxa"/>
            <w:vAlign w:val="center"/>
          </w:tcPr>
          <w:p w14:paraId="0CFE5D58">
            <w:pPr>
              <w:pStyle w:val="17"/>
              <w:spacing w:line="360" w:lineRule="auto"/>
              <w:rPr>
                <w:rFonts w:hAnsi="宋体"/>
                <w:b/>
                <w:bCs/>
                <w:color w:val="auto"/>
                <w:sz w:val="22"/>
                <w:szCs w:val="22"/>
                <w:highlight w:val="none"/>
              </w:rPr>
            </w:pPr>
          </w:p>
        </w:tc>
        <w:tc>
          <w:tcPr>
            <w:tcW w:w="498" w:type="dxa"/>
            <w:vAlign w:val="center"/>
          </w:tcPr>
          <w:p w14:paraId="58BD5419">
            <w:pPr>
              <w:pStyle w:val="17"/>
              <w:spacing w:line="360" w:lineRule="auto"/>
              <w:rPr>
                <w:rFonts w:hAnsi="宋体"/>
                <w:b/>
                <w:bCs/>
                <w:color w:val="auto"/>
                <w:sz w:val="22"/>
                <w:szCs w:val="22"/>
                <w:highlight w:val="none"/>
              </w:rPr>
            </w:pPr>
          </w:p>
        </w:tc>
        <w:tc>
          <w:tcPr>
            <w:tcW w:w="1147" w:type="dxa"/>
          </w:tcPr>
          <w:p w14:paraId="127DE07C">
            <w:pPr>
              <w:pStyle w:val="17"/>
              <w:spacing w:line="360" w:lineRule="auto"/>
              <w:rPr>
                <w:rFonts w:hAnsi="宋体"/>
                <w:color w:val="auto"/>
                <w:sz w:val="22"/>
                <w:szCs w:val="22"/>
                <w:highlight w:val="none"/>
              </w:rPr>
            </w:pPr>
          </w:p>
        </w:tc>
        <w:tc>
          <w:tcPr>
            <w:tcW w:w="1123" w:type="dxa"/>
          </w:tcPr>
          <w:p w14:paraId="45CBF445">
            <w:pPr>
              <w:pStyle w:val="17"/>
              <w:spacing w:line="360" w:lineRule="auto"/>
              <w:rPr>
                <w:rFonts w:hAnsi="宋体"/>
                <w:color w:val="auto"/>
                <w:sz w:val="22"/>
                <w:szCs w:val="22"/>
                <w:highlight w:val="none"/>
              </w:rPr>
            </w:pPr>
          </w:p>
        </w:tc>
      </w:tr>
      <w:tr w14:paraId="1CFB85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89" w:type="dxa"/>
            <w:vAlign w:val="center"/>
          </w:tcPr>
          <w:p w14:paraId="1B0DAC5D">
            <w:pPr>
              <w:pStyle w:val="17"/>
              <w:jc w:val="center"/>
              <w:rPr>
                <w:rFonts w:hAnsi="宋体"/>
                <w:color w:val="auto"/>
                <w:sz w:val="22"/>
                <w:szCs w:val="22"/>
                <w:highlight w:val="none"/>
              </w:rPr>
            </w:pPr>
            <w:r>
              <w:rPr>
                <w:rFonts w:hint="eastAsia" w:hAnsi="宋体"/>
                <w:color w:val="auto"/>
                <w:sz w:val="22"/>
                <w:szCs w:val="22"/>
                <w:highlight w:val="none"/>
              </w:rPr>
              <w:t>3</w:t>
            </w:r>
          </w:p>
        </w:tc>
        <w:tc>
          <w:tcPr>
            <w:tcW w:w="2490" w:type="dxa"/>
            <w:vAlign w:val="center"/>
          </w:tcPr>
          <w:p w14:paraId="4CBD6870">
            <w:pPr>
              <w:pStyle w:val="17"/>
              <w:rPr>
                <w:rFonts w:hAnsi="宋体"/>
                <w:color w:val="auto"/>
                <w:sz w:val="22"/>
                <w:szCs w:val="22"/>
                <w:highlight w:val="none"/>
              </w:rPr>
            </w:pPr>
          </w:p>
        </w:tc>
        <w:tc>
          <w:tcPr>
            <w:tcW w:w="915" w:type="dxa"/>
            <w:vAlign w:val="center"/>
          </w:tcPr>
          <w:p w14:paraId="431C5F2E">
            <w:pPr>
              <w:pStyle w:val="17"/>
              <w:spacing w:line="360" w:lineRule="auto"/>
              <w:rPr>
                <w:rFonts w:hAnsi="宋体"/>
                <w:b/>
                <w:bCs/>
                <w:color w:val="auto"/>
                <w:sz w:val="22"/>
                <w:szCs w:val="22"/>
                <w:highlight w:val="none"/>
              </w:rPr>
            </w:pPr>
          </w:p>
        </w:tc>
        <w:tc>
          <w:tcPr>
            <w:tcW w:w="1875" w:type="dxa"/>
            <w:vAlign w:val="center"/>
          </w:tcPr>
          <w:p w14:paraId="2B130494">
            <w:pPr>
              <w:pStyle w:val="17"/>
              <w:spacing w:line="360" w:lineRule="auto"/>
              <w:rPr>
                <w:rFonts w:hAnsi="宋体"/>
                <w:b/>
                <w:bCs/>
                <w:color w:val="auto"/>
                <w:sz w:val="22"/>
                <w:szCs w:val="22"/>
                <w:highlight w:val="none"/>
              </w:rPr>
            </w:pPr>
          </w:p>
        </w:tc>
        <w:tc>
          <w:tcPr>
            <w:tcW w:w="495" w:type="dxa"/>
            <w:vAlign w:val="center"/>
          </w:tcPr>
          <w:p w14:paraId="0146C625">
            <w:pPr>
              <w:pStyle w:val="17"/>
              <w:spacing w:line="360" w:lineRule="auto"/>
              <w:rPr>
                <w:rFonts w:hAnsi="宋体"/>
                <w:b/>
                <w:bCs/>
                <w:color w:val="auto"/>
                <w:sz w:val="22"/>
                <w:szCs w:val="22"/>
                <w:highlight w:val="none"/>
              </w:rPr>
            </w:pPr>
          </w:p>
        </w:tc>
        <w:tc>
          <w:tcPr>
            <w:tcW w:w="498" w:type="dxa"/>
            <w:vAlign w:val="center"/>
          </w:tcPr>
          <w:p w14:paraId="0EB4A1EA">
            <w:pPr>
              <w:pStyle w:val="17"/>
              <w:spacing w:line="360" w:lineRule="auto"/>
              <w:rPr>
                <w:rFonts w:hAnsi="宋体"/>
                <w:b/>
                <w:bCs/>
                <w:color w:val="auto"/>
                <w:sz w:val="22"/>
                <w:szCs w:val="22"/>
                <w:highlight w:val="none"/>
              </w:rPr>
            </w:pPr>
          </w:p>
        </w:tc>
        <w:tc>
          <w:tcPr>
            <w:tcW w:w="1147" w:type="dxa"/>
          </w:tcPr>
          <w:p w14:paraId="11ED23FD">
            <w:pPr>
              <w:pStyle w:val="17"/>
              <w:spacing w:line="360" w:lineRule="auto"/>
              <w:rPr>
                <w:rFonts w:hAnsi="宋体"/>
                <w:color w:val="auto"/>
                <w:sz w:val="22"/>
                <w:szCs w:val="22"/>
                <w:highlight w:val="none"/>
              </w:rPr>
            </w:pPr>
          </w:p>
        </w:tc>
        <w:tc>
          <w:tcPr>
            <w:tcW w:w="1123" w:type="dxa"/>
          </w:tcPr>
          <w:p w14:paraId="2C8C46D2">
            <w:pPr>
              <w:pStyle w:val="17"/>
              <w:spacing w:line="360" w:lineRule="auto"/>
              <w:rPr>
                <w:rFonts w:hAnsi="宋体"/>
                <w:color w:val="auto"/>
                <w:sz w:val="22"/>
                <w:szCs w:val="22"/>
                <w:highlight w:val="none"/>
              </w:rPr>
            </w:pPr>
          </w:p>
        </w:tc>
      </w:tr>
      <w:tr w14:paraId="4B936D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89" w:type="dxa"/>
            <w:vAlign w:val="center"/>
          </w:tcPr>
          <w:p w14:paraId="0D879EDD">
            <w:pPr>
              <w:pStyle w:val="17"/>
              <w:jc w:val="center"/>
              <w:rPr>
                <w:rFonts w:hAnsi="宋体"/>
                <w:color w:val="auto"/>
                <w:sz w:val="22"/>
                <w:szCs w:val="22"/>
                <w:highlight w:val="none"/>
              </w:rPr>
            </w:pPr>
            <w:r>
              <w:rPr>
                <w:rFonts w:hint="eastAsia" w:hAnsi="宋体"/>
                <w:color w:val="auto"/>
                <w:sz w:val="22"/>
                <w:szCs w:val="22"/>
                <w:highlight w:val="none"/>
              </w:rPr>
              <w:t>4</w:t>
            </w:r>
          </w:p>
        </w:tc>
        <w:tc>
          <w:tcPr>
            <w:tcW w:w="2490" w:type="dxa"/>
            <w:vAlign w:val="center"/>
          </w:tcPr>
          <w:p w14:paraId="600DBC60">
            <w:pPr>
              <w:pStyle w:val="17"/>
              <w:rPr>
                <w:rFonts w:hAnsi="宋体"/>
                <w:color w:val="auto"/>
                <w:sz w:val="22"/>
                <w:szCs w:val="22"/>
                <w:highlight w:val="none"/>
              </w:rPr>
            </w:pPr>
          </w:p>
        </w:tc>
        <w:tc>
          <w:tcPr>
            <w:tcW w:w="915" w:type="dxa"/>
            <w:vAlign w:val="center"/>
          </w:tcPr>
          <w:p w14:paraId="3582CE53">
            <w:pPr>
              <w:pStyle w:val="17"/>
              <w:spacing w:line="360" w:lineRule="auto"/>
              <w:jc w:val="center"/>
              <w:rPr>
                <w:rFonts w:hAnsi="宋体"/>
                <w:color w:val="auto"/>
                <w:sz w:val="22"/>
                <w:szCs w:val="22"/>
                <w:highlight w:val="none"/>
              </w:rPr>
            </w:pPr>
          </w:p>
        </w:tc>
        <w:tc>
          <w:tcPr>
            <w:tcW w:w="1875" w:type="dxa"/>
            <w:vAlign w:val="center"/>
          </w:tcPr>
          <w:p w14:paraId="6583233F">
            <w:pPr>
              <w:pStyle w:val="17"/>
              <w:spacing w:line="360" w:lineRule="auto"/>
              <w:jc w:val="center"/>
              <w:rPr>
                <w:rFonts w:hAnsi="宋体"/>
                <w:color w:val="auto"/>
                <w:sz w:val="22"/>
                <w:szCs w:val="22"/>
                <w:highlight w:val="none"/>
              </w:rPr>
            </w:pPr>
          </w:p>
        </w:tc>
        <w:tc>
          <w:tcPr>
            <w:tcW w:w="495" w:type="dxa"/>
            <w:vAlign w:val="center"/>
          </w:tcPr>
          <w:p w14:paraId="49EDB525">
            <w:pPr>
              <w:pStyle w:val="17"/>
              <w:spacing w:line="360" w:lineRule="auto"/>
              <w:jc w:val="center"/>
              <w:rPr>
                <w:rFonts w:hAnsi="宋体"/>
                <w:color w:val="auto"/>
                <w:sz w:val="22"/>
                <w:szCs w:val="22"/>
                <w:highlight w:val="none"/>
              </w:rPr>
            </w:pPr>
          </w:p>
        </w:tc>
        <w:tc>
          <w:tcPr>
            <w:tcW w:w="498" w:type="dxa"/>
            <w:vAlign w:val="center"/>
          </w:tcPr>
          <w:p w14:paraId="182DD575">
            <w:pPr>
              <w:pStyle w:val="17"/>
              <w:spacing w:line="360" w:lineRule="auto"/>
              <w:jc w:val="center"/>
              <w:rPr>
                <w:rFonts w:hAnsi="宋体"/>
                <w:color w:val="auto"/>
                <w:sz w:val="22"/>
                <w:szCs w:val="22"/>
                <w:highlight w:val="none"/>
              </w:rPr>
            </w:pPr>
          </w:p>
        </w:tc>
        <w:tc>
          <w:tcPr>
            <w:tcW w:w="1147" w:type="dxa"/>
          </w:tcPr>
          <w:p w14:paraId="03DF9068">
            <w:pPr>
              <w:pStyle w:val="17"/>
              <w:spacing w:line="360" w:lineRule="auto"/>
              <w:rPr>
                <w:rFonts w:hAnsi="宋体"/>
                <w:color w:val="auto"/>
                <w:sz w:val="22"/>
                <w:szCs w:val="22"/>
                <w:highlight w:val="none"/>
              </w:rPr>
            </w:pPr>
          </w:p>
        </w:tc>
        <w:tc>
          <w:tcPr>
            <w:tcW w:w="1123" w:type="dxa"/>
          </w:tcPr>
          <w:p w14:paraId="5A9DEF6E">
            <w:pPr>
              <w:pStyle w:val="17"/>
              <w:spacing w:line="360" w:lineRule="auto"/>
              <w:rPr>
                <w:rFonts w:hAnsi="宋体"/>
                <w:color w:val="auto"/>
                <w:sz w:val="22"/>
                <w:szCs w:val="22"/>
                <w:highlight w:val="none"/>
              </w:rPr>
            </w:pPr>
          </w:p>
        </w:tc>
      </w:tr>
      <w:tr w14:paraId="365A5E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89" w:type="dxa"/>
            <w:vAlign w:val="center"/>
          </w:tcPr>
          <w:p w14:paraId="649980CE">
            <w:pPr>
              <w:pStyle w:val="17"/>
              <w:spacing w:line="360" w:lineRule="auto"/>
              <w:jc w:val="center"/>
              <w:rPr>
                <w:rFonts w:hAnsi="宋体"/>
                <w:color w:val="auto"/>
                <w:sz w:val="22"/>
                <w:szCs w:val="22"/>
                <w:highlight w:val="none"/>
              </w:rPr>
            </w:pPr>
            <w:r>
              <w:rPr>
                <w:rFonts w:hint="eastAsia" w:hAnsi="宋体"/>
                <w:color w:val="auto"/>
                <w:sz w:val="22"/>
                <w:szCs w:val="22"/>
                <w:highlight w:val="none"/>
              </w:rPr>
              <w:t>5</w:t>
            </w:r>
          </w:p>
        </w:tc>
        <w:tc>
          <w:tcPr>
            <w:tcW w:w="2490" w:type="dxa"/>
            <w:vAlign w:val="center"/>
          </w:tcPr>
          <w:p w14:paraId="794C7E7D">
            <w:pPr>
              <w:pStyle w:val="17"/>
              <w:spacing w:line="360" w:lineRule="auto"/>
              <w:rPr>
                <w:rFonts w:hAnsi="宋体"/>
                <w:color w:val="auto"/>
                <w:sz w:val="22"/>
                <w:szCs w:val="22"/>
                <w:highlight w:val="none"/>
              </w:rPr>
            </w:pPr>
          </w:p>
        </w:tc>
        <w:tc>
          <w:tcPr>
            <w:tcW w:w="915" w:type="dxa"/>
            <w:vAlign w:val="center"/>
          </w:tcPr>
          <w:p w14:paraId="475D2876">
            <w:pPr>
              <w:jc w:val="center"/>
              <w:rPr>
                <w:rFonts w:ascii="宋体" w:hAnsi="宋体" w:cs="宋体"/>
                <w:color w:val="auto"/>
                <w:sz w:val="22"/>
                <w:szCs w:val="22"/>
                <w:highlight w:val="none"/>
              </w:rPr>
            </w:pPr>
          </w:p>
        </w:tc>
        <w:tc>
          <w:tcPr>
            <w:tcW w:w="1875" w:type="dxa"/>
            <w:vAlign w:val="center"/>
          </w:tcPr>
          <w:p w14:paraId="189426F4">
            <w:pPr>
              <w:jc w:val="center"/>
              <w:rPr>
                <w:rFonts w:ascii="宋体" w:hAnsi="宋体" w:cs="宋体"/>
                <w:color w:val="auto"/>
                <w:sz w:val="22"/>
                <w:szCs w:val="22"/>
                <w:highlight w:val="none"/>
              </w:rPr>
            </w:pPr>
          </w:p>
        </w:tc>
        <w:tc>
          <w:tcPr>
            <w:tcW w:w="495" w:type="dxa"/>
            <w:vAlign w:val="center"/>
          </w:tcPr>
          <w:p w14:paraId="06DDE99A">
            <w:pPr>
              <w:pStyle w:val="17"/>
              <w:spacing w:line="360" w:lineRule="auto"/>
              <w:jc w:val="center"/>
              <w:rPr>
                <w:rFonts w:hAnsi="宋体"/>
                <w:color w:val="auto"/>
                <w:sz w:val="22"/>
                <w:szCs w:val="22"/>
                <w:highlight w:val="none"/>
              </w:rPr>
            </w:pPr>
          </w:p>
        </w:tc>
        <w:tc>
          <w:tcPr>
            <w:tcW w:w="498" w:type="dxa"/>
            <w:vAlign w:val="center"/>
          </w:tcPr>
          <w:p w14:paraId="6C66AAD0">
            <w:pPr>
              <w:pStyle w:val="17"/>
              <w:spacing w:line="360" w:lineRule="auto"/>
              <w:jc w:val="center"/>
              <w:rPr>
                <w:rFonts w:hAnsi="宋体"/>
                <w:color w:val="auto"/>
                <w:sz w:val="22"/>
                <w:szCs w:val="22"/>
                <w:highlight w:val="none"/>
              </w:rPr>
            </w:pPr>
          </w:p>
        </w:tc>
        <w:tc>
          <w:tcPr>
            <w:tcW w:w="1147" w:type="dxa"/>
          </w:tcPr>
          <w:p w14:paraId="17CD7962">
            <w:pPr>
              <w:pStyle w:val="17"/>
              <w:spacing w:line="360" w:lineRule="auto"/>
              <w:rPr>
                <w:rFonts w:hAnsi="宋体"/>
                <w:color w:val="auto"/>
                <w:sz w:val="22"/>
                <w:szCs w:val="22"/>
                <w:highlight w:val="none"/>
              </w:rPr>
            </w:pPr>
          </w:p>
        </w:tc>
        <w:tc>
          <w:tcPr>
            <w:tcW w:w="1123" w:type="dxa"/>
          </w:tcPr>
          <w:p w14:paraId="37BA6BCD">
            <w:pPr>
              <w:pStyle w:val="17"/>
              <w:spacing w:line="360" w:lineRule="auto"/>
              <w:rPr>
                <w:rFonts w:hAnsi="宋体"/>
                <w:color w:val="auto"/>
                <w:sz w:val="22"/>
                <w:szCs w:val="22"/>
                <w:highlight w:val="none"/>
              </w:rPr>
            </w:pPr>
          </w:p>
        </w:tc>
      </w:tr>
      <w:tr w14:paraId="5C6292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89" w:type="dxa"/>
          </w:tcPr>
          <w:p w14:paraId="259FB74A">
            <w:pPr>
              <w:pStyle w:val="17"/>
              <w:spacing w:line="360" w:lineRule="auto"/>
              <w:rPr>
                <w:rFonts w:hAnsi="宋体"/>
                <w:color w:val="auto"/>
                <w:sz w:val="22"/>
                <w:szCs w:val="22"/>
                <w:highlight w:val="none"/>
              </w:rPr>
            </w:pPr>
          </w:p>
        </w:tc>
        <w:tc>
          <w:tcPr>
            <w:tcW w:w="2490" w:type="dxa"/>
            <w:vAlign w:val="center"/>
          </w:tcPr>
          <w:p w14:paraId="2D0DA957">
            <w:pPr>
              <w:pStyle w:val="17"/>
              <w:spacing w:line="360" w:lineRule="auto"/>
              <w:jc w:val="center"/>
              <w:rPr>
                <w:rFonts w:hAnsi="宋体"/>
                <w:color w:val="auto"/>
                <w:sz w:val="22"/>
                <w:szCs w:val="22"/>
                <w:highlight w:val="none"/>
              </w:rPr>
            </w:pPr>
            <w:r>
              <w:rPr>
                <w:rFonts w:hint="eastAsia" w:hAnsi="宋体"/>
                <w:color w:val="auto"/>
                <w:sz w:val="22"/>
                <w:szCs w:val="22"/>
                <w:highlight w:val="none"/>
              </w:rPr>
              <w:t>……</w:t>
            </w:r>
          </w:p>
        </w:tc>
        <w:tc>
          <w:tcPr>
            <w:tcW w:w="915" w:type="dxa"/>
            <w:vAlign w:val="center"/>
          </w:tcPr>
          <w:p w14:paraId="227A31CF">
            <w:pPr>
              <w:jc w:val="center"/>
              <w:rPr>
                <w:rFonts w:ascii="宋体" w:hAnsi="宋体" w:cs="宋体"/>
                <w:color w:val="auto"/>
                <w:sz w:val="22"/>
                <w:szCs w:val="22"/>
                <w:highlight w:val="none"/>
              </w:rPr>
            </w:pPr>
          </w:p>
        </w:tc>
        <w:tc>
          <w:tcPr>
            <w:tcW w:w="1875" w:type="dxa"/>
            <w:vAlign w:val="center"/>
          </w:tcPr>
          <w:p w14:paraId="15351B72">
            <w:pPr>
              <w:jc w:val="center"/>
              <w:rPr>
                <w:rFonts w:ascii="宋体" w:hAnsi="宋体" w:cs="宋体"/>
                <w:color w:val="auto"/>
                <w:sz w:val="22"/>
                <w:szCs w:val="22"/>
                <w:highlight w:val="none"/>
              </w:rPr>
            </w:pPr>
          </w:p>
        </w:tc>
        <w:tc>
          <w:tcPr>
            <w:tcW w:w="495" w:type="dxa"/>
            <w:vAlign w:val="center"/>
          </w:tcPr>
          <w:p w14:paraId="19024ED1">
            <w:pPr>
              <w:pStyle w:val="17"/>
              <w:spacing w:line="360" w:lineRule="auto"/>
              <w:jc w:val="center"/>
              <w:rPr>
                <w:rFonts w:hAnsi="宋体"/>
                <w:color w:val="auto"/>
                <w:sz w:val="22"/>
                <w:szCs w:val="22"/>
                <w:highlight w:val="none"/>
              </w:rPr>
            </w:pPr>
          </w:p>
        </w:tc>
        <w:tc>
          <w:tcPr>
            <w:tcW w:w="498" w:type="dxa"/>
            <w:vAlign w:val="center"/>
          </w:tcPr>
          <w:p w14:paraId="7FE9D2C6">
            <w:pPr>
              <w:pStyle w:val="17"/>
              <w:spacing w:line="360" w:lineRule="auto"/>
              <w:jc w:val="center"/>
              <w:rPr>
                <w:rFonts w:hAnsi="宋体"/>
                <w:color w:val="auto"/>
                <w:sz w:val="22"/>
                <w:szCs w:val="22"/>
                <w:highlight w:val="none"/>
              </w:rPr>
            </w:pPr>
          </w:p>
        </w:tc>
        <w:tc>
          <w:tcPr>
            <w:tcW w:w="1147" w:type="dxa"/>
          </w:tcPr>
          <w:p w14:paraId="15E8C2BA">
            <w:pPr>
              <w:pStyle w:val="17"/>
              <w:spacing w:line="360" w:lineRule="auto"/>
              <w:rPr>
                <w:rFonts w:hAnsi="宋体"/>
                <w:color w:val="auto"/>
                <w:sz w:val="22"/>
                <w:szCs w:val="22"/>
                <w:highlight w:val="none"/>
              </w:rPr>
            </w:pPr>
          </w:p>
        </w:tc>
        <w:tc>
          <w:tcPr>
            <w:tcW w:w="1123" w:type="dxa"/>
          </w:tcPr>
          <w:p w14:paraId="024C681E">
            <w:pPr>
              <w:pStyle w:val="17"/>
              <w:spacing w:line="360" w:lineRule="auto"/>
              <w:rPr>
                <w:rFonts w:hAnsi="宋体"/>
                <w:color w:val="auto"/>
                <w:sz w:val="22"/>
                <w:szCs w:val="22"/>
                <w:highlight w:val="none"/>
              </w:rPr>
            </w:pPr>
          </w:p>
        </w:tc>
      </w:tr>
      <w:tr w14:paraId="184950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2" w:hRule="atLeast"/>
          <w:jc w:val="center"/>
        </w:trPr>
        <w:tc>
          <w:tcPr>
            <w:tcW w:w="2979" w:type="dxa"/>
            <w:gridSpan w:val="2"/>
            <w:vAlign w:val="center"/>
          </w:tcPr>
          <w:p w14:paraId="4D8DB04C">
            <w:pPr>
              <w:pStyle w:val="17"/>
              <w:spacing w:line="360" w:lineRule="auto"/>
              <w:jc w:val="center"/>
              <w:rPr>
                <w:rFonts w:hAnsi="宋体"/>
                <w:color w:val="auto"/>
                <w:sz w:val="22"/>
                <w:szCs w:val="22"/>
                <w:highlight w:val="none"/>
              </w:rPr>
            </w:pPr>
            <w:r>
              <w:rPr>
                <w:rFonts w:hint="eastAsia" w:hAnsi="宋体"/>
                <w:color w:val="auto"/>
                <w:sz w:val="22"/>
                <w:szCs w:val="22"/>
                <w:highlight w:val="none"/>
              </w:rPr>
              <w:t>投标总价</w:t>
            </w:r>
          </w:p>
        </w:tc>
        <w:tc>
          <w:tcPr>
            <w:tcW w:w="6053" w:type="dxa"/>
            <w:gridSpan w:val="6"/>
            <w:vAlign w:val="center"/>
          </w:tcPr>
          <w:p w14:paraId="1BA6CF5B">
            <w:pPr>
              <w:pStyle w:val="17"/>
              <w:spacing w:line="360" w:lineRule="auto"/>
              <w:jc w:val="center"/>
              <w:rPr>
                <w:rFonts w:hAnsi="宋体"/>
                <w:color w:val="auto"/>
                <w:sz w:val="22"/>
                <w:szCs w:val="22"/>
                <w:highlight w:val="none"/>
              </w:rPr>
            </w:pPr>
            <w:r>
              <w:rPr>
                <w:rFonts w:hint="eastAsia" w:hAnsi="宋体"/>
                <w:color w:val="auto"/>
                <w:sz w:val="22"/>
                <w:szCs w:val="22"/>
                <w:highlight w:val="none"/>
              </w:rPr>
              <w:t>大写：　　　　                元（小写：　　　　　）</w:t>
            </w:r>
          </w:p>
        </w:tc>
      </w:tr>
      <w:tr w14:paraId="68FD2C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032" w:type="dxa"/>
            <w:gridSpan w:val="8"/>
          </w:tcPr>
          <w:p w14:paraId="7F5D3FC3">
            <w:pPr>
              <w:pStyle w:val="17"/>
              <w:ind w:firstLine="440" w:firstLineChars="200"/>
              <w:rPr>
                <w:rFonts w:hAnsi="宋体"/>
                <w:color w:val="auto"/>
                <w:sz w:val="22"/>
                <w:szCs w:val="22"/>
                <w:highlight w:val="none"/>
              </w:rPr>
            </w:pPr>
            <w:r>
              <w:rPr>
                <w:rFonts w:hint="eastAsia" w:hAnsi="宋体"/>
                <w:color w:val="auto"/>
                <w:sz w:val="22"/>
                <w:szCs w:val="22"/>
                <w:highlight w:val="none"/>
              </w:rPr>
              <w:t>投标报价应包含项目所需全部服务，不得缺漏，是履行合同的最终价格（即人员的工资福利、员工五险费(养老保险、医疗保险、失业保险、工伤保险、生育保险)、交通费、设备和设施费、管理费、税费等一切税金和费用）。投标报价为供应商所能承受的最低、最终报价，供应商不得再要求追加任何费用。</w:t>
            </w:r>
          </w:p>
        </w:tc>
      </w:tr>
    </w:tbl>
    <w:p w14:paraId="3899FE94">
      <w:pPr>
        <w:pStyle w:val="3"/>
        <w:shd w:val="clear"/>
        <w:tabs>
          <w:tab w:val="left" w:pos="1965"/>
        </w:tabs>
        <w:rPr>
          <w:rFonts w:hint="eastAsia" w:ascii="宋体" w:hAnsi="宋体" w:eastAsia="宋体" w:cs="宋体"/>
          <w:color w:val="auto"/>
          <w:highlight w:val="none"/>
        </w:rPr>
      </w:pPr>
      <w:r>
        <w:rPr>
          <w:rFonts w:hint="eastAsia" w:ascii="宋体" w:hAnsi="宋体" w:eastAsia="宋体" w:cs="宋体"/>
          <w:color w:val="auto"/>
          <w:highlight w:val="none"/>
        </w:rPr>
        <w:tab/>
      </w:r>
    </w:p>
    <w:p w14:paraId="011D74C7">
      <w:pPr>
        <w:shd w:val="clear"/>
        <w:spacing w:line="360" w:lineRule="auto"/>
        <w:rPr>
          <w:rFonts w:hint="eastAsia" w:hAnsi="宋体"/>
          <w:color w:val="auto"/>
          <w:sz w:val="24"/>
          <w:szCs w:val="24"/>
          <w:highlight w:val="none"/>
        </w:rPr>
      </w:pPr>
      <w:r>
        <w:rPr>
          <w:rFonts w:hint="eastAsia" w:hAnsi="宋体"/>
          <w:color w:val="auto"/>
          <w:sz w:val="24"/>
          <w:szCs w:val="24"/>
          <w:highlight w:val="none"/>
        </w:rPr>
        <w:t>注：内容可根据供应商实际情况自行调整。</w:t>
      </w:r>
    </w:p>
    <w:p w14:paraId="5B8ED601">
      <w:pPr>
        <w:pStyle w:val="2"/>
        <w:rPr>
          <w:rFonts w:hint="eastAsia" w:hAnsi="宋体"/>
          <w:color w:val="auto"/>
          <w:sz w:val="24"/>
          <w:szCs w:val="24"/>
          <w:highlight w:val="none"/>
        </w:rPr>
      </w:pPr>
    </w:p>
    <w:p w14:paraId="3BFB9B72">
      <w:pPr>
        <w:pStyle w:val="3"/>
        <w:rPr>
          <w:rFonts w:hint="eastAsia" w:hAnsi="宋体"/>
          <w:color w:val="auto"/>
          <w:sz w:val="24"/>
          <w:szCs w:val="24"/>
          <w:highlight w:val="none"/>
        </w:rPr>
      </w:pPr>
    </w:p>
    <w:p w14:paraId="6EBA0CF8">
      <w:pPr>
        <w:pStyle w:val="4"/>
        <w:rPr>
          <w:rFonts w:hint="eastAsia"/>
          <w:color w:val="auto"/>
        </w:rPr>
      </w:pPr>
    </w:p>
    <w:p w14:paraId="28C931AB">
      <w:pPr>
        <w:shd w:val="clear"/>
        <w:spacing w:line="360" w:lineRule="auto"/>
        <w:ind w:left="3780" w:leftChars="180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法定代表人签名（或签名章）：                       </w:t>
      </w:r>
    </w:p>
    <w:p w14:paraId="3A23312F">
      <w:pPr>
        <w:shd w:val="clear"/>
        <w:spacing w:line="360" w:lineRule="auto"/>
        <w:ind w:left="3780" w:leftChars="180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 期：</w:t>
      </w:r>
    </w:p>
    <w:p w14:paraId="51F458E4">
      <w:pPr>
        <w:shd w:val="clear"/>
        <w:spacing w:line="360" w:lineRule="auto"/>
        <w:ind w:left="3780" w:leftChars="180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供应商全称（公章）：</w:t>
      </w:r>
      <w:bookmarkEnd w:id="118"/>
    </w:p>
    <w:sectPr>
      <w:headerReference r:id="rId6" w:type="default"/>
      <w:footerReference r:id="rId7"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TimesNewRomanPSMT">
    <w:altName w:val="Times New Roman"/>
    <w:panose1 w:val="00000000000000000000"/>
    <w:charset w:val="00"/>
    <w:family w:val="roman"/>
    <w:pitch w:val="default"/>
    <w:sig w:usb0="00000000" w:usb1="00000000" w:usb2="00000000" w:usb3="00000000" w:csb0="00000000" w:csb1="00000000"/>
  </w:font>
  <w:font w:name="仿宋_GB2312">
    <w:altName w:val="仿宋"/>
    <w:panose1 w:val="02010609030101010101"/>
    <w:charset w:val="86"/>
    <w:family w:val="modern"/>
    <w:pitch w:val="default"/>
    <w:sig w:usb0="00000000" w:usb1="00000000" w:usb2="00000000" w:usb3="00000000" w:csb0="00040000"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CS?o｡ﾀ?">
    <w:altName w:val="MS Mincho"/>
    <w:panose1 w:val="00000000000000000000"/>
    <w:charset w:val="80"/>
    <w:family w:val="roman"/>
    <w:pitch w:val="default"/>
    <w:sig w:usb0="00000000" w:usb1="00000000" w:usb2="00000010" w:usb3="00000000" w:csb0="00020000" w:csb1="00000000"/>
  </w:font>
  <w:font w:name="MS Mincho">
    <w:panose1 w:val="02020609040205080304"/>
    <w:charset w:val="80"/>
    <w:family w:val="auto"/>
    <w:pitch w:val="default"/>
    <w:sig w:usb0="E00002FF" w:usb1="6AC7FDFB" w:usb2="00000012" w:usb3="00000000" w:csb0="4002009F" w:csb1="DFD70000"/>
  </w:font>
  <w:font w:name="MS PGothic">
    <w:panose1 w:val="020B0600070205080204"/>
    <w:charset w:val="80"/>
    <w:family w:val="auto"/>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75EE48">
    <w:pPr>
      <w:pStyle w:val="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8CCA53">
    <w:pPr>
      <w:pStyle w:val="2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1998A925">
                          <w:pPr>
                            <w:pStyle w:val="20"/>
                          </w:pPr>
                          <w:r>
                            <w:fldChar w:fldCharType="begin"/>
                          </w:r>
                          <w:r>
                            <w:instrText xml:space="preserve"> PAGE  \* MERGEFORMAT </w:instrText>
                          </w:r>
                          <w:r>
                            <w:fldChar w:fldCharType="separate"/>
                          </w:r>
                          <w:r>
                            <w:t>19</w:t>
                          </w:r>
                          <w:r>
                            <w:fldChar w:fldCharType="end"/>
                          </w:r>
                        </w:p>
                      </w:txbxContent>
                    </wps:txbx>
                    <wps:bodyPr wrap="none" lIns="0" tIns="0" rIns="0" bIns="0" upright="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LNJWO7QAAAABQEAAA8AAAAAAAAAAQAgAAAAIgAA&#10;AGRycy9kb3ducmV2LnhtbFBLAQIUABQAAAAIAIdO4kCazfJM1wEAALADAAAOAAAAAAAAAAEAIAAA&#10;AB8BAABkcnMvZTJvRG9jLnhtbFBLBQYAAAAABgAGAFkBAABoBQAAAAA=&#10;">
              <v:fill on="f" focussize="0,0"/>
              <v:stroke on="f" weight="0.5pt"/>
              <v:imagedata o:title=""/>
              <o:lock v:ext="edit" aspectratio="f"/>
              <v:textbox inset="0mm,0mm,0mm,0mm" style="mso-fit-shape-to-text:t;">
                <w:txbxContent>
                  <w:p w14:paraId="1998A925">
                    <w:pPr>
                      <w:pStyle w:val="20"/>
                    </w:pPr>
                    <w:r>
                      <w:fldChar w:fldCharType="begin"/>
                    </w:r>
                    <w:r>
                      <w:instrText xml:space="preserve"> PAGE  \* MERGEFORMAT </w:instrText>
                    </w:r>
                    <w:r>
                      <w:fldChar w:fldCharType="separate"/>
                    </w:r>
                    <w:r>
                      <w:t>19</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02CF12">
    <w:pPr>
      <w:pStyle w:val="20"/>
      <w:jc w:val="center"/>
      <w:rPr>
        <w:rFonts w:ascii="宋体"/>
        <w:sz w:val="28"/>
        <w:szCs w:val="28"/>
      </w:rPr>
    </w:pPr>
    <w:r>
      <w:rPr>
        <w:rFonts w:hint="eastAsia" w:ascii="宋体"/>
        <w:sz w:val="28"/>
        <w:szCs w:val="28"/>
      </w:rPr>
      <w:fldChar w:fldCharType="begin"/>
    </w:r>
    <w:r>
      <w:rPr>
        <w:rFonts w:hint="eastAsia" w:ascii="宋体"/>
        <w:sz w:val="28"/>
        <w:szCs w:val="28"/>
      </w:rPr>
      <w:instrText xml:space="preserve">PAGE   \* MERGEFORMAT</w:instrText>
    </w:r>
    <w:r>
      <w:rPr>
        <w:rFonts w:hint="eastAsia" w:ascii="宋体"/>
        <w:sz w:val="28"/>
        <w:szCs w:val="28"/>
      </w:rPr>
      <w:fldChar w:fldCharType="separate"/>
    </w:r>
    <w:r>
      <w:rPr>
        <w:rFonts w:ascii="宋体"/>
        <w:sz w:val="28"/>
        <w:szCs w:val="28"/>
        <w:lang w:val="zh-CN"/>
      </w:rPr>
      <w:t>16</w:t>
    </w:r>
    <w:r>
      <w:rPr>
        <w:rFonts w:hint="eastAsia" w:ascii="宋体"/>
        <w:sz w:val="28"/>
        <w:szCs w:val="28"/>
      </w:rPr>
      <w:fldChar w:fldCharType="end"/>
    </w:r>
  </w:p>
  <w:p w14:paraId="022C81D5">
    <w:pPr>
      <w:pStyle w:val="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C648EF">
    <w:pPr>
      <w:pStyle w:val="20"/>
      <w:rPr>
        <w:rStyle w:val="33"/>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16205" cy="278765"/>
              <wp:effectExtent l="0" t="0" r="0" b="0"/>
              <wp:wrapNone/>
              <wp:docPr id="3" name="文本框 3"/>
              <wp:cNvGraphicFramePr/>
              <a:graphic xmlns:a="http://schemas.openxmlformats.org/drawingml/2006/main">
                <a:graphicData uri="http://schemas.microsoft.com/office/word/2010/wordprocessingShape">
                  <wps:wsp>
                    <wps:cNvSpPr txBox="1"/>
                    <wps:spPr>
                      <a:xfrm>
                        <a:off x="0" y="0"/>
                        <a:ext cx="116205" cy="278765"/>
                      </a:xfrm>
                      <a:prstGeom prst="rect">
                        <a:avLst/>
                      </a:prstGeom>
                      <a:noFill/>
                      <a:ln>
                        <a:noFill/>
                      </a:ln>
                      <a:effectLst/>
                    </wps:spPr>
                    <wps:txbx>
                      <w:txbxContent>
                        <w:p w14:paraId="2CB55604">
                          <w:pPr>
                            <w:pStyle w:val="20"/>
                          </w:pPr>
                          <w:r>
                            <w:fldChar w:fldCharType="begin"/>
                          </w:r>
                          <w:r>
                            <w:instrText xml:space="preserve"> PAGE  \* MERGEFORMAT </w:instrText>
                          </w:r>
                          <w:r>
                            <w:fldChar w:fldCharType="separate"/>
                          </w:r>
                          <w:r>
                            <w:t>58</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21.95pt;width:9.15pt;mso-position-horizontal:center;mso-position-horizontal-relative:margin;mso-wrap-style:none;z-index:251661312;mso-width-relative:page;mso-height-relative:page;" filled="f" stroked="f" coordsize="21600,21600" o:gfxdata="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FuNj1nRAAAAAwEAAA8AAAAAAAAAAQAgAAAAIgAAAGRy&#10;cy9kb3ducmV2LnhtbFBLAQIUABQAAAAIAIdO4kArpkT20wEAAKUDAAAOAAAAAAAAAAEAIAAAACAB&#10;AABkcnMvZTJvRG9jLnhtbFBLBQYAAAAABgAGAFkBAABlBQAAAAA=&#10;">
              <v:fill on="f" focussize="0,0"/>
              <v:stroke on="f"/>
              <v:imagedata o:title=""/>
              <o:lock v:ext="edit" aspectratio="f"/>
              <v:textbox inset="0mm,0mm,0mm,0mm" style="mso-fit-shape-to-text:t;">
                <w:txbxContent>
                  <w:p w14:paraId="2CB55604">
                    <w:pPr>
                      <w:pStyle w:val="20"/>
                    </w:pPr>
                    <w:r>
                      <w:fldChar w:fldCharType="begin"/>
                    </w:r>
                    <w:r>
                      <w:instrText xml:space="preserve"> PAGE  \* MERGEFORMAT </w:instrText>
                    </w:r>
                    <w:r>
                      <w:fldChar w:fldCharType="separate"/>
                    </w:r>
                    <w:r>
                      <w:t>58</w:t>
                    </w:r>
                    <w:r>
                      <w:fldChar w:fldCharType="end"/>
                    </w:r>
                  </w:p>
                </w:txbxContent>
              </v:textbox>
            </v:shape>
          </w:pict>
        </mc:Fallback>
      </mc:AlternateContent>
    </w:r>
  </w:p>
  <w:p w14:paraId="6F38C316">
    <w:pPr>
      <w:pStyle w:val="20"/>
      <w:ind w:right="360"/>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1209C4">
    <w:pPr>
      <w:pStyle w:val="21"/>
      <w:pBdr>
        <w:bottom w:val="none" w:color="auto" w:sz="0" w:space="1"/>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799C87"/>
    <w:multiLevelType w:val="singleLevel"/>
    <w:tmpl w:val="91799C87"/>
    <w:lvl w:ilvl="0" w:tentative="0">
      <w:start w:val="1"/>
      <w:numFmt w:val="decimal"/>
      <w:suff w:val="nothing"/>
      <w:lvlText w:val="（%1）"/>
      <w:lvlJc w:val="left"/>
    </w:lvl>
  </w:abstractNum>
  <w:abstractNum w:abstractNumId="1">
    <w:nsid w:val="94924091"/>
    <w:multiLevelType w:val="singleLevel"/>
    <w:tmpl w:val="94924091"/>
    <w:lvl w:ilvl="0" w:tentative="0">
      <w:start w:val="1"/>
      <w:numFmt w:val="decimal"/>
      <w:suff w:val="nothing"/>
      <w:lvlText w:val="%1、"/>
      <w:lvlJc w:val="left"/>
    </w:lvl>
  </w:abstractNum>
  <w:abstractNum w:abstractNumId="2">
    <w:nsid w:val="94F0F9AD"/>
    <w:multiLevelType w:val="singleLevel"/>
    <w:tmpl w:val="94F0F9AD"/>
    <w:lvl w:ilvl="0" w:tentative="0">
      <w:start w:val="1"/>
      <w:numFmt w:val="decimalEnclosedCircleChinese"/>
      <w:suff w:val="nothing"/>
      <w:lvlText w:val="%1　"/>
      <w:lvlJc w:val="left"/>
      <w:pPr>
        <w:ind w:left="0" w:firstLine="400"/>
      </w:pPr>
      <w:rPr>
        <w:rFonts w:hint="eastAsia"/>
      </w:rPr>
    </w:lvl>
  </w:abstractNum>
  <w:abstractNum w:abstractNumId="3">
    <w:nsid w:val="960C84E7"/>
    <w:multiLevelType w:val="singleLevel"/>
    <w:tmpl w:val="960C84E7"/>
    <w:lvl w:ilvl="0" w:tentative="0">
      <w:start w:val="1"/>
      <w:numFmt w:val="decimal"/>
      <w:suff w:val="nothing"/>
      <w:lvlText w:val="14.%1 "/>
      <w:lvlJc w:val="left"/>
      <w:pPr>
        <w:tabs>
          <w:tab w:val="left" w:pos="0"/>
        </w:tabs>
        <w:ind w:firstLine="40"/>
      </w:pPr>
      <w:rPr>
        <w:rFonts w:hint="default" w:ascii="宋体" w:hAnsi="宋体" w:eastAsia="宋体"/>
      </w:rPr>
    </w:lvl>
  </w:abstractNum>
  <w:abstractNum w:abstractNumId="4">
    <w:nsid w:val="9E7D436F"/>
    <w:multiLevelType w:val="singleLevel"/>
    <w:tmpl w:val="9E7D436F"/>
    <w:lvl w:ilvl="0" w:tentative="0">
      <w:start w:val="1"/>
      <w:numFmt w:val="chineseCounting"/>
      <w:suff w:val="nothing"/>
      <w:lvlText w:val="%1、"/>
      <w:lvlJc w:val="left"/>
      <w:rPr>
        <w:rFonts w:hint="eastAsia"/>
      </w:rPr>
    </w:lvl>
  </w:abstractNum>
  <w:abstractNum w:abstractNumId="5">
    <w:nsid w:val="D3D2EB92"/>
    <w:multiLevelType w:val="singleLevel"/>
    <w:tmpl w:val="D3D2EB92"/>
    <w:lvl w:ilvl="0" w:tentative="0">
      <w:start w:val="2"/>
      <w:numFmt w:val="decimal"/>
      <w:suff w:val="nothing"/>
      <w:lvlText w:val="%1、"/>
      <w:lvlJc w:val="left"/>
    </w:lvl>
  </w:abstractNum>
  <w:abstractNum w:abstractNumId="6">
    <w:nsid w:val="D5C663A9"/>
    <w:multiLevelType w:val="singleLevel"/>
    <w:tmpl w:val="D5C663A9"/>
    <w:lvl w:ilvl="0" w:tentative="0">
      <w:start w:val="1"/>
      <w:numFmt w:val="decimalEnclosedCircleChinese"/>
      <w:suff w:val="nothing"/>
      <w:lvlText w:val="%1　"/>
      <w:lvlJc w:val="left"/>
      <w:pPr>
        <w:ind w:firstLine="1134"/>
      </w:pPr>
      <w:rPr>
        <w:rFonts w:hint="eastAsia"/>
      </w:rPr>
    </w:lvl>
  </w:abstractNum>
  <w:abstractNum w:abstractNumId="7">
    <w:nsid w:val="F4396F3A"/>
    <w:multiLevelType w:val="singleLevel"/>
    <w:tmpl w:val="F4396F3A"/>
    <w:lvl w:ilvl="0" w:tentative="0">
      <w:start w:val="2"/>
      <w:numFmt w:val="chineseCounting"/>
      <w:suff w:val="nothing"/>
      <w:lvlText w:val="%1、"/>
      <w:lvlJc w:val="left"/>
      <w:rPr>
        <w:rFonts w:hint="eastAsia"/>
      </w:rPr>
    </w:lvl>
  </w:abstractNum>
  <w:abstractNum w:abstractNumId="8">
    <w:nsid w:val="FF8E5FC9"/>
    <w:multiLevelType w:val="singleLevel"/>
    <w:tmpl w:val="FF8E5FC9"/>
    <w:lvl w:ilvl="0" w:tentative="0">
      <w:start w:val="1"/>
      <w:numFmt w:val="decimal"/>
      <w:suff w:val="nothing"/>
      <w:lvlText w:val="%1．"/>
      <w:lvlJc w:val="left"/>
      <w:pPr>
        <w:ind w:firstLine="397"/>
      </w:pPr>
      <w:rPr>
        <w:rFonts w:hint="default"/>
      </w:rPr>
    </w:lvl>
  </w:abstractNum>
  <w:abstractNum w:abstractNumId="9">
    <w:nsid w:val="139B6DF6"/>
    <w:multiLevelType w:val="singleLevel"/>
    <w:tmpl w:val="139B6DF6"/>
    <w:lvl w:ilvl="0" w:tentative="0">
      <w:start w:val="1"/>
      <w:numFmt w:val="decimal"/>
      <w:suff w:val="nothing"/>
      <w:lvlText w:val="9.%1 "/>
      <w:lvlJc w:val="left"/>
      <w:pPr>
        <w:tabs>
          <w:tab w:val="left" w:pos="0"/>
        </w:tabs>
        <w:ind w:firstLine="40"/>
      </w:pPr>
      <w:rPr>
        <w:rFonts w:hint="default" w:ascii="宋体" w:hAnsi="宋体" w:eastAsia="宋体"/>
      </w:rPr>
    </w:lvl>
  </w:abstractNum>
  <w:abstractNum w:abstractNumId="10">
    <w:nsid w:val="1DBCF645"/>
    <w:multiLevelType w:val="singleLevel"/>
    <w:tmpl w:val="1DBCF645"/>
    <w:lvl w:ilvl="0" w:tentative="0">
      <w:start w:val="1"/>
      <w:numFmt w:val="decimalEnclosedCircleChinese"/>
      <w:suff w:val="nothing"/>
      <w:lvlText w:val="%1　"/>
      <w:lvlJc w:val="left"/>
      <w:pPr>
        <w:ind w:firstLine="397"/>
      </w:pPr>
      <w:rPr>
        <w:rFonts w:hint="eastAsia"/>
      </w:rPr>
    </w:lvl>
  </w:abstractNum>
  <w:abstractNum w:abstractNumId="11">
    <w:nsid w:val="1EC1A361"/>
    <w:multiLevelType w:val="singleLevel"/>
    <w:tmpl w:val="1EC1A361"/>
    <w:lvl w:ilvl="0" w:tentative="0">
      <w:start w:val="1"/>
      <w:numFmt w:val="decimalEnclosedCircleChinese"/>
      <w:suff w:val="nothing"/>
      <w:lvlText w:val="%1　"/>
      <w:lvlJc w:val="left"/>
      <w:pPr>
        <w:ind w:left="0" w:firstLine="397"/>
      </w:pPr>
      <w:rPr>
        <w:rFonts w:hint="eastAsia"/>
      </w:rPr>
    </w:lvl>
  </w:abstractNum>
  <w:abstractNum w:abstractNumId="12">
    <w:nsid w:val="25F33ADD"/>
    <w:multiLevelType w:val="singleLevel"/>
    <w:tmpl w:val="25F33ADD"/>
    <w:lvl w:ilvl="0" w:tentative="0">
      <w:start w:val="1"/>
      <w:numFmt w:val="decimalEnclosedCircleChinese"/>
      <w:suff w:val="nothing"/>
      <w:lvlText w:val="%1　"/>
      <w:lvlJc w:val="left"/>
      <w:pPr>
        <w:ind w:firstLine="1134"/>
      </w:pPr>
      <w:rPr>
        <w:rFonts w:hint="eastAsia"/>
      </w:rPr>
    </w:lvl>
  </w:abstractNum>
  <w:abstractNum w:abstractNumId="13">
    <w:nsid w:val="31213A5A"/>
    <w:multiLevelType w:val="singleLevel"/>
    <w:tmpl w:val="31213A5A"/>
    <w:lvl w:ilvl="0" w:tentative="0">
      <w:start w:val="4"/>
      <w:numFmt w:val="chineseCounting"/>
      <w:suff w:val="nothing"/>
      <w:lvlText w:val="%1、"/>
      <w:lvlJc w:val="left"/>
      <w:rPr>
        <w:rFonts w:hint="eastAsia"/>
      </w:rPr>
    </w:lvl>
  </w:abstractNum>
  <w:abstractNum w:abstractNumId="14">
    <w:nsid w:val="396BDA90"/>
    <w:multiLevelType w:val="singleLevel"/>
    <w:tmpl w:val="396BDA90"/>
    <w:lvl w:ilvl="0" w:tentative="0">
      <w:start w:val="1"/>
      <w:numFmt w:val="decimal"/>
      <w:suff w:val="nothing"/>
      <w:lvlText w:val="%1、"/>
      <w:lvlJc w:val="left"/>
    </w:lvl>
  </w:abstractNum>
  <w:abstractNum w:abstractNumId="15">
    <w:nsid w:val="43F94463"/>
    <w:multiLevelType w:val="singleLevel"/>
    <w:tmpl w:val="43F94463"/>
    <w:lvl w:ilvl="0" w:tentative="0">
      <w:start w:val="1"/>
      <w:numFmt w:val="decimalEnclosedCircleChinese"/>
      <w:suff w:val="nothing"/>
      <w:lvlText w:val="%1　"/>
      <w:lvlJc w:val="left"/>
      <w:pPr>
        <w:ind w:firstLine="1134"/>
      </w:pPr>
      <w:rPr>
        <w:rFonts w:hint="eastAsia"/>
      </w:rPr>
    </w:lvl>
  </w:abstractNum>
  <w:abstractNum w:abstractNumId="16">
    <w:nsid w:val="466C6E1F"/>
    <w:multiLevelType w:val="multilevel"/>
    <w:tmpl w:val="466C6E1F"/>
    <w:lvl w:ilvl="0" w:tentative="0">
      <w:start w:val="1"/>
      <w:numFmt w:val="upperLetter"/>
      <w:pStyle w:val="10"/>
      <w:lvlText w:val="%1、"/>
      <w:lvlJc w:val="left"/>
      <w:pPr>
        <w:tabs>
          <w:tab w:val="left" w:pos="1275"/>
        </w:tabs>
        <w:ind w:left="1275" w:hanging="720"/>
      </w:pPr>
      <w:rPr>
        <w:rFonts w:hint="eastAsia" w:hAnsi="宋体"/>
      </w:rPr>
    </w:lvl>
    <w:lvl w:ilvl="1" w:tentative="0">
      <w:start w:val="1"/>
      <w:numFmt w:val="decimalEnclosedCircle"/>
      <w:lvlText w:val="%2"/>
      <w:lvlJc w:val="left"/>
      <w:pPr>
        <w:tabs>
          <w:tab w:val="left" w:pos="1335"/>
        </w:tabs>
        <w:ind w:left="1335" w:hanging="360"/>
      </w:pPr>
      <w:rPr>
        <w:rFonts w:hint="eastAsia" w:hAnsi="宋体"/>
      </w:rPr>
    </w:lvl>
    <w:lvl w:ilvl="2" w:tentative="0">
      <w:start w:val="1"/>
      <w:numFmt w:val="lowerRoman"/>
      <w:lvlText w:val="%3."/>
      <w:lvlJc w:val="right"/>
      <w:pPr>
        <w:tabs>
          <w:tab w:val="left" w:pos="1815"/>
        </w:tabs>
        <w:ind w:left="1815" w:hanging="420"/>
      </w:pPr>
    </w:lvl>
    <w:lvl w:ilvl="3" w:tentative="0">
      <w:start w:val="1"/>
      <w:numFmt w:val="decimal"/>
      <w:lvlText w:val="%4."/>
      <w:lvlJc w:val="left"/>
      <w:pPr>
        <w:tabs>
          <w:tab w:val="left" w:pos="2235"/>
        </w:tabs>
        <w:ind w:left="2235" w:hanging="420"/>
      </w:pPr>
    </w:lvl>
    <w:lvl w:ilvl="4" w:tentative="0">
      <w:start w:val="1"/>
      <w:numFmt w:val="lowerLetter"/>
      <w:lvlText w:val="%5)"/>
      <w:lvlJc w:val="left"/>
      <w:pPr>
        <w:tabs>
          <w:tab w:val="left" w:pos="2655"/>
        </w:tabs>
        <w:ind w:left="2655" w:hanging="420"/>
      </w:pPr>
    </w:lvl>
    <w:lvl w:ilvl="5" w:tentative="0">
      <w:start w:val="1"/>
      <w:numFmt w:val="lowerRoman"/>
      <w:lvlText w:val="%6."/>
      <w:lvlJc w:val="right"/>
      <w:pPr>
        <w:tabs>
          <w:tab w:val="left" w:pos="3075"/>
        </w:tabs>
        <w:ind w:left="3075" w:hanging="420"/>
      </w:pPr>
    </w:lvl>
    <w:lvl w:ilvl="6" w:tentative="0">
      <w:start w:val="1"/>
      <w:numFmt w:val="decimal"/>
      <w:lvlText w:val="%7."/>
      <w:lvlJc w:val="left"/>
      <w:pPr>
        <w:tabs>
          <w:tab w:val="left" w:pos="3495"/>
        </w:tabs>
        <w:ind w:left="3495" w:hanging="420"/>
      </w:pPr>
    </w:lvl>
    <w:lvl w:ilvl="7" w:tentative="0">
      <w:start w:val="1"/>
      <w:numFmt w:val="lowerLetter"/>
      <w:lvlText w:val="%8)"/>
      <w:lvlJc w:val="left"/>
      <w:pPr>
        <w:tabs>
          <w:tab w:val="left" w:pos="3915"/>
        </w:tabs>
        <w:ind w:left="3915" w:hanging="420"/>
      </w:pPr>
    </w:lvl>
    <w:lvl w:ilvl="8" w:tentative="0">
      <w:start w:val="1"/>
      <w:numFmt w:val="lowerRoman"/>
      <w:lvlText w:val="%9."/>
      <w:lvlJc w:val="right"/>
      <w:pPr>
        <w:tabs>
          <w:tab w:val="left" w:pos="4335"/>
        </w:tabs>
        <w:ind w:left="4335" w:hanging="420"/>
      </w:pPr>
    </w:lvl>
  </w:abstractNum>
  <w:abstractNum w:abstractNumId="17">
    <w:nsid w:val="4D4A2151"/>
    <w:multiLevelType w:val="singleLevel"/>
    <w:tmpl w:val="4D4A2151"/>
    <w:lvl w:ilvl="0" w:tentative="0">
      <w:start w:val="1"/>
      <w:numFmt w:val="decimal"/>
      <w:suff w:val="nothing"/>
      <w:lvlText w:val="%1．"/>
      <w:lvlJc w:val="left"/>
      <w:pPr>
        <w:ind w:firstLine="397"/>
      </w:pPr>
      <w:rPr>
        <w:rFonts w:hint="default"/>
      </w:rPr>
    </w:lvl>
  </w:abstractNum>
  <w:abstractNum w:abstractNumId="18">
    <w:nsid w:val="62705028"/>
    <w:multiLevelType w:val="singleLevel"/>
    <w:tmpl w:val="62705028"/>
    <w:lvl w:ilvl="0" w:tentative="0">
      <w:start w:val="1"/>
      <w:numFmt w:val="decimalEnclosedCircleChinese"/>
      <w:suff w:val="nothing"/>
      <w:lvlText w:val="%1　"/>
      <w:lvlJc w:val="left"/>
      <w:pPr>
        <w:ind w:firstLine="397"/>
      </w:pPr>
      <w:rPr>
        <w:rFonts w:hint="eastAsia"/>
      </w:rPr>
    </w:lvl>
  </w:abstractNum>
  <w:abstractNum w:abstractNumId="19">
    <w:nsid w:val="7B2826C6"/>
    <w:multiLevelType w:val="singleLevel"/>
    <w:tmpl w:val="7B2826C6"/>
    <w:lvl w:ilvl="0" w:tentative="0">
      <w:start w:val="1"/>
      <w:numFmt w:val="decimal"/>
      <w:suff w:val="nothing"/>
      <w:lvlText w:val="%1．"/>
      <w:lvlJc w:val="left"/>
      <w:pPr>
        <w:ind w:left="0" w:firstLine="397"/>
      </w:pPr>
      <w:rPr>
        <w:rFonts w:hint="default"/>
      </w:rPr>
    </w:lvl>
  </w:abstractNum>
  <w:num w:numId="1">
    <w:abstractNumId w:val="16"/>
  </w:num>
  <w:num w:numId="2">
    <w:abstractNumId w:val="8"/>
  </w:num>
  <w:num w:numId="3">
    <w:abstractNumId w:val="17"/>
  </w:num>
  <w:num w:numId="4">
    <w:abstractNumId w:val="10"/>
  </w:num>
  <w:num w:numId="5">
    <w:abstractNumId w:val="19"/>
  </w:num>
  <w:num w:numId="6">
    <w:abstractNumId w:val="11"/>
  </w:num>
  <w:num w:numId="7">
    <w:abstractNumId w:val="18"/>
  </w:num>
  <w:num w:numId="8">
    <w:abstractNumId w:val="14"/>
  </w:num>
  <w:num w:numId="9">
    <w:abstractNumId w:val="9"/>
  </w:num>
  <w:num w:numId="10">
    <w:abstractNumId w:val="2"/>
  </w:num>
  <w:num w:numId="11">
    <w:abstractNumId w:val="15"/>
  </w:num>
  <w:num w:numId="12">
    <w:abstractNumId w:val="6"/>
  </w:num>
  <w:num w:numId="13">
    <w:abstractNumId w:val="3"/>
  </w:num>
  <w:num w:numId="14">
    <w:abstractNumId w:val="12"/>
  </w:num>
  <w:num w:numId="15">
    <w:abstractNumId w:val="4"/>
  </w:num>
  <w:num w:numId="16">
    <w:abstractNumId w:val="13"/>
  </w:num>
  <w:num w:numId="17">
    <w:abstractNumId w:val="7"/>
  </w:num>
  <w:num w:numId="18">
    <w:abstractNumId w:val="1"/>
  </w:num>
  <w:num w:numId="19">
    <w:abstractNumId w:val="5"/>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oNotHyphenateCaps/>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YwNzU3MzYzMmZkNTMxYTZkOTY4ZTQ2YzA1MjFjMzMifQ=="/>
  </w:docVars>
  <w:rsids>
    <w:rsidRoot w:val="5AA412FE"/>
    <w:rsid w:val="000016F3"/>
    <w:rsid w:val="000023F9"/>
    <w:rsid w:val="00003EF7"/>
    <w:rsid w:val="000122B4"/>
    <w:rsid w:val="00020034"/>
    <w:rsid w:val="00023C45"/>
    <w:rsid w:val="00027C5B"/>
    <w:rsid w:val="00043EEC"/>
    <w:rsid w:val="00046957"/>
    <w:rsid w:val="0005045A"/>
    <w:rsid w:val="00084F39"/>
    <w:rsid w:val="00085ECB"/>
    <w:rsid w:val="000B3BC7"/>
    <w:rsid w:val="000C287F"/>
    <w:rsid w:val="000C3872"/>
    <w:rsid w:val="000D30BB"/>
    <w:rsid w:val="000F06EE"/>
    <w:rsid w:val="001039CA"/>
    <w:rsid w:val="00112242"/>
    <w:rsid w:val="0012684B"/>
    <w:rsid w:val="001339E2"/>
    <w:rsid w:val="001514AE"/>
    <w:rsid w:val="001521A7"/>
    <w:rsid w:val="00161E6F"/>
    <w:rsid w:val="00170927"/>
    <w:rsid w:val="001C7972"/>
    <w:rsid w:val="00221416"/>
    <w:rsid w:val="00223E24"/>
    <w:rsid w:val="00234866"/>
    <w:rsid w:val="00234D57"/>
    <w:rsid w:val="00255FD2"/>
    <w:rsid w:val="00264C08"/>
    <w:rsid w:val="0027178A"/>
    <w:rsid w:val="00273F1A"/>
    <w:rsid w:val="0027526D"/>
    <w:rsid w:val="00284949"/>
    <w:rsid w:val="00297FF4"/>
    <w:rsid w:val="002C487B"/>
    <w:rsid w:val="002D3BB8"/>
    <w:rsid w:val="002F6EC0"/>
    <w:rsid w:val="00302915"/>
    <w:rsid w:val="0030570F"/>
    <w:rsid w:val="0031138A"/>
    <w:rsid w:val="003470DA"/>
    <w:rsid w:val="00375530"/>
    <w:rsid w:val="00377674"/>
    <w:rsid w:val="003914B1"/>
    <w:rsid w:val="00392B4C"/>
    <w:rsid w:val="00393BC9"/>
    <w:rsid w:val="00393C1C"/>
    <w:rsid w:val="003A0D36"/>
    <w:rsid w:val="003A2883"/>
    <w:rsid w:val="003D07BA"/>
    <w:rsid w:val="0040061B"/>
    <w:rsid w:val="00402FF9"/>
    <w:rsid w:val="00403685"/>
    <w:rsid w:val="004047AC"/>
    <w:rsid w:val="00405339"/>
    <w:rsid w:val="004113C5"/>
    <w:rsid w:val="00424708"/>
    <w:rsid w:val="004277E5"/>
    <w:rsid w:val="0043140B"/>
    <w:rsid w:val="00433A31"/>
    <w:rsid w:val="00434E53"/>
    <w:rsid w:val="00462829"/>
    <w:rsid w:val="00462D7E"/>
    <w:rsid w:val="00463C96"/>
    <w:rsid w:val="00476057"/>
    <w:rsid w:val="0048104F"/>
    <w:rsid w:val="00485852"/>
    <w:rsid w:val="00486150"/>
    <w:rsid w:val="004861B0"/>
    <w:rsid w:val="00486E14"/>
    <w:rsid w:val="00497B50"/>
    <w:rsid w:val="004A7DA8"/>
    <w:rsid w:val="004E63AF"/>
    <w:rsid w:val="004E7DB7"/>
    <w:rsid w:val="0050158C"/>
    <w:rsid w:val="00542925"/>
    <w:rsid w:val="005456AD"/>
    <w:rsid w:val="00550AE1"/>
    <w:rsid w:val="005617C4"/>
    <w:rsid w:val="0057288D"/>
    <w:rsid w:val="005747A4"/>
    <w:rsid w:val="0057775B"/>
    <w:rsid w:val="005F4C64"/>
    <w:rsid w:val="00601069"/>
    <w:rsid w:val="00603A33"/>
    <w:rsid w:val="0060407F"/>
    <w:rsid w:val="00624CA0"/>
    <w:rsid w:val="0064613C"/>
    <w:rsid w:val="006545B6"/>
    <w:rsid w:val="006803A0"/>
    <w:rsid w:val="006B56AA"/>
    <w:rsid w:val="006D4031"/>
    <w:rsid w:val="006E3901"/>
    <w:rsid w:val="006E4D94"/>
    <w:rsid w:val="006E5F17"/>
    <w:rsid w:val="006E7DD6"/>
    <w:rsid w:val="00701A10"/>
    <w:rsid w:val="00726B0B"/>
    <w:rsid w:val="00741B88"/>
    <w:rsid w:val="0074647B"/>
    <w:rsid w:val="00761CC5"/>
    <w:rsid w:val="007675AE"/>
    <w:rsid w:val="007C1988"/>
    <w:rsid w:val="007C36F2"/>
    <w:rsid w:val="007D1674"/>
    <w:rsid w:val="007F23B1"/>
    <w:rsid w:val="007F6163"/>
    <w:rsid w:val="00804A32"/>
    <w:rsid w:val="00816086"/>
    <w:rsid w:val="0083513B"/>
    <w:rsid w:val="00846EE7"/>
    <w:rsid w:val="008638CD"/>
    <w:rsid w:val="008651FF"/>
    <w:rsid w:val="008A2209"/>
    <w:rsid w:val="008B2FE6"/>
    <w:rsid w:val="008C2439"/>
    <w:rsid w:val="008D53B1"/>
    <w:rsid w:val="008E3963"/>
    <w:rsid w:val="00913BA9"/>
    <w:rsid w:val="00913DF5"/>
    <w:rsid w:val="00922646"/>
    <w:rsid w:val="009241BF"/>
    <w:rsid w:val="00945D04"/>
    <w:rsid w:val="00960934"/>
    <w:rsid w:val="00992B51"/>
    <w:rsid w:val="009A6381"/>
    <w:rsid w:val="009A687F"/>
    <w:rsid w:val="009B5145"/>
    <w:rsid w:val="009B698E"/>
    <w:rsid w:val="009C14AC"/>
    <w:rsid w:val="009E0C00"/>
    <w:rsid w:val="00A06FE3"/>
    <w:rsid w:val="00A5469A"/>
    <w:rsid w:val="00A60C7C"/>
    <w:rsid w:val="00A82FE1"/>
    <w:rsid w:val="00A832EF"/>
    <w:rsid w:val="00AC176A"/>
    <w:rsid w:val="00AC415C"/>
    <w:rsid w:val="00AC51A3"/>
    <w:rsid w:val="00AE721D"/>
    <w:rsid w:val="00AF0608"/>
    <w:rsid w:val="00AF40FC"/>
    <w:rsid w:val="00AF7CF9"/>
    <w:rsid w:val="00B007B7"/>
    <w:rsid w:val="00B043F4"/>
    <w:rsid w:val="00B1386B"/>
    <w:rsid w:val="00B1531C"/>
    <w:rsid w:val="00B26DD6"/>
    <w:rsid w:val="00B34795"/>
    <w:rsid w:val="00B45AAD"/>
    <w:rsid w:val="00B47103"/>
    <w:rsid w:val="00B574D4"/>
    <w:rsid w:val="00B616A8"/>
    <w:rsid w:val="00B631F1"/>
    <w:rsid w:val="00B651EF"/>
    <w:rsid w:val="00B70E65"/>
    <w:rsid w:val="00B7632C"/>
    <w:rsid w:val="00BC25F6"/>
    <w:rsid w:val="00BC554A"/>
    <w:rsid w:val="00BD53A4"/>
    <w:rsid w:val="00C03AE4"/>
    <w:rsid w:val="00C0415D"/>
    <w:rsid w:val="00C144DF"/>
    <w:rsid w:val="00C15659"/>
    <w:rsid w:val="00C32FC8"/>
    <w:rsid w:val="00C4588E"/>
    <w:rsid w:val="00C46A85"/>
    <w:rsid w:val="00C64BA7"/>
    <w:rsid w:val="00C70180"/>
    <w:rsid w:val="00C755F3"/>
    <w:rsid w:val="00C93598"/>
    <w:rsid w:val="00C94384"/>
    <w:rsid w:val="00C97640"/>
    <w:rsid w:val="00CA29A3"/>
    <w:rsid w:val="00CA75C3"/>
    <w:rsid w:val="00CB58F4"/>
    <w:rsid w:val="00CB75F1"/>
    <w:rsid w:val="00CC3A61"/>
    <w:rsid w:val="00CD1E65"/>
    <w:rsid w:val="00CD31BD"/>
    <w:rsid w:val="00CD606F"/>
    <w:rsid w:val="00CE2482"/>
    <w:rsid w:val="00CF226E"/>
    <w:rsid w:val="00CF62E0"/>
    <w:rsid w:val="00D12E9A"/>
    <w:rsid w:val="00D208F6"/>
    <w:rsid w:val="00D33839"/>
    <w:rsid w:val="00D40761"/>
    <w:rsid w:val="00D46536"/>
    <w:rsid w:val="00D5715C"/>
    <w:rsid w:val="00D64C89"/>
    <w:rsid w:val="00D73BB8"/>
    <w:rsid w:val="00D84927"/>
    <w:rsid w:val="00D84F46"/>
    <w:rsid w:val="00D92191"/>
    <w:rsid w:val="00DB44DD"/>
    <w:rsid w:val="00DB5952"/>
    <w:rsid w:val="00DB66E9"/>
    <w:rsid w:val="00DD3B00"/>
    <w:rsid w:val="00DE0951"/>
    <w:rsid w:val="00DE7CF8"/>
    <w:rsid w:val="00E07553"/>
    <w:rsid w:val="00E109DA"/>
    <w:rsid w:val="00E2569F"/>
    <w:rsid w:val="00E30080"/>
    <w:rsid w:val="00E43F5F"/>
    <w:rsid w:val="00E53562"/>
    <w:rsid w:val="00E666D2"/>
    <w:rsid w:val="00EC2A8A"/>
    <w:rsid w:val="00F37030"/>
    <w:rsid w:val="00F40A50"/>
    <w:rsid w:val="00F47432"/>
    <w:rsid w:val="00F66202"/>
    <w:rsid w:val="00F673E5"/>
    <w:rsid w:val="00F826D3"/>
    <w:rsid w:val="00F84387"/>
    <w:rsid w:val="00FB2B88"/>
    <w:rsid w:val="00FD3C5B"/>
    <w:rsid w:val="00FD77B5"/>
    <w:rsid w:val="0149271B"/>
    <w:rsid w:val="01721769"/>
    <w:rsid w:val="01BE5DEA"/>
    <w:rsid w:val="02710CE9"/>
    <w:rsid w:val="02D80132"/>
    <w:rsid w:val="02FB0AA9"/>
    <w:rsid w:val="02FB1EF4"/>
    <w:rsid w:val="03DB7A13"/>
    <w:rsid w:val="03EC63C9"/>
    <w:rsid w:val="044134E4"/>
    <w:rsid w:val="04F76A9A"/>
    <w:rsid w:val="05E13682"/>
    <w:rsid w:val="06082700"/>
    <w:rsid w:val="068F128E"/>
    <w:rsid w:val="09A27D61"/>
    <w:rsid w:val="0A7A442C"/>
    <w:rsid w:val="0A7A58B9"/>
    <w:rsid w:val="0AE42617"/>
    <w:rsid w:val="0B5D7BAD"/>
    <w:rsid w:val="0B9A00C8"/>
    <w:rsid w:val="0BBC051D"/>
    <w:rsid w:val="0C301CF0"/>
    <w:rsid w:val="0CB10488"/>
    <w:rsid w:val="0D295948"/>
    <w:rsid w:val="0E296B84"/>
    <w:rsid w:val="0E2D1637"/>
    <w:rsid w:val="0F9E5390"/>
    <w:rsid w:val="0FC022DE"/>
    <w:rsid w:val="10234BA2"/>
    <w:rsid w:val="104145F9"/>
    <w:rsid w:val="10B64C1C"/>
    <w:rsid w:val="10BA6CED"/>
    <w:rsid w:val="10DB1C9F"/>
    <w:rsid w:val="113C27FB"/>
    <w:rsid w:val="11AC7C2E"/>
    <w:rsid w:val="11AF1066"/>
    <w:rsid w:val="11CF6577"/>
    <w:rsid w:val="11D57014"/>
    <w:rsid w:val="11EF074D"/>
    <w:rsid w:val="12031145"/>
    <w:rsid w:val="127437DF"/>
    <w:rsid w:val="129F37E3"/>
    <w:rsid w:val="12E30368"/>
    <w:rsid w:val="12FC45DD"/>
    <w:rsid w:val="13495BED"/>
    <w:rsid w:val="13A15D0B"/>
    <w:rsid w:val="13DD188A"/>
    <w:rsid w:val="14FF25F4"/>
    <w:rsid w:val="155D552F"/>
    <w:rsid w:val="15703332"/>
    <w:rsid w:val="157D7686"/>
    <w:rsid w:val="15830AE2"/>
    <w:rsid w:val="15A07E8D"/>
    <w:rsid w:val="15BC6282"/>
    <w:rsid w:val="1648774C"/>
    <w:rsid w:val="16EB43B2"/>
    <w:rsid w:val="17FC6FC7"/>
    <w:rsid w:val="19061AA7"/>
    <w:rsid w:val="190E4D85"/>
    <w:rsid w:val="19F86049"/>
    <w:rsid w:val="1A6D3E6A"/>
    <w:rsid w:val="1A9E0B86"/>
    <w:rsid w:val="1AA80E44"/>
    <w:rsid w:val="1B155261"/>
    <w:rsid w:val="1B4A7538"/>
    <w:rsid w:val="1BB936AC"/>
    <w:rsid w:val="1BDB27A5"/>
    <w:rsid w:val="1BDD28DA"/>
    <w:rsid w:val="1CB92C23"/>
    <w:rsid w:val="1CC874BD"/>
    <w:rsid w:val="1CED2400"/>
    <w:rsid w:val="1CFF0A9F"/>
    <w:rsid w:val="1DC74A1D"/>
    <w:rsid w:val="1E157011"/>
    <w:rsid w:val="1E8C459E"/>
    <w:rsid w:val="1E934307"/>
    <w:rsid w:val="1E987E0F"/>
    <w:rsid w:val="1EDA1EFB"/>
    <w:rsid w:val="1F2B0346"/>
    <w:rsid w:val="1F431821"/>
    <w:rsid w:val="1F451A59"/>
    <w:rsid w:val="1F823622"/>
    <w:rsid w:val="1F890C4B"/>
    <w:rsid w:val="1FDA3069"/>
    <w:rsid w:val="205B73C3"/>
    <w:rsid w:val="20D34487"/>
    <w:rsid w:val="20EB4820"/>
    <w:rsid w:val="215A3622"/>
    <w:rsid w:val="219416B8"/>
    <w:rsid w:val="21FF3D3B"/>
    <w:rsid w:val="222018DF"/>
    <w:rsid w:val="2231339B"/>
    <w:rsid w:val="22514430"/>
    <w:rsid w:val="22D7095E"/>
    <w:rsid w:val="234B0952"/>
    <w:rsid w:val="237E1C4B"/>
    <w:rsid w:val="23A07E81"/>
    <w:rsid w:val="23E23038"/>
    <w:rsid w:val="24320767"/>
    <w:rsid w:val="244125E9"/>
    <w:rsid w:val="248E2E3A"/>
    <w:rsid w:val="249921EF"/>
    <w:rsid w:val="24F21DAE"/>
    <w:rsid w:val="250953A7"/>
    <w:rsid w:val="263573D3"/>
    <w:rsid w:val="26451EEA"/>
    <w:rsid w:val="265F25D3"/>
    <w:rsid w:val="26704F2E"/>
    <w:rsid w:val="26A9138E"/>
    <w:rsid w:val="26CB60BD"/>
    <w:rsid w:val="272543FE"/>
    <w:rsid w:val="27DC3878"/>
    <w:rsid w:val="280B1B82"/>
    <w:rsid w:val="2874707B"/>
    <w:rsid w:val="28C62F56"/>
    <w:rsid w:val="28DA203A"/>
    <w:rsid w:val="28F0407A"/>
    <w:rsid w:val="291A7D32"/>
    <w:rsid w:val="29655706"/>
    <w:rsid w:val="29785B88"/>
    <w:rsid w:val="29837904"/>
    <w:rsid w:val="2A3737FB"/>
    <w:rsid w:val="2AB94A57"/>
    <w:rsid w:val="2BBB3F1C"/>
    <w:rsid w:val="2BF7A349"/>
    <w:rsid w:val="2C2B380D"/>
    <w:rsid w:val="2CED006F"/>
    <w:rsid w:val="2D346E5C"/>
    <w:rsid w:val="2D8B0D9B"/>
    <w:rsid w:val="2E664953"/>
    <w:rsid w:val="2EC94FE8"/>
    <w:rsid w:val="2FD1771E"/>
    <w:rsid w:val="30695E39"/>
    <w:rsid w:val="30F0386D"/>
    <w:rsid w:val="30FB7A19"/>
    <w:rsid w:val="310261A7"/>
    <w:rsid w:val="318D0B53"/>
    <w:rsid w:val="3200303F"/>
    <w:rsid w:val="323641B4"/>
    <w:rsid w:val="32763CAE"/>
    <w:rsid w:val="32A75185"/>
    <w:rsid w:val="33340B4D"/>
    <w:rsid w:val="33407DC8"/>
    <w:rsid w:val="335F41BA"/>
    <w:rsid w:val="33BA34B0"/>
    <w:rsid w:val="34367DA9"/>
    <w:rsid w:val="344A4A0F"/>
    <w:rsid w:val="3477488D"/>
    <w:rsid w:val="349413EA"/>
    <w:rsid w:val="34B33411"/>
    <w:rsid w:val="34B41EFE"/>
    <w:rsid w:val="34C54BE3"/>
    <w:rsid w:val="36207D7D"/>
    <w:rsid w:val="364E29EA"/>
    <w:rsid w:val="367C4935"/>
    <w:rsid w:val="368D2E9B"/>
    <w:rsid w:val="368F17F0"/>
    <w:rsid w:val="36CE34E8"/>
    <w:rsid w:val="37020770"/>
    <w:rsid w:val="37B838EA"/>
    <w:rsid w:val="37F43D14"/>
    <w:rsid w:val="38800A94"/>
    <w:rsid w:val="388A382F"/>
    <w:rsid w:val="38C12A5F"/>
    <w:rsid w:val="38EC3C14"/>
    <w:rsid w:val="3904514B"/>
    <w:rsid w:val="3986639D"/>
    <w:rsid w:val="39A728D7"/>
    <w:rsid w:val="39FC282B"/>
    <w:rsid w:val="3A164E28"/>
    <w:rsid w:val="3A2B6F44"/>
    <w:rsid w:val="3B07518F"/>
    <w:rsid w:val="3B1064BD"/>
    <w:rsid w:val="3B1D1A28"/>
    <w:rsid w:val="3B2C33D8"/>
    <w:rsid w:val="3B5D7EA3"/>
    <w:rsid w:val="3B7D5779"/>
    <w:rsid w:val="3BE04637"/>
    <w:rsid w:val="3C191B07"/>
    <w:rsid w:val="3C8E3EEE"/>
    <w:rsid w:val="3CB768E7"/>
    <w:rsid w:val="3CFC3762"/>
    <w:rsid w:val="3D390470"/>
    <w:rsid w:val="3DCE50EF"/>
    <w:rsid w:val="3E1918E3"/>
    <w:rsid w:val="3E3759DF"/>
    <w:rsid w:val="3E562874"/>
    <w:rsid w:val="3E98229E"/>
    <w:rsid w:val="3F493A88"/>
    <w:rsid w:val="3F894898"/>
    <w:rsid w:val="3FF47DD8"/>
    <w:rsid w:val="40E80A95"/>
    <w:rsid w:val="410D0E2C"/>
    <w:rsid w:val="41131941"/>
    <w:rsid w:val="41B965BD"/>
    <w:rsid w:val="41C50CBF"/>
    <w:rsid w:val="42010CB6"/>
    <w:rsid w:val="42234900"/>
    <w:rsid w:val="42310D45"/>
    <w:rsid w:val="428651E5"/>
    <w:rsid w:val="42914373"/>
    <w:rsid w:val="4297507F"/>
    <w:rsid w:val="42A44E8B"/>
    <w:rsid w:val="43495ACF"/>
    <w:rsid w:val="436C497E"/>
    <w:rsid w:val="43C139F5"/>
    <w:rsid w:val="43F54CF5"/>
    <w:rsid w:val="43FA21E7"/>
    <w:rsid w:val="43FA7740"/>
    <w:rsid w:val="448C0DBC"/>
    <w:rsid w:val="448D6A38"/>
    <w:rsid w:val="44981418"/>
    <w:rsid w:val="456256C8"/>
    <w:rsid w:val="45B34E08"/>
    <w:rsid w:val="45D77D33"/>
    <w:rsid w:val="45F53F42"/>
    <w:rsid w:val="46562959"/>
    <w:rsid w:val="466734BB"/>
    <w:rsid w:val="467F690A"/>
    <w:rsid w:val="46804CE1"/>
    <w:rsid w:val="46B85F59"/>
    <w:rsid w:val="46BA49E8"/>
    <w:rsid w:val="46DC3CBA"/>
    <w:rsid w:val="47B63534"/>
    <w:rsid w:val="47EF50CB"/>
    <w:rsid w:val="48367F45"/>
    <w:rsid w:val="48621071"/>
    <w:rsid w:val="492D7C31"/>
    <w:rsid w:val="498B48F2"/>
    <w:rsid w:val="499D0869"/>
    <w:rsid w:val="49A50688"/>
    <w:rsid w:val="49C134CC"/>
    <w:rsid w:val="4A396CAF"/>
    <w:rsid w:val="4A7647FA"/>
    <w:rsid w:val="4A8C7948"/>
    <w:rsid w:val="4AD245F0"/>
    <w:rsid w:val="4B3C6ADF"/>
    <w:rsid w:val="4B5C045F"/>
    <w:rsid w:val="4BE44EED"/>
    <w:rsid w:val="4C347AA3"/>
    <w:rsid w:val="4C904635"/>
    <w:rsid w:val="4CDE39A2"/>
    <w:rsid w:val="4D14513A"/>
    <w:rsid w:val="4D782815"/>
    <w:rsid w:val="4DBE4790"/>
    <w:rsid w:val="4DC62AC2"/>
    <w:rsid w:val="4DED0341"/>
    <w:rsid w:val="4EF456FF"/>
    <w:rsid w:val="4EF549D4"/>
    <w:rsid w:val="4F993043"/>
    <w:rsid w:val="4FFC17B4"/>
    <w:rsid w:val="504836AE"/>
    <w:rsid w:val="50C25AB5"/>
    <w:rsid w:val="51B00003"/>
    <w:rsid w:val="51B1557F"/>
    <w:rsid w:val="51C668B3"/>
    <w:rsid w:val="523B3742"/>
    <w:rsid w:val="526241AF"/>
    <w:rsid w:val="52CE501E"/>
    <w:rsid w:val="533A7549"/>
    <w:rsid w:val="537C2E9C"/>
    <w:rsid w:val="537E3111"/>
    <w:rsid w:val="53E87428"/>
    <w:rsid w:val="5447281C"/>
    <w:rsid w:val="54A90D98"/>
    <w:rsid w:val="54C41B3E"/>
    <w:rsid w:val="54E51EA2"/>
    <w:rsid w:val="54F65EBA"/>
    <w:rsid w:val="55D27624"/>
    <w:rsid w:val="567A6E51"/>
    <w:rsid w:val="56F203B4"/>
    <w:rsid w:val="57FC55AA"/>
    <w:rsid w:val="580928E7"/>
    <w:rsid w:val="58551F7D"/>
    <w:rsid w:val="58671E79"/>
    <w:rsid w:val="58820374"/>
    <w:rsid w:val="591B49CD"/>
    <w:rsid w:val="594F3C5E"/>
    <w:rsid w:val="59D7482D"/>
    <w:rsid w:val="5A3612BD"/>
    <w:rsid w:val="5A6C74ED"/>
    <w:rsid w:val="5AA412FE"/>
    <w:rsid w:val="5ABA7A19"/>
    <w:rsid w:val="5AC72F10"/>
    <w:rsid w:val="5AFF1CCD"/>
    <w:rsid w:val="5B136F0D"/>
    <w:rsid w:val="5B19774B"/>
    <w:rsid w:val="5B56778E"/>
    <w:rsid w:val="5B840C5F"/>
    <w:rsid w:val="5BA504AD"/>
    <w:rsid w:val="5BC44F00"/>
    <w:rsid w:val="5CB0535B"/>
    <w:rsid w:val="5D1E0218"/>
    <w:rsid w:val="5D217374"/>
    <w:rsid w:val="5D703CFC"/>
    <w:rsid w:val="5DE81AA6"/>
    <w:rsid w:val="5DE943DE"/>
    <w:rsid w:val="5E061B6A"/>
    <w:rsid w:val="5E2A2E8B"/>
    <w:rsid w:val="5E2B51A2"/>
    <w:rsid w:val="5EB62375"/>
    <w:rsid w:val="5EC450EE"/>
    <w:rsid w:val="5EF724E5"/>
    <w:rsid w:val="5F436DCC"/>
    <w:rsid w:val="5F5B667A"/>
    <w:rsid w:val="5F6067D6"/>
    <w:rsid w:val="5F7F4806"/>
    <w:rsid w:val="5FAF9753"/>
    <w:rsid w:val="5FD125EC"/>
    <w:rsid w:val="5FED1054"/>
    <w:rsid w:val="600202C1"/>
    <w:rsid w:val="603D2D4A"/>
    <w:rsid w:val="60D51B08"/>
    <w:rsid w:val="60FE7C04"/>
    <w:rsid w:val="610552EA"/>
    <w:rsid w:val="61162C50"/>
    <w:rsid w:val="613C7C1B"/>
    <w:rsid w:val="617203D0"/>
    <w:rsid w:val="6183640F"/>
    <w:rsid w:val="620B41F3"/>
    <w:rsid w:val="624462A3"/>
    <w:rsid w:val="62D302D9"/>
    <w:rsid w:val="62E671D3"/>
    <w:rsid w:val="62F7205C"/>
    <w:rsid w:val="634B16C2"/>
    <w:rsid w:val="638717D9"/>
    <w:rsid w:val="63CE2B2C"/>
    <w:rsid w:val="646E65B0"/>
    <w:rsid w:val="64744EC0"/>
    <w:rsid w:val="64981C38"/>
    <w:rsid w:val="64A14715"/>
    <w:rsid w:val="64AE2EEE"/>
    <w:rsid w:val="64D95319"/>
    <w:rsid w:val="64F70EA9"/>
    <w:rsid w:val="6559389C"/>
    <w:rsid w:val="655C6080"/>
    <w:rsid w:val="65921AA2"/>
    <w:rsid w:val="66610F24"/>
    <w:rsid w:val="666B40A1"/>
    <w:rsid w:val="668307A1"/>
    <w:rsid w:val="66CB249B"/>
    <w:rsid w:val="67034A0D"/>
    <w:rsid w:val="671B6AB8"/>
    <w:rsid w:val="67691968"/>
    <w:rsid w:val="678A727A"/>
    <w:rsid w:val="67996221"/>
    <w:rsid w:val="681E7F53"/>
    <w:rsid w:val="685E4F68"/>
    <w:rsid w:val="68797B9E"/>
    <w:rsid w:val="68917420"/>
    <w:rsid w:val="69610B03"/>
    <w:rsid w:val="69A14E77"/>
    <w:rsid w:val="69C40C23"/>
    <w:rsid w:val="6A1F7162"/>
    <w:rsid w:val="6A357991"/>
    <w:rsid w:val="6A7B2DC6"/>
    <w:rsid w:val="6A873A46"/>
    <w:rsid w:val="6AA2035E"/>
    <w:rsid w:val="6B335388"/>
    <w:rsid w:val="6B59453E"/>
    <w:rsid w:val="6B8145B1"/>
    <w:rsid w:val="6B88040B"/>
    <w:rsid w:val="6BA77EC0"/>
    <w:rsid w:val="6BC56EF1"/>
    <w:rsid w:val="6BE66EA4"/>
    <w:rsid w:val="6C503C07"/>
    <w:rsid w:val="6C512A7A"/>
    <w:rsid w:val="6C6A66CD"/>
    <w:rsid w:val="6CDD534C"/>
    <w:rsid w:val="6D154D66"/>
    <w:rsid w:val="6D5B777B"/>
    <w:rsid w:val="6D88336F"/>
    <w:rsid w:val="6DDB1B0C"/>
    <w:rsid w:val="6E1A4C18"/>
    <w:rsid w:val="6E627A21"/>
    <w:rsid w:val="6E957640"/>
    <w:rsid w:val="6EE33674"/>
    <w:rsid w:val="6EE442D1"/>
    <w:rsid w:val="6FFE2E51"/>
    <w:rsid w:val="7019413A"/>
    <w:rsid w:val="703E7A4B"/>
    <w:rsid w:val="70BA3726"/>
    <w:rsid w:val="715747DA"/>
    <w:rsid w:val="716A11FC"/>
    <w:rsid w:val="717639AE"/>
    <w:rsid w:val="71A16495"/>
    <w:rsid w:val="71B3624E"/>
    <w:rsid w:val="71B73C37"/>
    <w:rsid w:val="72747F56"/>
    <w:rsid w:val="72B1108D"/>
    <w:rsid w:val="72EA0AEA"/>
    <w:rsid w:val="73767D80"/>
    <w:rsid w:val="73A87D4E"/>
    <w:rsid w:val="73EB3D22"/>
    <w:rsid w:val="745B39A7"/>
    <w:rsid w:val="74711863"/>
    <w:rsid w:val="747948CE"/>
    <w:rsid w:val="74EC45FF"/>
    <w:rsid w:val="75126D7A"/>
    <w:rsid w:val="75227679"/>
    <w:rsid w:val="75821CCB"/>
    <w:rsid w:val="75B82733"/>
    <w:rsid w:val="75BA5477"/>
    <w:rsid w:val="75BE27CD"/>
    <w:rsid w:val="760610C6"/>
    <w:rsid w:val="7643534A"/>
    <w:rsid w:val="76B13BBA"/>
    <w:rsid w:val="76B2238A"/>
    <w:rsid w:val="76BFAF13"/>
    <w:rsid w:val="77537603"/>
    <w:rsid w:val="77D36857"/>
    <w:rsid w:val="780326FC"/>
    <w:rsid w:val="78937CF7"/>
    <w:rsid w:val="78CD0595"/>
    <w:rsid w:val="78FBF684"/>
    <w:rsid w:val="79132AA2"/>
    <w:rsid w:val="798071ED"/>
    <w:rsid w:val="79D92B12"/>
    <w:rsid w:val="79ED6971"/>
    <w:rsid w:val="79FE2D83"/>
    <w:rsid w:val="7A1C357C"/>
    <w:rsid w:val="7A263419"/>
    <w:rsid w:val="7AA33536"/>
    <w:rsid w:val="7AA339B1"/>
    <w:rsid w:val="7AE8472F"/>
    <w:rsid w:val="7B2533E0"/>
    <w:rsid w:val="7B7D91F1"/>
    <w:rsid w:val="7BB1565A"/>
    <w:rsid w:val="7BED0CD8"/>
    <w:rsid w:val="7BF88BF8"/>
    <w:rsid w:val="7BFE1E83"/>
    <w:rsid w:val="7C371870"/>
    <w:rsid w:val="7C5238E1"/>
    <w:rsid w:val="7CB7F70C"/>
    <w:rsid w:val="7D654D2B"/>
    <w:rsid w:val="7D673C72"/>
    <w:rsid w:val="7D6FFF83"/>
    <w:rsid w:val="7D71438E"/>
    <w:rsid w:val="7DBF21A5"/>
    <w:rsid w:val="7DE93C59"/>
    <w:rsid w:val="7DFBF8B8"/>
    <w:rsid w:val="7E72183B"/>
    <w:rsid w:val="7F264BB1"/>
    <w:rsid w:val="7F3F6140"/>
    <w:rsid w:val="7F4734A5"/>
    <w:rsid w:val="7F731F22"/>
    <w:rsid w:val="7FA55E2D"/>
    <w:rsid w:val="B69FF366"/>
    <w:rsid w:val="B7BE0BB5"/>
    <w:rsid w:val="D15D4F91"/>
    <w:rsid w:val="D1D7919C"/>
    <w:rsid w:val="DBEA39CD"/>
    <w:rsid w:val="DCFF9883"/>
    <w:rsid w:val="DE7FF3CC"/>
    <w:rsid w:val="F3FBBAEA"/>
    <w:rsid w:val="FD59B262"/>
    <w:rsid w:val="FEB95AF2"/>
    <w:rsid w:val="FEF185FD"/>
    <w:rsid w:val="FF9FEFB3"/>
    <w:rsid w:val="FFAC0321"/>
    <w:rsid w:val="FFBD4E78"/>
    <w:rsid w:val="FFF32B53"/>
    <w:rsid w:val="FFFF4AC0"/>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0" w:semiHidden="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name="toc 1"/>
    <w:lsdException w:qFormat="1" w:unhideWhenUsed="0" w:uiPriority="99" w:name="toc 2"/>
    <w:lsdException w:qFormat="1" w:unhideWhenUsed="0" w:uiPriority="99" w:name="toc 3"/>
    <w:lsdException w:qFormat="1" w:unhideWhenUsed="0" w:uiPriority="39" w:semiHidden="0" w:name="toc 4"/>
    <w:lsdException w:uiPriority="39" w:name="toc 5"/>
    <w:lsdException w:qFormat="1" w:unhideWhenUsed="0" w:uiPriority="0" w:name="toc 6"/>
    <w:lsdException w:uiPriority="39" w:name="toc 7"/>
    <w:lsdException w:uiPriority="39" w:name="toc 8"/>
    <w:lsdException w:uiPriority="39" w:name="toc 9"/>
    <w:lsdException w:qFormat="1" w:unhideWhenUsed="0" w:uiPriority="99" w:semiHidden="0" w:name="Normal Indent"/>
    <w:lsdException w:uiPriority="99"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0" w:semiHidden="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qFormat="1" w:unhideWhenUsed="0" w:uiPriority="99"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iPriority="99" w:semiHidden="0"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name="FollowedHyperlink"/>
    <w:lsdException w:qFormat="1" w:unhideWhenUsed="0" w:uiPriority="99" w:semiHidden="0" w:name="Strong"/>
    <w:lsdException w:qFormat="1" w:unhideWhenUsed="0" w:uiPriority="0" w:semiHidden="0" w:name="Emphasis" w:locked="1"/>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9">
    <w:name w:val="heading 1"/>
    <w:basedOn w:val="1"/>
    <w:next w:val="1"/>
    <w:link w:val="46"/>
    <w:qFormat/>
    <w:uiPriority w:val="99"/>
    <w:pPr>
      <w:keepNext/>
      <w:keepLines/>
      <w:spacing w:line="576" w:lineRule="auto"/>
      <w:outlineLvl w:val="0"/>
    </w:pPr>
    <w:rPr>
      <w:rFonts w:ascii="Calibri" w:hAnsi="Calibri" w:cs="Calibri"/>
      <w:b/>
      <w:bCs/>
      <w:kern w:val="44"/>
      <w:sz w:val="44"/>
      <w:szCs w:val="44"/>
    </w:rPr>
  </w:style>
  <w:style w:type="paragraph" w:styleId="2">
    <w:name w:val="heading 2"/>
    <w:basedOn w:val="1"/>
    <w:next w:val="3"/>
    <w:link w:val="47"/>
    <w:qFormat/>
    <w:uiPriority w:val="99"/>
    <w:pPr>
      <w:keepNext/>
      <w:spacing w:line="216" w:lineRule="auto"/>
      <w:outlineLvl w:val="1"/>
    </w:pPr>
    <w:rPr>
      <w:rFonts w:ascii="宋体" w:hAnsi="Calibri" w:cs="宋体"/>
      <w:b/>
      <w:bCs/>
      <w:sz w:val="28"/>
      <w:szCs w:val="28"/>
    </w:rPr>
  </w:style>
  <w:style w:type="paragraph" w:styleId="10">
    <w:name w:val="heading 3"/>
    <w:basedOn w:val="2"/>
    <w:next w:val="7"/>
    <w:link w:val="48"/>
    <w:autoRedefine/>
    <w:qFormat/>
    <w:uiPriority w:val="99"/>
    <w:pPr>
      <w:numPr>
        <w:ilvl w:val="0"/>
        <w:numId w:val="1"/>
      </w:numPr>
      <w:outlineLvl w:val="2"/>
    </w:pPr>
  </w:style>
  <w:style w:type="paragraph" w:styleId="11">
    <w:name w:val="heading 4"/>
    <w:basedOn w:val="1"/>
    <w:next w:val="12"/>
    <w:autoRedefine/>
    <w:qFormat/>
    <w:locked/>
    <w:uiPriority w:val="0"/>
    <w:pPr>
      <w:keepLines/>
      <w:widowControl/>
      <w:autoSpaceDE w:val="0"/>
      <w:autoSpaceDN w:val="0"/>
      <w:adjustRightInd w:val="0"/>
      <w:jc w:val="left"/>
      <w:textAlignment w:val="baseline"/>
      <w:outlineLvl w:val="3"/>
    </w:pPr>
    <w:rPr>
      <w:rFonts w:eastAsia="楷体_GB2312"/>
      <w:b/>
      <w:snapToGrid w:val="0"/>
      <w:kern w:val="0"/>
      <w:sz w:val="24"/>
      <w:szCs w:val="20"/>
    </w:rPr>
  </w:style>
  <w:style w:type="character" w:default="1" w:styleId="31">
    <w:name w:val="Default Paragraph Font"/>
    <w:autoRedefine/>
    <w:semiHidden/>
    <w:unhideWhenUsed/>
    <w:qFormat/>
    <w:uiPriority w:val="1"/>
  </w:style>
  <w:style w:type="table" w:default="1" w:styleId="29">
    <w:name w:val="Normal Table"/>
    <w:autoRedefine/>
    <w:semiHidden/>
    <w:unhideWhenUsed/>
    <w:qFormat/>
    <w:uiPriority w:val="99"/>
    <w:tblPr>
      <w:tblCellMar>
        <w:top w:w="0" w:type="dxa"/>
        <w:left w:w="108" w:type="dxa"/>
        <w:bottom w:w="0" w:type="dxa"/>
        <w:right w:w="108" w:type="dxa"/>
      </w:tblCellMar>
    </w:tblPr>
  </w:style>
  <w:style w:type="paragraph" w:styleId="3">
    <w:name w:val="Normal Indent"/>
    <w:basedOn w:val="1"/>
    <w:next w:val="4"/>
    <w:autoRedefine/>
    <w:qFormat/>
    <w:uiPriority w:val="99"/>
    <w:pPr>
      <w:ind w:firstLine="420"/>
    </w:pPr>
  </w:style>
  <w:style w:type="paragraph" w:styleId="4">
    <w:name w:val="Body Text Indent"/>
    <w:basedOn w:val="1"/>
    <w:next w:val="5"/>
    <w:link w:val="50"/>
    <w:autoRedefine/>
    <w:qFormat/>
    <w:uiPriority w:val="99"/>
    <w:pPr>
      <w:adjustRightInd w:val="0"/>
      <w:spacing w:line="360" w:lineRule="auto"/>
      <w:ind w:firstLine="490"/>
      <w:jc w:val="left"/>
    </w:pPr>
    <w:rPr>
      <w:rFonts w:ascii="宋体" w:hAnsi="宋体" w:cs="宋体"/>
      <w:sz w:val="24"/>
      <w:szCs w:val="24"/>
    </w:rPr>
  </w:style>
  <w:style w:type="paragraph" w:styleId="5">
    <w:name w:val="Body Text First Indent 2"/>
    <w:basedOn w:val="4"/>
    <w:next w:val="6"/>
    <w:autoRedefine/>
    <w:qFormat/>
    <w:uiPriority w:val="0"/>
    <w:pPr>
      <w:ind w:firstLine="420"/>
    </w:pPr>
  </w:style>
  <w:style w:type="paragraph" w:styleId="6">
    <w:name w:val="Body Text First Indent"/>
    <w:basedOn w:val="7"/>
    <w:next w:val="8"/>
    <w:link w:val="56"/>
    <w:autoRedefine/>
    <w:qFormat/>
    <w:uiPriority w:val="99"/>
    <w:pPr>
      <w:tabs>
        <w:tab w:val="left" w:pos="1275"/>
      </w:tabs>
      <w:ind w:firstLine="420" w:firstLineChars="100"/>
    </w:pPr>
  </w:style>
  <w:style w:type="paragraph" w:styleId="7">
    <w:name w:val="Body Text"/>
    <w:basedOn w:val="1"/>
    <w:next w:val="6"/>
    <w:link w:val="49"/>
    <w:autoRedefine/>
    <w:qFormat/>
    <w:uiPriority w:val="99"/>
    <w:pPr>
      <w:tabs>
        <w:tab w:val="left" w:pos="1275"/>
      </w:tabs>
    </w:pPr>
  </w:style>
  <w:style w:type="paragraph" w:styleId="8">
    <w:name w:val="toc 6"/>
    <w:basedOn w:val="1"/>
    <w:next w:val="1"/>
    <w:autoRedefine/>
    <w:semiHidden/>
    <w:qFormat/>
    <w:uiPriority w:val="0"/>
    <w:pPr>
      <w:ind w:left="2100" w:leftChars="1000"/>
    </w:pPr>
  </w:style>
  <w:style w:type="paragraph" w:customStyle="1" w:styleId="12">
    <w:name w:val="正文首行缩进2字符"/>
    <w:basedOn w:val="1"/>
    <w:autoRedefine/>
    <w:qFormat/>
    <w:uiPriority w:val="99"/>
    <w:pPr>
      <w:spacing w:line="360" w:lineRule="auto"/>
      <w:ind w:firstLine="200" w:firstLineChars="200"/>
    </w:pPr>
  </w:style>
  <w:style w:type="paragraph" w:styleId="13">
    <w:name w:val="caption"/>
    <w:basedOn w:val="1"/>
    <w:next w:val="1"/>
    <w:qFormat/>
    <w:locked/>
    <w:uiPriority w:val="0"/>
    <w:rPr>
      <w:rFonts w:ascii="Arial" w:hAnsi="Arial" w:eastAsia="黑体"/>
      <w:sz w:val="20"/>
    </w:rPr>
  </w:style>
  <w:style w:type="paragraph" w:styleId="14">
    <w:name w:val="annotation text"/>
    <w:basedOn w:val="1"/>
    <w:link w:val="96"/>
    <w:autoRedefine/>
    <w:qFormat/>
    <w:uiPriority w:val="0"/>
    <w:pPr>
      <w:jc w:val="left"/>
    </w:pPr>
  </w:style>
  <w:style w:type="paragraph" w:styleId="15">
    <w:name w:val="Body Text 3"/>
    <w:basedOn w:val="1"/>
    <w:autoRedefine/>
    <w:unhideWhenUsed/>
    <w:qFormat/>
    <w:uiPriority w:val="99"/>
    <w:pPr>
      <w:spacing w:after="120"/>
    </w:pPr>
    <w:rPr>
      <w:sz w:val="16"/>
      <w:szCs w:val="16"/>
    </w:rPr>
  </w:style>
  <w:style w:type="paragraph" w:styleId="16">
    <w:name w:val="toc 3"/>
    <w:basedOn w:val="1"/>
    <w:next w:val="1"/>
    <w:autoRedefine/>
    <w:semiHidden/>
    <w:qFormat/>
    <w:uiPriority w:val="99"/>
    <w:pPr>
      <w:ind w:left="840" w:leftChars="400"/>
    </w:pPr>
  </w:style>
  <w:style w:type="paragraph" w:styleId="17">
    <w:name w:val="Plain Text"/>
    <w:basedOn w:val="1"/>
    <w:link w:val="51"/>
    <w:autoRedefine/>
    <w:qFormat/>
    <w:uiPriority w:val="0"/>
    <w:rPr>
      <w:rFonts w:ascii="宋体" w:hAnsi="Courier New" w:cs="宋体"/>
    </w:rPr>
  </w:style>
  <w:style w:type="paragraph" w:styleId="18">
    <w:name w:val="Date"/>
    <w:basedOn w:val="1"/>
    <w:next w:val="1"/>
    <w:link w:val="52"/>
    <w:autoRedefine/>
    <w:qFormat/>
    <w:uiPriority w:val="99"/>
    <w:pPr>
      <w:ind w:left="100" w:leftChars="2500"/>
    </w:pPr>
    <w:rPr>
      <w:rFonts w:ascii="宋体" w:hAnsi="宋体" w:cs="宋体"/>
      <w:color w:val="000000"/>
      <w:sz w:val="24"/>
      <w:szCs w:val="24"/>
    </w:rPr>
  </w:style>
  <w:style w:type="paragraph" w:styleId="19">
    <w:name w:val="Balloon Text"/>
    <w:basedOn w:val="1"/>
    <w:link w:val="53"/>
    <w:autoRedefine/>
    <w:semiHidden/>
    <w:qFormat/>
    <w:uiPriority w:val="99"/>
    <w:rPr>
      <w:sz w:val="18"/>
      <w:szCs w:val="18"/>
    </w:rPr>
  </w:style>
  <w:style w:type="paragraph" w:styleId="20">
    <w:name w:val="footer"/>
    <w:basedOn w:val="1"/>
    <w:link w:val="54"/>
    <w:autoRedefine/>
    <w:qFormat/>
    <w:uiPriority w:val="99"/>
    <w:pPr>
      <w:tabs>
        <w:tab w:val="center" w:pos="4153"/>
        <w:tab w:val="right" w:pos="8306"/>
      </w:tabs>
      <w:snapToGrid w:val="0"/>
      <w:jc w:val="left"/>
    </w:pPr>
    <w:rPr>
      <w:sz w:val="18"/>
      <w:szCs w:val="18"/>
    </w:rPr>
  </w:style>
  <w:style w:type="paragraph" w:styleId="21">
    <w:name w:val="header"/>
    <w:basedOn w:val="1"/>
    <w:link w:val="55"/>
    <w:autoRedefine/>
    <w:qFormat/>
    <w:uiPriority w:val="99"/>
    <w:pPr>
      <w:pBdr>
        <w:bottom w:val="single" w:color="auto" w:sz="6" w:space="1"/>
      </w:pBdr>
      <w:tabs>
        <w:tab w:val="center" w:pos="4153"/>
        <w:tab w:val="right" w:pos="8306"/>
      </w:tabs>
      <w:adjustRightInd w:val="0"/>
      <w:snapToGrid w:val="0"/>
      <w:spacing w:line="240" w:lineRule="atLeast"/>
      <w:jc w:val="center"/>
      <w:textAlignment w:val="baseline"/>
    </w:pPr>
    <w:rPr>
      <w:rFonts w:ascii="宋体" w:cs="宋体"/>
      <w:kern w:val="0"/>
      <w:sz w:val="18"/>
      <w:szCs w:val="18"/>
    </w:rPr>
  </w:style>
  <w:style w:type="paragraph" w:styleId="22">
    <w:name w:val="toc 1"/>
    <w:basedOn w:val="1"/>
    <w:next w:val="1"/>
    <w:autoRedefine/>
    <w:semiHidden/>
    <w:qFormat/>
    <w:uiPriority w:val="99"/>
  </w:style>
  <w:style w:type="paragraph" w:styleId="23">
    <w:name w:val="toc 4"/>
    <w:basedOn w:val="1"/>
    <w:next w:val="1"/>
    <w:autoRedefine/>
    <w:qFormat/>
    <w:uiPriority w:val="39"/>
    <w:pPr>
      <w:ind w:left="1260" w:leftChars="600"/>
    </w:pPr>
    <w:rPr>
      <w:szCs w:val="24"/>
    </w:rPr>
  </w:style>
  <w:style w:type="paragraph" w:styleId="24">
    <w:name w:val="toc 2"/>
    <w:basedOn w:val="1"/>
    <w:next w:val="1"/>
    <w:autoRedefine/>
    <w:semiHidden/>
    <w:qFormat/>
    <w:uiPriority w:val="99"/>
    <w:pPr>
      <w:ind w:left="420" w:leftChars="200"/>
    </w:pPr>
  </w:style>
  <w:style w:type="paragraph" w:styleId="25">
    <w:name w:val="Body Text 2"/>
    <w:basedOn w:val="1"/>
    <w:autoRedefine/>
    <w:qFormat/>
    <w:uiPriority w:val="0"/>
    <w:pPr>
      <w:spacing w:after="120" w:line="480" w:lineRule="auto"/>
    </w:pPr>
    <w:rPr>
      <w:szCs w:val="20"/>
    </w:rPr>
  </w:style>
  <w:style w:type="paragraph" w:styleId="26">
    <w:name w:val="HTML Preformatted"/>
    <w:basedOn w:val="1"/>
    <w:link w:val="95"/>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27">
    <w:name w:val="Normal (Web)"/>
    <w:basedOn w:val="1"/>
    <w:next w:val="1"/>
    <w:autoRedefine/>
    <w:qFormat/>
    <w:uiPriority w:val="99"/>
    <w:pPr>
      <w:widowControl/>
      <w:spacing w:before="100" w:beforeAutospacing="1" w:after="100" w:afterAutospacing="1"/>
      <w:jc w:val="left"/>
    </w:pPr>
    <w:rPr>
      <w:rFonts w:ascii="宋体" w:hAnsi="宋体" w:cs="宋体"/>
      <w:sz w:val="24"/>
      <w:szCs w:val="24"/>
    </w:rPr>
  </w:style>
  <w:style w:type="paragraph" w:styleId="28">
    <w:name w:val="Title"/>
    <w:basedOn w:val="1"/>
    <w:next w:val="1"/>
    <w:autoRedefine/>
    <w:qFormat/>
    <w:locked/>
    <w:uiPriority w:val="0"/>
    <w:pPr>
      <w:spacing w:before="240" w:after="60"/>
      <w:jc w:val="center"/>
      <w:outlineLvl w:val="0"/>
    </w:pPr>
    <w:rPr>
      <w:rFonts w:ascii="Arial" w:hAnsi="Arial" w:cs="Arial"/>
      <w:sz w:val="32"/>
      <w:szCs w:val="32"/>
    </w:rPr>
  </w:style>
  <w:style w:type="table" w:styleId="30">
    <w:name w:val="Table Grid"/>
    <w:basedOn w:val="29"/>
    <w:autoRedefine/>
    <w:qFormat/>
    <w:uiPriority w:val="59"/>
    <w:pPr>
      <w:widowControl w:val="0"/>
      <w:autoSpaceDE w:val="0"/>
      <w:autoSpaceDN w:val="0"/>
      <w:adjustRightInd w:val="0"/>
      <w:spacing w:line="36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2">
    <w:name w:val="Strong"/>
    <w:basedOn w:val="31"/>
    <w:autoRedefine/>
    <w:qFormat/>
    <w:uiPriority w:val="99"/>
    <w:rPr>
      <w:b/>
      <w:bCs/>
    </w:rPr>
  </w:style>
  <w:style w:type="character" w:styleId="33">
    <w:name w:val="page number"/>
    <w:basedOn w:val="31"/>
    <w:autoRedefine/>
    <w:qFormat/>
    <w:uiPriority w:val="99"/>
  </w:style>
  <w:style w:type="character" w:styleId="34">
    <w:name w:val="FollowedHyperlink"/>
    <w:basedOn w:val="31"/>
    <w:autoRedefine/>
    <w:semiHidden/>
    <w:unhideWhenUsed/>
    <w:qFormat/>
    <w:uiPriority w:val="99"/>
    <w:rPr>
      <w:color w:val="333333"/>
      <w:u w:val="none"/>
    </w:rPr>
  </w:style>
  <w:style w:type="character" w:styleId="35">
    <w:name w:val="Hyperlink"/>
    <w:basedOn w:val="31"/>
    <w:autoRedefine/>
    <w:qFormat/>
    <w:uiPriority w:val="99"/>
    <w:rPr>
      <w:color w:val="0000FF"/>
      <w:u w:val="single"/>
    </w:rPr>
  </w:style>
  <w:style w:type="paragraph" w:customStyle="1" w:styleId="36">
    <w:name w:val="样式 表格正文 + 两端对齐"/>
    <w:basedOn w:val="1"/>
    <w:next w:val="37"/>
    <w:autoRedefine/>
    <w:qFormat/>
    <w:uiPriority w:val="99"/>
    <w:pPr>
      <w:spacing w:line="300" w:lineRule="auto"/>
    </w:pPr>
    <w:rPr>
      <w:sz w:val="24"/>
      <w:szCs w:val="24"/>
    </w:rPr>
  </w:style>
  <w:style w:type="paragraph" w:customStyle="1" w:styleId="37">
    <w:name w:val="正文1"/>
    <w:basedOn w:val="1"/>
    <w:next w:val="38"/>
    <w:qFormat/>
    <w:uiPriority w:val="99"/>
    <w:pPr>
      <w:widowControl/>
      <w:snapToGrid w:val="0"/>
      <w:spacing w:line="500" w:lineRule="exact"/>
      <w:ind w:firstLine="567"/>
    </w:pPr>
    <w:rPr>
      <w:rFonts w:ascii="楷体_GB2312" w:eastAsia="楷体_GB2312" w:cs="楷体_GB2312"/>
      <w:kern w:val="0"/>
      <w:sz w:val="28"/>
      <w:szCs w:val="28"/>
    </w:rPr>
  </w:style>
  <w:style w:type="paragraph" w:customStyle="1" w:styleId="38">
    <w:name w:val="自动更正"/>
    <w:next w:val="39"/>
    <w:autoRedefine/>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39">
    <w:name w:val="xl39"/>
    <w:basedOn w:val="1"/>
    <w:next w:val="40"/>
    <w:autoRedefine/>
    <w:qFormat/>
    <w:uiPriority w:val="99"/>
    <w:pPr>
      <w:widowControl/>
      <w:pBdr>
        <w:top w:val="single" w:color="auto" w:sz="4" w:space="0"/>
        <w:bottom w:val="single" w:color="auto" w:sz="4" w:space="0"/>
        <w:right w:val="single" w:color="auto" w:sz="4" w:space="0"/>
      </w:pBdr>
      <w:spacing w:before="100" w:after="100"/>
      <w:jc w:val="left"/>
      <w:textAlignment w:val="center"/>
    </w:pPr>
    <w:rPr>
      <w:kern w:val="0"/>
    </w:rPr>
  </w:style>
  <w:style w:type="paragraph" w:customStyle="1" w:styleId="40">
    <w:name w:val="分手多日，近况如何？"/>
    <w:next w:val="1"/>
    <w:autoRedefine/>
    <w:qFormat/>
    <w:uiPriority w:val="99"/>
    <w:pPr>
      <w:widowControl w:val="0"/>
      <w:jc w:val="both"/>
    </w:pPr>
    <w:rPr>
      <w:rFonts w:ascii="Times New Roman" w:hAnsi="Times New Roman" w:eastAsia="宋体" w:cs="Times New Roman"/>
      <w:sz w:val="21"/>
      <w:szCs w:val="21"/>
      <w:lang w:val="en-US" w:eastAsia="zh-CN" w:bidi="ar-SA"/>
    </w:rPr>
  </w:style>
  <w:style w:type="paragraph" w:customStyle="1" w:styleId="41">
    <w:name w:val="表格文字"/>
    <w:basedOn w:val="1"/>
    <w:next w:val="7"/>
    <w:autoRedefine/>
    <w:qFormat/>
    <w:uiPriority w:val="0"/>
    <w:pPr>
      <w:adjustRightInd w:val="0"/>
      <w:spacing w:line="420" w:lineRule="atLeast"/>
      <w:textAlignment w:val="baseline"/>
    </w:pPr>
  </w:style>
  <w:style w:type="paragraph" w:customStyle="1" w:styleId="42">
    <w:name w:val="正文模板"/>
    <w:basedOn w:val="1"/>
    <w:autoRedefine/>
    <w:qFormat/>
    <w:uiPriority w:val="0"/>
    <w:pPr>
      <w:spacing w:line="360" w:lineRule="auto"/>
      <w:ind w:firstLine="200" w:firstLineChars="200"/>
    </w:pPr>
    <w:rPr>
      <w:rFonts w:eastAsia="仿宋"/>
      <w:sz w:val="24"/>
    </w:rPr>
  </w:style>
  <w:style w:type="paragraph" w:customStyle="1" w:styleId="43">
    <w:name w:val="Body Text First Indent1"/>
    <w:basedOn w:val="7"/>
    <w:autoRedefine/>
    <w:qFormat/>
    <w:uiPriority w:val="0"/>
    <w:pPr>
      <w:ind w:firstLine="420" w:firstLineChars="100"/>
    </w:pPr>
  </w:style>
  <w:style w:type="paragraph" w:customStyle="1" w:styleId="44">
    <w:name w:val="正文缩进1"/>
    <w:basedOn w:val="1"/>
    <w:next w:val="4"/>
    <w:autoRedefine/>
    <w:qFormat/>
    <w:uiPriority w:val="0"/>
    <w:pPr>
      <w:ind w:firstLine="420" w:firstLineChars="200"/>
    </w:pPr>
  </w:style>
  <w:style w:type="paragraph" w:customStyle="1" w:styleId="45">
    <w:name w:val="正文（首行缩进2字符）"/>
    <w:basedOn w:val="1"/>
    <w:autoRedefine/>
    <w:qFormat/>
    <w:uiPriority w:val="0"/>
    <w:pPr>
      <w:spacing w:line="360" w:lineRule="auto"/>
      <w:ind w:firstLine="480" w:firstLineChars="200"/>
    </w:pPr>
    <w:rPr>
      <w:sz w:val="24"/>
      <w:szCs w:val="20"/>
    </w:rPr>
  </w:style>
  <w:style w:type="character" w:customStyle="1" w:styleId="46">
    <w:name w:val="标题 1 Char"/>
    <w:basedOn w:val="31"/>
    <w:link w:val="9"/>
    <w:autoRedefine/>
    <w:qFormat/>
    <w:locked/>
    <w:uiPriority w:val="99"/>
    <w:rPr>
      <w:b/>
      <w:bCs/>
      <w:kern w:val="44"/>
      <w:sz w:val="44"/>
      <w:szCs w:val="44"/>
    </w:rPr>
  </w:style>
  <w:style w:type="character" w:customStyle="1" w:styleId="47">
    <w:name w:val="标题 2 Char"/>
    <w:basedOn w:val="31"/>
    <w:link w:val="2"/>
    <w:autoRedefine/>
    <w:qFormat/>
    <w:locked/>
    <w:uiPriority w:val="99"/>
    <w:rPr>
      <w:rFonts w:ascii="宋体" w:cs="宋体"/>
      <w:b/>
      <w:bCs/>
      <w:kern w:val="2"/>
      <w:sz w:val="28"/>
      <w:szCs w:val="28"/>
    </w:rPr>
  </w:style>
  <w:style w:type="character" w:customStyle="1" w:styleId="48">
    <w:name w:val="标题 3 Char"/>
    <w:basedOn w:val="31"/>
    <w:link w:val="10"/>
    <w:autoRedefine/>
    <w:qFormat/>
    <w:locked/>
    <w:uiPriority w:val="99"/>
    <w:rPr>
      <w:rFonts w:ascii="宋体" w:cs="宋体"/>
      <w:b/>
      <w:bCs/>
      <w:kern w:val="2"/>
      <w:sz w:val="28"/>
      <w:szCs w:val="28"/>
    </w:rPr>
  </w:style>
  <w:style w:type="character" w:customStyle="1" w:styleId="49">
    <w:name w:val="正文文本 Char"/>
    <w:basedOn w:val="31"/>
    <w:link w:val="7"/>
    <w:autoRedefine/>
    <w:semiHidden/>
    <w:qFormat/>
    <w:uiPriority w:val="99"/>
    <w:rPr>
      <w:rFonts w:ascii="Times New Roman" w:hAnsi="Times New Roman"/>
      <w:szCs w:val="21"/>
    </w:rPr>
  </w:style>
  <w:style w:type="character" w:customStyle="1" w:styleId="50">
    <w:name w:val="正文文本缩进 Char"/>
    <w:basedOn w:val="31"/>
    <w:link w:val="4"/>
    <w:autoRedefine/>
    <w:semiHidden/>
    <w:qFormat/>
    <w:uiPriority w:val="99"/>
    <w:rPr>
      <w:rFonts w:ascii="Times New Roman" w:hAnsi="Times New Roman"/>
      <w:szCs w:val="21"/>
    </w:rPr>
  </w:style>
  <w:style w:type="character" w:customStyle="1" w:styleId="51">
    <w:name w:val="纯文本 Char"/>
    <w:basedOn w:val="31"/>
    <w:link w:val="17"/>
    <w:autoRedefine/>
    <w:qFormat/>
    <w:uiPriority w:val="0"/>
    <w:rPr>
      <w:rFonts w:ascii="宋体" w:hAnsi="Courier New" w:cs="Courier New"/>
      <w:szCs w:val="21"/>
    </w:rPr>
  </w:style>
  <w:style w:type="character" w:customStyle="1" w:styleId="52">
    <w:name w:val="日期 Char"/>
    <w:basedOn w:val="31"/>
    <w:link w:val="18"/>
    <w:autoRedefine/>
    <w:semiHidden/>
    <w:qFormat/>
    <w:uiPriority w:val="99"/>
    <w:rPr>
      <w:rFonts w:ascii="Times New Roman" w:hAnsi="Times New Roman"/>
      <w:szCs w:val="21"/>
    </w:rPr>
  </w:style>
  <w:style w:type="character" w:customStyle="1" w:styleId="53">
    <w:name w:val="批注框文本 Char"/>
    <w:basedOn w:val="31"/>
    <w:link w:val="19"/>
    <w:autoRedefine/>
    <w:qFormat/>
    <w:locked/>
    <w:uiPriority w:val="99"/>
    <w:rPr>
      <w:kern w:val="2"/>
      <w:sz w:val="18"/>
      <w:szCs w:val="18"/>
    </w:rPr>
  </w:style>
  <w:style w:type="character" w:customStyle="1" w:styleId="54">
    <w:name w:val="页脚 Char"/>
    <w:basedOn w:val="31"/>
    <w:link w:val="20"/>
    <w:autoRedefine/>
    <w:semiHidden/>
    <w:qFormat/>
    <w:uiPriority w:val="99"/>
    <w:rPr>
      <w:rFonts w:ascii="Times New Roman" w:hAnsi="Times New Roman"/>
      <w:sz w:val="18"/>
      <w:szCs w:val="18"/>
    </w:rPr>
  </w:style>
  <w:style w:type="character" w:customStyle="1" w:styleId="55">
    <w:name w:val="页眉 Char"/>
    <w:basedOn w:val="31"/>
    <w:link w:val="21"/>
    <w:autoRedefine/>
    <w:semiHidden/>
    <w:qFormat/>
    <w:uiPriority w:val="99"/>
    <w:rPr>
      <w:rFonts w:ascii="Times New Roman" w:hAnsi="Times New Roman"/>
      <w:sz w:val="18"/>
      <w:szCs w:val="18"/>
    </w:rPr>
  </w:style>
  <w:style w:type="character" w:customStyle="1" w:styleId="56">
    <w:name w:val="正文首行缩进 Char"/>
    <w:basedOn w:val="49"/>
    <w:link w:val="6"/>
    <w:autoRedefine/>
    <w:semiHidden/>
    <w:qFormat/>
    <w:uiPriority w:val="99"/>
    <w:rPr>
      <w:rFonts w:ascii="Times New Roman" w:hAnsi="Times New Roman"/>
      <w:szCs w:val="21"/>
    </w:rPr>
  </w:style>
  <w:style w:type="paragraph" w:customStyle="1" w:styleId="57">
    <w:name w:val="正文2"/>
    <w:basedOn w:val="25"/>
    <w:autoRedefine/>
    <w:qFormat/>
    <w:uiPriority w:val="99"/>
    <w:pPr>
      <w:adjustRightInd w:val="0"/>
      <w:spacing w:before="156" w:line="360" w:lineRule="auto"/>
      <w:ind w:firstLine="510" w:firstLineChars="200"/>
    </w:pPr>
    <w:rPr>
      <w:sz w:val="24"/>
      <w:szCs w:val="24"/>
    </w:rPr>
  </w:style>
  <w:style w:type="paragraph" w:customStyle="1" w:styleId="58">
    <w:name w:val="List Paragraph1"/>
    <w:basedOn w:val="1"/>
    <w:autoRedefine/>
    <w:qFormat/>
    <w:uiPriority w:val="99"/>
    <w:pPr>
      <w:widowControl/>
      <w:ind w:firstLine="420" w:firstLineChars="200"/>
      <w:jc w:val="left"/>
    </w:pPr>
    <w:rPr>
      <w:rFonts w:ascii="Calibri" w:hAnsi="Calibri" w:cs="Calibri"/>
    </w:rPr>
  </w:style>
  <w:style w:type="character" w:customStyle="1" w:styleId="59">
    <w:name w:val="style81"/>
    <w:autoRedefine/>
    <w:qFormat/>
    <w:uiPriority w:val="99"/>
    <w:rPr>
      <w:sz w:val="20"/>
      <w:szCs w:val="20"/>
    </w:rPr>
  </w:style>
  <w:style w:type="paragraph" w:customStyle="1" w:styleId="60">
    <w:name w:val="列出段落1"/>
    <w:basedOn w:val="1"/>
    <w:qFormat/>
    <w:uiPriority w:val="99"/>
    <w:pPr>
      <w:ind w:firstLine="420"/>
      <w:jc w:val="left"/>
    </w:pPr>
  </w:style>
  <w:style w:type="paragraph" w:customStyle="1" w:styleId="61">
    <w:name w:val="表格"/>
    <w:basedOn w:val="1"/>
    <w:autoRedefine/>
    <w:qFormat/>
    <w:uiPriority w:val="99"/>
    <w:pPr>
      <w:autoSpaceDE w:val="0"/>
      <w:autoSpaceDN w:val="0"/>
      <w:jc w:val="center"/>
      <w:textAlignment w:val="baseline"/>
    </w:pPr>
    <w:rPr>
      <w:color w:val="000000"/>
      <w:kern w:val="0"/>
    </w:rPr>
  </w:style>
  <w:style w:type="character" w:customStyle="1" w:styleId="62">
    <w:name w:val="02 Char"/>
    <w:link w:val="63"/>
    <w:autoRedefine/>
    <w:qFormat/>
    <w:locked/>
    <w:uiPriority w:val="99"/>
    <w:rPr>
      <w:rFonts w:ascii="宋体" w:cs="宋体"/>
      <w:b/>
      <w:bCs/>
      <w:color w:val="FF0000"/>
      <w:kern w:val="2"/>
      <w:sz w:val="28"/>
      <w:szCs w:val="28"/>
    </w:rPr>
  </w:style>
  <w:style w:type="paragraph" w:customStyle="1" w:styleId="63">
    <w:name w:val="02"/>
    <w:basedOn w:val="2"/>
    <w:link w:val="62"/>
    <w:autoRedefine/>
    <w:qFormat/>
    <w:uiPriority w:val="99"/>
    <w:pPr>
      <w:jc w:val="center"/>
    </w:pPr>
    <w:rPr>
      <w:color w:val="FF0000"/>
    </w:rPr>
  </w:style>
  <w:style w:type="character" w:customStyle="1" w:styleId="64">
    <w:name w:val="03 Char"/>
    <w:link w:val="65"/>
    <w:autoRedefine/>
    <w:qFormat/>
    <w:locked/>
    <w:uiPriority w:val="99"/>
    <w:rPr>
      <w:rFonts w:ascii="宋体" w:cs="宋体"/>
      <w:b/>
      <w:bCs/>
      <w:kern w:val="2"/>
      <w:sz w:val="28"/>
      <w:szCs w:val="28"/>
    </w:rPr>
  </w:style>
  <w:style w:type="paragraph" w:customStyle="1" w:styleId="65">
    <w:name w:val="03"/>
    <w:basedOn w:val="10"/>
    <w:link w:val="64"/>
    <w:autoRedefine/>
    <w:qFormat/>
    <w:uiPriority w:val="99"/>
    <w:pPr>
      <w:numPr>
        <w:ilvl w:val="0"/>
        <w:numId w:val="0"/>
      </w:numPr>
    </w:pPr>
  </w:style>
  <w:style w:type="character" w:customStyle="1" w:styleId="66">
    <w:name w:val="宋体小四 Char"/>
    <w:link w:val="67"/>
    <w:autoRedefine/>
    <w:qFormat/>
    <w:locked/>
    <w:uiPriority w:val="99"/>
    <w:rPr>
      <w:rFonts w:ascii="宋体" w:eastAsia="宋体" w:cs="宋体"/>
      <w:kern w:val="2"/>
      <w:sz w:val="24"/>
      <w:szCs w:val="24"/>
    </w:rPr>
  </w:style>
  <w:style w:type="paragraph" w:customStyle="1" w:styleId="67">
    <w:name w:val="宋体小四"/>
    <w:basedOn w:val="1"/>
    <w:link w:val="66"/>
    <w:autoRedefine/>
    <w:qFormat/>
    <w:uiPriority w:val="99"/>
    <w:pPr>
      <w:spacing w:line="360" w:lineRule="auto"/>
      <w:ind w:firstLine="480" w:firstLineChars="200"/>
    </w:pPr>
    <w:rPr>
      <w:rFonts w:ascii="宋体" w:hAnsi="宋体" w:cs="宋体"/>
      <w:sz w:val="24"/>
      <w:szCs w:val="24"/>
    </w:rPr>
  </w:style>
  <w:style w:type="character" w:customStyle="1" w:styleId="68">
    <w:name w:val="fontstyle01"/>
    <w:basedOn w:val="31"/>
    <w:autoRedefine/>
    <w:qFormat/>
    <w:uiPriority w:val="99"/>
    <w:rPr>
      <w:rFonts w:ascii="宋体" w:eastAsia="宋体" w:cs="宋体"/>
      <w:color w:val="000000"/>
      <w:sz w:val="22"/>
      <w:szCs w:val="22"/>
    </w:rPr>
  </w:style>
  <w:style w:type="paragraph" w:customStyle="1" w:styleId="69">
    <w:name w:val="居中表格内容标题"/>
    <w:basedOn w:val="70"/>
    <w:autoRedefine/>
    <w:qFormat/>
    <w:uiPriority w:val="0"/>
    <w:pPr>
      <w:jc w:val="center"/>
    </w:pPr>
    <w:rPr>
      <w:b/>
    </w:rPr>
  </w:style>
  <w:style w:type="paragraph" w:customStyle="1" w:styleId="70">
    <w:name w:val="居中表格内容"/>
    <w:basedOn w:val="1"/>
    <w:next w:val="1"/>
    <w:qFormat/>
    <w:uiPriority w:val="0"/>
    <w:pPr>
      <w:jc w:val="left"/>
    </w:pPr>
    <w:rPr>
      <w:szCs w:val="28"/>
    </w:rPr>
  </w:style>
  <w:style w:type="paragraph" w:customStyle="1" w:styleId="71">
    <w:name w:val="Body text|1"/>
    <w:basedOn w:val="1"/>
    <w:qFormat/>
    <w:uiPriority w:val="0"/>
    <w:pPr>
      <w:spacing w:line="374" w:lineRule="auto"/>
      <w:ind w:firstLine="400"/>
    </w:pPr>
    <w:rPr>
      <w:rFonts w:ascii="宋体" w:hAnsi="宋体" w:cs="宋体"/>
      <w:sz w:val="30"/>
      <w:szCs w:val="30"/>
      <w:lang w:val="zh-TW" w:eastAsia="zh-TW" w:bidi="zh-TW"/>
    </w:rPr>
  </w:style>
  <w:style w:type="paragraph" w:customStyle="1" w:styleId="72">
    <w:name w:val="Body text|2"/>
    <w:basedOn w:val="1"/>
    <w:qFormat/>
    <w:uiPriority w:val="0"/>
    <w:pPr>
      <w:spacing w:line="360" w:lineRule="auto"/>
      <w:ind w:firstLine="660"/>
    </w:pPr>
    <w:rPr>
      <w:sz w:val="32"/>
      <w:szCs w:val="32"/>
      <w:lang w:val="zh-TW" w:eastAsia="zh-TW" w:bidi="zh-TW"/>
    </w:rPr>
  </w:style>
  <w:style w:type="character" w:customStyle="1" w:styleId="73">
    <w:name w:val="NormalCharacter"/>
    <w:autoRedefine/>
    <w:semiHidden/>
    <w:qFormat/>
    <w:uiPriority w:val="0"/>
  </w:style>
  <w:style w:type="paragraph" w:customStyle="1" w:styleId="74">
    <w:name w:val="CM26"/>
    <w:basedOn w:val="1"/>
    <w:next w:val="1"/>
    <w:autoRedefine/>
    <w:qFormat/>
    <w:uiPriority w:val="0"/>
    <w:pPr>
      <w:autoSpaceDE w:val="0"/>
      <w:autoSpaceDN w:val="0"/>
      <w:adjustRightInd w:val="0"/>
      <w:spacing w:line="400" w:lineRule="atLeast"/>
      <w:jc w:val="left"/>
    </w:pPr>
    <w:rPr>
      <w:rFonts w:ascii="宋体" w:hAnsi="宋体"/>
      <w:kern w:val="0"/>
      <w:sz w:val="24"/>
    </w:rPr>
  </w:style>
  <w:style w:type="paragraph" w:customStyle="1" w:styleId="75">
    <w:name w:val="xc正文"/>
    <w:basedOn w:val="1"/>
    <w:autoRedefine/>
    <w:qFormat/>
    <w:uiPriority w:val="0"/>
    <w:pPr>
      <w:ind w:firstLine="200" w:firstLineChars="200"/>
    </w:pPr>
    <w:rPr>
      <w:szCs w:val="24"/>
    </w:rPr>
  </w:style>
  <w:style w:type="paragraph" w:styleId="76">
    <w:name w:val="List Paragraph"/>
    <w:basedOn w:val="1"/>
    <w:autoRedefine/>
    <w:qFormat/>
    <w:uiPriority w:val="1"/>
    <w:pPr>
      <w:ind w:firstLine="420" w:firstLineChars="200"/>
    </w:pPr>
    <w:rPr>
      <w:szCs w:val="24"/>
    </w:rPr>
  </w:style>
  <w:style w:type="character" w:customStyle="1" w:styleId="77">
    <w:name w:val="fontstyle21"/>
    <w:autoRedefine/>
    <w:qFormat/>
    <w:uiPriority w:val="0"/>
    <w:rPr>
      <w:rFonts w:hint="default" w:ascii="TimesNewRomanPSMT" w:hAnsi="TimesNewRomanPSMT"/>
      <w:color w:val="000000"/>
      <w:sz w:val="32"/>
      <w:szCs w:val="32"/>
    </w:rPr>
  </w:style>
  <w:style w:type="paragraph" w:customStyle="1" w:styleId="78">
    <w:name w:val="_Style 16"/>
    <w:next w:val="1"/>
    <w:autoRedefine/>
    <w:qFormat/>
    <w:uiPriority w:val="39"/>
    <w:pPr>
      <w:widowControl w:val="0"/>
      <w:tabs>
        <w:tab w:val="left" w:pos="540"/>
        <w:tab w:val="right" w:leader="dot" w:pos="8890"/>
      </w:tabs>
      <w:spacing w:beforeLines="15" w:afterLines="15" w:line="560" w:lineRule="exact"/>
    </w:pPr>
    <w:rPr>
      <w:rFonts w:ascii="Times New Roman" w:hAnsi="Times New Roman" w:eastAsia="黑体" w:cs="Times New Roman"/>
      <w:b/>
      <w:bCs/>
      <w:caps/>
      <w:kern w:val="2"/>
      <w:sz w:val="28"/>
      <w:szCs w:val="28"/>
      <w:lang w:val="en-US" w:eastAsia="zh-CN" w:bidi="ar-SA"/>
    </w:rPr>
  </w:style>
  <w:style w:type="paragraph" w:customStyle="1" w:styleId="79">
    <w:name w:val="_Style 76"/>
    <w:basedOn w:val="1"/>
    <w:next w:val="76"/>
    <w:autoRedefine/>
    <w:qFormat/>
    <w:uiPriority w:val="34"/>
    <w:pPr>
      <w:ind w:firstLine="420" w:firstLineChars="200"/>
    </w:pPr>
    <w:rPr>
      <w:szCs w:val="24"/>
    </w:rPr>
  </w:style>
  <w:style w:type="paragraph" w:customStyle="1" w:styleId="80">
    <w:name w:val="纯文本1"/>
    <w:basedOn w:val="1"/>
    <w:autoRedefine/>
    <w:qFormat/>
    <w:uiPriority w:val="0"/>
    <w:pPr>
      <w:ind w:firstLine="280" w:firstLineChars="100"/>
    </w:pPr>
    <w:rPr>
      <w:rFonts w:hAnsi="宋体" w:cs="Courier New"/>
    </w:rPr>
  </w:style>
  <w:style w:type="paragraph" w:customStyle="1" w:styleId="81">
    <w:name w:val="居中表名"/>
    <w:basedOn w:val="1"/>
    <w:next w:val="1"/>
    <w:autoRedefine/>
    <w:qFormat/>
    <w:uiPriority w:val="0"/>
    <w:pPr>
      <w:jc w:val="center"/>
    </w:pPr>
    <w:rPr>
      <w:rFonts w:eastAsia="黑体"/>
      <w:b/>
      <w:szCs w:val="28"/>
    </w:rPr>
  </w:style>
  <w:style w:type="paragraph" w:customStyle="1" w:styleId="82">
    <w:name w:val="列表段落1"/>
    <w:basedOn w:val="1"/>
    <w:autoRedefine/>
    <w:qFormat/>
    <w:uiPriority w:val="0"/>
    <w:pPr>
      <w:ind w:firstLine="420"/>
    </w:pPr>
  </w:style>
  <w:style w:type="paragraph" w:customStyle="1" w:styleId="83">
    <w:name w:val="[Normal]"/>
    <w:autoRedefine/>
    <w:qFormat/>
    <w:uiPriority w:val="0"/>
    <w:rPr>
      <w:rFonts w:ascii="宋体" w:hAnsi="宋体" w:eastAsia="宋体" w:cs="Times New Roman"/>
      <w:sz w:val="24"/>
      <w:szCs w:val="22"/>
      <w:lang w:val="zh-CN" w:eastAsia="zh-CN" w:bidi="ar-SA"/>
    </w:rPr>
  </w:style>
  <w:style w:type="paragraph" w:customStyle="1" w:styleId="84">
    <w:name w:val="列出段落2"/>
    <w:basedOn w:val="1"/>
    <w:autoRedefine/>
    <w:qFormat/>
    <w:uiPriority w:val="1"/>
    <w:pPr>
      <w:ind w:firstLine="420" w:firstLineChars="200"/>
    </w:pPr>
    <w:rPr>
      <w:szCs w:val="24"/>
    </w:rPr>
  </w:style>
  <w:style w:type="character" w:customStyle="1" w:styleId="85">
    <w:name w:val="font21"/>
    <w:autoRedefine/>
    <w:qFormat/>
    <w:uiPriority w:val="0"/>
    <w:rPr>
      <w:rFonts w:hint="eastAsia" w:ascii="宋体" w:hAnsi="宋体" w:eastAsia="宋体" w:cs="宋体"/>
      <w:b/>
      <w:color w:val="FF0000"/>
      <w:sz w:val="24"/>
      <w:szCs w:val="24"/>
      <w:u w:val="none"/>
    </w:rPr>
  </w:style>
  <w:style w:type="paragraph" w:customStyle="1" w:styleId="86">
    <w:name w:val="样式6"/>
    <w:basedOn w:val="17"/>
    <w:autoRedefine/>
    <w:qFormat/>
    <w:uiPriority w:val="0"/>
    <w:pPr>
      <w:adjustRightInd w:val="0"/>
      <w:spacing w:line="460" w:lineRule="exact"/>
      <w:outlineLvl w:val="2"/>
    </w:pPr>
    <w:rPr>
      <w:rFonts w:ascii="仿宋_GB2312" w:hAnsi="宋体" w:eastAsia="仿宋_GB2312" w:cs="Times New Roman"/>
      <w:b/>
      <w:bCs/>
      <w:sz w:val="24"/>
      <w:szCs w:val="24"/>
    </w:rPr>
  </w:style>
  <w:style w:type="paragraph" w:customStyle="1" w:styleId="87">
    <w:name w:val="我的正文"/>
    <w:basedOn w:val="1"/>
    <w:autoRedefine/>
    <w:qFormat/>
    <w:uiPriority w:val="0"/>
    <w:pPr>
      <w:spacing w:line="360" w:lineRule="auto"/>
      <w:ind w:firstLine="200" w:firstLineChars="200"/>
    </w:pPr>
    <w:rPr>
      <w:sz w:val="24"/>
    </w:rPr>
  </w:style>
  <w:style w:type="paragraph" w:styleId="88">
    <w:name w:val="No Spacing"/>
    <w:autoRedefine/>
    <w:qFormat/>
    <w:uiPriority w:val="1"/>
    <w:pPr>
      <w:widowControl w:val="0"/>
      <w:ind w:firstLine="200" w:firstLineChars="200"/>
      <w:jc w:val="both"/>
    </w:pPr>
    <w:rPr>
      <w:rFonts w:ascii="等线" w:hAnsi="等线" w:eastAsia="仿宋" w:cs="Times New Roman"/>
      <w:kern w:val="2"/>
      <w:sz w:val="24"/>
      <w:szCs w:val="22"/>
      <w:lang w:val="en-US" w:eastAsia="zh-CN" w:bidi="ar-SA"/>
    </w:rPr>
  </w:style>
  <w:style w:type="paragraph" w:customStyle="1" w:styleId="89">
    <w:name w:val="Table Paragraph"/>
    <w:basedOn w:val="1"/>
    <w:autoRedefine/>
    <w:qFormat/>
    <w:uiPriority w:val="1"/>
    <w:pPr>
      <w:jc w:val="left"/>
    </w:pPr>
    <w:rPr>
      <w:rFonts w:ascii="Calibri" w:hAnsi="Calibri" w:eastAsia="Calibri"/>
      <w:kern w:val="0"/>
      <w:sz w:val="22"/>
      <w:szCs w:val="20"/>
      <w:lang w:eastAsia="en-US"/>
    </w:rPr>
  </w:style>
  <w:style w:type="paragraph" w:customStyle="1" w:styleId="90">
    <w:name w:val="__正文"/>
    <w:basedOn w:val="1"/>
    <w:autoRedefine/>
    <w:qFormat/>
    <w:uiPriority w:val="0"/>
    <w:pPr>
      <w:spacing w:line="360" w:lineRule="auto"/>
      <w:ind w:firstLine="560" w:firstLineChars="200"/>
    </w:pPr>
    <w:rPr>
      <w:sz w:val="28"/>
      <w:szCs w:val="28"/>
    </w:rPr>
  </w:style>
  <w:style w:type="paragraph" w:customStyle="1" w:styleId="91">
    <w:name w:val="正文带缩进"/>
    <w:next w:val="1"/>
    <w:autoRedefine/>
    <w:qFormat/>
    <w:uiPriority w:val="0"/>
    <w:pPr>
      <w:spacing w:line="600" w:lineRule="exact"/>
      <w:ind w:firstLine="200" w:firstLineChars="200"/>
      <w:jc w:val="both"/>
    </w:pPr>
    <w:rPr>
      <w:rFonts w:ascii="仿宋_GB2312" w:hAnsi="Calibri" w:eastAsia="仿宋_GB2312" w:cs="Times New Roman"/>
      <w:kern w:val="2"/>
      <w:sz w:val="28"/>
      <w:szCs w:val="22"/>
      <w:lang w:val="en-US" w:eastAsia="zh-CN" w:bidi="ar-SA"/>
    </w:rPr>
  </w:style>
  <w:style w:type="paragraph" w:customStyle="1" w:styleId="92">
    <w:name w:val="正文不带缩进"/>
    <w:autoRedefine/>
    <w:qFormat/>
    <w:uiPriority w:val="0"/>
    <w:pPr>
      <w:spacing w:line="360" w:lineRule="auto"/>
      <w:jc w:val="both"/>
    </w:pPr>
    <w:rPr>
      <w:rFonts w:ascii="仿宋_GB2312" w:hAnsi="Calibri" w:eastAsia="仿宋_GB2312" w:cs="Times New Roman"/>
      <w:kern w:val="2"/>
      <w:sz w:val="28"/>
      <w:szCs w:val="32"/>
      <w:lang w:val="en-US" w:eastAsia="zh-CN" w:bidi="ar-SA"/>
    </w:rPr>
  </w:style>
  <w:style w:type="paragraph" w:customStyle="1" w:styleId="93">
    <w:name w:val="目录 71"/>
    <w:next w:val="1"/>
    <w:autoRedefine/>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94">
    <w:name w:val="Default"/>
    <w:qFormat/>
    <w:uiPriority w:val="0"/>
    <w:pPr>
      <w:widowControl w:val="0"/>
      <w:autoSpaceDE w:val="0"/>
      <w:autoSpaceDN w:val="0"/>
      <w:adjustRightInd w:val="0"/>
    </w:pPr>
    <w:rPr>
      <w:rFonts w:ascii="宋体" w:hAnsi="等线" w:eastAsia="宋体" w:cs="Times New Roman"/>
      <w:color w:val="000000"/>
      <w:sz w:val="24"/>
      <w:lang w:val="en-US" w:eastAsia="zh-CN" w:bidi="ar-SA"/>
    </w:rPr>
  </w:style>
  <w:style w:type="character" w:customStyle="1" w:styleId="95">
    <w:name w:val="HTML 预设格式 Char"/>
    <w:basedOn w:val="31"/>
    <w:link w:val="26"/>
    <w:autoRedefine/>
    <w:qFormat/>
    <w:uiPriority w:val="0"/>
    <w:rPr>
      <w:rFonts w:ascii="宋体" w:hAnsi="宋体" w:cs="宋体"/>
      <w:sz w:val="24"/>
      <w:szCs w:val="24"/>
    </w:rPr>
  </w:style>
  <w:style w:type="character" w:customStyle="1" w:styleId="96">
    <w:name w:val="批注文字 Char"/>
    <w:basedOn w:val="31"/>
    <w:link w:val="14"/>
    <w:autoRedefine/>
    <w:qFormat/>
    <w:uiPriority w:val="0"/>
    <w:rPr>
      <w:kern w:val="2"/>
      <w:sz w:val="21"/>
      <w:szCs w:val="21"/>
    </w:rPr>
  </w:style>
  <w:style w:type="character" w:customStyle="1" w:styleId="97">
    <w:name w:val="Subtle Emphasis"/>
    <w:autoRedefine/>
    <w:qFormat/>
    <w:uiPriority w:val="19"/>
    <w:rPr>
      <w:rFonts w:eastAsiaTheme="minorEastAsia"/>
      <w:iCs/>
      <w:color w:val="auto"/>
      <w:sz w:val="21"/>
    </w:rPr>
  </w:style>
  <w:style w:type="paragraph" w:customStyle="1" w:styleId="98">
    <w:name w:val="内文正文"/>
    <w:autoRedefine/>
    <w:qFormat/>
    <w:uiPriority w:val="0"/>
    <w:pPr>
      <w:autoSpaceDE w:val="0"/>
      <w:autoSpaceDN w:val="0"/>
      <w:spacing w:line="400" w:lineRule="exact"/>
      <w:ind w:firstLine="200" w:firstLineChars="200"/>
      <w:jc w:val="both"/>
      <w:textAlignment w:val="bottom"/>
    </w:pPr>
    <w:rPr>
      <w:rFonts w:ascii="宋体" w:hAnsi="???|CS?o｡ﾀ?" w:eastAsia="宋体" w:cs="Times New Roman"/>
      <w:sz w:val="21"/>
      <w:szCs w:val="28"/>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P R C</Company>
  <Pages>53</Pages>
  <Words>337</Words>
  <Characters>366</Characters>
  <Lines>246</Lines>
  <Paragraphs>69</Paragraphs>
  <TotalTime>24</TotalTime>
  <ScaleCrop>false</ScaleCrop>
  <LinksUpToDate>false</LinksUpToDate>
  <CharactersWithSpaces>409</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2021-12-07T11:03:00Z</dcterms:created>
  <dc:creator>陈圣楠</dc:creator>
  <cp:lastModifiedBy>大森林</cp:lastModifiedBy>
  <cp:lastPrinted>2024-04-28T10:53:00Z</cp:lastPrinted>
  <dcterms:modified xsi:type="dcterms:W3CDTF">2025-06-26T03:10:15Z</dcterms:modified>
  <dc:title>上虞区自然资源变更监测项目</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9AC5CC63ACF2494D9CFB684E79C353A5_13</vt:lpwstr>
  </property>
  <property fmtid="{D5CDD505-2E9C-101B-9397-08002B2CF9AE}" pid="4" name="KSOTemplateDocerSaveRecord">
    <vt:lpwstr>eyJoZGlkIjoiOGYwNzU3MzYzMmZkNTMxYTZkOTY4ZTQ2YzA1MjFjMzMiLCJ1c2VySWQiOiI4MjgyMzY5NjMifQ==</vt:lpwstr>
  </property>
</Properties>
</file>