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sz w:val="24"/>
          <w:highlight w:val="none"/>
        </w:rPr>
      </w:pPr>
    </w:p>
    <w:p>
      <w:pPr>
        <w:jc w:val="center"/>
        <w:outlineLvl w:val="0"/>
        <w:rPr>
          <w:rFonts w:hint="eastAsia" w:ascii="仿宋" w:hAnsi="仿宋" w:eastAsia="仿宋" w:cs="仿宋"/>
          <w:b/>
          <w:sz w:val="72"/>
          <w:szCs w:val="72"/>
          <w:highlight w:val="none"/>
          <w:lang w:eastAsia="zh-CN"/>
        </w:rPr>
      </w:pPr>
      <w:bookmarkStart w:id="0" w:name="_Hlt67893495"/>
      <w:bookmarkEnd w:id="0"/>
      <w:r>
        <w:rPr>
          <w:rFonts w:hint="eastAsia" w:ascii="仿宋" w:hAnsi="仿宋" w:eastAsia="仿宋" w:cs="仿宋"/>
          <w:b/>
          <w:bCs/>
          <w:sz w:val="56"/>
          <w:szCs w:val="56"/>
          <w:highlight w:val="none"/>
          <w:lang w:eastAsia="zh-CN"/>
        </w:rPr>
        <w:t>2025年绍兴市公安局柯桥区分局交通警察大队平安畅行工程（第二次）</w:t>
      </w:r>
    </w:p>
    <w:p>
      <w:pPr>
        <w:jc w:val="center"/>
        <w:outlineLvl w:val="0"/>
        <w:rPr>
          <w:rFonts w:hint="eastAsia" w:ascii="仿宋" w:hAnsi="仿宋" w:eastAsia="仿宋" w:cs="仿宋"/>
          <w:b/>
          <w:sz w:val="72"/>
          <w:szCs w:val="72"/>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adjustRightInd/>
        <w:spacing w:line="360" w:lineRule="auto"/>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（电子招投标）</w:t>
      </w:r>
    </w:p>
    <w:p>
      <w:pPr>
        <w:spacing w:line="360" w:lineRule="auto"/>
        <w:rPr>
          <w:rFonts w:hint="eastAsia" w:ascii="仿宋" w:hAnsi="仿宋" w:eastAsia="仿宋" w:cs="仿宋"/>
          <w:b/>
          <w:sz w:val="44"/>
          <w:szCs w:val="44"/>
          <w:highlight w:val="none"/>
        </w:rPr>
      </w:pPr>
      <w:r>
        <w:rPr>
          <w:rFonts w:hint="eastAsia" w:ascii="仿宋" w:hAnsi="仿宋" w:eastAsia="仿宋" w:cs="仿宋"/>
          <w:b/>
          <w:sz w:val="44"/>
          <w:szCs w:val="44"/>
          <w:highlight w:val="none"/>
        </w:rPr>
        <w:t xml:space="preserve"> </w:t>
      </w:r>
    </w:p>
    <w:p>
      <w:pPr>
        <w:jc w:val="center"/>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rPr>
        <w:t>招标编号:</w:t>
      </w:r>
      <w:r>
        <w:rPr>
          <w:rFonts w:hint="eastAsia" w:ascii="仿宋" w:hAnsi="仿宋" w:eastAsia="仿宋" w:cs="仿宋"/>
          <w:sz w:val="28"/>
          <w:szCs w:val="28"/>
          <w:highlight w:val="none"/>
          <w:lang w:eastAsia="zh-CN"/>
        </w:rPr>
        <w:t>临[2025]1921-001号</w:t>
      </w:r>
    </w:p>
    <w:tbl>
      <w:tblPr>
        <w:tblStyle w:val="62"/>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line="320" w:lineRule="exact"/>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绍兴市公安局柯桥区分局交通警察大队</w:t>
            </w:r>
          </w:p>
        </w:tc>
      </w:tr>
      <w:tr>
        <w:tblPrEx>
          <w:tblLayout w:type="fixed"/>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kern w:val="0"/>
                <w:sz w:val="28"/>
                <w:szCs w:val="28"/>
                <w:highlight w:val="none"/>
                <w:fitText w:val="1680" w:id="0"/>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浙江越锋项目管理有限公司</w:t>
            </w:r>
          </w:p>
        </w:tc>
      </w:tr>
      <w:tr>
        <w:tblPrEx>
          <w:tblLayout w:type="fixed"/>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
              </w:rPr>
              <w:t>监督单</w:t>
            </w:r>
            <w:r>
              <w:rPr>
                <w:rFonts w:hint="eastAsia" w:ascii="仿宋" w:hAnsi="仿宋" w:eastAsia="仿宋" w:cs="仿宋"/>
                <w:spacing w:val="1"/>
                <w:kern w:val="0"/>
                <w:sz w:val="28"/>
                <w:szCs w:val="28"/>
                <w:highlight w:val="none"/>
                <w:fitText w:val="1680" w:id="1"/>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绍兴市柯桥区财政局</w:t>
            </w:r>
          </w:p>
        </w:tc>
      </w:tr>
      <w:tr>
        <w:tblPrEx>
          <w:tblLayout w:type="fixed"/>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二○二五年</w:t>
            </w:r>
            <w:r>
              <w:rPr>
                <w:rFonts w:hint="eastAsia" w:ascii="仿宋" w:hAnsi="仿宋" w:eastAsia="仿宋" w:cs="仿宋"/>
                <w:sz w:val="28"/>
                <w:szCs w:val="28"/>
                <w:highlight w:val="none"/>
                <w:lang w:eastAsia="zh-CN"/>
              </w:rPr>
              <w:t>七</w:t>
            </w:r>
            <w:r>
              <w:rPr>
                <w:rFonts w:hint="eastAsia" w:ascii="仿宋" w:hAnsi="仿宋" w:eastAsia="仿宋" w:cs="仿宋"/>
                <w:sz w:val="28"/>
                <w:szCs w:val="28"/>
                <w:highlight w:val="none"/>
              </w:rPr>
              <w:t>月</w:t>
            </w:r>
          </w:p>
        </w:tc>
      </w:tr>
    </w:tbl>
    <w:p>
      <w:pPr>
        <w:pStyle w:val="636"/>
        <w:rPr>
          <w:rFonts w:hint="eastAsia" w:ascii="仿宋" w:hAnsi="仿宋" w:eastAsia="仿宋" w:cs="仿宋"/>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b/>
          <w:sz w:val="44"/>
          <w:szCs w:val="44"/>
          <w:highlight w:val="none"/>
        </w:rPr>
      </w:pPr>
      <w:bookmarkStart w:id="1" w:name="_Hlt91233176"/>
      <w:bookmarkEnd w:id="1"/>
      <w:bookmarkStart w:id="2" w:name="_Toc91899869"/>
      <w:r>
        <w:rPr>
          <w:rFonts w:hint="eastAsia" w:ascii="仿宋" w:hAnsi="仿宋" w:eastAsia="仿宋" w:cs="仿宋"/>
          <w:b/>
          <w:sz w:val="44"/>
          <w:szCs w:val="44"/>
          <w:highlight w:val="none"/>
        </w:rPr>
        <w:t>目录</w:t>
      </w:r>
    </w:p>
    <w:p>
      <w:pPr>
        <w:spacing w:line="360" w:lineRule="auto"/>
        <w:jc w:val="center"/>
        <w:rPr>
          <w:rFonts w:hint="eastAsia" w:ascii="仿宋" w:hAnsi="仿宋" w:eastAsia="仿宋" w:cs="仿宋"/>
          <w:b/>
          <w:sz w:val="44"/>
          <w:szCs w:val="44"/>
          <w:highlight w:val="none"/>
        </w:rPr>
      </w:pPr>
    </w:p>
    <w:p>
      <w:pPr>
        <w:spacing w:line="360" w:lineRule="auto"/>
        <w:jc w:val="center"/>
        <w:rPr>
          <w:rFonts w:hint="eastAsia" w:ascii="仿宋" w:hAnsi="仿宋" w:eastAsia="仿宋" w:cs="仿宋"/>
          <w:highlight w:val="none"/>
        </w:rPr>
      </w:pP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ind w:firstLine="549" w:firstLineChars="229"/>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p>
    <w:bookmarkEnd w:id="2"/>
    <w:p>
      <w:pPr>
        <w:adjustRightInd/>
        <w:spacing w:line="360" w:lineRule="auto"/>
        <w:jc w:val="center"/>
        <w:outlineLvl w:val="0"/>
        <w:rPr>
          <w:rFonts w:hint="eastAsia" w:ascii="仿宋" w:hAnsi="仿宋" w:eastAsia="仿宋" w:cs="仿宋"/>
          <w:b/>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lang w:eastAsia="zh-CN"/>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lang w:eastAsia="zh-CN"/>
        </w:rPr>
        <w:t>月</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lang w:eastAsia="zh-CN"/>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sz w:val="24"/>
          <w:highlight w:val="none"/>
        </w:rPr>
        <w:t>（北京时间）前</w:t>
      </w:r>
      <w:r>
        <w:rPr>
          <w:rFonts w:hint="eastAsia" w:ascii="仿宋" w:hAnsi="仿宋" w:eastAsia="仿宋" w:cs="仿宋"/>
          <w:sz w:val="24"/>
          <w:highlight w:val="none"/>
        </w:rPr>
        <w:t>递交（上传）投标文件。</w:t>
      </w:r>
    </w:p>
    <w:p>
      <w:pPr>
        <w:spacing w:line="420" w:lineRule="exact"/>
        <w:ind w:firstLine="480" w:firstLineChars="200"/>
        <w:rPr>
          <w:rFonts w:hint="eastAsia" w:ascii="仿宋" w:hAnsi="仿宋" w:eastAsia="仿宋" w:cs="仿宋"/>
          <w:b/>
          <w:sz w:val="24"/>
          <w:highlight w:val="none"/>
        </w:rPr>
      </w:pPr>
      <w:r>
        <w:rPr>
          <w:rFonts w:hint="eastAsia" w:ascii="黑体" w:hAnsi="黑体" w:eastAsia="黑体" w:cs="黑体"/>
          <w:bCs/>
          <w:sz w:val="24"/>
          <w:highlight w:val="none"/>
        </w:rPr>
        <w:t xml:space="preserve">一、项目基本情况   </w:t>
      </w:r>
      <w:r>
        <w:rPr>
          <w:rFonts w:hint="eastAsia" w:ascii="仿宋" w:hAnsi="仿宋" w:eastAsia="仿宋" w:cs="仿宋"/>
          <w:b/>
          <w:sz w:val="24"/>
          <w:highlight w:val="none"/>
        </w:rPr>
        <w:t xml:space="preserve">                                         </w:t>
      </w:r>
    </w:p>
    <w:p>
      <w:pPr>
        <w:spacing w:line="420" w:lineRule="exact"/>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sz w:val="24"/>
          <w:highlight w:val="none"/>
          <w:lang w:eastAsia="zh-CN"/>
        </w:rPr>
        <w:t>临[2025]1921-001号</w:t>
      </w:r>
    </w:p>
    <w:p>
      <w:pPr>
        <w:spacing w:line="420" w:lineRule="exact"/>
        <w:ind w:firstLine="482" w:firstLineChars="200"/>
        <w:rPr>
          <w:rFonts w:hint="eastAsia" w:ascii="仿宋" w:hAnsi="仿宋" w:eastAsia="仿宋" w:cs="仿宋"/>
          <w:sz w:val="24"/>
          <w:highlight w:val="none"/>
          <w:u w:val="singl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eastAsia="zh-CN"/>
        </w:rPr>
        <w:t>2025年绍兴市公安局柯桥区分局交通警察大队平安畅行工程（第二次）</w:t>
      </w:r>
    </w:p>
    <w:p>
      <w:pPr>
        <w:spacing w:line="42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rPr>
        <w:t>预算金额（元）：</w:t>
      </w:r>
      <w:r>
        <w:rPr>
          <w:rFonts w:hint="eastAsia" w:ascii="仿宋" w:hAnsi="仿宋" w:eastAsia="仿宋" w:cs="仿宋"/>
          <w:b/>
          <w:sz w:val="24"/>
          <w:highlight w:val="none"/>
          <w:lang w:val="en-US" w:eastAsia="zh-CN"/>
        </w:rPr>
        <w:t xml:space="preserve"> 9314780.00</w:t>
      </w:r>
    </w:p>
    <w:p>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 xml:space="preserve">最高限价（元）： </w:t>
      </w:r>
      <w:r>
        <w:rPr>
          <w:rFonts w:hint="eastAsia" w:ascii="仿宋" w:hAnsi="仿宋" w:eastAsia="仿宋" w:cs="仿宋"/>
          <w:b/>
          <w:sz w:val="24"/>
          <w:highlight w:val="none"/>
          <w:lang w:val="en-US" w:eastAsia="zh-CN"/>
        </w:rPr>
        <w:t>9173745.30</w:t>
      </w:r>
    </w:p>
    <w:p>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w:t>
      </w:r>
    </w:p>
    <w:p>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标项一：</w:t>
      </w:r>
    </w:p>
    <w:p>
      <w:pPr>
        <w:spacing w:line="420" w:lineRule="exact"/>
        <w:ind w:firstLine="480" w:firstLineChars="200"/>
        <w:rPr>
          <w:rFonts w:hint="eastAsia" w:ascii="仿宋" w:hAnsi="仿宋" w:eastAsia="仿宋" w:cs="仿宋"/>
          <w:sz w:val="24"/>
          <w:highlight w:val="none"/>
          <w:u w:val="single"/>
          <w:lang w:eastAsia="zh-CN"/>
        </w:rPr>
      </w:pPr>
      <w:r>
        <w:rPr>
          <w:rFonts w:hint="eastAsia" w:ascii="仿宋" w:hAnsi="仿宋" w:eastAsia="仿宋" w:cs="仿宋"/>
          <w:bCs/>
          <w:sz w:val="24"/>
          <w:highlight w:val="none"/>
        </w:rPr>
        <w:t>标项名称：</w:t>
      </w:r>
      <w:r>
        <w:rPr>
          <w:rFonts w:hint="eastAsia" w:ascii="仿宋" w:hAnsi="仿宋" w:eastAsia="仿宋" w:cs="仿宋"/>
          <w:sz w:val="24"/>
          <w:highlight w:val="none"/>
          <w:u w:val="single"/>
          <w:lang w:eastAsia="zh-CN"/>
        </w:rPr>
        <w:t>2025年绍兴市公安局柯桥区分局交通警察大队平安畅行工程（第二次）</w:t>
      </w:r>
    </w:p>
    <w:p>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数量：1批</w:t>
      </w:r>
    </w:p>
    <w:p>
      <w:pPr>
        <w:spacing w:line="42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预算金额（元）：</w:t>
      </w:r>
      <w:r>
        <w:rPr>
          <w:rFonts w:hint="eastAsia" w:ascii="仿宋" w:hAnsi="仿宋" w:eastAsia="仿宋" w:cs="仿宋"/>
          <w:b/>
          <w:sz w:val="24"/>
          <w:highlight w:val="none"/>
          <w:lang w:val="en-US" w:eastAsia="zh-CN"/>
        </w:rPr>
        <w:t>9314780.00</w:t>
      </w:r>
    </w:p>
    <w:p>
      <w:pPr>
        <w:spacing w:line="420" w:lineRule="exact"/>
        <w:ind w:firstLine="480" w:firstLineChars="200"/>
        <w:rPr>
          <w:rFonts w:hint="eastAsia" w:ascii="仿宋" w:hAnsi="仿宋" w:eastAsia="仿宋" w:cs="仿宋"/>
          <w:bCs/>
          <w:sz w:val="24"/>
          <w:highlight w:val="none"/>
          <w:u w:val="single"/>
        </w:rPr>
      </w:pPr>
      <w:r>
        <w:rPr>
          <w:rFonts w:hint="eastAsia" w:ascii="仿宋" w:hAnsi="仿宋" w:eastAsia="仿宋" w:cs="仿宋"/>
          <w:bCs/>
          <w:sz w:val="24"/>
          <w:highlight w:val="none"/>
        </w:rPr>
        <w:t>主要内容：</w:t>
      </w:r>
      <w:r>
        <w:rPr>
          <w:rFonts w:hint="eastAsia" w:ascii="仿宋" w:hAnsi="仿宋" w:eastAsia="仿宋" w:cs="仿宋"/>
          <w:bCs/>
          <w:sz w:val="24"/>
          <w:highlight w:val="none"/>
          <w:u w:val="single"/>
        </w:rPr>
        <w:t>为实现道路交通信号控制机全面联网，提升交通信号控制能力，本项目采购以下三部分内容：1、对柯桥区53处未联网信号机、信号机进行升级改造，实现道路交通信号控制机全面联网，提升交通信号控制能力；2、移动信息服务平台建设，通过开发施工快报小程序和施工信息运营管理平台，为施工单位提供便捷的移动端施工申报渠道，为交警部门提供高效的审批管理工具；3、智慧铁骑违停抓拍设备购置，通过 “精准抓拍 + 规范取证 + 实时联动” 的三位一体能力，解决传统违停治理中 “发现难、取证难、效率低” 的痛点；具体详见招标文件。</w:t>
      </w:r>
    </w:p>
    <w:p>
      <w:pPr>
        <w:spacing w:line="420" w:lineRule="exact"/>
        <w:ind w:firstLine="482" w:firstLineChars="200"/>
        <w:rPr>
          <w:rFonts w:hint="eastAsia"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sz w:val="24"/>
          <w:szCs w:val="28"/>
          <w:highlight w:val="none"/>
        </w:rPr>
        <w:t>详见招标文件</w:t>
      </w:r>
    </w:p>
    <w:p>
      <w:pPr>
        <w:spacing w:line="420" w:lineRule="exact"/>
        <w:ind w:firstLine="482" w:firstLineChars="200"/>
        <w:rPr>
          <w:rFonts w:hint="eastAsia" w:ascii="仿宋" w:hAnsi="仿宋" w:eastAsia="仿宋" w:cs="仿宋"/>
          <w:b/>
          <w:highlight w:val="none"/>
        </w:rPr>
      </w:pPr>
      <w:r>
        <w:rPr>
          <w:rFonts w:hint="eastAsia" w:ascii="仿宋" w:hAnsi="仿宋" w:eastAsia="仿宋" w:cs="仿宋"/>
          <w:b/>
          <w:sz w:val="24"/>
          <w:highlight w:val="none"/>
        </w:rPr>
        <w:t>本项目接受联合体投标：☑是，</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否。</w:t>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二、申请人的资格要求</w:t>
      </w:r>
    </w:p>
    <w:p>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2.以联合体形式投标的，提供联合协议(本项目不接受联合体投标或者投标人不以联合体形式投标的，则不需要提供) ；</w:t>
      </w:r>
    </w:p>
    <w:p>
      <w:pPr>
        <w:spacing w:line="420" w:lineRule="exact"/>
        <w:ind w:firstLine="480" w:firstLineChars="200"/>
        <w:rPr>
          <w:rFonts w:hint="eastAsia"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w:t>
      </w:r>
      <w:r>
        <w:rPr>
          <w:rFonts w:hint="eastAsia" w:ascii="仿宋" w:hAnsi="仿宋" w:eastAsia="仿宋" w:cs="仿宋"/>
          <w:sz w:val="24"/>
          <w:highlight w:val="none"/>
        </w:rPr>
        <w:t>无；</w:t>
      </w:r>
    </w:p>
    <w:p>
      <w:pPr>
        <w:spacing w:line="420" w:lineRule="exact"/>
        <w:ind w:firstLine="480" w:firstLineChars="200"/>
        <w:rPr>
          <w:rFonts w:hint="eastAsia" w:ascii="仿宋" w:hAnsi="仿宋" w:eastAsia="仿宋" w:cs="仿宋"/>
          <w:sz w:val="24"/>
          <w:highlight w:val="none"/>
        </w:rPr>
      </w:pPr>
      <w:r>
        <w:rPr>
          <w:rFonts w:hint="eastAsia" w:ascii="MS Gothic" w:hAnsi="MS Gothic" w:eastAsia="仿宋" w:cs="仿宋"/>
          <w:kern w:val="0"/>
          <w:sz w:val="24"/>
          <w:highlight w:val="none"/>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420" w:lineRule="exact"/>
        <w:ind w:firstLine="897" w:firstLineChars="374"/>
        <w:rPr>
          <w:rFonts w:hint="eastAsia" w:ascii="仿宋" w:hAnsi="仿宋" w:eastAsia="仿宋" w:cs="仿宋"/>
          <w:sz w:val="24"/>
          <w:highlight w:val="none"/>
          <w:u w:val="single"/>
        </w:rPr>
      </w:pPr>
      <w:r>
        <w:rPr>
          <w:rFonts w:hint="eastAsia" w:ascii="MS Gothic" w:hAnsi="MS Gothic" w:eastAsia="仿宋" w:cs="仿宋"/>
          <w:kern w:val="0"/>
          <w:sz w:val="24"/>
          <w:highlight w:val="none"/>
        </w:rPr>
        <w:t>☐</w:t>
      </w:r>
      <w:r>
        <w:rPr>
          <w:rFonts w:hint="eastAsia" w:ascii="仿宋" w:hAnsi="仿宋" w:eastAsia="仿宋" w:cs="仿宋"/>
          <w:sz w:val="24"/>
          <w:highlight w:val="none"/>
        </w:rPr>
        <w:t>货物全部由符合政策要求的中小企业制造，提供中小企业声明函；</w:t>
      </w:r>
    </w:p>
    <w:p>
      <w:pPr>
        <w:spacing w:line="420" w:lineRule="exact"/>
        <w:ind w:firstLine="897" w:firstLineChars="374"/>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货物全部由符合政策要求的小微企业制造，提供中小企业声明函；</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w:t>
      </w:r>
      <w:bookmarkStart w:id="10" w:name="_Hlk101132524"/>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bookmarkEnd w:id="10"/>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rPr>
        <w:t>无；</w:t>
      </w:r>
    </w:p>
    <w:p>
      <w:pPr>
        <w:snapToGrid w:val="0"/>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w:t>
      </w:r>
      <w:bookmarkStart w:id="79" w:name="_GoBack"/>
      <w:bookmarkEnd w:id="79"/>
      <w:r>
        <w:rPr>
          <w:rFonts w:hint="eastAsia" w:ascii="仿宋" w:hAnsi="仿宋" w:eastAsia="仿宋" w:cs="仿宋"/>
          <w:sz w:val="24"/>
          <w:highlight w:val="none"/>
        </w:rPr>
        <w:t>他采购活动。</w:t>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 xml:space="preserve">三、获取招标文件 </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4"/>
          <w:highlight w:val="none"/>
        </w:rPr>
        <w:t>/至</w:t>
      </w:r>
      <w:r>
        <w:rPr>
          <w:rStyle w:val="76"/>
          <w:rFonts w:hint="eastAsia" w:ascii="仿宋" w:hAnsi="仿宋" w:eastAsia="仿宋" w:cs="仿宋"/>
          <w:snapToGrid/>
          <w:color w:val="auto"/>
          <w:kern w:val="2"/>
          <w:sz w:val="24"/>
          <w:szCs w:val="24"/>
          <w:highlight w:val="none"/>
          <w:u w:val="single"/>
          <w:lang w:eastAsia="zh-CN"/>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lang w:eastAsia="zh-CN"/>
        </w:rPr>
        <w:t>月</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lang w:eastAsia="zh-CN"/>
        </w:rPr>
        <w:t>日</w:t>
      </w:r>
      <w:r>
        <w:rPr>
          <w:rFonts w:hint="eastAsia" w:ascii="仿宋" w:hAnsi="仿宋" w:eastAsia="仿宋" w:cs="仿宋"/>
          <w:sz w:val="24"/>
          <w:highlight w:val="none"/>
        </w:rPr>
        <w:t>，每天上午00:00至12:00，下午12:00至23:59（北京时间，线上获取法定节假日均可，线下获取文件法定节假日除外）</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地点（网址）：</w:t>
      </w:r>
      <w:r>
        <w:rPr>
          <w:rFonts w:hint="eastAsia" w:ascii="仿宋" w:hAnsi="仿宋" w:eastAsia="仿宋" w:cs="仿宋"/>
          <w:sz w:val="24"/>
          <w:highlight w:val="none"/>
        </w:rPr>
        <w:t xml:space="preserve">政采云平台（https://www.zcygov.cn/） </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方式：</w:t>
      </w:r>
      <w:r>
        <w:rPr>
          <w:rFonts w:hint="eastAsia" w:ascii="仿宋" w:hAnsi="仿宋" w:eastAsia="仿宋" w:cs="仿宋"/>
          <w:sz w:val="24"/>
          <w:highlight w:val="none"/>
        </w:rPr>
        <w:t xml:space="preserve">供应商登录政采云平台https://www.zcygov.cn/在线申请获取采购文件（进入“项目采购”应用，在获取采购文件菜单中选择项目，申请获取采购文件）。 </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售价（元）：</w:t>
      </w:r>
      <w:r>
        <w:rPr>
          <w:rFonts w:hint="eastAsia" w:ascii="仿宋" w:hAnsi="仿宋" w:eastAsia="仿宋" w:cs="仿宋"/>
          <w:sz w:val="24"/>
          <w:highlight w:val="none"/>
        </w:rPr>
        <w:t xml:space="preserve">0 </w:t>
      </w:r>
      <w:r>
        <w:rPr>
          <w:rFonts w:hint="eastAsia" w:ascii="仿宋" w:hAnsi="仿宋" w:eastAsia="仿宋" w:cs="仿宋"/>
          <w:sz w:val="24"/>
          <w:highlight w:val="none"/>
        </w:rPr>
        <w:tab/>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四、提交投标文件截止时间、开标时间和地点</w:t>
      </w:r>
    </w:p>
    <w:p>
      <w:pPr>
        <w:spacing w:line="420" w:lineRule="exact"/>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提交投标文件截止时间：</w:t>
      </w:r>
      <w:r>
        <w:rPr>
          <w:rStyle w:val="76"/>
          <w:rFonts w:hint="eastAsia" w:ascii="仿宋" w:hAnsi="仿宋" w:eastAsia="仿宋" w:cs="仿宋"/>
          <w:snapToGrid/>
          <w:color w:val="auto"/>
          <w:kern w:val="2"/>
          <w:sz w:val="24"/>
          <w:szCs w:val="24"/>
          <w:highlight w:val="none"/>
          <w:u w:val="single"/>
          <w:lang w:eastAsia="zh-CN"/>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lang w:eastAsia="zh-CN"/>
        </w:rPr>
        <w:t>月</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lang w:eastAsia="zh-CN"/>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sz w:val="24"/>
          <w:highlight w:val="none"/>
          <w:u w:val="single"/>
        </w:rPr>
        <w:t>00秒</w:t>
      </w:r>
      <w:r>
        <w:rPr>
          <w:rFonts w:hint="eastAsia" w:ascii="仿宋" w:hAnsi="仿宋" w:eastAsia="仿宋" w:cs="仿宋"/>
          <w:sz w:val="24"/>
          <w:highlight w:val="none"/>
        </w:rPr>
        <w:t>（北京时间）</w:t>
      </w:r>
    </w:p>
    <w:p>
      <w:pPr>
        <w:spacing w:line="42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投标地点（网址）：</w:t>
      </w:r>
      <w:r>
        <w:rPr>
          <w:rFonts w:hint="eastAsia" w:ascii="仿宋" w:hAnsi="仿宋" w:eastAsia="仿宋" w:cs="仿宋"/>
          <w:sz w:val="24"/>
          <w:highlight w:val="none"/>
        </w:rPr>
        <w:t xml:space="preserve">政采云平台（https://www.zcygov.cn/） </w:t>
      </w:r>
    </w:p>
    <w:p>
      <w:pPr>
        <w:spacing w:line="420" w:lineRule="exact"/>
        <w:ind w:firstLine="482" w:firstLineChars="200"/>
        <w:rPr>
          <w:rFonts w:hint="eastAsia" w:ascii="仿宋" w:hAnsi="仿宋" w:eastAsia="仿宋" w:cs="仿宋"/>
          <w:bCs/>
          <w:sz w:val="24"/>
          <w:highlight w:val="none"/>
          <w:u w:val="single"/>
        </w:rPr>
      </w:pPr>
      <w:r>
        <w:rPr>
          <w:rFonts w:hint="eastAsia" w:ascii="仿宋" w:hAnsi="仿宋" w:eastAsia="仿宋" w:cs="仿宋"/>
          <w:b/>
          <w:sz w:val="24"/>
          <w:highlight w:val="none"/>
        </w:rPr>
        <w:t>开标时间：</w:t>
      </w:r>
      <w:r>
        <w:rPr>
          <w:rStyle w:val="76"/>
          <w:rFonts w:hint="eastAsia" w:ascii="仿宋" w:hAnsi="仿宋" w:eastAsia="仿宋" w:cs="仿宋"/>
          <w:snapToGrid/>
          <w:color w:val="auto"/>
          <w:kern w:val="2"/>
          <w:sz w:val="24"/>
          <w:szCs w:val="24"/>
          <w:highlight w:val="none"/>
          <w:u w:val="single"/>
          <w:lang w:eastAsia="zh-CN"/>
        </w:rPr>
        <w:t>2025年</w:t>
      </w:r>
      <w:r>
        <w:rPr>
          <w:rStyle w:val="76"/>
          <w:rFonts w:hint="eastAsia" w:ascii="仿宋" w:hAnsi="仿宋" w:eastAsia="仿宋" w:cs="仿宋"/>
          <w:snapToGrid/>
          <w:color w:val="auto"/>
          <w:kern w:val="2"/>
          <w:sz w:val="24"/>
          <w:szCs w:val="24"/>
          <w:highlight w:val="none"/>
          <w:u w:val="single"/>
          <w:lang w:val="en-US" w:eastAsia="zh-CN"/>
        </w:rPr>
        <w:t>8</w:t>
      </w:r>
      <w:r>
        <w:rPr>
          <w:rStyle w:val="76"/>
          <w:rFonts w:hint="eastAsia" w:ascii="仿宋" w:hAnsi="仿宋" w:eastAsia="仿宋" w:cs="仿宋"/>
          <w:snapToGrid/>
          <w:color w:val="auto"/>
          <w:kern w:val="2"/>
          <w:sz w:val="24"/>
          <w:szCs w:val="24"/>
          <w:highlight w:val="none"/>
          <w:u w:val="single"/>
          <w:lang w:eastAsia="zh-CN"/>
        </w:rPr>
        <w:t>月</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lang w:eastAsia="zh-CN"/>
        </w:rPr>
        <w:t>日</w:t>
      </w:r>
      <w:r>
        <w:rPr>
          <w:rStyle w:val="76"/>
          <w:rFonts w:hint="eastAsia" w:ascii="仿宋" w:hAnsi="仿宋" w:eastAsia="仿宋" w:cs="仿宋"/>
          <w:snapToGrid/>
          <w:color w:val="auto"/>
          <w:kern w:val="2"/>
          <w:sz w:val="24"/>
          <w:szCs w:val="24"/>
          <w:highlight w:val="none"/>
          <w:u w:val="single"/>
          <w:lang w:val="en-US" w:eastAsia="zh-CN"/>
        </w:rPr>
        <w:t>9</w:t>
      </w:r>
      <w:r>
        <w:rPr>
          <w:rStyle w:val="76"/>
          <w:rFonts w:hint="eastAsia" w:ascii="仿宋" w:hAnsi="仿宋" w:eastAsia="仿宋" w:cs="仿宋"/>
          <w:snapToGrid/>
          <w:color w:val="auto"/>
          <w:kern w:val="2"/>
          <w:sz w:val="24"/>
          <w:szCs w:val="24"/>
          <w:highlight w:val="none"/>
          <w:u w:val="single"/>
        </w:rPr>
        <w:t>点</w:t>
      </w:r>
      <w:r>
        <w:rPr>
          <w:rStyle w:val="76"/>
          <w:rFonts w:hint="eastAsia" w:ascii="仿宋" w:hAnsi="仿宋" w:eastAsia="仿宋" w:cs="仿宋"/>
          <w:snapToGrid/>
          <w:color w:val="auto"/>
          <w:kern w:val="2"/>
          <w:sz w:val="24"/>
          <w:szCs w:val="24"/>
          <w:highlight w:val="none"/>
          <w:u w:val="single"/>
          <w:lang w:val="en-US" w:eastAsia="zh-CN"/>
        </w:rPr>
        <w:t>30</w:t>
      </w:r>
      <w:r>
        <w:rPr>
          <w:rStyle w:val="76"/>
          <w:rFonts w:hint="eastAsia" w:ascii="仿宋" w:hAnsi="仿宋" w:eastAsia="仿宋" w:cs="仿宋"/>
          <w:snapToGrid/>
          <w:color w:val="auto"/>
          <w:kern w:val="2"/>
          <w:sz w:val="24"/>
          <w:szCs w:val="24"/>
          <w:highlight w:val="none"/>
          <w:u w:val="single"/>
        </w:rPr>
        <w:t>分</w:t>
      </w:r>
      <w:r>
        <w:rPr>
          <w:rFonts w:hint="eastAsia" w:ascii="仿宋" w:hAnsi="仿宋" w:eastAsia="仿宋" w:cs="仿宋"/>
          <w:sz w:val="24"/>
          <w:highlight w:val="none"/>
          <w:u w:val="single"/>
        </w:rPr>
        <w:t>00秒</w:t>
      </w:r>
    </w:p>
    <w:p>
      <w:pPr>
        <w:widowControl/>
        <w:spacing w:line="420" w:lineRule="exact"/>
        <w:ind w:firstLine="480" w:firstLineChars="200"/>
        <w:jc w:val="left"/>
        <w:rPr>
          <w:rFonts w:hint="eastAsia" w:ascii="仿宋" w:hAnsi="仿宋" w:eastAsia="仿宋" w:cs="仿宋"/>
          <w:sz w:val="24"/>
          <w:highlight w:val="none"/>
        </w:rPr>
      </w:pPr>
      <w:r>
        <w:rPr>
          <w:rFonts w:hint="eastAsia" w:ascii="仿宋" w:hAnsi="仿宋" w:eastAsia="仿宋"/>
          <w:sz w:val="24"/>
          <w:szCs w:val="28"/>
          <w:highlight w:val="none"/>
        </w:rPr>
        <w:t>开标地点（网址）：绍兴市柯桥区公共资源交易中心三楼</w:t>
      </w:r>
      <w:r>
        <w:rPr>
          <w:rFonts w:hint="eastAsia" w:ascii="仿宋" w:hAnsi="仿宋" w:eastAsia="仿宋"/>
          <w:bCs/>
          <w:sz w:val="24"/>
          <w:szCs w:val="28"/>
          <w:highlight w:val="none"/>
          <w:u w:val="single"/>
          <w:lang w:val="en-US" w:eastAsia="zh-CN"/>
        </w:rPr>
        <w:t>5</w:t>
      </w:r>
      <w:r>
        <w:rPr>
          <w:rFonts w:hint="eastAsia" w:ascii="仿宋" w:hAnsi="仿宋" w:eastAsia="仿宋" w:cs="宋体"/>
          <w:sz w:val="24"/>
          <w:szCs w:val="28"/>
          <w:highlight w:val="none"/>
        </w:rPr>
        <w:t>号交易室（绍兴市柯桥区纺都路1066号）通过</w:t>
      </w:r>
      <w:r>
        <w:rPr>
          <w:rFonts w:ascii="仿宋" w:hAnsi="仿宋" w:eastAsia="仿宋" w:cs="宋体"/>
          <w:sz w:val="24"/>
          <w:szCs w:val="28"/>
          <w:highlight w:val="none"/>
        </w:rPr>
        <w:t>政府采购云平台（https://www.zcygov.cn）在线开标</w:t>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 xml:space="preserve">五、公告期限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自本公告发布之日起5个工作日。</w:t>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六、其他补充事宜</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20" w:lineRule="exact"/>
        <w:ind w:firstLine="480" w:firstLineChars="200"/>
        <w:rPr>
          <w:rFonts w:hint="eastAsia" w:ascii="黑体" w:hAnsi="黑体" w:eastAsia="黑体" w:cs="黑体"/>
          <w:bCs/>
          <w:sz w:val="24"/>
          <w:highlight w:val="none"/>
        </w:rPr>
      </w:pPr>
      <w:r>
        <w:rPr>
          <w:rFonts w:hint="eastAsia" w:ascii="黑体" w:hAnsi="黑体" w:eastAsia="黑体" w:cs="黑体"/>
          <w:bCs/>
          <w:sz w:val="24"/>
          <w:highlight w:val="none"/>
        </w:rPr>
        <w:t>七、对本次采购提出询问、质疑、投诉，请按以下方式联系</w:t>
      </w:r>
    </w:p>
    <w:p>
      <w:pPr>
        <w:pStyle w:val="2"/>
        <w:spacing w:line="420" w:lineRule="exact"/>
        <w:ind w:left="0" w:firstLine="482" w:firstLineChars="200"/>
        <w:rPr>
          <w:rFonts w:hint="eastAsia" w:ascii="仿宋" w:eastAsia="仿宋" w:cs="仿宋"/>
          <w:sz w:val="24"/>
          <w:szCs w:val="24"/>
          <w:highlight w:val="none"/>
        </w:rPr>
      </w:pPr>
      <w:bookmarkStart w:id="11" w:name="_Toc28359096"/>
      <w:bookmarkStart w:id="12" w:name="_Toc28359019"/>
      <w:bookmarkStart w:id="13" w:name="_Toc35393637"/>
      <w:bookmarkStart w:id="14" w:name="_Toc35393806"/>
      <w:r>
        <w:rPr>
          <w:rFonts w:hint="eastAsia" w:ascii="仿宋" w:eastAsia="仿宋" w:cs="仿宋"/>
          <w:sz w:val="24"/>
          <w:szCs w:val="24"/>
          <w:highlight w:val="none"/>
        </w:rPr>
        <w:t>1.采购人信息</w:t>
      </w:r>
      <w:bookmarkEnd w:id="11"/>
      <w:bookmarkEnd w:id="12"/>
      <w:bookmarkEnd w:id="13"/>
      <w:bookmarkEnd w:id="14"/>
      <w:r>
        <w:rPr>
          <w:rFonts w:hint="eastAsia" w:ascii="仿宋" w:eastAsia="仿宋" w:cs="仿宋"/>
          <w:sz w:val="24"/>
          <w:szCs w:val="24"/>
          <w:highlight w:val="none"/>
        </w:rPr>
        <w:t>：</w:t>
      </w:r>
    </w:p>
    <w:p>
      <w:pPr>
        <w:widowControl/>
        <w:spacing w:line="360" w:lineRule="auto"/>
        <w:ind w:firstLine="480" w:firstLineChars="200"/>
        <w:jc w:val="left"/>
        <w:rPr>
          <w:rFonts w:hint="eastAsia" w:ascii="仿宋" w:hAnsi="仿宋" w:eastAsia="仿宋" w:cs="宋体"/>
          <w:sz w:val="24"/>
          <w:szCs w:val="28"/>
          <w:highlight w:val="none"/>
        </w:rPr>
      </w:pPr>
      <w:bookmarkStart w:id="15" w:name="_Toc28359020"/>
      <w:bookmarkStart w:id="16" w:name="_Toc28359097"/>
      <w:bookmarkStart w:id="17" w:name="_Toc35393638"/>
      <w:bookmarkStart w:id="18" w:name="_Toc35393807"/>
      <w:r>
        <w:rPr>
          <w:rFonts w:ascii="仿宋" w:hAnsi="仿宋" w:eastAsia="仿宋" w:cs="宋体"/>
          <w:sz w:val="24"/>
          <w:szCs w:val="28"/>
          <w:highlight w:val="none"/>
        </w:rPr>
        <w:t>名称：</w:t>
      </w:r>
      <w:r>
        <w:rPr>
          <w:rFonts w:hint="eastAsia" w:ascii="仿宋" w:hAnsi="仿宋" w:eastAsia="仿宋"/>
          <w:sz w:val="24"/>
          <w:szCs w:val="28"/>
          <w:highlight w:val="none"/>
        </w:rPr>
        <w:t>绍兴市公安局柯桥区分局交通警察大队</w:t>
      </w:r>
    </w:p>
    <w:p>
      <w:pPr>
        <w:widowControl/>
        <w:spacing w:line="360" w:lineRule="auto"/>
        <w:jc w:val="left"/>
        <w:rPr>
          <w:rFonts w:hint="eastAsia" w:ascii="仿宋" w:hAnsi="仿宋" w:eastAsia="仿宋"/>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sz w:val="24"/>
          <w:szCs w:val="28"/>
          <w:highlight w:val="none"/>
        </w:rPr>
        <w:t>地址：</w:t>
      </w:r>
      <w:r>
        <w:rPr>
          <w:rFonts w:hint="eastAsia" w:ascii="仿宋" w:hAnsi="仿宋" w:eastAsia="仿宋"/>
          <w:sz w:val="24"/>
          <w:szCs w:val="28"/>
          <w:highlight w:val="none"/>
        </w:rPr>
        <w:t>柯桥区笛扬路与人利路交汇处</w:t>
      </w:r>
    </w:p>
    <w:p>
      <w:pPr>
        <w:widowControl/>
        <w:spacing w:line="360" w:lineRule="auto"/>
        <w:jc w:val="left"/>
        <w:rPr>
          <w:rFonts w:hint="eastAsia" w:ascii="仿宋" w:hAnsi="仿宋" w:eastAsia="仿宋"/>
          <w:sz w:val="24"/>
          <w:szCs w:val="28"/>
          <w:highlight w:val="none"/>
        </w:rPr>
      </w:pPr>
      <w:r>
        <w:rPr>
          <w:rFonts w:hint="eastAsia" w:ascii="仿宋" w:hAnsi="仿宋" w:eastAsia="仿宋"/>
          <w:sz w:val="24"/>
          <w:szCs w:val="28"/>
          <w:highlight w:val="none"/>
        </w:rPr>
        <w:t xml:space="preserve">    </w:t>
      </w:r>
      <w:r>
        <w:rPr>
          <w:rFonts w:ascii="仿宋" w:hAnsi="仿宋" w:eastAsia="仿宋"/>
          <w:sz w:val="24"/>
          <w:szCs w:val="28"/>
          <w:highlight w:val="none"/>
        </w:rPr>
        <w:t>传真：</w:t>
      </w:r>
      <w:r>
        <w:rPr>
          <w:rFonts w:hint="eastAsia" w:ascii="仿宋" w:hAnsi="仿宋" w:eastAsia="仿宋"/>
          <w:sz w:val="24"/>
          <w:szCs w:val="28"/>
          <w:highlight w:val="none"/>
        </w:rPr>
        <w:t>/</w:t>
      </w:r>
    </w:p>
    <w:p>
      <w:pPr>
        <w:widowControl/>
        <w:spacing w:line="360" w:lineRule="auto"/>
        <w:jc w:val="left"/>
        <w:rPr>
          <w:rFonts w:hint="eastAsia" w:ascii="仿宋" w:hAnsi="仿宋" w:eastAsia="仿宋"/>
          <w:sz w:val="24"/>
          <w:szCs w:val="28"/>
          <w:highlight w:val="none"/>
        </w:rPr>
      </w:pPr>
      <w:r>
        <w:rPr>
          <w:rFonts w:hint="eastAsia" w:ascii="仿宋" w:hAnsi="仿宋" w:eastAsia="仿宋"/>
          <w:sz w:val="24"/>
          <w:szCs w:val="28"/>
          <w:highlight w:val="none"/>
        </w:rPr>
        <w:t xml:space="preserve">    </w:t>
      </w:r>
      <w:r>
        <w:rPr>
          <w:rFonts w:ascii="仿宋" w:hAnsi="仿宋" w:eastAsia="仿宋"/>
          <w:sz w:val="24"/>
          <w:szCs w:val="28"/>
          <w:highlight w:val="none"/>
        </w:rPr>
        <w:t>项目联系人（询问）</w:t>
      </w:r>
      <w:r>
        <w:rPr>
          <w:rFonts w:hint="eastAsia" w:ascii="仿宋" w:hAnsi="仿宋" w:eastAsia="仿宋"/>
          <w:sz w:val="24"/>
          <w:szCs w:val="28"/>
          <w:highlight w:val="none"/>
        </w:rPr>
        <w:t>：郦旻</w:t>
      </w:r>
    </w:p>
    <w:p>
      <w:pPr>
        <w:widowControl/>
        <w:spacing w:line="360" w:lineRule="auto"/>
        <w:ind w:firstLine="426"/>
        <w:jc w:val="left"/>
        <w:rPr>
          <w:rFonts w:hint="eastAsia" w:ascii="宋体" w:hAnsi="宋体" w:cs="宋体"/>
          <w:sz w:val="24"/>
          <w:szCs w:val="28"/>
          <w:highlight w:val="none"/>
        </w:rPr>
      </w:pPr>
      <w:r>
        <w:rPr>
          <w:rFonts w:ascii="仿宋" w:hAnsi="仿宋" w:eastAsia="仿宋"/>
          <w:sz w:val="24"/>
          <w:szCs w:val="28"/>
          <w:highlight w:val="none"/>
        </w:rPr>
        <w:t>项目联系方式（询问）：</w:t>
      </w:r>
      <w:r>
        <w:rPr>
          <w:rFonts w:hint="eastAsia" w:ascii="仿宋" w:hAnsi="仿宋" w:eastAsia="仿宋"/>
          <w:sz w:val="24"/>
          <w:szCs w:val="28"/>
          <w:highlight w:val="none"/>
        </w:rPr>
        <w:t>0575-85585999</w:t>
      </w: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p>
    <w:p>
      <w:pPr>
        <w:widowControl/>
        <w:spacing w:line="360" w:lineRule="auto"/>
        <w:ind w:firstLine="426"/>
        <w:jc w:val="left"/>
        <w:rPr>
          <w:rFonts w:hint="eastAsia" w:ascii="仿宋" w:hAnsi="仿宋" w:eastAsia="仿宋" w:cs="宋体"/>
          <w:sz w:val="24"/>
          <w:szCs w:val="28"/>
          <w:highlight w:val="none"/>
        </w:rPr>
      </w:pPr>
      <w:r>
        <w:rPr>
          <w:rFonts w:ascii="仿宋" w:hAnsi="仿宋" w:eastAsia="仿宋" w:cs="宋体"/>
          <w:sz w:val="24"/>
          <w:szCs w:val="28"/>
          <w:highlight w:val="none"/>
        </w:rPr>
        <w:t>质疑联系人：</w:t>
      </w:r>
      <w:r>
        <w:rPr>
          <w:rFonts w:hint="eastAsia" w:ascii="仿宋" w:hAnsi="仿宋" w:eastAsia="仿宋"/>
          <w:sz w:val="24"/>
          <w:szCs w:val="28"/>
          <w:highlight w:val="none"/>
        </w:rPr>
        <w:t>叶江</w:t>
      </w:r>
    </w:p>
    <w:p>
      <w:pPr>
        <w:widowControl/>
        <w:spacing w:line="360" w:lineRule="auto"/>
        <w:jc w:val="left"/>
        <w:rPr>
          <w:rFonts w:hint="eastAsia" w:ascii="仿宋" w:hAnsi="仿宋" w:eastAsia="仿宋"/>
          <w:sz w:val="24"/>
          <w:szCs w:val="28"/>
          <w:highlight w:val="none"/>
        </w:rPr>
      </w:pPr>
      <w:r>
        <w:rPr>
          <w:rFonts w:hint="eastAsia" w:ascii="宋体" w:hAnsi="宋体" w:cs="宋体"/>
          <w:sz w:val="24"/>
          <w:szCs w:val="28"/>
          <w:highlight w:val="none"/>
        </w:rPr>
        <w:t> </w:t>
      </w:r>
      <w:r>
        <w:rPr>
          <w:rFonts w:hint="eastAsia" w:ascii="仿宋" w:hAnsi="仿宋" w:eastAsia="仿宋" w:cs="仿宋"/>
          <w:sz w:val="24"/>
          <w:szCs w:val="28"/>
          <w:highlight w:val="none"/>
        </w:rPr>
        <w:t xml:space="preserve"> </w:t>
      </w:r>
      <w:r>
        <w:rPr>
          <w:rFonts w:hint="eastAsia" w:ascii="宋体" w:hAnsi="宋体" w:cs="宋体"/>
          <w:sz w:val="24"/>
          <w:szCs w:val="28"/>
          <w:highlight w:val="none"/>
        </w:rPr>
        <w:t xml:space="preserve"> </w:t>
      </w:r>
      <w:r>
        <w:rPr>
          <w:rFonts w:ascii="仿宋" w:hAnsi="仿宋" w:eastAsia="仿宋" w:cs="宋体"/>
          <w:sz w:val="24"/>
          <w:szCs w:val="28"/>
          <w:highlight w:val="none"/>
        </w:rPr>
        <w:t>质疑联系方式：</w:t>
      </w:r>
      <w:r>
        <w:rPr>
          <w:rFonts w:hint="eastAsia" w:ascii="仿宋" w:hAnsi="仿宋" w:eastAsia="仿宋"/>
          <w:sz w:val="24"/>
          <w:szCs w:val="28"/>
          <w:highlight w:val="none"/>
        </w:rPr>
        <w:t>0575-89990073 </w:t>
      </w:r>
    </w:p>
    <w:p>
      <w:pPr>
        <w:pStyle w:val="2"/>
        <w:spacing w:line="420" w:lineRule="exact"/>
        <w:ind w:left="0" w:firstLine="482" w:firstLineChars="200"/>
        <w:rPr>
          <w:rFonts w:hint="eastAsia" w:ascii="仿宋" w:eastAsia="仿宋" w:cs="仿宋"/>
          <w:sz w:val="24"/>
          <w:highlight w:val="none"/>
        </w:rPr>
      </w:pPr>
      <w:r>
        <w:rPr>
          <w:rFonts w:hint="eastAsia" w:ascii="仿宋" w:eastAsia="仿宋" w:cs="仿宋"/>
          <w:sz w:val="24"/>
          <w:szCs w:val="24"/>
          <w:highlight w:val="none"/>
        </w:rPr>
        <w:t>2.采购代理机构信息</w:t>
      </w:r>
      <w:bookmarkEnd w:id="15"/>
      <w:bookmarkEnd w:id="16"/>
      <w:bookmarkEnd w:id="17"/>
      <w:bookmarkEnd w:id="18"/>
      <w:r>
        <w:rPr>
          <w:rFonts w:hint="eastAsia" w:ascii="仿宋" w:eastAsia="仿宋" w:cs="仿宋"/>
          <w:sz w:val="24"/>
          <w:szCs w:val="24"/>
          <w:highlight w:val="none"/>
        </w:rPr>
        <w:t>：</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w:t>
      </w:r>
      <w:r>
        <w:rPr>
          <w:rFonts w:hint="eastAsia" w:ascii="仿宋" w:hAnsi="仿宋" w:eastAsia="仿宋" w:cs="仿宋"/>
          <w:sz w:val="24"/>
          <w:szCs w:val="28"/>
          <w:highlight w:val="none"/>
        </w:rPr>
        <w:t>浙江越锋项目管理有限公司</w:t>
      </w:r>
      <w:r>
        <w:rPr>
          <w:rFonts w:hint="eastAsia" w:ascii="仿宋" w:hAnsi="仿宋" w:eastAsia="仿宋" w:cs="仿宋"/>
          <w:sz w:val="24"/>
          <w:highlight w:val="none"/>
        </w:rPr>
        <w:t xml:space="preserve">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szCs w:val="28"/>
          <w:highlight w:val="none"/>
        </w:rPr>
        <w:t>柯桥湖西路1176号（现代大厦）</w:t>
      </w:r>
      <w:r>
        <w:rPr>
          <w:rFonts w:hint="eastAsia" w:ascii="仿宋" w:hAnsi="仿宋" w:eastAsia="仿宋" w:cs="仿宋"/>
          <w:sz w:val="24"/>
          <w:highlight w:val="none"/>
        </w:rPr>
        <w:t xml:space="preserve">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r>
        <w:rPr>
          <w:rFonts w:ascii="仿宋" w:hAnsi="仿宋" w:eastAsia="仿宋"/>
          <w:sz w:val="24"/>
          <w:szCs w:val="28"/>
          <w:highlight w:val="none"/>
        </w:rPr>
        <w:t>0575-85560088</w:t>
      </w:r>
      <w:r>
        <w:rPr>
          <w:rFonts w:hint="eastAsia" w:ascii="仿宋" w:hAnsi="仿宋" w:eastAsia="仿宋" w:cs="仿宋"/>
          <w:sz w:val="24"/>
          <w:highlight w:val="none"/>
        </w:rPr>
        <w:t xml:space="preserve">             </w:t>
      </w:r>
    </w:p>
    <w:p>
      <w:pPr>
        <w:spacing w:line="420" w:lineRule="exact"/>
        <w:ind w:firstLine="480" w:firstLineChars="200"/>
        <w:rPr>
          <w:rFonts w:hint="eastAsia" w:ascii="仿宋" w:hAnsi="仿宋" w:eastAsia="仿宋"/>
          <w:sz w:val="24"/>
          <w:szCs w:val="28"/>
          <w:highlight w:val="none"/>
          <w:lang w:val="en-US" w:eastAsia="zh-CN"/>
        </w:rPr>
      </w:pPr>
      <w:r>
        <w:rPr>
          <w:rFonts w:hint="eastAsia" w:ascii="仿宋" w:hAnsi="仿宋" w:eastAsia="仿宋" w:cs="仿宋"/>
          <w:sz w:val="24"/>
          <w:highlight w:val="none"/>
        </w:rPr>
        <w:t>项目联系人（询问）：</w:t>
      </w:r>
      <w:r>
        <w:rPr>
          <w:rFonts w:hint="eastAsia" w:ascii="仿宋" w:hAnsi="仿宋" w:eastAsia="仿宋"/>
          <w:sz w:val="24"/>
          <w:szCs w:val="28"/>
          <w:highlight w:val="none"/>
          <w:lang w:val="en-US" w:eastAsia="zh-CN"/>
        </w:rPr>
        <w:t>马跃</w:t>
      </w:r>
    </w:p>
    <w:p>
      <w:pPr>
        <w:spacing w:line="420" w:lineRule="exact"/>
        <w:ind w:firstLine="480" w:firstLineChars="200"/>
        <w:rPr>
          <w:rFonts w:hint="default" w:ascii="仿宋" w:hAnsi="仿宋" w:eastAsia="仿宋" w:cs="宋体"/>
          <w:sz w:val="24"/>
          <w:szCs w:val="28"/>
          <w:highlight w:val="none"/>
          <w:lang w:val="en-US" w:eastAsia="zh-CN"/>
        </w:rPr>
      </w:pPr>
      <w:r>
        <w:rPr>
          <w:rFonts w:hint="eastAsia" w:ascii="仿宋" w:hAnsi="仿宋" w:eastAsia="仿宋" w:cs="仿宋"/>
          <w:sz w:val="24"/>
          <w:highlight w:val="none"/>
        </w:rPr>
        <w:t>项目联系方式（询问）：</w:t>
      </w:r>
      <w:r>
        <w:rPr>
          <w:rFonts w:hint="eastAsia" w:ascii="仿宋" w:hAnsi="仿宋" w:eastAsia="仿宋" w:cs="宋体"/>
          <w:sz w:val="24"/>
          <w:szCs w:val="28"/>
          <w:highlight w:val="none"/>
        </w:rPr>
        <w:t>0575-</w:t>
      </w:r>
      <w:r>
        <w:rPr>
          <w:rFonts w:hint="eastAsia" w:ascii="仿宋" w:hAnsi="仿宋" w:eastAsia="仿宋" w:cs="宋体"/>
          <w:sz w:val="24"/>
          <w:szCs w:val="28"/>
          <w:highlight w:val="none"/>
          <w:lang w:val="en-US" w:eastAsia="zh-CN"/>
        </w:rPr>
        <w:t>85560088</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质疑联系人：</w:t>
      </w:r>
      <w:r>
        <w:rPr>
          <w:rFonts w:hint="eastAsia" w:ascii="仿宋" w:hAnsi="仿宋" w:eastAsia="仿宋"/>
          <w:sz w:val="24"/>
          <w:szCs w:val="28"/>
          <w:highlight w:val="none"/>
        </w:rPr>
        <w:t>冯青芝</w:t>
      </w:r>
      <w:r>
        <w:rPr>
          <w:rFonts w:hint="eastAsia" w:ascii="仿宋" w:hAnsi="仿宋" w:eastAsia="仿宋" w:cs="仿宋"/>
          <w:sz w:val="24"/>
          <w:highlight w:val="none"/>
        </w:rPr>
        <w:t xml:space="preserve">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w:t>
      </w:r>
      <w:r>
        <w:rPr>
          <w:rFonts w:ascii="仿宋" w:hAnsi="仿宋" w:eastAsia="仿宋"/>
          <w:sz w:val="24"/>
          <w:szCs w:val="28"/>
          <w:highlight w:val="none"/>
        </w:rPr>
        <w:t>0575-81183399</w:t>
      </w:r>
    </w:p>
    <w:p>
      <w:pPr>
        <w:spacing w:line="420" w:lineRule="exact"/>
        <w:ind w:firstLine="482" w:firstLineChars="200"/>
        <w:rPr>
          <w:rFonts w:hint="eastAsia" w:ascii="仿宋" w:hAnsi="仿宋" w:eastAsia="仿宋" w:cs="仿宋"/>
          <w:b/>
          <w:sz w:val="24"/>
          <w:highlight w:val="none"/>
        </w:rPr>
      </w:pPr>
      <w:bookmarkStart w:id="19" w:name="_Toc28359098"/>
      <w:bookmarkStart w:id="20" w:name="_Toc35393639"/>
      <w:bookmarkStart w:id="21" w:name="_Toc35393808"/>
      <w:bookmarkStart w:id="22" w:name="_Toc28359021"/>
      <w:r>
        <w:rPr>
          <w:rFonts w:hint="eastAsia" w:ascii="仿宋" w:hAnsi="仿宋" w:eastAsia="仿宋" w:cs="仿宋"/>
          <w:b/>
          <w:bCs/>
          <w:sz w:val="24"/>
          <w:highlight w:val="none"/>
        </w:rPr>
        <w:t>3.</w:t>
      </w:r>
      <w:r>
        <w:rPr>
          <w:rFonts w:hint="eastAsia" w:ascii="仿宋" w:hAnsi="仿宋" w:eastAsia="仿宋" w:cs="仿宋"/>
          <w:b/>
          <w:sz w:val="24"/>
          <w:highlight w:val="none"/>
        </w:rPr>
        <w:t xml:space="preserve">同级政府采购监督管理部门：            </w:t>
      </w:r>
    </w:p>
    <w:bookmarkEnd w:id="19"/>
    <w:bookmarkEnd w:id="20"/>
    <w:bookmarkEnd w:id="21"/>
    <w:bookmarkEnd w:id="22"/>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名    称：</w:t>
      </w:r>
      <w:bookmarkStart w:id="23" w:name="OLE_LINK1"/>
      <w:bookmarkStart w:id="24" w:name="OLE_LINK12"/>
      <w:r>
        <w:rPr>
          <w:rFonts w:hint="eastAsia" w:ascii="仿宋" w:hAnsi="仿宋" w:eastAsia="仿宋" w:cs="仿宋"/>
          <w:sz w:val="24"/>
          <w:highlight w:val="none"/>
        </w:rPr>
        <w:t>绍兴市柯桥区财政局</w:t>
      </w:r>
      <w:bookmarkEnd w:id="23"/>
    </w:p>
    <w:bookmarkEnd w:id="24"/>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    址：</w:t>
      </w:r>
      <w:bookmarkStart w:id="25" w:name="OLE_LINK2"/>
      <w:r>
        <w:rPr>
          <w:rFonts w:hint="eastAsia" w:ascii="仿宋" w:hAnsi="仿宋" w:eastAsia="仿宋" w:cs="仿宋"/>
          <w:sz w:val="24"/>
          <w:highlight w:val="none"/>
        </w:rPr>
        <w:t>绍兴市柯桥区育才路财税大楼</w:t>
      </w:r>
      <w:bookmarkEnd w:id="25"/>
      <w:r>
        <w:rPr>
          <w:rFonts w:hint="eastAsia" w:ascii="仿宋" w:hAnsi="仿宋" w:eastAsia="仿宋" w:cs="仿宋"/>
          <w:sz w:val="24"/>
          <w:highlight w:val="none"/>
        </w:rPr>
        <w:t xml:space="preserve">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    真：/</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联系人：</w:t>
      </w:r>
      <w:bookmarkStart w:id="26" w:name="OLE_LINK15"/>
      <w:bookmarkStart w:id="27" w:name="OLE_LINK3"/>
      <w:r>
        <w:rPr>
          <w:rFonts w:hint="eastAsia" w:ascii="仿宋" w:hAnsi="仿宋" w:eastAsia="仿宋" w:cs="仿宋"/>
          <w:sz w:val="24"/>
          <w:highlight w:val="none"/>
        </w:rPr>
        <w:t>王涛</w:t>
      </w:r>
      <w:bookmarkEnd w:id="26"/>
      <w:r>
        <w:rPr>
          <w:rFonts w:hint="eastAsia" w:ascii="仿宋" w:hAnsi="仿宋" w:eastAsia="仿宋" w:cs="仿宋"/>
          <w:sz w:val="24"/>
          <w:highlight w:val="none"/>
        </w:rPr>
        <w:t xml:space="preserve"> </w:t>
      </w:r>
    </w:p>
    <w:bookmarkEnd w:id="27"/>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监督投诉电话：0575-85672135</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widowControl/>
        <w:adjustRightInd/>
        <w:jc w:val="left"/>
        <w:rPr>
          <w:rFonts w:hint="eastAsia" w:ascii="仿宋" w:hAnsi="仿宋" w:eastAsia="仿宋" w:cs="仿宋"/>
          <w:snapToGrid w:val="0"/>
          <w:highlight w:val="none"/>
        </w:rPr>
      </w:pPr>
      <w:r>
        <w:rPr>
          <w:rFonts w:hint="eastAsia" w:ascii="仿宋" w:hAnsi="仿宋" w:eastAsia="仿宋" w:cs="仿宋"/>
          <w:b/>
          <w:sz w:val="36"/>
          <w:szCs w:val="20"/>
          <w:highlight w:val="none"/>
        </w:rPr>
        <w:br w:type="page"/>
      </w:r>
    </w:p>
    <w:bookmarkEnd w:id="7"/>
    <w:bookmarkEnd w:id="8"/>
    <w:p>
      <w:pPr>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2"/>
        <w:tblW w:w="9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pPr>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投标人按照项目要求特许资格证明文件（如有）：</w:t>
            </w:r>
          </w:p>
          <w:p>
            <w:pPr>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2</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000000"/>
                <w:sz w:val="24"/>
                <w:highlight w:val="none"/>
                <w:lang w:eastAsia="zh-CN"/>
              </w:rPr>
            </w:pPr>
            <w:r>
              <w:rPr>
                <w:rFonts w:hint="eastAsia" w:ascii="仿宋" w:hAnsi="仿宋" w:eastAsia="仿宋" w:cs="仿宋"/>
                <w:b/>
                <w:color w:val="000000"/>
                <w:sz w:val="24"/>
                <w:highlight w:val="none"/>
              </w:rPr>
              <w:t>报价要求</w:t>
            </w:r>
            <w:r>
              <w:rPr>
                <w:rFonts w:hint="eastAsia" w:ascii="仿宋" w:hAnsi="仿宋" w:eastAsia="仿宋" w:cs="仿宋"/>
                <w:b/>
                <w:color w:val="000000"/>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kern w:val="0"/>
                <w:sz w:val="24"/>
                <w:highlight w:val="none"/>
                <w:lang w:val="zh-CN"/>
              </w:rPr>
            </w:pPr>
            <w:r>
              <w:rPr>
                <w:rFonts w:hint="eastAsia" w:ascii="仿宋" w:hAnsi="仿宋" w:eastAsia="仿宋" w:cs="仿宋"/>
                <w:sz w:val="24"/>
                <w:szCs w:val="24"/>
                <w:highlight w:val="none"/>
              </w:rPr>
              <w:t>有关本项目开展所需的</w:t>
            </w:r>
            <w:r>
              <w:rPr>
                <w:rFonts w:hint="eastAsia" w:ascii="仿宋" w:hAnsi="仿宋" w:eastAsia="仿宋" w:cs="仿宋"/>
                <w:sz w:val="24"/>
                <w:szCs w:val="24"/>
                <w:highlight w:val="none"/>
                <w:lang w:val="en-US" w:eastAsia="zh-CN"/>
              </w:rPr>
              <w:t>人工，货物，安装、运输、验收调试、税金，福利、</w:t>
            </w:r>
            <w:r>
              <w:rPr>
                <w:rFonts w:hint="eastAsia" w:ascii="仿宋" w:hAnsi="仿宋" w:eastAsia="仿宋" w:cs="仿宋"/>
                <w:sz w:val="24"/>
                <w:szCs w:val="24"/>
                <w:highlight w:val="none"/>
              </w:rPr>
              <w:t>等费用均计入报价。</w:t>
            </w:r>
            <w:r>
              <w:rPr>
                <w:rFonts w:hint="eastAsia" w:ascii="仿宋" w:hAnsi="仿宋" w:eastAsia="仿宋" w:cs="仿宋"/>
                <w:b/>
                <w:bCs/>
                <w:kern w:val="0"/>
                <w:sz w:val="24"/>
                <w:highlight w:val="none"/>
                <w:lang w:val="zh-CN"/>
              </w:rPr>
              <w:t>投标文件</w:t>
            </w:r>
            <w:r>
              <w:rPr>
                <w:rFonts w:hint="eastAsia" w:ascii="仿宋" w:hAnsi="仿宋" w:eastAsia="仿宋" w:cs="仿宋"/>
                <w:b/>
                <w:bCs/>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sz w:val="24"/>
                <w:szCs w:val="24"/>
                <w:highlight w:val="none"/>
              </w:rPr>
              <w:t>投标文件中价格全部采用人民币报价。招标文件未列明，而投标人认为必</w:t>
            </w:r>
            <w:r>
              <w:rPr>
                <w:rFonts w:hint="eastAsia" w:ascii="仿宋" w:hAnsi="仿宋" w:eastAsia="仿宋" w:cs="仿宋"/>
                <w:sz w:val="24"/>
                <w:szCs w:val="24"/>
                <w:highlight w:val="none"/>
                <w:lang w:eastAsia="zh-CN"/>
              </w:rPr>
              <w:t>须</w:t>
            </w:r>
            <w:r>
              <w:rPr>
                <w:rFonts w:hint="eastAsia" w:ascii="仿宋" w:hAnsi="仿宋" w:eastAsia="仿宋" w:cs="仿宋"/>
                <w:sz w:val="24"/>
                <w:szCs w:val="24"/>
                <w:highlight w:val="none"/>
              </w:rPr>
              <w:t>的费用也需列入报价</w:t>
            </w:r>
            <w:r>
              <w:rPr>
                <w:rFonts w:hint="eastAsia" w:ascii="仿宋" w:hAnsi="仿宋" w:eastAsia="仿宋" w:cs="仿宋"/>
                <w:color w:val="0000FF"/>
                <w:sz w:val="24"/>
                <w:szCs w:val="28"/>
                <w:highlight w:val="none"/>
              </w:rPr>
              <w:t>。</w:t>
            </w:r>
            <w:r>
              <w:rPr>
                <w:rFonts w:hint="eastAsia" w:ascii="仿宋" w:hAnsi="仿宋" w:eastAsia="仿宋" w:cs="仿宋"/>
                <w:b/>
                <w:kern w:val="0"/>
                <w:sz w:val="24"/>
                <w:highlight w:val="none"/>
                <w:lang w:val="zh-CN"/>
              </w:rPr>
              <w:t>提醒：验收时检测费用由采购人承担，不包含在投标总价中；</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投标报价出现下列情形的，投标无效：</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w:t>
            </w:r>
            <w:r>
              <w:rPr>
                <w:rFonts w:hint="eastAsia" w:ascii="仿宋" w:hAnsi="仿宋" w:eastAsia="仿宋" w:cs="仿宋"/>
                <w:b/>
                <w:bCs/>
                <w:sz w:val="24"/>
                <w:highlight w:val="none"/>
                <w:lang w:val="zh-CN"/>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val="zh-CN"/>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lang w:val="zh-CN" w:eastAsia="zh-CN"/>
              </w:rPr>
              <w:t>评标委员会认为</w:t>
            </w:r>
            <w:r>
              <w:rPr>
                <w:rFonts w:hint="eastAsia" w:ascii="仿宋" w:hAnsi="仿宋" w:eastAsia="仿宋" w:cs="仿宋"/>
                <w:b/>
                <w:bCs/>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lang w:eastAsia="zh-CN"/>
              </w:rPr>
            </w:pPr>
            <w:r>
              <w:rPr>
                <w:rFonts w:hint="eastAsia" w:ascii="仿宋" w:hAnsi="仿宋" w:eastAsia="仿宋" w:cs="仿宋"/>
                <w:b/>
                <w:bCs/>
                <w:sz w:val="24"/>
                <w:highlight w:val="none"/>
                <w:lang w:val="zh-CN"/>
              </w:rPr>
              <w:t>★报价低于项目预算50%</w:t>
            </w:r>
            <w:r>
              <w:rPr>
                <w:rFonts w:hint="eastAsia" w:ascii="仿宋" w:hAnsi="仿宋" w:eastAsia="仿宋" w:cs="仿宋"/>
                <w:b/>
                <w:bCs/>
                <w:sz w:val="24"/>
                <w:highlight w:val="none"/>
              </w:rPr>
              <w:t>的投标报价，投标人</w:t>
            </w:r>
            <w:r>
              <w:rPr>
                <w:rFonts w:hint="eastAsia" w:ascii="仿宋" w:hAnsi="仿宋" w:eastAsia="仿宋" w:cs="仿宋"/>
                <w:b/>
                <w:bCs/>
                <w:sz w:val="24"/>
                <w:highlight w:val="none"/>
                <w:lang w:val="en-US" w:eastAsia="zh-CN"/>
              </w:rPr>
              <w:t>应在</w:t>
            </w:r>
            <w:r>
              <w:rPr>
                <w:rFonts w:hint="eastAsia" w:ascii="仿宋" w:hAnsi="仿宋" w:eastAsia="仿宋" w:cs="仿宋"/>
                <w:b/>
                <w:bCs/>
                <w:sz w:val="24"/>
                <w:highlight w:val="none"/>
              </w:rPr>
              <w:t>投标文件中提供成本测算资料</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未在投标文件中提供成本测算资料</w:t>
            </w:r>
            <w:r>
              <w:rPr>
                <w:rFonts w:hint="eastAsia" w:ascii="仿宋" w:hAnsi="仿宋" w:eastAsia="仿宋" w:cs="仿宋"/>
                <w:b/>
                <w:bCs/>
                <w:sz w:val="24"/>
                <w:highlight w:val="none"/>
                <w:lang w:val="en-US" w:eastAsia="zh-CN"/>
              </w:rPr>
              <w:t>的，将被</w:t>
            </w:r>
            <w:r>
              <w:rPr>
                <w:rFonts w:hint="eastAsia" w:ascii="仿宋" w:hAnsi="仿宋" w:eastAsia="仿宋" w:cs="仿宋"/>
                <w:b/>
                <w:bCs/>
                <w:sz w:val="24"/>
                <w:highlight w:val="none"/>
              </w:rPr>
              <w:t>视为投标人不能证明其报价合理性</w:t>
            </w:r>
            <w:r>
              <w:rPr>
                <w:rFonts w:hint="eastAsia" w:ascii="仿宋" w:hAnsi="仿宋" w:eastAsia="仿宋" w:cs="仿宋"/>
                <w:b/>
                <w:bCs/>
                <w:sz w:val="24"/>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《开标一览表(报价表)》填写不完整或字迹不能辨认或有漏项的,经评标委员会认定属于重大偏差的；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sz w:val="24"/>
                <w:highlight w:val="none"/>
              </w:rPr>
            </w:pPr>
            <w:r>
              <w:rPr>
                <w:rFonts w:hint="eastAsia" w:ascii="仿宋" w:hAnsi="仿宋" w:eastAsia="仿宋" w:cs="仿宋"/>
                <w:b/>
                <w:bCs/>
                <w:sz w:val="24"/>
                <w:highlight w:val="none"/>
                <w:lang w:val="zh-CN"/>
              </w:rPr>
              <w:t>★</w:t>
            </w:r>
            <w:r>
              <w:rPr>
                <w:rFonts w:hint="eastAsia" w:ascii="仿宋" w:hAnsi="仿宋" w:eastAsia="仿宋" w:cs="仿宋"/>
                <w:b/>
                <w:bCs/>
                <w:sz w:val="24"/>
                <w:highlight w:val="none"/>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p>
        </w:tc>
        <w:tc>
          <w:tcPr>
            <w:tcW w:w="8370" w:type="dxa"/>
            <w:gridSpan w:val="2"/>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w:t>
            </w:r>
            <w:bookmarkStart w:id="28" w:name="OLE_LINK5"/>
            <w:r>
              <w:rPr>
                <w:rFonts w:hint="eastAsia" w:ascii="仿宋" w:hAnsi="仿宋" w:eastAsia="仿宋" w:cs="仿宋"/>
                <w:b/>
                <w:sz w:val="24"/>
                <w:highlight w:val="none"/>
              </w:rPr>
              <w:t>商务技术文件</w:t>
            </w:r>
            <w:bookmarkEnd w:id="28"/>
            <w:r>
              <w:rPr>
                <w:rFonts w:hint="eastAsia" w:ascii="仿宋" w:hAnsi="仿宋" w:eastAsia="仿宋" w:cs="仿宋"/>
                <w:b/>
                <w:sz w:val="24"/>
                <w:highlight w:val="none"/>
              </w:rPr>
              <w:t>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4</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t>☑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370" w:type="dxa"/>
            <w:gridSpan w:val="2"/>
            <w:vAlign w:val="center"/>
          </w:tcPr>
          <w:p>
            <w:pPr>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pPr>
              <w:pStyle w:val="80"/>
              <w:spacing w:line="440" w:lineRule="exact"/>
              <w:rPr>
                <w:rFonts w:eastAsia="仿宋"/>
                <w:highlight w:val="none"/>
              </w:rPr>
            </w:pPr>
            <w:r>
              <w:rPr>
                <w:rFonts w:hint="eastAsia" w:ascii="仿宋" w:hAnsi="仿宋" w:eastAsia="仿宋" w:cs="仿宋"/>
                <w:b/>
                <w:bCs/>
                <w:color w:val="auto"/>
                <w:highlight w:val="none"/>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8370" w:type="dxa"/>
            <w:gridSpan w:val="2"/>
            <w:vAlign w:val="center"/>
          </w:tcPr>
          <w:p>
            <w:pPr>
              <w:spacing w:line="440" w:lineRule="exact"/>
              <w:rPr>
                <w:rFonts w:hint="eastAsia" w:ascii="仿宋_GB2312" w:hAnsi="宋体" w:eastAsia="仿宋_GB2312"/>
                <w:b/>
                <w:color w:val="000000"/>
                <w:sz w:val="24"/>
                <w:highlight w:val="none"/>
              </w:rPr>
            </w:pPr>
            <w:r>
              <w:rPr>
                <w:rFonts w:hint="eastAsia" w:ascii="仿宋_GB2312" w:hAnsi="宋体" w:eastAsia="仿宋_GB2312"/>
                <w:b/>
                <w:color w:val="000000"/>
                <w:sz w:val="24"/>
                <w:highlight w:val="none"/>
              </w:rPr>
              <w:t>方案讲解演示：</w:t>
            </w:r>
          </w:p>
          <w:p>
            <w:pPr>
              <w:tabs>
                <w:tab w:val="center" w:pos="4077"/>
              </w:tabs>
              <w:spacing w:line="440" w:lineRule="exact"/>
              <w:rPr>
                <w:rFonts w:hint="eastAsia" w:ascii="仿宋" w:hAnsi="仿宋" w:eastAsia="仿宋" w:cs="仿宋"/>
                <w:sz w:val="24"/>
                <w:highlight w:val="none"/>
              </w:rPr>
            </w:pPr>
            <w:r>
              <w:rPr>
                <w:rFonts w:hint="eastAsia" w:ascii="仿宋" w:hAnsi="仿宋" w:eastAsia="仿宋" w:cs="仿宋"/>
                <w:sz w:val="24"/>
                <w:highlight w:val="none"/>
              </w:rPr>
              <w:t>☑A无方案讲解演示。</w:t>
            </w:r>
            <w:r>
              <w:rPr>
                <w:rFonts w:hint="eastAsia" w:ascii="仿宋" w:hAnsi="仿宋" w:eastAsia="仿宋" w:cs="仿宋"/>
                <w:sz w:val="24"/>
                <w:highlight w:val="none"/>
              </w:rPr>
              <w:tab/>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□B有方案讲解演示：</w:t>
            </w:r>
          </w:p>
          <w:p>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20</w:t>
            </w:r>
            <w:r>
              <w:rPr>
                <w:rFonts w:hint="eastAsia" w:ascii="仿宋" w:hAnsi="仿宋" w:eastAsia="仿宋" w:cs="仿宋"/>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p>
        </w:tc>
        <w:tc>
          <w:tcPr>
            <w:tcW w:w="855" w:type="dxa"/>
            <w:vAlign w:val="center"/>
          </w:tcPr>
          <w:p>
            <w:pPr>
              <w:snapToGrid w:val="0"/>
              <w:spacing w:line="440" w:lineRule="exact"/>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pPr>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☑本项目不允许采购进口产品。</w:t>
            </w:r>
          </w:p>
          <w:p>
            <w:pPr>
              <w:snapToGrid w:val="0"/>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p>
        </w:tc>
        <w:tc>
          <w:tcPr>
            <w:tcW w:w="855" w:type="dxa"/>
            <w:vAlign w:val="center"/>
          </w:tcPr>
          <w:p>
            <w:pPr>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pPr>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kern w:val="0"/>
                <w:sz w:val="24"/>
                <w:highlight w:val="none"/>
                <w:u w:val="single"/>
              </w:rPr>
              <w:t>交通信号控制器</w:t>
            </w:r>
            <w:r>
              <w:rPr>
                <w:rFonts w:hint="eastAsia" w:ascii="仿宋" w:hAnsi="仿宋" w:eastAsia="仿宋" w:cs="仿宋"/>
                <w:sz w:val="24"/>
                <w:highlight w:val="none"/>
              </w:rPr>
              <w:t>。</w:t>
            </w:r>
          </w:p>
          <w:p>
            <w:pPr>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0"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p>
        </w:tc>
        <w:tc>
          <w:tcPr>
            <w:tcW w:w="855" w:type="dxa"/>
            <w:vAlign w:val="center"/>
          </w:tcPr>
          <w:p>
            <w:pPr>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pStyle w:val="965"/>
              <w:numPr>
                <w:ilvl w:val="0"/>
                <w:numId w:val="0"/>
              </w:numPr>
              <w:adjustRightInd w:val="0"/>
              <w:snapToGrid w:val="0"/>
              <w:spacing w:before="72" w:beforeLines="30" w:after="72" w:afterLines="30"/>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.中小企业划分标准所属行业（具体根据《</w:t>
            </w:r>
            <w:bookmarkStart w:id="29" w:name="OLE_LINK43"/>
            <w:bookmarkStart w:id="30" w:name="OLE_LINK42"/>
            <w:bookmarkStart w:id="31" w:name="OLE_LINK44"/>
            <w:r>
              <w:rPr>
                <w:rFonts w:hint="eastAsia" w:ascii="仿宋" w:hAnsi="仿宋" w:eastAsia="仿宋" w:cs="仿宋"/>
                <w:b/>
                <w:color w:val="auto"/>
                <w:sz w:val="24"/>
                <w:szCs w:val="24"/>
                <w:highlight w:val="none"/>
              </w:rPr>
              <w:t>中小企业划型标准</w:t>
            </w:r>
            <w:bookmarkEnd w:id="29"/>
            <w:r>
              <w:rPr>
                <w:rFonts w:hint="eastAsia" w:ascii="仿宋" w:hAnsi="仿宋" w:eastAsia="仿宋" w:cs="仿宋"/>
                <w:b/>
                <w:color w:val="auto"/>
                <w:sz w:val="24"/>
                <w:szCs w:val="24"/>
                <w:highlight w:val="none"/>
              </w:rPr>
              <w:t>规</w:t>
            </w:r>
            <w:bookmarkEnd w:id="30"/>
            <w:r>
              <w:rPr>
                <w:rFonts w:hint="eastAsia" w:ascii="仿宋" w:hAnsi="仿宋" w:eastAsia="仿宋" w:cs="仿宋"/>
                <w:b/>
                <w:color w:val="auto"/>
                <w:sz w:val="24"/>
                <w:szCs w:val="24"/>
                <w:highlight w:val="none"/>
              </w:rPr>
              <w:t>定》</w:t>
            </w:r>
            <w:bookmarkEnd w:id="31"/>
            <w:r>
              <w:rPr>
                <w:rFonts w:hint="eastAsia" w:ascii="仿宋" w:hAnsi="仿宋" w:eastAsia="仿宋" w:cs="仿宋"/>
                <w:b/>
                <w:color w:val="auto"/>
                <w:sz w:val="24"/>
                <w:szCs w:val="24"/>
                <w:highlight w:val="none"/>
              </w:rPr>
              <w:t>执行）</w:t>
            </w:r>
          </w:p>
          <w:p>
            <w:pPr>
              <w:adjustRightInd w:val="0"/>
              <w:snapToGrid w:val="0"/>
              <w:spacing w:before="72" w:beforeLines="30" w:after="72" w:afterLines="30"/>
              <w:ind w:firstLine="482" w:firstLineChars="200"/>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rPr>
              <w:t>采购标的：</w:t>
            </w:r>
            <w:r>
              <w:rPr>
                <w:rFonts w:hint="eastAsia" w:ascii="仿宋" w:hAnsi="仿宋" w:eastAsia="仿宋" w:cs="仿宋"/>
                <w:b/>
                <w:color w:val="auto"/>
                <w:sz w:val="24"/>
                <w:szCs w:val="24"/>
                <w:highlight w:val="none"/>
                <w:u w:val="single"/>
              </w:rPr>
              <w:t>详见</w:t>
            </w:r>
            <w:r>
              <w:rPr>
                <w:rFonts w:hint="eastAsia" w:ascii="仿宋" w:hAnsi="仿宋" w:eastAsia="仿宋" w:cs="仿宋"/>
                <w:b/>
                <w:color w:val="auto"/>
                <w:sz w:val="24"/>
                <w:szCs w:val="24"/>
                <w:highlight w:val="none"/>
                <w:u w:val="single"/>
                <w:lang w:eastAsia="zh-CN"/>
              </w:rPr>
              <w:t>第三部分</w:t>
            </w:r>
            <w:r>
              <w:rPr>
                <w:rFonts w:hint="eastAsia" w:ascii="仿宋" w:hAnsi="仿宋" w:eastAsia="仿宋" w:cs="仿宋"/>
                <w:b/>
                <w:color w:val="auto"/>
                <w:sz w:val="24"/>
                <w:szCs w:val="24"/>
                <w:highlight w:val="none"/>
                <w:u w:val="single"/>
              </w:rPr>
              <w:t>招标项目范围及要求的采购清单</w:t>
            </w:r>
          </w:p>
          <w:p>
            <w:pPr>
              <w:adjustRightInd w:val="0"/>
              <w:snapToGrid w:val="0"/>
              <w:spacing w:before="72" w:beforeLines="30" w:after="72" w:afterLines="30"/>
              <w:ind w:firstLine="482"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cs="仿宋"/>
                <w:b/>
                <w:color w:val="auto"/>
                <w:sz w:val="24"/>
                <w:szCs w:val="24"/>
                <w:highlight w:val="none"/>
              </w:rPr>
              <w:t>所属行业：</w:t>
            </w:r>
            <w:r>
              <w:rPr>
                <w:rFonts w:hint="eastAsia" w:ascii="仿宋" w:hAnsi="仿宋" w:eastAsia="仿宋" w:cs="仿宋"/>
                <w:color w:val="auto"/>
                <w:sz w:val="24"/>
                <w:highlight w:val="none"/>
                <w:u w:val="single"/>
                <w:lang w:val="en-US" w:eastAsia="zh-CN"/>
              </w:rPr>
              <w:t xml:space="preserve">工业 </w:t>
            </w:r>
          </w:p>
          <w:p>
            <w:pPr>
              <w:adjustRightInd w:val="0"/>
              <w:snapToGrid w:val="0"/>
              <w:spacing w:before="72" w:beforeLines="30" w:after="72" w:afterLines="30"/>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32" w:name="OLE_LINK37"/>
            <w:r>
              <w:rPr>
                <w:rFonts w:hint="eastAsia" w:ascii="仿宋" w:hAnsi="仿宋" w:eastAsia="仿宋" w:cs="仿宋"/>
                <w:color w:val="auto"/>
                <w:sz w:val="24"/>
                <w:szCs w:val="24"/>
                <w:highlight w:val="none"/>
              </w:rPr>
              <w:t>人福利性单位声明函</w:t>
            </w:r>
            <w:bookmarkEnd w:id="32"/>
            <w:r>
              <w:rPr>
                <w:rFonts w:hint="eastAsia" w:ascii="仿宋" w:hAnsi="仿宋" w:eastAsia="仿宋" w:cs="仿宋"/>
                <w:color w:val="auto"/>
                <w:sz w:val="24"/>
                <w:szCs w:val="24"/>
                <w:highlight w:val="none"/>
              </w:rPr>
              <w:t>（见附件）。</w:t>
            </w:r>
          </w:p>
          <w:p>
            <w:pPr>
              <w:snapToGrid w:val="0"/>
              <w:spacing w:line="440" w:lineRule="exact"/>
              <w:ind w:firstLine="480" w:firstLineChars="200"/>
              <w:rPr>
                <w:rFonts w:hint="eastAsia" w:ascii="仿宋" w:hAnsi="仿宋" w:eastAsia="仿宋" w:cs="仿宋"/>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.根据财库[2014]68号的相关规定，在政府采购活动中，监狱企业视同小型、微型企业，享受评审中价格扣除政策，并在投标文件中提供由省级以上监狱管理局、戒毒管理局（含新疆生产建设兵团）出具的属于</w:t>
            </w:r>
            <w:bookmarkStart w:id="33" w:name="OLE_LINK38"/>
            <w:r>
              <w:rPr>
                <w:rFonts w:hint="eastAsia" w:ascii="仿宋" w:hAnsi="仿宋" w:eastAsia="仿宋" w:cs="仿宋"/>
                <w:color w:val="auto"/>
                <w:sz w:val="24"/>
                <w:szCs w:val="24"/>
                <w:highlight w:val="none"/>
              </w:rPr>
              <w:t>监狱企业的证明文件</w:t>
            </w:r>
            <w:bookmarkEnd w:id="33"/>
            <w:r>
              <w:rPr>
                <w:rFonts w:hint="eastAsia" w:ascii="仿宋" w:hAnsi="仿宋" w:eastAsia="仿宋" w:cs="仿宋"/>
                <w:b/>
                <w:bCs/>
                <w:color w:val="auto"/>
                <w:sz w:val="24"/>
                <w:szCs w:val="24"/>
                <w:highlight w:val="none"/>
              </w:rPr>
              <w:t>（格式自拟）</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p>
        </w:tc>
        <w:tc>
          <w:tcPr>
            <w:tcW w:w="855" w:type="dxa"/>
            <w:vMerge w:val="restart"/>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870" w:type="dxa"/>
            <w:vMerge w:val="continue"/>
            <w:vAlign w:val="center"/>
          </w:tcPr>
          <w:p>
            <w:pPr>
              <w:spacing w:line="440" w:lineRule="exact"/>
              <w:jc w:val="center"/>
              <w:rPr>
                <w:rFonts w:hint="eastAsia" w:ascii="仿宋" w:hAnsi="仿宋" w:eastAsia="仿宋" w:cs="仿宋"/>
                <w:sz w:val="24"/>
                <w:highlight w:val="none"/>
              </w:rPr>
            </w:pPr>
          </w:p>
        </w:tc>
        <w:tc>
          <w:tcPr>
            <w:tcW w:w="855" w:type="dxa"/>
            <w:vMerge w:val="continue"/>
            <w:vAlign w:val="center"/>
          </w:tcPr>
          <w:p>
            <w:pPr>
              <w:snapToGrid w:val="0"/>
              <w:spacing w:line="440" w:lineRule="exact"/>
              <w:rPr>
                <w:rFonts w:hint="eastAsia" w:ascii="仿宋" w:hAnsi="仿宋" w:eastAsia="仿宋" w:cs="仿宋"/>
                <w:b/>
                <w:sz w:val="24"/>
                <w:highlight w:val="none"/>
              </w:rPr>
            </w:pPr>
          </w:p>
        </w:tc>
        <w:tc>
          <w:tcPr>
            <w:tcW w:w="7515" w:type="dxa"/>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经查询列入失信被执行人名单、重大税收违法失信主体、政府采购严重违法失信行为记录名单的投标人将被拒绝参与政府采购活动。</w:t>
            </w:r>
          </w:p>
          <w:p>
            <w:pPr>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 xml:space="preserve">                                                                                                                                                                                                                                                                                                                                                                                                                                                                                                                                                                                                                                                                                                                                                                                                                                                                                                                                                                                                                                                                                                                                                                                                                                                                                                                                       </w:t>
            </w:r>
          </w:p>
        </w:tc>
        <w:tc>
          <w:tcPr>
            <w:tcW w:w="8370" w:type="dxa"/>
            <w:gridSpan w:val="2"/>
            <w:vAlign w:val="center"/>
          </w:tcPr>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注：供应商CA相关操作可参考政采云平台https://www.zcygov.cn/《CA申领操作指南》和《CA管理操作指南》。完成CA数字证书办理在资料齐全的情况下预计7个工作日左右，建议供应商获取招标文件后立即办理。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p>
        </w:tc>
        <w:tc>
          <w:tcPr>
            <w:tcW w:w="8370" w:type="dxa"/>
            <w:gridSpan w:val="2"/>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pPr>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highlight w:val="none"/>
              </w:rPr>
            </w:pPr>
          </w:p>
        </w:tc>
        <w:tc>
          <w:tcPr>
            <w:tcW w:w="8370" w:type="dxa"/>
            <w:gridSpan w:val="2"/>
            <w:vAlign w:val="center"/>
          </w:tcPr>
          <w:p>
            <w:pPr>
              <w:spacing w:line="440" w:lineRule="exact"/>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联合体投标的，联合体各方均需按招标文件第五部分评标标准要求提供证明文件，否则视为不符合相关要求。</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19</w:t>
            </w:r>
          </w:p>
        </w:tc>
        <w:tc>
          <w:tcPr>
            <w:tcW w:w="837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kern w:val="0"/>
                <w:sz w:val="24"/>
                <w:szCs w:val="21"/>
                <w:highlight w:val="none"/>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20</w:t>
            </w:r>
          </w:p>
        </w:tc>
        <w:tc>
          <w:tcPr>
            <w:tcW w:w="8370" w:type="dxa"/>
            <w:gridSpan w:val="2"/>
            <w:vAlign w:val="center"/>
          </w:tcPr>
          <w:p>
            <w:pPr>
              <w:rPr>
                <w:rFonts w:hint="eastAsia" w:ascii="仿宋" w:hAnsi="仿宋" w:eastAsia="仿宋" w:cs="仿宋"/>
                <w:b/>
                <w:sz w:val="24"/>
                <w:highlight w:val="none"/>
              </w:rPr>
            </w:pPr>
            <w:r>
              <w:rPr>
                <w:rFonts w:hint="eastAsia" w:ascii="仿宋" w:hAnsi="仿宋" w:eastAsia="仿宋" w:cs="仿宋"/>
                <w:b/>
                <w:sz w:val="24"/>
                <w:highlight w:val="none"/>
              </w:rPr>
              <w:t>采购代理服务费：费用由采购人支付，具体以双方签订的合同为准。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highlight w:val="none"/>
        </w:rPr>
      </w:pPr>
    </w:p>
    <w:p>
      <w:pPr>
        <w:pStyle w:val="2"/>
        <w:rPr>
          <w:rFonts w:hint="eastAsia" w:ascii="仿宋" w:hAnsi="仿宋" w:eastAsia="仿宋" w:cs="仿宋"/>
          <w:b/>
          <w:sz w:val="32"/>
          <w:szCs w:val="20"/>
          <w:highlight w:val="none"/>
        </w:rPr>
      </w:pPr>
    </w:p>
    <w:p>
      <w:pPr>
        <w:rPr>
          <w:rFonts w:hint="eastAsia"/>
          <w:highlight w:val="none"/>
        </w:rPr>
      </w:pPr>
    </w:p>
    <w:bookmarkEnd w:id="9"/>
    <w:p>
      <w:pPr>
        <w:adjustRightInd/>
        <w:spacing w:line="360" w:lineRule="auto"/>
        <w:jc w:val="center"/>
        <w:outlineLvl w:val="0"/>
        <w:rPr>
          <w:rFonts w:hint="eastAsia" w:ascii="仿宋" w:hAnsi="仿宋" w:eastAsia="仿宋" w:cs="仿宋"/>
          <w:b/>
          <w:sz w:val="32"/>
          <w:szCs w:val="32"/>
          <w:highlight w:val="none"/>
        </w:rPr>
      </w:pPr>
      <w:bookmarkStart w:id="34" w:name="_Hlt74730295"/>
      <w:bookmarkEnd w:id="34"/>
      <w:bookmarkStart w:id="35" w:name="_Hlt68057669"/>
      <w:bookmarkEnd w:id="35"/>
      <w:bookmarkStart w:id="36" w:name="_Hlt68403820"/>
      <w:bookmarkEnd w:id="36"/>
      <w:bookmarkStart w:id="37" w:name="_Hlt75236290"/>
      <w:bookmarkEnd w:id="37"/>
      <w:bookmarkStart w:id="38" w:name="_Hlt75236011"/>
      <w:bookmarkEnd w:id="38"/>
      <w:bookmarkStart w:id="39" w:name="_Hlt74729768"/>
      <w:bookmarkEnd w:id="39"/>
      <w:bookmarkStart w:id="40" w:name="_Hlt68072990"/>
      <w:bookmarkEnd w:id="40"/>
      <w:bookmarkStart w:id="41" w:name="_Hlt68072998"/>
      <w:bookmarkEnd w:id="41"/>
      <w:bookmarkStart w:id="42" w:name="_Hlt74714665"/>
      <w:bookmarkEnd w:id="42"/>
      <w:bookmarkStart w:id="43" w:name="_Hlt75236101"/>
      <w:bookmarkEnd w:id="43"/>
      <w:bookmarkStart w:id="44" w:name="_Hlt74707468"/>
      <w:bookmarkEnd w:id="44"/>
      <w:bookmarkStart w:id="45" w:name="_Hlt68073093"/>
      <w:bookmarkEnd w:id="45"/>
      <w:bookmarkStart w:id="46" w:name="第三部分"/>
      <w:bookmarkStart w:id="47" w:name="_Toc164416483"/>
      <w:r>
        <w:rPr>
          <w:rFonts w:hint="eastAsia" w:ascii="仿宋" w:hAnsi="仿宋" w:eastAsia="仿宋" w:cs="仿宋"/>
          <w:b/>
          <w:sz w:val="32"/>
          <w:szCs w:val="32"/>
          <w:highlight w:val="none"/>
        </w:rPr>
        <w:t>一、总则</w:t>
      </w:r>
    </w:p>
    <w:p>
      <w:pPr>
        <w:snapToGrid w:val="0"/>
        <w:spacing w:line="440" w:lineRule="exact"/>
        <w:ind w:firstLine="482" w:firstLineChars="200"/>
        <w:jc w:val="left"/>
        <w:outlineLvl w:val="1"/>
        <w:rPr>
          <w:rFonts w:hint="eastAsia" w:ascii="仿宋" w:hAnsi="仿宋" w:eastAsia="仿宋" w:cs="仿宋"/>
          <w:b/>
          <w:sz w:val="24"/>
          <w:highlight w:val="none"/>
        </w:rPr>
      </w:pPr>
      <w:r>
        <w:rPr>
          <w:rFonts w:hint="eastAsia" w:ascii="仿宋" w:hAnsi="仿宋" w:eastAsia="仿宋" w:cs="仿宋"/>
          <w:b/>
          <w:sz w:val="24"/>
          <w:highlight w:val="none"/>
        </w:rPr>
        <w:t>1.适用范围</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2.定义</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 “采购人”系指招标公告中载明的本项目的采购人。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2.4“监督单位”系指政府采购法定义监督管理部门。</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2.7“电子交易平台”系指本项目政府采购活动所依托的政府采购云平台（https://www.zcygov.cn/）。</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highlight w:val="none"/>
          <w:lang w:val="en"/>
        </w:rPr>
        <w:t>☑</w:t>
      </w:r>
      <w:r>
        <w:rPr>
          <w:rFonts w:hint="eastAsia" w:ascii="仿宋" w:hAnsi="仿宋" w:eastAsia="仿宋" w:cs="仿宋"/>
          <w:sz w:val="24"/>
          <w:highlight w:val="none"/>
        </w:rPr>
        <w:t>” 系指适用本项目的要求，“☐” 系指不适用本项目的要求。</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 支持绿色发展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★3.2.2采购人拟采购的产品属于政府强制采购的节能产品品目清单范围的，投标人未按招标文件要求提供国家确定的认证机构出具的、处于有效期之内的节能产品认证证书，投标无效。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企业价格扣除（按财库〔2022〕19号文件规定执行）</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sz w:val="24"/>
          <w:highlight w:val="none"/>
        </w:rPr>
        <w:t>3.3.1小微企业是指</w:t>
      </w:r>
      <w:r>
        <w:rPr>
          <w:rFonts w:hint="eastAsia" w:ascii="仿宋" w:hAnsi="仿宋" w:eastAsia="仿宋" w:cs="仿宋"/>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符合中小企业划分标准的个体工商户，在政府采购活动中视同中小企业。</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3.3.2在货物采购项目中，货物由小微企业制造，即货物由小微企业生产且使用该小微企业商号或者注册商标。</w:t>
      </w:r>
      <w:r>
        <w:rPr>
          <w:rFonts w:hint="eastAsia" w:ascii="仿宋" w:hAnsi="仿宋" w:eastAsia="仿宋" w:cs="仿宋"/>
          <w:b/>
          <w:bCs/>
          <w:sz w:val="24"/>
          <w:highlight w:val="none"/>
        </w:rPr>
        <w:t>供应商提供的货物既有中小企业制造货物，也有大型企业制造货物的，不享受中小企业扶持政策。</w:t>
      </w:r>
    </w:p>
    <w:p>
      <w:pPr>
        <w:spacing w:line="440" w:lineRule="exact"/>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3.3.4小微企业应按照招标文件格式要求提供《中小企业声明函》。</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★4.特别说明：</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1"/>
        <w:snapToGrid w:val="0"/>
        <w:spacing w:before="0" w:line="440" w:lineRule="exact"/>
        <w:ind w:firstLine="640"/>
        <w:rPr>
          <w:rFonts w:hint="eastAsia" w:ascii="仿宋" w:hAnsi="仿宋" w:eastAsia="仿宋" w:cs="仿宋"/>
          <w:sz w:val="32"/>
          <w:szCs w:val="32"/>
          <w:highlight w:val="none"/>
        </w:rPr>
      </w:pPr>
    </w:p>
    <w:p>
      <w:pPr>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二、招标文件</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 本次招标采用公开招标方式进行。</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25"/>
        <w:snapToGrid w:val="0"/>
        <w:spacing w:line="440" w:lineRule="exact"/>
        <w:ind w:firstLine="482"/>
        <w:jc w:val="left"/>
        <w:rPr>
          <w:rFonts w:hint="eastAsia" w:ascii="仿宋" w:hAnsi="仿宋" w:eastAsia="仿宋" w:cs="仿宋"/>
          <w:b/>
          <w:highlight w:val="none"/>
        </w:rPr>
      </w:pPr>
      <w:r>
        <w:rPr>
          <w:rFonts w:hint="eastAsia" w:ascii="仿宋" w:hAnsi="仿宋" w:eastAsia="仿宋" w:cs="仿宋"/>
          <w:b/>
          <w:highlight w:val="none"/>
        </w:rPr>
        <w:t>2.授权委托</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投标人应自行承担编制投标文件及参加本次投标所涉及的一切费用。不管投标结果如何，</w:t>
      </w:r>
      <w:bookmarkStart w:id="48" w:name="OLE_LINK7"/>
      <w:r>
        <w:rPr>
          <w:rFonts w:hint="eastAsia" w:ascii="仿宋" w:hAnsi="仿宋" w:eastAsia="仿宋" w:cs="仿宋"/>
          <w:sz w:val="24"/>
          <w:highlight w:val="none"/>
        </w:rPr>
        <w:t>采购人</w:t>
      </w:r>
      <w:bookmarkEnd w:id="48"/>
      <w:r>
        <w:rPr>
          <w:rFonts w:hint="eastAsia" w:ascii="仿宋" w:hAnsi="仿宋" w:eastAsia="仿宋" w:cs="仿宋"/>
          <w:sz w:val="24"/>
          <w:highlight w:val="none"/>
        </w:rPr>
        <w:t>对上述费用不负任何责任。</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4. 招标文件的修改</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4.2招标文件的澄清 </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4.3招标文件的修改</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5.参考品牌</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spacing w:line="440" w:lineRule="exact"/>
        <w:rPr>
          <w:rFonts w:hint="eastAsia" w:ascii="仿宋" w:hAnsi="仿宋" w:eastAsia="仿宋" w:cs="仿宋"/>
          <w:b/>
          <w:sz w:val="32"/>
          <w:szCs w:val="32"/>
          <w:highlight w:val="none"/>
        </w:rPr>
      </w:pPr>
      <w:r>
        <w:rPr>
          <w:rFonts w:hint="eastAsia" w:ascii="仿宋" w:hAnsi="仿宋" w:eastAsia="仿宋" w:cs="仿宋"/>
          <w:szCs w:val="24"/>
          <w:highlight w:val="none"/>
          <w:lang w:val="en-US"/>
        </w:rPr>
        <w:t xml:space="preserve">  </w:t>
      </w:r>
      <w:r>
        <w:rPr>
          <w:rFonts w:hint="eastAsia" w:ascii="仿宋" w:hAnsi="仿宋" w:eastAsia="仿宋" w:cs="仿宋"/>
          <w:sz w:val="32"/>
          <w:szCs w:val="32"/>
          <w:highlight w:val="none"/>
          <w:lang w:val="en-US"/>
        </w:rPr>
        <w:t xml:space="preserve">  </w:t>
      </w:r>
    </w:p>
    <w:p>
      <w:pPr>
        <w:adjustRightInd/>
        <w:spacing w:line="440" w:lineRule="exact"/>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三、投标文件</w:t>
      </w:r>
    </w:p>
    <w:p>
      <w:pPr>
        <w:snapToGrid w:val="0"/>
        <w:spacing w:line="300" w:lineRule="exact"/>
        <w:ind w:firstLine="482" w:firstLineChars="200"/>
        <w:jc w:val="left"/>
        <w:rPr>
          <w:rFonts w:hint="eastAsia" w:ascii="仿宋" w:hAnsi="仿宋" w:eastAsia="仿宋" w:cs="仿宋"/>
          <w:b/>
          <w:bCs/>
          <w:sz w:val="24"/>
          <w:highlight w:val="none"/>
        </w:rPr>
      </w:pPr>
    </w:p>
    <w:p>
      <w:pPr>
        <w:snapToGrid w:val="0"/>
        <w:spacing w:line="440" w:lineRule="exact"/>
        <w:ind w:firstLine="482" w:firstLineChars="200"/>
        <w:jc w:val="left"/>
        <w:rPr>
          <w:rFonts w:hint="eastAsia" w:ascii="仿宋" w:hAnsi="仿宋" w:eastAsia="仿宋" w:cs="仿宋"/>
          <w:b/>
          <w:bCs/>
          <w:sz w:val="24"/>
          <w:highlight w:val="none"/>
        </w:rPr>
      </w:pPr>
      <w:r>
        <w:rPr>
          <w:rFonts w:hint="eastAsia" w:ascii="仿宋" w:hAnsi="仿宋" w:eastAsia="仿宋" w:cs="仿宋"/>
          <w:b/>
          <w:bCs/>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1.5投标文件的形式和效力</w:t>
      </w:r>
    </w:p>
    <w:p>
      <w:pPr>
        <w:snapToGrid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1.5.2投标文件的效力：</w:t>
      </w:r>
    </w:p>
    <w:p>
      <w:pPr>
        <w:snapToGrid w:val="0"/>
        <w:spacing w:line="440" w:lineRule="exact"/>
        <w:ind w:firstLine="482" w:firstLineChars="200"/>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投标文件未在投标截止时间前完成传输的，视为投标文件撤回；投标文件未按时解密，亦视为投标文件撤回。</w:t>
      </w:r>
    </w:p>
    <w:p>
      <w:pPr>
        <w:pStyle w:val="33"/>
        <w:spacing w:line="44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2.投标文件的组成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投标文件由</w:t>
      </w:r>
      <w:bookmarkStart w:id="49" w:name="OLE_LINK8"/>
      <w:r>
        <w:rPr>
          <w:rFonts w:hint="eastAsia" w:ascii="仿宋" w:hAnsi="仿宋" w:eastAsia="仿宋" w:cs="仿宋"/>
          <w:sz w:val="24"/>
          <w:highlight w:val="none"/>
        </w:rPr>
        <w:t>“资格文件”、“商务技术文件”、“报价文件”</w:t>
      </w:r>
      <w:bookmarkEnd w:id="49"/>
      <w:r>
        <w:rPr>
          <w:rFonts w:hint="eastAsia" w:ascii="仿宋" w:hAnsi="仿宋" w:eastAsia="仿宋" w:cs="仿宋"/>
          <w:sz w:val="24"/>
          <w:highlight w:val="none"/>
        </w:rPr>
        <w:t>三部分组成，其中</w:t>
      </w:r>
      <w:r>
        <w:rPr>
          <w:rFonts w:hint="eastAsia" w:ascii="仿宋" w:hAnsi="仿宋" w:eastAsia="仿宋" w:cs="仿宋"/>
          <w:b/>
          <w:sz w:val="24"/>
          <w:highlight w:val="none"/>
        </w:rPr>
        <w:t>电子投标文件中所须加盖公章部分均应采用电子签章。</w:t>
      </w:r>
    </w:p>
    <w:p>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rPr>
        <w:t>2</w:t>
      </w:r>
      <w:r>
        <w:rPr>
          <w:rFonts w:hint="eastAsia" w:ascii="仿宋" w:hAnsi="仿宋" w:eastAsia="仿宋" w:cs="仿宋"/>
          <w:b/>
          <w:sz w:val="24"/>
          <w:highlight w:val="none"/>
          <w:lang w:val="zh-CN"/>
        </w:rPr>
        <w:t>.1资格文件：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2.1.1符合参加政府采购活动应当具备的一般条件的承诺函；</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2.1.2联合协议（如果有)；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2.1.3分包意向协议</w:t>
      </w:r>
      <w:r>
        <w:rPr>
          <w:rFonts w:hint="eastAsia" w:ascii="仿宋" w:hAnsi="仿宋" w:eastAsia="仿宋" w:cs="仿宋"/>
          <w:snapToGrid w:val="0"/>
          <w:kern w:val="28"/>
          <w:sz w:val="24"/>
          <w:szCs w:val="20"/>
          <w:highlight w:val="none"/>
        </w:rPr>
        <w:t>（如果有)</w:t>
      </w:r>
      <w:r>
        <w:rPr>
          <w:rFonts w:hint="eastAsia" w:ascii="仿宋" w:hAnsi="仿宋" w:eastAsia="仿宋" w:cs="仿宋"/>
          <w:sz w:val="24"/>
          <w:highlight w:val="none"/>
        </w:rPr>
        <w:t>；</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2.1.4落实政府采购政策需满足的资格要求（如果有)；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2.1.5本项目的特定资格要求（如果有)。</w:t>
      </w:r>
    </w:p>
    <w:p>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2.2.1投标函；</w:t>
      </w:r>
      <w:r>
        <w:rPr>
          <w:rFonts w:hint="eastAsia" w:ascii="仿宋" w:hAnsi="仿宋" w:eastAsia="仿宋" w:cs="仿宋"/>
          <w:sz w:val="24"/>
          <w:highlight w:val="none"/>
          <w:lang w:val="zh-CN"/>
        </w:rPr>
        <w:t xml:space="preserve">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pPr>
        <w:snapToGrid w:val="0"/>
        <w:spacing w:line="440" w:lineRule="exact"/>
        <w:ind w:firstLine="480" w:firstLineChars="200"/>
        <w:rPr>
          <w:rFonts w:eastAsia="仿宋"/>
          <w:b/>
          <w:bCs/>
          <w:highlight w:val="none"/>
        </w:rPr>
      </w:pPr>
      <w:r>
        <w:rPr>
          <w:rFonts w:hint="eastAsia" w:ascii="仿宋" w:hAnsi="仿宋" w:eastAsia="仿宋" w:cs="仿宋"/>
          <w:sz w:val="24"/>
          <w:highlight w:val="none"/>
        </w:rPr>
        <w:t>2.2.3法定代表人及其授权代表身份证复印件；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2.2.4授权代表社保证明；</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2.2.5法定代表人身份证明书；</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2.2.7廉政承诺书（格式见第六部分附件）；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sz w:val="24"/>
          <w:highlight w:val="none"/>
        </w:rPr>
        <w:t>必须为投标分公司本身所具有，</w:t>
      </w:r>
      <w:r>
        <w:rPr>
          <w:rFonts w:hint="eastAsia" w:ascii="仿宋" w:hAnsi="仿宋" w:eastAsia="仿宋" w:cs="仿宋"/>
          <w:sz w:val="24"/>
          <w:highlight w:val="none"/>
        </w:rPr>
        <w:t>总公司或其他分公司的人员、业绩、荣誉、知识产权、项目案例等，不能作为该投标分公司的文件予以确认。）；</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2.2.9供应商应提供针对项目的完整技术解决方案：</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w:t>
      </w:r>
      <w:bookmarkStart w:id="50" w:name="OLE_LINK9"/>
      <w:r>
        <w:rPr>
          <w:rFonts w:hint="eastAsia" w:ascii="仿宋" w:hAnsi="仿宋" w:eastAsia="仿宋" w:cs="仿宋"/>
          <w:b/>
          <w:bCs/>
          <w:sz w:val="24"/>
          <w:highlight w:val="none"/>
        </w:rPr>
        <w:t>包括售后服务机构及人员情况等</w:t>
      </w:r>
      <w:r>
        <w:rPr>
          <w:rFonts w:hint="eastAsia" w:ascii="仿宋" w:hAnsi="仿宋" w:eastAsia="仿宋" w:cs="仿宋"/>
          <w:sz w:val="24"/>
          <w:highlight w:val="none"/>
        </w:rPr>
        <w:t>。</w:t>
      </w:r>
      <w:bookmarkEnd w:id="50"/>
      <w:r>
        <w:rPr>
          <w:rFonts w:hint="eastAsia" w:ascii="仿宋" w:hAnsi="仿宋" w:eastAsia="仿宋" w:cs="仿宋"/>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480" w:firstLineChars="200"/>
        <w:rPr>
          <w:rFonts w:hint="eastAsia" w:ascii="仿宋" w:hAnsi="仿宋" w:eastAsia="仿宋" w:cs="仿宋"/>
          <w:sz w:val="24"/>
          <w:highlight w:val="none"/>
        </w:rPr>
      </w:pPr>
      <w:bookmarkStart w:id="51" w:name="OLE_LINK10"/>
      <w:r>
        <w:rPr>
          <w:rFonts w:hint="eastAsia" w:ascii="仿宋" w:hAnsi="仿宋" w:eastAsia="仿宋" w:cs="仿宋"/>
          <w:sz w:val="24"/>
          <w:highlight w:val="none"/>
        </w:rPr>
        <w:t>2.2.12供应商售后服务证明材料：</w:t>
      </w:r>
      <w:r>
        <w:rPr>
          <w:rFonts w:hint="eastAsia" w:ascii="仿宋" w:hAnsi="仿宋" w:eastAsia="仿宋" w:cs="仿宋"/>
          <w:b/>
          <w:bCs/>
          <w:sz w:val="24"/>
          <w:highlight w:val="none"/>
        </w:rPr>
        <w:t>由供应商根据本项目要求提供相应的售后服务证明材料或售后服务承诺；</w:t>
      </w:r>
    </w:p>
    <w:bookmarkEnd w:id="51"/>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2.2.16培训计划（如有）；</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2.2.17验收方案；</w:t>
      </w:r>
    </w:p>
    <w:p>
      <w:pPr>
        <w:snapToGrid w:val="0"/>
        <w:spacing w:line="440" w:lineRule="exact"/>
        <w:ind w:firstLine="480" w:firstLineChars="200"/>
        <w:rPr>
          <w:rFonts w:hint="eastAsia" w:ascii="仿宋" w:hAnsi="仿宋" w:eastAsia="仿宋" w:cs="仿宋"/>
          <w:sz w:val="24"/>
          <w:highlight w:val="none"/>
          <w:u w:val="wave"/>
        </w:rPr>
      </w:pPr>
      <w:r>
        <w:rPr>
          <w:rFonts w:hint="eastAsia" w:ascii="仿宋" w:hAnsi="仿宋" w:eastAsia="仿宋" w:cs="仿宋"/>
          <w:sz w:val="24"/>
          <w:highlight w:val="none"/>
        </w:rPr>
        <w:t>2.2.18</w:t>
      </w:r>
      <w:r>
        <w:rPr>
          <w:rFonts w:hint="eastAsia" w:ascii="仿宋" w:hAnsi="仿宋" w:eastAsia="仿宋" w:cs="仿宋"/>
          <w:sz w:val="24"/>
          <w:highlight w:val="none"/>
          <w:u w:val="wave"/>
        </w:rPr>
        <w:t>未尽事宜请各投标单位按评分标准和相对应标项相关要求制作；</w:t>
      </w:r>
    </w:p>
    <w:p>
      <w:pPr>
        <w:snapToGrid w:val="0"/>
        <w:spacing w:line="440" w:lineRule="exact"/>
        <w:ind w:firstLine="480" w:firstLineChars="200"/>
        <w:rPr>
          <w:highlight w:val="none"/>
          <w:lang w:val="zh-CN"/>
        </w:rPr>
      </w:pPr>
      <w:r>
        <w:rPr>
          <w:rFonts w:hint="eastAsia" w:ascii="仿宋" w:hAnsi="仿宋" w:eastAsia="仿宋" w:cs="仿宋"/>
          <w:sz w:val="24"/>
          <w:highlight w:val="none"/>
        </w:rPr>
        <w:t>2.2.19投标人需要说明的其他文件和说明（格式自拟）。</w:t>
      </w:r>
    </w:p>
    <w:p>
      <w:pPr>
        <w:snapToGrid w:val="0"/>
        <w:spacing w:line="440" w:lineRule="exact"/>
        <w:ind w:firstLine="482" w:firstLineChars="200"/>
        <w:rPr>
          <w:rFonts w:hint="eastAsia" w:ascii="仿宋" w:hAnsi="仿宋" w:eastAsia="仿宋" w:cs="仿宋"/>
          <w:b/>
          <w:sz w:val="24"/>
          <w:highlight w:val="none"/>
          <w:lang w:val="zh-CN"/>
        </w:rPr>
      </w:pPr>
      <w:r>
        <w:rPr>
          <w:rFonts w:hint="eastAsia" w:ascii="仿宋" w:hAnsi="仿宋" w:eastAsia="仿宋" w:cs="仿宋"/>
          <w:b/>
          <w:sz w:val="24"/>
          <w:highlight w:val="none"/>
          <w:lang w:val="zh-CN"/>
        </w:rPr>
        <w:t xml:space="preserve">2.3报价文件：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2.3.1开标一览表（报价表）；</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2.3.2中小企业声明函（如有）。</w:t>
      </w:r>
    </w:p>
    <w:p>
      <w:pPr>
        <w:snapToGrid w:val="0"/>
        <w:spacing w:line="440" w:lineRule="exact"/>
        <w:ind w:firstLine="480" w:firstLineChars="200"/>
        <w:rPr>
          <w:rFonts w:hint="eastAsia" w:ascii="仿宋" w:hAnsi="仿宋" w:eastAsia="仿宋" w:cs="仿宋"/>
          <w:sz w:val="24"/>
          <w:highlight w:val="none"/>
        </w:rPr>
      </w:pPr>
      <w:r>
        <w:rPr>
          <w:rFonts w:ascii="仿宋" w:hAnsi="仿宋" w:eastAsia="仿宋" w:cs="仿宋"/>
          <w:snapToGrid w:val="0"/>
          <w:sz w:val="24"/>
          <w:highlight w:val="none"/>
        </w:rPr>
        <w:t xml:space="preserve">2.3.3 </w:t>
      </w:r>
      <w:r>
        <w:rPr>
          <w:rFonts w:ascii="仿宋_GB2312" w:hAnsi="宋体" w:eastAsia="仿宋_GB2312" w:cs="仿宋_GB2312"/>
          <w:snapToGrid w:val="0"/>
          <w:sz w:val="24"/>
          <w:highlight w:val="none"/>
        </w:rPr>
        <w:t>残疾人福利性单位声明函</w:t>
      </w:r>
      <w:r>
        <w:rPr>
          <w:rFonts w:hint="eastAsia" w:ascii="仿宋_GB2312" w:hAnsi="宋体" w:eastAsia="仿宋_GB2312" w:cs="仿宋_GB2312"/>
          <w:snapToGrid w:val="0"/>
          <w:sz w:val="24"/>
          <w:highlight w:val="none"/>
        </w:rPr>
        <w:t>（如有）</w:t>
      </w:r>
    </w:p>
    <w:p>
      <w:pPr>
        <w:snapToGrid w:val="0"/>
        <w:spacing w:line="440" w:lineRule="exact"/>
        <w:ind w:firstLine="482" w:firstLineChars="200"/>
        <w:rPr>
          <w:rFonts w:hint="eastAsia" w:ascii="仿宋" w:hAnsi="仿宋" w:eastAsia="仿宋" w:cs="仿宋"/>
          <w:b/>
          <w:bCs/>
          <w:sz w:val="32"/>
          <w:highlight w:val="none"/>
        </w:rPr>
      </w:pPr>
      <w:r>
        <w:rPr>
          <w:rFonts w:ascii="仿宋" w:hAnsi="仿宋" w:eastAsia="仿宋" w:cs="仿宋"/>
          <w:b/>
          <w:bCs/>
          <w:sz w:val="24"/>
          <w:szCs w:val="20"/>
          <w:highlight w:val="none"/>
        </w:rPr>
        <w:t>3.投标报价</w:t>
      </w:r>
    </w:p>
    <w:p>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3.2招标文件未列明，而投标人认为必需的费用也需列入报价。</w:t>
      </w:r>
    </w:p>
    <w:p>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3.3投标报价只允许有一个报价，有选择的报价将不予接受（除指定外）。</w:t>
      </w:r>
    </w:p>
    <w:p>
      <w:pPr>
        <w:snapToGrid w:val="0"/>
        <w:spacing w:line="440" w:lineRule="exact"/>
        <w:ind w:firstLine="480" w:firstLineChars="200"/>
        <w:rPr>
          <w:rFonts w:hint="eastAsia" w:ascii="仿宋" w:hAnsi="仿宋" w:eastAsia="仿宋" w:cs="仿宋"/>
          <w:b/>
          <w:sz w:val="32"/>
          <w:highlight w:val="none"/>
        </w:rPr>
      </w:pPr>
      <w:r>
        <w:rPr>
          <w:rFonts w:ascii="仿宋" w:hAnsi="仿宋" w:eastAsia="仿宋" w:cs="仿宋"/>
          <w:sz w:val="24"/>
          <w:highlight w:val="none"/>
        </w:rPr>
        <w:t>3.4投标人提供虚假材料投标的，投标无效。</w:t>
      </w:r>
    </w:p>
    <w:p>
      <w:pPr>
        <w:pStyle w:val="131"/>
        <w:snapToGrid w:val="0"/>
        <w:spacing w:before="0" w:line="440" w:lineRule="exact"/>
        <w:ind w:firstLine="482"/>
        <w:outlineLvl w:val="0"/>
        <w:rPr>
          <w:rFonts w:hint="eastAsia" w:ascii="仿宋" w:hAnsi="仿宋" w:eastAsia="仿宋" w:cs="仿宋"/>
          <w:b/>
          <w:szCs w:val="24"/>
          <w:highlight w:val="none"/>
        </w:rPr>
      </w:pPr>
      <w:r>
        <w:rPr>
          <w:rFonts w:ascii="仿宋" w:hAnsi="仿宋" w:eastAsia="仿宋" w:cs="仿宋"/>
          <w:b/>
          <w:kern w:val="0"/>
          <w:szCs w:val="24"/>
          <w:highlight w:val="none"/>
        </w:rPr>
        <w:t>4.</w:t>
      </w:r>
      <w:r>
        <w:rPr>
          <w:rFonts w:hint="eastAsia" w:ascii="仿宋" w:hAnsi="仿宋" w:eastAsia="仿宋" w:cs="仿宋"/>
          <w:b/>
          <w:szCs w:val="24"/>
          <w:highlight w:val="none"/>
        </w:rPr>
        <w:t>投标文件的编制和</w:t>
      </w:r>
      <w:r>
        <w:rPr>
          <w:rFonts w:hint="eastAsia" w:ascii="仿宋" w:hAnsi="仿宋" w:eastAsia="仿宋" w:cs="仿宋"/>
          <w:b/>
          <w:highlight w:val="none"/>
        </w:rPr>
        <w:t>签署</w:t>
      </w:r>
    </w:p>
    <w:p>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4</w:t>
      </w:r>
      <w:r>
        <w:rPr>
          <w:rFonts w:hint="eastAsia" w:ascii="仿宋" w:hAnsi="仿宋" w:eastAsia="仿宋"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highlight w:val="none"/>
          <w:lang w:val="zh-CN"/>
        </w:rPr>
      </w:pPr>
      <w:r>
        <w:rPr>
          <w:rFonts w:ascii="仿宋" w:hAnsi="仿宋" w:eastAsia="仿宋" w:cs="仿宋"/>
          <w:sz w:val="24"/>
          <w:highlight w:val="none"/>
        </w:rPr>
        <w:t>4</w:t>
      </w:r>
      <w:r>
        <w:rPr>
          <w:rFonts w:hint="eastAsia" w:ascii="仿宋" w:hAnsi="仿宋" w:eastAsia="仿宋"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4.4</w:t>
      </w:r>
      <w:r>
        <w:rPr>
          <w:rFonts w:hint="eastAsia" w:ascii="仿宋" w:hAnsi="仿宋" w:eastAsia="仿宋"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4.5</w:t>
      </w:r>
      <w:r>
        <w:rPr>
          <w:rFonts w:hint="eastAsia" w:ascii="仿宋" w:hAnsi="仿宋" w:eastAsia="仿宋"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rPr>
        <w:t>4.6</w:t>
      </w:r>
      <w:r>
        <w:rPr>
          <w:rFonts w:hint="eastAsia" w:ascii="仿宋" w:hAnsi="仿宋" w:eastAsia="仿宋" w:cs="仿宋"/>
          <w:sz w:val="24"/>
          <w:highlight w:val="none"/>
          <w:lang w:val="zh-CN"/>
        </w:rPr>
        <w:t>招标文件对投标文件签署、盖章的要求适用于电子签名。</w:t>
      </w:r>
    </w:p>
    <w:p>
      <w:pPr>
        <w:pStyle w:val="131"/>
        <w:spacing w:before="0" w:line="440" w:lineRule="exact"/>
        <w:ind w:firstLine="482"/>
        <w:rPr>
          <w:rFonts w:hint="eastAsia" w:ascii="仿宋" w:hAnsi="仿宋" w:eastAsia="仿宋" w:cs="仿宋"/>
          <w:b/>
          <w:szCs w:val="24"/>
          <w:highlight w:val="none"/>
        </w:rPr>
      </w:pPr>
      <w:r>
        <w:rPr>
          <w:rFonts w:hint="eastAsia" w:ascii="仿宋" w:hAnsi="仿宋" w:eastAsia="仿宋" w:cs="仿宋"/>
          <w:b/>
          <w:szCs w:val="24"/>
          <w:highlight w:val="none"/>
        </w:rPr>
        <w:t>5</w:t>
      </w:r>
      <w:r>
        <w:rPr>
          <w:rFonts w:ascii="仿宋" w:hAnsi="仿宋" w:eastAsia="仿宋" w:cs="仿宋"/>
          <w:b/>
          <w:szCs w:val="24"/>
          <w:highlight w:val="none"/>
        </w:rPr>
        <w:t>.</w:t>
      </w:r>
      <w:r>
        <w:rPr>
          <w:rFonts w:hint="eastAsia" w:ascii="仿宋" w:hAnsi="仿宋" w:eastAsia="仿宋" w:cs="仿宋"/>
          <w:b/>
          <w:szCs w:val="24"/>
          <w:highlight w:val="none"/>
        </w:rPr>
        <w:t>投标文件的提交、补充、修改、撤回</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r>
        <w:rPr>
          <w:rFonts w:ascii="仿宋" w:hAnsi="仿宋" w:eastAsia="仿宋" w:cs="仿宋"/>
          <w:sz w:val="24"/>
          <w:highlight w:val="none"/>
        </w:rPr>
        <w:t>.</w:t>
      </w:r>
      <w:r>
        <w:rPr>
          <w:rFonts w:hint="eastAsia" w:ascii="仿宋" w:hAnsi="仿宋" w:eastAsia="仿宋" w:cs="仿宋"/>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hint="eastAsia" w:ascii="仿宋" w:hAnsi="仿宋" w:eastAsia="仿宋" w:cs="仿宋"/>
          <w:b/>
          <w:sz w:val="32"/>
          <w:highlight w:val="none"/>
        </w:rPr>
      </w:pPr>
      <w:r>
        <w:rPr>
          <w:rFonts w:hint="eastAsia" w:ascii="仿宋" w:hAnsi="仿宋" w:eastAsia="仿宋" w:cs="仿宋"/>
          <w:b/>
          <w:bCs/>
          <w:sz w:val="24"/>
          <w:highlight w:val="none"/>
        </w:rPr>
        <w:t>6</w:t>
      </w:r>
      <w:r>
        <w:rPr>
          <w:rFonts w:ascii="仿宋" w:hAnsi="仿宋" w:eastAsia="仿宋" w:cs="仿宋"/>
          <w:b/>
          <w:bCs/>
          <w:sz w:val="24"/>
          <w:highlight w:val="none"/>
        </w:rPr>
        <w:t>.投标有效期</w:t>
      </w:r>
    </w:p>
    <w:p>
      <w:pPr>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highlight w:val="none"/>
        </w:rPr>
      </w:pPr>
      <w:r>
        <w:rPr>
          <w:rFonts w:hint="eastAsia" w:ascii="仿宋" w:hAnsi="仿宋" w:eastAsia="仿宋" w:cs="仿宋"/>
          <w:sz w:val="24"/>
          <w:highlight w:val="none"/>
        </w:rPr>
        <w:t>6</w:t>
      </w:r>
      <w:r>
        <w:rPr>
          <w:rFonts w:ascii="仿宋" w:hAnsi="仿宋" w:eastAsia="仿宋" w:cs="仿宋"/>
          <w:sz w:val="24"/>
          <w:highlight w:val="none"/>
        </w:rPr>
        <w:t>.2投标文件合格投递后，自投标截止日期起，在投标有效期内有效。</w:t>
      </w:r>
    </w:p>
    <w:p>
      <w:pPr>
        <w:pStyle w:val="131"/>
        <w:spacing w:before="0" w:line="440" w:lineRule="exact"/>
        <w:ind w:firstLine="480"/>
        <w:rPr>
          <w:rFonts w:hint="eastAsia" w:ascii="仿宋" w:hAnsi="仿宋" w:eastAsia="仿宋" w:cs="仿宋"/>
          <w:b/>
          <w:sz w:val="32"/>
          <w:highlight w:val="none"/>
        </w:rPr>
      </w:pPr>
      <w:r>
        <w:rPr>
          <w:rFonts w:hint="eastAsia" w:ascii="仿宋" w:hAnsi="仿宋" w:eastAsia="仿宋" w:cs="仿宋"/>
          <w:szCs w:val="24"/>
          <w:highlight w:val="none"/>
        </w:rPr>
        <w:t>6</w:t>
      </w:r>
      <w:r>
        <w:rPr>
          <w:rFonts w:ascii="仿宋" w:hAnsi="仿宋" w:eastAsia="仿宋" w:cs="仿宋"/>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highlight w:val="none"/>
        </w:rPr>
      </w:pPr>
      <w:bookmarkStart w:id="52" w:name="_Toc91899903"/>
    </w:p>
    <w:bookmarkEnd w:id="46"/>
    <w:bookmarkEnd w:id="47"/>
    <w:bookmarkEnd w:id="52"/>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hint="eastAsia" w:ascii="仿宋" w:hAnsi="仿宋" w:eastAsia="仿宋" w:cs="仿宋"/>
          <w:b/>
          <w:sz w:val="32"/>
          <w:szCs w:val="32"/>
          <w:highlight w:val="none"/>
        </w:rPr>
      </w:pPr>
      <w:bookmarkStart w:id="53" w:name="第五部分"/>
      <w:bookmarkStart w:id="54" w:name="_Toc86217003"/>
      <w:r>
        <w:rPr>
          <w:rFonts w:hint="eastAsia" w:ascii="仿宋" w:hAnsi="仿宋" w:eastAsia="仿宋" w:cs="仿宋"/>
          <w:b/>
          <w:sz w:val="32"/>
          <w:szCs w:val="32"/>
          <w:highlight w:val="none"/>
        </w:rPr>
        <w:t>四、开标和评标</w:t>
      </w:r>
    </w:p>
    <w:p>
      <w:pPr>
        <w:keepNext w:val="0"/>
        <w:keepLines w:val="0"/>
        <w:pageBreakBefore w:val="0"/>
        <w:widowControl w:val="0"/>
        <w:kinsoku/>
        <w:wordWrap/>
        <w:overflowPunct/>
        <w:topLinePunct w:val="0"/>
        <w:autoSpaceDE/>
        <w:autoSpaceDN/>
        <w:bidi w:val="0"/>
        <w:adjustRightInd w:val="0"/>
        <w:snapToGrid w:val="0"/>
        <w:spacing w:line="300" w:lineRule="exact"/>
        <w:ind w:firstLine="482" w:firstLineChars="200"/>
        <w:jc w:val="left"/>
        <w:textAlignment w:val="auto"/>
        <w:rPr>
          <w:rFonts w:hint="eastAsia" w:ascii="仿宋" w:hAnsi="仿宋" w:eastAsia="仿宋" w:cs="仿宋"/>
          <w:b/>
          <w:sz w:val="24"/>
          <w:highlight w:val="none"/>
        </w:rPr>
      </w:pP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_GB2312"/>
          <w:color w:val="000000"/>
          <w:sz w:val="24"/>
          <w:highlight w:val="none"/>
        </w:rPr>
      </w:pPr>
      <w:r>
        <w:rPr>
          <w:rFonts w:hint="eastAsia" w:ascii="仿宋" w:eastAsia="仿宋" w:cs="仿宋"/>
          <w:sz w:val="24"/>
          <w:highlight w:val="none"/>
          <w:lang w:val="en-US" w:eastAsia="zh-CN"/>
        </w:rPr>
        <w:t>1.3</w:t>
      </w:r>
      <w:r>
        <w:rPr>
          <w:rFonts w:hint="eastAsia" w:ascii="仿宋" w:hAnsi="仿宋" w:eastAsia="仿宋" w:cs="仿宋_GB2312"/>
          <w:color w:val="000000"/>
          <w:sz w:val="24"/>
          <w:highlight w:val="none"/>
        </w:rPr>
        <w:t>采购人或采购代理机构对投标人进行</w:t>
      </w:r>
      <w:r>
        <w:rPr>
          <w:rFonts w:hint="eastAsia" w:ascii="仿宋" w:hAnsi="仿宋" w:eastAsia="仿宋" w:cs="仿宋_GB2312"/>
          <w:color w:val="000000"/>
          <w:sz w:val="24"/>
          <w:highlight w:val="none"/>
          <w:lang w:eastAsia="zh-CN"/>
        </w:rPr>
        <w:t>资格</w:t>
      </w:r>
      <w:r>
        <w:rPr>
          <w:rFonts w:hint="eastAsia" w:ascii="仿宋" w:hAnsi="仿宋" w:eastAsia="仿宋" w:cs="仿宋_GB2312"/>
          <w:color w:val="000000"/>
          <w:sz w:val="24"/>
          <w:highlight w:val="none"/>
        </w:rPr>
        <w:t>审查。</w:t>
      </w:r>
    </w:p>
    <w:p>
      <w:pPr>
        <w:keepNext w:val="0"/>
        <w:keepLines w:val="0"/>
        <w:pageBreakBefore w:val="0"/>
        <w:widowControl/>
        <w:kinsoku/>
        <w:wordWrap/>
        <w:overflowPunct/>
        <w:topLinePunct w:val="0"/>
        <w:autoSpaceDE/>
        <w:autoSpaceDN/>
        <w:bidi w:val="0"/>
        <w:adjustRightInd/>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1.4评标委员会对商务技术响应文件进行评审。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1.5主持人宣布商务技术得分及无效（废）投标情形（如有），公布经商务技术评审符合招标文件要求的投标人名单及其商务技术得分。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1.8主持人公布评标结果。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3.5评标委员会对投标文件的判定，只依据投标文件和招标文件内容本身，不依据任何外来证明。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highlight w:val="none"/>
        </w:rPr>
      </w:pPr>
      <w:r>
        <w:rPr>
          <w:rFonts w:hint="eastAsia" w:ascii="仿宋" w:hAnsi="仿宋" w:eastAsia="仿宋" w:cs="仿宋"/>
          <w:sz w:val="24"/>
          <w:highlight w:val="none"/>
          <w:lang w:val="en-US" w:eastAsia="zh-CN"/>
        </w:rPr>
        <w:t>3.6评标委员会不向落标方解释落标的原因。</w:t>
      </w:r>
    </w:p>
    <w:p>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6.6汇总（商务技术得分情况）。评标委员会各成员应当独立对每个投标人的商务技术文件进行评价，并汇总商务技术得分情况。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 报价审核。对符合采购需求且通过商务技术评审的投标人的报价的合理性、准确性等进行审查核实。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w:t>
      </w:r>
      <w:bookmarkStart w:id="55" w:name="OLE_LINK25"/>
      <w:bookmarkStart w:id="56" w:name="OLE_LINK32"/>
      <w:r>
        <w:rPr>
          <w:rFonts w:hint="eastAsia" w:ascii="仿宋" w:hAnsi="仿宋" w:eastAsia="仿宋" w:cs="仿宋"/>
          <w:color w:val="auto"/>
          <w:sz w:val="24"/>
          <w:highlight w:val="none"/>
          <w:lang w:val="en-US" w:eastAsia="zh-CN"/>
        </w:rPr>
        <w:t>评标委员会认为</w:t>
      </w:r>
      <w:bookmarkEnd w:id="55"/>
      <w:bookmarkStart w:id="57" w:name="OLE_LINK26"/>
      <w:r>
        <w:rPr>
          <w:rFonts w:hint="eastAsia" w:ascii="仿宋" w:hAnsi="仿宋" w:eastAsia="仿宋" w:cs="仿宋"/>
          <w:color w:val="auto"/>
          <w:sz w:val="24"/>
          <w:highlight w:val="none"/>
          <w:lang w:val="en-US" w:eastAsia="zh-CN"/>
        </w:rPr>
        <w:t>报价明显</w:t>
      </w:r>
      <w:bookmarkStart w:id="58" w:name="OLE_LINK27"/>
      <w:r>
        <w:rPr>
          <w:rFonts w:hint="eastAsia" w:ascii="仿宋" w:hAnsi="仿宋" w:eastAsia="仿宋" w:cs="仿宋"/>
          <w:color w:val="auto"/>
          <w:sz w:val="24"/>
          <w:highlight w:val="none"/>
          <w:lang w:val="en-US" w:eastAsia="zh-CN"/>
        </w:rPr>
        <w:t>低于其他通过</w:t>
      </w:r>
      <w:bookmarkEnd w:id="57"/>
      <w:r>
        <w:rPr>
          <w:rFonts w:hint="eastAsia" w:ascii="仿宋" w:hAnsi="仿宋" w:eastAsia="仿宋" w:cs="仿宋"/>
          <w:color w:val="auto"/>
          <w:sz w:val="24"/>
          <w:highlight w:val="none"/>
          <w:lang w:val="en-US" w:eastAsia="zh-CN"/>
        </w:rPr>
        <w:t>符合性审</w:t>
      </w:r>
      <w:bookmarkEnd w:id="5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bookmarkEnd w:id="56"/>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highlight w:val="none"/>
        </w:rPr>
      </w:pPr>
      <w:r>
        <w:rPr>
          <w:rFonts w:hint="eastAsia" w:ascii="仿宋" w:hAnsi="仿宋" w:eastAsia="仿宋" w:cs="仿宋"/>
          <w:b/>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highlight w:val="none"/>
        </w:rPr>
      </w:pPr>
      <w:r>
        <w:rPr>
          <w:rFonts w:hint="eastAsia" w:ascii="仿宋" w:hAnsi="仿宋" w:eastAsia="仿宋"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highlight w:val="none"/>
        </w:rPr>
        <w:t>8.10未按招标文件规定的格式填</w:t>
      </w:r>
      <w:r>
        <w:rPr>
          <w:rFonts w:hint="eastAsia" w:ascii="仿宋" w:hAnsi="仿宋" w:eastAsia="仿宋" w:cs="仿宋"/>
          <w:b/>
          <w:sz w:val="24"/>
          <w:szCs w:val="24"/>
          <w:highlight w:val="none"/>
        </w:rPr>
        <w:t>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8.11同一标的物或本次招标产品(服务)内的主要产品(重要组成部分)出现商务技术文件、报价文件中描述不一致或前后描述不一致</w:t>
      </w:r>
      <w:r>
        <w:rPr>
          <w:rFonts w:hint="eastAsia" w:ascii="仿宋" w:hAnsi="仿宋" w:eastAsia="仿宋" w:cs="仿宋"/>
          <w:b/>
          <w:sz w:val="24"/>
          <w:szCs w:val="24"/>
          <w:highlight w:val="none"/>
          <w:lang w:eastAsia="zh-CN"/>
        </w:rPr>
        <w:t>的</w:t>
      </w:r>
      <w:r>
        <w:rPr>
          <w:rFonts w:hint="eastAsia" w:ascii="仿宋" w:hAnsi="仿宋" w:eastAsia="仿宋" w:cs="仿宋"/>
          <w:b/>
          <w:sz w:val="24"/>
          <w:szCs w:val="24"/>
          <w:highlight w:val="none"/>
        </w:rPr>
        <w:t>，经评标委员会认定后为无法评审的；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highlight w:val="none"/>
        </w:rPr>
        <w:t>8.14评标委员会认为报价明显低于其他通过符合性审查投标人的报价，有可能影响产品质量或者不能诚信履约的，未能按要求提供书面说明或者提交相关证明材料，不能证明其报价合理性的;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8.16投标文件“商务技术文件”部分中出现</w:t>
      </w:r>
      <w:r>
        <w:rPr>
          <w:rFonts w:hint="eastAsia" w:ascii="仿宋" w:hAnsi="仿宋" w:eastAsia="仿宋" w:cs="仿宋"/>
          <w:b/>
          <w:bCs/>
          <w:sz w:val="24"/>
          <w:szCs w:val="24"/>
          <w:highlight w:val="none"/>
        </w:rPr>
        <w:t>《开标一览表》（报价表）</w:t>
      </w:r>
      <w:r>
        <w:rPr>
          <w:rFonts w:hint="eastAsia" w:ascii="仿宋" w:hAnsi="仿宋" w:eastAsia="仿宋" w:cs="仿宋"/>
          <w:b/>
          <w:sz w:val="24"/>
          <w:szCs w:val="24"/>
          <w:highlight w:val="none"/>
        </w:rPr>
        <w:t>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szCs w:val="24"/>
          <w:highlight w:val="none"/>
        </w:rPr>
      </w:pPr>
      <w:r>
        <w:rPr>
          <w:rFonts w:hint="eastAsia" w:ascii="仿宋" w:hAnsi="仿宋" w:eastAsia="仿宋" w:cs="仿宋"/>
          <w:b/>
          <w:sz w:val="24"/>
          <w:szCs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szCs w:val="24"/>
          <w:highlight w:val="none"/>
        </w:rPr>
        <w:t>8.18</w:t>
      </w:r>
      <w:r>
        <w:rPr>
          <w:rFonts w:hint="eastAsia" w:ascii="仿宋" w:hAnsi="仿宋" w:eastAsia="仿宋" w:cs="仿宋"/>
          <w:b/>
          <w:bCs/>
          <w:sz w:val="24"/>
          <w:szCs w:val="24"/>
          <w:highlight w:val="none"/>
        </w:rPr>
        <w:t>《开标一览表》（报价表）</w:t>
      </w:r>
      <w:r>
        <w:rPr>
          <w:rFonts w:hint="eastAsia" w:ascii="仿宋" w:hAnsi="仿宋" w:eastAsia="仿宋" w:cs="仿宋"/>
          <w:b/>
          <w:sz w:val="24"/>
          <w:szCs w:val="24"/>
          <w:highlight w:val="none"/>
        </w:rPr>
        <w:t>填写不完整或字迹不能辨认或有漏项的，经评标委</w:t>
      </w:r>
      <w:r>
        <w:rPr>
          <w:rFonts w:hint="eastAsia" w:ascii="仿宋" w:hAnsi="仿宋" w:eastAsia="仿宋" w:cs="仿宋"/>
          <w:b/>
          <w:sz w:val="24"/>
          <w:highlight w:val="none"/>
        </w:rPr>
        <w:t>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8.24投标文件出现不是唯一的、有选择性投标报价的；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val="0"/>
          <w:sz w:val="24"/>
          <w:highlight w:val="none"/>
        </w:rPr>
      </w:pPr>
      <w:bookmarkStart w:id="59" w:name="OLE_LINK17"/>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8.26参与同一个采购包(标段)的供应商存在下列情形之一且无法合理解释的，其投标(响应)文件无效:</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不同供应商的电子投标(响应)文件上传计算机的网卡MAC地址或硬盘序列号等硬件信息相同的;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不同供应商的投标(响应)文件的内容存在3处(含)以上错误一致的;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不同供应商联系人为同一人或不同联系人的联系电话一致的。</w:t>
      </w:r>
    </w:p>
    <w:bookmarkEnd w:id="59"/>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highlight w:val="none"/>
        </w:rPr>
      </w:pPr>
      <w:r>
        <w:rPr>
          <w:rFonts w:hint="eastAsia" w:ascii="仿宋" w:hAnsi="仿宋" w:eastAsia="仿宋" w:cs="仿宋"/>
          <w:b/>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b/>
          <w:sz w:val="32"/>
          <w:highlight w:val="none"/>
        </w:rPr>
      </w:pPr>
      <w:r>
        <w:rPr>
          <w:rFonts w:hint="eastAsia" w:ascii="仿宋" w:hAnsi="仿宋" w:eastAsia="仿宋" w:cs="仿宋"/>
          <w:kern w:val="0"/>
          <w:sz w:val="24"/>
          <w:highlight w:val="none"/>
        </w:rPr>
        <w:t>9.2 在评标期间，投标人企图影响</w:t>
      </w:r>
      <w:r>
        <w:rPr>
          <w:rFonts w:hint="eastAsia" w:ascii="仿宋" w:hAnsi="仿宋" w:eastAsia="仿宋" w:cs="仿宋"/>
          <w:sz w:val="24"/>
          <w:highlight w:val="none"/>
          <w:lang w:val="en-US" w:eastAsia="zh-CN"/>
        </w:rPr>
        <w:t>采购人</w:t>
      </w:r>
      <w:r>
        <w:rPr>
          <w:rFonts w:hint="eastAsia" w:ascii="仿宋" w:hAnsi="仿宋" w:eastAsia="仿宋" w:cs="仿宋"/>
          <w:kern w:val="0"/>
          <w:sz w:val="24"/>
          <w:highlight w:val="none"/>
        </w:rPr>
        <w:t>或</w:t>
      </w:r>
      <w:r>
        <w:rPr>
          <w:rFonts w:hint="eastAsia" w:ascii="仿宋" w:hAnsi="仿宋" w:eastAsia="仿宋" w:cs="仿宋"/>
          <w:sz w:val="24"/>
          <w:highlight w:val="none"/>
        </w:rPr>
        <w:t>评标委员会</w:t>
      </w:r>
      <w:r>
        <w:rPr>
          <w:rFonts w:hint="eastAsia" w:ascii="仿宋" w:hAnsi="仿宋" w:eastAsia="仿宋" w:cs="仿宋"/>
          <w:kern w:val="0"/>
          <w:sz w:val="24"/>
          <w:highlight w:val="none"/>
        </w:rPr>
        <w:t>的任何活动，都将导致投标被拒绝，并由其承担相应的法律责任。</w:t>
      </w:r>
    </w:p>
    <w:p>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highlight w:val="none"/>
        </w:rPr>
      </w:pPr>
      <w:bookmarkStart w:id="60" w:name="_Toc84325929"/>
      <w:bookmarkStart w:id="61" w:name="_Toc81372776"/>
      <w:bookmarkStart w:id="62" w:name="_Toc81372953"/>
    </w:p>
    <w:p>
      <w:pPr>
        <w:pStyle w:val="33"/>
        <w:keepNext w:val="0"/>
        <w:keepLines w:val="0"/>
        <w:pageBreakBefore w:val="0"/>
        <w:widowControl w:val="0"/>
        <w:kinsoku/>
        <w:wordWrap/>
        <w:overflowPunct/>
        <w:topLinePunct w:val="0"/>
        <w:autoSpaceDE/>
        <w:autoSpaceDN/>
        <w:bidi w:val="0"/>
        <w:adjustRightInd w:val="0"/>
        <w:spacing w:line="440" w:lineRule="exact"/>
        <w:ind w:firstLine="726"/>
        <w:jc w:val="center"/>
        <w:textAlignment w:val="auto"/>
        <w:rPr>
          <w:rFonts w:hint="eastAsia" w:ascii="仿宋" w:hAnsi="仿宋" w:eastAsia="仿宋" w:cs="仿宋"/>
          <w:b/>
          <w:sz w:val="32"/>
          <w:szCs w:val="32"/>
          <w:highlight w:val="none"/>
        </w:rPr>
      </w:pPr>
      <w:r>
        <w:rPr>
          <w:rFonts w:hint="eastAsia" w:ascii="仿宋" w:hAnsi="仿宋" w:eastAsia="仿宋" w:cs="仿宋"/>
          <w:b/>
          <w:sz w:val="32"/>
          <w:szCs w:val="32"/>
          <w:highlight w:val="none"/>
        </w:rPr>
        <w:t>五、授予合同</w:t>
      </w:r>
    </w:p>
    <w:bookmarkEnd w:id="60"/>
    <w:bookmarkEnd w:id="61"/>
    <w:bookmarkEnd w:id="62"/>
    <w:p>
      <w:pPr>
        <w:keepNext w:val="0"/>
        <w:keepLines w:val="0"/>
        <w:pageBreakBefore w:val="0"/>
        <w:widowControl w:val="0"/>
        <w:kinsoku/>
        <w:wordWrap/>
        <w:overflowPunct/>
        <w:topLinePunct w:val="0"/>
        <w:autoSpaceDE/>
        <w:autoSpaceDN/>
        <w:bidi w:val="0"/>
        <w:adjustRightInd w:val="0"/>
        <w:snapToGrid/>
        <w:spacing w:line="300" w:lineRule="exact"/>
        <w:ind w:firstLine="482" w:firstLineChars="200"/>
        <w:jc w:val="left"/>
        <w:textAlignment w:val="auto"/>
        <w:rPr>
          <w:rFonts w:hint="eastAsia" w:ascii="仿宋" w:hAnsi="仿宋" w:eastAsia="仿宋" w:cs="仿宋"/>
          <w:b/>
          <w:sz w:val="24"/>
          <w:highlight w:val="none"/>
        </w:rPr>
      </w:pPr>
    </w:p>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1.3实施方案最合理并对</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lang w:val="en-US" w:eastAsia="zh-CN"/>
        </w:rPr>
        <w:t>采购人</w:t>
      </w:r>
      <w:r>
        <w:rPr>
          <w:rFonts w:hint="eastAsia" w:ascii="仿宋" w:hAnsi="仿宋" w:eastAsia="仿宋" w:cs="仿宋"/>
          <w:sz w:val="24"/>
          <w:highlight w:val="none"/>
        </w:rPr>
        <w:t>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highlight w:val="none"/>
        </w:rPr>
      </w:pPr>
      <w:r>
        <w:rPr>
          <w:rFonts w:hint="eastAsia" w:ascii="仿宋" w:hAnsi="仿宋" w:eastAsia="仿宋" w:cs="仿宋"/>
          <w:b/>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3.1采购代理机构对中标结果在指定媒体（浙江政府采购网</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"http://www.zjzfcg.gov.cn"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http://zfcg.czt.zj.gov.cn/</w:t>
      </w:r>
      <w:r>
        <w:rPr>
          <w:rFonts w:hint="eastAsia" w:ascii="仿宋" w:hAnsi="仿宋" w:eastAsia="仿宋" w:cs="仿宋"/>
          <w:sz w:val="24"/>
          <w:highlight w:val="none"/>
        </w:rPr>
        <w:fldChar w:fldCharType="end"/>
      </w:r>
      <w:r>
        <w:rPr>
          <w:rFonts w:hint="eastAsia" w:ascii="仿宋" w:hAnsi="仿宋" w:eastAsia="仿宋" w:cs="仿宋"/>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zh-CN"/>
        </w:rPr>
      </w:pPr>
      <w:r>
        <w:rPr>
          <w:rFonts w:hint="eastAsia" w:ascii="仿宋" w:hAnsi="仿宋" w:eastAsia="仿宋"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3.3采购代理机构对中标结果不作任何说明和解释，也不回答任何提问。</w:t>
      </w:r>
    </w:p>
    <w:p>
      <w:pPr>
        <w:pStyle w:val="25"/>
        <w:pageBreakBefore w:val="0"/>
        <w:tabs>
          <w:tab w:val="left" w:pos="2760"/>
        </w:tabs>
        <w:kinsoku/>
        <w:wordWrap/>
        <w:overflowPunct/>
        <w:topLinePunct w:val="0"/>
        <w:autoSpaceDE/>
        <w:autoSpaceDN/>
        <w:bidi w:val="0"/>
        <w:spacing w:line="440" w:lineRule="exact"/>
        <w:ind w:firstLine="482"/>
        <w:textAlignment w:val="auto"/>
        <w:rPr>
          <w:rFonts w:hint="eastAsia" w:ascii="仿宋" w:hAnsi="仿宋" w:eastAsia="仿宋" w:cs="仿宋"/>
          <w:b/>
          <w:bCs/>
          <w:highlight w:val="none"/>
        </w:rPr>
      </w:pPr>
      <w:r>
        <w:rPr>
          <w:rFonts w:hint="eastAsia" w:ascii="仿宋" w:hAnsi="仿宋" w:eastAsia="仿宋" w:cs="仿宋"/>
          <w:b/>
          <w:bCs/>
          <w:highlight w:val="none"/>
          <w:lang w:val="en-US" w:eastAsia="zh-CN"/>
        </w:rPr>
        <w:t>4</w:t>
      </w:r>
      <w:r>
        <w:rPr>
          <w:rFonts w:hint="eastAsia" w:ascii="仿宋" w:hAnsi="仿宋" w:eastAsia="仿宋" w:cs="仿宋"/>
          <w:b/>
          <w:bCs/>
          <w:highlight w:val="none"/>
        </w:rPr>
        <w:t>.履约保证金</w:t>
      </w:r>
      <w:r>
        <w:rPr>
          <w:rFonts w:hint="eastAsia" w:ascii="仿宋" w:hAnsi="仿宋" w:eastAsia="仿宋" w:cs="仿宋"/>
          <w:b/>
          <w:bCs/>
          <w:highlight w:val="none"/>
        </w:rPr>
        <w:tab/>
      </w:r>
    </w:p>
    <w:p>
      <w:pPr>
        <w:pageBreakBefore w:val="0"/>
        <w:tabs>
          <w:tab w:val="left" w:pos="0"/>
        </w:tabs>
        <w:kinsoku/>
        <w:wordWrap/>
        <w:overflowPunct/>
        <w:topLinePunct w:val="0"/>
        <w:autoSpaceDE/>
        <w:autoSpaceDN/>
        <w:bidi w:val="0"/>
        <w:spacing w:line="440" w:lineRule="exact"/>
        <w:ind w:firstLine="482"/>
        <w:textAlignment w:val="auto"/>
        <w:rPr>
          <w:rFonts w:hint="eastAsia" w:ascii="仿宋" w:hAnsi="仿宋" w:eastAsia="仿宋" w:cs="仿宋"/>
          <w:sz w:val="24"/>
          <w:highlight w:val="none"/>
        </w:rPr>
      </w:pPr>
      <w:r>
        <w:rPr>
          <w:rFonts w:hint="eastAsia" w:ascii="仿宋" w:hAnsi="仿宋" w:eastAsia="仿宋" w:cs="仿宋"/>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highlight w:val="none"/>
        </w:rPr>
        <w:t>。履约保证金的数额不得超过政府采购合同金额的</w:t>
      </w:r>
      <w:r>
        <w:rPr>
          <w:rFonts w:hint="eastAsia" w:ascii="仿宋" w:hAnsi="仿宋" w:eastAsia="仿宋" w:cs="仿宋"/>
          <w:b w:val="0"/>
          <w:sz w:val="24"/>
          <w:highlight w:val="none"/>
          <w:lang w:val="en-US" w:eastAsia="zh-CN"/>
        </w:rPr>
        <w:t>0.5</w:t>
      </w:r>
      <w:r>
        <w:rPr>
          <w:rFonts w:hint="eastAsia" w:ascii="仿宋" w:hAnsi="仿宋" w:eastAsia="仿宋" w:cs="仿宋"/>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2"/>
        <w:pageBreakBefore w:val="0"/>
        <w:numPr>
          <w:ilvl w:val="0"/>
          <w:numId w:val="0"/>
        </w:numPr>
        <w:kinsoku/>
        <w:wordWrap/>
        <w:overflowPunct/>
        <w:topLinePunct w:val="0"/>
        <w:autoSpaceDE/>
        <w:autoSpaceDN/>
        <w:bidi w:val="0"/>
        <w:spacing w:line="440" w:lineRule="exact"/>
        <w:ind w:firstLine="482" w:firstLineChars="200"/>
        <w:textAlignment w:val="auto"/>
        <w:rPr>
          <w:rFonts w:hint="eastAsia" w:ascii="仿宋" w:hAnsi="仿宋" w:eastAsia="仿宋" w:cs="仿宋"/>
          <w:b/>
          <w:bCs/>
          <w:snapToGrid/>
          <w:kern w:val="2"/>
          <w:sz w:val="24"/>
          <w:szCs w:val="24"/>
          <w:highlight w:val="none"/>
          <w:lang w:val="en-US"/>
        </w:rPr>
      </w:pPr>
      <w:r>
        <w:rPr>
          <w:rFonts w:hint="eastAsia" w:ascii="仿宋" w:hAnsi="仿宋" w:eastAsia="仿宋" w:cs="仿宋"/>
          <w:b/>
          <w:bCs/>
          <w:snapToGrid/>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5"/>
        <w:pageBreakBefore w:val="0"/>
        <w:kinsoku/>
        <w:wordWrap/>
        <w:overflowPunct/>
        <w:topLinePunct w:val="0"/>
        <w:autoSpaceDE/>
        <w:autoSpaceDN/>
        <w:bidi w:val="0"/>
        <w:spacing w:line="440" w:lineRule="exact"/>
        <w:ind w:firstLine="482"/>
        <w:textAlignment w:val="auto"/>
        <w:rPr>
          <w:rFonts w:hint="eastAsia" w:ascii="仿宋" w:hAnsi="仿宋" w:eastAsia="仿宋" w:cs="仿宋"/>
          <w:b/>
          <w:bCs/>
          <w:highlight w:val="none"/>
        </w:rPr>
      </w:pPr>
      <w:bookmarkStart w:id="63" w:name="OLE_LINK35"/>
      <w:r>
        <w:rPr>
          <w:rFonts w:hint="eastAsia" w:ascii="仿宋" w:hAnsi="仿宋" w:eastAsia="仿宋" w:cs="仿宋"/>
          <w:b/>
          <w:bCs/>
          <w:sz w:val="24"/>
          <w:highlight w:val="none"/>
          <w:lang w:val="en-US" w:eastAsia="zh-CN"/>
        </w:rPr>
        <w:t>5.</w:t>
      </w:r>
      <w:r>
        <w:rPr>
          <w:rFonts w:hint="eastAsia" w:ascii="仿宋" w:hAnsi="仿宋" w:eastAsia="仿宋" w:cs="仿宋"/>
          <w:b/>
          <w:bCs/>
          <w:highlight w:val="none"/>
        </w:rPr>
        <w:t>预付款</w:t>
      </w:r>
    </w:p>
    <w:p>
      <w:pPr>
        <w:pageBreakBefore w:val="0"/>
        <w:kinsoku/>
        <w:wordWrap/>
        <w:overflowPunct/>
        <w:topLinePunct w:val="0"/>
        <w:autoSpaceDE/>
        <w:autoSpaceDN/>
        <w:bidi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sz w:val="24"/>
          <w:highlight w:val="none"/>
          <w:lang w:eastAsia="zh-CN"/>
        </w:rPr>
        <w:t>年度计划支付金额</w:t>
      </w:r>
      <w:r>
        <w:rPr>
          <w:rFonts w:hint="eastAsia" w:ascii="仿宋" w:hAnsi="仿宋" w:eastAsia="仿宋" w:cs="仿宋"/>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3"/>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6</w:t>
      </w:r>
      <w:r>
        <w:rPr>
          <w:rFonts w:hint="eastAsia" w:ascii="仿宋" w:hAnsi="仿宋" w:eastAsia="仿宋" w:cs="仿宋"/>
          <w:b/>
          <w:bCs/>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6.1中标人应当在中标通知书发出之日起30天内与采购人签订合同，自采购合同签订之日起2个工作日内，通过电子交易平台进行备案。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6.2如中标人为联合体的，由联合体成员各方法定代表人或其授权代表与采购人代表签订合同。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7</w:t>
      </w:r>
      <w:r>
        <w:rPr>
          <w:rFonts w:hint="eastAsia" w:ascii="仿宋" w:hAnsi="仿宋" w:eastAsia="仿宋" w:cs="仿宋"/>
          <w:b/>
          <w:bCs/>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bCs/>
          <w:sz w:val="24"/>
          <w:highlight w:val="none"/>
        </w:rPr>
      </w:pPr>
      <w:r>
        <w:rPr>
          <w:rFonts w:hint="eastAsia" w:ascii="仿宋" w:hAnsi="仿宋" w:eastAsia="仿宋" w:cs="仿宋"/>
          <w:b/>
          <w:bCs/>
          <w:sz w:val="24"/>
          <w:highlight w:val="none"/>
          <w:lang w:val="en-US" w:eastAsia="zh-CN"/>
        </w:rPr>
        <w:t>8</w:t>
      </w:r>
      <w:r>
        <w:rPr>
          <w:rFonts w:hint="eastAsia" w:ascii="仿宋" w:hAnsi="仿宋" w:eastAsia="仿宋" w:cs="仿宋"/>
          <w:b/>
          <w:bCs/>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keepNext w:val="0"/>
        <w:keepLines w:val="0"/>
        <w:pageBreakBefore w:val="0"/>
        <w:widowControl w:val="0"/>
        <w:kinsoku/>
        <w:wordWrap/>
        <w:overflowPunct/>
        <w:topLinePunct w:val="0"/>
        <w:autoSpaceDE/>
        <w:autoSpaceDN/>
        <w:bidi w:val="0"/>
        <w:adjustRightInd w:val="0"/>
        <w:snapToGrid/>
        <w:spacing w:line="300" w:lineRule="exact"/>
        <w:ind w:firstLine="482" w:firstLineChars="200"/>
        <w:jc w:val="left"/>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both"/>
        <w:textAlignment w:val="auto"/>
        <w:outlineLvl w:val="0"/>
        <w:rPr>
          <w:rFonts w:hint="eastAsia" w:ascii="仿宋" w:hAnsi="仿宋" w:eastAsia="仿宋" w:cs="仿宋"/>
          <w:b/>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kern w:val="0"/>
          <w:sz w:val="24"/>
          <w:highlight w:val="none"/>
        </w:rPr>
        <w:sectPr>
          <w:footerReference r:id="rId12" w:type="first"/>
          <w:footerReference r:id="rId11" w:type="default"/>
          <w:pgSz w:w="11906" w:h="16838"/>
          <w:pgMar w:top="1474" w:right="1814" w:bottom="1474" w:left="1814" w:header="851" w:footer="992" w:gutter="0"/>
          <w:pgNumType w:start="1"/>
          <w:cols w:space="720" w:num="1"/>
          <w:docGrid w:linePitch="312" w:charSpace="0"/>
        </w:sectPr>
      </w:pPr>
    </w:p>
    <w:p>
      <w:pPr>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40" w:lineRule="exact"/>
        <w:ind w:firstLine="480" w:firstLineChars="200"/>
        <w:rPr>
          <w:rFonts w:hint="eastAsia" w:ascii="仿宋" w:hAnsi="仿宋" w:eastAsia="仿宋" w:cs="仿宋"/>
          <w:b/>
          <w:bCs/>
          <w:sz w:val="28"/>
          <w:szCs w:val="28"/>
          <w:highlight w:val="none"/>
        </w:rPr>
      </w:pPr>
      <w:r>
        <w:rPr>
          <w:rFonts w:hint="eastAsia" w:ascii="仿宋" w:hAnsi="仿宋" w:eastAsia="仿宋" w:cs="仿宋"/>
          <w:sz w:val="24"/>
          <w:highlight w:val="none"/>
        </w:rPr>
        <w:t xml:space="preserve">                  </w:t>
      </w:r>
      <w:r>
        <w:rPr>
          <w:rFonts w:hint="eastAsia" w:ascii="仿宋" w:hAnsi="仿宋" w:eastAsia="仿宋" w:cs="仿宋"/>
          <w:b/>
          <w:bCs/>
          <w:sz w:val="28"/>
          <w:szCs w:val="28"/>
          <w:highlight w:val="none"/>
        </w:rPr>
        <w:t xml:space="preserve">  一、技术要求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1.1项目背景</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随着柯桥区经济社会的快速发展和城市化进程的加速推进，交通问题日益成为制约区域发展的重要瓶颈。交通拥堵、事故频发、管理效率低下等问题不仅影响了居民的出行体验，也对城市运行效率和整体形象造成了负面影响。在此背景下，绍兴市公安局柯桥区分局交通警察大队平安畅行工程应运而生，通过一系列创新举措，全面提升柯桥区交通系统的智能化、信息化和精细化管理水平。</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1.1.1交通信号系统设备联网联控补盲的迫切需求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桥区作为城市发展的核心区域，交通流量持续增长，对交通信号系统的控制能力和智能化水平提出了更高要求。然而，目前柯桥区内有53处交通信号机尚未实现联网联控，导致信号控制策略无法根据实时交通流量进行动态调整，交通拥堵现象频发。同时，现有信号灯系统缺乏智能故障检测预警功能，一旦信号灯出现故障，难以及时发现和修复，给交通管理带来极大挑战。因此，对信号系统设备进行联网联控补盲，实现全面联网和智能故障检测预警，成为提升柯桥区交通管理水平的当务之急。</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1.1.2移动信息服务的创新实践</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占道施工是城市交通管理中不可或缺的一部分，但柯桥区目前的占道施工信息管理存在不规范、不高效的问题。施工单位申报施工信息流程繁琐，交警部门审批管理效率低下，运营单位获取信息不及时，导致占道施工对交通的影响进一步加剧。为解决这一问题，柯桥区创新提出移动信息服务项目，通过开发施工快报小程序和施工信息运营管理平台，实现占道施工业务的数字化、信息化管理。该项目将为施工单位提供便捷的移动端施工申报渠道，为交警部门提供高效的审批管理工具，同时为运营单位提供信息获取与彩信制作等功能，全面提升占道施工业务的管理效率和服务质量。</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1.1.3智慧铁骑违停抓拍设备增补</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智慧铁骑违停抓拍设备是交警铁骑实现高效、精准、规范执法的核心装备，其核心作用主要体现在以下六个方面，紧密结合设备技术参数与实战需求：</w:t>
      </w:r>
      <w:r>
        <w:rPr>
          <w:rFonts w:ascii="Calibri" w:hAnsi="Calibri" w:eastAsia="仿宋" w:cs="Calibri"/>
          <w:sz w:val="24"/>
          <w:highlight w:val="none"/>
        </w:rPr>
        <w:t>①</w:t>
      </w:r>
      <w:r>
        <w:rPr>
          <w:rFonts w:hint="eastAsia" w:ascii="仿宋" w:hAnsi="仿宋" w:eastAsia="仿宋" w:cs="仿宋"/>
          <w:sz w:val="24"/>
          <w:highlight w:val="none"/>
        </w:rPr>
        <w:t>动态精准抓拍，提升违停处置效率；</w:t>
      </w:r>
      <w:r>
        <w:rPr>
          <w:rFonts w:ascii="Calibri" w:hAnsi="Calibri" w:eastAsia="仿宋" w:cs="Calibri"/>
          <w:sz w:val="24"/>
          <w:highlight w:val="none"/>
        </w:rPr>
        <w:t>②</w:t>
      </w:r>
      <w:r>
        <w:rPr>
          <w:rFonts w:hint="eastAsia" w:ascii="仿宋" w:hAnsi="仿宋" w:eastAsia="仿宋" w:cs="仿宋"/>
          <w:sz w:val="24"/>
          <w:highlight w:val="none"/>
        </w:rPr>
        <w:t>全证据链闭环，保障执法规范化；</w:t>
      </w:r>
      <w:r>
        <w:rPr>
          <w:rFonts w:ascii="Calibri" w:hAnsi="Calibri" w:eastAsia="仿宋" w:cs="Calibri"/>
          <w:sz w:val="24"/>
          <w:highlight w:val="none"/>
        </w:rPr>
        <w:t>③</w:t>
      </w:r>
      <w:r>
        <w:rPr>
          <w:rFonts w:hint="eastAsia" w:ascii="仿宋" w:hAnsi="仿宋" w:eastAsia="仿宋" w:cs="仿宋"/>
          <w:sz w:val="24"/>
          <w:highlight w:val="none"/>
        </w:rPr>
        <w:t>移动执法赋能，增强铁骑灵活性；</w:t>
      </w:r>
      <w:r>
        <w:rPr>
          <w:rFonts w:hint="eastAsia" w:ascii="Calibri" w:hAnsi="Calibri" w:eastAsia="仿宋" w:cs="Calibri"/>
          <w:sz w:val="24"/>
          <w:highlight w:val="none"/>
        </w:rPr>
        <w:t>④</w:t>
      </w:r>
      <w:r>
        <w:rPr>
          <w:rFonts w:hint="eastAsia" w:ascii="仿宋" w:hAnsi="仿宋" w:eastAsia="仿宋" w:cs="仿宋"/>
          <w:sz w:val="24"/>
          <w:highlight w:val="none"/>
        </w:rPr>
        <w:t>实时数据交互，构建指挥调度网络；</w:t>
      </w:r>
      <w:r>
        <w:rPr>
          <w:rFonts w:hint="eastAsia" w:ascii="微软雅黑" w:hAnsi="微软雅黑" w:eastAsia="微软雅黑" w:cs="微软雅黑"/>
          <w:sz w:val="24"/>
          <w:highlight w:val="none"/>
        </w:rPr>
        <w:t>⑤</w:t>
      </w:r>
      <w:r>
        <w:rPr>
          <w:rFonts w:hint="eastAsia" w:ascii="仿宋" w:hAnsi="仿宋" w:eastAsia="仿宋" w:cs="仿宋"/>
          <w:sz w:val="24"/>
          <w:highlight w:val="none"/>
        </w:rPr>
        <w:t>复杂场景适配，强化实战可靠性；</w:t>
      </w:r>
      <w:r>
        <w:rPr>
          <w:rFonts w:hint="eastAsia" w:ascii="微软雅黑" w:hAnsi="微软雅黑" w:eastAsia="微软雅黑" w:cs="微软雅黑"/>
          <w:sz w:val="24"/>
          <w:highlight w:val="none"/>
        </w:rPr>
        <w:t>⑥</w:t>
      </w:r>
      <w:r>
        <w:rPr>
          <w:rFonts w:hint="eastAsia" w:ascii="仿宋" w:hAnsi="仿宋" w:eastAsia="仿宋" w:cs="仿宋"/>
          <w:sz w:val="24"/>
          <w:highlight w:val="none"/>
        </w:rPr>
        <w:t>执法成本控制，提升装备性价比。</w:t>
      </w:r>
    </w:p>
    <w:p>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1.1.4 对接市级“应急救援一键护航”民生实事工程</w:t>
      </w:r>
    </w:p>
    <w:p>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对接市级</w:t>
      </w:r>
      <w:r>
        <w:rPr>
          <w:rFonts w:hint="default" w:ascii="仿宋" w:hAnsi="仿宋" w:eastAsia="仿宋" w:cs="仿宋"/>
          <w:sz w:val="24"/>
          <w:highlight w:val="none"/>
          <w:lang w:val="en-US" w:eastAsia="zh-CN"/>
        </w:rPr>
        <w:t>搭建</w:t>
      </w:r>
      <w:r>
        <w:rPr>
          <w:rFonts w:hint="eastAsia" w:ascii="仿宋" w:hAnsi="仿宋" w:eastAsia="仿宋" w:cs="仿宋"/>
          <w:sz w:val="24"/>
          <w:highlight w:val="none"/>
          <w:lang w:val="en-US" w:eastAsia="zh-CN"/>
        </w:rPr>
        <w:t>的</w:t>
      </w:r>
      <w:r>
        <w:rPr>
          <w:rFonts w:hint="default" w:ascii="仿宋" w:hAnsi="仿宋" w:eastAsia="仿宋" w:cs="仿宋"/>
          <w:sz w:val="24"/>
          <w:highlight w:val="none"/>
          <w:lang w:val="en-US" w:eastAsia="zh-CN"/>
        </w:rPr>
        <w:t>“</w:t>
      </w:r>
      <w:r>
        <w:rPr>
          <w:rFonts w:hint="eastAsia" w:ascii="仿宋" w:hAnsi="仿宋" w:eastAsia="仿宋" w:cs="仿宋"/>
          <w:sz w:val="24"/>
          <w:highlight w:val="none"/>
          <w:lang w:val="en-US" w:eastAsia="zh-CN"/>
        </w:rPr>
        <w:t>应急救援</w:t>
      </w:r>
      <w:r>
        <w:rPr>
          <w:rFonts w:hint="default" w:ascii="仿宋" w:hAnsi="仿宋" w:eastAsia="仿宋" w:cs="仿宋"/>
          <w:sz w:val="24"/>
          <w:highlight w:val="none"/>
          <w:lang w:val="en-US" w:eastAsia="zh-CN"/>
        </w:rPr>
        <w:t>一键护航”平台，为救护车、消防车等特种车辆，提供路径导航、绿波支持、沿途护航，提升群众生命财产安全保障效率，</w:t>
      </w:r>
      <w:r>
        <w:rPr>
          <w:rFonts w:hint="eastAsia" w:ascii="仿宋" w:hAnsi="仿宋" w:eastAsia="仿宋" w:cs="仿宋"/>
          <w:sz w:val="24"/>
          <w:highlight w:val="none"/>
          <w:lang w:val="en-US" w:eastAsia="zh-CN"/>
        </w:rPr>
        <w:t>配合完成</w:t>
      </w:r>
      <w:r>
        <w:rPr>
          <w:rFonts w:hint="default" w:ascii="仿宋" w:hAnsi="仿宋" w:eastAsia="仿宋" w:cs="仿宋"/>
          <w:sz w:val="24"/>
          <w:highlight w:val="none"/>
          <w:lang w:val="en-US" w:eastAsia="zh-CN"/>
        </w:rPr>
        <w:t>全年护航任务。</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综上所述，绍兴市公安局柯桥区分局交通警察大队平安畅行工程是在当前交通管理面临严峻挑战的背景下提出的，通过信号系统联网联控补盲升级和移动信息服务平台建设、智慧铁骑违停抓拍设备增补等创新举措，全面提升柯桥区交通系统的智能化、信息化和精细化管理水平，为区域经济社会发展提供有力支撑。</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1.2设计依据</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1.2.1交通部颁JTG B01─2014《公路工程技术标准》；</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1.2.2《道路交通标志和标线 第2部分：道路交通标志》（GB5768.2-2022）》</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1.2.3交通部颁JTG D81-2016《公路交通安全设施设计规范》；</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1.2.4《公路交通安全设施施工技术规范》（JTG F71-2006）；</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1.2.5《城市道路交通标志和标线设置规范》（GB 51038-2015）；</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1.2.6《浙江省城市道路机动车道宽度设计规范》（DB33/1057-200.8）；</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1.2.7《道路交通信号灯设置与安装规范》（GB14886-2016）；</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1.2.8《道路交通信号灯》（GB14887-2011）；</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1.2.9《城市道路交通设施设计规范》（GB50688-2011）；</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1.2.10《城市道路交叉口规划规范》（GB50647-2011）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1.2.11绍兴市城市道路指路标志及车道行驶方向标志设置细则（试行）</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1.3建设内容</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绍兴市公安局柯桥区分局交通警察大队平安畅行工程建设内容主要包括：</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1.3.1信号系统联网联控补盲升级</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柯桥区53处未联网信号机进行升级改造，实现道路交通信号控制机全面联网，能够接入柯桥交警大队现有Intellific交通信号控制平台，提升交通信号控制能力；同时，对路口进行智能信号灯改造，实现信号灯故障检测预警，实现包括红绿同亮故障、红黄同亮故障、黄绿同亮故障、灯盘缺亮、通讯故障等功能，并能实现自动检测及故障信息无线发送功能；同时在53个路口各新增1路高速球机视频监控，实现交通路口监控全覆盖。</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1.3.2移动信息服务平台</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移动信息服务平台重点针对柯桥区占道施工业务，通过开发施工快报小程序和施工信息运营管理平台，为施工单位提供便捷的移动端施工申报渠道，为交警部门提供高效的审批管理工具，同时为运营单位提供信息获取与彩信制作等功能，全面实现占道施工业务的数字化、信息化管理，提升管理效率与服务质量。</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1.3.3智慧铁骑违停抓拍设备增补</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本项目中采购智慧铁骑违停抓拍设备6套，通过 “精准抓拍 + 规范取证 + 实时联动” 的三位一体能力，解决了传统违停治理中 “发现难、取证难、效率低” 的痛点，成为铁骑 “动态巡逻、精准打击” 的核心装备，助力构建 “科技赋能、数据驱动” 的现代交通执法体系。</w:t>
      </w:r>
    </w:p>
    <w:p>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1.3.4对接市级“应急救援一键护航”民生实事工程</w:t>
      </w:r>
    </w:p>
    <w:p>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“应急救援一键护航”民生实事工程</w:t>
      </w:r>
      <w:r>
        <w:rPr>
          <w:rFonts w:hint="default" w:ascii="仿宋" w:hAnsi="仿宋" w:eastAsia="仿宋" w:cs="仿宋"/>
          <w:sz w:val="24"/>
          <w:highlight w:val="none"/>
          <w:lang w:val="en-US" w:eastAsia="zh-CN"/>
        </w:rPr>
        <w:t>为救护车、消防车等特种车辆，提供路径导航、绿波支持、沿途护航，提升群众生命财产安全保障效率</w:t>
      </w:r>
      <w:r>
        <w:rPr>
          <w:rFonts w:hint="eastAsia" w:ascii="仿宋" w:hAnsi="仿宋" w:eastAsia="仿宋" w:cs="仿宋"/>
          <w:sz w:val="24"/>
          <w:highlight w:val="none"/>
          <w:lang w:val="en-US" w:eastAsia="zh-CN"/>
        </w:rPr>
        <w:t>，本项目中需要采购相应的硬件设备用于对接市级平台。</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详细清单见“1.8设备清单”</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1.4总体思路</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根据系统的业务需求及柯桥交警系统现有的实际情况，本项目建设采用如下建设原则和策略：</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1.4.1科学规划原则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对本项目进行科学规划，做到本项目的规划与区公安发展规划相结合、与区智慧城市建设规划相结合、与市公安整体规划相结合，实现经济效益、社会效益、环境效益的统一。</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1.4.2资源共享原则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采用集约化方式建设该项目，充分利用各相关项目建设的软硬件资源，做到可复用设备最大化利用，可共用信息资源充分共享，充分节约政府投资。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1.4.3最小最大统一原则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数据是数字化改革的核心环节，在推进改革过程中，数据的收集、存储、使用、加工、传输、提供、公开等环节，需要消耗大量的人力物力，保护数据的安全也是一项繁重的工作。坚持数字采集、归集的适用性，这就是最小化原则。而最大化原则，主要是指数据的加工、使用要努力做到数据价值挖掘的最大化，通过各种算法的优化、与各种历史数据的比较、分析，探求数据蕴含的规律来有效指导实践。可见，坚持数据采集适度性和数字挖掘使用最大化，是最小最大统一原则最直接的体现。</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1.4.4系统迭代升级原则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所谓迭代，简单讲就是改变和升级原先的版本功能。从信息化建设开始到现在，随着数字技术的进步，不仅各种存量系统需要提升功能或者退出，各种增量、新上线系统也要不断完善。如行业产业大脑，随着上线后各种数据的打通、各种场景的导入、各种要求的提高，必然要求改进功能模块，实现系统迭代升级。</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1.4.5运行整体安全原则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现代信息社会，数据、网络的安全很大程度上也是经济社会的安全。尤其在数字技术进入新阶段，经济社会的内容几乎均以数字化形式储存、呈现和发布，海量隐私数据的实时同步导致更多不确定性。在数字化过程中中，道德准则、分配逻辑、组织形态等方面的规则体系制定，需要引起高度重视，并采取切实举措防范风险。</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1.5设计原则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针对本道路及交通条件，全线设置了较为完善的交通安全设施以保证交通的安全、畅通、舒适，并严格按照国家或地方相关法律法规规定及要求设计。本次设计主要包括:红绿灯、人行道信号灯、信号机改造及路口球型摄像机、机房端设备、大队平台以及相应的管线、安装、调试及运营商光纤链路租赁（二年）。</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构建科学的信号管理闭环，提升交通信号管理水平</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充分利用人工智能、大数据等技术，接入外场感知数据，构建认知、决策、控制、评价信号管控闭环，道路交通流状况及长时间的变化趋势和短期的震荡趋势，为重点路口、路段量身打造科学、合理、人性化的交通组织方案和有效的交通信号控制策路，建立路口基础档案，实现“一路口一策略”，高峰期以交通流均衡调控为重点，采用以出量进、缓进快出、限流分流、防止排队溢出等措施，主动均衡疏解交通压力，缓解交通流快速聚集造成的拥堵；平峰期以保障道路通行效率为重点，采用缩短周期、简化相位、感应控制、绿波协调等措施，实现绿灯损失最小、通行效率最大等目标，保障交通运行高效、有序；利用数智化赋能交通运维保障，对前端信号灯进行联网故障自检升级改造，以提升设备故障响应和恢复的能力，切实保障交通管控的效果。</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实现涉路施工项目管理数字化、精准化与智能化</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利用数据资源治理、大数据分析与应用等技术工具，对涉路施工审查业务流程进行数字化改造，提高流程处理的效率和准确性。通过人工智能技术对施工影响区域进行深度分析，精准筛选出受影响的驾驶员和居民群体，实现信息的精准推送。同时，运用数据分析预测施工区域的车流量变化，提前制定交通疏导方案，减少交通拥堵，并通过安全警示信息的推送，降低安全风险。</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1.6技术要求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1.6.1交通信号控制系统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1.6.1.1在交叉口增设智能信号控制器和信号灯设备，完善现有交通信号控制系统的功能，实现路口多时段控制、远程控制等功能。新建的智能信号控制系统，需接入大队信号控制平台，实现全线统一干线协调控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项目所建设前端视频设备均需符合GB-35114A级标准，均需与柯桥区交警大队现有视频综合应用管理平台对接，实现视频、车辆数据接入、转发、存储和调用等业务应用，支持违法和过车数据接入现有平台进行数据按时自动上传集指平台，实现对违法车辆的处罚应用。</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1.6.1.2基本要求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1.6.1.2.1道路交通信号灯(以下简称信号灯)的设置与安装,应确保信号灯能被机动车驾驶人、非机动车驾驶人和行人清晰观察到。</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1.6.1.2.2设置信号灯时 ,应配套设置相应的道路交通标志、标线和交通技术监控设备。</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1.6.1.2.3信号灯超出使用寿命或出现亮度不足、颜色失真和LED点阵缺失等现象影响使用时, 应及时维修。</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1.6.1.2.4选择的信号灯应符合GB14887的各项规定。</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1.6.1.2.5信号灯的组合形式应根据指挥对象、控制目标和控制方式等条件综合确定。</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1.6.1.2.6停止线与信号灯的距离大于70 m 或路段限速大于等于60 km/h,宜选用发光单元透光面尺寸为Φ400mm的信号灯。</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1.6.1.2.7在设置有方向指示信号灯的路口,方向指示信号灯所指挥的交通流与其他交通流的通行权不应冲突。</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1.6.1.2.8信号灯的发光单元有亮灯、闪烁和熄灭三种状态。</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1.6.1.2.9信号灯灯色转换应符合下列要求: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a)机动车信号灯:红→绿→黄→红,</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b)方向指示信号灯:红→绿→黄→红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c)掉头信号灯:红→绿→黄→红,</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d)非机动车信号灯:红→绿→黄→红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e)人行横道信号灯:红→绿→绿灯闪烁→红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f)车道信号灯:红色叉形→绿色向下箭头→红色叉形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g)道口信号灯:两个红灯交替闪烁→红灯熄灭→两个红灯交替闪烁,或红灯亮→红灯熄灭→红灯亮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1.6.1.2.10机动车信号灯、方向指示信号灯或非机动车信号灯设置的黄灯时长应为3 s~ 5 s。</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1.6.1.3存储要求：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利用原有存储在柯桥区交警大队机房内的磁盘阵列，视频监控存储时长（H.264）不低于一个月，人脸抓拍小图保存时长不低于一年，场景大图保存不低于六个月；车辆场景大图保存不低于一年，过车数据需永久保留；人体、非机动车图片存储不低于三个月。</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1.6.2交通监控系统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在项目建设范围内路口新建400万像素高速球型摄像机，完善交通监控的覆盖点，在中心对外场交通整体情况进行监视和把控。</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1.6.3交控管线</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通信管道用于敷设通信系统用光缆和电缆，可以采用管道敷设的方式。</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过路面及交叉口时，采用钢管预埋方式，埋设深度不小于0.7米。当直线穿管大于60米或管道埋设弯度较大时，则加设手孔井过渡。</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人行信号灯管线埋深0.4米，人行道铺装在水稳层以下；设置手孔井。</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1.6.4高速球机车辆抓拍功能</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1.6.4.1系统可以对通过监测点的每辆车进行记录，对每个卡口记录设备抓拍一幅高清图片，能清晰的辨别车辆号牌和车牌颜色等信息，并和地点、时间一并保存。</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1.6.4.2异常自动诊断及自动恢复功能</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系统具有异常自动诊断及自动恢复功能，传感器异常自动诊断及自动恢复功能。系统能自动检测到系统故障并恢复正常工作。 </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1.6.4.3防盗报警功能</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为了防止违法犯罪分子破坏，设备具备防盗检测功能，具有报警保护措施，当机箱门被非正常打开时，能够进行声音报警，阻吓犯罪分子，同时把报警信息传输给管理中心。</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1.6.5路口端设备及系统技术要求</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1.6.5.1主控机必须采用非Windows操作系统。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1.6.5.2主控机必须采用嵌入式模块化结构主机，为了减少震动对设备的影响，板卡之间的连接应使用栈接式结构，不得使用金手指式结构。电容器件宜采用钽电容，以增加设备的可靠性。</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1.6.5.3车检、红灯信号输入、补光控制等辅助控制设备必须采用专用控制模块，模块化设计，并具有机架结构。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1.6.5.4摄像机必须采用知名品牌的超宽动态范围的高灵敏度高清CCD摄像机，摄像机支持日夜转换模式，可根据外界环境照度的变化自动调节视频参数，白天夜间都得到合适的违法证据图片效果和红灯效果。</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1.6.5.5摄像机应有红灯电源同步控制功能，能保证闯红灯状态下车道对应红灯相位与全景摄像机保持同步，在抓拍图片中能清晰地分辨出交通信号灯的灯色。</w:t>
      </w:r>
    </w:p>
    <w:p>
      <w:pPr>
        <w:snapToGrid w:val="0"/>
        <w:spacing w:line="440" w:lineRule="exact"/>
        <w:ind w:firstLine="480" w:firstLineChars="200"/>
        <w:rPr>
          <w:rFonts w:hint="default" w:eastAsia="仿宋"/>
          <w:highlight w:val="none"/>
          <w:lang w:val="en-US" w:eastAsia="zh-CN"/>
        </w:rPr>
      </w:pPr>
      <w:r>
        <w:rPr>
          <w:rFonts w:hint="eastAsia" w:ascii="仿宋" w:hAnsi="仿宋" w:eastAsia="仿宋" w:cs="仿宋"/>
          <w:sz w:val="24"/>
          <w:highlight w:val="none"/>
        </w:rPr>
        <w:t>1.6.5.6能对经过受控路口的机动车辆进行逐一记录，抓拍全景和牌照两张图片，并进行牌照识别。</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1.7信号系统联网联控补盲升级</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1.7.1建设点位</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本次新建的53个路口交叉口信号控制机设备，实现交通信号控制机的联网联控与干线协调策略的下发。</w:t>
      </w:r>
    </w:p>
    <w:tbl>
      <w:tblPr>
        <w:tblStyle w:val="62"/>
        <w:tblW w:w="8494" w:type="dxa"/>
        <w:jc w:val="center"/>
        <w:tblInd w:w="0" w:type="dxa"/>
        <w:tblLayout w:type="fixed"/>
        <w:tblCellMar>
          <w:top w:w="0" w:type="dxa"/>
          <w:left w:w="108" w:type="dxa"/>
          <w:bottom w:w="0" w:type="dxa"/>
          <w:right w:w="108" w:type="dxa"/>
        </w:tblCellMar>
      </w:tblPr>
      <w:tblGrid>
        <w:gridCol w:w="1437"/>
        <w:gridCol w:w="7057"/>
      </w:tblGrid>
      <w:tr>
        <w:tblPrEx>
          <w:tblLayout w:type="fixed"/>
          <w:tblCellMar>
            <w:top w:w="0" w:type="dxa"/>
            <w:left w:w="108" w:type="dxa"/>
            <w:bottom w:w="0" w:type="dxa"/>
            <w:right w:w="108" w:type="dxa"/>
          </w:tblCellMar>
        </w:tblPrEx>
        <w:trPr>
          <w:trHeight w:val="352" w:hRule="atLeast"/>
          <w:jc w:val="center"/>
        </w:trPr>
        <w:tc>
          <w:tcPr>
            <w:tcW w:w="1437" w:type="dxa"/>
            <w:tcBorders>
              <w:top w:val="single" w:color="000000" w:sz="4" w:space="0"/>
              <w:left w:val="single" w:color="000000" w:sz="4" w:space="0"/>
              <w:bottom w:val="single" w:color="000000" w:sz="4" w:space="0"/>
              <w:right w:val="single" w:color="000000" w:sz="4" w:space="0"/>
            </w:tcBorders>
            <w:noWrap/>
            <w:vAlign w:val="center"/>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序号</w:t>
            </w:r>
          </w:p>
        </w:tc>
        <w:tc>
          <w:tcPr>
            <w:tcW w:w="7057" w:type="dxa"/>
            <w:tcBorders>
              <w:top w:val="single" w:color="000000" w:sz="4" w:space="0"/>
              <w:left w:val="nil"/>
              <w:bottom w:val="single" w:color="000000" w:sz="4" w:space="0"/>
              <w:right w:val="single" w:color="000000"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路口名称</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安昌路西开路路口</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下大线-安昌路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禹会路-鉴水路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中梅路-湖东路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文明路-未庄路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兴滨路-迎阳路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7</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兴滨路-滨知路（北九路）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8</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兴滨路-滨行路（北十路）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9</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兴滨路-支二路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兴滨路-滨虹路（北七路）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兴滨路-平海路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兴滨路-北五支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兴滨路-农垦路（北五路）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兴滨路-越江路（北四）</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东七路-滨诚路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16</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兴滨路-越北路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兴滨路-滨中路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兴滨路-新二路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19</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兴滨路-征海路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20</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柯海线-二线海塘</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兴滨路-二线海塘</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兴滨路东二路（北三支路）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湖安文化礼堂交叉口</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展滨路-迎阳路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25</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六号路-迎阳路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滨诚路-六号路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 滨诚路-展滨路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28</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汇滨路-滨诚路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29</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汇滨路-迎阳路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30</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汇滨路-七号路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展滨路-六号路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北十二路-兴滨路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柯海线-滨知路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34</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柯海线-支二路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35</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柯海线平海路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36</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柯海线越江路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37</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阳明南路-庄昌线</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38</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齐陶路-梅林支路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39</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齐陶路-步锦路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40</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环镇东路兴齐路（柯北交警中队路口）</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环镇东路屠东路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环镇东路齐马公路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环镇东路齐贤中心小学</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44</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集贤路-梅林支路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45</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中心路-联合路（兰亭草莓采摘园）</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46</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钱茅线-越王峥路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47</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杨江大道-紫薇路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48</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杨江大道-江塘路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49</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杭金衢连接线前江中路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50</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杭金衢连接线-荷塘月色</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51</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环镇南路与镇中路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52</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环镇东路与齐央公路</w:t>
            </w:r>
          </w:p>
        </w:tc>
      </w:tr>
      <w:tr>
        <w:tblPrEx>
          <w:tblLayout w:type="fixed"/>
          <w:tblCellMar>
            <w:top w:w="0" w:type="dxa"/>
            <w:left w:w="108" w:type="dxa"/>
            <w:bottom w:w="0" w:type="dxa"/>
            <w:right w:w="108" w:type="dxa"/>
          </w:tblCellMar>
        </w:tblPrEx>
        <w:trPr>
          <w:trHeight w:val="352" w:hRule="atLeast"/>
          <w:jc w:val="center"/>
        </w:trPr>
        <w:tc>
          <w:tcPr>
            <w:tcW w:w="1437" w:type="dxa"/>
            <w:tcBorders>
              <w:top w:val="nil"/>
              <w:left w:val="single" w:color="auto" w:sz="4" w:space="0"/>
              <w:bottom w:val="single" w:color="auto" w:sz="4" w:space="0"/>
              <w:right w:val="single" w:color="auto" w:sz="4" w:space="0"/>
            </w:tcBorders>
            <w:noWrap/>
            <w:vAlign w:val="bottom"/>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53</w:t>
            </w:r>
          </w:p>
        </w:tc>
        <w:tc>
          <w:tcPr>
            <w:tcW w:w="7057" w:type="dxa"/>
            <w:tcBorders>
              <w:top w:val="nil"/>
              <w:left w:val="nil"/>
              <w:bottom w:val="single" w:color="auto" w:sz="4" w:space="0"/>
              <w:right w:val="single" w:color="auto" w:sz="4" w:space="0"/>
            </w:tcBorders>
            <w:noWrap/>
          </w:tcPr>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兰亭街道办事处门口</w:t>
            </w:r>
          </w:p>
        </w:tc>
      </w:tr>
    </w:tbl>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1.8设备清单：</w:t>
      </w:r>
    </w:p>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1.8.1交通信号系统设备联网联控补盲</w:t>
      </w:r>
    </w:p>
    <w:tbl>
      <w:tblPr>
        <w:tblStyle w:val="62"/>
        <w:tblW w:w="9639" w:type="dxa"/>
        <w:jc w:val="center"/>
        <w:tblInd w:w="0" w:type="dxa"/>
        <w:tblLayout w:type="fixed"/>
        <w:tblCellMar>
          <w:top w:w="0" w:type="dxa"/>
          <w:left w:w="108" w:type="dxa"/>
          <w:bottom w:w="0" w:type="dxa"/>
          <w:right w:w="108" w:type="dxa"/>
        </w:tblCellMar>
      </w:tblPr>
      <w:tblGrid>
        <w:gridCol w:w="525"/>
        <w:gridCol w:w="1418"/>
        <w:gridCol w:w="5990"/>
        <w:gridCol w:w="709"/>
        <w:gridCol w:w="997"/>
      </w:tblGrid>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信号控制系统外场设备</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交通信号控制器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1.能接入柯桥交警大队现有Intellific交通信号控制平台；</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2.符合国家公共安全行业标准GB25280-2016《道路交通信号控制机》，防网络风暴，耐温等级A级，</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3.交通信号控制机软件支持NTCIP协议，符合度不低于99.5%，</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4.交通信号控制机应通过国家检测机构的环境适应性检测，</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5.信号机软件符合GB/T20999-2017《交通信号控制机与上位机间的数据通信协议》国家标准，符合度100%，达到C+级别，</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6.信号机信息发布接口应支持车路协同等车联网应用中的交通管控与信息服务平台、路侧车联网通信设备等之间的通信，符合GA/T 1743-2020《道路交通信号控制机信息发布接口规范》，</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7.当交通信号控制机主控单元发生故障时，信号机能继续执行定周期工作方式，无灭灯现象，</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8.信号机支持潮汐车道控制功能，支持定时切换、人工切换，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9.交通信号控制机防护等级达到IP65级别；</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10.32相位控制，相序可由用户设置；</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11.可控制16 组（44 路）信号灯，可扩展至72路可控硅输出，支持可变车道、待转屏等输出控制；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12.1 个 RS232，1 个 RS485，1 个 RJ45，1 个 usb 接口，用于通信、调试；</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13.支持地磁车检，视频车检、雷达车检，可扩展 8 路 485 协议接口和 1 路 RJ45 协议接口；</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14.支持接入4 路行人按钮检测器；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15.支持信号输出故障和流向冲突检测，并自动切换黄闪；</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16.具有手动控制，通过侧门操作面板查询方案信息，进行全红、黄闪、信号步进控制，实现现场的紧急控制；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17.具有本地 Web 版软件配置功能；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18.设有“节假日”、“星期”两种模式，可指定多于 32个特殊日配时方案，每天可设 32个时段和 32 种配时方案；</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19.支持带回检模块智能信号灯的接入，实现信号灯运行状态的实时监控及故障报警；</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支持多时段定时控制、人工手动控制、干线协调控制、指挥中心联网控制、区域协调控制等多种控制方式，可扩展至自适应优化控制；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台</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机动车左转箭头信号灯（含基础及预埋件等）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1.400mm箭头灯，带倒计时；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 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~+80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12.执行标准 信号灯GB14887-2011    倒计GAT508-2014；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89</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机动车圆盘信号灯（含基础及预埋件等）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1.400mm圆盘灯，带倒计时；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 +80℃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学习/触发/RS485通信（需定制）；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13.执行标准 信号灯GB14887-2011    倒计时GAT508-2014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179</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机动车右转箭头信号灯（含基础及预埋件等）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1.400mm箭头灯，带倒计时；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2.外壳材质 铝压铸  表面处理 黑色喷塑哑光；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3.工作电压 220VAC，50HZ   功率≤20W；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5.中心光强/亮度无图案：400cd&lt;红&lt;1000cd；400cd&lt;黄&lt;1000cd；400cd&lt;绿&lt;1000cd；有图案：红&gt;5000 cd/m2；黄&gt;5000 cd/m2；绿&gt;5000 cd/m2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6.LED 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7.可视距离 &gt;450米</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8.可视角度&gt;30°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9.工作温度 -40 ~+80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10.防护等级IP65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12.执行标准 信号灯GB14887-2011    倒计GAT508-2014；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13.内含故障回检功能模块及软件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14.含支架等；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15.信号灯具有故障检测及亮度自动调节等功能，灯盘内的LED串在故障时能实现自动检测及故障信息无线发送，控制中心能实现信号灯状态显示、故障报警等功能。</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一体式人行灯</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（含基础及预埋件等）</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1.面罩规格  300mm 面罩材质 玻璃</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2.遮沿帽檐  300帽檐长度33.3cm，0.45镀锌板黑色喷塑，接受下单时定制；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3.信号灯  303人行灯RX300-3-3810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4.工作电压  220VAC±20%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5.功率   ≤15W</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6.绝缘电阻  ≥500MΩ  介电强度  ≥1440V</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7.中心光强  150cd~400cd</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8.LED数量  人行灯：红60，绿55；倒计时：红98，绿98；</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9.LED直径  Φ5mm 单管电流 &lt; 18mA</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10.LED寿命  ≥70000小时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11.LED波长  红：625 nm绿：505 nm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12.可视距离  &gt;300m 可视角度 &gt;30°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13.倒计时   单8倒计时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14.计时方式  学习/触发/RS485通信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15.工作温度  -40~+85℃</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16.相对湿度  ≤93%</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17.保存环境  0~50℃，40~60%RH</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18.外壳材质  铝槽、不锈钢板1.2mm、底座10mm喷塑铁板，灰白哑光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19.外壳颜色  铝槽烟灰色，壳体米白，他色需定制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20.防护等级  IP53</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21.外形尺寸  3000mm×420mm×150mm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22.重量   ≤45KG</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23.毛重   ≤50KG</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24.参考标准  信号灯GB14887-2011  倒计时GAT508-2014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25.非RoHS</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26.申请按钮  2线干节点按钮，常开；背面正中间；（选配）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27.附加功能  可选配文字牌、过街声响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28.安装模式  竖装JC5024，基础固定（M16螺杆）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224</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400W高速球机（包括防雷模块及其他相关辅材）</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1.400万像素，内置40倍光学变焦镜头</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2.城市道路违章取证：违停、逆行、压线、连续变道、机占非、掉头、蛇形变道、变道、加塞</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3.交通数据采集：车流量、车道平均速度、车头时距、车头间距、车道时间占有率、车道空间占有率</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道路事件检测：支持抛洒物检测、行人检测、拥堵检测、路障检测、施工检测、交通事故检测、浓雾检测;当监控场景内交通事件触发报警后,可联动报警输出和上传图片;支持配置灵敏度、持续时间和过滤时间,支持布防多边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普通公路事件检测：支持坑槽检测、裂缝检测、龟裂检测，可上传报警及抓拍图片；支持配置16个检测场景；支持配置灵敏度、叠加目标框；当监控场景内，事件触发报警后，可联动报警输出和上传图片；智能交通事件检测和普通公路事件检测可根据智能布防时间自动切换，</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t xml:space="preserve">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6.支持快速聚焦功能，当样机跟踪行人或机动车等移动目标并录像时，单帧回放录像文件，每1帧画面均应清晰可见，</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7.可检测距离300米的违法停车事件，在配置违停检测时，具有布防车牌颜色（黄色车牌、蓝色车牌、绿色车牌和其他车牌）和布防车型（轿车、面包车、货车、客车和其他）的设置选项，</w:t>
            </w:r>
            <w:r>
              <w:rPr>
                <w:rFonts w:ascii="仿宋" w:hAnsi="仿宋" w:eastAsia="仿宋" w:cs="宋体"/>
                <w:color w:val="000000"/>
                <w:kern w:val="0"/>
                <w:sz w:val="24"/>
                <w:highlight w:val="none"/>
              </w:rPr>
              <w:t>投标时，在商务技术标中提供第三方检测机构出具的检测报告复印件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8.支持语音联动功能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9.支持违法数据上传FTP服务器、交通终端服务器、中心管理系统平台</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10.AI-ISP：采用去噪卷积神经网络将深度结构、学习算法用于图像去噪，最终使画面成像更新清晰，噪点更小图像更干净</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11.支持GB35114A级安全加密</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12.传感器类型：1/1.8" Progressive Scan CMOS</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13.最低照度：彩色：0.0005 Lux @ （F1.2，AGC ON）；黑白：0.0001 Lux @（F1.2，AGC ON）；0 Lux with IR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14.焦距：6-240mm，40倍光学变倍</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15.视场角：59.0-2.0度(广角-望远)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16.红外照射距离：最远可达250 m</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 xml:space="preserve">17.防补光过曝：支持 </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18.水平范围：360°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19.垂直范围：-20°-90°(自动翻转)</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20.主码流帧率分辨率：50 Hz：50fps（2688*1520,2560×1440，1920×1080，1280×960，1280×720）60 Hz：60 fps（2688*1520,  2560×1440，1920×1080，1280×960，1280×720）</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21.报警：7路报警输入，2路报警输出</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22.音频：1路音频输入，1路音频输出</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球机抱杆箱</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450*550*200，按图纸定制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信号灯拆除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原有信号灯拆除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277</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人行灯拆除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原有人行灯拆除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72</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人行灯立杆拆除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原有人行灯立杆拆除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72</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一体化人行灯及基础拆除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原有一体化人行灯及基础拆除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144</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信号机及基础拆除</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原有信号机及基础拆除</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施工围档及喷淋系统</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施工围档及喷淋系统</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安装调试</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包含信号机、信号灯设备相关调试工作</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47</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网络租赁</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每个路口提供一条至大队机房的千兆网络数据链路</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项</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53</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配套材料</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机动车信号控制线</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RVV4*1.5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19302</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行人信号控制线</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13120</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过行车路面穿线管</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顶管PE110*2管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590.3</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绿化带内穿线管1</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PE75*2管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2858.8</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沥青修复</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沥青0.12米*0.5米</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3696</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信号控制箱接入电缆1（距离不超过200M）</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3050</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信号控制箱接入电缆2（距离大于200M）</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RVV3*6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12240</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4芯光缆</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4芯层绞式室外光缆</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27070</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过路井</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550*550*800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366</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过路井</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400*400*400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个</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148</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破混凝土及修复</w:t>
            </w:r>
          </w:p>
        </w:tc>
        <w:tc>
          <w:tcPr>
            <w:tcW w:w="5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3210</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过非机动车道穿线管2</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SC80*2，2根作为一组计算单元</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米</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3210</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信号控制平台信创硬件</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应用服务器（信创）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CPU：(16C,70W,2.5GHz)</w:t>
            </w:r>
            <w:r>
              <w:rPr>
                <w:rFonts w:hint="eastAsia" w:ascii="仿宋" w:hAnsi="仿宋" w:eastAsia="仿宋" w:cs="宋体"/>
                <w:color w:val="000000"/>
                <w:kern w:val="0"/>
                <w:sz w:val="24"/>
                <w:highlight w:val="none"/>
                <w:lang w:val="en-US" w:eastAsia="zh-CN"/>
              </w:rPr>
              <w:t xml:space="preserve"> </w:t>
            </w:r>
            <w:r>
              <w:rPr>
                <w:rFonts w:hint="eastAsia" w:ascii="仿宋" w:hAnsi="仿宋" w:eastAsia="仿宋" w:cs="宋体"/>
                <w:color w:val="000000"/>
                <w:kern w:val="0"/>
                <w:sz w:val="24"/>
                <w:highlight w:val="none"/>
              </w:rPr>
              <w:t>*2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内存：32GB DDR4 *6</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硬盘：1.2T 10K SAS HDD * 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网络：双口千兆</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阵列卡：2G缓存RAID卡</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电源：800W电源*2</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硬件信创适配。</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台</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b/>
                <w:bCs/>
                <w:color w:val="000000"/>
                <w:kern w:val="0"/>
                <w:sz w:val="22"/>
                <w:szCs w:val="22"/>
                <w:highlight w:val="none"/>
              </w:rPr>
            </w:pPr>
            <w:r>
              <w:rPr>
                <w:rFonts w:hint="eastAsia" w:ascii="仿宋" w:hAnsi="仿宋" w:eastAsia="仿宋" w:cs="宋体"/>
                <w:b/>
                <w:bCs/>
                <w:color w:val="000000"/>
                <w:kern w:val="0"/>
                <w:sz w:val="22"/>
                <w:szCs w:val="22"/>
                <w:highlight w:val="none"/>
              </w:rPr>
              <w:t>信号控制平台信创软件</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国产数据库（信创）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1.信创国产关系型数据库软件，产品需兼容主流信创CPU芯片和主流信创操作系统。</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2.提供联机交易处理能力，能够通过TPC-C基准测试，测试中3000仓数据量性能达到200万tpmC以上。</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3.数据库在两亿条数据场景下，执行三次前后模糊查询操作，平均查询时间小于0.2毫秒。支持按照全库、用户(模式)和数据表多级的备份和恢复方式。</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4.支持位图索引，索引中存储了表中各列值的位图信息。当列取值少时，位图索引的占用空间要比B树索引更小。</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5.支持RANGE数据类型、表继承、Listen、Notify、混合分区等功能。</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为保护业务的连续性，数据库支持高可用集群部署架构，高可用组件，支持双机热备、读写分离、级联复制等数据可靠性的多重保障，对运行态实时保护，健康检查运行监控，一致性校验，控制文件多副本等多重保障。</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套</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w:t>
            </w:r>
          </w:p>
        </w:tc>
      </w:tr>
      <w:tr>
        <w:tblPrEx>
          <w:tblLayout w:type="fixed"/>
          <w:tblCellMar>
            <w:top w:w="0" w:type="dxa"/>
            <w:left w:w="108" w:type="dxa"/>
            <w:bottom w:w="0" w:type="dxa"/>
            <w:right w:w="108" w:type="dxa"/>
          </w:tblCellMar>
        </w:tblPrEx>
        <w:trPr>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国产操作系统（信创）</w:t>
            </w:r>
          </w:p>
        </w:tc>
        <w:tc>
          <w:tcPr>
            <w:tcW w:w="59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1.信创国产服务器操作系统，支持龙芯、兆芯、飞腾、鲲鹏、海光、申威等主流国产芯片；</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2.支持以中文引导的图形化界面安装，支持光盘、网络、U盘等多种安装途径安装系统，支持最小化安装；</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3.基础环境：集成Qt等开发框架；</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GCC 包含的 C、C++、Objective C、Objective C++ 和 Fortran等相应支持库（libstdc++、libgcj、...等）；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Python， Perl，Shell，Ruby，PHP 等脚本语言；</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支持 java 1.7 、1.8、11 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4.文件系统：默认使用 XFS，支持 EXT3、EXT4、GFS、GFS2 等</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5.存储支持：内置支持快速块设备作为慢速块设备缓存以加速 IO 支持 swap 压缩以减少 O 并提高性能支持 FCOE、iSCSI，支持将 Ceph 块设备视为常规磁盘设备条目，挂载 到某个目录并使用标准文件系统格式化，比如 XFS 或者 EXT4</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6.虚拟化支持：支持KVM 虚拟化内置单机虚拟化管理程序支持作为KVM、Xen、Hyper-V、ESXi 虚拟机</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7.常用应用支持：默认提供 apache http、ftp、DNS、DHCP、MariaDB、PostgreSQL、NFS、 Samba、LDAP 等应用</w:t>
            </w:r>
            <w:r>
              <w:rPr>
                <w:rFonts w:hint="eastAsia" w:ascii="仿宋" w:hAnsi="仿宋" w:eastAsia="仿宋" w:cs="宋体"/>
                <w:color w:val="000000"/>
                <w:kern w:val="0"/>
                <w:sz w:val="24"/>
                <w:highlight w:val="none"/>
              </w:rPr>
              <w:br w:type="textWrapping"/>
            </w:r>
            <w:r>
              <w:rPr>
                <w:rFonts w:hint="eastAsia" w:ascii="仿宋" w:hAnsi="仿宋" w:eastAsia="仿宋" w:cs="宋体"/>
                <w:color w:val="000000"/>
                <w:kern w:val="0"/>
                <w:sz w:val="24"/>
                <w:highlight w:val="none"/>
              </w:rPr>
              <w:t>8.远程服务；5*8小时电话、邮件等远程支持服务</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套</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2</w:t>
            </w:r>
          </w:p>
        </w:tc>
      </w:tr>
    </w:tbl>
    <w:p>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1.8.2移动信息服务平台</w:t>
      </w:r>
    </w:p>
    <w:tbl>
      <w:tblPr>
        <w:tblStyle w:val="62"/>
        <w:tblW w:w="9639" w:type="dxa"/>
        <w:jc w:val="center"/>
        <w:tblInd w:w="0" w:type="dxa"/>
        <w:tblLayout w:type="fixed"/>
        <w:tblCellMar>
          <w:top w:w="0" w:type="dxa"/>
          <w:left w:w="108" w:type="dxa"/>
          <w:bottom w:w="0" w:type="dxa"/>
          <w:right w:w="108" w:type="dxa"/>
        </w:tblCellMar>
      </w:tblPr>
      <w:tblGrid>
        <w:gridCol w:w="562"/>
        <w:gridCol w:w="1418"/>
        <w:gridCol w:w="6095"/>
        <w:gridCol w:w="851"/>
        <w:gridCol w:w="713"/>
      </w:tblGrid>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6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移动信息服务平台硬件</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视频网服务器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1.品牌：国产品牌</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2.采用ARM架构，服务器高度≤2U</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3.2颗主频:≥2.6GHz，≥32核 CPU</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4.≥2根内存，主频≥2933MHz，单条内存≥32GB.</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5.≥1T  SSD，支持16个2.5英寸NVMe SSD硬盘</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6.2个板载网络插卡，每个插卡支持4*GE电口或者4*10GE光口或者4*25GE光口</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7.配置RAID标卡，支持raid0.1.5.6.10</w:t>
            </w:r>
            <w:r>
              <w:rPr>
                <w:rFonts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8.最多8个PCIe 4.0 x8或3个PCIe 4.0 x16+ 2个PCIe 4.0 x8标准插槽</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9.</w:t>
            </w:r>
            <w:r>
              <w:rPr>
                <w:rFonts w:ascii="仿宋" w:hAnsi="仿宋" w:eastAsia="仿宋" w:cs="宋体"/>
                <w:color w:val="000000"/>
                <w:kern w:val="0"/>
                <w:sz w:val="22"/>
                <w:szCs w:val="22"/>
                <w:highlight w:val="none"/>
              </w:rPr>
              <w:t>RTX3090</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10.配置1+1冗余双电源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台</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b/>
                <w:bCs/>
                <w:color w:val="000000"/>
                <w:kern w:val="0"/>
                <w:sz w:val="24"/>
                <w:highlight w:val="none"/>
                <w:lang w:eastAsia="zh-CN"/>
              </w:rPr>
            </w:pPr>
            <w:r>
              <w:rPr>
                <w:rFonts w:hint="eastAsia" w:ascii="仿宋" w:hAnsi="仿宋" w:eastAsia="仿宋" w:cs="宋体"/>
                <w:b/>
                <w:bCs/>
                <w:color w:val="000000"/>
                <w:kern w:val="0"/>
                <w:sz w:val="24"/>
                <w:highlight w:val="none"/>
                <w:lang w:eastAsia="zh-CN"/>
              </w:rPr>
              <w:t>租赁云资源</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互联网云服务器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1.通用型云主机，CPU数量≥16，内存≥32GB，性能规格≥2.5Gbit/s</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2.系统盘容量≥50GB</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3.数据盘容量≥450GB</w:t>
            </w:r>
          </w:p>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4.IPv4带宽≥100Mbps</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云存储</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1.标准存储资源包 1T+500G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2.数据盘备份存储包 1TB</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日志审计</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1.基础版 最大日志源10个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2.云主机S4 8C32G 50G系统盘</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3.日志存储空间500G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4.管理带宽1M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云防火墙</w:t>
            </w:r>
            <w:r>
              <w:rPr>
                <w:rFonts w:hint="eastAsia" w:ascii="仿宋" w:hAnsi="仿宋" w:eastAsia="仿宋" w:cs="宋体"/>
                <w:color w:val="000000"/>
                <w:kern w:val="0"/>
                <w:sz w:val="24"/>
                <w:highlight w:val="none"/>
              </w:rPr>
              <w:br w:type="textWrapping"/>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1.独享版 最大防护带宽 100M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2.云主机S42C4G 90G系统盘</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3.管理带宽1M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4.主机安全服务 企业版 1个授权</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云数据专线</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4"/>
                <w:highlight w:val="none"/>
              </w:rPr>
            </w:pPr>
            <w:r>
              <w:rPr>
                <w:rFonts w:hint="eastAsia" w:ascii="仿宋" w:hAnsi="仿宋" w:eastAsia="仿宋" w:cs="宋体"/>
                <w:color w:val="000000"/>
                <w:kern w:val="0"/>
                <w:sz w:val="24"/>
                <w:highlight w:val="none"/>
              </w:rPr>
              <w:t>云数据专线，带宽10M</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年</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2</w:t>
            </w:r>
          </w:p>
        </w:tc>
      </w:tr>
      <w:tr>
        <w:tblPrEx>
          <w:tblLayout w:type="fixed"/>
          <w:tblCellMar>
            <w:top w:w="0" w:type="dxa"/>
            <w:left w:w="108" w:type="dxa"/>
            <w:bottom w:w="0" w:type="dxa"/>
            <w:right w:w="108" w:type="dxa"/>
          </w:tblCellMar>
        </w:tblPrEx>
        <w:trPr>
          <w:jc w:val="center"/>
        </w:trPr>
        <w:tc>
          <w:tcPr>
            <w:tcW w:w="96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移动信息服务平台开发</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用户注册</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支持用户输入手机号码进行注册。</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用户登录</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已注册用户能够通过输入用户名和手机号验证码进入小程序。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用户访问控制</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通过管理后台配置的用户角色权限对用户可访问页面进行判定，提供对应的功能和页面。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资料编辑</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资料编辑功能允许施工方在小程序中更新和编辑他们的个人资料，编辑后的资料将被自动保存并更新。</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信息录入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用户在申报施工项目时，需详细录入项目相关信息，包括项目名称、施工地点、施工时间等关键信息。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地图选点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用户在申报施工项目时，可通过地图选点功能在电子地图上选择施工位置。系统将调用地图服务API，提供地图浏览和选点功能，用户点击地图上的位置后，系统自动获取并填充经纬度等地理信息至申报表。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用户在申报施工项目时，支持以图片上传形式，提供相关图片资料，支持多张图片的批量上传。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附件上传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支持Word、Excel、PDF格式文件上传。</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查看申报要求</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用户在进行施工申报前，可查看申报流程说明、所需材料清单、申报标准等信息。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申报流程进度查询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申报信息功能允许施工方在小程序中查看和管理他们的施工申报。用户可以查看申报的详细记录，包括申报信息、审批进度和审批意见。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审批人员可以通过申报信息查看功能，浏览待审批施工申报的详细信息。系统提供筛选功能，帮助审批人员定位到具体的申报项目，并查看申报内容、附件。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前序节点审批信息查看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审批人员可以通过前序节点审批信息查看功能，了解当前处理流程前序节点的审批意见和审批操作。系统将按时间顺序将前序节点的审批信息进行排列，包括各个审批节点的审批操作和审批人员填写的审批意见。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彩信内容信息查看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审批人员可以在已提交彩信内容的节点查看彩信内容，彩信内容包括彩信标题、彩信内容和标绘的电子地图图片。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咨询属地中队意见</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审批人员可将流程流转至属地交警中队处，咨询施工地属地交警中队的意见，属地交警中队可查看施工申报的材料信息，并在流程中附上意见。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施工方案审核</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审批人员可以通过方案审核功能，对施工方案进行详细审查。系统提供方案审核界面，允许审批人员对方案的填写审核意见。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信息发布方案审批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审批人员可以通过信息发布方案审批功能，对信息发布方案做出最终审批决定。</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审批结果更新</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当审批人员批准施工申报时，系统将更新申报状态。当施工申报需要补充材料或不符合审批要求时，审批人员可以通过打回功能将申报退回给施工方。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审批记录查看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系统提供已审批的施工申报记录查看功能，允许审批人员查看历史审批的详细信息。该功能展示每个申报的审批结果、审批时间、审批人员等关键信息。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流程进度</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流程进度功能在平台中显示施工申报的详细审批流程和进度。</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流程详情查看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支持查看每个申报的审批步骤。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申报信息查看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用户可以在这里查看当前需制作彩信的施工申报的详细信息，包括项目名称、施工单位、施工地点和施工时间。</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彩信制作</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彩信制作功能中的文本信息录入模块允许用户编写和编辑施工相关的彩信内容。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地图标绘-点标绘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地图标绘功能中的点标绘模块允许用户在地图上进行点状标记，用于标识施工点位等重要地理位置。系统提供地图操作界面，支持点标记的添加和删除。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地图标绘-线标绘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线标绘模块允许用户在地图上绘制线路，系统提供线绘制工具，支持线路的添加和删除。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地图标绘-面标绘</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面标绘模块允许用户在地图上绘制区域，用于标识施工影响范围。系统提供区域绘制工具，支持区域的添加和删除。</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地图标绘-标绘管理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标绘管理功能允许用户对地图上的标绘元素进行管理，包括查询和删除标绘点、线、面。</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地图标绘-标绘转图片</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标绘转图片功能允许用户将地图上的标绘结果转换为图片格式。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图片上传功能允许用户上传与彩信制作相关的图片文件。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彩信审核</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系统提供彩信审核界面，支持审核意见的输入和彩信内容的修改，允许对彩信内容进行审核。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支持对用户账号进行创建、停用/启用、查询和修改，提供可视界面显示所有用户账号列表。</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组织管理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支持对组织进行创建、删除、查询和修改，提供可视界面显示组织信息。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角色管理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支持创建、删除、维护和分配用户角色。</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用户与组织绑定</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允许管理员将用户与组织建立关联关系，支持多个用户添加到同一个组织。</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用户与角色绑定</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支持用户与角色关联，实现用户自动继承角色的权限，支持批量操作，可将多个用户与同一个角色关联。</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流程基础信息配置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流程基础信息的配置，包括流程名称修改、流程描述修改等。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流程节点配置功能是平台中流程管理的关键部分。管理员可以通过该功能对施工申报审批流程的各个节点信息进行设置，允许管理员进行节点信息的修改。</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流程节点用户配置</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流程节点用户配置功能使管理员能够在平台中为每个流程节点分配审批用户。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施工审批流程定制开发</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按业主要求定制开发业务审批流程，包括流程的发起、提交、流转、打回、审批等功能。</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建设单位管理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支持管理建设单位的详细信息。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业主单位管理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支持管理业主单位的详细信息。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流量卡口数据接入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实现与交警卡口过车系统进行对接，为模块获取相应的卡口过车基础数据，收集车辆通过卡口的时间、位置和数量。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施工申报数据接入</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施工申报数据接入功能使模块能够从施工信息运营管理平台收集施工申报数据。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流量卡口数据治理</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完成基础数据的清洗、校验。</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施工地点地图打点</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支持结合施工申报数据，在地图上标记施工地点，提供地理位置信息。支持查看施工地点的名称和状态。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施工地点图层显示控制</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通过图层控制器分类控制点位显隐，支持按施工封路情况进行分类控制施工点位的显隐。</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施工地点周边搜索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可以以施工地点经纬度为圆心，设置一定的半径范围内对施工地点周边相关流量卡口和视频监控进行圈选。</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视频监控实时播放</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支持查看视频监控点位的实时视频，支持视频的全屏播放。</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实时流量数据查询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可查询流量卡口的近10分钟流量数据。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49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历史流量数据查询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可查询流量卡口历史一段时间内的流量数据，支持以趋势图的形式进行展示。</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施工地点组织方案查看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施工地点组织方案电子图功能使驾驶舱能够展示施工项目的路段封闭情况和建议绕行情况。该功能允许用户查看施工项目的方案附件。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施工项目详情查看</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施工申报审批详情查看功能允许驾驶舱用户查看施工申报的详细审批信息。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施工地点检索</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支持检索施工点位，确认检索点位后会自动弹出相关点位的详细信息。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申报情况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通过驾驶舱界面为用户提供了施工申报的汇总信息，包括申报数量、申报状态，以数字仪表盘的形式展示申报情况。</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审批情况功能使驾驶舱用户能够查看施工申报的审批汇总信息。</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发布情况</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发布情况使用户通过驾驶舱可查看当前施工发布信息相关统计数据。</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56</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信息内容制作服务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提供施工区域的地图标注（施工点位、封闭路段、绕行路线、信息说明），提供编辑文字、图片等彩信内容服务。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57</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效果评估专题服务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业务调研和指标更新：基于交警信息发布业务需求迭代，辅助交警业务部门，进行业务指标提炼和登记，保障填报指标的内容符合效果评估分析的要求，对指标统计口径进行更新，最终实现各指标一屏展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（2）指标调通和质量保障：根据指标梳理结果，获取需要接入效果评估专题模块的指标列表，并向交警部门申请相关数据的访问权限，同时申请获取对应指标接口描述文档。。</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目标客群识别模型及取数服务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基于大数据及AI技术，提供路段、区域定制OD分析模型、路段服务过境/通勤人群模型，出行方式划分模型，以及区域常驻（居住和工作)人口等专题模型，基于手机信令数据实时获取精准的目标客群。</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每个施工项目位置及交通组织方案都不一样，需要针对每个项目进行定制化建模取数，单次工作包括：</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 xml:space="preserve">（1）OD分析模型搭建及取数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根据施工路段区位及周边基站分布情况，选取经过施工路段的起终点作为O点及D点，一般为周边相邻路口。以O、D点为中心，框选500m范围内基站作为感知设备，以手机信令数据为数据源，提取经过施工路段的OD对，按照出行链分割逻辑，获取路段服务全方式客群。</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（2）路段服务过境/通勤人群模型搭建及取数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对海量的历史手机信令数据进行挖掘，计算出每个用户在施工路段的出行次数，并结合各类标签信息，按照客户指定的时空规则，对过境人群或通勤人群进行区分并进行实时取数。</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出行方式划分模型搭建及取数，出行方式分为私家车、网约车、出租车、公交车、地铁、步行等。在不同项目的交通组织方案中，由于施工方案、工期、周边土地利用类型及周边替代道路路况等条件的不同，占道施工主要分为封闭施工和半封闭施工，不同交通组织方案管控的客群出行方式也有差异。根据通话、APP使用、常驻地信息、轨迹长度、速度数据、途中消耗的流量数据、是否商务人士等信息做逻辑回归建模，每月更新出行方式划分模型，满足不同交通组织方案的精准取数需求。</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区域常驻（居住和工作)人口专题模型搭建及取数根据客户自定义绘制的区域，基于海量历史数据搭建人口专题模型，制定常驻居住及常驻工作人群时空分布规则并进行实时取数，可按照客户需求调整取数口径。</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（5）对接移动侧接口获取各类模型计算结果数据并进行页面展示。</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（6）监测上下游各接口状态、数据质量，处置应急事件。</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59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多媒体短信</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多媒体触达服务。提供一系列投放设定，包括投放日期、投放时间、附加号码等，按照精准的计划投放图文并茂的多媒体信息。2年包含50万条，每年至少25万条。</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二级等保</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使本系统通过信息安全等级保护二级测评，依据国家网络安全等级保护的相关规范和技术标准，对信息系统、数据资源、云计算、物联网、工业控制系统等对象的安全等级保护状况进行全面检测和评估。验证本系统是否达到预设的安全保护等级要求，确保信息系统的可用性、完整性和保密性不受威胁。</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61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部署实施</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系统部署安装实施费用，系统部署调测、初始化配置以及内外网数据同步。</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项</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w:t>
            </w:r>
          </w:p>
        </w:tc>
      </w:tr>
    </w:tbl>
    <w:p>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1.8.3智慧铁骑违停抓拍设备</w:t>
      </w:r>
    </w:p>
    <w:tbl>
      <w:tblPr>
        <w:tblStyle w:val="62"/>
        <w:tblW w:w="9639" w:type="dxa"/>
        <w:jc w:val="center"/>
        <w:tblInd w:w="0" w:type="dxa"/>
        <w:tblLayout w:type="fixed"/>
        <w:tblCellMar>
          <w:top w:w="0" w:type="dxa"/>
          <w:left w:w="108" w:type="dxa"/>
          <w:bottom w:w="0" w:type="dxa"/>
          <w:right w:w="108" w:type="dxa"/>
        </w:tblCellMar>
      </w:tblPr>
      <w:tblGrid>
        <w:gridCol w:w="562"/>
        <w:gridCol w:w="1418"/>
        <w:gridCol w:w="6095"/>
        <w:gridCol w:w="851"/>
        <w:gridCol w:w="713"/>
      </w:tblGrid>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序号</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设备名称</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设备型号及参数</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单位</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b/>
                <w:bCs/>
                <w:color w:val="000000"/>
                <w:kern w:val="0"/>
                <w:sz w:val="24"/>
                <w:highlight w:val="none"/>
              </w:rPr>
            </w:pPr>
            <w:r>
              <w:rPr>
                <w:rFonts w:hint="eastAsia" w:ascii="仿宋" w:hAnsi="仿宋" w:eastAsia="仿宋" w:cs="宋体"/>
                <w:b/>
                <w:bCs/>
                <w:color w:val="000000"/>
                <w:kern w:val="0"/>
                <w:sz w:val="24"/>
                <w:highlight w:val="none"/>
              </w:rPr>
              <w:t>数量</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智慧铁骑违停抓拍系统</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1.主处理器1个：主机：≥170mm×100mm×39.5mm；相机：26mm×26mm×52mm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2.网络：4G</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3.TF卡：≥128GB</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4.定位：GPS/北斗双模定位</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5.传感器类型：1/2.8”CMOS</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6.工作温度：主机：-20°C~60°C，相机：-30°C ~75°C</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7.工作湿度：5%~95%@40°C，无凝结</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8.电源：DC12V（DC5~17V宽幅供电）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9.功耗：15W MAX</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10.防水等级：相机：IP67</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11.焦距：4.1mm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12.视场角：水平：91°；垂直：75°</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13.光圈值：F2.0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14.摄像头不少于4个：支持上电默认录像，全天录像，循环录像。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15.WiFi直连，支持手机App预览、控制。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16.支持手动复位，手动抓图和标记录像。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17.支持断电保护，当断开设备电源，设备立即关闭存储介质，保护存储介质不损坏。</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18.板级存储介质，更适应车载移动场景，高频振动不损坏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19.超小尺寸，可嵌入式隐藏安装在摩托车前后部。</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20.宽幅DC5V~17V输入，满足摩托车接电要求。</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r>
        <w:tblPrEx>
          <w:tblLayout w:type="fixed"/>
          <w:tblCellMar>
            <w:top w:w="0" w:type="dxa"/>
            <w:left w:w="108" w:type="dxa"/>
            <w:bottom w:w="0" w:type="dxa"/>
            <w:right w:w="108" w:type="dxa"/>
          </w:tblCellMar>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蓝牙尾屏</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1.像素间距 LED像素点中心之间的间距3mm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2.像素配置 SMD1415(贴片型1415灯珠)</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3.颜色匹配(RGB) 3`6`1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4.模组尺寸(mm) ≥384x192mm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5.屏幕尺寸(毫米) ≥390(L)x200(W)x 43(H)</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6.屏幕分辨率(像素) ≥"128x 64 dpi"</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7.屏幕像素≥8192</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8.边框材质 Aluminum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9.箱体数量 1(W)x1(H)=1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10.显示分辨率(点) ≥128(W)x64(H)=8192</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11.像素密度(像素/m2)≥ 111099</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12.可调节亮度(cd/m2) ≥5500nits</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13.视角 Horizontal 110; Vertical 110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14.最佳观看距离(m) 4-50m</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15.通讯方式 APP\WIFI</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16.功放模块 50W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17.扫描方式 Constant Driving Current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18.LED驱动方式 16bit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19.灰度等级 4096</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20.屏幕供电电压 DC-12/24V最大功率 45W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21.平均功率 19W</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22.防水等级 IP65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r>
        <w:tblPrEx>
          <w:tblLayout w:type="fixed"/>
        </w:tblPrEx>
        <w:trPr>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3</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蓝牙通讯系统</w:t>
            </w:r>
          </w:p>
        </w:tc>
        <w:tc>
          <w:tcPr>
            <w:tcW w:w="60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left"/>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1.头盔蓝牙耳机1个：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2.蓝牙版本4.1支持协议HFP,HSP，SPP,PTT</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3.蓝牙射频等级：Class 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4.发射功率：16dB</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5.语音通信功能</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6.支持同时连接5路设备（对讲机，手机，喇叭喊话器,遥控器,智慧铁骑）语音通话</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7.DSP消噪防啸叫</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8.AGC自适应增益调整节电工作模式</w:t>
            </w:r>
            <w:r>
              <w:rPr>
                <w:rFonts w:ascii="仿宋" w:hAnsi="仿宋" w:eastAsia="仿宋" w:cs="宋体"/>
                <w:color w:val="000000"/>
                <w:kern w:val="0"/>
                <w:sz w:val="22"/>
                <w:szCs w:val="22"/>
                <w:highlight w:val="none"/>
              </w:rPr>
              <w:t xml:space="preserve">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9.</w:t>
            </w:r>
            <w:r>
              <w:rPr>
                <w:rFonts w:ascii="仿宋" w:hAnsi="仿宋" w:eastAsia="仿宋" w:cs="宋体"/>
                <w:color w:val="000000"/>
                <w:kern w:val="0"/>
                <w:sz w:val="22"/>
                <w:szCs w:val="22"/>
                <w:highlight w:val="none"/>
              </w:rPr>
              <w:t>操作使用距离：</w:t>
            </w:r>
            <w:r>
              <w:rPr>
                <w:rFonts w:hint="eastAsia" w:ascii="仿宋" w:hAnsi="仿宋" w:eastAsia="仿宋" w:cs="宋体"/>
                <w:color w:val="000000"/>
                <w:kern w:val="0"/>
                <w:sz w:val="22"/>
                <w:szCs w:val="22"/>
                <w:highlight w:val="none"/>
              </w:rPr>
              <w:t>≥</w:t>
            </w:r>
            <w:r>
              <w:rPr>
                <w:rFonts w:ascii="仿宋" w:hAnsi="仿宋" w:eastAsia="仿宋" w:cs="宋体"/>
                <w:color w:val="000000"/>
                <w:kern w:val="0"/>
                <w:sz w:val="22"/>
                <w:szCs w:val="22"/>
                <w:highlight w:val="none"/>
              </w:rPr>
              <w:t xml:space="preserve">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10.</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11.</w:t>
            </w:r>
            <w:r>
              <w:rPr>
                <w:rFonts w:ascii="仿宋" w:hAnsi="仿宋" w:eastAsia="仿宋" w:cs="宋体"/>
                <w:color w:val="000000"/>
                <w:kern w:val="0"/>
                <w:sz w:val="22"/>
                <w:szCs w:val="22"/>
                <w:highlight w:val="none"/>
              </w:rPr>
              <w:t xml:space="preserve">内置电池容量：550mAh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12.</w:t>
            </w:r>
            <w:r>
              <w:rPr>
                <w:rFonts w:ascii="仿宋" w:hAnsi="仿宋" w:eastAsia="仿宋" w:cs="宋体"/>
                <w:color w:val="000000"/>
                <w:kern w:val="0"/>
                <w:sz w:val="22"/>
                <w:szCs w:val="22"/>
                <w:highlight w:val="none"/>
              </w:rPr>
              <w:t>支持7号电池仓：3小时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13.</w:t>
            </w:r>
            <w:r>
              <w:rPr>
                <w:rFonts w:ascii="仿宋" w:hAnsi="仿宋" w:eastAsia="仿宋" w:cs="宋体"/>
                <w:color w:val="000000"/>
                <w:kern w:val="0"/>
                <w:sz w:val="22"/>
                <w:szCs w:val="22"/>
                <w:highlight w:val="none"/>
              </w:rPr>
              <w:t xml:space="preserve">外壳颜色   灰银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14.</w:t>
            </w:r>
            <w:r>
              <w:rPr>
                <w:rFonts w:ascii="仿宋" w:hAnsi="仿宋" w:eastAsia="仿宋" w:cs="宋体"/>
                <w:color w:val="000000"/>
                <w:kern w:val="0"/>
                <w:sz w:val="22"/>
                <w:szCs w:val="22"/>
                <w:highlight w:val="none"/>
              </w:rPr>
              <w:t>充电时间</w:t>
            </w:r>
            <w:r>
              <w:rPr>
                <w:rFonts w:hint="eastAsia" w:ascii="仿宋" w:hAnsi="仿宋" w:eastAsia="仿宋" w:cs="宋体"/>
                <w:color w:val="000000"/>
                <w:kern w:val="0"/>
                <w:sz w:val="22"/>
                <w:szCs w:val="22"/>
                <w:highlight w:val="none"/>
              </w:rPr>
              <w:t>:</w:t>
            </w:r>
            <w:r>
              <w:rPr>
                <w:rFonts w:ascii="仿宋" w:hAnsi="仿宋" w:eastAsia="仿宋" w:cs="宋体"/>
                <w:color w:val="000000"/>
                <w:kern w:val="0"/>
                <w:sz w:val="22"/>
                <w:szCs w:val="22"/>
                <w:highlight w:val="none"/>
              </w:rPr>
              <w:t xml:space="preserve">3小时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15.</w:t>
            </w:r>
            <w:r>
              <w:rPr>
                <w:rFonts w:ascii="仿宋" w:hAnsi="仿宋" w:eastAsia="仿宋" w:cs="宋体"/>
                <w:color w:val="000000"/>
                <w:kern w:val="0"/>
                <w:sz w:val="22"/>
                <w:szCs w:val="22"/>
                <w:highlight w:val="none"/>
              </w:rPr>
              <w:t>工作时间：</w:t>
            </w:r>
            <w:r>
              <w:rPr>
                <w:rFonts w:hint="eastAsia" w:ascii="仿宋" w:hAnsi="仿宋" w:eastAsia="仿宋" w:cs="宋体"/>
                <w:color w:val="000000"/>
                <w:kern w:val="0"/>
                <w:sz w:val="22"/>
                <w:szCs w:val="22"/>
                <w:highlight w:val="none"/>
              </w:rPr>
              <w:t>大于</w:t>
            </w:r>
            <w:r>
              <w:rPr>
                <w:rFonts w:ascii="仿宋" w:hAnsi="仿宋" w:eastAsia="仿宋" w:cs="宋体"/>
                <w:color w:val="000000"/>
                <w:kern w:val="0"/>
                <w:sz w:val="22"/>
                <w:szCs w:val="22"/>
                <w:highlight w:val="none"/>
              </w:rPr>
              <w:t xml:space="preserve">8小时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16.</w:t>
            </w:r>
            <w:r>
              <w:rPr>
                <w:rFonts w:ascii="仿宋" w:hAnsi="仿宋" w:eastAsia="仿宋" w:cs="宋体"/>
                <w:color w:val="000000"/>
                <w:kern w:val="0"/>
                <w:sz w:val="22"/>
                <w:szCs w:val="22"/>
                <w:highlight w:val="none"/>
              </w:rPr>
              <w:t>待机时间</w:t>
            </w:r>
            <w:r>
              <w:rPr>
                <w:rFonts w:hint="eastAsia" w:ascii="仿宋" w:hAnsi="仿宋" w:eastAsia="仿宋" w:cs="宋体"/>
                <w:color w:val="000000"/>
                <w:kern w:val="0"/>
                <w:sz w:val="22"/>
                <w:szCs w:val="22"/>
                <w:highlight w:val="none"/>
              </w:rPr>
              <w:t>大于</w:t>
            </w:r>
            <w:r>
              <w:rPr>
                <w:rFonts w:ascii="仿宋" w:hAnsi="仿宋" w:eastAsia="仿宋" w:cs="宋体"/>
                <w:color w:val="000000"/>
                <w:kern w:val="0"/>
                <w:sz w:val="22"/>
                <w:szCs w:val="22"/>
                <w:highlight w:val="none"/>
              </w:rPr>
              <w:t>60小时</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17.</w:t>
            </w:r>
            <w:r>
              <w:rPr>
                <w:rFonts w:ascii="仿宋" w:hAnsi="仿宋" w:eastAsia="仿宋" w:cs="宋体"/>
                <w:color w:val="000000"/>
                <w:kern w:val="0"/>
                <w:sz w:val="22"/>
                <w:szCs w:val="22"/>
                <w:highlight w:val="none"/>
              </w:rPr>
              <w:t xml:space="preserve">防水等级：IP66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18.</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19.</w:t>
            </w:r>
            <w:r>
              <w:rPr>
                <w:rFonts w:ascii="仿宋" w:hAnsi="仿宋" w:eastAsia="仿宋" w:cs="宋体"/>
                <w:color w:val="000000"/>
                <w:kern w:val="0"/>
                <w:sz w:val="22"/>
                <w:szCs w:val="22"/>
                <w:highlight w:val="none"/>
              </w:rPr>
              <w:t>存储温度: -25℃ ~60℃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20.</w:t>
            </w:r>
            <w:r>
              <w:rPr>
                <w:rFonts w:ascii="仿宋" w:hAnsi="仿宋" w:eastAsia="仿宋" w:cs="宋体"/>
                <w:color w:val="000000"/>
                <w:kern w:val="0"/>
                <w:sz w:val="22"/>
                <w:szCs w:val="22"/>
                <w:highlight w:val="none"/>
              </w:rPr>
              <w:t>对讲机适配器1个：</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21.</w:t>
            </w:r>
            <w:r>
              <w:rPr>
                <w:rFonts w:ascii="仿宋" w:hAnsi="仿宋" w:eastAsia="仿宋" w:cs="宋体"/>
                <w:color w:val="000000"/>
                <w:kern w:val="0"/>
                <w:sz w:val="22"/>
                <w:szCs w:val="22"/>
                <w:highlight w:val="none"/>
              </w:rPr>
              <w:t>蓝牙版本：4.1</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22.</w:t>
            </w:r>
            <w:r>
              <w:rPr>
                <w:rFonts w:ascii="仿宋" w:hAnsi="仿宋" w:eastAsia="仿宋" w:cs="宋体"/>
                <w:color w:val="000000"/>
                <w:kern w:val="0"/>
                <w:sz w:val="22"/>
                <w:szCs w:val="22"/>
                <w:highlight w:val="none"/>
              </w:rPr>
              <w:t xml:space="preserve">支持蓝牙协议：AGHFP, SPP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23.</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24.</w:t>
            </w:r>
            <w:r>
              <w:rPr>
                <w:rFonts w:ascii="仿宋" w:hAnsi="仿宋" w:eastAsia="仿宋" w:cs="宋体"/>
                <w:color w:val="000000"/>
                <w:kern w:val="0"/>
                <w:sz w:val="22"/>
                <w:szCs w:val="22"/>
                <w:highlight w:val="none"/>
              </w:rPr>
              <w:t xml:space="preserve">发射功率：4dB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25.</w:t>
            </w:r>
            <w:r>
              <w:rPr>
                <w:rFonts w:ascii="仿宋" w:hAnsi="仿宋" w:eastAsia="仿宋" w:cs="宋体"/>
                <w:color w:val="000000"/>
                <w:kern w:val="0"/>
                <w:sz w:val="22"/>
                <w:szCs w:val="22"/>
                <w:highlight w:val="none"/>
              </w:rPr>
              <w:t xml:space="preserve">操作使用距离：配蓝牙适配器10米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26.</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27.</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28.</w:t>
            </w:r>
            <w:r>
              <w:rPr>
                <w:rFonts w:ascii="仿宋" w:hAnsi="仿宋" w:eastAsia="仿宋" w:cs="宋体"/>
                <w:color w:val="000000"/>
                <w:kern w:val="0"/>
                <w:sz w:val="22"/>
                <w:szCs w:val="22"/>
                <w:highlight w:val="none"/>
              </w:rPr>
              <w:t xml:space="preserve">存储温度: -25℃ ~60℃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29.</w:t>
            </w:r>
            <w:r>
              <w:rPr>
                <w:rFonts w:ascii="仿宋" w:hAnsi="仿宋" w:eastAsia="仿宋" w:cs="宋体"/>
                <w:color w:val="000000"/>
                <w:kern w:val="0"/>
                <w:sz w:val="22"/>
                <w:szCs w:val="22"/>
                <w:highlight w:val="none"/>
              </w:rPr>
              <w:t>喇叭适配器1个：蓝牙版本: 3.0</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30.</w:t>
            </w:r>
            <w:r>
              <w:rPr>
                <w:rFonts w:ascii="仿宋" w:hAnsi="仿宋" w:eastAsia="仿宋" w:cs="宋体"/>
                <w:color w:val="000000"/>
                <w:kern w:val="0"/>
                <w:sz w:val="22"/>
                <w:szCs w:val="22"/>
                <w:highlight w:val="none"/>
              </w:rPr>
              <w:t xml:space="preserve">支持蓝牙协议：AGHFP,AGHSP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31.</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32.</w:t>
            </w:r>
            <w:r>
              <w:rPr>
                <w:rFonts w:ascii="仿宋" w:hAnsi="仿宋" w:eastAsia="仿宋" w:cs="宋体"/>
                <w:color w:val="000000"/>
                <w:kern w:val="0"/>
                <w:sz w:val="22"/>
                <w:szCs w:val="22"/>
                <w:highlight w:val="none"/>
              </w:rPr>
              <w:t xml:space="preserve">发射功率：4dB   灵敏度：-75dB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33.</w:t>
            </w:r>
            <w:r>
              <w:rPr>
                <w:rFonts w:ascii="仿宋" w:hAnsi="仿宋" w:eastAsia="仿宋" w:cs="宋体"/>
                <w:color w:val="000000"/>
                <w:kern w:val="0"/>
                <w:sz w:val="22"/>
                <w:szCs w:val="22"/>
                <w:highlight w:val="none"/>
              </w:rPr>
              <w:t>操作使用距离：配蓝牙耳机</w:t>
            </w:r>
            <w:r>
              <w:rPr>
                <w:rFonts w:hint="eastAsia" w:ascii="仿宋" w:hAnsi="仿宋" w:eastAsia="仿宋" w:cs="宋体"/>
                <w:color w:val="000000"/>
                <w:kern w:val="0"/>
                <w:sz w:val="22"/>
                <w:szCs w:val="22"/>
                <w:highlight w:val="none"/>
              </w:rPr>
              <w:t>大于等于</w:t>
            </w:r>
            <w:r>
              <w:rPr>
                <w:rFonts w:ascii="仿宋" w:hAnsi="仿宋" w:eastAsia="仿宋" w:cs="宋体"/>
                <w:color w:val="000000"/>
                <w:kern w:val="0"/>
                <w:sz w:val="22"/>
                <w:szCs w:val="22"/>
                <w:highlight w:val="none"/>
              </w:rPr>
              <w:t xml:space="preserve">50米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34.</w:t>
            </w:r>
            <w:r>
              <w:rPr>
                <w:rFonts w:ascii="仿宋" w:hAnsi="仿宋" w:eastAsia="仿宋" w:cs="宋体"/>
                <w:color w:val="000000"/>
                <w:kern w:val="0"/>
                <w:sz w:val="22"/>
                <w:szCs w:val="22"/>
                <w:highlight w:val="none"/>
              </w:rPr>
              <w:t xml:space="preserve">频率 :2.402~2.480GHz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35.</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36.</w:t>
            </w:r>
            <w:r>
              <w:rPr>
                <w:rFonts w:ascii="仿宋" w:hAnsi="仿宋" w:eastAsia="仿宋" w:cs="宋体"/>
                <w:color w:val="000000"/>
                <w:kern w:val="0"/>
                <w:sz w:val="22"/>
                <w:szCs w:val="22"/>
                <w:highlight w:val="none"/>
              </w:rPr>
              <w:t xml:space="preserve">存储温度: -25℃ ~60℃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37.</w:t>
            </w:r>
            <w:r>
              <w:rPr>
                <w:rFonts w:ascii="仿宋" w:hAnsi="仿宋" w:eastAsia="仿宋" w:cs="宋体"/>
                <w:color w:val="000000"/>
                <w:kern w:val="0"/>
                <w:sz w:val="22"/>
                <w:szCs w:val="22"/>
                <w:highlight w:val="none"/>
              </w:rPr>
              <w:t>连接摩托车上的12V供电自动充电。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38.</w:t>
            </w:r>
            <w:r>
              <w:rPr>
                <w:rFonts w:ascii="仿宋" w:hAnsi="仿宋" w:eastAsia="仿宋" w:cs="宋体"/>
                <w:color w:val="000000"/>
                <w:kern w:val="0"/>
                <w:sz w:val="22"/>
                <w:szCs w:val="22"/>
                <w:highlight w:val="none"/>
              </w:rPr>
              <w:t xml:space="preserve">遥控器1个：蓝牙标准2.1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39.</w:t>
            </w:r>
            <w:r>
              <w:rPr>
                <w:rFonts w:ascii="仿宋" w:hAnsi="仿宋" w:eastAsia="仿宋" w:cs="宋体"/>
                <w:color w:val="000000"/>
                <w:kern w:val="0"/>
                <w:sz w:val="22"/>
                <w:szCs w:val="22"/>
                <w:highlight w:val="none"/>
              </w:rPr>
              <w:t xml:space="preserve">蓝牙支持蓝牙协议： SPP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40.</w:t>
            </w:r>
            <w:r>
              <w:rPr>
                <w:rFonts w:ascii="仿宋" w:hAnsi="仿宋" w:eastAsia="仿宋" w:cs="宋体"/>
                <w:color w:val="000000"/>
                <w:kern w:val="0"/>
                <w:sz w:val="22"/>
                <w:szCs w:val="22"/>
                <w:highlight w:val="none"/>
              </w:rPr>
              <w:t xml:space="preserve">蓝牙射频等级：Class 2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41.</w:t>
            </w:r>
            <w:r>
              <w:rPr>
                <w:rFonts w:ascii="仿宋" w:hAnsi="仿宋" w:eastAsia="仿宋" w:cs="宋体"/>
                <w:color w:val="000000"/>
                <w:kern w:val="0"/>
                <w:sz w:val="22"/>
                <w:szCs w:val="22"/>
                <w:highlight w:val="none"/>
              </w:rPr>
              <w:t xml:space="preserve">发射功率：4dB   灵敏度：-75dB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42.</w:t>
            </w:r>
            <w:r>
              <w:rPr>
                <w:rFonts w:ascii="仿宋" w:hAnsi="仿宋" w:eastAsia="仿宋" w:cs="宋体"/>
                <w:color w:val="000000"/>
                <w:kern w:val="0"/>
                <w:sz w:val="22"/>
                <w:szCs w:val="22"/>
                <w:highlight w:val="none"/>
              </w:rPr>
              <w:t xml:space="preserve">操作使用距离：配蓝牙适配器10米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43.</w:t>
            </w:r>
            <w:r>
              <w:rPr>
                <w:rFonts w:ascii="仿宋" w:hAnsi="仿宋" w:eastAsia="仿宋" w:cs="宋体"/>
                <w:color w:val="000000"/>
                <w:kern w:val="0"/>
                <w:sz w:val="22"/>
                <w:szCs w:val="22"/>
                <w:highlight w:val="none"/>
              </w:rPr>
              <w:t xml:space="preserve">频率 :2.402~2.80GHz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44.</w:t>
            </w:r>
            <w:r>
              <w:rPr>
                <w:rFonts w:ascii="仿宋" w:hAnsi="仿宋" w:eastAsia="仿宋" w:cs="宋体"/>
                <w:color w:val="000000"/>
                <w:kern w:val="0"/>
                <w:sz w:val="22"/>
                <w:szCs w:val="22"/>
                <w:highlight w:val="none"/>
              </w:rPr>
              <w:t>通过摩托车取电，无需充电。</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45.</w:t>
            </w:r>
            <w:r>
              <w:rPr>
                <w:rFonts w:ascii="仿宋" w:hAnsi="仿宋" w:eastAsia="仿宋" w:cs="宋体"/>
                <w:color w:val="000000"/>
                <w:kern w:val="0"/>
                <w:sz w:val="22"/>
                <w:szCs w:val="22"/>
                <w:highlight w:val="none"/>
              </w:rPr>
              <w:t xml:space="preserve">操作温度: -15℃ ~45℃ </w:t>
            </w:r>
            <w:r>
              <w:rPr>
                <w:rFonts w:hint="eastAsia" w:ascii="仿宋" w:hAnsi="仿宋" w:eastAsia="仿宋" w:cs="宋体"/>
                <w:color w:val="000000"/>
                <w:kern w:val="0"/>
                <w:sz w:val="22"/>
                <w:szCs w:val="22"/>
                <w:highlight w:val="none"/>
              </w:rPr>
              <w:br w:type="textWrapping"/>
            </w:r>
            <w:r>
              <w:rPr>
                <w:rFonts w:hint="eastAsia" w:ascii="仿宋" w:hAnsi="仿宋" w:eastAsia="仿宋" w:cs="宋体"/>
                <w:color w:val="000000"/>
                <w:kern w:val="0"/>
                <w:sz w:val="22"/>
                <w:szCs w:val="22"/>
                <w:highlight w:val="none"/>
              </w:rPr>
              <w:t>46.</w:t>
            </w:r>
            <w:r>
              <w:rPr>
                <w:rFonts w:ascii="仿宋" w:hAnsi="仿宋" w:eastAsia="仿宋" w:cs="宋体"/>
                <w:color w:val="000000"/>
                <w:kern w:val="0"/>
                <w:sz w:val="22"/>
                <w:szCs w:val="22"/>
                <w:highlight w:val="none"/>
              </w:rPr>
              <w:t>存储温度: -25℃ ~60℃</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套</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jc w:val="center"/>
              <w:rPr>
                <w:rFonts w:hint="eastAsia"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6</w:t>
            </w:r>
          </w:p>
        </w:tc>
      </w:tr>
    </w:tbl>
    <w:p>
      <w:pPr>
        <w:pStyle w:val="85"/>
        <w:ind w:firstLine="0"/>
        <w:jc w:val="center"/>
        <w:rPr>
          <w:rFonts w:hint="eastAsia"/>
          <w:b/>
          <w:bCs/>
          <w:highlight w:val="none"/>
        </w:rPr>
      </w:pPr>
    </w:p>
    <w:p>
      <w:pPr>
        <w:pStyle w:val="85"/>
        <w:ind w:firstLine="0"/>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1.8.4对接市级“应急救援一键护航”民生实事工程</w:t>
      </w:r>
    </w:p>
    <w:tbl>
      <w:tblPr>
        <w:tblStyle w:val="62"/>
        <w:tblW w:w="963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9"/>
        <w:gridCol w:w="1281"/>
        <w:gridCol w:w="5833"/>
        <w:gridCol w:w="992"/>
        <w:gridCol w:w="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序号</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名称</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highlight w:val="none"/>
                <w:u w:val="none"/>
              </w:rPr>
            </w:pPr>
            <w:r>
              <w:rPr>
                <w:rFonts w:hint="eastAsia" w:ascii="仿宋" w:hAnsi="仿宋" w:eastAsia="仿宋" w:cs="仿宋"/>
                <w:b/>
                <w:bCs/>
                <w:i w:val="0"/>
                <w:iCs w:val="0"/>
                <w:color w:val="000000"/>
                <w:kern w:val="0"/>
                <w:sz w:val="21"/>
                <w:szCs w:val="21"/>
                <w:highlight w:val="none"/>
                <w:u w:val="none"/>
                <w:lang w:val="en-US" w:eastAsia="zh-CN" w:bidi="ar"/>
              </w:rPr>
              <w:t>技术参数</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高性能融合节点</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1、国产化 CPU≥2颗，单颗核心数≥48，主频≥2.6Ghz；支持双线程；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2、内存：≥384GB；</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3、OS盘：≥2*960GB SATA SSD；</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4、数据盘：≥6*6.4TB U.2企业级 NVMe SSD</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5、网口：≥2个10Gb Ethernet Ports（带模块），≥4个1Gb Ethernet Ports；</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6、HCA卡：≥1张双端口 100Gb PCIe3.0 x16 Infiniband HCA卡；HCA线：≥2米 100Gb 铜质 Infiniband线缆（含两端QSFP接口模块）；</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7、支持BIOS启动过程中的所有 POST CODE以明文化的形式展示在界面中，方便快速定位POST阶段故障（故障位置和类型）。</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8、BMC管理软件联合管理支持对周边伙伴设备的直接管理，简化服务器的统一管理，联合管理数量不低于200台。</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9、BMC可以根据主机系统工作负载的特性，自动推荐和场景匹配的性能模板。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10、可通过BMC配置BIOS性能模板，实现利用预配置的配置文件，自动调优内部服务器资源，系统内置10种以上场景模板。</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11、软件要求自主可控，应为完全自主研发品牌，投标产品代码自主率（“自研代码量比例”）大于95%。</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12、产品需支持内存置换，使用智能调度算法，在内存交换分区状态下，支持采用内存压缩技术，并可以自由选择内存压缩类别，实现内存数据在主机内存和主机硬盘之间的智能调度，以实现资源利用率与性能的最优模式。</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14、支持监控虚拟机应用进程的运行状态，在虚拟机应用进程故障时，重启应用或重启虚拟机，最小化业务宕机时间，支持Tomcat、IIS、HTTP Server、SharePoint等应用。</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15、对系统中的盘磨损度进行检测，当盘达到设计的磨损度后增大到该盘的IO数量，使其提前磨损并重构，避免系统中多个盘寿命同时到达后同时故障。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16、配置项目所需要的节点授权，软硬年三年原厂保修服务</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台</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0" w:hRule="atLeast"/>
          <w:jc w:val="center"/>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信创数据库云平台</w:t>
            </w:r>
          </w:p>
        </w:tc>
        <w:tc>
          <w:tcPr>
            <w:tcW w:w="58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1、License许可：节点使用授权</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 xml:space="preserve">2、产品功能：提供多类型数据库RDS服务； </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3、同时读写性能：在2 路国产处理器平台上，在不低于100张千万行表的数据规模下，持续10分钟的不低于1000并发操作，数据库的批量数据插入的事务处理能力可达120万次/秒、删除数据的事务处理能力可达60万次/秒、单值数据查询的事务处理能力可达100万次/秒；内存引擎：内置内存引擎，是真正的存储引擎，可通过简单操作语句直接指定是否启用内存引擎。</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4、能够实现在同一个实例中内存表跟普通的磁盘表的共存，内存表支持ACID、常用SQL语法、存储过程和数据持久化等功能特性，针对内存表支持使用PREPARE语句的查询原生编译；坏块修复：数据库内核自带检测坏块函数，可以通过该内置函数发现丢失的文件，并可以修复。对于表文件损坏的页面，不借助任何工具通过备库自动修复；</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5、防篡改及权限控制：支持账本数据库，具备数据防篡改能力，确保数据库的变更能被有效记录、查询和追溯；针对系统管理员用户，可实现表对象的控制权和访问权分离，即系统管理员用户包括初始用户在未经其授权前，只能进行控制操作（DROP、ALTER、TRUNCATE），无权进行INSERT、DELETE、SELECT、UPDATE、COPY、GRANT、REVOKE、ALTER OWNER等访问操作</w:t>
            </w:r>
            <w:r>
              <w:rPr>
                <w:rFonts w:hint="eastAsia" w:ascii="仿宋" w:hAnsi="仿宋" w:eastAsia="仿宋" w:cs="仿宋"/>
                <w:i w:val="0"/>
                <w:iCs w:val="0"/>
                <w:color w:val="000000"/>
                <w:kern w:val="0"/>
                <w:sz w:val="21"/>
                <w:szCs w:val="21"/>
                <w:highlight w:val="none"/>
                <w:u w:val="none"/>
                <w:lang w:val="en-US" w:eastAsia="zh-CN" w:bidi="ar"/>
              </w:rPr>
              <w:br w:type="textWrapping"/>
            </w:r>
            <w:r>
              <w:rPr>
                <w:rFonts w:hint="eastAsia" w:ascii="仿宋" w:hAnsi="仿宋" w:eastAsia="仿宋" w:cs="仿宋"/>
                <w:i w:val="0"/>
                <w:iCs w:val="0"/>
                <w:color w:val="000000"/>
                <w:kern w:val="0"/>
                <w:sz w:val="21"/>
                <w:szCs w:val="21"/>
                <w:highlight w:val="none"/>
                <w:u w:val="none"/>
                <w:lang w:val="en-US" w:eastAsia="zh-CN" w:bidi="ar"/>
              </w:rPr>
              <w:t>6、原厂三年技术支持服务</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套</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w:t>
            </w:r>
          </w:p>
        </w:tc>
      </w:tr>
    </w:tbl>
    <w:p>
      <w:pPr>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br w:type="page"/>
      </w:r>
    </w:p>
    <w:p>
      <w:pPr>
        <w:snapToGrid w:val="0"/>
        <w:spacing w:line="440" w:lineRule="exact"/>
        <w:ind w:firstLine="3373" w:firstLineChars="1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二、商务要求</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2.1供货期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合同签订后</w:t>
      </w:r>
      <w:r>
        <w:rPr>
          <w:rFonts w:hint="eastAsia" w:ascii="仿宋" w:hAnsi="仿宋" w:eastAsia="仿宋" w:cs="仿宋"/>
          <w:sz w:val="24"/>
          <w:highlight w:val="none"/>
          <w:lang w:val="en-US" w:eastAsia="zh-CN"/>
        </w:rPr>
        <w:t>三</w:t>
      </w:r>
      <w:r>
        <w:rPr>
          <w:rFonts w:hint="eastAsia" w:ascii="仿宋" w:hAnsi="仿宋" w:eastAsia="仿宋" w:cs="仿宋"/>
          <w:sz w:val="24"/>
          <w:highlight w:val="none"/>
        </w:rPr>
        <w:t>个月内完成所有项目建设</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建设完成后需试运行一个月，后</w:t>
      </w:r>
      <w:r>
        <w:rPr>
          <w:rFonts w:hint="eastAsia" w:ascii="仿宋" w:hAnsi="仿宋" w:eastAsia="仿宋" w:cs="仿宋"/>
          <w:sz w:val="24"/>
          <w:highlight w:val="none"/>
        </w:rPr>
        <w:t>提交验收。</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2.2供货地点</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柯桥区指定地点</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2.3质保期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本次采购质保期为2年，以竣工验收合格之日起计。</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2.4售后服务</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中标人需提供专门的售后服务电话，中标人在接到采购人通知后，2小时内做出响应，4小时内派人赴现场处理问题。24小时内无法修复的，中标人需提供无偿提供备机或备用零件供采购人使用。</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2.5付款方式</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2.5.1货物部分：</w:t>
      </w:r>
      <w:r>
        <w:rPr>
          <w:rFonts w:hint="eastAsia" w:ascii="仿宋" w:hAnsi="仿宋" w:eastAsia="仿宋" w:cs="仿宋"/>
          <w:sz w:val="24"/>
          <w:highlight w:val="none"/>
        </w:rPr>
        <w:t>合同签订后支付</w:t>
      </w:r>
      <w:r>
        <w:rPr>
          <w:rFonts w:hint="eastAsia" w:ascii="仿宋" w:hAnsi="仿宋" w:eastAsia="仿宋" w:cs="仿宋"/>
          <w:sz w:val="24"/>
          <w:highlight w:val="none"/>
          <w:lang w:val="en-US" w:eastAsia="zh-CN"/>
        </w:rPr>
        <w:t>货物</w:t>
      </w:r>
      <w:r>
        <w:rPr>
          <w:rFonts w:hint="eastAsia" w:ascii="仿宋" w:hAnsi="仿宋" w:eastAsia="仿宋" w:cs="仿宋"/>
          <w:sz w:val="24"/>
          <w:highlight w:val="none"/>
        </w:rPr>
        <w:t>合同金额的40%作为预付款,</w:t>
      </w:r>
      <w:r>
        <w:rPr>
          <w:rFonts w:hint="eastAsia" w:ascii="仿宋" w:hAnsi="仿宋" w:eastAsia="仿宋" w:cs="仿宋"/>
          <w:sz w:val="24"/>
          <w:highlight w:val="none"/>
          <w:lang w:val="en-US" w:eastAsia="zh-CN"/>
        </w:rPr>
        <w:t>货物金额</w:t>
      </w:r>
      <w:r>
        <w:rPr>
          <w:rFonts w:hint="eastAsia" w:ascii="仿宋" w:hAnsi="仿宋" w:eastAsia="仿宋" w:cs="仿宋"/>
          <w:sz w:val="24"/>
          <w:highlight w:val="none"/>
        </w:rPr>
        <w:t>余款待</w:t>
      </w:r>
      <w:r>
        <w:rPr>
          <w:rFonts w:hint="eastAsia" w:ascii="仿宋" w:hAnsi="仿宋" w:eastAsia="仿宋" w:cs="仿宋"/>
          <w:sz w:val="24"/>
          <w:highlight w:val="none"/>
          <w:lang w:val="en-US" w:eastAsia="zh-CN"/>
        </w:rPr>
        <w:t>验收</w:t>
      </w:r>
      <w:r>
        <w:rPr>
          <w:rFonts w:hint="eastAsia" w:ascii="仿宋" w:hAnsi="仿宋" w:eastAsia="仿宋" w:cs="仿宋"/>
          <w:sz w:val="24"/>
          <w:highlight w:val="none"/>
        </w:rPr>
        <w:t>合格后支付。</w:t>
      </w:r>
    </w:p>
    <w:p>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2.5.2服务部分（服务包括网络租赁、云资源租赁、多媒体短信）：实际费用产生后，按月结算支付，即下个月月初支付上月实际产生的服务费。</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2.5.3</w:t>
      </w:r>
      <w:r>
        <w:rPr>
          <w:rFonts w:hint="eastAsia" w:ascii="仿宋" w:hAnsi="仿宋" w:eastAsia="仿宋" w:cs="仿宋"/>
          <w:sz w:val="24"/>
          <w:highlight w:val="none"/>
        </w:rPr>
        <w:t>如涉及中小企业合同的，付款根据浙财采监〔2022〕3号文件相关规定执行。</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2.6数量调整</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2.7验收要求、标准</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验收标准按最新颁发的国家标准执行；国家没有规定的按地方标准执行，国家与地方均没有的，按行业规定执行。国家、地方规定标准低于行业标准的按行业标准执行，就高不就低。国家、地方、行业均没有验收标准的，则在获取需方同意后，按双方商定的标准执行。</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2.8 安全责任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网络安全要求：整个项目在使用过程要求按照公安网及公安视频专网的安全要求，中标方做好网络安全信息工作，违规第一次扣款2万元，第二次发生的扣款5万元，每年发生二次以上的，采购人有权单方面终止合同。项目实施期间，所有安全责任均由中标人承担。</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2.9结算原则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按中标单价一次性包死，不再调整，经采购人分级审批认可的数量增减，在结算时按中标单价按实调整。</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2.10其他</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1、本项目不组织投标人集中勘察点位情况，投标人自行勘察现场确定施工方案。 施工过程中的不可预见费等，投标人在投标报价中自行考虑，结算时不作调整。</w:t>
      </w:r>
    </w:p>
    <w:p>
      <w:pPr>
        <w:snapToGrid w:val="0"/>
        <w:spacing w:line="440" w:lineRule="exact"/>
        <w:ind w:firstLine="482" w:firstLineChars="200"/>
        <w:rPr>
          <w:rFonts w:hint="eastAsia" w:ascii="仿宋" w:hAnsi="仿宋" w:eastAsia="仿宋" w:cs="仿宋"/>
          <w:sz w:val="24"/>
          <w:highlight w:val="none"/>
        </w:rPr>
      </w:pPr>
      <w:r>
        <w:rPr>
          <w:rFonts w:hint="eastAsia" w:ascii="仿宋" w:hAnsi="仿宋" w:eastAsia="仿宋" w:cs="仿宋"/>
          <w:b/>
          <w:bCs/>
          <w:sz w:val="24"/>
          <w:highlight w:val="none"/>
        </w:rPr>
        <w:t>★</w:t>
      </w:r>
      <w:r>
        <w:rPr>
          <w:rFonts w:hint="eastAsia" w:ascii="仿宋" w:hAnsi="仿宋" w:eastAsia="仿宋" w:cs="仿宋"/>
          <w:sz w:val="24"/>
          <w:highlight w:val="none"/>
        </w:rPr>
        <w:t>2、投标人需承诺项目建成后能够接入柯桥区交警大队现有的“交通信号控制系统 intellific 平台”、“智能交通综合管控平台”、“应急救援一键护航”民生实事工程（根据实际情况配合业主完成对接工作）。</w:t>
      </w:r>
    </w:p>
    <w:p>
      <w:pPr>
        <w:snapToGrid w:val="0"/>
        <w:spacing w:line="4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3、招投文件不明之处详见设计图纸。</w:t>
      </w:r>
    </w:p>
    <w:p>
      <w:pPr>
        <w:snapToGrid w:val="0"/>
        <w:spacing w:line="44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4、投标人依据本合同所完成的技术成果的产权归采购人所有，若采购人需要软件源代码，投标人需无条件提供。</w:t>
      </w:r>
    </w:p>
    <w:p>
      <w:pPr>
        <w:snapToGrid w:val="0"/>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5、承诺中标后为本项目配备</w:t>
      </w:r>
      <w:r>
        <w:rPr>
          <w:rFonts w:hint="eastAsia" w:ascii="仿宋" w:hAnsi="仿宋" w:eastAsia="仿宋" w:cs="仿宋"/>
          <w:sz w:val="24"/>
          <w:highlight w:val="none"/>
        </w:rPr>
        <w:t>运维工程车</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辆</w:t>
      </w:r>
      <w:r>
        <w:rPr>
          <w:rFonts w:hint="eastAsia" w:ascii="仿宋" w:hAnsi="仿宋" w:eastAsia="仿宋" w:cs="仿宋"/>
          <w:sz w:val="24"/>
          <w:highlight w:val="none"/>
          <w:lang w:eastAsia="zh-CN"/>
        </w:rPr>
        <w:t>。</w:t>
      </w:r>
    </w:p>
    <w:p>
      <w:pPr>
        <w:snapToGrid w:val="0"/>
        <w:spacing w:line="4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6、承诺中标后通信网络提供管线组网</w:t>
      </w:r>
      <w:r>
        <w:rPr>
          <w:rFonts w:hint="eastAsia" w:ascii="仿宋" w:hAnsi="仿宋" w:eastAsia="仿宋" w:cs="仿宋"/>
          <w:sz w:val="24"/>
          <w:highlight w:val="none"/>
          <w:lang w:eastAsia="zh-CN"/>
        </w:rPr>
        <w:t>。</w:t>
      </w:r>
    </w:p>
    <w:p>
      <w:pPr>
        <w:snapToGrid w:val="0"/>
        <w:spacing w:line="440" w:lineRule="exact"/>
        <w:ind w:firstLine="1084" w:firstLineChars="300"/>
        <w:rPr>
          <w:rFonts w:hint="eastAsia" w:ascii="仿宋" w:hAnsi="仿宋" w:eastAsia="仿宋" w:cs="仿宋"/>
          <w:b/>
          <w:sz w:val="36"/>
          <w:szCs w:val="36"/>
          <w:highlight w:val="yellow"/>
        </w:rPr>
      </w:pPr>
      <w:r>
        <w:rPr>
          <w:rFonts w:hint="eastAsia" w:ascii="仿宋" w:hAnsi="仿宋" w:eastAsia="仿宋" w:cs="仿宋"/>
          <w:b/>
          <w:sz w:val="36"/>
          <w:szCs w:val="36"/>
          <w:highlight w:val="yellow"/>
        </w:rPr>
        <w:br w:type="page"/>
      </w:r>
    </w:p>
    <w:p>
      <w:pPr>
        <w:adjustRightInd/>
        <w:spacing w:line="440" w:lineRule="exact"/>
        <w:jc w:val="center"/>
        <w:outlineLvl w:val="0"/>
        <w:rPr>
          <w:rFonts w:hint="eastAsia" w:ascii="仿宋" w:hAnsi="仿宋" w:eastAsia="仿宋" w:cs="仿宋"/>
          <w:b/>
          <w:kern w:val="0"/>
          <w:sz w:val="36"/>
          <w:szCs w:val="36"/>
          <w:highlight w:val="none"/>
          <w:lang w:val="en"/>
        </w:rPr>
      </w:pPr>
      <w:r>
        <w:rPr>
          <w:rFonts w:hint="eastAsia" w:ascii="仿宋" w:hAnsi="仿宋" w:eastAsia="仿宋" w:cs="仿宋"/>
          <w:b/>
          <w:kern w:val="0"/>
          <w:sz w:val="36"/>
          <w:szCs w:val="36"/>
          <w:highlight w:val="none"/>
        </w:rPr>
        <w:t>第四部分 拟签订的合同文本</w:t>
      </w:r>
    </w:p>
    <w:p>
      <w:pPr>
        <w:adjustRightInd/>
        <w:snapToGrid w:val="0"/>
        <w:spacing w:line="440" w:lineRule="exact"/>
        <w:outlineLvl w:val="0"/>
        <w:rPr>
          <w:rFonts w:hint="eastAsia" w:ascii="仿宋" w:hAnsi="仿宋" w:eastAsia="仿宋" w:cs="仿宋"/>
          <w:b/>
          <w:kern w:val="0"/>
          <w:sz w:val="36"/>
          <w:szCs w:val="36"/>
          <w:highlight w:val="none"/>
        </w:rPr>
      </w:pPr>
    </w:p>
    <w:p>
      <w:pPr>
        <w:adjustRightInd/>
        <w:spacing w:line="440" w:lineRule="exact"/>
        <w:jc w:val="center"/>
        <w:rPr>
          <w:rFonts w:hint="eastAsia" w:ascii="仿宋" w:hAnsi="仿宋" w:eastAsia="仿宋" w:cs="仿宋"/>
          <w:b/>
          <w:kern w:val="0"/>
          <w:sz w:val="28"/>
          <w:szCs w:val="28"/>
          <w:highlight w:val="none"/>
        </w:rPr>
      </w:pPr>
    </w:p>
    <w:p>
      <w:pPr>
        <w:pStyle w:val="2"/>
        <w:rPr>
          <w:rFonts w:hint="eastAsia"/>
          <w:highlight w:val="none"/>
        </w:rPr>
      </w:pPr>
    </w:p>
    <w:p>
      <w:pPr>
        <w:adjustRightInd/>
        <w:spacing w:line="440" w:lineRule="exact"/>
        <w:rPr>
          <w:rFonts w:hint="eastAsia" w:ascii="仿宋" w:hAnsi="仿宋" w:eastAsia="仿宋" w:cs="仿宋"/>
          <w:b/>
          <w:kern w:val="0"/>
          <w:sz w:val="24"/>
          <w:szCs w:val="20"/>
          <w:highlight w:val="none"/>
        </w:rPr>
      </w:pPr>
    </w:p>
    <w:p>
      <w:pPr>
        <w:adjustRightInd/>
        <w:spacing w:line="440" w:lineRule="exact"/>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政府采购合同参考范本</w:t>
      </w:r>
    </w:p>
    <w:p>
      <w:pPr>
        <w:adjustRightInd/>
        <w:spacing w:line="440" w:lineRule="exact"/>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（货物类）</w:t>
      </w:r>
    </w:p>
    <w:p>
      <w:pPr>
        <w:autoSpaceDE w:val="0"/>
        <w:autoSpaceDN w:val="0"/>
        <w:snapToGrid w:val="0"/>
        <w:spacing w:line="440" w:lineRule="exact"/>
        <w:ind w:left="420" w:leftChars="200" w:firstLine="480" w:firstLineChars="200"/>
        <w:rPr>
          <w:rFonts w:hint="eastAsia" w:ascii="仿宋" w:hAnsi="仿宋" w:eastAsia="仿宋" w:cs="仿宋"/>
          <w:sz w:val="24"/>
          <w:highlight w:val="none"/>
        </w:rPr>
      </w:pPr>
    </w:p>
    <w:p>
      <w:pPr>
        <w:autoSpaceDE w:val="0"/>
        <w:autoSpaceDN w:val="0"/>
        <w:snapToGrid w:val="0"/>
        <w:spacing w:line="440" w:lineRule="exact"/>
        <w:ind w:left="420" w:leftChars="200" w:firstLine="480" w:firstLineChars="200"/>
        <w:rPr>
          <w:rFonts w:hint="eastAsia" w:ascii="仿宋" w:hAnsi="仿宋" w:eastAsia="仿宋" w:cs="仿宋"/>
          <w:sz w:val="24"/>
          <w:highlight w:val="none"/>
        </w:rPr>
      </w:pPr>
    </w:p>
    <w:p>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项目名称：                             </w:t>
      </w:r>
    </w:p>
    <w:p>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合同编号：                             </w:t>
      </w:r>
    </w:p>
    <w:p>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甲    方：                             </w:t>
      </w:r>
    </w:p>
    <w:p>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乙    方：                             </w:t>
      </w:r>
    </w:p>
    <w:p>
      <w:pPr>
        <w:adjustRightInd/>
        <w:spacing w:line="440" w:lineRule="exact"/>
        <w:ind w:firstLine="1800" w:firstLineChars="750"/>
        <w:rPr>
          <w:rFonts w:hint="eastAsia" w:ascii="仿宋" w:hAnsi="仿宋" w:eastAsia="仿宋" w:cs="仿宋"/>
          <w:kern w:val="0"/>
          <w:sz w:val="24"/>
          <w:szCs w:val="20"/>
          <w:highlight w:val="none"/>
          <w:u w:val="single"/>
          <w:lang w:val="zh-CN"/>
        </w:rPr>
      </w:pPr>
      <w:r>
        <w:rPr>
          <w:rFonts w:hint="eastAsia" w:ascii="仿宋" w:hAnsi="仿宋" w:eastAsia="仿宋" w:cs="仿宋"/>
          <w:kern w:val="0"/>
          <w:sz w:val="24"/>
          <w:szCs w:val="20"/>
          <w:highlight w:val="none"/>
          <w:u w:val="single"/>
          <w:lang w:val="zh-CN"/>
        </w:rPr>
        <w:t xml:space="preserve">签订时间：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pPr>
        <w:adjustRightInd/>
        <w:spacing w:line="440" w:lineRule="exact"/>
        <w:ind w:left="-420" w:leftChars="-200" w:right="-420" w:rightChars="-200" w:firstLine="482" w:firstLineChars="200"/>
        <w:jc w:val="center"/>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使 用 说 明</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pPr>
        <w:numPr>
          <w:ilvl w:val="255"/>
          <w:numId w:val="0"/>
        </w:num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hint="eastAsia" w:ascii="仿宋" w:hAnsi="仿宋" w:eastAsia="仿宋" w:cs="仿宋"/>
          <w:sz w:val="24"/>
          <w:highlight w:val="none"/>
        </w:rPr>
        <w:sectPr>
          <w:headerReference r:id="rId13" w:type="default"/>
          <w:footerReference r:id="rId14" w:type="default"/>
          <w:pgSz w:w="11906" w:h="16838"/>
          <w:pgMar w:top="1474" w:right="1814" w:bottom="1474" w:left="1814" w:header="851" w:footer="992" w:gutter="0"/>
          <w:cols w:space="720" w:num="1"/>
          <w:docGrid w:type="lines" w:linePitch="312" w:charSpace="0"/>
        </w:sectPr>
      </w:pPr>
    </w:p>
    <w:p>
      <w:pPr>
        <w:adjustRightInd/>
        <w:spacing w:line="440" w:lineRule="exact"/>
        <w:ind w:left="-420" w:leftChars="-200" w:right="-420" w:rightChars="-200" w:firstLine="482" w:firstLineChars="200"/>
        <w:jc w:val="center"/>
        <w:rPr>
          <w:rFonts w:hint="eastAsia" w:ascii="仿宋" w:hAnsi="仿宋" w:eastAsia="仿宋" w:cs="仿宋"/>
          <w:kern w:val="0"/>
          <w:sz w:val="24"/>
          <w:szCs w:val="20"/>
          <w:highlight w:val="none"/>
        </w:rPr>
      </w:pPr>
      <w:bookmarkStart w:id="64" w:name="_Toc22209"/>
      <w:r>
        <w:rPr>
          <w:rFonts w:hint="eastAsia" w:ascii="仿宋" w:hAnsi="仿宋" w:eastAsia="仿宋" w:cs="仿宋"/>
          <w:b/>
          <w:bCs/>
          <w:kern w:val="0"/>
          <w:sz w:val="24"/>
          <w:szCs w:val="20"/>
          <w:highlight w:val="none"/>
        </w:rPr>
        <w:t>第一节 政府采购合同协议书</w:t>
      </w:r>
      <w:bookmarkEnd w:id="64"/>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pPr>
        <w:adjustRightInd/>
        <w:spacing w:line="440" w:lineRule="exact"/>
        <w:ind w:right="-346" w:rightChars="-165"/>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甲方（全称）：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（采购人、受采购人委托签订合同的单位或采购</w:t>
      </w:r>
    </w:p>
    <w:p>
      <w:pPr>
        <w:adjustRightInd/>
        <w:spacing w:line="440" w:lineRule="exact"/>
        <w:ind w:left="-210" w:leftChars="-100" w:right="-346" w:rightChars="-165" w:firstLine="4209" w:firstLineChars="1754"/>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文件约定的合同甲方）</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乙方1（全称）：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 （供应商）</w:t>
      </w:r>
    </w:p>
    <w:p>
      <w:pPr>
        <w:adjustRightInd/>
        <w:spacing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乙方2（全称）：                  （联合体成员供应商或其他合同主体）（如有）</w:t>
      </w:r>
    </w:p>
    <w:p>
      <w:pPr>
        <w:adjustRightInd/>
        <w:spacing w:line="440" w:lineRule="exact"/>
        <w:ind w:left="-420" w:leftChars="-2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乙方3（全称）：                  （联合体成员供应商或其他合同主体）（如有）</w:t>
      </w:r>
    </w:p>
    <w:p>
      <w:pPr>
        <w:adjustRightInd/>
        <w:spacing w:line="440" w:lineRule="exact"/>
        <w:ind w:right="-420" w:rightChars="-200"/>
        <w:rPr>
          <w:rFonts w:hint="eastAsia" w:ascii="仿宋" w:hAnsi="仿宋" w:eastAsia="仿宋" w:cs="仿宋"/>
          <w:kern w:val="0"/>
          <w:sz w:val="24"/>
          <w:szCs w:val="20"/>
          <w:highlight w:val="none"/>
        </w:rPr>
      </w:pPr>
    </w:p>
    <w:p>
      <w:pPr>
        <w:adjustRightInd/>
        <w:spacing w:line="440" w:lineRule="exact"/>
        <w:ind w:left="-210" w:leftChars="-100" w:right="-346" w:rightChars="-165"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spacing w:line="440" w:lineRule="exact"/>
        <w:ind w:left="-210" w:leftChars="-100" w:right="-420" w:rightChars="-200" w:firstLine="723" w:firstLineChars="300"/>
        <w:rPr>
          <w:rFonts w:hint="eastAsia" w:ascii="仿宋" w:hAnsi="仿宋" w:eastAsia="仿宋" w:cs="仿宋"/>
          <w:kern w:val="0"/>
          <w:sz w:val="24"/>
          <w:szCs w:val="20"/>
          <w:highlight w:val="none"/>
        </w:rPr>
      </w:pPr>
      <w:r>
        <w:rPr>
          <w:rFonts w:hint="eastAsia" w:ascii="仿宋" w:hAnsi="仿宋" w:eastAsia="仿宋" w:cs="仿宋"/>
          <w:b/>
          <w:bCs/>
          <w:kern w:val="0"/>
          <w:sz w:val="24"/>
          <w:szCs w:val="20"/>
          <w:highlight w:val="none"/>
        </w:rPr>
        <w:t>项目信息</w:t>
      </w:r>
    </w:p>
    <w:p>
      <w:pPr>
        <w:numPr>
          <w:ilvl w:val="255"/>
          <w:numId w:val="0"/>
        </w:numPr>
        <w:adjustRightInd/>
        <w:spacing w:line="440" w:lineRule="exact"/>
        <w:ind w:left="420" w:leftChars="200"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1</w:t>
      </w:r>
      <w:r>
        <w:rPr>
          <w:rFonts w:hint="eastAsia" w:ascii="仿宋" w:hAnsi="仿宋" w:eastAsia="仿宋" w:cs="仿宋"/>
          <w:kern w:val="0"/>
          <w:sz w:val="24"/>
          <w:szCs w:val="20"/>
          <w:highlight w:val="none"/>
        </w:rPr>
        <w:t>）采购项目名称：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采购项目编号：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采购计划编号：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numPr>
          <w:ilvl w:val="0"/>
          <w:numId w:val="2"/>
        </w:num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项目内容：</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采购标的及数量（台/套</w:t>
      </w:r>
      <w:r>
        <w:rPr>
          <w:rFonts w:hint="eastAsia" w:ascii="仿宋" w:hAnsi="仿宋" w:eastAsia="仿宋" w:cs="仿宋"/>
          <w:kern w:val="0"/>
          <w:sz w:val="24"/>
          <w:szCs w:val="20"/>
          <w:highlight w:val="none"/>
          <w:lang w:val="en"/>
        </w:rPr>
        <w:t>/个/架/组等</w:t>
      </w:r>
      <w:r>
        <w:rPr>
          <w:rFonts w:hint="eastAsia" w:ascii="仿宋" w:hAnsi="仿宋" w:eastAsia="仿宋" w:cs="仿宋"/>
          <w:kern w:val="0"/>
          <w:sz w:val="24"/>
          <w:szCs w:val="20"/>
          <w:highlight w:val="none"/>
        </w:rPr>
        <w:t>）：</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lang w:val="en"/>
        </w:rPr>
        <w:t xml:space="preserve">   </w:t>
      </w:r>
      <w:r>
        <w:rPr>
          <w:rFonts w:hint="eastAsia" w:ascii="仿宋" w:hAnsi="仿宋" w:eastAsia="仿宋" w:cs="仿宋"/>
          <w:kern w:val="0"/>
          <w:sz w:val="24"/>
          <w:szCs w:val="20"/>
          <w:highlight w:val="none"/>
        </w:rPr>
        <w:t>规格型号：</w:t>
      </w:r>
      <w:r>
        <w:rPr>
          <w:rFonts w:ascii="宋体" w:hAnsi="宋体"/>
          <w:kern w:val="0"/>
          <w:sz w:val="34"/>
          <w:szCs w:val="21"/>
          <w:highlight w:val="none"/>
          <w:u w:val="single"/>
        </w:rPr>
        <w:t xml:space="preserve">            </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采购标的的技术要求、商务要求具体见附件。</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①涉及信息类产品，请填写该产品关键部件的品牌、型号：</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标的名称：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关键部件：</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型号：</w:t>
      </w:r>
      <w:r>
        <w:rPr>
          <w:rFonts w:ascii="宋体" w:hAnsi="宋体"/>
          <w:kern w:val="0"/>
          <w:sz w:val="34"/>
          <w:szCs w:val="21"/>
          <w:highlight w:val="none"/>
          <w:u w:val="single"/>
        </w:rPr>
        <w:t xml:space="preserve">       </w:t>
      </w:r>
    </w:p>
    <w:p>
      <w:pPr>
        <w:adjustRightInd/>
        <w:spacing w:line="440" w:lineRule="exact"/>
        <w:ind w:left="-10" w:right="-346" w:rightChars="-165" w:firstLine="398" w:firstLineChars="166"/>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②涉及车辆采购，请填写是否属于新能源汽车：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数量：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210" w:leftChars="-100" w:right="-420" w:rightChars="-200" w:firstLine="336" w:firstLineChars="14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
        </w:rPr>
        <w:t>4</w:t>
      </w:r>
      <w:r>
        <w:rPr>
          <w:rFonts w:hint="eastAsia" w:ascii="仿宋" w:hAnsi="仿宋" w:eastAsia="仿宋" w:cs="仿宋"/>
          <w:kern w:val="0"/>
          <w:sz w:val="24"/>
          <w:szCs w:val="20"/>
          <w:highlight w:val="none"/>
        </w:rPr>
        <w:t>）政府采购组织形式：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政府集中采购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部门集中采购  </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分散采购</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5</w:t>
      </w:r>
      <w:r>
        <w:rPr>
          <w:rFonts w:hint="eastAsia" w:ascii="仿宋" w:hAnsi="仿宋" w:eastAsia="仿宋" w:cs="仿宋"/>
          <w:kern w:val="0"/>
          <w:sz w:val="24"/>
          <w:szCs w:val="20"/>
          <w:highlight w:val="none"/>
        </w:rPr>
        <w:t>）政府采购方式：</w:t>
      </w:r>
      <w:r>
        <w:rPr>
          <w:rFonts w:hint="eastAsia" w:ascii="仿宋" w:hAnsi="仿宋" w:eastAsia="仿宋" w:cs="仿宋"/>
          <w:kern w:val="0"/>
          <w:sz w:val="24"/>
          <w:szCs w:val="20"/>
          <w:highlight w:val="none"/>
        </w:rPr>
        <w:sym w:font="Wingdings" w:char="00FE"/>
      </w:r>
      <w:r>
        <w:rPr>
          <w:rFonts w:hint="eastAsia" w:ascii="仿宋" w:hAnsi="仿宋" w:eastAsia="仿宋" w:cs="仿宋"/>
          <w:kern w:val="0"/>
          <w:sz w:val="24"/>
          <w:szCs w:val="20"/>
          <w:highlight w:val="none"/>
        </w:rPr>
        <w:t xml:space="preserve">公开招标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邀请招标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竞争性谈判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竞争性磋商</w:t>
      </w:r>
    </w:p>
    <w:p>
      <w:pPr>
        <w:adjustRightInd/>
        <w:spacing w:line="440" w:lineRule="exact"/>
        <w:ind w:right="-420" w:rightChars="-200" w:firstLine="2760" w:firstLineChars="1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询价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单一来源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框架协议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（注：在框架协议采购的第二阶段，可选择使用该合同文本）</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6</w:t>
      </w:r>
      <w:r>
        <w:rPr>
          <w:rFonts w:hint="eastAsia" w:ascii="仿宋" w:hAnsi="仿宋" w:eastAsia="仿宋" w:cs="仿宋"/>
          <w:kern w:val="0"/>
          <w:sz w:val="24"/>
          <w:szCs w:val="20"/>
          <w:highlight w:val="none"/>
        </w:rPr>
        <w:t>）中标（成交）采购标的制造商是否为中小企业：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本合同是否为专门面向中小企业的采购合同（中小企业预留合同）：</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若本项目不专门面向中小企业采购，是否给予小微企业评审优惠：</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中标（成交）采购标的制造商是否为残疾人福利性单位：</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中标（成交）采购标的制造商是否为监狱企业：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7</w:t>
      </w:r>
      <w:r>
        <w:rPr>
          <w:rFonts w:hint="eastAsia" w:ascii="仿宋" w:hAnsi="仿宋" w:eastAsia="仿宋" w:cs="仿宋"/>
          <w:kern w:val="0"/>
          <w:sz w:val="24"/>
          <w:szCs w:val="20"/>
          <w:highlight w:val="none"/>
        </w:rPr>
        <w:t>）合同是否分包：</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分包主要内容：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分包供应商/制造商名称（如供应商和制造商不同，请分别填写）：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分包供应商/制造商类型（如果供应商和制造商不同，只填写制造商类型）：</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大型企业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中型企业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小微型企业  </w:t>
      </w:r>
    </w:p>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残疾人福利性单位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监狱企业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其他</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lang w:val="en"/>
        </w:rPr>
        <w:t>8</w:t>
      </w:r>
      <w:r>
        <w:rPr>
          <w:rFonts w:hint="eastAsia" w:ascii="仿宋" w:hAnsi="仿宋" w:eastAsia="仿宋" w:cs="仿宋"/>
          <w:kern w:val="0"/>
          <w:sz w:val="24"/>
          <w:szCs w:val="20"/>
          <w:highlight w:val="none"/>
        </w:rPr>
        <w:t>）中标（成交）供应商是否为外商投资企业：</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外商投资企业类型：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全部由外国投资者投资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部分由外国投资者投资</w:t>
      </w:r>
    </w:p>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hint="eastAsia" w:ascii="仿宋" w:hAnsi="仿宋" w:eastAsia="仿宋" w:cs="仿宋"/>
          <w:kern w:val="0"/>
          <w:sz w:val="24"/>
          <w:szCs w:val="20"/>
          <w:highlight w:val="none"/>
          <w:lang w:val="en"/>
        </w:rPr>
        <w:t>9</w:t>
      </w:r>
      <w:r>
        <w:rPr>
          <w:rFonts w:hint="eastAsia" w:ascii="仿宋" w:hAnsi="仿宋" w:eastAsia="仿宋" w:cs="仿宋"/>
          <w:kern w:val="0"/>
          <w:sz w:val="24"/>
          <w:szCs w:val="20"/>
          <w:highlight w:val="none"/>
        </w:rPr>
        <w:t>）是否涉及进口产品：</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是，《政府采购品目分类目录》底级品目名称：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国别：</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品牌：</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规格型号：</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w:t>
      </w:r>
      <w:r>
        <w:rPr>
          <w:rFonts w:hint="eastAsia" w:ascii="仿宋" w:hAnsi="仿宋" w:eastAsia="仿宋" w:cs="仿宋"/>
          <w:kern w:val="0"/>
          <w:sz w:val="24"/>
          <w:szCs w:val="20"/>
          <w:highlight w:val="none"/>
          <w:lang w:val="en"/>
        </w:rPr>
        <w:t>0</w:t>
      </w:r>
      <w:r>
        <w:rPr>
          <w:rFonts w:hint="eastAsia" w:ascii="仿宋" w:hAnsi="仿宋" w:eastAsia="仿宋" w:cs="仿宋"/>
          <w:kern w:val="0"/>
          <w:sz w:val="24"/>
          <w:szCs w:val="20"/>
          <w:highlight w:val="none"/>
        </w:rPr>
        <w:t>）是否涉及节能产品：</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是，《节能产品政府采购品目清单》的底级品目名称：</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是否涉及环境标志产品：</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是，《环境标志产品政府采购品目清单》的底级品目名称：</w:t>
      </w:r>
      <w:r>
        <w:rPr>
          <w:rFonts w:ascii="宋体" w:hAnsi="宋体"/>
          <w:kern w:val="0"/>
          <w:sz w:val="34"/>
          <w:szCs w:val="21"/>
          <w:highlight w:val="none"/>
          <w:u w:val="singl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是否涉及绿色产品：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是，绿色产品政府采购相关政策确定的底级品目名称：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强制采购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优先采购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19" w:leftChars="-9" w:right="-420" w:rightChars="-200" w:firstLine="540" w:firstLineChars="225"/>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val="en"/>
        </w:rPr>
        <w:t>1</w:t>
      </w:r>
      <w:r>
        <w:rPr>
          <w:rFonts w:hint="eastAsia" w:ascii="仿宋" w:hAnsi="仿宋" w:eastAsia="仿宋" w:cs="仿宋"/>
          <w:kern w:val="0"/>
          <w:sz w:val="24"/>
          <w:szCs w:val="20"/>
          <w:highlight w:val="none"/>
        </w:rPr>
        <w:t>）涉及商品包装和快递包装的，是否参考《商品包装政府采购需求标准（试行）》、《快递包装政府采购需求标准（试行）》明确产品及相关快递服务的具体包装要求：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否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不涉及</w:t>
      </w:r>
    </w:p>
    <w:p>
      <w:pPr>
        <w:adjustRightInd/>
        <w:spacing w:line="440" w:lineRule="exact"/>
        <w:ind w:left="-420" w:leftChars="-200" w:right="-420" w:rightChars="-200" w:firstLine="1084" w:firstLineChars="4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w:t>
      </w:r>
      <w:r>
        <w:rPr>
          <w:rFonts w:hint="eastAsia" w:ascii="仿宋" w:hAnsi="仿宋" w:eastAsia="仿宋" w:cs="仿宋"/>
          <w:b/>
          <w:bCs/>
          <w:kern w:val="0"/>
          <w:sz w:val="24"/>
          <w:szCs w:val="20"/>
          <w:highlight w:val="none"/>
        </w:rPr>
        <w:t>合同金额</w:t>
      </w:r>
    </w:p>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（1）合同金额小写：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大写：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分包金额（如有）小写：</w:t>
      </w:r>
      <w:r>
        <w:rPr>
          <w:rFonts w:ascii="宋体" w:hAnsi="宋体"/>
          <w:kern w:val="0"/>
          <w:sz w:val="34"/>
          <w:szCs w:val="21"/>
          <w:highlight w:val="none"/>
          <w:u w:val="singl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大写：</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（注：固定单价合同应填写单价和最高限价）</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（2）合同定价方式（采用组合定价方式的，可以勾选多项）：</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固定总价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固定单价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固定费率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其他       </w:t>
      </w:r>
    </w:p>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（3）付款方式（按项目实际勾选填写）：</w:t>
      </w:r>
    </w:p>
    <w:p>
      <w:pPr>
        <w:adjustRightInd/>
        <w:spacing w:line="440" w:lineRule="exact"/>
        <w:ind w:left="-420" w:leftChars="-200" w:right="-420" w:rightChars="-200" w:firstLine="1080" w:firstLineChars="450"/>
        <w:rPr>
          <w:rFonts w:hint="eastAsia" w:ascii="宋体" w:hAnsi="宋体"/>
          <w:kern w:val="0"/>
          <w:sz w:val="34"/>
          <w:szCs w:val="21"/>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全额付款：</w:t>
      </w:r>
      <w:r>
        <w:rPr>
          <w:rFonts w:hint="eastAsia" w:ascii="宋体" w:hAnsi="宋体"/>
          <w:kern w:val="0"/>
          <w:sz w:val="34"/>
          <w:szCs w:val="21"/>
          <w:highlight w:val="none"/>
          <w:u w:val="single"/>
        </w:rPr>
        <w:t xml:space="preserve">     </w:t>
      </w:r>
      <w:r>
        <w:rPr>
          <w:rFonts w:hint="eastAsia" w:ascii="仿宋" w:hAnsi="仿宋" w:eastAsia="仿宋" w:cs="仿宋"/>
          <w:kern w:val="0"/>
          <w:sz w:val="24"/>
          <w:highlight w:val="none"/>
          <w:u w:val="single"/>
        </w:rPr>
        <w:t>（应明确一次性支付合同款项的条件）</w:t>
      </w:r>
      <w:r>
        <w:rPr>
          <w:rFonts w:hint="eastAsia" w:ascii="宋体" w:hAnsi="宋体"/>
          <w:kern w:val="0"/>
          <w:sz w:val="34"/>
          <w:szCs w:val="21"/>
          <w:highlight w:val="none"/>
          <w:u w:val="single"/>
        </w:rPr>
        <w:t xml:space="preserve">                    </w:t>
      </w:r>
    </w:p>
    <w:p>
      <w:pPr>
        <w:adjustRightInd/>
        <w:spacing w:line="440" w:lineRule="exact"/>
        <w:ind w:left="-420" w:leftChars="-200" w:right="-420" w:rightChars="-200" w:firstLine="1080" w:firstLineChars="450"/>
        <w:rPr>
          <w:rFonts w:hint="eastAsia" w:ascii="仿宋" w:hAnsi="仿宋" w:eastAsia="仿宋" w:cs="仿宋"/>
          <w:kern w:val="0"/>
          <w:sz w:val="24"/>
          <w:highlight w:val="none"/>
          <w:u w:val="singl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分期付款：</w:t>
      </w:r>
      <w:r>
        <w:rPr>
          <w:rFonts w:hint="eastAsia" w:ascii="仿宋" w:hAnsi="仿宋" w:eastAsia="仿宋" w:cs="仿宋"/>
          <w:kern w:val="0"/>
          <w:sz w:val="24"/>
          <w:highlight w:val="none"/>
          <w:u w:val="single"/>
        </w:rPr>
        <w:t xml:space="preserve">  （应明确分期支付合同款项的各期比例和支付条件，各期支付条件</w:t>
      </w:r>
    </w:p>
    <w:p>
      <w:pPr>
        <w:adjustRightInd/>
        <w:spacing w:line="440" w:lineRule="exact"/>
        <w:ind w:right="-420" w:rightChars="-200"/>
        <w:rPr>
          <w:rFonts w:hint="eastAsia" w:ascii="仿宋" w:hAnsi="仿宋" w:eastAsia="仿宋" w:cs="仿宋"/>
          <w:kern w:val="0"/>
          <w:sz w:val="24"/>
          <w:highlight w:val="none"/>
          <w:u w:val="single"/>
        </w:rPr>
      </w:pPr>
      <w:r>
        <w:rPr>
          <w:rFonts w:hint="eastAsia" w:ascii="仿宋" w:hAnsi="仿宋" w:eastAsia="仿宋" w:cs="仿宋"/>
          <w:kern w:val="0"/>
          <w:sz w:val="24"/>
          <w:highlight w:val="none"/>
          <w:u w:val="single"/>
        </w:rPr>
        <w:t xml:space="preserve">应与分期履约验收情况挂钩） </w:t>
      </w:r>
      <w:r>
        <w:rPr>
          <w:rFonts w:hint="eastAsia" w:ascii="仿宋" w:hAnsi="仿宋" w:eastAsia="仿宋" w:cs="仿宋"/>
          <w:kern w:val="0"/>
          <w:sz w:val="24"/>
          <w:szCs w:val="20"/>
          <w:highlight w:val="none"/>
        </w:rPr>
        <w:t>，其中涉及预付款的：</w:t>
      </w:r>
      <w:r>
        <w:rPr>
          <w:rFonts w:hint="eastAsia" w:ascii="仿宋" w:hAnsi="仿宋" w:eastAsia="仿宋" w:cs="仿宋"/>
          <w:kern w:val="0"/>
          <w:sz w:val="24"/>
          <w:highlight w:val="none"/>
          <w:u w:val="single"/>
        </w:rPr>
        <w:t xml:space="preserve"> （应明确预付款的支付比例和支付条件）</w:t>
      </w:r>
    </w:p>
    <w:p>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成本补偿：      （应明确按照成本补偿方式的支付方式和支付条件）   </w:t>
      </w:r>
    </w:p>
    <w:p>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绩效激励：      （应明确按照绩效激励方式的支付方式和支付条件）   </w:t>
      </w:r>
    </w:p>
    <w:p>
      <w:pPr>
        <w:adjustRightInd/>
        <w:spacing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3.</w:t>
      </w:r>
      <w:r>
        <w:rPr>
          <w:rFonts w:hint="eastAsia" w:ascii="仿宋" w:hAnsi="仿宋" w:eastAsia="仿宋" w:cs="仿宋"/>
          <w:b/>
          <w:bCs/>
          <w:kern w:val="0"/>
          <w:sz w:val="24"/>
          <w:szCs w:val="20"/>
          <w:highlight w:val="none"/>
        </w:rPr>
        <w:t>合同履行</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（1）起始日期：</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月</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日，完成日期：</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年</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月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日。</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（2）履约地点：</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（3）履约担保：是否收取履约保证金：</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收取履约保证金形式：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收取履约保证金金额：</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履约担保期限：</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（4）分期履行要求：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（5）风险处置措施和替代方案：</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964" w:firstLineChars="4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4.</w:t>
      </w:r>
      <w:r>
        <w:rPr>
          <w:rFonts w:hint="eastAsia" w:ascii="仿宋" w:hAnsi="仿宋" w:eastAsia="仿宋" w:cs="仿宋"/>
          <w:b/>
          <w:bCs/>
          <w:kern w:val="0"/>
          <w:sz w:val="24"/>
          <w:szCs w:val="20"/>
          <w:highlight w:val="none"/>
        </w:rPr>
        <w:t>合同验收</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（1）验收组织方式：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自行组织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委托第三方组织</w:t>
      </w:r>
    </w:p>
    <w:p>
      <w:pPr>
        <w:adjustRightInd/>
        <w:spacing w:line="440" w:lineRule="exact"/>
        <w:ind w:right="-420" w:rightChars="-200" w:firstLine="1080" w:firstLineChars="450"/>
        <w:rPr>
          <w:rFonts w:hint="eastAsia" w:ascii="宋体" w:hAnsi="宋体"/>
          <w:kern w:val="0"/>
          <w:sz w:val="34"/>
          <w:szCs w:val="21"/>
          <w:highlight w:val="none"/>
          <w:u w:val="single"/>
        </w:rPr>
      </w:pPr>
      <w:r>
        <w:rPr>
          <w:rFonts w:hint="eastAsia" w:ascii="仿宋" w:hAnsi="仿宋" w:eastAsia="仿宋" w:cs="仿宋"/>
          <w:kern w:val="0"/>
          <w:sz w:val="24"/>
          <w:szCs w:val="20"/>
          <w:highlight w:val="none"/>
        </w:rPr>
        <w:t>验收主体：</w:t>
      </w:r>
      <w:r>
        <w:rPr>
          <w:rFonts w:ascii="宋体" w:hAnsi="宋体"/>
          <w:kern w:val="0"/>
          <w:sz w:val="34"/>
          <w:szCs w:val="21"/>
          <w:highlight w:val="none"/>
          <w:u w:val="single"/>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 xml:space="preserve"> 是否邀请本项目的其他供应商参加验收：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是否邀请专家参加验收：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是否邀请服务对象参加验收：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是否邀请第三方检测机构参加验收：</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是否进行抽查检测：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是，抽查比例：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left="-420" w:leftChars="-200" w:right="-420" w:rightChars="-200" w:firstLine="1440" w:firstLineChars="6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是否存在破坏性检测：</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是，（应明确对被破坏的检测产品的处理方式）</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验收组织的其他事项：</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w:t>
      </w:r>
      <w:r>
        <w:rPr>
          <w:rFonts w:ascii="仿宋" w:hAnsi="仿宋" w:eastAsia="仿宋" w:cs="仿宋"/>
          <w:kern w:val="0"/>
          <w:sz w:val="24"/>
          <w:szCs w:val="20"/>
          <w:highlight w:val="none"/>
        </w:rPr>
        <w:t>2</w:t>
      </w:r>
      <w:r>
        <w:rPr>
          <w:rFonts w:hint="eastAsia" w:ascii="仿宋" w:hAnsi="仿宋" w:eastAsia="仿宋" w:cs="仿宋"/>
          <w:kern w:val="0"/>
          <w:sz w:val="24"/>
          <w:szCs w:val="20"/>
          <w:highlight w:val="none"/>
        </w:rPr>
        <w:t>）履约验收时间：</w:t>
      </w:r>
      <w:r>
        <w:rPr>
          <w:rFonts w:hint="eastAsia" w:ascii="仿宋" w:hAnsi="仿宋" w:eastAsia="仿宋" w:cs="仿宋"/>
          <w:bCs/>
          <w:kern w:val="0"/>
          <w:sz w:val="24"/>
          <w:highlight w:val="none"/>
          <w:u w:val="single"/>
        </w:rPr>
        <w:t>（计划于何时验收/供应商提出验收申请之日起   日内组织验收）</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（3）履约验收方式：</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一次性验收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分期/分项验收：</w:t>
      </w:r>
      <w:r>
        <w:rPr>
          <w:rFonts w:hint="eastAsia" w:ascii="仿宋" w:hAnsi="仿宋" w:eastAsia="仿宋" w:cs="仿宋"/>
          <w:bCs/>
          <w:kern w:val="0"/>
          <w:sz w:val="24"/>
          <w:highlight w:val="none"/>
          <w:u w:val="single"/>
        </w:rPr>
        <w:t xml:space="preserve"> （应明确分期</w:t>
      </w:r>
      <w:r>
        <w:rPr>
          <w:rFonts w:hint="eastAsia" w:ascii="仿宋" w:hAnsi="仿宋" w:eastAsia="仿宋" w:cs="仿宋"/>
          <w:bCs/>
          <w:kern w:val="0"/>
          <w:sz w:val="24"/>
          <w:highlight w:val="none"/>
          <w:u w:val="single"/>
          <w:lang w:val="en"/>
        </w:rPr>
        <w:t>/分项验收的工作安排</w:t>
      </w:r>
      <w:r>
        <w:rPr>
          <w:rFonts w:hint="eastAsia"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（4）履约验收程序：</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（5）履约验收的内容：</w:t>
      </w:r>
      <w:r>
        <w:rPr>
          <w:rFonts w:hint="eastAsia" w:ascii="仿宋" w:hAnsi="仿宋" w:eastAsia="仿宋" w:cs="仿宋"/>
          <w:bCs/>
          <w:kern w:val="0"/>
          <w:sz w:val="24"/>
          <w:highlight w:val="none"/>
          <w:u w:val="single"/>
        </w:rPr>
        <w:t xml:space="preserve"> （应当包括每一项技术和商务要求的履约情况，特别是落实政府采购扶持中小企业，支持绿色发展和乡村振兴等政策情况）</w:t>
      </w:r>
      <w:r>
        <w:rPr>
          <w:rFonts w:hint="eastAsia" w:ascii="仿宋" w:hAnsi="仿宋" w:eastAsia="仿宋" w:cs="仿宋"/>
          <w:kern w:val="0"/>
          <w:sz w:val="24"/>
          <w:szCs w:val="20"/>
          <w:highlight w:val="none"/>
        </w:rPr>
        <w:t xml:space="preserve">                                      </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（6）履约验收标准： </w:t>
      </w:r>
      <w:r>
        <w:rPr>
          <w:rFonts w:ascii="宋体" w:hAnsi="宋体"/>
          <w:kern w:val="0"/>
          <w:sz w:val="34"/>
          <w:szCs w:val="21"/>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（7）是否以采购活动中供应商提供的样品作为参考：</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 xml:space="preserve">是  </w:t>
      </w:r>
      <w:r>
        <w:rPr>
          <w:rFonts w:hint="eastAsia" w:ascii="仿宋" w:hAnsi="仿宋" w:eastAsia="仿宋" w:cs="仿宋"/>
          <w:kern w:val="0"/>
          <w:sz w:val="24"/>
          <w:szCs w:val="20"/>
          <w:highlight w:val="none"/>
        </w:rPr>
        <w:sym w:font="Wingdings" w:char="00A8"/>
      </w:r>
      <w:r>
        <w:rPr>
          <w:rFonts w:hint="eastAsia" w:ascii="仿宋" w:hAnsi="仿宋" w:eastAsia="仿宋" w:cs="仿宋"/>
          <w:kern w:val="0"/>
          <w:sz w:val="24"/>
          <w:szCs w:val="20"/>
          <w:highlight w:val="none"/>
        </w:rPr>
        <w:t>否</w:t>
      </w:r>
    </w:p>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（8）履约验收其他事项：</w:t>
      </w:r>
      <w:r>
        <w:rPr>
          <w:rFonts w:hint="eastAsia" w:ascii="仿宋" w:hAnsi="仿宋" w:eastAsia="仿宋" w:cs="仿宋"/>
          <w:bCs/>
          <w:kern w:val="0"/>
          <w:sz w:val="24"/>
          <w:highlight w:val="none"/>
          <w:u w:val="single"/>
        </w:rPr>
        <w:t xml:space="preserve">      （产权过户登记等）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5.</w:t>
      </w:r>
      <w:r>
        <w:rPr>
          <w:rFonts w:hint="eastAsia" w:ascii="仿宋" w:hAnsi="仿宋" w:eastAsia="仿宋" w:cs="仿宋"/>
          <w:b/>
          <w:bCs/>
          <w:kern w:val="0"/>
          <w:sz w:val="24"/>
          <w:szCs w:val="20"/>
          <w:highlight w:val="none"/>
        </w:rPr>
        <w:t>组成合同的文件</w:t>
      </w:r>
    </w:p>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（1）政府采购合同协议书及其变更、补充协议</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（2）政府采购合同专用条款</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（3）政府采购合同通用条款</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（4）中标（成交）通知书</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（5）投标（响应）文件</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（6）采购文件</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（7）有关技术文件，图纸</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（8）国家法律、行政法规和规章制度规定或合同约定的作为合同组成部分的其他文件</w:t>
      </w:r>
    </w:p>
    <w:p>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6.</w:t>
      </w:r>
      <w:r>
        <w:rPr>
          <w:rFonts w:hint="eastAsia" w:ascii="仿宋" w:hAnsi="仿宋" w:eastAsia="仿宋" w:cs="仿宋"/>
          <w:b/>
          <w:bCs/>
          <w:kern w:val="0"/>
          <w:sz w:val="24"/>
          <w:szCs w:val="20"/>
          <w:highlight w:val="none"/>
        </w:rPr>
        <w:t>合同生效</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本合同自</w:t>
      </w:r>
      <w:r>
        <w:rPr>
          <w:rFonts w:hint="eastAsia" w:ascii="仿宋" w:hAnsi="仿宋" w:eastAsia="仿宋" w:cs="仿宋"/>
          <w:bCs/>
          <w:kern w:val="0"/>
          <w:sz w:val="24"/>
          <w:highlight w:val="none"/>
          <w:u w:val="single"/>
        </w:rPr>
        <w:t xml:space="preserve">    </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生效。</w:t>
      </w:r>
    </w:p>
    <w:p>
      <w:pPr>
        <w:adjustRightInd/>
        <w:spacing w:line="440" w:lineRule="exact"/>
        <w:ind w:left="-420" w:leftChars="-200" w:right="-420" w:rightChars="-200" w:firstLine="843" w:firstLineChars="35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7.</w:t>
      </w:r>
      <w:r>
        <w:rPr>
          <w:rFonts w:hint="eastAsia" w:ascii="仿宋" w:hAnsi="仿宋" w:eastAsia="仿宋" w:cs="仿宋"/>
          <w:b/>
          <w:bCs/>
          <w:kern w:val="0"/>
          <w:sz w:val="24"/>
          <w:szCs w:val="20"/>
          <w:highlight w:val="none"/>
        </w:rPr>
        <w:t>合同份数</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本合同一式</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份，甲方执 </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份，乙方执</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份，均具有同等法律效力。</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合同订立时间：</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年</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月</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日</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合同订立地点：</w:t>
      </w:r>
      <w:r>
        <w:rPr>
          <w:rFonts w:ascii="仿宋" w:hAnsi="仿宋" w:eastAsia="仿宋" w:cs="仿宋"/>
          <w:bCs/>
          <w:kern w:val="0"/>
          <w:sz w:val="24"/>
          <w:highlight w:val="none"/>
          <w:u w:val="single"/>
        </w:rPr>
        <w:t xml:space="preserve">                                  </w:t>
      </w:r>
      <w:r>
        <w:rPr>
          <w:rFonts w:hint="eastAsia" w:ascii="仿宋" w:hAnsi="仿宋" w:eastAsia="仿宋" w:cs="仿宋"/>
          <w:kern w:val="0"/>
          <w:sz w:val="24"/>
          <w:szCs w:val="20"/>
          <w:highlight w:val="none"/>
        </w:rPr>
        <w:t xml:space="preserve">      </w:t>
      </w:r>
    </w:p>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附件：具体标的及其技术要求和商务要求、联合协议、分包意向协议等。</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lang w:val="en"/>
        </w:rPr>
        <w:t xml:space="preserve">   </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tbl>
      <w:tblPr>
        <w:tblStyle w:val="62"/>
        <w:tblW w:w="9040" w:type="dxa"/>
        <w:jc w:val="center"/>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90" w:hRule="atLeast"/>
          <w:jc w:val="center"/>
        </w:trPr>
        <w:tc>
          <w:tcPr>
            <w:tcW w:w="4632" w:type="dxa"/>
            <w:gridSpan w:val="2"/>
            <w:tcBorders>
              <w:bottom w:val="single" w:color="auto" w:sz="2" w:space="0"/>
              <w:right w:val="single" w:color="auto" w:sz="2" w:space="0"/>
            </w:tcBorders>
            <w:vAlign w:val="center"/>
          </w:tcPr>
          <w:p>
            <w:pPr>
              <w:adjustRightInd/>
              <w:spacing w:line="440" w:lineRule="exact"/>
              <w:ind w:left="-420" w:leftChars="-200" w:right="-420" w:rightChars="-200" w:firstLine="630" w:firstLineChars="300"/>
              <w:rPr>
                <w:rFonts w:hint="eastAsia" w:ascii="仿宋" w:hAnsi="仿宋" w:eastAsia="仿宋" w:cs="仿宋"/>
                <w:kern w:val="0"/>
                <w:szCs w:val="21"/>
                <w:highlight w:val="none"/>
              </w:rPr>
            </w:pPr>
            <w:r>
              <w:rPr>
                <w:rFonts w:hint="eastAsia" w:ascii="仿宋" w:hAnsi="仿宋" w:eastAsia="仿宋" w:cs="仿宋"/>
                <w:kern w:val="0"/>
                <w:szCs w:val="21"/>
                <w:highlight w:val="none"/>
              </w:rPr>
              <w:t>甲方（采购人、受采购人委托签订合同的</w:t>
            </w:r>
          </w:p>
          <w:p>
            <w:pPr>
              <w:adjustRightInd/>
              <w:spacing w:line="440" w:lineRule="exact"/>
              <w:ind w:left="-420" w:leftChars="-200" w:right="-420" w:rightChars="-200" w:firstLine="1050" w:firstLineChars="500"/>
              <w:rPr>
                <w:rFonts w:hint="eastAsia" w:ascii="仿宋" w:hAnsi="仿宋" w:eastAsia="仿宋" w:cs="仿宋"/>
                <w:kern w:val="0"/>
                <w:sz w:val="24"/>
                <w:szCs w:val="20"/>
                <w:highlight w:val="none"/>
              </w:rPr>
            </w:pPr>
            <w:r>
              <w:rPr>
                <w:rFonts w:hint="eastAsia" w:ascii="仿宋" w:hAnsi="仿宋" w:eastAsia="仿宋" w:cs="仿宋"/>
                <w:kern w:val="0"/>
                <w:szCs w:val="21"/>
                <w:highlight w:val="none"/>
              </w:rPr>
              <w:t>单位或采购文件约定的合同甲方）</w:t>
            </w:r>
          </w:p>
        </w:tc>
        <w:tc>
          <w:tcPr>
            <w:tcW w:w="4408" w:type="dxa"/>
            <w:gridSpan w:val="2"/>
            <w:tcBorders>
              <w:left w:val="single" w:color="auto" w:sz="2" w:space="0"/>
              <w:bottom w:val="single" w:color="auto" w:sz="2" w:space="0"/>
            </w:tcBorders>
            <w:vAlign w:val="center"/>
          </w:tcPr>
          <w:p>
            <w:pPr>
              <w:adjustRightInd/>
              <w:spacing w:line="440" w:lineRule="exact"/>
              <w:ind w:left="-420" w:leftChars="-200" w:right="-420" w:rightChars="-200" w:firstLine="1680" w:firstLineChars="7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917"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right="-420" w:rightChars="-200" w:firstLine="360" w:firstLineChars="1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单位名称</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（公章或合同章）</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1171" w:hRule="atLeast"/>
          <w:jc w:val="center"/>
        </w:trPr>
        <w:tc>
          <w:tcPr>
            <w:tcW w:w="2036" w:type="dxa"/>
            <w:vMerge w:val="restart"/>
            <w:tcBorders>
              <w:top w:val="single" w:color="auto" w:sz="2" w:space="0"/>
              <w:right w:val="single" w:color="auto" w:sz="2" w:space="0"/>
            </w:tcBorders>
            <w:vAlign w:val="center"/>
          </w:tcPr>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或其委托代理人</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（签章）</w:t>
            </w:r>
          </w:p>
        </w:tc>
        <w:tc>
          <w:tcPr>
            <w:tcW w:w="2596" w:type="dxa"/>
            <w:vMerge w:val="restart"/>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right w:val="single" w:color="auto" w:sz="2" w:space="0"/>
            </w:tcBorders>
            <w:vAlign w:val="center"/>
          </w:tcPr>
          <w:p>
            <w:pPr>
              <w:adjustRightInd/>
              <w:spacing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法定代表人或其</w:t>
            </w:r>
            <w:r>
              <w:rPr>
                <w:rFonts w:hint="eastAsia" w:ascii="仿宋" w:hAnsi="仿宋" w:eastAsia="仿宋" w:cs="仿宋"/>
                <w:kern w:val="0"/>
                <w:sz w:val="24"/>
                <w:szCs w:val="20"/>
                <w:highlight w:val="none"/>
              </w:rPr>
              <w:br w:type="textWrapping"/>
            </w:r>
            <w:r>
              <w:rPr>
                <w:rFonts w:hint="eastAsia" w:ascii="仿宋" w:hAnsi="仿宋" w:eastAsia="仿宋" w:cs="仿宋"/>
                <w:kern w:val="0"/>
                <w:sz w:val="24"/>
                <w:szCs w:val="20"/>
                <w:highlight w:val="none"/>
              </w:rPr>
              <w:t>委</w:t>
            </w:r>
            <w:r>
              <w:rPr>
                <w:rFonts w:ascii="仿宋" w:hAnsi="仿宋" w:eastAsia="仿宋" w:cs="仿宋"/>
                <w:kern w:val="0"/>
                <w:sz w:val="24"/>
                <w:szCs w:val="20"/>
                <w:highlight w:val="none"/>
              </w:rPr>
              <w:t xml:space="preserve"> </w:t>
            </w:r>
            <w:r>
              <w:rPr>
                <w:rFonts w:hint="eastAsia" w:ascii="仿宋" w:hAnsi="仿宋" w:eastAsia="仿宋" w:cs="仿宋"/>
                <w:kern w:val="0"/>
                <w:sz w:val="24"/>
                <w:szCs w:val="20"/>
                <w:highlight w:val="none"/>
              </w:rPr>
              <w:t>托代理人（签章）</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vMerge w:val="continue"/>
            <w:tcBorders>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vMerge w:val="continue"/>
            <w:tcBorders>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拥有者性别</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1080" w:firstLineChars="4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住  所</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住  所</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 系 人</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联系电话</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通信地址</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邮政编码</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960" w:firstLineChars="4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电子邮箱</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ascii="仿宋" w:hAnsi="仿宋" w:eastAsia="仿宋" w:cs="仿宋"/>
                <w:kern w:val="0"/>
                <w:sz w:val="24"/>
                <w:szCs w:val="20"/>
                <w:highlight w:val="none"/>
              </w:rPr>
              <w:t xml:space="preserve">  </w:t>
            </w: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80" w:right="-420" w:rightChars="-200" w:hanging="480" w:hanging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统一社会信用代码</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开户名称</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开户银行</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483" w:hRule="atLeast"/>
          <w:jc w:val="center"/>
        </w:trPr>
        <w:tc>
          <w:tcPr>
            <w:tcW w:w="2036" w:type="dxa"/>
            <w:tcBorders>
              <w:top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596"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2130" w:type="dxa"/>
            <w:tcBorders>
              <w:top w:val="single" w:color="auto" w:sz="2" w:space="0"/>
              <w:left w:val="single" w:color="auto" w:sz="2" w:space="0"/>
              <w:bottom w:val="single" w:color="auto" w:sz="2" w:space="0"/>
              <w:right w:val="single" w:color="auto" w:sz="2" w:space="0"/>
            </w:tcBorders>
            <w:vAlign w:val="center"/>
          </w:tcPr>
          <w:p>
            <w:pPr>
              <w:adjustRightInd/>
              <w:spacing w:line="440" w:lineRule="exact"/>
              <w:ind w:left="-420" w:leftChars="-200" w:right="-420" w:rightChars="-200" w:firstLine="840" w:firstLineChars="3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银行账号</w:t>
            </w:r>
          </w:p>
        </w:tc>
        <w:tc>
          <w:tcPr>
            <w:tcW w:w="2278" w:type="dxa"/>
            <w:tcBorders>
              <w:top w:val="single" w:color="auto" w:sz="2" w:space="0"/>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Ex>
        <w:trPr>
          <w:trHeight w:val="586" w:hRule="atLeast"/>
          <w:jc w:val="center"/>
        </w:trPr>
        <w:tc>
          <w:tcPr>
            <w:tcW w:w="9040" w:type="dxa"/>
            <w:gridSpan w:val="4"/>
            <w:tcBorders>
              <w:top w:val="single" w:color="auto" w:sz="2" w:space="0"/>
            </w:tcBorders>
            <w:vAlign w:val="center"/>
          </w:tcPr>
          <w:p>
            <w:pPr>
              <w:adjustRightInd/>
              <w:spacing w:line="440" w:lineRule="exact"/>
              <w:ind w:left="-420" w:leftChars="-200" w:right="-420" w:rightChars="-200" w:firstLine="600" w:firstLineChars="25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注：涉及联合体或其他合同主体的信息应按上表格式加列。</w:t>
            </w:r>
          </w:p>
        </w:tc>
      </w:tr>
    </w:tbl>
    <w:p>
      <w:pPr>
        <w:numPr>
          <w:ilvl w:val="0"/>
          <w:numId w:val="3"/>
        </w:numPr>
        <w:adjustRightInd/>
        <w:spacing w:line="440" w:lineRule="exact"/>
        <w:ind w:left="-420" w:leftChars="-200" w:right="-420" w:rightChars="-200" w:firstLine="480" w:firstLineChars="200"/>
        <w:jc w:val="center"/>
        <w:rPr>
          <w:rFonts w:hint="eastAsia" w:ascii="仿宋" w:hAnsi="仿宋" w:eastAsia="仿宋" w:cs="仿宋"/>
          <w:b/>
          <w:bCs/>
          <w:kern w:val="0"/>
          <w:sz w:val="24"/>
          <w:szCs w:val="20"/>
          <w:highlight w:val="none"/>
        </w:rPr>
      </w:pPr>
      <w:r>
        <w:rPr>
          <w:rFonts w:hint="eastAsia" w:ascii="仿宋" w:hAnsi="仿宋" w:eastAsia="仿宋" w:cs="仿宋"/>
          <w:kern w:val="0"/>
          <w:sz w:val="24"/>
          <w:szCs w:val="20"/>
          <w:highlight w:val="none"/>
        </w:rPr>
        <w:br w:type="page"/>
      </w:r>
      <w:bookmarkStart w:id="65" w:name="_Toc27624"/>
      <w:r>
        <w:rPr>
          <w:rFonts w:hint="eastAsia" w:ascii="仿宋" w:hAnsi="仿宋" w:eastAsia="仿宋" w:cs="仿宋"/>
          <w:b/>
          <w:bCs/>
          <w:kern w:val="0"/>
          <w:sz w:val="24"/>
          <w:szCs w:val="20"/>
          <w:highlight w:val="none"/>
        </w:rPr>
        <w:t>政府采购合同通用条款</w:t>
      </w:r>
      <w:bookmarkEnd w:id="65"/>
    </w:p>
    <w:p>
      <w:pPr>
        <w:numPr>
          <w:ilvl w:val="255"/>
          <w:numId w:val="0"/>
        </w:num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1.定义</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1.1合同当事人</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1.2本合同下列术语应解释为：</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技术资料和材料等。</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（4）“相关服务”系指根据合同规定，乙方应提供的与货物有关的技术、管理和</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义务。</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（7）其他术语解释，见【政府采购合同专用条款】。</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2.合同标的及金额</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 合同标的及金额应与中标（成交）结果一致。乙方为履行本合同而发生的所有费用均应包含在合同价款中，甲方不再另行支付</w:t>
      </w:r>
      <w:r>
        <w:rPr>
          <w:rFonts w:hint="eastAsia" w:ascii="仿宋" w:hAnsi="仿宋" w:eastAsia="仿宋" w:cs="仿宋"/>
          <w:kern w:val="0"/>
          <w:sz w:val="24"/>
          <w:szCs w:val="20"/>
          <w:highlight w:val="none"/>
          <w:lang w:val="en"/>
        </w:rPr>
        <w:t>其他</w:t>
      </w:r>
      <w:r>
        <w:rPr>
          <w:rFonts w:hint="eastAsia" w:ascii="仿宋" w:hAnsi="仿宋" w:eastAsia="仿宋" w:cs="仿宋"/>
          <w:kern w:val="0"/>
          <w:sz w:val="24"/>
          <w:szCs w:val="20"/>
          <w:highlight w:val="none"/>
        </w:rPr>
        <w:t>任何费用。</w:t>
      </w:r>
    </w:p>
    <w:p>
      <w:pPr>
        <w:adjustRightInd/>
        <w:spacing w:line="440" w:lineRule="exact"/>
        <w:ind w:left="-42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3.履行合同的时间、地点和方式</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3.1 乙方应当在约定的时间、地点，按照约定方式履行合同。</w:t>
      </w:r>
    </w:p>
    <w:p>
      <w:pPr>
        <w:adjustRightInd/>
        <w:spacing w:line="440" w:lineRule="exact"/>
        <w:ind w:left="-420" w:right="-420" w:rightChars="-200" w:firstLine="723" w:firstLineChars="3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4.甲方的权利和义务</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4.6 国家法律法规规定及【政府采购合同专用条款】约定应由甲方承担的其他义务和责任。</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5.乙方的权利和义务</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5.1 签署合同后，乙方应确定项目负责人（或项目联系人），负责与本合同有关的事务。</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5.3乙方有权根据合同约定向甲方收取合同价款。</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5.4国家法律法规规定及【政府采购合同专用条款】约定应由乙方承担的其他义务和责任。</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6.合同履行</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7.货物包装、运输、保险和交付要求</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7.3 货物保险要求按【政府采购合同专用条款】规定执行。</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8</w:t>
      </w:r>
      <w:r>
        <w:rPr>
          <w:rFonts w:hint="eastAsia" w:ascii="仿宋" w:hAnsi="仿宋" w:eastAsia="仿宋" w:cs="仿宋"/>
          <w:b/>
          <w:bCs/>
          <w:kern w:val="0"/>
          <w:sz w:val="24"/>
          <w:szCs w:val="20"/>
          <w:highlight w:val="none"/>
        </w:rPr>
        <w:t>.质量标准和保证</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8.1 质量标准</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（2）采用中华人民共和国法定计量单位。</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（3）乙方所提供的货物应符合国家有关安全、环保、卫生的规定。</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8.2 保证</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（2）在质量保证期内所发现的缺陷，甲方应尽快以书面形式通知乙方。</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9.权利瑕疵担保</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9.1 乙方保证对其出售的货物享有合法的权利。</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9.2 乙方保证在交付的货物上不存在抵押权等担保物权。</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9.3 如甲方使用上述货物构成对第三人侵权的，则由乙方承担全部责任。</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10.知识产权保护</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10.1 乙方对其所销售的货物应当享有知识产权或经权利人合法授权，保证没有侵犯任何第三人的知识产权等权利。</w:t>
      </w:r>
      <w:bookmarkStart w:id="66" w:name="_Hlk163047038"/>
      <w:r>
        <w:rPr>
          <w:rFonts w:hint="eastAsia" w:ascii="仿宋" w:hAnsi="仿宋" w:eastAsia="仿宋" w:cs="仿宋"/>
          <w:kern w:val="0"/>
          <w:sz w:val="24"/>
          <w:szCs w:val="20"/>
          <w:highlight w:val="none"/>
        </w:rPr>
        <w:t>因违反前述约定对第三人构成侵权的，应当由乙方向第三人承担法律责任；甲方依法向第三人赔偿后，有权向乙方追偿。甲方有其他损失的，乙方应当赔偿</w:t>
      </w:r>
      <w:bookmarkEnd w:id="66"/>
      <w:r>
        <w:rPr>
          <w:rFonts w:hint="eastAsia" w:ascii="仿宋" w:hAnsi="仿宋" w:eastAsia="仿宋" w:cs="仿宋"/>
          <w:kern w:val="0"/>
          <w:sz w:val="24"/>
          <w:szCs w:val="20"/>
          <w:highlight w:val="none"/>
        </w:rPr>
        <w:t>。</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11.保密义务</w:t>
      </w:r>
    </w:p>
    <w:p>
      <w:pPr>
        <w:adjustRightInd/>
        <w:spacing w:line="440" w:lineRule="exact"/>
        <w:ind w:left="-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12. 合同价款支付</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12.1 合同价款支付按照国库集中支付制度及财政管理相关规定执行。</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13.履约保证金</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13.1 乙方应当以支票、汇票、本票或者金融机构、担保机构出具的保函等非现金形式提交。</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14.售后服务</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14.1 除项目不涉及或采购活动中明确约定无须承担外，乙方还应提供下列服务：</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（1）货物的现场移动、安装、调试、启动监督及技术支持；</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（2）提供货物组装和维修所需的专用工具和辅助材料；</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（6）【政府采购合同专用条款】规定由乙方提供的其他服务。</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14.2 乙方提供的售后服务的费用已包含在合同价款中，甲方不再另行支付。</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15.违约责任</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15.1质量瑕疵的违约责任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15.2 迟延交货的违约责任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15.3 迟延支付的违约责任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15.4其他违约责任根据项目实际需要按【政府采购合同专用条款】规定执行。</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16.合同变更、中止与终止</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16.1合同的变更</w:t>
      </w:r>
    </w:p>
    <w:p>
      <w:pPr>
        <w:adjustRightInd/>
        <w:spacing w:line="440" w:lineRule="exact"/>
        <w:ind w:left="-199" w:leftChars="-95" w:right="-420" w:rightChars="-200" w:firstLine="259" w:firstLineChars="1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16.2合同的中止</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16.3合同的终止</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（1）合同因有效期限届满而终止；</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16.4 涉及国家利益、社会公共利益的情形</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17.合同分包</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18.不可抗力</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18.1 不可抗力是指合同双方不能预见、不能避免且不能克服的客观情况。</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19.解决争议的方法</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w:t>
      </w:r>
      <w:bookmarkStart w:id="67" w:name="OLE_LINK11"/>
      <w:r>
        <w:rPr>
          <w:rFonts w:hint="eastAsia" w:ascii="仿宋" w:hAnsi="仿宋" w:eastAsia="仿宋" w:cs="仿宋"/>
          <w:kern w:val="0"/>
          <w:sz w:val="24"/>
          <w:szCs w:val="20"/>
          <w:highlight w:val="none"/>
        </w:rPr>
        <w:t>柯桥分会</w:t>
      </w:r>
      <w:bookmarkEnd w:id="67"/>
      <w:r>
        <w:rPr>
          <w:rFonts w:hint="eastAsia" w:ascii="仿宋" w:hAnsi="仿宋" w:eastAsia="仿宋" w:cs="仿宋"/>
          <w:kern w:val="0"/>
          <w:sz w:val="24"/>
          <w:szCs w:val="20"/>
          <w:highlight w:val="none"/>
        </w:rPr>
        <w:t>仲裁。</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19.2 如甲乙双方有争议的事项不影响合同其他部分的履行，在争议解决期间，合同其他部分应当继续履行。</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20.政府采购政策</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20.1 </w:t>
      </w:r>
      <w:r>
        <w:rPr>
          <w:rFonts w:hint="eastAsia" w:ascii="仿宋" w:hAnsi="仿宋" w:eastAsia="仿宋" w:cs="仿宋"/>
          <w:kern w:val="0"/>
          <w:sz w:val="24"/>
          <w:szCs w:val="20"/>
          <w:highlight w:val="none"/>
          <w:lang w:val="en-GB"/>
        </w:rPr>
        <w:t>本合同应当按照规定执行政府采购政策。</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20.2 本合同依法执行政府采购政策的方式和内容，属于合同履约验收的范围。甲乙双方</w:t>
      </w:r>
      <w:r>
        <w:rPr>
          <w:rFonts w:hint="eastAsia" w:ascii="仿宋" w:hAnsi="仿宋" w:eastAsia="仿宋" w:cs="仿宋"/>
          <w:kern w:val="0"/>
          <w:sz w:val="24"/>
          <w:szCs w:val="20"/>
          <w:highlight w:val="none"/>
          <w:lang w:val="en-GB"/>
        </w:rPr>
        <w:t>未按规定要求执行政府采购政策造成损失的</w:t>
      </w:r>
      <w:r>
        <w:rPr>
          <w:rFonts w:hint="eastAsia" w:ascii="仿宋" w:hAnsi="仿宋" w:eastAsia="仿宋" w:cs="仿宋"/>
          <w:kern w:val="0"/>
          <w:sz w:val="24"/>
          <w:szCs w:val="20"/>
          <w:highlight w:val="none"/>
        </w:rPr>
        <w:t>，有过错的一方应当承担赔偿责任，双方都有过错的，各自承担相应的责任。</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21.法律适用</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21.1 本合同的订立、生效、解释、履行及与本合同有关的争议解决，均适用法律、行政法规。</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22.通知</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22.1 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22.2 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22.4通知以送达之日或通知书中规定的生效之日起生效，两者中以较迟之日为准。</w:t>
      </w:r>
    </w:p>
    <w:p>
      <w:pPr>
        <w:adjustRightInd/>
        <w:spacing w:line="440" w:lineRule="exact"/>
        <w:ind w:left="-200" w:right="-420" w:rightChars="-200" w:firstLine="482" w:firstLineChars="200"/>
        <w:rPr>
          <w:rFonts w:hint="eastAsia" w:ascii="仿宋" w:hAnsi="仿宋" w:eastAsia="仿宋" w:cs="仿宋"/>
          <w:b/>
          <w:bCs/>
          <w:kern w:val="0"/>
          <w:sz w:val="24"/>
          <w:szCs w:val="20"/>
          <w:highlight w:val="none"/>
        </w:rPr>
      </w:pPr>
      <w:r>
        <w:rPr>
          <w:rFonts w:ascii="仿宋" w:hAnsi="仿宋" w:eastAsia="仿宋" w:cs="仿宋"/>
          <w:b/>
          <w:bCs/>
          <w:kern w:val="0"/>
          <w:sz w:val="24"/>
          <w:szCs w:val="20"/>
          <w:highlight w:val="none"/>
        </w:rPr>
        <w:t>23.合同未尽事项</w:t>
      </w:r>
    </w:p>
    <w:p>
      <w:pPr>
        <w:adjustRightInd/>
        <w:spacing w:line="440" w:lineRule="exact"/>
        <w:ind w:left="-420" w:leftChars="-200" w:right="-420" w:rightChars="-200" w:firstLine="720" w:firstLineChars="3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23.1合同未尽事项见【政府采购合同专用条款】。</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 xml:space="preserve">  23.2 合同附件与合同正文具有同等的法律效力。</w:t>
      </w:r>
      <w:bookmarkStart w:id="68" w:name="_Toc20313"/>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br w:type="page"/>
      </w:r>
    </w:p>
    <w:p>
      <w:pPr>
        <w:adjustRightInd/>
        <w:spacing w:line="440" w:lineRule="exact"/>
        <w:ind w:left="-420" w:leftChars="-200" w:right="-420" w:rightChars="-200" w:firstLine="482" w:firstLineChars="200"/>
        <w:jc w:val="center"/>
        <w:rPr>
          <w:rFonts w:hint="eastAsia" w:ascii="仿宋" w:hAnsi="仿宋" w:eastAsia="仿宋" w:cs="仿宋"/>
          <w:b/>
          <w:bCs/>
          <w:kern w:val="0"/>
          <w:sz w:val="24"/>
          <w:szCs w:val="20"/>
          <w:highlight w:val="none"/>
        </w:rPr>
      </w:pPr>
      <w:r>
        <w:rPr>
          <w:rFonts w:hint="eastAsia" w:ascii="仿宋" w:hAnsi="仿宋" w:eastAsia="仿宋" w:cs="仿宋"/>
          <w:b/>
          <w:bCs/>
          <w:kern w:val="0"/>
          <w:sz w:val="24"/>
          <w:szCs w:val="20"/>
          <w:highlight w:val="none"/>
        </w:rPr>
        <w:t>第三节 政府采购合同专用条款</w:t>
      </w:r>
      <w:bookmarkEnd w:id="68"/>
    </w:p>
    <w:tbl>
      <w:tblPr>
        <w:tblStyle w:val="62"/>
        <w:tblW w:w="8519"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第1.2（6）项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联合体具体要求</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04"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第1.2（7）项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其他术语解释</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第4.4款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履约验收中甲方</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提出异议或作</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出说明的期限</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第4.6款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约定甲方承担的</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第5.4款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约定乙方承担的</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其他义务和责任</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第6.1款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履行合同义务</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的顺序</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jc w:val="center"/>
        </w:trPr>
        <w:tc>
          <w:tcPr>
            <w:tcW w:w="1787" w:type="dxa"/>
            <w:vMerge w:val="restart"/>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第7.1款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包装特殊要求</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jc w:val="center"/>
        </w:trPr>
        <w:tc>
          <w:tcPr>
            <w:tcW w:w="1787" w:type="dxa"/>
            <w:vMerge w:val="continue"/>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指定现场</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2"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第7.2款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运输特殊要求</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7"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第7.3款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保险要求</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第8.2（1）项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质量保证期</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第8.2（3）项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货物质量缺陷</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响应时间</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第11.1款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其他应当保密</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的信息</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第12.2款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合同价款支付</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时间</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97"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第13.2款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不予退还的情形</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第13.3款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履约保证金退还</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时间及逾期退还</w:t>
            </w:r>
          </w:p>
          <w:p>
            <w:pPr>
              <w:adjustRightInd/>
              <w:spacing w:line="440" w:lineRule="exact"/>
              <w:ind w:right="-420" w:rightChars="-200"/>
              <w:rPr>
                <w:rFonts w:hint="eastAsia" w:ascii="仿宋" w:hAnsi="仿宋" w:cs="仿宋"/>
                <w:kern w:val="0"/>
                <w:sz w:val="24"/>
                <w:szCs w:val="20"/>
                <w:highlight w:val="none"/>
              </w:rPr>
            </w:pPr>
            <w:r>
              <w:rPr>
                <w:rFonts w:hint="eastAsia" w:ascii="仿宋" w:hAnsi="仿宋" w:eastAsia="仿宋" w:cs="仿宋"/>
                <w:kern w:val="0"/>
                <w:sz w:val="24"/>
                <w:szCs w:val="20"/>
                <w:highlight w:val="none"/>
              </w:rPr>
              <w:t>的违约金</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第14.1（3）项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运行监督、</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维修期限</w:t>
            </w:r>
          </w:p>
        </w:tc>
        <w:tc>
          <w:tcPr>
            <w:tcW w:w="4875" w:type="dxa"/>
            <w:vAlign w:val="center"/>
          </w:tcPr>
          <w:p>
            <w:pPr>
              <w:adjustRightInd/>
              <w:spacing w:line="440" w:lineRule="exact"/>
              <w:ind w:right="-420" w:right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第14.1（5）项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货物回收的约定</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第14.1（6）项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乙方提供的其他</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服务</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第15.1款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修理、重作、更</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换相关具体规定</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第15.2（2）项</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迟延交货赔偿费</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第15.3款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逾期付款利息</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6" w:hRule="atLeast"/>
          <w:jc w:val="center"/>
        </w:trPr>
        <w:tc>
          <w:tcPr>
            <w:tcW w:w="1787" w:type="dxa"/>
            <w:tcBorders>
              <w:bottom w:val="single" w:color="auto" w:sz="2" w:space="0"/>
              <w:right w:val="single" w:color="auto" w:sz="2" w:space="0"/>
            </w:tcBorders>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第15.4款</w:t>
            </w:r>
          </w:p>
        </w:tc>
        <w:tc>
          <w:tcPr>
            <w:tcW w:w="1857" w:type="dxa"/>
            <w:tcBorders>
              <w:left w:val="single" w:color="auto" w:sz="2" w:space="0"/>
              <w:bottom w:val="single" w:color="auto" w:sz="2" w:space="0"/>
              <w:right w:val="single" w:color="auto" w:sz="2" w:space="0"/>
            </w:tcBorders>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其他违约责任</w:t>
            </w:r>
          </w:p>
        </w:tc>
        <w:tc>
          <w:tcPr>
            <w:tcW w:w="4875" w:type="dxa"/>
            <w:tcBorders>
              <w:left w:val="single" w:color="auto" w:sz="2" w:space="0"/>
              <w:bottom w:val="single" w:color="auto" w:sz="2" w:space="0"/>
            </w:tcBorders>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787" w:type="dxa"/>
            <w:tcBorders>
              <w:top w:val="single" w:color="auto" w:sz="2" w:space="0"/>
              <w:right w:val="single" w:color="auto" w:sz="2" w:space="0"/>
            </w:tcBorders>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第19.2款</w:t>
            </w:r>
          </w:p>
        </w:tc>
        <w:tc>
          <w:tcPr>
            <w:tcW w:w="1857" w:type="dxa"/>
            <w:tcBorders>
              <w:top w:val="single" w:color="auto" w:sz="2" w:space="0"/>
              <w:left w:val="single" w:color="auto" w:sz="2" w:space="0"/>
              <w:right w:val="single" w:color="auto" w:sz="2" w:space="0"/>
            </w:tcBorders>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解决争议的方法</w:t>
            </w:r>
          </w:p>
        </w:tc>
        <w:tc>
          <w:tcPr>
            <w:tcW w:w="4875" w:type="dxa"/>
            <w:tcBorders>
              <w:top w:val="single" w:color="auto" w:sz="2" w:space="0"/>
              <w:left w:val="single" w:color="auto" w:sz="2" w:space="0"/>
            </w:tcBorders>
            <w:vAlign w:val="center"/>
          </w:tcPr>
          <w:p>
            <w:pPr>
              <w:spacing w:line="440" w:lineRule="exact"/>
              <w:ind w:right="-420" w:rightChars="-200"/>
              <w:rPr>
                <w:rFonts w:hint="eastAsia" w:ascii="仿宋" w:hAnsi="仿宋" w:eastAsia="仿宋" w:cs="仿宋"/>
                <w:sz w:val="24"/>
                <w:highlight w:val="none"/>
              </w:rPr>
            </w:pPr>
            <w:r>
              <w:rPr>
                <w:rFonts w:hint="eastAsia" w:ascii="仿宋" w:hAnsi="仿宋" w:eastAsia="仿宋" w:cs="仿宋"/>
                <w:sz w:val="24"/>
                <w:highlight w:val="none"/>
              </w:rPr>
              <w:t>双方当事人均可通过和解或者调解解决；不</w:t>
            </w:r>
          </w:p>
          <w:p>
            <w:pPr>
              <w:spacing w:line="440" w:lineRule="exact"/>
              <w:ind w:right="-420" w:rightChars="-200"/>
              <w:rPr>
                <w:rFonts w:hint="eastAsia" w:ascii="仿宋" w:hAnsi="仿宋" w:eastAsia="仿宋" w:cs="仿宋"/>
                <w:sz w:val="24"/>
                <w:highlight w:val="none"/>
              </w:rPr>
            </w:pPr>
            <w:r>
              <w:rPr>
                <w:rFonts w:hint="eastAsia" w:ascii="仿宋" w:hAnsi="仿宋" w:eastAsia="仿宋" w:cs="仿宋"/>
                <w:sz w:val="24"/>
                <w:highlight w:val="none"/>
              </w:rPr>
              <w:t>愿和解、调解或者和解、调解不成的，将争</w:t>
            </w:r>
          </w:p>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r>
              <w:rPr>
                <w:rFonts w:hint="eastAsia" w:ascii="仿宋" w:hAnsi="仿宋" w:eastAsia="仿宋" w:cs="仿宋"/>
                <w:sz w:val="24"/>
                <w:highlight w:val="none"/>
              </w:rPr>
              <w:t>议提交绍兴仲裁委员会柯桥分会仲裁。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70" w:hRule="atLeast"/>
          <w:jc w:val="center"/>
        </w:trPr>
        <w:tc>
          <w:tcPr>
            <w:tcW w:w="178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第二节</w:t>
            </w:r>
          </w:p>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第23.1款</w:t>
            </w:r>
          </w:p>
        </w:tc>
        <w:tc>
          <w:tcPr>
            <w:tcW w:w="1857" w:type="dxa"/>
            <w:vAlign w:val="center"/>
          </w:tcPr>
          <w:p>
            <w:pPr>
              <w:adjustRightInd/>
              <w:spacing w:line="440" w:lineRule="exact"/>
              <w:ind w:right="-420" w:rightChars="-200"/>
              <w:rPr>
                <w:rFonts w:hint="eastAsia" w:ascii="仿宋" w:hAnsi="仿宋" w:eastAsia="仿宋" w:cs="仿宋"/>
                <w:kern w:val="0"/>
                <w:sz w:val="24"/>
                <w:szCs w:val="20"/>
                <w:highlight w:val="none"/>
              </w:rPr>
            </w:pPr>
            <w:r>
              <w:rPr>
                <w:rFonts w:hint="eastAsia" w:ascii="仿宋" w:hAnsi="仿宋" w:eastAsia="仿宋" w:cs="仿宋"/>
                <w:kern w:val="0"/>
                <w:sz w:val="24"/>
                <w:szCs w:val="20"/>
                <w:highlight w:val="none"/>
              </w:rPr>
              <w:t>其他专用条款</w:t>
            </w:r>
          </w:p>
        </w:tc>
        <w:tc>
          <w:tcPr>
            <w:tcW w:w="4875" w:type="dxa"/>
            <w:vAlign w:val="center"/>
          </w:tcPr>
          <w:p>
            <w:pPr>
              <w:adjustRightInd/>
              <w:spacing w:line="440" w:lineRule="exact"/>
              <w:ind w:left="-420" w:leftChars="-200" w:right="-420" w:rightChars="-200" w:firstLine="480" w:firstLineChars="200"/>
              <w:rPr>
                <w:rFonts w:hint="eastAsia" w:ascii="仿宋" w:hAnsi="仿宋" w:eastAsia="仿宋" w:cs="仿宋"/>
                <w:kern w:val="0"/>
                <w:sz w:val="24"/>
                <w:szCs w:val="20"/>
                <w:highlight w:val="none"/>
              </w:rPr>
            </w:pPr>
          </w:p>
        </w:tc>
      </w:tr>
    </w:tbl>
    <w:p>
      <w:pPr>
        <w:spacing w:line="360" w:lineRule="auto"/>
        <w:jc w:val="center"/>
        <w:rPr>
          <w:rFonts w:hint="eastAsia" w:ascii="仿宋" w:hAnsi="仿宋" w:eastAsia="仿宋" w:cs="仿宋"/>
          <w:b/>
          <w:sz w:val="36"/>
          <w:szCs w:val="36"/>
          <w:highlight w:val="none"/>
        </w:rPr>
      </w:pPr>
    </w:p>
    <w:p>
      <w:pPr>
        <w:spacing w:line="360" w:lineRule="auto"/>
        <w:jc w:val="center"/>
        <w:rPr>
          <w:rFonts w:hint="eastAsia" w:ascii="仿宋" w:hAnsi="仿宋" w:eastAsia="仿宋" w:cs="仿宋"/>
          <w:b/>
          <w:sz w:val="36"/>
          <w:szCs w:val="36"/>
          <w:highlight w:val="none"/>
        </w:rPr>
      </w:pP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投标文件满足招标文件全部实质性要求，且按照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pPr>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70</w:t>
      </w:r>
      <w:r>
        <w:rPr>
          <w:rFonts w:hint="eastAsia" w:ascii="仿宋" w:hAnsi="仿宋" w:eastAsia="仿宋" w:cs="仿宋"/>
          <w:sz w:val="24"/>
          <w:highlight w:val="none"/>
        </w:rPr>
        <w:t>，价格分</w:t>
      </w:r>
      <w:r>
        <w:rPr>
          <w:rFonts w:hint="eastAsia" w:ascii="仿宋" w:hAnsi="仿宋" w:eastAsia="仿宋" w:cs="仿宋"/>
          <w:sz w:val="24"/>
          <w:highlight w:val="none"/>
          <w:u w:val="single"/>
        </w:rPr>
        <w:t>30</w:t>
      </w:r>
      <w:r>
        <w:rPr>
          <w:rFonts w:hint="eastAsia" w:ascii="仿宋" w:hAnsi="仿宋" w:eastAsia="仿宋" w:cs="仿宋"/>
          <w:sz w:val="24"/>
          <w:highlight w:val="none"/>
        </w:rPr>
        <w:t>分。评分依下述所列为评标打分依据，分值如下（计算分值时，按其算术平均值保留小数2位）。</w:t>
      </w:r>
    </w:p>
    <w:p>
      <w:pPr>
        <w:spacing w:line="440" w:lineRule="exact"/>
        <w:ind w:firstLine="482" w:firstLineChars="200"/>
        <w:rPr>
          <w:rFonts w:hint="eastAsia" w:ascii="仿宋" w:hAnsi="仿宋" w:eastAsia="仿宋" w:cs="仿宋"/>
          <w:b/>
          <w:sz w:val="32"/>
          <w:szCs w:val="20"/>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70</w:t>
      </w:r>
      <w:r>
        <w:rPr>
          <w:rFonts w:hint="eastAsia" w:ascii="仿宋" w:hAnsi="仿宋" w:eastAsia="仿宋" w:cs="仿宋"/>
          <w:b/>
          <w:bCs/>
          <w:iCs/>
          <w:sz w:val="24"/>
          <w:highlight w:val="none"/>
        </w:rPr>
        <w:t>分）</w:t>
      </w:r>
    </w:p>
    <w:tbl>
      <w:tblPr>
        <w:tblStyle w:val="62"/>
        <w:tblW w:w="9519" w:type="dxa"/>
        <w:jc w:val="center"/>
        <w:tblInd w:w="0" w:type="dxa"/>
        <w:tblLayout w:type="fixed"/>
        <w:tblCellMar>
          <w:top w:w="0" w:type="dxa"/>
          <w:left w:w="108" w:type="dxa"/>
          <w:bottom w:w="0" w:type="dxa"/>
          <w:right w:w="108" w:type="dxa"/>
        </w:tblCellMar>
      </w:tblPr>
      <w:tblGrid>
        <w:gridCol w:w="718"/>
        <w:gridCol w:w="1470"/>
        <w:gridCol w:w="6135"/>
        <w:gridCol w:w="1196"/>
      </w:tblGrid>
      <w:tr>
        <w:tblPrEx>
          <w:tblLayout w:type="fixed"/>
          <w:tblCellMar>
            <w:top w:w="0" w:type="dxa"/>
            <w:left w:w="108" w:type="dxa"/>
            <w:bottom w:w="0" w:type="dxa"/>
            <w:right w:w="108" w:type="dxa"/>
          </w:tblCellMar>
        </w:tblPrEx>
        <w:trPr>
          <w:trHeight w:val="437"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序号</w:t>
            </w:r>
          </w:p>
        </w:tc>
        <w:tc>
          <w:tcPr>
            <w:tcW w:w="1470"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评分项</w:t>
            </w:r>
          </w:p>
        </w:tc>
        <w:tc>
          <w:tcPr>
            <w:tcW w:w="6135"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评审依据及标准</w:t>
            </w:r>
          </w:p>
        </w:tc>
        <w:tc>
          <w:tcPr>
            <w:tcW w:w="1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分值</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体系认证</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投标人具有环境管理体系认证证书、质量管理体系认证证书、信息安全管理体系认证证书，每有一本证书得1分，最高得3分，提供相关证书复印件并加盖投标人公章。</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业绩</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2022年1月1日至今（合同签订时间为准）投标人承接过同类项目成功案例的，每个项目案例得1分，最高得3分，提供完整合同复印件并加盖投标人公章。</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拟投入团队</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1、项目负责人具有高级信息系统项目管理师证书的得1分。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技术团队成员（不含项目负责人）：具有高级工程师（信息技术类或通信技术类或广电工程类或工程技术类）的得1分；具有注册信息安全专业人员证书的得1分；具有网络工程师证书或通信专业技术人员职业资格证书中级及以上的，每有一本得1分，最高得2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注：以上证书均需提供相关证书复印件、证书持有人必须为投标人本单位正式员工并需出具本单位社保缴纳证明加盖投标人公章。同一人员具有多本证书的不重复加分，仅按一本证书计。</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产品技术指标</w:t>
            </w:r>
          </w:p>
          <w:p>
            <w:pPr>
              <w:spacing w:line="440" w:lineRule="exact"/>
              <w:ind w:firstLine="480" w:firstLineChars="200"/>
              <w:jc w:val="left"/>
              <w:rPr>
                <w:rFonts w:hint="eastAsia" w:ascii="仿宋" w:hAnsi="仿宋" w:eastAsia="仿宋" w:cs="仿宋"/>
                <w:sz w:val="24"/>
                <w:highlight w:val="none"/>
              </w:rPr>
            </w:pP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完全满足招标文件要求的得</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分；一般性指标出现负偏离每项扣1分，负偏离扣</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分及以上的，视为采购人不能接受的附加条件；（涉及到需提供相关证明材料的内容，需提供相应的证明材料，不提供视为不响应）。非量化类的，若是功能一样，表述方式不一样则为符合。</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240" w:firstLineChars="100"/>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w:t>
            </w:r>
          </w:p>
        </w:tc>
      </w:tr>
      <w:tr>
        <w:tblPrEx>
          <w:tblLayout w:type="fixed"/>
          <w:tblCellMar>
            <w:top w:w="0" w:type="dxa"/>
            <w:left w:w="108" w:type="dxa"/>
            <w:bottom w:w="0" w:type="dxa"/>
            <w:right w:w="108" w:type="dxa"/>
          </w:tblCellMar>
        </w:tblPrEx>
        <w:trPr>
          <w:trHeight w:val="40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技术方案</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各投标人需提供各系统技术方案：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根据招标文件功能要求，结合路口实际情况，编制交通信号系统设备联网联控补盲的技术方案，方案科学全面、目标明确、有针对性与项目匹配度高的得9分；方案较完善、目标较明确、针对性较强，和项目匹配度较高得6分；方案完整度一般、目标不够明确、针对性不强，和项目匹配度一般得4分；方案不够完善、目标不明确、针对性不强，和项目不匹配得2分；其余不得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移动信息服务平台的技术方案，方案全面完善、目标明确、有针对性与项目匹配度高的得4分；方案较完善、目标较明确、针对性较强，和项目匹配度较高得2分；方案完整度一般、目标不够明确、针对性不强，和项目匹配度一般得1分；其余不得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智慧铁骑违停的技术方案，方案全面完善、目标明确、有针对性与项目匹配度高的得4分；方案较完善、目标较明确、针对性较强，和项目匹配度较高得2分；方案完整度一般、目标不够明确、针对性不强，和项目匹配度一般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17</w:t>
            </w:r>
          </w:p>
        </w:tc>
      </w:tr>
      <w:tr>
        <w:tblPrEx>
          <w:tblLayout w:type="fixed"/>
          <w:tblCellMar>
            <w:top w:w="0" w:type="dxa"/>
            <w:left w:w="108" w:type="dxa"/>
            <w:bottom w:w="0" w:type="dxa"/>
            <w:right w:w="108" w:type="dxa"/>
          </w:tblCellMar>
        </w:tblPrEx>
        <w:trPr>
          <w:trHeight w:val="3070"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通信网络</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本项目路口分布在安昌、马鞍、齐贤、杨汛桥、华舍、柯桥等多个镇街，各投标人需提供完善的网络传输解决方案，保证项目中设备数据稳定高速安全的传输。方案内容完全符合项目实际需求的得</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分；方案完整度基本满足、内容粗略、不够明确、针对性不强，和项目匹配度一般得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分；缺乏科学性、内容缺失和项目无法匹配得1分；其余不得分。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施工组织方案</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根据投标人提供的项目实施方案进行打分，方案内容应包含进度计划、组织计划、人员配备、施工质量保障等主要方面。实施方案完整、科学、严密和项目匹配性高得5分；方案较完整、较科学、较严密和项目匹配性较高得3分；缺乏科学性、内容缺失和项目无法匹配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8</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售后服务方案</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提供本项目的售后服务方案，服务方案详尽，可行性强，对突发事件有应对措施，且组织机构健全、协调能力强，人员配置到位。具体包括以下几部分。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①根据投标人售后服务机构、售后服务内容、故障响应时间、故障处理措施及应急处理预案进行评议，方案全面完善、目标明确、有针对性，和项目匹配度高的得2分；方案内容缺失、目标不够明确、针对性不强，基本符合项目实际的得1分；其余不得分。</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②为保证项目按时、保质完成，需组建一个人员数量配置充足、经验丰富、分工明确的专业施工团队：人员配置合理、科学，掌握专业技能，具备电工证、登高证、安全员证书等。团队人员配置完全符合采购需求的得3分；人员配置较合理、较科学、略有经验，基本符合采购需求的得2分；人员配置不足，经验缺乏，无法满足采购需求的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5</w:t>
            </w:r>
          </w:p>
        </w:tc>
      </w:tr>
      <w:tr>
        <w:tblPrEx>
          <w:tblLayout w:type="fixed"/>
          <w:tblCellMar>
            <w:top w:w="0" w:type="dxa"/>
            <w:left w:w="108" w:type="dxa"/>
            <w:bottom w:w="0" w:type="dxa"/>
            <w:right w:w="108" w:type="dxa"/>
          </w:tblCellMar>
        </w:tblPrEx>
        <w:trPr>
          <w:trHeight w:val="864" w:hRule="atLeast"/>
          <w:jc w:val="center"/>
        </w:trPr>
        <w:tc>
          <w:tcPr>
            <w:tcW w:w="718"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9</w:t>
            </w:r>
          </w:p>
        </w:tc>
        <w:tc>
          <w:tcPr>
            <w:tcW w:w="147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保密要求</w:t>
            </w:r>
          </w:p>
        </w:tc>
        <w:tc>
          <w:tcPr>
            <w:tcW w:w="6135"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投标人具有完善的保密制度，对工作人员开展常态化安全保密教育，组织签订保密协议、安全保密承诺书，履行具体安全管理内容、安全保密义务和责任等。由专家进行综合评审，方案完全符合项目需求且科学可行的得5分；方案完整度、全面性、科学性一般，基本较符合项目实际需求得3分；方案不够全面、完整度欠缺、不够符合项目实际需求得1分；其余不得分。</w:t>
            </w:r>
          </w:p>
        </w:tc>
        <w:tc>
          <w:tcPr>
            <w:tcW w:w="1196" w:type="dxa"/>
            <w:tcBorders>
              <w:top w:val="single" w:color="auto" w:sz="4" w:space="0"/>
              <w:left w:val="single" w:color="auto" w:sz="4" w:space="0"/>
              <w:bottom w:val="single" w:color="auto" w:sz="4" w:space="0"/>
              <w:right w:val="single" w:color="auto" w:sz="4" w:space="0"/>
            </w:tcBorders>
            <w:vAlign w:val="center"/>
          </w:tcPr>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w:t>
            </w:r>
          </w:p>
        </w:tc>
      </w:tr>
    </w:tbl>
    <w:p>
      <w:pPr>
        <w:pStyle w:val="131"/>
        <w:snapToGrid w:val="0"/>
        <w:spacing w:line="440" w:lineRule="exact"/>
        <w:ind w:firstLine="480"/>
        <w:rPr>
          <w:rFonts w:hint="eastAsia" w:ascii="仿宋" w:hAnsi="仿宋" w:eastAsia="仿宋"/>
          <w:b/>
          <w:bCs/>
          <w:color w:val="000000"/>
          <w:highlight w:val="none"/>
        </w:rPr>
      </w:pPr>
      <w:r>
        <w:rPr>
          <w:rFonts w:hint="eastAsia" w:ascii="仿宋" w:hAnsi="仿宋" w:eastAsia="仿宋" w:cs="仿宋_GB2312"/>
          <w:color w:val="000000"/>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highlight w:val="none"/>
        </w:rPr>
        <w:t>商务技术分低于42分的，</w:t>
      </w:r>
      <w:r>
        <w:rPr>
          <w:rFonts w:hint="eastAsia" w:ascii="仿宋" w:hAnsi="仿宋" w:eastAsia="仿宋"/>
          <w:b/>
          <w:bCs/>
          <w:color w:val="000000"/>
          <w:highlight w:val="none"/>
        </w:rPr>
        <w:t>视为采购人不能接受的附加条件。</w:t>
      </w:r>
    </w:p>
    <w:p>
      <w:pPr>
        <w:pStyle w:val="131"/>
        <w:snapToGrid w:val="0"/>
        <w:spacing w:line="440" w:lineRule="exact"/>
        <w:ind w:firstLine="482"/>
        <w:rPr>
          <w:rFonts w:hint="eastAsia" w:ascii="仿宋" w:hAnsi="仿宋" w:eastAsia="仿宋" w:cs="仿宋"/>
          <w:highlight w:val="none"/>
        </w:rPr>
      </w:pPr>
      <w:r>
        <w:rPr>
          <w:rFonts w:hint="eastAsia" w:ascii="仿宋" w:hAnsi="仿宋" w:eastAsia="仿宋" w:cs="仿宋"/>
          <w:b/>
          <w:highlight w:val="none"/>
        </w:rPr>
        <w:t>备注：</w:t>
      </w:r>
      <w:r>
        <w:rPr>
          <w:rFonts w:hint="eastAsia" w:ascii="仿宋" w:hAnsi="仿宋" w:eastAsia="仿宋" w:cs="仿宋"/>
          <w:highlight w:val="none"/>
        </w:rPr>
        <w:t>投标人编制投标文件（商务技术文件部分）时，建议按此目录（序号和内容）提供评标标准相应的商务技术资料。 </w:t>
      </w:r>
    </w:p>
    <w:p>
      <w:pPr>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30</w:t>
      </w:r>
      <w:r>
        <w:rPr>
          <w:rFonts w:hint="eastAsia" w:ascii="仿宋" w:hAnsi="仿宋" w:eastAsia="仿宋" w:cs="仿宋"/>
          <w:b/>
          <w:bCs/>
          <w:iCs/>
          <w:sz w:val="24"/>
          <w:highlight w:val="none"/>
        </w:rPr>
        <w:t>分）</w:t>
      </w:r>
    </w:p>
    <w:p>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pPr>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30</w:t>
      </w: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p>
      <w:pPr>
        <w:spacing w:line="360" w:lineRule="auto"/>
        <w:ind w:left="720" w:firstLine="723" w:firstLineChars="200"/>
        <w:outlineLvl w:val="0"/>
        <w:rPr>
          <w:rFonts w:hint="eastAsia" w:ascii="仿宋" w:hAnsi="仿宋" w:eastAsia="仿宋" w:cs="仿宋"/>
          <w:b/>
          <w:sz w:val="36"/>
          <w:szCs w:val="20"/>
          <w:highlight w:val="none"/>
        </w:rPr>
      </w:pPr>
    </w:p>
    <w:bookmarkEnd w:id="53"/>
    <w:bookmarkEnd w:id="54"/>
    <w:p>
      <w:pPr>
        <w:pageBreakBefore/>
        <w:widowControl/>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 投标文件及其附件格式</w:t>
      </w:r>
    </w:p>
    <w:p>
      <w:pPr>
        <w:spacing w:line="360" w:lineRule="auto"/>
        <w:jc w:val="center"/>
        <w:outlineLvl w:val="0"/>
        <w:rPr>
          <w:rFonts w:hint="eastAsia" w:ascii="仿宋" w:hAnsi="仿宋" w:eastAsia="仿宋" w:cs="仿宋"/>
          <w:b/>
          <w:kern w:val="0"/>
          <w:sz w:val="36"/>
          <w:szCs w:val="36"/>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pPr>
        <w:pStyle w:val="23"/>
        <w:rPr>
          <w:rFonts w:hint="eastAsia" w:ascii="仿宋" w:hAnsi="仿宋" w:eastAsia="仿宋" w:cs="仿宋"/>
          <w:highlight w:val="none"/>
        </w:rPr>
      </w:pPr>
      <w:r>
        <w:rPr>
          <w:rFonts w:hint="eastAsia" w:ascii="仿宋" w:hAnsi="仿宋" w:eastAsia="仿宋" w:cs="仿宋"/>
          <w:highlight w:val="none"/>
        </w:rPr>
        <w:t>（3）分包协议………………………………………………………………（页码）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pPr>
        <w:snapToGrid w:val="0"/>
        <w:spacing w:line="360" w:lineRule="auto"/>
        <w:rPr>
          <w:rFonts w:hint="eastAsia" w:ascii="仿宋" w:hAnsi="仿宋" w:eastAsia="仿宋" w:cs="仿宋"/>
          <w:sz w:val="24"/>
          <w:highlight w:val="none"/>
        </w:rPr>
      </w:pPr>
    </w:p>
    <w:p>
      <w:pPr>
        <w:snapToGrid w:val="0"/>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r>
        <w:rPr>
          <w:rFonts w:hint="eastAsia" w:ascii="仿宋" w:hAnsi="仿宋" w:eastAsia="仿宋" w:cs="仿宋"/>
          <w:sz w:val="24"/>
          <w:highlight w:val="none"/>
        </w:rPr>
        <w:t>：</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临[2025]1921-001号</w:t>
      </w:r>
      <w:r>
        <w:rPr>
          <w:rFonts w:hint="eastAsia" w:ascii="仿宋" w:hAnsi="仿宋" w:eastAsia="仿宋" w:cs="仿宋"/>
          <w:sz w:val="24"/>
          <w:highlight w:val="none"/>
          <w:u w:val="single"/>
        </w:rPr>
        <w:t>】</w:t>
      </w:r>
      <w:r>
        <w:rPr>
          <w:rFonts w:hint="eastAsia" w:ascii="仿宋" w:hAnsi="仿宋" w:eastAsia="仿宋" w:cs="仿宋"/>
          <w:sz w:val="24"/>
          <w:highlight w:val="none"/>
        </w:rPr>
        <w:t>政府采购活动，郑重承诺：</w:t>
      </w:r>
    </w:p>
    <w:p>
      <w:pPr>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（二）未被信用中国（www.creditchina.gov.cn)、中国政府采购网（www.ccgp.gov.cn）列入失信被执行人、重大税收违法失信主体、政府采购严重违法失信行为记录名单。</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pPr>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pPr>
        <w:snapToGrid w:val="0"/>
        <w:spacing w:line="360" w:lineRule="auto"/>
        <w:ind w:right="480"/>
        <w:jc w:val="center"/>
        <w:rPr>
          <w:rFonts w:hint="eastAsia" w:ascii="仿宋" w:hAnsi="仿宋" w:eastAsia="仿宋" w:cs="仿宋"/>
          <w:b/>
          <w:kern w:val="0"/>
          <w:sz w:val="32"/>
          <w:szCs w:val="32"/>
          <w:highlight w:val="none"/>
        </w:rPr>
      </w:pPr>
    </w:p>
    <w:p>
      <w:pPr>
        <w:pageBreakBefore/>
        <w:widowControl/>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[以联合体形式投标的，提供联合协议（附件4）；本项目不接受联合体投标或者投标人不以联合体形式投标的，则不需要提供]</w:t>
      </w:r>
    </w:p>
    <w:p>
      <w:pPr>
        <w:pStyle w:val="80"/>
        <w:rPr>
          <w:color w:val="auto"/>
          <w:highlight w:val="none"/>
        </w:rPr>
      </w:pPr>
    </w:p>
    <w:p>
      <w:pPr>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pPr>
        <w:widowControl/>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[中标后以分包方式履行合同的，提供分包意向协议(附件5)；采购人不同意分包或者投标人中标后不以分包方式履行合同的，则不需要提供。]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要求以联合体形式参加的，提供联合协议（附件4）和中小企业声明函（附件7），联合协议中中小企业合同金额应当达到招标公告载明的比例；如果供应商本身提供所有标的均由中小企业制造的，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pPr>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要求合同分包的，提供分包意向协议（附件5）和中小企业声明函（附件7），分包意向协议中中小企业合同金额应当达到招标公告载明的比例；如果供应商本身提供所有标的均由中小企业制造的，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highlight w:val="none"/>
        </w:rPr>
      </w:pPr>
    </w:p>
    <w:p>
      <w:pPr>
        <w:widowControl/>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pPr>
        <w:pageBreakBefore/>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hint="eastAsia" w:ascii="仿宋" w:hAnsi="仿宋" w:eastAsia="仿宋" w:cs="仿宋"/>
          <w:b/>
          <w:kern w:val="0"/>
          <w:sz w:val="24"/>
          <w:highlight w:val="none"/>
        </w:rPr>
      </w:pPr>
    </w:p>
    <w:p>
      <w:pPr>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投标函…………………………………………………………………………（页码）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法定代表人授权委托书 …………………………………………………… （页码）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法定代表人及其授权代表身份证复印件……………………………………（页码）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授权代表社保证明…………………………………………………………… （页码）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法定代表人身份证明书……………………………………………………… （页码）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rPr>
        <w:t>商务技术偏离表……………………………………………………………… （页码）</w:t>
      </w:r>
    </w:p>
    <w:p>
      <w:pPr>
        <w:pStyle w:val="905"/>
        <w:numPr>
          <w:ilvl w:val="0"/>
          <w:numId w:val="4"/>
        </w:numPr>
        <w:spacing w:line="336" w:lineRule="auto"/>
        <w:ind w:left="0" w:firstLine="0" w:firstLineChars="0"/>
        <w:rPr>
          <w:rFonts w:hint="eastAsia"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sz w:val="24"/>
          <w:highlight w:val="none"/>
        </w:rPr>
        <w:t>（页码）</w:t>
      </w:r>
    </w:p>
    <w:p>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pPr>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（12）供应商售后服务证明材料…………………………………………………</w:t>
      </w:r>
      <w:r>
        <w:rPr>
          <w:rFonts w:ascii="仿宋" w:hAnsi="仿宋" w:eastAsia="仿宋" w:cs="仿宋"/>
          <w:sz w:val="24"/>
          <w:highlight w:val="none"/>
        </w:rPr>
        <w:t xml:space="preserve">  </w:t>
      </w:r>
      <w:r>
        <w:rPr>
          <w:rFonts w:hint="eastAsia" w:ascii="仿宋" w:hAnsi="仿宋" w:eastAsia="仿宋" w:cs="仿宋"/>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pPr>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pPr>
        <w:spacing w:line="360" w:lineRule="auto"/>
        <w:ind w:right="-368" w:rightChars="-175"/>
        <w:rPr>
          <w:rFonts w:hint="eastAsia"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ascii="仿宋" w:hAnsi="仿宋" w:eastAsia="仿宋" w:cs="仿宋"/>
          <w:kern w:val="0"/>
          <w:sz w:val="24"/>
          <w:highlight w:val="none"/>
        </w:rPr>
        <w:t xml:space="preserve">  </w:t>
      </w:r>
      <w:r>
        <w:rPr>
          <w:rFonts w:hint="eastAsia" w:ascii="仿宋" w:hAnsi="仿宋" w:eastAsia="仿宋" w:cs="仿宋"/>
          <w:kern w:val="0"/>
          <w:sz w:val="24"/>
          <w:highlight w:val="none"/>
        </w:rPr>
        <w:t>（页码）</w:t>
      </w: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snapToGrid w:val="0"/>
        <w:spacing w:line="360" w:lineRule="auto"/>
        <w:jc w:val="center"/>
        <w:rPr>
          <w:rFonts w:hint="eastAsia" w:ascii="仿宋" w:hAnsi="仿宋" w:eastAsia="仿宋" w:cs="仿宋"/>
          <w:b/>
          <w:kern w:val="0"/>
          <w:sz w:val="32"/>
          <w:szCs w:val="32"/>
          <w:highlight w:val="none"/>
          <w:lang w:val="zh-CN"/>
        </w:rPr>
      </w:pPr>
    </w:p>
    <w:p>
      <w:pPr>
        <w:pageBreakBefore/>
        <w:snapToGrid w:val="0"/>
        <w:spacing w:line="360" w:lineRule="auto"/>
        <w:ind w:firstLine="3855" w:firstLineChars="1200"/>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pPr>
        <w:pStyle w:val="396"/>
        <w:spacing w:after="12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致：</w:t>
      </w:r>
      <w:r>
        <w:rPr>
          <w:rFonts w:hint="eastAsia" w:ascii="仿宋" w:hAnsi="仿宋" w:eastAsia="仿宋" w:cs="仿宋"/>
          <w:szCs w:val="24"/>
          <w:highlight w:val="none"/>
          <w:u w:val="single"/>
        </w:rPr>
        <w:t xml:space="preserve"> </w:t>
      </w:r>
      <w:r>
        <w:rPr>
          <w:rFonts w:hint="eastAsia" w:ascii="仿宋" w:hAnsi="仿宋" w:eastAsia="仿宋" w:cs="仿宋"/>
          <w:highlight w:val="none"/>
          <w:u w:val="single"/>
          <w:lang w:eastAsia="zh-CN"/>
        </w:rPr>
        <w:t>绍兴市公安局柯桥区分局交通警察大队</w:t>
      </w:r>
      <w:r>
        <w:rPr>
          <w:rFonts w:hint="eastAsia" w:ascii="仿宋" w:hAnsi="仿宋" w:eastAsia="仿宋" w:cs="仿宋"/>
          <w:highlight w:val="none"/>
          <w:u w:val="single"/>
        </w:rPr>
        <w:t>、浙江越锋项目管理有限公司</w:t>
      </w:r>
      <w:r>
        <w:rPr>
          <w:rFonts w:hint="eastAsia" w:ascii="仿宋" w:hAnsi="仿宋" w:eastAsia="仿宋" w:cs="仿宋"/>
          <w:szCs w:val="24"/>
          <w:highlight w:val="none"/>
          <w:u w:val="single"/>
        </w:rPr>
        <w:t xml:space="preserve"> </w:t>
      </w:r>
    </w:p>
    <w:p>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 xml:space="preserve">填写招标编号：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我方已完全明白招标文件的所有条款要求，兹声明同意如下：</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1.我方同意在投标人须知规定的开标日期起遵守本投标文件中的承诺且在投标有效期满之前均具有约束力。</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2.我方承诺已经具备《中华人民共和国政府采购法》中规定的参加政府采购活动的供应商应当具备的条件。</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4.我方理解贵方将不受你们所收到的最低报价的约束。</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5.本投标自开标之日（投标截止之日）起90天内有效。</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pPr>
        <w:pStyle w:val="396"/>
        <w:spacing w:after="12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pPr>
        <w:snapToGrid w:val="0"/>
        <w:spacing w:line="440" w:lineRule="exact"/>
        <w:ind w:firstLine="480" w:firstLineChars="200"/>
        <w:jc w:val="left"/>
        <w:rPr>
          <w:rFonts w:hint="eastAsia" w:ascii="仿宋" w:hAnsi="仿宋" w:eastAsia="仿宋" w:cs="仿宋"/>
          <w:sz w:val="24"/>
          <w:highlight w:val="none"/>
        </w:rPr>
      </w:pPr>
    </w:p>
    <w:p>
      <w:pPr>
        <w:snapToGrid w:val="0"/>
        <w:spacing w:line="440" w:lineRule="exact"/>
        <w:ind w:firstLine="480" w:firstLineChars="200"/>
        <w:jc w:val="left"/>
        <w:rPr>
          <w:rFonts w:hint="eastAsia"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pPr>
        <w:snapToGrid w:val="0"/>
        <w:spacing w:line="360" w:lineRule="auto"/>
        <w:jc w:val="center"/>
        <w:rPr>
          <w:rFonts w:hint="eastAsia" w:ascii="仿宋" w:hAnsi="仿宋" w:eastAsia="仿宋" w:cs="仿宋"/>
          <w:b/>
          <w:kern w:val="0"/>
          <w:sz w:val="32"/>
          <w:szCs w:val="32"/>
          <w:highlight w:val="none"/>
        </w:rPr>
      </w:pPr>
    </w:p>
    <w:p>
      <w:pPr>
        <w:snapToGrid w:val="0"/>
        <w:spacing w:line="360" w:lineRule="auto"/>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jc w:val="center"/>
        <w:rPr>
          <w:rFonts w:hint="eastAsia" w:ascii="仿宋" w:hAnsi="仿宋" w:eastAsia="仿宋" w:cs="仿宋"/>
          <w:b/>
          <w:kern w:val="0"/>
          <w:sz w:val="32"/>
          <w:szCs w:val="32"/>
          <w:highlight w:val="none"/>
        </w:rPr>
      </w:pPr>
    </w:p>
    <w:p>
      <w:pPr>
        <w:pageBreakBefore/>
        <w:widowControl/>
        <w:adjustRightInd/>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jc w:val="center"/>
        <w:rPr>
          <w:rFonts w:hint="eastAsia" w:ascii="仿宋" w:hAnsi="仿宋" w:eastAsia="仿宋" w:cs="仿宋"/>
          <w:b/>
          <w:kern w:val="0"/>
          <w:sz w:val="32"/>
          <w:szCs w:val="32"/>
          <w:highlight w:val="none"/>
        </w:rPr>
      </w:pPr>
    </w:p>
    <w:p>
      <w:pPr>
        <w:rPr>
          <w:rFonts w:hint="eastAsia" w:ascii="仿宋" w:hAnsi="仿宋" w:eastAsia="仿宋" w:cs="仿宋"/>
          <w:highlight w:val="none"/>
        </w:rPr>
      </w:pP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highlight w:val="none"/>
          <w:lang w:val="zh-CN"/>
        </w:rPr>
      </w:pPr>
    </w:p>
    <w:p>
      <w:pPr>
        <w:spacing w:line="800" w:lineRule="exact"/>
        <w:rPr>
          <w:rFonts w:hint="eastAsia" w:ascii="仿宋" w:hAnsi="仿宋" w:eastAsia="仿宋" w:cs="仿宋"/>
          <w:b/>
          <w:sz w:val="24"/>
          <w:highlight w:val="none"/>
        </w:rPr>
      </w:pPr>
    </w:p>
    <w:p>
      <w:pPr>
        <w:spacing w:line="800" w:lineRule="exact"/>
        <w:jc w:val="center"/>
        <w:rPr>
          <w:rFonts w:hint="eastAsia" w:ascii="仿宋_GB2312" w:hAnsi="宋体" w:eastAsia="仿宋_GB2312"/>
          <w:b/>
          <w:sz w:val="30"/>
          <w:szCs w:val="30"/>
          <w:highlight w:val="none"/>
        </w:rPr>
      </w:pPr>
      <w:r>
        <w:rPr>
          <w:rFonts w:hint="eastAsia" w:ascii="仿宋" w:hAnsi="仿宋" w:eastAsia="仿宋" w:cs="仿宋"/>
          <w:b/>
          <w:sz w:val="30"/>
          <w:szCs w:val="30"/>
          <w:highlight w:val="none"/>
        </w:rPr>
        <w:t>三、</w:t>
      </w:r>
      <w:r>
        <w:rPr>
          <w:rFonts w:hint="eastAsia" w:ascii="仿宋_GB2312" w:hAnsi="宋体" w:eastAsia="仿宋_GB2312"/>
          <w:b/>
          <w:sz w:val="30"/>
          <w:szCs w:val="30"/>
          <w:highlight w:val="none"/>
        </w:rPr>
        <w:t>授权代表社保证明（复印件）</w:t>
      </w:r>
    </w:p>
    <w:p>
      <w:pPr>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2"/>
        <w:rPr>
          <w:rFonts w:hint="eastAsia" w:hAnsi="宋体"/>
          <w:sz w:val="24"/>
          <w:highlight w:val="none"/>
          <w:u w:val="wave"/>
        </w:rPr>
      </w:pPr>
    </w:p>
    <w:p>
      <w:pPr>
        <w:rPr>
          <w:rFonts w:hint="eastAsia" w:ascii="仿宋_GB2312" w:hAnsi="宋体" w:eastAsia="仿宋_GB2312"/>
          <w:sz w:val="24"/>
          <w:highlight w:val="none"/>
          <w:u w:val="wave"/>
        </w:rPr>
      </w:pPr>
    </w:p>
    <w:p>
      <w:pPr>
        <w:pStyle w:val="2"/>
        <w:rPr>
          <w:rFonts w:hint="eastAsia"/>
          <w:highlight w:val="none"/>
        </w:rPr>
      </w:pPr>
    </w:p>
    <w:p>
      <w:pPr>
        <w:pageBreakBefore/>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pPr>
        <w:spacing w:line="800" w:lineRule="exact"/>
        <w:rPr>
          <w:rFonts w:hint="eastAsia" w:ascii="仿宋" w:hAnsi="仿宋" w:eastAsia="仿宋" w:cs="仿宋"/>
          <w:b/>
          <w:sz w:val="24"/>
          <w:highlight w:val="none"/>
        </w:rPr>
      </w:pPr>
    </w:p>
    <w:p>
      <w:pPr>
        <w:pStyle w:val="2"/>
        <w:rPr>
          <w:rFonts w:hint="eastAsia" w:ascii="仿宋" w:eastAsia="仿宋" w:cs="仿宋"/>
          <w:sz w:val="24"/>
          <w:highlight w:val="none"/>
        </w:rPr>
      </w:pPr>
    </w:p>
    <w:p>
      <w:pPr>
        <w:rPr>
          <w:highlight w:val="none"/>
        </w:rPr>
      </w:pPr>
    </w:p>
    <w:p>
      <w:pPr>
        <w:spacing w:line="800" w:lineRule="exact"/>
        <w:rPr>
          <w:rFonts w:hint="eastAsia" w:ascii="仿宋" w:hAnsi="仿宋" w:eastAsia="仿宋" w:cs="仿宋"/>
          <w:b/>
          <w:sz w:val="24"/>
          <w:highlight w:val="none"/>
        </w:rPr>
      </w:pPr>
    </w:p>
    <w:p>
      <w:pPr>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pPr>
        <w:spacing w:line="440" w:lineRule="exact"/>
        <w:rPr>
          <w:rFonts w:hint="eastAsia" w:ascii="仿宋" w:hAnsi="仿宋" w:eastAsia="仿宋" w:cs="仿宋"/>
          <w:sz w:val="24"/>
          <w:highlight w:val="none"/>
        </w:rPr>
      </w:pP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投标人名称：                             （电子签章）</w:t>
      </w:r>
    </w:p>
    <w:p>
      <w:pPr>
        <w:spacing w:line="440" w:lineRule="exact"/>
        <w:ind w:right="480"/>
        <w:rPr>
          <w:rFonts w:hint="eastAsia" w:ascii="仿宋" w:hAnsi="仿宋" w:eastAsia="仿宋" w:cs="仿宋"/>
          <w:sz w:val="24"/>
          <w:highlight w:val="none"/>
        </w:rPr>
      </w:pPr>
    </w:p>
    <w:p>
      <w:pPr>
        <w:jc w:val="right"/>
        <w:rPr>
          <w:rFonts w:hint="eastAsia" w:ascii="仿宋" w:hAnsi="仿宋" w:eastAsia="仿宋" w:cs="仿宋"/>
          <w:b/>
          <w:kern w:val="0"/>
          <w:sz w:val="32"/>
          <w:szCs w:val="32"/>
          <w:highlight w:val="none"/>
        </w:rPr>
      </w:pPr>
      <w:r>
        <w:rPr>
          <w:rFonts w:hint="eastAsia" w:ascii="仿宋" w:hAnsi="仿宋" w:eastAsia="仿宋" w:cs="仿宋"/>
          <w:sz w:val="24"/>
          <w:highlight w:val="none"/>
        </w:rPr>
        <w:t>年   月   日</w:t>
      </w:r>
      <w:r>
        <w:rPr>
          <w:rFonts w:hint="eastAsia" w:ascii="仿宋" w:hAnsi="仿宋" w:eastAsia="仿宋" w:cs="仿宋"/>
          <w:b/>
          <w:kern w:val="0"/>
          <w:sz w:val="32"/>
          <w:szCs w:val="32"/>
          <w:highlight w:val="none"/>
        </w:rPr>
        <w:br w:type="page"/>
      </w:r>
    </w:p>
    <w:p>
      <w:pPr>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pPr>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9" w:type="dxa"/>
          </w:tcPr>
          <w:p>
            <w:pPr>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jc w:val="center"/>
              <w:rPr>
                <w:rFonts w:hint="eastAsia" w:ascii="仿宋" w:hAnsi="仿宋" w:eastAsia="仿宋" w:cs="仿宋"/>
                <w:b/>
                <w:kern w:val="0"/>
                <w:sz w:val="32"/>
                <w:szCs w:val="32"/>
                <w:highlight w:val="none"/>
              </w:rPr>
            </w:pPr>
          </w:p>
        </w:tc>
        <w:tc>
          <w:tcPr>
            <w:tcW w:w="3546" w:type="dxa"/>
          </w:tcPr>
          <w:p>
            <w:pPr>
              <w:jc w:val="center"/>
              <w:rPr>
                <w:rFonts w:hint="eastAsia" w:ascii="仿宋" w:hAnsi="仿宋" w:eastAsia="仿宋" w:cs="仿宋"/>
                <w:b/>
                <w:kern w:val="0"/>
                <w:sz w:val="32"/>
                <w:szCs w:val="32"/>
                <w:highlight w:val="none"/>
              </w:rPr>
            </w:pPr>
          </w:p>
        </w:tc>
        <w:tc>
          <w:tcPr>
            <w:tcW w:w="1276" w:type="dxa"/>
          </w:tcPr>
          <w:p>
            <w:pPr>
              <w:jc w:val="center"/>
              <w:rPr>
                <w:rFonts w:hint="eastAsia" w:ascii="仿宋" w:hAnsi="仿宋" w:eastAsia="仿宋" w:cs="仿宋"/>
                <w:b/>
                <w:kern w:val="0"/>
                <w:sz w:val="32"/>
                <w:szCs w:val="32"/>
                <w:highlight w:val="none"/>
              </w:rPr>
            </w:pPr>
          </w:p>
        </w:tc>
      </w:tr>
    </w:tbl>
    <w:p>
      <w:pPr>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pPr>
        <w:jc w:val="center"/>
        <w:rPr>
          <w:rFonts w:hint="eastAsia" w:ascii="仿宋" w:hAnsi="仿宋" w:eastAsia="仿宋" w:cs="仿宋"/>
          <w:b/>
          <w:kern w:val="0"/>
          <w:sz w:val="32"/>
          <w:szCs w:val="32"/>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ind w:firstLine="1911" w:firstLineChars="595"/>
        <w:rPr>
          <w:rFonts w:hint="eastAsia" w:ascii="仿宋" w:hAnsi="仿宋" w:eastAsia="仿宋" w:cs="仿宋"/>
          <w:b/>
          <w:bCs/>
          <w:sz w:val="32"/>
          <w:szCs w:val="32"/>
          <w:highlight w:val="none"/>
        </w:rPr>
      </w:pPr>
    </w:p>
    <w:p>
      <w:pPr>
        <w:pageBreakBefore/>
        <w:widowControl/>
        <w:tabs>
          <w:tab w:val="left" w:pos="1538"/>
          <w:tab w:val="center" w:pos="4541"/>
        </w:tabs>
        <w:adjustRightInd/>
        <w:jc w:val="left"/>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ab/>
      </w: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60" w:lineRule="auto"/>
        <w:rPr>
          <w:rFonts w:hint="eastAsia" w:ascii="仿宋" w:hAnsi="仿宋" w:eastAsia="仿宋" w:cs="仿宋"/>
          <w:sz w:val="24"/>
          <w:highlight w:val="none"/>
        </w:rPr>
      </w:pPr>
    </w:p>
    <w:p>
      <w:pPr>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pPr>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pPr>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pPr>
        <w:spacing w:line="360" w:lineRule="auto"/>
        <w:jc w:val="center"/>
        <w:rPr>
          <w:rFonts w:hint="eastAsia" w:ascii="仿宋" w:hAnsi="仿宋" w:eastAsia="仿宋" w:cs="仿宋"/>
          <w:b/>
          <w:bCs/>
          <w:sz w:val="24"/>
          <w:highlight w:val="none"/>
        </w:rPr>
      </w:pP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spacing w:line="360" w:lineRule="auto"/>
        <w:jc w:val="center"/>
        <w:rPr>
          <w:rFonts w:hint="eastAsia" w:ascii="仿宋_GB2312" w:hAnsi="仿宋_GB2312" w:eastAsia="仿宋_GB2312" w:cs="仿宋_GB2312"/>
          <w:b/>
          <w:sz w:val="32"/>
          <w:szCs w:val="32"/>
          <w:highlight w:val="none"/>
        </w:rPr>
      </w:pPr>
    </w:p>
    <w:p>
      <w:pPr>
        <w:spacing w:line="360" w:lineRule="auto"/>
        <w:jc w:val="center"/>
        <w:rPr>
          <w:rFonts w:hint="eastAsia" w:ascii="仿宋_GB2312" w:hAnsi="仿宋_GB2312" w:eastAsia="仿宋_GB2312" w:cs="仿宋_GB2312"/>
          <w:b/>
          <w:sz w:val="32"/>
          <w:szCs w:val="32"/>
          <w:highlight w:val="none"/>
        </w:rPr>
      </w:pPr>
    </w:p>
    <w:p>
      <w:pPr>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Layout w:type="fixed"/>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sz w:val="24"/>
          <w:highlight w:val="none"/>
        </w:rPr>
      </w:pPr>
    </w:p>
    <w:p>
      <w:pPr>
        <w:autoSpaceDE w:val="0"/>
        <w:autoSpaceDN w:val="0"/>
        <w:spacing w:line="360" w:lineRule="auto"/>
        <w:rPr>
          <w:rFonts w:hint="eastAsia" w:ascii="仿宋_GB2312" w:hAnsi="仿宋_GB2312" w:eastAsia="仿宋_GB2312" w:cs="仿宋_GB2312"/>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648"/>
        <w:ind w:firstLine="0"/>
        <w:jc w:val="both"/>
        <w:rPr>
          <w:rFonts w:hint="eastAsia" w:hAnsi="仿宋_GB2312" w:cs="仿宋_GB2312"/>
          <w:highlight w:val="none"/>
        </w:rPr>
      </w:pPr>
    </w:p>
    <w:p>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hint="eastAsia" w:ascii="仿宋_GB2312" w:hAnsi="仿宋_GB2312" w:eastAsia="仿宋_GB2312" w:cs="仿宋_GB2312"/>
          <w:sz w:val="24"/>
          <w:highlight w:val="none"/>
        </w:rPr>
      </w:pPr>
    </w:p>
    <w:p>
      <w:pPr>
        <w:snapToGrid w:val="0"/>
        <w:spacing w:line="360" w:lineRule="auto"/>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pPr>
              <w:spacing w:line="360" w:lineRule="auto"/>
              <w:jc w:val="center"/>
              <w:rPr>
                <w:rFonts w:hint="eastAsia" w:ascii="仿宋_GB2312" w:hAnsi="仿宋_GB2312" w:eastAsia="仿宋_GB2312" w:cs="仿宋_GB2312"/>
                <w:sz w:val="24"/>
                <w:highlight w:val="none"/>
              </w:rPr>
            </w:pPr>
          </w:p>
        </w:tc>
        <w:tc>
          <w:tcPr>
            <w:tcW w:w="1080" w:type="dxa"/>
            <w:vAlign w:val="center"/>
          </w:tcPr>
          <w:p>
            <w:pPr>
              <w:spacing w:line="360" w:lineRule="auto"/>
              <w:jc w:val="center"/>
              <w:rPr>
                <w:rFonts w:hint="eastAsia" w:ascii="仿宋_GB2312" w:hAnsi="仿宋_GB2312" w:eastAsia="仿宋_GB2312" w:cs="仿宋_GB2312"/>
                <w:sz w:val="24"/>
                <w:highlight w:val="none"/>
              </w:rPr>
            </w:pPr>
          </w:p>
        </w:tc>
        <w:tc>
          <w:tcPr>
            <w:tcW w:w="1332" w:type="dxa"/>
            <w:vAlign w:val="center"/>
          </w:tcPr>
          <w:p>
            <w:pPr>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pPr>
              <w:spacing w:line="360" w:lineRule="auto"/>
              <w:jc w:val="center"/>
              <w:rPr>
                <w:rFonts w:hint="eastAsia" w:ascii="仿宋_GB2312" w:hAnsi="仿宋_GB2312" w:eastAsia="仿宋_GB2312" w:cs="仿宋_GB2312"/>
                <w:sz w:val="24"/>
                <w:highlight w:val="none"/>
              </w:rPr>
            </w:pPr>
          </w:p>
        </w:tc>
        <w:tc>
          <w:tcPr>
            <w:tcW w:w="1080" w:type="dxa"/>
            <w:vAlign w:val="center"/>
          </w:tcPr>
          <w:p>
            <w:pPr>
              <w:spacing w:line="360" w:lineRule="auto"/>
              <w:jc w:val="center"/>
              <w:rPr>
                <w:rFonts w:hint="eastAsia" w:ascii="仿宋_GB2312" w:hAnsi="仿宋_GB2312" w:eastAsia="仿宋_GB2312" w:cs="仿宋_GB2312"/>
                <w:sz w:val="24"/>
                <w:highlight w:val="none"/>
              </w:rPr>
            </w:pPr>
          </w:p>
        </w:tc>
        <w:tc>
          <w:tcPr>
            <w:tcW w:w="1332" w:type="dxa"/>
            <w:vAlign w:val="center"/>
          </w:tcPr>
          <w:p>
            <w:pPr>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pPr>
              <w:spacing w:line="360" w:lineRule="auto"/>
              <w:jc w:val="center"/>
              <w:rPr>
                <w:rFonts w:hint="eastAsia" w:ascii="仿宋_GB2312" w:hAnsi="仿宋_GB2312" w:eastAsia="仿宋_GB2312" w:cs="仿宋_GB2312"/>
                <w:sz w:val="24"/>
                <w:highlight w:val="none"/>
              </w:rPr>
            </w:pPr>
          </w:p>
        </w:tc>
        <w:tc>
          <w:tcPr>
            <w:tcW w:w="1080" w:type="dxa"/>
            <w:vAlign w:val="center"/>
          </w:tcPr>
          <w:p>
            <w:pPr>
              <w:spacing w:line="360" w:lineRule="auto"/>
              <w:jc w:val="center"/>
              <w:rPr>
                <w:rFonts w:hint="eastAsia" w:ascii="仿宋_GB2312" w:hAnsi="仿宋_GB2312" w:eastAsia="仿宋_GB2312" w:cs="仿宋_GB2312"/>
                <w:sz w:val="24"/>
                <w:highlight w:val="none"/>
              </w:rPr>
            </w:pPr>
          </w:p>
        </w:tc>
        <w:tc>
          <w:tcPr>
            <w:tcW w:w="1332" w:type="dxa"/>
            <w:vAlign w:val="center"/>
          </w:tcPr>
          <w:p>
            <w:pPr>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pPr>
              <w:spacing w:line="360" w:lineRule="auto"/>
              <w:jc w:val="center"/>
              <w:rPr>
                <w:rFonts w:hint="eastAsia" w:ascii="仿宋_GB2312" w:hAnsi="仿宋_GB2312" w:eastAsia="仿宋_GB2312" w:cs="仿宋_GB2312"/>
                <w:sz w:val="24"/>
                <w:highlight w:val="none"/>
              </w:rPr>
            </w:pPr>
          </w:p>
        </w:tc>
        <w:tc>
          <w:tcPr>
            <w:tcW w:w="1080" w:type="dxa"/>
            <w:vAlign w:val="center"/>
          </w:tcPr>
          <w:p>
            <w:pPr>
              <w:spacing w:line="360" w:lineRule="auto"/>
              <w:jc w:val="center"/>
              <w:rPr>
                <w:rFonts w:hint="eastAsia" w:ascii="仿宋_GB2312" w:hAnsi="仿宋_GB2312" w:eastAsia="仿宋_GB2312" w:cs="仿宋_GB2312"/>
                <w:sz w:val="24"/>
                <w:highlight w:val="none"/>
              </w:rPr>
            </w:pPr>
          </w:p>
        </w:tc>
        <w:tc>
          <w:tcPr>
            <w:tcW w:w="1332" w:type="dxa"/>
            <w:vAlign w:val="center"/>
          </w:tcPr>
          <w:p>
            <w:pPr>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pPr>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pPr>
              <w:spacing w:line="360" w:lineRule="auto"/>
              <w:jc w:val="center"/>
              <w:rPr>
                <w:rFonts w:hint="eastAsia" w:ascii="仿宋_GB2312" w:hAnsi="仿宋_GB2312" w:eastAsia="仿宋_GB2312" w:cs="仿宋_GB2312"/>
                <w:sz w:val="24"/>
                <w:highlight w:val="none"/>
              </w:rPr>
            </w:pPr>
          </w:p>
        </w:tc>
        <w:tc>
          <w:tcPr>
            <w:tcW w:w="1080" w:type="dxa"/>
            <w:vAlign w:val="center"/>
          </w:tcPr>
          <w:p>
            <w:pPr>
              <w:spacing w:line="360" w:lineRule="auto"/>
              <w:jc w:val="center"/>
              <w:rPr>
                <w:rFonts w:hint="eastAsia" w:ascii="仿宋_GB2312" w:hAnsi="仿宋_GB2312" w:eastAsia="仿宋_GB2312" w:cs="仿宋_GB2312"/>
                <w:sz w:val="24"/>
                <w:highlight w:val="none"/>
              </w:rPr>
            </w:pPr>
          </w:p>
        </w:tc>
        <w:tc>
          <w:tcPr>
            <w:tcW w:w="1332" w:type="dxa"/>
            <w:vAlign w:val="center"/>
          </w:tcPr>
          <w:p>
            <w:pPr>
              <w:spacing w:line="360" w:lineRule="auto"/>
              <w:jc w:val="center"/>
              <w:rPr>
                <w:rFonts w:hint="eastAsia"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1.7pt;width:443.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ascii="仿宋_GB2312" w:hAnsi="仿宋_GB2312" w:eastAsia="仿宋_GB2312" w:cs="仿宋_GB2312"/>
          <w:b/>
          <w:kern w:val="0"/>
          <w:sz w:val="28"/>
          <w:szCs w:val="28"/>
          <w:highlight w:val="none"/>
        </w:rPr>
        <w:object>
          <v:shape id="_x0000_i1026" o:spt="75" type="#_x0000_t75" style="height:41.7pt;width:439.6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kern w:val="0"/>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6"/>
          <w:szCs w:val="36"/>
          <w:highlight w:val="none"/>
          <w:lang w:val="zh-CN"/>
        </w:rPr>
      </w:pPr>
    </w:p>
    <w:p>
      <w:pPr>
        <w:rPr>
          <w:rFonts w:hint="eastAsia" w:ascii="仿宋_GB2312" w:hAnsi="仿宋_GB2312" w:eastAsia="仿宋_GB2312" w:cs="仿宋_GB2312"/>
          <w:b/>
          <w:bCs/>
          <w:kern w:val="0"/>
          <w:sz w:val="32"/>
          <w:szCs w:val="32"/>
          <w:highlight w:val="none"/>
        </w:rPr>
      </w:pPr>
      <w:r>
        <w:rPr>
          <w:rFonts w:hint="eastAsia" w:ascii="仿宋_GB2312" w:hAnsi="仿宋_GB2312" w:eastAsia="仿宋_GB2312" w:cs="仿宋_GB2312"/>
          <w:b/>
          <w:bCs/>
          <w:kern w:val="0"/>
          <w:sz w:val="32"/>
          <w:szCs w:val="32"/>
          <w:highlight w:val="none"/>
        </w:rPr>
        <w:br w:type="page"/>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十</w:t>
      </w:r>
      <w:r>
        <w:rPr>
          <w:rFonts w:hint="eastAsia" w:ascii="仿宋_GB2312" w:hAnsi="仿宋_GB2312" w:eastAsia="仿宋_GB2312" w:cs="仿宋_GB2312"/>
          <w:b/>
          <w:bCs/>
          <w:kern w:val="0"/>
          <w:sz w:val="32"/>
          <w:szCs w:val="32"/>
          <w:highlight w:val="none"/>
          <w:lang w:val="zh-CN"/>
        </w:rPr>
        <w:t>、组织实施方案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2"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c>
          <w:tcPr>
            <w:tcW w:w="553" w:type="dxa"/>
          </w:tcPr>
          <w:p>
            <w:pPr>
              <w:spacing w:line="360" w:lineRule="auto"/>
              <w:rPr>
                <w:rFonts w:hint="eastAsia"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kern w:val="0"/>
          <w:sz w:val="24"/>
          <w:highlight w:val="none"/>
        </w:rPr>
      </w:pPr>
    </w:p>
    <w:p>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80"/>
        <w:rPr>
          <w:highlight w:val="none"/>
        </w:rPr>
      </w:pPr>
    </w:p>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pPr>
              <w:autoSpaceDE w:val="0"/>
              <w:autoSpaceDN w:val="0"/>
              <w:spacing w:line="360" w:lineRule="auto"/>
              <w:jc w:val="center"/>
              <w:rPr>
                <w:rFonts w:hint="eastAsia" w:ascii="仿宋_GB2312" w:hAnsi="仿宋_GB2312" w:eastAsia="仿宋_GB2312" w:cs="仿宋_GB2312"/>
                <w:sz w:val="24"/>
                <w:highlight w:val="none"/>
              </w:rPr>
            </w:pPr>
          </w:p>
        </w:tc>
      </w:tr>
    </w:tbl>
    <w:p>
      <w:pPr>
        <w:autoSpaceDE w:val="0"/>
        <w:autoSpaceDN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b/>
          <w:kern w:val="0"/>
          <w:sz w:val="24"/>
          <w:highlight w:val="none"/>
        </w:rPr>
      </w:pPr>
    </w:p>
    <w:p>
      <w:pPr>
        <w:autoSpaceDE w:val="0"/>
        <w:autoSpaceDN w:val="0"/>
        <w:rPr>
          <w:rFonts w:hint="eastAsia" w:ascii="仿宋_GB2312" w:hAnsi="仿宋_GB2312" w:eastAsia="仿宋_GB2312" w:cs="仿宋_GB2312"/>
          <w:b/>
          <w:kern w:val="0"/>
          <w:sz w:val="24"/>
          <w:highlight w:val="none"/>
        </w:rPr>
      </w:pPr>
    </w:p>
    <w:p>
      <w:pPr>
        <w:autoSpaceDE w:val="0"/>
        <w:autoSpaceDN w:val="0"/>
        <w:rPr>
          <w:rFonts w:hint="eastAsia"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2"/>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到达现场时间</w:t>
            </w: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sz w:val="24"/>
                <w:highlight w:val="none"/>
              </w:rPr>
            </w:pPr>
          </w:p>
        </w:tc>
      </w:tr>
    </w:tbl>
    <w:p>
      <w:pPr>
        <w:spacing w:line="360" w:lineRule="auto"/>
        <w:ind w:firstLine="480" w:firstLineChars="200"/>
        <w:rPr>
          <w:rFonts w:hint="eastAsia" w:ascii="仿宋_GB2312" w:hAnsi="仿宋_GB2312" w:eastAsia="仿宋_GB2312" w:cs="仿宋_GB2312"/>
          <w:sz w:val="24"/>
          <w:szCs w:val="20"/>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sz w:val="30"/>
          <w:szCs w:val="30"/>
          <w:highlight w:val="none"/>
        </w:rPr>
      </w:pPr>
    </w:p>
    <w:p>
      <w:pPr>
        <w:spacing w:line="360" w:lineRule="auto"/>
        <w:rPr>
          <w:rFonts w:hint="eastAsia" w:ascii="仿宋_GB2312" w:hAnsi="仿宋_GB2312" w:eastAsia="仿宋_GB2312" w:cs="仿宋_GB2312"/>
          <w:b/>
          <w:sz w:val="30"/>
          <w:szCs w:val="30"/>
          <w:highlight w:val="none"/>
        </w:rPr>
      </w:pPr>
    </w:p>
    <w:p>
      <w:pPr>
        <w:spacing w:line="360" w:lineRule="auto"/>
        <w:rPr>
          <w:rFonts w:hint="eastAsia" w:ascii="仿宋_GB2312" w:hAnsi="仿宋_GB2312" w:eastAsia="仿宋_GB2312" w:cs="仿宋_GB2312"/>
          <w:b/>
          <w:sz w:val="30"/>
          <w:szCs w:val="30"/>
          <w:highlight w:val="none"/>
        </w:rPr>
      </w:pPr>
    </w:p>
    <w:p>
      <w:pP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br w:type="page"/>
      </w:r>
    </w:p>
    <w:p>
      <w:pPr>
        <w:spacing w:line="360" w:lineRule="auto"/>
        <w:jc w:val="cente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hint="eastAsia" w:ascii="仿宋" w:hAnsi="仿宋" w:eastAsia="仿宋" w:cs="仿宋"/>
          <w:sz w:val="24"/>
          <w:highlight w:val="none"/>
        </w:rPr>
      </w:pPr>
    </w:p>
    <w:p>
      <w:pPr>
        <w:pStyle w:val="80"/>
        <w:rPr>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_GB2312" w:hAnsi="仿宋_GB2312" w:eastAsia="仿宋_GB2312" w:cs="仿宋_GB2312"/>
                <w:sz w:val="24"/>
                <w:highlight w:val="none"/>
              </w:rPr>
            </w:pPr>
          </w:p>
        </w:tc>
      </w:tr>
    </w:tbl>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80"/>
        <w:rPr>
          <w:highlight w:val="none"/>
        </w:rPr>
      </w:pPr>
    </w:p>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Layout w:type="fixed"/>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r>
      <w:tr>
        <w:tblPrEx>
          <w:tblLayout w:type="fixed"/>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sz w:val="24"/>
                <w:highlight w:val="none"/>
              </w:rPr>
            </w:pPr>
          </w:p>
        </w:tc>
      </w:tr>
    </w:tbl>
    <w:p>
      <w:pPr>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spacing w:line="360" w:lineRule="auto"/>
        <w:rPr>
          <w:rFonts w:hint="eastAsia"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投标人名称（电子签名）：</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napToGrid w:val="0"/>
        <w:spacing w:line="360" w:lineRule="auto"/>
        <w:ind w:right="960"/>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hint="eastAsia" w:ascii="仿宋_GB2312" w:hAnsi="仿宋_GB2312" w:eastAsia="仿宋_GB2312" w:cs="仿宋_GB2312"/>
          <w:sz w:val="18"/>
          <w:szCs w:val="18"/>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b/>
          <w:bCs/>
          <w:sz w:val="18"/>
          <w:szCs w:val="18"/>
          <w:highlight w:val="none"/>
        </w:rPr>
      </w:pPr>
    </w:p>
    <w:p>
      <w:pPr>
        <w:spacing w:line="360" w:lineRule="auto"/>
        <w:rPr>
          <w:rFonts w:hint="eastAsia" w:ascii="仿宋_GB2312" w:hAnsi="仿宋_GB2312" w:eastAsia="仿宋_GB2312" w:cs="仿宋_GB2312"/>
          <w:b/>
          <w:bCs/>
          <w:sz w:val="32"/>
          <w:szCs w:val="32"/>
          <w:highlight w:val="none"/>
        </w:rPr>
      </w:pPr>
    </w:p>
    <w:p>
      <w:pPr>
        <w:spacing w:line="360" w:lineRule="auto"/>
        <w:rPr>
          <w:rFonts w:hint="eastAsia" w:ascii="仿宋_GB2312" w:hAnsi="仿宋_GB2312" w:eastAsia="仿宋_GB2312" w:cs="仿宋_GB2312"/>
          <w:b/>
          <w:bCs/>
          <w:sz w:val="32"/>
          <w:szCs w:val="32"/>
          <w:highlight w:val="none"/>
        </w:rPr>
      </w:pPr>
    </w:p>
    <w:p>
      <w:pPr>
        <w:spacing w:line="360" w:lineRule="auto"/>
        <w:jc w:val="center"/>
        <w:rPr>
          <w:rFonts w:hint="eastAsia" w:ascii="仿宋_GB2312" w:hAnsi="仿宋_GB2312" w:eastAsia="仿宋_GB2312" w:cs="仿宋_GB2312"/>
          <w:b/>
          <w:bCs/>
          <w:sz w:val="32"/>
          <w:szCs w:val="32"/>
          <w:highlight w:val="none"/>
        </w:rPr>
      </w:pPr>
    </w:p>
    <w:p>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hint="eastAsia" w:ascii="仿宋_GB2312" w:hAnsi="仿宋_GB2312" w:eastAsia="仿宋_GB2312" w:cs="仿宋_GB2312"/>
          <w:kern w:val="0"/>
          <w:sz w:val="24"/>
          <w:highlight w:val="none"/>
          <w:lang w:val="zh-CN"/>
        </w:rPr>
      </w:pPr>
    </w:p>
    <w:p>
      <w:pPr>
        <w:snapToGrid w:val="0"/>
        <w:spacing w:line="360" w:lineRule="auto"/>
        <w:ind w:right="960"/>
        <w:jc w:val="right"/>
        <w:rPr>
          <w:rFonts w:hint="eastAsia" w:ascii="仿宋_GB2312" w:hAnsi="仿宋_GB2312" w:eastAsia="仿宋_GB2312" w:cs="仿宋_GB2312"/>
          <w:kern w:val="0"/>
          <w:sz w:val="24"/>
          <w:highlight w:val="none"/>
          <w:lang w:val="zh-CN"/>
        </w:rPr>
      </w:pPr>
    </w:p>
    <w:p>
      <w:pPr>
        <w:snapToGrid w:val="0"/>
        <w:spacing w:line="360" w:lineRule="auto"/>
        <w:ind w:right="960"/>
        <w:jc w:val="right"/>
        <w:rPr>
          <w:rFonts w:hint="eastAsia" w:ascii="仿宋_GB2312" w:hAnsi="仿宋_GB2312" w:eastAsia="仿宋_GB2312" w:cs="仿宋_GB2312"/>
          <w:kern w:val="0"/>
          <w:sz w:val="24"/>
          <w:highlight w:val="none"/>
          <w:lang w:val="zh-CN"/>
        </w:rPr>
      </w:pPr>
    </w:p>
    <w:p>
      <w:pPr>
        <w:snapToGrid w:val="0"/>
        <w:spacing w:line="360" w:lineRule="auto"/>
        <w:ind w:right="960"/>
        <w:jc w:val="right"/>
        <w:rPr>
          <w:rFonts w:hint="eastAsia" w:ascii="仿宋_GB2312" w:hAnsi="仿宋_GB2312" w:eastAsia="仿宋_GB2312" w:cs="仿宋_GB2312"/>
          <w:kern w:val="0"/>
          <w:sz w:val="24"/>
          <w:highlight w:val="none"/>
          <w:lang w:val="zh-CN"/>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br w:type="page"/>
      </w:r>
    </w:p>
    <w:p>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pPr>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Layout w:type="fixed"/>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shd w:val="clear" w:color="auto" w:fill="auto"/>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shd w:val="clear" w:color="auto" w:fill="auto"/>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pPr>
              <w:suppressAutoHyphens/>
              <w:autoSpaceDE w:val="0"/>
              <w:autoSpaceDN w:val="0"/>
              <w:spacing w:line="360" w:lineRule="auto"/>
              <w:rPr>
                <w:rFonts w:hint="eastAsia" w:ascii="仿宋_GB2312" w:hAnsi="仿宋_GB2312" w:eastAsia="仿宋_GB2312" w:cs="仿宋_GB2312"/>
                <w:sz w:val="24"/>
                <w:highlight w:val="none"/>
              </w:rPr>
            </w:pPr>
          </w:p>
        </w:tc>
      </w:tr>
      <w:tr>
        <w:tblPrEx>
          <w:tblLayout w:type="fixed"/>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pPr>
              <w:tabs>
                <w:tab w:val="left" w:pos="7"/>
              </w:tabs>
              <w:suppressAutoHyphens/>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pPr>
              <w:suppressAutoHyphens/>
              <w:autoSpaceDE w:val="0"/>
              <w:autoSpaceDN w:val="0"/>
              <w:spacing w:line="360" w:lineRule="auto"/>
              <w:rPr>
                <w:rFonts w:hint="eastAsia"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sz w:val="24"/>
          <w:szCs w:val="20"/>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hint="eastAsia" w:ascii="仿宋_GB2312" w:hAnsi="仿宋_GB2312" w:eastAsia="仿宋_GB2312" w:cs="仿宋_GB2312"/>
          <w:sz w:val="24"/>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hint="eastAsia" w:ascii="仿宋_GB2312" w:hAnsi="仿宋_GB2312" w:eastAsia="仿宋_GB2312" w:cs="仿宋_GB2312"/>
          <w:b/>
          <w:bCs/>
          <w:sz w:val="30"/>
          <w:szCs w:val="30"/>
          <w:highlight w:val="none"/>
        </w:rPr>
      </w:pPr>
    </w:p>
    <w:p>
      <w:pPr>
        <w:spacing w:line="360" w:lineRule="auto"/>
        <w:jc w:val="center"/>
        <w:rPr>
          <w:rFonts w:hint="eastAsia" w:ascii="仿宋_GB2312" w:hAnsi="仿宋_GB2312" w:eastAsia="仿宋_GB2312" w:cs="仿宋_GB2312"/>
          <w:b/>
          <w:bCs/>
          <w:sz w:val="30"/>
          <w:szCs w:val="30"/>
          <w:highlight w:val="none"/>
        </w:rPr>
      </w:pPr>
    </w:p>
    <w:p>
      <w:pPr>
        <w:spacing w:line="360" w:lineRule="auto"/>
        <w:jc w:val="center"/>
        <w:rPr>
          <w:rFonts w:hint="eastAsia" w:ascii="仿宋_GB2312" w:hAnsi="仿宋_GB2312" w:eastAsia="仿宋_GB2312" w:cs="仿宋_GB2312"/>
          <w:b/>
          <w:bCs/>
          <w:sz w:val="24"/>
          <w:highlight w:val="none"/>
        </w:rPr>
      </w:pPr>
    </w:p>
    <w:p>
      <w:pPr>
        <w:spacing w:line="360" w:lineRule="auto"/>
        <w:jc w:val="center"/>
        <w:rPr>
          <w:rFonts w:hint="eastAsia" w:ascii="仿宋_GB2312" w:hAnsi="仿宋_GB2312" w:eastAsia="仿宋_GB2312" w:cs="仿宋_GB2312"/>
          <w:b/>
          <w:bCs/>
          <w:sz w:val="24"/>
          <w:highlight w:val="none"/>
        </w:rPr>
      </w:pPr>
    </w:p>
    <w:p>
      <w:pPr>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pPr>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hint="eastAsia" w:ascii="仿宋_GB2312" w:hAnsi="仿宋_GB2312" w:eastAsia="仿宋_GB2312" w:cs="仿宋_GB2312"/>
          <w:sz w:val="24"/>
          <w:highlight w:val="none"/>
        </w:rPr>
      </w:pPr>
    </w:p>
    <w:p>
      <w:pPr>
        <w:pStyle w:val="80"/>
        <w:rPr>
          <w:highlight w:val="none"/>
        </w:rPr>
      </w:pPr>
    </w:p>
    <w:p>
      <w:pPr>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pPr>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1"/>
        <w:rPr>
          <w:highlight w:val="none"/>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jc w:val="center"/>
        <w:outlineLvl w:val="0"/>
        <w:rPr>
          <w:rFonts w:hint="eastAsia" w:ascii="仿宋" w:hAnsi="仿宋" w:eastAsia="仿宋" w:cs="仿宋"/>
          <w:b/>
          <w:kern w:val="0"/>
          <w:sz w:val="36"/>
          <w:szCs w:val="36"/>
          <w:highlight w:val="none"/>
        </w:rPr>
      </w:pP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（3）残疾人福利性单位声明函……………………………………………………（页码）</w:t>
      </w: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jc w:val="center"/>
        <w:rPr>
          <w:rFonts w:hint="eastAsia" w:ascii="仿宋" w:hAnsi="仿宋" w:eastAsia="仿宋" w:cs="仿宋"/>
          <w:b/>
          <w:kern w:val="0"/>
          <w:sz w:val="32"/>
          <w:szCs w:val="32"/>
          <w:highlight w:val="none"/>
        </w:rPr>
      </w:pPr>
    </w:p>
    <w:p>
      <w:pPr>
        <w:snapToGrid w:val="0"/>
        <w:spacing w:line="360" w:lineRule="auto"/>
        <w:ind w:right="480"/>
        <w:rPr>
          <w:rFonts w:hint="eastAsia" w:ascii="仿宋" w:hAnsi="仿宋" w:eastAsia="仿宋" w:cs="仿宋"/>
          <w:b/>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hint="eastAsia" w:ascii="仿宋" w:hAnsi="仿宋" w:eastAsia="仿宋" w:cs="仿宋"/>
          <w:b/>
          <w:bCs/>
          <w:kern w:val="0"/>
          <w:sz w:val="24"/>
          <w:highlight w:val="none"/>
        </w:rPr>
      </w:pPr>
      <w:r>
        <w:rPr>
          <w:rFonts w:hint="eastAsia" w:ascii="仿宋" w:hAnsi="仿宋" w:eastAsia="仿宋" w:cs="仿宋"/>
          <w:b/>
          <w:bCs/>
          <w:sz w:val="24"/>
          <w:highlight w:val="none"/>
          <w:u w:val="single"/>
          <w:lang w:eastAsia="zh-CN"/>
        </w:rPr>
        <w:t>绍兴市公安局柯桥区分局交通警察大队</w:t>
      </w:r>
      <w:r>
        <w:rPr>
          <w:rFonts w:hint="eastAsia" w:ascii="仿宋" w:hAnsi="仿宋" w:eastAsia="仿宋" w:cs="仿宋"/>
          <w:b/>
          <w:bCs/>
          <w:sz w:val="24"/>
          <w:highlight w:val="none"/>
          <w:u w:val="single"/>
        </w:rPr>
        <w:t>、浙江越锋项目管理有限公司</w:t>
      </w:r>
      <w:r>
        <w:rPr>
          <w:rFonts w:hint="eastAsia" w:ascii="仿宋" w:hAnsi="仿宋" w:eastAsia="仿宋" w:cs="仿宋"/>
          <w:b/>
          <w:bCs/>
          <w:kern w:val="0"/>
          <w:sz w:val="24"/>
          <w:highlight w:val="none"/>
          <w:lang w:val="zh-CN"/>
        </w:rPr>
        <w:t>：</w:t>
      </w:r>
    </w:p>
    <w:p>
      <w:pPr>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bCs/>
          <w:sz w:val="24"/>
          <w:highlight w:val="none"/>
          <w:u w:val="single"/>
          <w:lang w:eastAsia="zh-CN"/>
        </w:rPr>
        <w:t>2025年绍兴市公安局柯桥区分局交通警察大队平安畅行工程（第二次）</w:t>
      </w:r>
      <w:r>
        <w:rPr>
          <w:rFonts w:hint="eastAsia" w:ascii="仿宋" w:hAnsi="仿宋" w:eastAsia="仿宋" w:cs="仿宋"/>
          <w:b/>
          <w:bCs/>
          <w:kern w:val="0"/>
          <w:sz w:val="24"/>
          <w:highlight w:val="none"/>
          <w:u w:val="single"/>
          <w:lang w:val="zh-CN"/>
        </w:rPr>
        <w:t>【招标编号：</w:t>
      </w:r>
      <w:r>
        <w:rPr>
          <w:rFonts w:hint="eastAsia" w:ascii="仿宋" w:hAnsi="仿宋" w:eastAsia="仿宋" w:cs="仿宋"/>
          <w:b/>
          <w:bCs/>
          <w:sz w:val="24"/>
          <w:highlight w:val="none"/>
          <w:u w:val="single"/>
          <w:lang w:eastAsia="zh-CN"/>
        </w:rPr>
        <w:t>临[2025]1921-001号</w:t>
      </w:r>
      <w:r>
        <w:rPr>
          <w:rFonts w:hint="eastAsia" w:ascii="仿宋" w:hAnsi="仿宋" w:eastAsia="仿宋" w:cs="仿宋"/>
          <w:b/>
          <w:bCs/>
          <w:sz w:val="24"/>
          <w:highlight w:val="none"/>
          <w:u w:val="single"/>
        </w:rPr>
        <w:t>】</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2"/>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63"/>
        <w:gridCol w:w="1138"/>
        <w:gridCol w:w="1954"/>
        <w:gridCol w:w="600"/>
        <w:gridCol w:w="964"/>
        <w:gridCol w:w="1227"/>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167" w:type="dxa"/>
            <w:gridSpan w:val="8"/>
            <w:vAlign w:val="center"/>
          </w:tcPr>
          <w:p>
            <w:pPr>
              <w:spacing w:line="360" w:lineRule="auto"/>
              <w:jc w:val="both"/>
              <w:rPr>
                <w:rFonts w:hint="default" w:ascii="仿宋" w:hAnsi="仿宋" w:eastAsia="仿宋" w:cs="仿宋"/>
                <w:b/>
                <w:sz w:val="24"/>
                <w:highlight w:val="none"/>
                <w:lang w:val="en-US" w:eastAsia="zh-CN"/>
              </w:rPr>
            </w:pPr>
            <w:r>
              <w:rPr>
                <w:rFonts w:hint="eastAsia" w:ascii="仿宋" w:hAnsi="仿宋" w:eastAsia="仿宋" w:cs="仿宋"/>
                <w:b/>
                <w:sz w:val="24"/>
                <w:highlight w:val="none"/>
                <w:lang w:val="en-US" w:eastAsia="zh-CN"/>
              </w:rPr>
              <w:t xml:space="preserve">                                 货物部分报价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trPr>
        <w:tc>
          <w:tcPr>
            <w:tcW w:w="45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863"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1138" w:type="dxa"/>
            <w:vAlign w:val="top"/>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品牌（如有）</w:t>
            </w:r>
          </w:p>
        </w:tc>
        <w:tc>
          <w:tcPr>
            <w:tcW w:w="195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规格型号（如有）</w:t>
            </w:r>
          </w:p>
        </w:tc>
        <w:tc>
          <w:tcPr>
            <w:tcW w:w="60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964"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单价</w:t>
            </w:r>
          </w:p>
        </w:tc>
        <w:tc>
          <w:tcPr>
            <w:tcW w:w="122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合计</w:t>
            </w:r>
          </w:p>
        </w:tc>
        <w:tc>
          <w:tcPr>
            <w:tcW w:w="1964" w:type="dxa"/>
            <w:vAlign w:val="center"/>
          </w:tcPr>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pPr>
              <w:spacing w:line="360" w:lineRule="auto"/>
              <w:jc w:val="center"/>
              <w:rPr>
                <w:rFonts w:hint="eastAsia"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45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63" w:type="dxa"/>
            <w:vAlign w:val="center"/>
          </w:tcPr>
          <w:p>
            <w:pPr>
              <w:snapToGrid w:val="0"/>
              <w:spacing w:line="360" w:lineRule="auto"/>
              <w:jc w:val="center"/>
              <w:rPr>
                <w:rFonts w:hint="eastAsia" w:ascii="仿宋" w:hAnsi="仿宋" w:eastAsia="仿宋" w:cs="仿宋"/>
                <w:sz w:val="24"/>
                <w:highlight w:val="none"/>
              </w:rPr>
            </w:pPr>
          </w:p>
        </w:tc>
        <w:tc>
          <w:tcPr>
            <w:tcW w:w="1138" w:type="dxa"/>
            <w:vAlign w:val="center"/>
          </w:tcPr>
          <w:p>
            <w:pPr>
              <w:snapToGrid w:val="0"/>
              <w:spacing w:line="360" w:lineRule="auto"/>
              <w:jc w:val="center"/>
              <w:rPr>
                <w:rFonts w:hint="eastAsia" w:ascii="仿宋" w:hAnsi="仿宋" w:eastAsia="仿宋" w:cs="仿宋"/>
                <w:sz w:val="24"/>
                <w:highlight w:val="none"/>
              </w:rPr>
            </w:pPr>
          </w:p>
        </w:tc>
        <w:tc>
          <w:tcPr>
            <w:tcW w:w="1954" w:type="dxa"/>
            <w:vAlign w:val="center"/>
          </w:tcPr>
          <w:p>
            <w:pPr>
              <w:snapToGrid w:val="0"/>
              <w:spacing w:line="360" w:lineRule="auto"/>
              <w:jc w:val="center"/>
              <w:rPr>
                <w:rFonts w:hint="eastAsia" w:ascii="仿宋" w:hAnsi="仿宋" w:eastAsia="仿宋" w:cs="仿宋"/>
                <w:color w:val="0000FF"/>
                <w:sz w:val="24"/>
                <w:highlight w:val="none"/>
              </w:rPr>
            </w:pPr>
          </w:p>
        </w:tc>
        <w:tc>
          <w:tcPr>
            <w:tcW w:w="600" w:type="dxa"/>
            <w:vAlign w:val="center"/>
          </w:tcPr>
          <w:p>
            <w:pPr>
              <w:snapToGrid w:val="0"/>
              <w:spacing w:line="360" w:lineRule="auto"/>
              <w:jc w:val="center"/>
              <w:rPr>
                <w:rFonts w:hint="eastAsia" w:ascii="仿宋" w:hAnsi="仿宋" w:eastAsia="仿宋" w:cs="仿宋"/>
                <w:color w:val="0000FF"/>
                <w:sz w:val="24"/>
                <w:highlight w:val="none"/>
              </w:rPr>
            </w:pPr>
          </w:p>
        </w:tc>
        <w:tc>
          <w:tcPr>
            <w:tcW w:w="964" w:type="dxa"/>
            <w:vAlign w:val="center"/>
          </w:tcPr>
          <w:p>
            <w:pPr>
              <w:spacing w:line="360" w:lineRule="auto"/>
              <w:jc w:val="center"/>
              <w:rPr>
                <w:rFonts w:hint="eastAsia" w:ascii="仿宋" w:hAnsi="仿宋" w:eastAsia="仿宋" w:cs="仿宋"/>
                <w:color w:val="0000FF"/>
                <w:sz w:val="24"/>
                <w:highlight w:val="none"/>
              </w:rPr>
            </w:pPr>
          </w:p>
        </w:tc>
        <w:tc>
          <w:tcPr>
            <w:tcW w:w="1227" w:type="dxa"/>
            <w:vAlign w:val="center"/>
          </w:tcPr>
          <w:p>
            <w:pPr>
              <w:spacing w:line="360" w:lineRule="auto"/>
              <w:jc w:val="center"/>
              <w:rPr>
                <w:rFonts w:hint="eastAsia" w:ascii="仿宋" w:hAnsi="仿宋" w:eastAsia="仿宋" w:cs="仿宋"/>
                <w:color w:val="0000FF"/>
                <w:sz w:val="24"/>
                <w:highlight w:val="none"/>
              </w:rPr>
            </w:pPr>
          </w:p>
        </w:tc>
        <w:tc>
          <w:tcPr>
            <w:tcW w:w="1964"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5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63" w:type="dxa"/>
            <w:vAlign w:val="center"/>
          </w:tcPr>
          <w:p>
            <w:pPr>
              <w:snapToGrid w:val="0"/>
              <w:spacing w:line="360" w:lineRule="auto"/>
              <w:jc w:val="center"/>
              <w:rPr>
                <w:rFonts w:hint="eastAsia" w:ascii="仿宋" w:hAnsi="仿宋" w:eastAsia="仿宋" w:cs="仿宋"/>
                <w:sz w:val="24"/>
                <w:highlight w:val="none"/>
              </w:rPr>
            </w:pPr>
          </w:p>
        </w:tc>
        <w:tc>
          <w:tcPr>
            <w:tcW w:w="1138" w:type="dxa"/>
            <w:vAlign w:val="center"/>
          </w:tcPr>
          <w:p>
            <w:pPr>
              <w:snapToGrid w:val="0"/>
              <w:spacing w:line="360" w:lineRule="auto"/>
              <w:jc w:val="center"/>
              <w:rPr>
                <w:rFonts w:hint="eastAsia" w:ascii="仿宋" w:hAnsi="仿宋" w:eastAsia="仿宋" w:cs="仿宋"/>
                <w:sz w:val="24"/>
                <w:highlight w:val="none"/>
              </w:rPr>
            </w:pPr>
          </w:p>
        </w:tc>
        <w:tc>
          <w:tcPr>
            <w:tcW w:w="1954" w:type="dxa"/>
            <w:vAlign w:val="center"/>
          </w:tcPr>
          <w:p>
            <w:pPr>
              <w:snapToGrid w:val="0"/>
              <w:spacing w:line="360" w:lineRule="auto"/>
              <w:jc w:val="center"/>
              <w:rPr>
                <w:rFonts w:hint="eastAsia" w:ascii="仿宋" w:hAnsi="仿宋" w:eastAsia="仿宋" w:cs="仿宋"/>
                <w:color w:val="0000FF"/>
                <w:sz w:val="24"/>
                <w:highlight w:val="none"/>
              </w:rPr>
            </w:pPr>
          </w:p>
        </w:tc>
        <w:tc>
          <w:tcPr>
            <w:tcW w:w="600" w:type="dxa"/>
            <w:vAlign w:val="center"/>
          </w:tcPr>
          <w:p>
            <w:pPr>
              <w:snapToGrid w:val="0"/>
              <w:spacing w:line="360" w:lineRule="auto"/>
              <w:jc w:val="center"/>
              <w:rPr>
                <w:rFonts w:hint="eastAsia" w:ascii="仿宋" w:hAnsi="仿宋" w:eastAsia="仿宋" w:cs="仿宋"/>
                <w:color w:val="0000FF"/>
                <w:sz w:val="24"/>
                <w:highlight w:val="none"/>
              </w:rPr>
            </w:pPr>
          </w:p>
        </w:tc>
        <w:tc>
          <w:tcPr>
            <w:tcW w:w="964" w:type="dxa"/>
            <w:vAlign w:val="center"/>
          </w:tcPr>
          <w:p>
            <w:pPr>
              <w:spacing w:line="360" w:lineRule="auto"/>
              <w:jc w:val="center"/>
              <w:rPr>
                <w:rFonts w:hint="eastAsia" w:ascii="仿宋" w:hAnsi="仿宋" w:eastAsia="仿宋" w:cs="仿宋"/>
                <w:color w:val="0000FF"/>
                <w:sz w:val="24"/>
                <w:highlight w:val="none"/>
              </w:rPr>
            </w:pPr>
          </w:p>
        </w:tc>
        <w:tc>
          <w:tcPr>
            <w:tcW w:w="1227" w:type="dxa"/>
            <w:vAlign w:val="center"/>
          </w:tcPr>
          <w:p>
            <w:pPr>
              <w:spacing w:line="360" w:lineRule="auto"/>
              <w:jc w:val="center"/>
              <w:rPr>
                <w:rFonts w:hint="eastAsia" w:ascii="仿宋" w:hAnsi="仿宋" w:eastAsia="仿宋" w:cs="仿宋"/>
                <w:color w:val="0000FF"/>
                <w:sz w:val="24"/>
                <w:highlight w:val="none"/>
              </w:rPr>
            </w:pPr>
          </w:p>
        </w:tc>
        <w:tc>
          <w:tcPr>
            <w:tcW w:w="1964"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5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63" w:type="dxa"/>
            <w:vAlign w:val="center"/>
          </w:tcPr>
          <w:p>
            <w:pPr>
              <w:snapToGrid w:val="0"/>
              <w:spacing w:line="360" w:lineRule="auto"/>
              <w:jc w:val="center"/>
              <w:rPr>
                <w:rFonts w:hint="eastAsia" w:ascii="仿宋" w:hAnsi="仿宋" w:eastAsia="仿宋" w:cs="仿宋"/>
                <w:sz w:val="24"/>
                <w:highlight w:val="none"/>
              </w:rPr>
            </w:pPr>
          </w:p>
        </w:tc>
        <w:tc>
          <w:tcPr>
            <w:tcW w:w="1138" w:type="dxa"/>
            <w:vAlign w:val="center"/>
          </w:tcPr>
          <w:p>
            <w:pPr>
              <w:snapToGrid w:val="0"/>
              <w:spacing w:line="360" w:lineRule="auto"/>
              <w:jc w:val="center"/>
              <w:rPr>
                <w:rFonts w:hint="eastAsia" w:ascii="仿宋" w:hAnsi="仿宋" w:eastAsia="仿宋" w:cs="仿宋"/>
                <w:sz w:val="24"/>
                <w:highlight w:val="none"/>
              </w:rPr>
            </w:pPr>
          </w:p>
        </w:tc>
        <w:tc>
          <w:tcPr>
            <w:tcW w:w="1954" w:type="dxa"/>
            <w:vAlign w:val="center"/>
          </w:tcPr>
          <w:p>
            <w:pPr>
              <w:snapToGrid w:val="0"/>
              <w:spacing w:line="360" w:lineRule="auto"/>
              <w:jc w:val="center"/>
              <w:rPr>
                <w:rFonts w:hint="eastAsia" w:ascii="仿宋" w:hAnsi="仿宋" w:eastAsia="仿宋" w:cs="仿宋"/>
                <w:color w:val="0000FF"/>
                <w:sz w:val="24"/>
                <w:highlight w:val="none"/>
              </w:rPr>
            </w:pPr>
          </w:p>
        </w:tc>
        <w:tc>
          <w:tcPr>
            <w:tcW w:w="600" w:type="dxa"/>
            <w:vAlign w:val="center"/>
          </w:tcPr>
          <w:p>
            <w:pPr>
              <w:snapToGrid w:val="0"/>
              <w:spacing w:line="360" w:lineRule="auto"/>
              <w:jc w:val="center"/>
              <w:rPr>
                <w:rFonts w:hint="eastAsia" w:ascii="仿宋" w:hAnsi="仿宋" w:eastAsia="仿宋" w:cs="仿宋"/>
                <w:color w:val="0000FF"/>
                <w:sz w:val="24"/>
                <w:highlight w:val="none"/>
              </w:rPr>
            </w:pPr>
          </w:p>
        </w:tc>
        <w:tc>
          <w:tcPr>
            <w:tcW w:w="964" w:type="dxa"/>
            <w:vAlign w:val="center"/>
          </w:tcPr>
          <w:p>
            <w:pPr>
              <w:spacing w:line="360" w:lineRule="auto"/>
              <w:jc w:val="center"/>
              <w:rPr>
                <w:rFonts w:hint="eastAsia" w:ascii="仿宋" w:hAnsi="仿宋" w:eastAsia="仿宋" w:cs="仿宋"/>
                <w:color w:val="0000FF"/>
                <w:sz w:val="24"/>
                <w:highlight w:val="none"/>
              </w:rPr>
            </w:pPr>
          </w:p>
        </w:tc>
        <w:tc>
          <w:tcPr>
            <w:tcW w:w="1227" w:type="dxa"/>
            <w:vAlign w:val="center"/>
          </w:tcPr>
          <w:p>
            <w:pPr>
              <w:spacing w:line="360" w:lineRule="auto"/>
              <w:jc w:val="center"/>
              <w:rPr>
                <w:rFonts w:hint="eastAsia" w:ascii="仿宋" w:hAnsi="仿宋" w:eastAsia="仿宋" w:cs="仿宋"/>
                <w:color w:val="0000FF"/>
                <w:sz w:val="24"/>
                <w:highlight w:val="none"/>
              </w:rPr>
            </w:pPr>
          </w:p>
        </w:tc>
        <w:tc>
          <w:tcPr>
            <w:tcW w:w="1964" w:type="dxa"/>
            <w:vAlign w:val="center"/>
          </w:tcPr>
          <w:p>
            <w:pPr>
              <w:spacing w:line="360" w:lineRule="auto"/>
              <w:jc w:val="center"/>
              <w:rPr>
                <w:rFonts w:hint="eastAsia" w:ascii="仿宋" w:hAnsi="仿宋" w:eastAsia="仿宋" w:cs="仿宋"/>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57" w:type="dxa"/>
            <w:vAlign w:val="center"/>
          </w:tcPr>
          <w:p>
            <w:pPr>
              <w:spacing w:line="360" w:lineRule="auto"/>
              <w:jc w:val="center"/>
              <w:rPr>
                <w:rFonts w:hint="eastAsia" w:ascii="仿宋" w:hAnsi="仿宋" w:eastAsia="仿宋" w:cs="仿宋"/>
                <w:sz w:val="24"/>
                <w:highlight w:val="none"/>
              </w:rPr>
            </w:pPr>
          </w:p>
        </w:tc>
        <w:tc>
          <w:tcPr>
            <w:tcW w:w="863" w:type="dxa"/>
            <w:vAlign w:val="center"/>
          </w:tcPr>
          <w:p>
            <w:pPr>
              <w:snapToGrid w:val="0"/>
              <w:spacing w:line="360" w:lineRule="auto"/>
              <w:jc w:val="center"/>
              <w:rPr>
                <w:rFonts w:hint="eastAsia" w:ascii="仿宋" w:hAnsi="仿宋" w:eastAsia="仿宋" w:cs="仿宋"/>
                <w:sz w:val="24"/>
                <w:highlight w:val="none"/>
              </w:rPr>
            </w:pPr>
          </w:p>
        </w:tc>
        <w:tc>
          <w:tcPr>
            <w:tcW w:w="1138" w:type="dxa"/>
            <w:vAlign w:val="center"/>
          </w:tcPr>
          <w:p>
            <w:pPr>
              <w:snapToGrid w:val="0"/>
              <w:spacing w:line="360" w:lineRule="auto"/>
              <w:jc w:val="center"/>
              <w:rPr>
                <w:rFonts w:hint="eastAsia" w:ascii="仿宋" w:hAnsi="仿宋" w:eastAsia="仿宋" w:cs="仿宋"/>
                <w:sz w:val="24"/>
                <w:highlight w:val="none"/>
              </w:rPr>
            </w:pPr>
          </w:p>
        </w:tc>
        <w:tc>
          <w:tcPr>
            <w:tcW w:w="1954" w:type="dxa"/>
            <w:vAlign w:val="center"/>
          </w:tcPr>
          <w:p>
            <w:pPr>
              <w:snapToGrid w:val="0"/>
              <w:spacing w:line="360" w:lineRule="auto"/>
              <w:jc w:val="center"/>
              <w:rPr>
                <w:rFonts w:hint="eastAsia" w:ascii="仿宋" w:hAnsi="仿宋" w:eastAsia="仿宋" w:cs="仿宋"/>
                <w:sz w:val="24"/>
                <w:highlight w:val="none"/>
              </w:rPr>
            </w:pPr>
          </w:p>
        </w:tc>
        <w:tc>
          <w:tcPr>
            <w:tcW w:w="600" w:type="dxa"/>
            <w:vAlign w:val="center"/>
          </w:tcPr>
          <w:p>
            <w:pPr>
              <w:snapToGrid w:val="0"/>
              <w:spacing w:line="360" w:lineRule="auto"/>
              <w:jc w:val="center"/>
              <w:rPr>
                <w:rFonts w:hint="eastAsia" w:ascii="仿宋" w:hAnsi="仿宋" w:eastAsia="仿宋" w:cs="仿宋"/>
                <w:sz w:val="24"/>
                <w:highlight w:val="none"/>
              </w:rPr>
            </w:pPr>
          </w:p>
        </w:tc>
        <w:tc>
          <w:tcPr>
            <w:tcW w:w="964" w:type="dxa"/>
            <w:vAlign w:val="center"/>
          </w:tcPr>
          <w:p>
            <w:pPr>
              <w:spacing w:line="360" w:lineRule="auto"/>
              <w:jc w:val="center"/>
              <w:rPr>
                <w:rFonts w:hint="eastAsia" w:ascii="仿宋" w:hAnsi="仿宋" w:eastAsia="仿宋" w:cs="仿宋"/>
                <w:sz w:val="24"/>
                <w:highlight w:val="none"/>
              </w:rPr>
            </w:pPr>
          </w:p>
        </w:tc>
        <w:tc>
          <w:tcPr>
            <w:tcW w:w="1227" w:type="dxa"/>
            <w:vAlign w:val="center"/>
          </w:tcPr>
          <w:p>
            <w:pPr>
              <w:spacing w:line="360" w:lineRule="auto"/>
              <w:jc w:val="center"/>
              <w:rPr>
                <w:rFonts w:hint="eastAsia" w:ascii="仿宋" w:hAnsi="仿宋" w:eastAsia="仿宋" w:cs="仿宋"/>
                <w:sz w:val="24"/>
                <w:highlight w:val="none"/>
              </w:rPr>
            </w:pPr>
          </w:p>
        </w:tc>
        <w:tc>
          <w:tcPr>
            <w:tcW w:w="1964"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976" w:type="dxa"/>
            <w:gridSpan w:val="6"/>
            <w:vAlign w:val="center"/>
          </w:tcPr>
          <w:p>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小计</w:t>
            </w:r>
          </w:p>
        </w:tc>
        <w:tc>
          <w:tcPr>
            <w:tcW w:w="1227" w:type="dxa"/>
            <w:vAlign w:val="center"/>
          </w:tcPr>
          <w:p>
            <w:pPr>
              <w:spacing w:line="360" w:lineRule="auto"/>
              <w:jc w:val="center"/>
              <w:rPr>
                <w:rFonts w:hint="eastAsia" w:ascii="仿宋" w:hAnsi="仿宋" w:eastAsia="仿宋" w:cs="仿宋"/>
                <w:sz w:val="24"/>
                <w:highlight w:val="none"/>
              </w:rPr>
            </w:pPr>
          </w:p>
        </w:tc>
        <w:tc>
          <w:tcPr>
            <w:tcW w:w="1964"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9167" w:type="dxa"/>
            <w:gridSpan w:val="8"/>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服务部分报价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57"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序号</w:t>
            </w:r>
          </w:p>
        </w:tc>
        <w:tc>
          <w:tcPr>
            <w:tcW w:w="3955" w:type="dxa"/>
            <w:gridSpan w:val="3"/>
            <w:vAlign w:val="center"/>
          </w:tcPr>
          <w:p>
            <w:pPr>
              <w:snapToGrid w:val="0"/>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项目名称</w:t>
            </w:r>
          </w:p>
        </w:tc>
        <w:tc>
          <w:tcPr>
            <w:tcW w:w="600" w:type="dxa"/>
            <w:vAlign w:val="center"/>
          </w:tcPr>
          <w:p>
            <w:pPr>
              <w:snapToGrid w:val="0"/>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数量</w:t>
            </w:r>
          </w:p>
        </w:tc>
        <w:tc>
          <w:tcPr>
            <w:tcW w:w="964" w:type="dxa"/>
            <w:vAlign w:val="center"/>
          </w:tcPr>
          <w:p>
            <w:pPr>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月单价</w:t>
            </w:r>
          </w:p>
        </w:tc>
        <w:tc>
          <w:tcPr>
            <w:tcW w:w="1227" w:type="dxa"/>
            <w:vAlign w:val="center"/>
          </w:tcPr>
          <w:p>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合计</w:t>
            </w:r>
          </w:p>
        </w:tc>
        <w:tc>
          <w:tcPr>
            <w:tcW w:w="1964" w:type="dxa"/>
            <w:vAlign w:val="center"/>
          </w:tcPr>
          <w:p>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备注（如有）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457" w:type="dxa"/>
            <w:vAlign w:val="center"/>
          </w:tcPr>
          <w:p>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w:t>
            </w:r>
          </w:p>
        </w:tc>
        <w:tc>
          <w:tcPr>
            <w:tcW w:w="3955" w:type="dxa"/>
            <w:gridSpan w:val="3"/>
            <w:vAlign w:val="center"/>
          </w:tcPr>
          <w:p>
            <w:pPr>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服务部分（服务包括</w:t>
            </w:r>
            <w:r>
              <w:rPr>
                <w:rFonts w:hint="eastAsia" w:ascii="仿宋" w:hAnsi="仿宋" w:eastAsia="仿宋" w:cs="仿宋"/>
                <w:sz w:val="24"/>
                <w:highlight w:val="none"/>
                <w:lang w:val="en-US" w:eastAsia="zh-CN"/>
              </w:rPr>
              <w:t>不限于：</w:t>
            </w:r>
            <w:r>
              <w:rPr>
                <w:rFonts w:hint="eastAsia" w:ascii="仿宋" w:hAnsi="仿宋" w:eastAsia="仿宋" w:cs="仿宋"/>
                <w:sz w:val="24"/>
                <w:highlight w:val="none"/>
              </w:rPr>
              <w:t>网络租赁、</w:t>
            </w:r>
            <w:r>
              <w:rPr>
                <w:rFonts w:hint="eastAsia" w:ascii="仿宋" w:hAnsi="仿宋" w:eastAsia="仿宋" w:cs="仿宋"/>
                <w:sz w:val="24"/>
                <w:highlight w:val="none"/>
                <w:lang w:eastAsia="zh-CN"/>
              </w:rPr>
              <w:t>云资源</w:t>
            </w:r>
            <w:r>
              <w:rPr>
                <w:rFonts w:hint="eastAsia" w:ascii="仿宋" w:hAnsi="仿宋" w:eastAsia="仿宋" w:cs="仿宋"/>
                <w:sz w:val="24"/>
                <w:highlight w:val="none"/>
              </w:rPr>
              <w:t>租赁、多媒体短信）</w:t>
            </w:r>
          </w:p>
        </w:tc>
        <w:tc>
          <w:tcPr>
            <w:tcW w:w="600" w:type="dxa"/>
            <w:vAlign w:val="center"/>
          </w:tcPr>
          <w:p>
            <w:pPr>
              <w:snapToGrid w:val="0"/>
              <w:spacing w:line="360" w:lineRule="auto"/>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24月</w:t>
            </w:r>
          </w:p>
        </w:tc>
        <w:tc>
          <w:tcPr>
            <w:tcW w:w="964" w:type="dxa"/>
            <w:vAlign w:val="center"/>
          </w:tcPr>
          <w:p>
            <w:pPr>
              <w:spacing w:line="360" w:lineRule="auto"/>
              <w:jc w:val="center"/>
              <w:rPr>
                <w:rFonts w:hint="eastAsia" w:ascii="仿宋" w:hAnsi="仿宋" w:eastAsia="仿宋" w:cs="仿宋"/>
                <w:sz w:val="24"/>
                <w:highlight w:val="none"/>
              </w:rPr>
            </w:pPr>
          </w:p>
        </w:tc>
        <w:tc>
          <w:tcPr>
            <w:tcW w:w="1227" w:type="dxa"/>
            <w:vAlign w:val="center"/>
          </w:tcPr>
          <w:p>
            <w:pPr>
              <w:spacing w:line="360" w:lineRule="auto"/>
              <w:jc w:val="center"/>
              <w:rPr>
                <w:rFonts w:hint="eastAsia" w:ascii="仿宋" w:hAnsi="仿宋" w:eastAsia="仿宋" w:cs="仿宋"/>
                <w:sz w:val="24"/>
                <w:highlight w:val="none"/>
              </w:rPr>
            </w:pPr>
          </w:p>
        </w:tc>
        <w:tc>
          <w:tcPr>
            <w:tcW w:w="1964"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5976" w:type="dxa"/>
            <w:gridSpan w:val="6"/>
            <w:vAlign w:val="center"/>
          </w:tcPr>
          <w:p>
            <w:pPr>
              <w:spacing w:line="360" w:lineRule="auto"/>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小计</w:t>
            </w:r>
          </w:p>
        </w:tc>
        <w:tc>
          <w:tcPr>
            <w:tcW w:w="1227" w:type="dxa"/>
            <w:vAlign w:val="center"/>
          </w:tcPr>
          <w:p>
            <w:pPr>
              <w:spacing w:line="360" w:lineRule="auto"/>
              <w:jc w:val="center"/>
              <w:rPr>
                <w:rFonts w:hint="eastAsia" w:ascii="仿宋" w:hAnsi="仿宋" w:eastAsia="仿宋" w:cs="仿宋"/>
                <w:sz w:val="24"/>
                <w:highlight w:val="none"/>
              </w:rPr>
            </w:pPr>
          </w:p>
        </w:tc>
        <w:tc>
          <w:tcPr>
            <w:tcW w:w="1964"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44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货物部分+服务部分</w:t>
            </w:r>
            <w:r>
              <w:rPr>
                <w:rFonts w:hint="eastAsia" w:ascii="仿宋" w:hAnsi="仿宋" w:eastAsia="仿宋" w:cs="仿宋"/>
                <w:b/>
                <w:sz w:val="24"/>
                <w:highlight w:val="none"/>
                <w:lang w:eastAsia="zh-CN"/>
              </w:rPr>
              <w:t>）</w:t>
            </w:r>
            <w:r>
              <w:rPr>
                <w:rFonts w:hint="eastAsia" w:ascii="仿宋" w:hAnsi="仿宋" w:eastAsia="仿宋" w:cs="仿宋"/>
                <w:b/>
                <w:sz w:val="24"/>
                <w:highlight w:val="none"/>
              </w:rPr>
              <w:t>（小写）</w:t>
            </w:r>
          </w:p>
        </w:tc>
        <w:tc>
          <w:tcPr>
            <w:tcW w:w="4755" w:type="dxa"/>
            <w:gridSpan w:val="4"/>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4412" w:type="dxa"/>
            <w:gridSpan w:val="4"/>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货物部分+服务部分</w:t>
            </w:r>
            <w:r>
              <w:rPr>
                <w:rFonts w:hint="eastAsia" w:ascii="仿宋" w:hAnsi="仿宋" w:eastAsia="仿宋" w:cs="仿宋"/>
                <w:b/>
                <w:sz w:val="24"/>
                <w:highlight w:val="none"/>
                <w:lang w:eastAsia="zh-CN"/>
              </w:rPr>
              <w:t>）</w:t>
            </w:r>
            <w:r>
              <w:rPr>
                <w:rFonts w:hint="eastAsia" w:ascii="仿宋" w:hAnsi="仿宋" w:eastAsia="仿宋" w:cs="仿宋"/>
                <w:b/>
                <w:sz w:val="24"/>
                <w:highlight w:val="none"/>
              </w:rPr>
              <w:t>（大写）</w:t>
            </w:r>
          </w:p>
        </w:tc>
        <w:tc>
          <w:tcPr>
            <w:tcW w:w="4755" w:type="dxa"/>
            <w:gridSpan w:val="4"/>
            <w:vAlign w:val="center"/>
          </w:tcPr>
          <w:p>
            <w:pPr>
              <w:spacing w:line="360" w:lineRule="auto"/>
              <w:jc w:val="center"/>
              <w:rPr>
                <w:rFonts w:hint="eastAsia" w:ascii="仿宋" w:hAnsi="仿宋" w:eastAsia="仿宋" w:cs="仿宋"/>
                <w:sz w:val="24"/>
                <w:highlight w:val="none"/>
              </w:rPr>
            </w:pPr>
          </w:p>
        </w:tc>
      </w:tr>
    </w:tbl>
    <w:p>
      <w:pPr>
        <w:snapToGrid w:val="0"/>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sz w:val="24"/>
          <w:highlight w:val="none"/>
        </w:rPr>
        <w:t>投标人名称（电子签名）：</w:t>
      </w:r>
    </w:p>
    <w:p>
      <w:pPr>
        <w:pStyle w:val="80"/>
        <w:jc w:val="center"/>
        <w:rPr>
          <w:highlight w:val="none"/>
          <w:lang w:val="zh-CN"/>
        </w:rPr>
      </w:pPr>
      <w:r>
        <w:rPr>
          <w:rFonts w:hint="eastAsia" w:ascii="仿宋" w:hAnsi="仿宋" w:eastAsia="仿宋" w:cs="仿宋"/>
          <w:highlight w:val="none"/>
        </w:rPr>
        <w:t>日期：  年   月   日</w:t>
      </w:r>
    </w:p>
    <w:p>
      <w:pPr>
        <w:snapToGrid w:val="0"/>
        <w:spacing w:line="360" w:lineRule="auto"/>
        <w:ind w:left="480"/>
        <w:rPr>
          <w:rFonts w:hint="eastAsia" w:ascii="仿宋" w:hAnsi="仿宋" w:eastAsia="仿宋" w:cs="仿宋"/>
          <w:b/>
          <w:kern w:val="0"/>
          <w:sz w:val="24"/>
          <w:highlight w:val="none"/>
          <w:lang w:val="zh-CN"/>
        </w:rPr>
      </w:pPr>
    </w:p>
    <w:p>
      <w:pPr>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kern w:val="0"/>
          <w:sz w:val="24"/>
          <w:highlight w:val="none"/>
          <w:lang w:val="zh-CN"/>
        </w:rPr>
        <w:t>。</w:t>
      </w:r>
    </w:p>
    <w:p>
      <w:pPr>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不对其中涉及的服务的承接商作出要求）。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kern w:val="2"/>
          <w:sz w:val="32"/>
          <w:szCs w:val="32"/>
          <w:highlight w:val="none"/>
        </w:rPr>
        <w:sectPr>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w:t>
      </w:r>
      <w:bookmarkStart w:id="69" w:name="_Hlk101259491"/>
      <w:r>
        <w:rPr>
          <w:rFonts w:hint="eastAsia" w:ascii="仿宋" w:hAnsi="仿宋" w:eastAsia="仿宋" w:cs="仿宋"/>
          <w:sz w:val="32"/>
          <w:szCs w:val="32"/>
          <w:highlight w:val="none"/>
        </w:rPr>
        <w:t>（如有）</w:t>
      </w:r>
      <w:bookmarkEnd w:id="69"/>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highlight w:val="none"/>
        </w:rPr>
      </w:pPr>
    </w:p>
    <w:p>
      <w:pPr>
        <w:pStyle w:val="81"/>
        <w:rPr>
          <w:rFonts w:hint="eastAsia" w:ascii="仿宋" w:hAnsi="仿宋" w:eastAsia="仿宋" w:cs="仿宋"/>
          <w:b/>
          <w:sz w:val="24"/>
          <w:highlight w:val="none"/>
        </w:rPr>
      </w:pPr>
    </w:p>
    <w:p>
      <w:pPr>
        <w:rPr>
          <w:rFonts w:hint="eastAsia" w:ascii="仿宋" w:hAnsi="仿宋" w:eastAsia="仿宋" w:cs="仿宋"/>
          <w:b/>
          <w:sz w:val="24"/>
          <w:highlight w:val="none"/>
        </w:rPr>
      </w:pPr>
    </w:p>
    <w:p>
      <w:pPr>
        <w:pStyle w:val="80"/>
        <w:rPr>
          <w:rFonts w:hint="eastAsia" w:ascii="仿宋" w:hAnsi="仿宋" w:eastAsia="仿宋" w:cs="仿宋"/>
          <w:b/>
          <w:color w:val="auto"/>
          <w:highlight w:val="none"/>
        </w:rPr>
      </w:pPr>
    </w:p>
    <w:p>
      <w:pPr>
        <w:pStyle w:val="81"/>
        <w:rPr>
          <w:highlight w:val="none"/>
        </w:rPr>
      </w:pPr>
    </w:p>
    <w:p>
      <w:pPr>
        <w:pStyle w:val="81"/>
        <w:rPr>
          <w:highlight w:val="none"/>
        </w:rPr>
      </w:pPr>
    </w:p>
    <w:p>
      <w:pPr>
        <w:widowControl/>
        <w:spacing w:line="360" w:lineRule="auto"/>
        <w:ind w:firstLine="161" w:firstLineChars="50"/>
        <w:jc w:val="center"/>
        <w:rPr>
          <w:rFonts w:hint="eastAsia" w:ascii="仿宋" w:hAnsi="仿宋" w:eastAsia="仿宋" w:cs="仿宋"/>
          <w:b/>
          <w:sz w:val="24"/>
          <w:highlight w:val="none"/>
        </w:rPr>
      </w:pPr>
      <w:r>
        <w:rPr>
          <w:rFonts w:ascii="仿宋" w:hAnsi="仿宋" w:eastAsia="仿宋" w:cs="仿宋"/>
          <w:b/>
          <w:bCs/>
          <w:sz w:val="32"/>
          <w:szCs w:val="32"/>
          <w:highlight w:val="none"/>
        </w:rPr>
        <w:t>三、残疾人福利性单位声明函（如有）</w:t>
      </w:r>
    </w:p>
    <w:p>
      <w:pPr>
        <w:widowControl/>
        <w:autoSpaceDE w:val="0"/>
        <w:autoSpaceDN w:val="0"/>
        <w:spacing w:line="360" w:lineRule="auto"/>
        <w:ind w:firstLine="120" w:firstLineChars="50"/>
        <w:jc w:val="left"/>
        <w:rPr>
          <w:rFonts w:hint="eastAsia" w:ascii="仿宋" w:hAnsi="仿宋" w:eastAsia="仿宋" w:cs="仿宋"/>
          <w:b/>
          <w:sz w:val="24"/>
          <w:highlight w:val="none"/>
        </w:rPr>
      </w:pPr>
      <w:r>
        <w:rPr>
          <w:rFonts w:ascii="仿宋" w:hAnsi="仿宋" w:eastAsia="仿宋" w:cs="仿宋"/>
          <w:b/>
          <w:bCs/>
          <w:snapToGrid w:val="0"/>
          <w:sz w:val="24"/>
          <w:szCs w:val="21"/>
          <w:highlight w:val="none"/>
          <w:lang w:val="zh-CN"/>
        </w:rPr>
        <w:t>[符合条件的残疾人福利性单位，提供残疾人福利性单位声明函(附件</w:t>
      </w:r>
      <w:r>
        <w:rPr>
          <w:rFonts w:hint="eastAsia" w:ascii="仿宋" w:hAnsi="仿宋" w:eastAsia="仿宋" w:cs="仿宋"/>
          <w:b/>
          <w:bCs/>
          <w:snapToGrid w:val="0"/>
          <w:sz w:val="24"/>
          <w:szCs w:val="21"/>
          <w:highlight w:val="none"/>
        </w:rPr>
        <w:t>6</w:t>
      </w:r>
      <w:r>
        <w:rPr>
          <w:rFonts w:ascii="仿宋" w:hAnsi="仿宋" w:eastAsia="仿宋" w:cs="仿宋"/>
          <w:b/>
          <w:bCs/>
          <w:snapToGrid w:val="0"/>
          <w:sz w:val="24"/>
          <w:szCs w:val="21"/>
          <w:highlight w:val="none"/>
          <w:lang w:val="zh-CN"/>
        </w:rPr>
        <w:t>)，否则不需要提供。]</w:t>
      </w:r>
    </w:p>
    <w:p>
      <w:pPr>
        <w:pStyle w:val="80"/>
        <w:widowControl/>
        <w:spacing w:line="360" w:lineRule="auto"/>
        <w:ind w:firstLine="120" w:firstLineChars="50"/>
        <w:rPr>
          <w:rFonts w:hint="eastAsia" w:ascii="仿宋" w:hAnsi="仿宋" w:eastAsia="仿宋" w:cs="仿宋"/>
          <w:b/>
          <w:color w:val="FF0000"/>
          <w:highlight w:val="none"/>
        </w:rPr>
      </w:pPr>
    </w:p>
    <w:p>
      <w:pPr>
        <w:pStyle w:val="81"/>
        <w:spacing w:line="360" w:lineRule="auto"/>
        <w:ind w:left="0" w:firstLine="120" w:firstLineChars="50"/>
        <w:jc w:val="left"/>
        <w:rPr>
          <w:rFonts w:hint="eastAsia" w:ascii="仿宋" w:hAnsi="仿宋" w:eastAsia="仿宋" w:cs="仿宋"/>
          <w:b/>
          <w:color w:val="FF000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spacing w:line="360" w:lineRule="auto"/>
        <w:ind w:right="420" w:firstLine="3614" w:firstLineChars="1000"/>
        <w:rPr>
          <w:rFonts w:hint="eastAsia" w:ascii="仿宋" w:hAnsi="仿宋" w:eastAsia="仿宋" w:cs="仿宋"/>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highlight w:val="none"/>
        </w:rPr>
      </w:pPr>
      <w:bookmarkStart w:id="70" w:name="_Toc465665161"/>
      <w:r>
        <w:rPr>
          <w:rFonts w:hint="eastAsia" w:ascii="仿宋" w:hAnsi="仿宋" w:eastAsia="仿宋" w:cs="仿宋"/>
          <w:highlight w:val="none"/>
        </w:rPr>
        <w:t>附件</w:t>
      </w:r>
      <w:bookmarkEnd w:id="70"/>
    </w:p>
    <w:p>
      <w:pPr>
        <w:spacing w:line="360" w:lineRule="auto"/>
        <w:rPr>
          <w:rFonts w:hint="eastAsia" w:ascii="仿宋" w:hAnsi="仿宋" w:eastAsia="仿宋" w:cs="仿宋"/>
          <w:b/>
          <w:sz w:val="24"/>
          <w:highlight w:val="none"/>
        </w:rPr>
      </w:pP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pPr>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jc w:val="center"/>
        <w:rPr>
          <w:rFonts w:hint="eastAsia" w:ascii="仿宋" w:hAnsi="仿宋" w:eastAsia="仿宋" w:cs="仿宋"/>
          <w:b/>
          <w:bCs/>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highlight w:val="none"/>
        </w:rPr>
      </w:pPr>
    </w:p>
    <w:p>
      <w:pPr>
        <w:spacing w:line="360" w:lineRule="auto"/>
        <w:jc w:val="center"/>
        <w:rPr>
          <w:rFonts w:hint="eastAsia" w:ascii="仿宋" w:hAnsi="仿宋" w:eastAsia="仿宋" w:cs="仿宋"/>
          <w:b/>
          <w:spacing w:val="6"/>
          <w:sz w:val="32"/>
          <w:szCs w:val="32"/>
          <w:highlight w:val="none"/>
        </w:rPr>
      </w:pPr>
    </w:p>
    <w:p>
      <w:pPr>
        <w:spacing w:line="360" w:lineRule="auto"/>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pPr>
        <w:spacing w:line="360" w:lineRule="auto"/>
        <w:jc w:val="center"/>
        <w:rPr>
          <w:rFonts w:hint="eastAsia" w:ascii="仿宋" w:hAnsi="仿宋" w:eastAsia="仿宋" w:cs="仿宋"/>
          <w:b/>
          <w:sz w:val="24"/>
          <w:highlight w:val="none"/>
        </w:rPr>
      </w:pP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tabs>
          <w:tab w:val="left" w:pos="6510"/>
        </w:tabs>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pPr>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pPr>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p>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pPr>
        <w:spacing w:line="360" w:lineRule="auto"/>
        <w:rPr>
          <w:rFonts w:hint="eastAsia" w:ascii="仿宋" w:hAnsi="仿宋" w:eastAsia="仿宋" w:cs="仿宋"/>
          <w:sz w:val="24"/>
          <w:highlight w:val="none"/>
          <w:u w:val="singl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u w:val="single"/>
        </w:rPr>
        <w:t>、浙江越锋项目管理有限公司：</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临[2025]1921-001号</w:t>
      </w:r>
      <w:r>
        <w:rPr>
          <w:rFonts w:hint="eastAsia" w:ascii="仿宋" w:hAnsi="仿宋" w:eastAsia="仿宋" w:cs="仿宋"/>
          <w:sz w:val="24"/>
          <w:highlight w:val="none"/>
          <w:u w:val="singl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firstLine="494"/>
        <w:rPr>
          <w:rFonts w:hint="eastAsia" w:ascii="仿宋" w:hAnsi="仿宋" w:eastAsia="仿宋" w:cs="仿宋"/>
          <w:sz w:val="24"/>
          <w:highlight w:val="none"/>
        </w:rPr>
      </w:pPr>
    </w:p>
    <w:p>
      <w:pPr>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pPr>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0"/>
        <w:rPr>
          <w:highlight w:val="none"/>
        </w:rPr>
      </w:pPr>
    </w:p>
    <w:p>
      <w:pPr>
        <w:rPr>
          <w:rFonts w:hint="eastAsia" w:ascii="仿宋" w:hAnsi="仿宋" w:eastAsia="仿宋" w:cs="仿宋"/>
          <w:sz w:val="24"/>
          <w:highlight w:val="none"/>
        </w:rPr>
      </w:pPr>
      <w:r>
        <w:rPr>
          <w:rFonts w:hint="eastAsia" w:ascii="仿宋" w:hAnsi="仿宋" w:eastAsia="仿宋" w:cs="仿宋"/>
          <w:b/>
          <w:bCs/>
          <w:sz w:val="24"/>
          <w:highlight w:val="none"/>
        </w:rPr>
        <w:t>附：</w:t>
      </w:r>
    </w:p>
    <w:p>
      <w:pPr>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附件4：联合协议</w:t>
      </w:r>
    </w:p>
    <w:p>
      <w:pPr>
        <w:widowControl/>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临[2025]1921-001号</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 xml:space="preserve">投标。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pPr>
        <w:snapToGrid w:val="0"/>
        <w:spacing w:line="360" w:lineRule="auto"/>
        <w:ind w:firstLine="576"/>
        <w:rPr>
          <w:rFonts w:hint="eastAsia" w:ascii="仿宋" w:hAnsi="仿宋" w:eastAsia="仿宋" w:cs="仿宋"/>
          <w:kern w:val="0"/>
          <w:sz w:val="24"/>
          <w:highlight w:val="none"/>
          <w:lang w:val="zh-CN"/>
        </w:rPr>
      </w:pPr>
      <w:bookmarkStart w:id="71" w:name="_Hlk101134295"/>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bookmarkEnd w:id="71"/>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（联合体成员X,……）</w:t>
      </w:r>
      <w:r>
        <w:rPr>
          <w:rFonts w:hint="eastAsia" w:ascii="仿宋" w:hAnsi="仿宋" w:eastAsia="仿宋" w:cs="仿宋"/>
          <w:kern w:val="0"/>
          <w:sz w:val="24"/>
          <w:highlight w:val="none"/>
        </w:rPr>
        <w:t>提供的全部货物由小微企业制造，其合同份额占到合同总金额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snapToGrid w:val="0"/>
        <w:spacing w:line="360" w:lineRule="auto"/>
        <w:jc w:val="center"/>
        <w:outlineLvl w:val="0"/>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60" w:lineRule="auto"/>
        <w:jc w:val="center"/>
        <w:outlineLvl w:val="0"/>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附件5：分包意向协议</w:t>
      </w:r>
    </w:p>
    <w:p>
      <w:pPr>
        <w:widowControl/>
        <w:spacing w:line="360" w:lineRule="auto"/>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pPr>
        <w:snapToGrid w:val="0"/>
        <w:spacing w:line="360" w:lineRule="auto"/>
        <w:ind w:firstLine="576"/>
        <w:rPr>
          <w:rFonts w:hint="eastAsia" w:ascii="仿宋" w:hAnsi="仿宋" w:eastAsia="仿宋" w:cs="仿宋"/>
          <w:kern w:val="0"/>
          <w:sz w:val="24"/>
          <w:highlight w:val="none"/>
          <w:u w:val="single"/>
        </w:rPr>
      </w:pP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u w:val="single"/>
        </w:rPr>
        <w:t>【招标编号：</w:t>
      </w:r>
      <w:r>
        <w:rPr>
          <w:rFonts w:hint="eastAsia" w:ascii="仿宋" w:hAnsi="仿宋" w:eastAsia="仿宋" w:cs="仿宋"/>
          <w:sz w:val="24"/>
          <w:highlight w:val="none"/>
          <w:u w:val="single"/>
          <w:lang w:eastAsia="zh-CN"/>
        </w:rPr>
        <w:t>临[2025]1921-001号</w:t>
      </w:r>
      <w:r>
        <w:rPr>
          <w:rFonts w:hint="eastAsia" w:ascii="仿宋" w:hAnsi="仿宋" w:eastAsia="仿宋" w:cs="仿宋"/>
          <w:sz w:val="24"/>
          <w:highlight w:val="none"/>
          <w:u w:val="singl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2"/>
        <w:ind w:left="664" w:leftChars="316" w:firstLine="229" w:firstLineChars="95"/>
        <w:rPr>
          <w:rFonts w:hint="eastAsia" w:ascii="仿宋" w:eastAsia="仿宋" w:cs="仿宋"/>
          <w:kern w:val="0"/>
          <w:sz w:val="24"/>
          <w:szCs w:val="24"/>
          <w:highlight w:val="none"/>
        </w:rPr>
      </w:pPr>
      <w:r>
        <w:rPr>
          <w:rFonts w:hint="eastAsia" w:ascii="仿宋" w:eastAsia="仿宋" w:cs="仿宋"/>
          <w:kern w:val="0"/>
          <w:sz w:val="24"/>
          <w:szCs w:val="24"/>
          <w:highlight w:val="none"/>
        </w:rPr>
        <w:t>……</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pPr>
        <w:snapToGrid w:val="0"/>
        <w:spacing w:line="360" w:lineRule="auto"/>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（分包供应商X,……）提供的货物全部由小微企业制造，</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60" w:lineRule="auto"/>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72"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bookmarkEnd w:id="72"/>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60" w:lineRule="auto"/>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3" w:leftChars="273"/>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60" w:lineRule="auto"/>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60" w:lineRule="auto"/>
        <w:ind w:left="5758" w:leftChars="342"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投标人名称(电子签名)：</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pPr>
        <w:spacing w:line="360" w:lineRule="auto"/>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p>
    <w:p>
      <w:pPr>
        <w:pStyle w:val="80"/>
        <w:rPr>
          <w:rFonts w:hint="eastAsia" w:ascii="仿宋" w:hAnsi="仿宋" w:eastAsia="仿宋" w:cs="仿宋"/>
          <w:b/>
          <w:spacing w:val="6"/>
          <w:sz w:val="32"/>
          <w:szCs w:val="32"/>
          <w:highlight w:val="none"/>
        </w:rPr>
      </w:pPr>
    </w:p>
    <w:p>
      <w:pPr>
        <w:pStyle w:val="81"/>
        <w:rPr>
          <w:highlight w:val="none"/>
        </w:rPr>
      </w:pPr>
    </w:p>
    <w:p>
      <w:pPr>
        <w:spacing w:line="360" w:lineRule="auto"/>
        <w:rPr>
          <w:rFonts w:hint="eastAsia" w:ascii="仿宋" w:hAnsi="仿宋" w:eastAsia="仿宋" w:cs="仿宋"/>
          <w:b/>
          <w:spacing w:val="6"/>
          <w:sz w:val="32"/>
          <w:szCs w:val="32"/>
          <w:highlight w:val="none"/>
        </w:rPr>
      </w:pPr>
      <w:bookmarkStart w:id="73" w:name="OLE_LINK13"/>
      <w:bookmarkStart w:id="74" w:name="OLE_LINK14"/>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p>
    <w:p>
      <w:pPr>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残疾人福利性单位声明函</w:t>
      </w:r>
    </w:p>
    <w:bookmarkEnd w:id="73"/>
    <w:bookmarkEnd w:id="74"/>
    <w:p>
      <w:pPr>
        <w:spacing w:line="360" w:lineRule="auto"/>
        <w:rPr>
          <w:rFonts w:hint="eastAsia" w:ascii="仿宋" w:hAnsi="仿宋" w:eastAsia="仿宋" w:cs="仿宋"/>
          <w:b/>
          <w:spacing w:val="6"/>
          <w:sz w:val="30"/>
          <w:szCs w:val="30"/>
          <w:highlight w:val="none"/>
        </w:rPr>
      </w:pP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eastAsia="zh-CN"/>
        </w:rPr>
        <w:t>绍兴市公安局柯桥区分局交通警察大队</w:t>
      </w:r>
      <w:r>
        <w:rPr>
          <w:rFonts w:hint="eastAsia" w:ascii="仿宋" w:hAnsi="仿宋" w:eastAsia="仿宋" w:cs="仿宋"/>
          <w:sz w:val="24"/>
          <w:highlight w:val="none"/>
        </w:rPr>
        <w:t>单位的</w:t>
      </w:r>
      <w:r>
        <w:rPr>
          <w:rFonts w:hint="eastAsia" w:ascii="仿宋" w:hAnsi="仿宋" w:eastAsia="仿宋" w:cs="仿宋"/>
          <w:sz w:val="24"/>
          <w:highlight w:val="none"/>
          <w:u w:val="single"/>
          <w:lang w:eastAsia="zh-CN"/>
        </w:rPr>
        <w:t>2025年绍兴市公安局柯桥区分局交通警察大队平安畅行工程（第二次）</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highlight w:val="none"/>
        </w:rPr>
      </w:pP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pPr>
        <w:tabs>
          <w:tab w:val="left" w:pos="4860"/>
        </w:tabs>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autoSpaceDE w:val="0"/>
        <w:autoSpaceDN w:val="0"/>
        <w:jc w:val="center"/>
        <w:rPr>
          <w:rFonts w:hint="eastAsia" w:ascii="仿宋" w:hAnsi="仿宋" w:eastAsia="仿宋" w:cs="仿宋"/>
          <w:b/>
          <w:spacing w:val="6"/>
          <w:sz w:val="32"/>
          <w:szCs w:val="32"/>
          <w:highlight w:val="none"/>
        </w:rPr>
      </w:pPr>
    </w:p>
    <w:p>
      <w:pPr>
        <w:spacing w:line="360" w:lineRule="auto"/>
        <w:rPr>
          <w:rFonts w:hint="eastAsia" w:ascii="仿宋" w:hAnsi="仿宋" w:eastAsia="仿宋" w:cs="仿宋"/>
          <w:b/>
          <w:spacing w:val="6"/>
          <w:sz w:val="32"/>
          <w:szCs w:val="32"/>
          <w:highlight w:val="none"/>
        </w:rPr>
      </w:pPr>
    </w:p>
    <w:p>
      <w:pP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sz w:val="24"/>
          <w:u w:val="single"/>
        </w:rPr>
      </w:pPr>
    </w:p>
    <w:p>
      <w:pPr>
        <w:snapToGrid w:val="0"/>
        <w:spacing w:before="50" w:after="50"/>
        <w:jc w:val="center"/>
        <w:rPr>
          <w:rFonts w:hint="eastAsia" w:ascii="仿宋" w:hAnsi="仿宋" w:eastAsia="仿宋" w:cs="仿宋"/>
          <w:b/>
          <w:sz w:val="36"/>
          <w:szCs w:val="36"/>
        </w:rPr>
      </w:pPr>
      <w:r>
        <w:rPr>
          <w:rFonts w:hint="eastAsia" w:ascii="仿宋" w:hAnsi="仿宋" w:eastAsia="仿宋" w:cs="仿宋"/>
          <w:b/>
          <w:sz w:val="36"/>
          <w:szCs w:val="36"/>
        </w:rPr>
        <w:t>中小企业声明函（货物）</w:t>
      </w:r>
    </w:p>
    <w:p>
      <w:pPr>
        <w:snapToGrid w:val="0"/>
        <w:spacing w:line="360" w:lineRule="auto"/>
        <w:rPr>
          <w:rFonts w:hint="eastAsia" w:ascii="仿宋" w:hAnsi="仿宋" w:eastAsia="仿宋" w:cs="仿宋"/>
          <w:sz w:val="28"/>
          <w:szCs w:val="28"/>
        </w:rPr>
      </w:pPr>
    </w:p>
    <w:p>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本公司（联合体）郑重声明，根据《政府采购促进中小企业发展管理办法》（财库﹝2020﹞46 号）的规定，本公司（联合体）参加</w:t>
      </w:r>
      <w:r>
        <w:rPr>
          <w:rFonts w:hint="eastAsia" w:ascii="仿宋" w:hAnsi="仿宋" w:eastAsia="仿宋" w:cs="仿宋"/>
          <w:sz w:val="28"/>
          <w:szCs w:val="28"/>
          <w:u w:val="single"/>
          <w:lang w:eastAsia="zh-CN"/>
        </w:rPr>
        <w:t>绍兴市公安局柯桥区分局交通警察大队</w:t>
      </w:r>
      <w:r>
        <w:rPr>
          <w:rFonts w:hint="eastAsia" w:ascii="仿宋" w:hAnsi="仿宋" w:eastAsia="仿宋" w:cs="仿宋"/>
          <w:sz w:val="28"/>
          <w:szCs w:val="28"/>
        </w:rPr>
        <w:t>的</w:t>
      </w:r>
      <w:r>
        <w:rPr>
          <w:rFonts w:hint="eastAsia" w:ascii="仿宋" w:hAnsi="仿宋" w:eastAsia="仿宋" w:cs="仿宋"/>
          <w:sz w:val="28"/>
          <w:szCs w:val="28"/>
          <w:u w:val="single"/>
          <w:lang w:eastAsia="zh-CN"/>
        </w:rPr>
        <w:t>2025年绍兴市公安局柯桥区分局交通警察大队平安畅行工程（第二次）</w:t>
      </w:r>
      <w:r>
        <w:rPr>
          <w:rFonts w:hint="eastAsia" w:ascii="仿宋" w:hAnsi="仿宋" w:eastAsia="仿宋" w:cs="仿宋"/>
          <w:sz w:val="28"/>
          <w:szCs w:val="28"/>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Ind w:w="0" w:type="dxa"/>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tblPrEx>
          <w:tblLayout w:type="fixed"/>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营业收入</w:t>
            </w:r>
          </w:p>
          <w:p>
            <w:pPr>
              <w:widowControl/>
              <w:jc w:val="center"/>
              <w:textAlignment w:val="center"/>
              <w:rPr>
                <w:rFonts w:hint="eastAsia" w:ascii="仿宋" w:hAnsi="仿宋" w:eastAsia="仿宋" w:cs="仿宋"/>
                <w:b/>
                <w:bCs/>
                <w:color w:val="000000"/>
                <w:sz w:val="18"/>
                <w:szCs w:val="18"/>
              </w:rPr>
            </w:pPr>
            <w:r>
              <w:rPr>
                <w:rFonts w:hint="eastAsia" w:ascii="仿宋" w:hAnsi="仿宋" w:eastAsia="仿宋" w:cs="仿宋"/>
                <w:b/>
                <w:bCs/>
                <w:color w:val="000000"/>
                <w:kern w:val="0"/>
                <w:sz w:val="18"/>
                <w:szCs w:val="18"/>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资产总额</w:t>
            </w:r>
          </w:p>
          <w:p>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b/>
                <w:bCs/>
                <w:color w:val="000000"/>
                <w:kern w:val="0"/>
                <w:sz w:val="18"/>
                <w:szCs w:val="18"/>
                <w:lang w:bidi="ar"/>
              </w:rPr>
            </w:pPr>
            <w:r>
              <w:rPr>
                <w:rFonts w:hint="eastAsia" w:ascii="仿宋" w:hAnsi="仿宋" w:eastAsia="仿宋" w:cs="仿宋"/>
                <w:b/>
                <w:bCs/>
                <w:color w:val="000000"/>
                <w:kern w:val="0"/>
                <w:sz w:val="18"/>
                <w:szCs w:val="18"/>
                <w:lang w:bidi="ar"/>
              </w:rPr>
              <w:t>属于（中型企业、小型企业、微型企业）</w:t>
            </w: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tabs>
                <w:tab w:val="center" w:pos="822"/>
                <w:tab w:val="right" w:pos="1524"/>
              </w:tabs>
              <w:jc w:val="left"/>
              <w:textAlignment w:val="center"/>
              <w:rPr>
                <w:rFonts w:hint="eastAsia" w:ascii="仿宋" w:hAnsi="仿宋" w:eastAsia="仿宋" w:cs="仿宋"/>
                <w:b w:val="0"/>
                <w:bCs w:val="0"/>
                <w:color w:val="000000"/>
                <w:kern w:val="0"/>
                <w:sz w:val="18"/>
                <w:szCs w:val="18"/>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left"/>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r>
        <w:tblPrEx>
          <w:tblLayout w:type="fixed"/>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 w:hAnsi="仿宋" w:eastAsia="仿宋" w:cs="仿宋"/>
                <w:b w:val="0"/>
                <w:bCs w:val="0"/>
                <w:color w:val="000000"/>
                <w:kern w:val="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pPr>
              <w:spacing w:before="24" w:beforeLines="10" w:after="24" w:afterLines="10"/>
              <w:jc w:val="center"/>
              <w:rPr>
                <w:rFonts w:hint="eastAsia" w:ascii="仿宋" w:hAnsi="仿宋" w:eastAsia="仿宋" w:cs="仿宋"/>
                <w:color w:val="000000"/>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pPr>
              <w:widowControl/>
              <w:spacing w:before="24" w:beforeLines="10" w:after="24" w:afterLines="10"/>
              <w:jc w:val="center"/>
              <w:textAlignment w:val="center"/>
              <w:rPr>
                <w:rFonts w:hint="eastAsia" w:ascii="仿宋" w:hAnsi="仿宋" w:eastAsia="仿宋" w:cs="仿宋"/>
                <w:color w:val="000000"/>
                <w:kern w:val="0"/>
                <w:sz w:val="18"/>
                <w:szCs w:val="18"/>
                <w:bdr w:val="single" w:color="000000" w:sz="4" w:space="0"/>
                <w:lang w:bidi="ar"/>
              </w:rPr>
            </w:pPr>
          </w:p>
        </w:tc>
      </w:tr>
    </w:tbl>
    <w:p>
      <w:pPr>
        <w:snapToGrid w:val="0"/>
        <w:spacing w:line="360" w:lineRule="auto"/>
        <w:ind w:firstLine="560" w:firstLineChars="200"/>
        <w:jc w:val="left"/>
        <w:rPr>
          <w:rFonts w:hint="eastAsia" w:ascii="仿宋" w:hAnsi="仿宋" w:eastAsia="仿宋" w:cs="仿宋"/>
          <w:sz w:val="28"/>
          <w:szCs w:val="28"/>
        </w:rPr>
      </w:pPr>
    </w:p>
    <w:p>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本企业对上述声明内容的真实性负责。如有虚假，将依法承担相应责任。</w:t>
      </w:r>
    </w:p>
    <w:p>
      <w:pPr>
        <w:snapToGrid w:val="0"/>
        <w:spacing w:line="360" w:lineRule="auto"/>
        <w:ind w:left="3640" w:firstLine="560" w:firstLineChars="200"/>
        <w:jc w:val="left"/>
        <w:rPr>
          <w:rFonts w:hint="eastAsia" w:ascii="仿宋" w:hAnsi="仿宋" w:eastAsia="仿宋" w:cs="仿宋"/>
          <w:sz w:val="28"/>
          <w:szCs w:val="28"/>
          <w:u w:val="single"/>
        </w:rPr>
      </w:pPr>
      <w:r>
        <w:rPr>
          <w:rFonts w:hint="eastAsia" w:ascii="仿宋" w:hAnsi="仿宋" w:eastAsia="仿宋" w:cs="仿宋"/>
          <w:sz w:val="28"/>
          <w:szCs w:val="28"/>
        </w:rPr>
        <w:t>投标人名称（盖章）：</w:t>
      </w:r>
      <w:r>
        <w:rPr>
          <w:rFonts w:hint="eastAsia" w:ascii="仿宋" w:hAnsi="仿宋" w:eastAsia="仿宋" w:cs="仿宋"/>
          <w:sz w:val="28"/>
          <w:szCs w:val="28"/>
          <w:u w:val="single"/>
        </w:rPr>
        <w:t xml:space="preserve">         </w:t>
      </w:r>
    </w:p>
    <w:p>
      <w:pPr>
        <w:wordWrap w:val="0"/>
        <w:snapToGrid w:val="0"/>
        <w:spacing w:line="360" w:lineRule="auto"/>
        <w:ind w:right="1120"/>
        <w:jc w:val="right"/>
        <w:rPr>
          <w:rFonts w:hint="eastAsia" w:ascii="仿宋" w:hAnsi="仿宋" w:eastAsia="仿宋" w:cs="仿宋"/>
          <w:sz w:val="28"/>
          <w:szCs w:val="28"/>
          <w:u w:val="single"/>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p>
    <w:p>
      <w:pPr>
        <w:pStyle w:val="33"/>
        <w:spacing w:before="120" w:after="120" w:line="360" w:lineRule="auto"/>
        <w:ind w:firstLine="360" w:firstLineChars="200"/>
        <w:rPr>
          <w:rFonts w:hint="eastAsia" w:ascii="仿宋" w:hAnsi="仿宋" w:eastAsia="仿宋" w:cs="仿宋"/>
          <w:sz w:val="18"/>
        </w:rPr>
      </w:pPr>
      <w:r>
        <w:rPr>
          <w:rFonts w:hint="eastAsia" w:ascii="仿宋" w:hAnsi="仿宋" w:eastAsia="仿宋" w:cs="仿宋"/>
          <w:sz w:val="18"/>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r>
        <w:rPr>
          <w:rFonts w:hint="eastAsia" w:ascii="仿宋" w:hAnsi="仿宋" w:eastAsia="仿宋" w:cs="仿宋"/>
          <w:sz w:val="24"/>
        </w:rPr>
        <w:t>注：</w:t>
      </w:r>
    </w:p>
    <w:p>
      <w:pPr>
        <w:pStyle w:val="33"/>
        <w:spacing w:before="120" w:after="120" w:line="360" w:lineRule="auto"/>
        <w:ind w:firstLine="480" w:firstLineChars="200"/>
        <w:rPr>
          <w:rFonts w:hint="eastAsia" w:ascii="仿宋" w:hAnsi="仿宋" w:eastAsia="仿宋" w:cs="仿宋"/>
          <w:sz w:val="18"/>
        </w:rPr>
      </w:pPr>
      <w:r>
        <w:rPr>
          <w:rFonts w:hint="eastAsia" w:ascii="仿宋" w:hAnsi="仿宋" w:eastAsia="仿宋" w:cs="仿宋"/>
          <w:sz w:val="24"/>
        </w:rPr>
        <w:t>1、填写要求：①“标的名称”、“采购文件中明确的所属行业”依据招标文件第二部分投标人须知前附表中“</w:t>
      </w:r>
      <w:r>
        <w:rPr>
          <w:rFonts w:hint="eastAsia" w:ascii="仿宋" w:hAnsi="仿宋" w:eastAsia="仿宋" w:cs="仿宋"/>
          <w:bCs/>
          <w:color w:val="000000" w:themeColor="text1"/>
          <w:sz w:val="24"/>
          <w14:textFill>
            <w14:solidFill>
              <w14:schemeClr w14:val="tx1"/>
            </w14:solidFill>
          </w14:textFill>
        </w:rPr>
        <w:t>中小企业优惠措施</w:t>
      </w:r>
      <w:r>
        <w:rPr>
          <w:rFonts w:hint="eastAsia" w:ascii="仿宋" w:hAnsi="仿宋" w:eastAsia="仿宋" w:cs="仿宋"/>
          <w:bCs/>
          <w:color w:val="000000" w:themeColor="text1"/>
          <w:sz w:val="24"/>
          <w:lang w:eastAsia="zh-CN"/>
          <w14:textFill>
            <w14:solidFill>
              <w14:schemeClr w14:val="tx1"/>
            </w14:solidFill>
          </w14:textFill>
        </w:rPr>
        <w:t>中</w:t>
      </w:r>
      <w:r>
        <w:rPr>
          <w:rFonts w:hint="eastAsia" w:ascii="仿宋" w:hAnsi="仿宋" w:eastAsia="仿宋" w:cs="仿宋"/>
          <w:sz w:val="24"/>
          <w:lang w:eastAsia="zh-CN"/>
        </w:rPr>
        <w:t>所对应的</w:t>
      </w:r>
      <w:r>
        <w:rPr>
          <w:rFonts w:hint="eastAsia" w:ascii="仿宋" w:hAnsi="仿宋" w:eastAsia="仿宋" w:cs="仿宋"/>
          <w:sz w:val="24"/>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pageBreakBefore/>
        <w:shd w:val="clear" w:color="auto" w:fill="FFFFFF"/>
        <w:spacing w:line="420" w:lineRule="exac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exac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420" w:lineRule="exact"/>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before="150" w:line="420" w:lineRule="exac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before="150" w:line="420" w:lineRule="exac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3"/>
        <w:spacing w:line="420" w:lineRule="exact"/>
        <w:rPr>
          <w:highlight w:val="none"/>
          <w:lang w:val="en-US"/>
        </w:rPr>
      </w:pPr>
    </w:p>
    <w:p>
      <w:pPr>
        <w:widowControl/>
        <w:shd w:val="clear" w:color="auto" w:fill="FFFFFF"/>
        <w:spacing w:before="150" w:line="420" w:lineRule="exac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before="150" w:line="38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380" w:lineRule="exact"/>
        <w:jc w:val="left"/>
        <w:textAlignment w:val="baseline"/>
        <w:rPr>
          <w:rFonts w:hint="eastAsia" w:ascii="仿宋" w:hAnsi="仿宋" w:eastAsia="仿宋" w:cs="仿宋"/>
          <w:kern w:val="0"/>
          <w:szCs w:val="21"/>
          <w:highlight w:val="none"/>
        </w:rPr>
      </w:pPr>
    </w:p>
    <w:p>
      <w:pPr>
        <w:widowControl/>
        <w:shd w:val="clear" w:color="auto" w:fill="FFFFFF"/>
        <w:spacing w:before="150" w:line="380" w:lineRule="exac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2"/>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highlight w:val="none"/>
              </w:rPr>
            </w:pP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jc w:val="left"/>
        <w:rPr>
          <w:rFonts w:hint="eastAsia" w:ascii="仿宋" w:hAnsi="仿宋" w:eastAsia="仿宋" w:cs="仿宋"/>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2"/>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highlight w:val="none"/>
              </w:rPr>
            </w:pPr>
          </w:p>
        </w:tc>
        <w:tc>
          <w:tcPr>
            <w:tcW w:w="1025" w:type="dxa"/>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360" w:lineRule="auto"/>
        <w:ind w:right="420"/>
        <w:rPr>
          <w:rFonts w:hint="eastAsia" w:ascii="仿宋" w:hAnsi="仿宋" w:eastAsia="仿宋" w:cs="仿宋"/>
          <w:highlight w:val="none"/>
        </w:rPr>
      </w:pPr>
    </w:p>
    <w:p>
      <w:pPr>
        <w:spacing w:line="360" w:lineRule="auto"/>
        <w:rPr>
          <w:rFonts w:hint="eastAsia" w:ascii="宋体" w:hAnsi="宋体" w:cs="宋体"/>
          <w:bCs/>
          <w:sz w:val="24"/>
          <w:highlight w:val="none"/>
        </w:rPr>
      </w:pPr>
    </w:p>
    <w:p>
      <w:pPr>
        <w:spacing w:line="360" w:lineRule="auto"/>
        <w:jc w:val="center"/>
        <w:rPr>
          <w:rFonts w:hint="eastAsia" w:ascii="宋体" w:hAnsi="宋体" w:cs="宋体"/>
          <w:b/>
          <w:sz w:val="32"/>
          <w:szCs w:val="32"/>
          <w:highlight w:val="none"/>
        </w:rPr>
      </w:pPr>
    </w:p>
    <w:p>
      <w:pPr>
        <w:spacing w:line="360" w:lineRule="auto"/>
        <w:rPr>
          <w:rFonts w:hint="eastAsia" w:ascii="宋体" w:hAnsi="宋体" w:cs="宋体"/>
          <w:bCs/>
          <w:sz w:val="24"/>
          <w:highlight w:val="none"/>
        </w:rPr>
      </w:pPr>
    </w:p>
    <w:sectPr>
      <w:headerReference r:id="rId24" w:type="first"/>
      <w:footerReference r:id="rId27" w:type="first"/>
      <w:headerReference r:id="rId23" w:type="default"/>
      <w:footerReference r:id="rId25" w:type="default"/>
      <w:footerReference r:id="rId26" w:type="even"/>
      <w:pgSz w:w="11906" w:h="16838"/>
      <w:pgMar w:top="1276" w:right="1417" w:bottom="1247" w:left="141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75" w:name="_Toc91899912"/>
    <w:bookmarkStart w:id="76" w:name="_Toc131845147"/>
    <w:bookmarkStart w:id="77" w:name="_Toc36110187"/>
    <w:bookmarkStart w:id="78" w:name="_Toc164085800"/>
    <w:r>
      <w:rPr>
        <w:rFonts w:hint="eastAsia" w:ascii="仿宋_GB2312" w:eastAsia="仿宋_GB2312"/>
        <w:kern w:val="0"/>
        <w:szCs w:val="21"/>
      </w:rPr>
      <w:t xml:space="preserve"> 页</w:t>
    </w:r>
    <w:bookmarkEnd w:id="75"/>
    <w:bookmarkEnd w:id="76"/>
    <w:bookmarkEnd w:id="77"/>
    <w:bookmarkEnd w:id="7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r>
      <w:rPr>
        <w:rFonts w:hint="eastAsia" w:ascii="仿宋" w:hAnsi="仿宋" w:eastAsia="仿宋" w:cs="仿宋"/>
      </w:rPr>
      <w:t xml:space="preserve"> </w:t>
    </w:r>
  </w:p>
  <w:p>
    <w:pPr>
      <w:pStyle w:val="41"/>
      <w:pBdr>
        <w:bottom w:val="none" w:color="auto" w:sz="0" w:space="1"/>
      </w:pBdr>
      <w:jc w:val="both"/>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_GB2312" w:eastAsia="仿宋"/>
        <w:i/>
        <w:u w:val="single"/>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p>
  <w:p>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eastAsia="仿宋"/>
        <w:lang w:eastAsia="zh-CN"/>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r>
      <w:rPr>
        <w:rFonts w:hint="eastAsia" w:ascii="仿宋" w:hAnsi="仿宋" w:eastAsia="仿宋" w:cs="仿宋"/>
      </w:rPr>
      <w:t xml:space="preserve"> </w:t>
    </w:r>
  </w:p>
  <w:p>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浙江越锋项目管理有限公司                                                文件编号:</w:t>
    </w:r>
    <w:r>
      <w:rPr>
        <w:rFonts w:hint="eastAsia" w:ascii="仿宋" w:hAnsi="仿宋" w:eastAsia="仿宋" w:cs="仿宋"/>
        <w:lang w:eastAsia="zh-CN"/>
      </w:rPr>
      <w:t>临[2025]1921-001号</w:t>
    </w:r>
    <w:r>
      <w:rPr>
        <w:rFonts w:hint="eastAsia" w:ascii="仿宋" w:hAnsi="仿宋" w:eastAsia="仿宋" w:cs="仿宋"/>
      </w:rPr>
      <w:t xml:space="preserve"> </w:t>
    </w:r>
  </w:p>
  <w:p>
    <w:pPr>
      <w:pStyle w:val="41"/>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78FA9A07"/>
    <w:multiLevelType w:val="singleLevel"/>
    <w:tmpl w:val="78FA9A07"/>
    <w:lvl w:ilvl="0" w:tentative="0">
      <w:start w:val="1"/>
      <w:numFmt w:val="decimal"/>
      <w:lvlText w:val="%1."/>
      <w:lvlJc w:val="left"/>
      <w:pPr>
        <w:tabs>
          <w:tab w:val="left" w:pos="312"/>
        </w:tabs>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BF4E41"/>
    <w:rsid w:val="00017E27"/>
    <w:rsid w:val="000E14B5"/>
    <w:rsid w:val="005A2757"/>
    <w:rsid w:val="006454CE"/>
    <w:rsid w:val="008C7B36"/>
    <w:rsid w:val="00BD5728"/>
    <w:rsid w:val="00BF4E41"/>
    <w:rsid w:val="00CE2E9E"/>
    <w:rsid w:val="00CF1036"/>
    <w:rsid w:val="00FC074E"/>
    <w:rsid w:val="018442E7"/>
    <w:rsid w:val="019B347B"/>
    <w:rsid w:val="01EB78CC"/>
    <w:rsid w:val="01ED10D6"/>
    <w:rsid w:val="025C7268"/>
    <w:rsid w:val="02E34241"/>
    <w:rsid w:val="02F05C02"/>
    <w:rsid w:val="033E089E"/>
    <w:rsid w:val="03C24B8A"/>
    <w:rsid w:val="04275653"/>
    <w:rsid w:val="04A171B4"/>
    <w:rsid w:val="04BC223F"/>
    <w:rsid w:val="050463C4"/>
    <w:rsid w:val="05086229"/>
    <w:rsid w:val="057C377D"/>
    <w:rsid w:val="062702A8"/>
    <w:rsid w:val="063D115E"/>
    <w:rsid w:val="06B07B82"/>
    <w:rsid w:val="06D74677"/>
    <w:rsid w:val="07965E1F"/>
    <w:rsid w:val="07C02047"/>
    <w:rsid w:val="082A3A50"/>
    <w:rsid w:val="087B5F6E"/>
    <w:rsid w:val="08986F03"/>
    <w:rsid w:val="0983157E"/>
    <w:rsid w:val="0A626F6C"/>
    <w:rsid w:val="0A8740E8"/>
    <w:rsid w:val="0ADF0A36"/>
    <w:rsid w:val="0B9B2395"/>
    <w:rsid w:val="0BF61C8F"/>
    <w:rsid w:val="0C2A5B0C"/>
    <w:rsid w:val="0C6D153E"/>
    <w:rsid w:val="0CA02447"/>
    <w:rsid w:val="0D9964CF"/>
    <w:rsid w:val="0DE97BB3"/>
    <w:rsid w:val="0E4806A0"/>
    <w:rsid w:val="0EEB2276"/>
    <w:rsid w:val="0F102FA9"/>
    <w:rsid w:val="0F740C53"/>
    <w:rsid w:val="0F905BB1"/>
    <w:rsid w:val="0F9067A2"/>
    <w:rsid w:val="0FA0239A"/>
    <w:rsid w:val="11274EE5"/>
    <w:rsid w:val="11322FE8"/>
    <w:rsid w:val="12473F06"/>
    <w:rsid w:val="12555A81"/>
    <w:rsid w:val="1292209E"/>
    <w:rsid w:val="12B02CB8"/>
    <w:rsid w:val="12D7672C"/>
    <w:rsid w:val="12F2507E"/>
    <w:rsid w:val="13037D42"/>
    <w:rsid w:val="134B45F5"/>
    <w:rsid w:val="139E2CE4"/>
    <w:rsid w:val="13D425A7"/>
    <w:rsid w:val="13D824C6"/>
    <w:rsid w:val="14127BE9"/>
    <w:rsid w:val="14A17F4C"/>
    <w:rsid w:val="15172123"/>
    <w:rsid w:val="152B41D7"/>
    <w:rsid w:val="169E17AF"/>
    <w:rsid w:val="17716EB9"/>
    <w:rsid w:val="17EE44A3"/>
    <w:rsid w:val="185216F6"/>
    <w:rsid w:val="193E101D"/>
    <w:rsid w:val="1A4D107F"/>
    <w:rsid w:val="1A7C55D5"/>
    <w:rsid w:val="1AF0D45A"/>
    <w:rsid w:val="1B425841"/>
    <w:rsid w:val="1B8D2DC6"/>
    <w:rsid w:val="1C4F52EF"/>
    <w:rsid w:val="1CE103E1"/>
    <w:rsid w:val="1D11777D"/>
    <w:rsid w:val="1D1B7BF3"/>
    <w:rsid w:val="1DB11495"/>
    <w:rsid w:val="1DD41F50"/>
    <w:rsid w:val="1E642A5C"/>
    <w:rsid w:val="1E953657"/>
    <w:rsid w:val="1EB663BA"/>
    <w:rsid w:val="1EB83620"/>
    <w:rsid w:val="1EE93820"/>
    <w:rsid w:val="1F014EEF"/>
    <w:rsid w:val="1F6707C5"/>
    <w:rsid w:val="1F980D5B"/>
    <w:rsid w:val="1FBF3881"/>
    <w:rsid w:val="1FCBC4A9"/>
    <w:rsid w:val="1FD402A0"/>
    <w:rsid w:val="1FDF64A5"/>
    <w:rsid w:val="21355247"/>
    <w:rsid w:val="21893052"/>
    <w:rsid w:val="21E44B37"/>
    <w:rsid w:val="22215F9A"/>
    <w:rsid w:val="22BD7C47"/>
    <w:rsid w:val="23754AA7"/>
    <w:rsid w:val="238F65C2"/>
    <w:rsid w:val="23F8626D"/>
    <w:rsid w:val="24413208"/>
    <w:rsid w:val="2507454D"/>
    <w:rsid w:val="25243F0A"/>
    <w:rsid w:val="254B65D3"/>
    <w:rsid w:val="25AB3597"/>
    <w:rsid w:val="25EF71CB"/>
    <w:rsid w:val="267329FC"/>
    <w:rsid w:val="26866A58"/>
    <w:rsid w:val="2741715F"/>
    <w:rsid w:val="275D3041"/>
    <w:rsid w:val="28697553"/>
    <w:rsid w:val="28926B9F"/>
    <w:rsid w:val="29E03A2B"/>
    <w:rsid w:val="29EE439A"/>
    <w:rsid w:val="2A943D8F"/>
    <w:rsid w:val="2B3F1F83"/>
    <w:rsid w:val="2CB71FC9"/>
    <w:rsid w:val="2CDA6E57"/>
    <w:rsid w:val="2D4973F6"/>
    <w:rsid w:val="2D5644CB"/>
    <w:rsid w:val="2D8017AD"/>
    <w:rsid w:val="2DEC6E42"/>
    <w:rsid w:val="2E78449E"/>
    <w:rsid w:val="2F416D1A"/>
    <w:rsid w:val="2F7E0C8E"/>
    <w:rsid w:val="2FEE71D8"/>
    <w:rsid w:val="3075311F"/>
    <w:rsid w:val="30C419B0"/>
    <w:rsid w:val="312863E3"/>
    <w:rsid w:val="312C5ACF"/>
    <w:rsid w:val="31666A8A"/>
    <w:rsid w:val="31684E79"/>
    <w:rsid w:val="31C36CF8"/>
    <w:rsid w:val="3242018E"/>
    <w:rsid w:val="32480A17"/>
    <w:rsid w:val="328B3676"/>
    <w:rsid w:val="32943604"/>
    <w:rsid w:val="3309693A"/>
    <w:rsid w:val="333336CB"/>
    <w:rsid w:val="33C0176F"/>
    <w:rsid w:val="34A82BBE"/>
    <w:rsid w:val="35E553F5"/>
    <w:rsid w:val="368A7649"/>
    <w:rsid w:val="370945C1"/>
    <w:rsid w:val="370E5D48"/>
    <w:rsid w:val="37331A94"/>
    <w:rsid w:val="37453A22"/>
    <w:rsid w:val="374D6BA3"/>
    <w:rsid w:val="379536CF"/>
    <w:rsid w:val="37A4248B"/>
    <w:rsid w:val="37D80F43"/>
    <w:rsid w:val="37F80C39"/>
    <w:rsid w:val="38D63484"/>
    <w:rsid w:val="38DD64AE"/>
    <w:rsid w:val="391F00CC"/>
    <w:rsid w:val="39914E56"/>
    <w:rsid w:val="399737E3"/>
    <w:rsid w:val="39A405D1"/>
    <w:rsid w:val="3A035551"/>
    <w:rsid w:val="3A704DDE"/>
    <w:rsid w:val="3A79072A"/>
    <w:rsid w:val="3AE570F3"/>
    <w:rsid w:val="3AF80546"/>
    <w:rsid w:val="3B135A0E"/>
    <w:rsid w:val="3B293484"/>
    <w:rsid w:val="3B4114E1"/>
    <w:rsid w:val="3C542228"/>
    <w:rsid w:val="3C614B27"/>
    <w:rsid w:val="3D0015AA"/>
    <w:rsid w:val="3DB22CC1"/>
    <w:rsid w:val="3DF3849B"/>
    <w:rsid w:val="3E79027E"/>
    <w:rsid w:val="3F294FBE"/>
    <w:rsid w:val="3F326AC0"/>
    <w:rsid w:val="3F345568"/>
    <w:rsid w:val="3F5D7EA5"/>
    <w:rsid w:val="3F6D7804"/>
    <w:rsid w:val="3F817BE4"/>
    <w:rsid w:val="3FA2524A"/>
    <w:rsid w:val="3FEFF7E8"/>
    <w:rsid w:val="3FF7BB55"/>
    <w:rsid w:val="3FFCE84F"/>
    <w:rsid w:val="3FFE25DA"/>
    <w:rsid w:val="3FFF5138"/>
    <w:rsid w:val="401C35B6"/>
    <w:rsid w:val="40D52048"/>
    <w:rsid w:val="41016491"/>
    <w:rsid w:val="41395AA3"/>
    <w:rsid w:val="41AD023F"/>
    <w:rsid w:val="41AF652E"/>
    <w:rsid w:val="41F5553B"/>
    <w:rsid w:val="429B0386"/>
    <w:rsid w:val="42FA32A1"/>
    <w:rsid w:val="43764BC8"/>
    <w:rsid w:val="43FB6126"/>
    <w:rsid w:val="44435D96"/>
    <w:rsid w:val="444E33DA"/>
    <w:rsid w:val="44A973E3"/>
    <w:rsid w:val="4508235C"/>
    <w:rsid w:val="45394A3E"/>
    <w:rsid w:val="45C83899"/>
    <w:rsid w:val="45CD0EAF"/>
    <w:rsid w:val="45DE61D5"/>
    <w:rsid w:val="45FF8421"/>
    <w:rsid w:val="46064DC8"/>
    <w:rsid w:val="462D0481"/>
    <w:rsid w:val="463158E2"/>
    <w:rsid w:val="463F1DAD"/>
    <w:rsid w:val="466E1765"/>
    <w:rsid w:val="46BF4C9C"/>
    <w:rsid w:val="476A5071"/>
    <w:rsid w:val="47AA76FA"/>
    <w:rsid w:val="48967A43"/>
    <w:rsid w:val="48E00EFA"/>
    <w:rsid w:val="49141074"/>
    <w:rsid w:val="491F6EE2"/>
    <w:rsid w:val="4930182A"/>
    <w:rsid w:val="4A315FE0"/>
    <w:rsid w:val="4A5023A5"/>
    <w:rsid w:val="4B117A90"/>
    <w:rsid w:val="4B5C107E"/>
    <w:rsid w:val="4B824071"/>
    <w:rsid w:val="4B8B339F"/>
    <w:rsid w:val="4C583BC9"/>
    <w:rsid w:val="4C7F1DD7"/>
    <w:rsid w:val="4D491763"/>
    <w:rsid w:val="4DD16963"/>
    <w:rsid w:val="4DE4148C"/>
    <w:rsid w:val="4E316358"/>
    <w:rsid w:val="4E742810"/>
    <w:rsid w:val="4EB93929"/>
    <w:rsid w:val="4EE554BC"/>
    <w:rsid w:val="4F3FEEA3"/>
    <w:rsid w:val="4F903939"/>
    <w:rsid w:val="4FAE554B"/>
    <w:rsid w:val="4FB86A79"/>
    <w:rsid w:val="4FEEF1CF"/>
    <w:rsid w:val="503E4C0F"/>
    <w:rsid w:val="50812078"/>
    <w:rsid w:val="50B46D6B"/>
    <w:rsid w:val="50C301CB"/>
    <w:rsid w:val="515F3303"/>
    <w:rsid w:val="5174109B"/>
    <w:rsid w:val="517C6466"/>
    <w:rsid w:val="520A5070"/>
    <w:rsid w:val="52100B2D"/>
    <w:rsid w:val="5294086D"/>
    <w:rsid w:val="530E12FC"/>
    <w:rsid w:val="53226CDE"/>
    <w:rsid w:val="5371731E"/>
    <w:rsid w:val="53DC0B0D"/>
    <w:rsid w:val="54527990"/>
    <w:rsid w:val="54B5148C"/>
    <w:rsid w:val="55081F04"/>
    <w:rsid w:val="55106A71"/>
    <w:rsid w:val="55220438"/>
    <w:rsid w:val="553D42DE"/>
    <w:rsid w:val="55C62DB3"/>
    <w:rsid w:val="55FE26FE"/>
    <w:rsid w:val="55FF50B5"/>
    <w:rsid w:val="566FF3A5"/>
    <w:rsid w:val="56BA5480"/>
    <w:rsid w:val="56CD6F61"/>
    <w:rsid w:val="56E61DD1"/>
    <w:rsid w:val="57DAE6E1"/>
    <w:rsid w:val="5A558E99"/>
    <w:rsid w:val="5AF70A51"/>
    <w:rsid w:val="5B026E9E"/>
    <w:rsid w:val="5BDF3378"/>
    <w:rsid w:val="5C1D6295"/>
    <w:rsid w:val="5C877BB2"/>
    <w:rsid w:val="5CFEE2CC"/>
    <w:rsid w:val="5D0F0551"/>
    <w:rsid w:val="5D7F1DB6"/>
    <w:rsid w:val="5D850D37"/>
    <w:rsid w:val="5DBA5B08"/>
    <w:rsid w:val="5E3E6446"/>
    <w:rsid w:val="5E8D7FDA"/>
    <w:rsid w:val="5F665FB3"/>
    <w:rsid w:val="5F9271FE"/>
    <w:rsid w:val="5FB95226"/>
    <w:rsid w:val="5FBC3B8E"/>
    <w:rsid w:val="602D281F"/>
    <w:rsid w:val="602F33AA"/>
    <w:rsid w:val="60C51BF1"/>
    <w:rsid w:val="60F33A68"/>
    <w:rsid w:val="6162196E"/>
    <w:rsid w:val="6175345D"/>
    <w:rsid w:val="61BB6CC8"/>
    <w:rsid w:val="620C31B2"/>
    <w:rsid w:val="62125032"/>
    <w:rsid w:val="62402CDD"/>
    <w:rsid w:val="624772E2"/>
    <w:rsid w:val="631303F2"/>
    <w:rsid w:val="6347009B"/>
    <w:rsid w:val="642152E2"/>
    <w:rsid w:val="6426760F"/>
    <w:rsid w:val="64754794"/>
    <w:rsid w:val="64835103"/>
    <w:rsid w:val="64C01EB3"/>
    <w:rsid w:val="64CA1556"/>
    <w:rsid w:val="64E75692"/>
    <w:rsid w:val="65077AE2"/>
    <w:rsid w:val="650E70C3"/>
    <w:rsid w:val="652C12F7"/>
    <w:rsid w:val="65491EA9"/>
    <w:rsid w:val="65D26342"/>
    <w:rsid w:val="664A788F"/>
    <w:rsid w:val="67105195"/>
    <w:rsid w:val="67184DEA"/>
    <w:rsid w:val="679C33B2"/>
    <w:rsid w:val="67FC8C85"/>
    <w:rsid w:val="68DC1286"/>
    <w:rsid w:val="695D5489"/>
    <w:rsid w:val="6A7554EE"/>
    <w:rsid w:val="6A841BD5"/>
    <w:rsid w:val="6AEF1016"/>
    <w:rsid w:val="6BBFC6AF"/>
    <w:rsid w:val="6BD72A22"/>
    <w:rsid w:val="6BEFF7E4"/>
    <w:rsid w:val="6C6D0B73"/>
    <w:rsid w:val="6C8A3423"/>
    <w:rsid w:val="6D41178C"/>
    <w:rsid w:val="6D4C27BF"/>
    <w:rsid w:val="6EF235B1"/>
    <w:rsid w:val="6F0D6664"/>
    <w:rsid w:val="6F5079E2"/>
    <w:rsid w:val="70026607"/>
    <w:rsid w:val="70912956"/>
    <w:rsid w:val="70CB1323"/>
    <w:rsid w:val="712447AC"/>
    <w:rsid w:val="71394315"/>
    <w:rsid w:val="71B02FC6"/>
    <w:rsid w:val="71C23301"/>
    <w:rsid w:val="723D7A2F"/>
    <w:rsid w:val="729E74BD"/>
    <w:rsid w:val="72CB5037"/>
    <w:rsid w:val="733221CE"/>
    <w:rsid w:val="73A5265C"/>
    <w:rsid w:val="73AC26D2"/>
    <w:rsid w:val="740A7D83"/>
    <w:rsid w:val="74253AE1"/>
    <w:rsid w:val="742A7349"/>
    <w:rsid w:val="74642285"/>
    <w:rsid w:val="748A428C"/>
    <w:rsid w:val="74B86703"/>
    <w:rsid w:val="75053E40"/>
    <w:rsid w:val="75216216"/>
    <w:rsid w:val="757271FA"/>
    <w:rsid w:val="75CC43C5"/>
    <w:rsid w:val="76054946"/>
    <w:rsid w:val="763D210E"/>
    <w:rsid w:val="768676A8"/>
    <w:rsid w:val="76FBAFF1"/>
    <w:rsid w:val="771D13E7"/>
    <w:rsid w:val="774569C7"/>
    <w:rsid w:val="77533239"/>
    <w:rsid w:val="776155EB"/>
    <w:rsid w:val="776E0A3D"/>
    <w:rsid w:val="77B84C6C"/>
    <w:rsid w:val="77C33BE9"/>
    <w:rsid w:val="77C70E30"/>
    <w:rsid w:val="77FE5760"/>
    <w:rsid w:val="77FF1645"/>
    <w:rsid w:val="78361C89"/>
    <w:rsid w:val="78507213"/>
    <w:rsid w:val="786055C7"/>
    <w:rsid w:val="79083BF1"/>
    <w:rsid w:val="7919784F"/>
    <w:rsid w:val="7930761B"/>
    <w:rsid w:val="79472DEF"/>
    <w:rsid w:val="79652345"/>
    <w:rsid w:val="7A262361"/>
    <w:rsid w:val="7A6C67E7"/>
    <w:rsid w:val="7AE00602"/>
    <w:rsid w:val="7B34AC69"/>
    <w:rsid w:val="7B922555"/>
    <w:rsid w:val="7BBB2A32"/>
    <w:rsid w:val="7BE67FFA"/>
    <w:rsid w:val="7BF1113A"/>
    <w:rsid w:val="7BFB4F84"/>
    <w:rsid w:val="7BFDEE39"/>
    <w:rsid w:val="7BFF9D14"/>
    <w:rsid w:val="7D77A84C"/>
    <w:rsid w:val="7D8D3E21"/>
    <w:rsid w:val="7D933277"/>
    <w:rsid w:val="7E265B09"/>
    <w:rsid w:val="7EB7B118"/>
    <w:rsid w:val="7EE92B2C"/>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6"/>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0"/>
    <w:rPr>
      <w:kern w:val="2"/>
      <w:sz w:val="21"/>
      <w:szCs w:val="24"/>
    </w:rPr>
  </w:style>
  <w:style w:type="character" w:customStyle="1" w:styleId="344">
    <w:name w:val="签名 字符"/>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121</Pages>
  <Words>12903</Words>
  <Characters>13797</Characters>
  <Lines>3041</Lines>
  <Paragraphs>3029</Paragraphs>
  <TotalTime>0</TotalTime>
  <ScaleCrop>false</ScaleCrop>
  <LinksUpToDate>false</LinksUpToDate>
  <CharactersWithSpaces>15414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2025-05-22T01:43:00Z</dcterms:created>
  <dc:creator>玥</dc:creator>
  <cp:lastModifiedBy>Administrator</cp:lastModifiedBy>
  <cp:lastPrinted>2025-04-09T02:54:00Z</cp:lastPrinted>
  <dcterms:modified xsi:type="dcterms:W3CDTF">2025-07-21T02:30:33Z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C5A964DD62C4445FBF13459AB7B0D09D_13</vt:lpwstr>
  </property>
  <property fmtid="{D5CDD505-2E9C-101B-9397-08002B2CF9AE}" pid="5" name="KSOTemplateDocerSaveRecord">
    <vt:lpwstr>eyJoZGlkIjoiZGI3Mjc2N2ZlMjk5YjZiZTgxMjM4ZmU5MWM2Y2JlMTkiLCJ1c2VySWQiOiIxODY2NzIwNyJ9</vt:lpwstr>
  </property>
</Properties>
</file>