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56"/>
          <w:szCs w:val="56"/>
          <w:lang w:eastAsia="zh-CN"/>
        </w:rPr>
      </w:pPr>
    </w:p>
    <w:p>
      <w:pPr>
        <w:jc w:val="center"/>
        <w:outlineLvl w:val="0"/>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绍兴市基层智治综合应用项目</w:t>
      </w:r>
    </w:p>
    <w:p>
      <w:pPr>
        <w:keepNext w:val="0"/>
        <w:keepLines w:val="0"/>
        <w:pageBreakBefore w:val="0"/>
        <w:widowControl w:val="0"/>
        <w:kinsoku/>
        <w:wordWrap/>
        <w:overflowPunct/>
        <w:topLinePunct w:val="0"/>
        <w:autoSpaceDE/>
        <w:autoSpaceDN/>
        <w:bidi w:val="0"/>
        <w:adjustRightInd/>
        <w:snapToGrid/>
        <w:spacing w:before="287" w:beforeLines="100" w:line="360" w:lineRule="auto"/>
        <w:jc w:val="center"/>
        <w:textAlignment w:val="auto"/>
        <w:rPr>
          <w:rFonts w:hint="eastAsia" w:ascii="仿宋" w:hAnsi="仿宋" w:eastAsia="仿宋" w:cs="仿宋"/>
          <w:b/>
          <w:color w:val="auto"/>
          <w:sz w:val="20"/>
          <w:szCs w:val="20"/>
          <w:highlight w:val="none"/>
        </w:rPr>
      </w:pP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rPr>
        <w:t>CGSHZJ-2023-N000923</w:t>
      </w:r>
      <w:r>
        <w:rPr>
          <w:rFonts w:hint="eastAsia" w:ascii="仿宋" w:hAnsi="仿宋" w:eastAsia="仿宋" w:cs="仿宋"/>
          <w:b/>
          <w:color w:val="auto"/>
          <w:sz w:val="28"/>
          <w:szCs w:val="28"/>
          <w:highlight w:val="none"/>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jc w:val="both"/>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绍兴市委政法委员会</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49357321"/>
              </w:rPr>
              <w:t>采购代理机构</w:t>
            </w:r>
            <w:r>
              <w:rPr>
                <w:rFonts w:hint="eastAsia" w:ascii="仿宋" w:hAnsi="仿宋" w:eastAsia="仿宋" w:cs="仿宋"/>
                <w:color w:val="auto"/>
                <w:sz w:val="28"/>
                <w:szCs w:val="28"/>
                <w:highlight w:val="none"/>
              </w:rPr>
              <w:t>：</w:t>
            </w:r>
          </w:p>
        </w:tc>
        <w:tc>
          <w:tcPr>
            <w:tcW w:w="5445" w:type="dxa"/>
            <w:vAlign w:val="center"/>
          </w:tcPr>
          <w:p>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154756822"/>
              </w:rPr>
              <w:t>监督单</w:t>
            </w:r>
            <w:r>
              <w:rPr>
                <w:rFonts w:hint="eastAsia" w:ascii="仿宋" w:hAnsi="仿宋" w:eastAsia="仿宋" w:cs="仿宋"/>
                <w:color w:val="auto"/>
                <w:spacing w:val="1"/>
                <w:kern w:val="0"/>
                <w:sz w:val="28"/>
                <w:szCs w:val="28"/>
                <w:highlight w:val="none"/>
                <w:fitText w:val="1680" w:id="1154756822"/>
              </w:rPr>
              <w:t>位</w:t>
            </w:r>
            <w:r>
              <w:rPr>
                <w:rFonts w:hint="eastAsia" w:ascii="仿宋" w:hAnsi="仿宋" w:eastAsia="仿宋" w:cs="仿宋"/>
                <w:color w:val="auto"/>
                <w:sz w:val="28"/>
                <w:szCs w:val="28"/>
                <w:highlight w:val="none"/>
              </w:rPr>
              <w:t>：</w:t>
            </w:r>
          </w:p>
        </w:tc>
        <w:tc>
          <w:tcPr>
            <w:tcW w:w="5445" w:type="dxa"/>
            <w:vAlign w:val="center"/>
          </w:tcPr>
          <w:p>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rPr>
                <w:rFonts w:hint="eastAsia" w:ascii="仿宋" w:hAnsi="仿宋" w:eastAsia="仿宋" w:cs="仿宋"/>
                <w:color w:val="auto"/>
                <w:spacing w:val="1400"/>
                <w:kern w:val="0"/>
                <w:sz w:val="28"/>
                <w:szCs w:val="28"/>
                <w:highlight w:val="none"/>
                <w:fitText w:val="1680" w:id="1"/>
              </w:rPr>
            </w:pPr>
          </w:p>
        </w:tc>
        <w:tc>
          <w:tcPr>
            <w:tcW w:w="5445" w:type="dxa"/>
            <w:vAlign w:val="center"/>
          </w:tcPr>
          <w:p>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九</w:t>
            </w:r>
            <w:r>
              <w:rPr>
                <w:rFonts w:hint="eastAsia" w:ascii="仿宋" w:hAnsi="仿宋" w:eastAsia="仿宋" w:cs="仿宋"/>
                <w:color w:val="auto"/>
                <w:sz w:val="28"/>
                <w:szCs w:val="28"/>
                <w:highlight w:val="none"/>
              </w:rPr>
              <w:t>月</w:t>
            </w:r>
          </w:p>
        </w:tc>
      </w:tr>
    </w:tbl>
    <w:p>
      <w:pPr>
        <w:pStyle w:val="767"/>
        <w:tabs>
          <w:tab w:val="left" w:pos="360"/>
        </w:tabs>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587" w:right="1474" w:bottom="1587" w:left="1474" w:header="992" w:footer="992" w:gutter="0"/>
          <w:pgNumType w:fmt="decimal"/>
          <w:cols w:space="720" w:num="1"/>
          <w:titlePg/>
          <w:docGrid w:linePitch="312" w:charSpace="0"/>
        </w:sectPr>
      </w:pP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w:t>
      </w:r>
      <w:r>
        <w:rPr>
          <w:rFonts w:hint="eastAsia" w:ascii="仿宋_GB2312" w:eastAsia="仿宋_GB2312"/>
          <w:b/>
          <w:color w:val="auto"/>
          <w:sz w:val="44"/>
          <w:szCs w:val="44"/>
          <w:lang w:val="en-US" w:eastAsia="zh-CN"/>
        </w:rPr>
        <w:t xml:space="preserve"> </w:t>
      </w:r>
      <w:r>
        <w:rPr>
          <w:rFonts w:hint="eastAsia" w:ascii="仿宋_GB2312" w:eastAsia="仿宋_GB2312"/>
          <w:b/>
          <w:color w:val="auto"/>
          <w:sz w:val="44"/>
          <w:szCs w:val="44"/>
        </w:rPr>
        <w:t>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 xml:space="preserve">第二部分   </w:t>
      </w:r>
      <w:r>
        <w:rPr>
          <w:rFonts w:ascii="仿宋_GB2312" w:hAnsi="宋体" w:eastAsia="仿宋_GB2312"/>
          <w:b/>
          <w:color w:val="auto"/>
          <w:sz w:val="36"/>
          <w:szCs w:val="36"/>
        </w:rPr>
        <w:t xml:space="preserve"> </w:t>
      </w:r>
      <w:r>
        <w:rPr>
          <w:rFonts w:hint="eastAsia" w:ascii="仿宋_GB2312" w:hAnsi="宋体" w:eastAsia="仿宋_GB2312"/>
          <w:b/>
          <w:color w:val="auto"/>
          <w:sz w:val="36"/>
          <w:szCs w:val="36"/>
        </w:rPr>
        <w:t>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 xml:space="preserve">第三部分    招标项目范围及要求 </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adjustRightInd/>
        <w:spacing w:line="360" w:lineRule="auto"/>
        <w:jc w:val="center"/>
        <w:outlineLvl w:val="0"/>
        <w:rPr>
          <w:rFonts w:hint="eastAsia" w:ascii="仿宋" w:hAnsi="仿宋" w:eastAsia="仿宋" w:cs="仿宋"/>
          <w:b/>
          <w:color w:val="auto"/>
          <w:sz w:val="36"/>
          <w:szCs w:val="20"/>
        </w:rPr>
      </w:pPr>
    </w:p>
    <w:p>
      <w:pPr>
        <w:adjustRightInd/>
        <w:spacing w:line="360" w:lineRule="auto"/>
        <w:jc w:val="center"/>
        <w:outlineLvl w:val="0"/>
        <w:rPr>
          <w:rFonts w:hint="eastAsia" w:ascii="仿宋" w:hAnsi="仿宋" w:eastAsia="仿宋" w:cs="仿宋"/>
          <w:b/>
          <w:color w:val="auto"/>
          <w:sz w:val="36"/>
          <w:szCs w:val="20"/>
        </w:rPr>
      </w:pPr>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u w:val="single"/>
        </w:rPr>
        <w:t>绍兴市基层智治综合应用项目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https://www.zcygov.cn/）获取（下载）招标文件，并于2023年</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w:t>
      </w:r>
      <w:r>
        <w:rPr>
          <w:rStyle w:val="77"/>
          <w:rFonts w:hint="eastAsia" w:ascii="仿宋" w:hAnsi="仿宋" w:eastAsia="仿宋" w:cs="仿宋"/>
          <w:snapToGrid/>
          <w:color w:val="auto"/>
          <w:kern w:val="2"/>
          <w:sz w:val="24"/>
          <w:szCs w:val="24"/>
        </w:rPr>
        <w:t>日9点00分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highlight w:val="none"/>
        </w:rPr>
        <w:t>CGSHZJ-2023-N000923</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color w:val="auto"/>
          <w:sz w:val="24"/>
          <w:highlight w:val="none"/>
          <w:lang w:val="en-US" w:eastAsia="zh-CN"/>
        </w:rPr>
        <w:t>绍兴市基层智治综合应用项目</w:t>
      </w:r>
      <w:r>
        <w:rPr>
          <w:rFonts w:hint="eastAsia" w:ascii="仿宋" w:hAnsi="仿宋" w:eastAsia="仿宋" w:cs="仿宋"/>
          <w:color w:val="auto"/>
          <w:sz w:val="24"/>
        </w:rPr>
        <w:t xml:space="preserve"> </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 xml:space="preserve">预算金额（元）： </w:t>
      </w:r>
      <w:r>
        <w:rPr>
          <w:rFonts w:hint="eastAsia" w:ascii="仿宋" w:hAnsi="仿宋" w:eastAsia="仿宋" w:cs="仿宋"/>
          <w:b w:val="0"/>
          <w:bCs/>
          <w:color w:val="auto"/>
          <w:sz w:val="24"/>
          <w:highlight w:val="none"/>
          <w:lang w:val="en-US" w:eastAsia="zh-CN"/>
        </w:rPr>
        <w:t>4800000</w:t>
      </w:r>
    </w:p>
    <w:p>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 xml:space="preserve">最高限价（元）： </w:t>
      </w:r>
      <w:r>
        <w:rPr>
          <w:rFonts w:hint="eastAsia" w:ascii="仿宋" w:hAnsi="仿宋" w:eastAsia="仿宋" w:cs="仿宋"/>
          <w:b w:val="0"/>
          <w:bCs/>
          <w:color w:val="auto"/>
          <w:sz w:val="24"/>
          <w:highlight w:val="none"/>
          <w:lang w:val="en-US" w:eastAsia="zh-CN"/>
        </w:rPr>
        <w:t>4800000</w:t>
      </w:r>
    </w:p>
    <w:p>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采购需求：</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color w:val="auto"/>
          <w:sz w:val="24"/>
          <w:highlight w:val="none"/>
          <w:lang w:val="en-US" w:eastAsia="zh-CN"/>
        </w:rPr>
        <w:t>绍兴市基层智治综合应用项目</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val="0"/>
          <w:bCs/>
          <w:color w:val="auto"/>
          <w:sz w:val="24"/>
          <w:highlight w:val="none"/>
          <w:lang w:val="en-US" w:eastAsia="zh-CN"/>
        </w:rPr>
        <w:t>4800000</w:t>
      </w:r>
    </w:p>
    <w:p>
      <w:pPr>
        <w:spacing w:line="360" w:lineRule="auto"/>
        <w:ind w:firstLine="480" w:firstLineChars="200"/>
        <w:rPr>
          <w:rFonts w:ascii="仿宋" w:hAnsi="仿宋" w:eastAsia="仿宋" w:cs="仿宋"/>
          <w:b/>
          <w:bCs/>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spacing w:line="360"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color w:val="auto"/>
          <w:sz w:val="24"/>
        </w:rPr>
        <w:t>按双方合同约定条款执行。</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本项目接受联合体投标：</w:t>
      </w:r>
      <w:r>
        <w:rPr>
          <w:rFonts w:hint="eastAsia" w:ascii="仿宋" w:hAnsi="仿宋" w:eastAsia="仿宋" w:cs="仿宋"/>
          <w:bCs/>
          <w:color w:val="auto"/>
          <w:sz w:val="24"/>
          <w:lang w:eastAsia="zh-CN"/>
        </w:rPr>
        <w:t>☑</w:t>
      </w:r>
      <w:r>
        <w:rPr>
          <w:rFonts w:hint="eastAsia" w:ascii="仿宋" w:hAnsi="仿宋" w:eastAsia="仿宋" w:cs="仿宋"/>
          <w:bCs/>
          <w:color w:val="auto"/>
          <w:sz w:val="24"/>
        </w:rPr>
        <w:t>是，</w:t>
      </w:r>
      <w:r>
        <w:rPr>
          <w:rFonts w:hint="eastAsia" w:ascii="仿宋" w:hAnsi="仿宋" w:eastAsia="仿宋" w:cs="仿宋"/>
          <w:bCs/>
          <w:color w:val="auto"/>
          <w:sz w:val="24"/>
          <w:lang w:eastAsia="zh-CN"/>
        </w:rPr>
        <w:t>□</w:t>
      </w:r>
      <w:r>
        <w:rPr>
          <w:rFonts w:hint="eastAsia" w:ascii="仿宋" w:hAnsi="仿宋" w:eastAsia="仿宋" w:cs="仿宋"/>
          <w:bCs/>
          <w:color w:val="auto"/>
          <w:sz w:val="24"/>
        </w:rPr>
        <w:t>否。</w:t>
      </w:r>
    </w:p>
    <w:p>
      <w:pPr>
        <w:spacing w:line="360" w:lineRule="auto"/>
        <w:rPr>
          <w:rFonts w:ascii="仿宋" w:hAnsi="仿宋" w:eastAsia="仿宋" w:cs="仿宋"/>
          <w:b/>
          <w:color w:val="auto"/>
          <w:sz w:val="24"/>
        </w:rPr>
      </w:pPr>
      <w:r>
        <w:rPr>
          <w:rFonts w:hint="eastAsia" w:ascii="仿宋" w:hAnsi="仿宋" w:eastAsia="仿宋" w:cs="仿宋"/>
          <w:b/>
          <w:color w:val="auto"/>
          <w:sz w:val="24"/>
        </w:rPr>
        <w:t>二、申请人的资格要求：</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无；</w:t>
      </w:r>
    </w:p>
    <w:p>
      <w:pPr>
        <w:spacing w:line="360" w:lineRule="auto"/>
        <w:ind w:firstLine="480" w:firstLineChars="200"/>
        <w:rPr>
          <w:rFonts w:ascii="仿宋" w:hAnsi="仿宋" w:eastAsia="仿宋" w:cs="仿宋"/>
          <w:color w:val="auto"/>
          <w:sz w:val="24"/>
        </w:rPr>
      </w:pPr>
      <w:r>
        <w:rPr>
          <w:rFonts w:hint="eastAsia" w:ascii="宋体" w:hAnsi="宋体" w:cs="宋体"/>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960" w:firstLineChars="400"/>
        <w:rPr>
          <w:rFonts w:ascii="仿宋" w:hAnsi="仿宋" w:eastAsia="仿宋" w:cs="仿宋"/>
          <w:color w:val="auto"/>
          <w:sz w:val="24"/>
        </w:rPr>
      </w:pPr>
      <w:r>
        <w:rPr>
          <w:rFonts w:hint="eastAsia" w:ascii="宋体" w:hAnsi="宋体" w:cs="宋体"/>
          <w:color w:val="auto"/>
          <w:kern w:val="0"/>
          <w:sz w:val="24"/>
          <w:lang w:eastAsia="zh-CN"/>
        </w:rPr>
        <w:t>□</w:t>
      </w:r>
      <w:r>
        <w:rPr>
          <w:rFonts w:hint="eastAsia" w:ascii="仿宋" w:hAnsi="仿宋" w:eastAsia="仿宋" w:cs="仿宋"/>
          <w:color w:val="auto"/>
          <w:sz w:val="24"/>
        </w:rPr>
        <w:t>服务全部由符合政策要求的中小企业承接，提供中小企业声明函；</w:t>
      </w:r>
    </w:p>
    <w:p>
      <w:pPr>
        <w:spacing w:line="360" w:lineRule="auto"/>
        <w:ind w:firstLine="960" w:firstLineChars="400"/>
        <w:rPr>
          <w:rFonts w:ascii="仿宋" w:hAnsi="仿宋" w:eastAsia="仿宋" w:cs="仿宋"/>
          <w:color w:val="auto"/>
        </w:rPr>
      </w:pPr>
      <w:r>
        <w:rPr>
          <w:rFonts w:hint="eastAsia" w:ascii="宋体" w:hAnsi="宋体" w:cs="宋体"/>
          <w:color w:val="auto"/>
          <w:kern w:val="0"/>
          <w:sz w:val="24"/>
        </w:rPr>
        <w:t>□</w:t>
      </w:r>
      <w:r>
        <w:rPr>
          <w:rFonts w:hint="eastAsia" w:ascii="仿宋" w:hAnsi="仿宋" w:eastAsia="仿宋" w:cs="仿宋"/>
          <w:color w:val="auto"/>
          <w:sz w:val="24"/>
        </w:rPr>
        <w:t>服务全部由符合政策要求的小微企业承接，提供中小企业声明函；</w:t>
      </w:r>
    </w:p>
    <w:p>
      <w:pPr>
        <w:spacing w:line="360" w:lineRule="auto"/>
        <w:ind w:firstLine="960" w:firstLineChars="400"/>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960" w:firstLineChars="400"/>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4.本项目的特定资格要求：无；</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2023年</w:t>
      </w:r>
      <w:r>
        <w:rPr>
          <w:rFonts w:hint="eastAsia" w:ascii="仿宋" w:hAnsi="仿宋" w:eastAsia="仿宋" w:cs="仿宋"/>
          <w:color w:val="auto"/>
          <w:sz w:val="24"/>
          <w:u w:val="single"/>
          <w:lang w:val="en-US" w:eastAsia="zh-CN"/>
        </w:rPr>
        <w:t>11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_GB2312" w:hAnsi="仿宋" w:eastAsia="仿宋_GB2312" w:cs="仿宋"/>
          <w:color w:val="auto"/>
          <w:sz w:val="24"/>
          <w:u w:val="single"/>
        </w:rPr>
        <w:t>202</w:t>
      </w:r>
      <w:r>
        <w:rPr>
          <w:rFonts w:hint="eastAsia" w:ascii="仿宋_GB2312" w:hAnsi="仿宋" w:eastAsia="仿宋_GB2312" w:cs="仿宋"/>
          <w:color w:val="auto"/>
          <w:sz w:val="24"/>
          <w:u w:val="single"/>
          <w:lang w:val="en-US" w:eastAsia="zh-CN"/>
        </w:rPr>
        <w:t>3</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11</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2</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u w:val="single"/>
          <w:lang w:val="en-US" w:eastAsia="zh-CN"/>
        </w:rPr>
        <w:t>9</w:t>
      </w:r>
      <w:r>
        <w:rPr>
          <w:rFonts w:hint="eastAsia" w:ascii="仿宋_GB2312" w:hAnsi="仿宋" w:eastAsia="仿宋_GB2312" w:cs="仿宋"/>
          <w:color w:val="auto"/>
          <w:sz w:val="24"/>
          <w:u w:val="single"/>
        </w:rPr>
        <w:t>点</w:t>
      </w:r>
      <w:r>
        <w:rPr>
          <w:rFonts w:hint="eastAsia" w:ascii="仿宋_GB2312" w:hAnsi="仿宋" w:eastAsia="仿宋_GB2312" w:cs="仿宋"/>
          <w:color w:val="auto"/>
          <w:sz w:val="24"/>
          <w:u w:val="single"/>
          <w:lang w:val="en-US" w:eastAsia="zh-CN"/>
        </w:rPr>
        <w:t>00</w:t>
      </w:r>
      <w:r>
        <w:rPr>
          <w:rFonts w:hint="eastAsia" w:ascii="仿宋_GB2312" w:hAnsi="仿宋" w:eastAsia="仿宋_GB2312" w:cs="仿宋"/>
          <w:color w:val="auto"/>
          <w:sz w:val="24"/>
          <w:u w:val="single"/>
        </w:rPr>
        <w:t>分00秒</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（北京时间）</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开标时间：</w:t>
      </w:r>
      <w:r>
        <w:rPr>
          <w:rFonts w:hint="eastAsia" w:ascii="仿宋_GB2312" w:hAnsi="仿宋" w:eastAsia="仿宋_GB2312" w:cs="仿宋"/>
          <w:color w:val="auto"/>
          <w:sz w:val="24"/>
          <w:u w:val="single"/>
        </w:rPr>
        <w:t>202</w:t>
      </w:r>
      <w:r>
        <w:rPr>
          <w:rFonts w:hint="eastAsia" w:ascii="仿宋_GB2312" w:hAnsi="仿宋" w:eastAsia="仿宋_GB2312" w:cs="仿宋"/>
          <w:color w:val="auto"/>
          <w:sz w:val="24"/>
          <w:u w:val="single"/>
          <w:lang w:val="en-US" w:eastAsia="zh-CN"/>
        </w:rPr>
        <w:t>3</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11</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2</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u w:val="single"/>
          <w:lang w:val="en-US" w:eastAsia="zh-CN"/>
        </w:rPr>
        <w:t>9</w:t>
      </w:r>
      <w:r>
        <w:rPr>
          <w:rFonts w:hint="eastAsia" w:ascii="仿宋_GB2312" w:hAnsi="仿宋" w:eastAsia="仿宋_GB2312" w:cs="仿宋"/>
          <w:color w:val="auto"/>
          <w:sz w:val="24"/>
          <w:u w:val="single"/>
        </w:rPr>
        <w:t>点</w:t>
      </w:r>
      <w:r>
        <w:rPr>
          <w:rFonts w:hint="eastAsia" w:ascii="仿宋_GB2312" w:hAnsi="仿宋" w:eastAsia="仿宋_GB2312" w:cs="仿宋"/>
          <w:color w:val="auto"/>
          <w:sz w:val="24"/>
          <w:u w:val="single"/>
          <w:lang w:val="en-US" w:eastAsia="zh-CN"/>
        </w:rPr>
        <w:t>00</w:t>
      </w:r>
      <w:r>
        <w:rPr>
          <w:rFonts w:hint="eastAsia" w:ascii="仿宋_GB2312" w:hAnsi="仿宋" w:eastAsia="仿宋_GB2312" w:cs="仿宋"/>
          <w:color w:val="auto"/>
          <w:sz w:val="24"/>
          <w:u w:val="single"/>
        </w:rPr>
        <w:t>分00秒</w:t>
      </w:r>
      <w:r>
        <w:rPr>
          <w:rFonts w:hint="eastAsia" w:ascii="仿宋_GB2312" w:hAnsi="仿宋" w:eastAsia="仿宋_GB2312" w:cs="仿宋"/>
          <w:bCs/>
          <w:color w:val="auto"/>
          <w:sz w:val="24"/>
          <w:u w:val="single"/>
        </w:rPr>
        <w:t xml:space="preserve"> </w:t>
      </w:r>
    </w:p>
    <w:p>
      <w:pPr>
        <w:spacing w:line="360" w:lineRule="auto"/>
        <w:ind w:firstLine="482" w:firstLineChars="200"/>
        <w:rPr>
          <w:rFonts w:ascii="仿宋" w:hAnsi="仿宋" w:eastAsia="仿宋" w:cs="仿宋"/>
          <w:b w:val="0"/>
          <w:bCs/>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政采云平台（https://www.zcygov.cn/）</w:t>
      </w:r>
    </w:p>
    <w:p>
      <w:pPr>
        <w:spacing w:line="360"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360" w:lineRule="auto"/>
        <w:rPr>
          <w:rFonts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numPr>
          <w:ilvl w:val="0"/>
          <w:numId w:val="0"/>
        </w:numPr>
        <w:tabs>
          <w:tab w:val="left" w:pos="432"/>
          <w:tab w:val="clear" w:pos="1145"/>
        </w:tabs>
        <w:adjustRightInd/>
        <w:spacing w:before="0" w:after="0" w:line="360" w:lineRule="auto"/>
        <w:ind w:leftChars="200"/>
        <w:jc w:val="both"/>
        <w:rPr>
          <w:rFonts w:hint="eastAsia" w:ascii="仿宋" w:hAnsi="仿宋" w:eastAsia="仿宋" w:cs="仿宋"/>
          <w:bCs/>
          <w:color w:val="auto"/>
          <w:sz w:val="24"/>
          <w:szCs w:val="24"/>
          <w:lang w:val="zh-CN"/>
        </w:rPr>
      </w:pPr>
      <w:bookmarkStart w:id="0" w:name="_Toc28359096"/>
      <w:bookmarkStart w:id="1" w:name="_Toc28359019"/>
      <w:bookmarkStart w:id="2" w:name="_Toc35393806"/>
      <w:bookmarkStart w:id="3" w:name="_Toc35393637"/>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lang w:val="zh-CN"/>
        </w:rPr>
        <w:t>采购人信息</w:t>
      </w:r>
      <w:bookmarkEnd w:id="0"/>
      <w:bookmarkEnd w:id="1"/>
      <w:bookmarkEnd w:id="2"/>
      <w:bookmarkEnd w:id="3"/>
      <w:r>
        <w:rPr>
          <w:rFonts w:hint="eastAsia" w:ascii="仿宋" w:hAnsi="仿宋" w:eastAsia="仿宋" w:cs="仿宋"/>
          <w:bCs/>
          <w:color w:val="auto"/>
          <w:sz w:val="24"/>
          <w:szCs w:val="24"/>
          <w:lang w:val="zh-CN"/>
        </w:rPr>
        <w:t>：</w:t>
      </w:r>
    </w:p>
    <w:p>
      <w:pPr>
        <w:pStyle w:val="3"/>
        <w:numPr>
          <w:ilvl w:val="0"/>
          <w:numId w:val="0"/>
        </w:numPr>
        <w:tabs>
          <w:tab w:val="left" w:pos="432"/>
          <w:tab w:val="clear" w:pos="1145"/>
        </w:tabs>
        <w:adjustRightInd/>
        <w:spacing w:before="0" w:after="0" w:line="360" w:lineRule="auto"/>
        <w:ind w:leftChars="200"/>
        <w:jc w:val="both"/>
        <w:rPr>
          <w:rFonts w:hint="eastAsia" w:ascii="仿宋" w:hAnsi="仿宋" w:eastAsia="仿宋" w:cs="仿宋"/>
          <w:b w:val="0"/>
          <w:bCs w:val="0"/>
          <w:color w:val="auto"/>
          <w:sz w:val="24"/>
          <w:szCs w:val="24"/>
          <w:lang w:val="zh-CN"/>
        </w:rPr>
      </w:pPr>
      <w:r>
        <w:rPr>
          <w:rFonts w:hint="eastAsia" w:ascii="仿宋" w:hAnsi="仿宋" w:eastAsia="仿宋" w:cs="仿宋"/>
          <w:b w:val="0"/>
          <w:bCs w:val="0"/>
          <w:color w:val="auto"/>
          <w:sz w:val="24"/>
          <w:szCs w:val="24"/>
          <w:lang w:val="zh-CN"/>
        </w:rPr>
        <w:t>名    称：</w:t>
      </w:r>
      <w:r>
        <w:rPr>
          <w:rFonts w:hint="eastAsia" w:ascii="仿宋" w:hAnsi="仿宋" w:eastAsia="仿宋" w:cs="仿宋"/>
          <w:b w:val="0"/>
          <w:bCs w:val="0"/>
          <w:color w:val="auto"/>
          <w:sz w:val="24"/>
          <w:szCs w:val="24"/>
          <w:lang w:val="zh-CN" w:eastAsia="zh-CN"/>
        </w:rPr>
        <w:t>绍兴市委政法委员会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址：绍兴市洋江西路589号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项目联系人（询问）：沈峰杰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85739056</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质疑联系人：陈栋杰 </w:t>
      </w:r>
    </w:p>
    <w:p>
      <w:pPr>
        <w:pStyle w:val="3"/>
        <w:numPr>
          <w:ilvl w:val="0"/>
          <w:numId w:val="0"/>
        </w:numPr>
        <w:tabs>
          <w:tab w:val="left" w:pos="432"/>
          <w:tab w:val="clear" w:pos="1145"/>
        </w:tabs>
        <w:adjustRightInd/>
        <w:spacing w:before="0" w:after="0" w:line="360" w:lineRule="auto"/>
        <w:ind w:leftChars="200"/>
        <w:jc w:val="both"/>
        <w:rPr>
          <w:rFonts w:hint="eastAsia" w:ascii="仿宋" w:hAnsi="仿宋" w:eastAsia="仿宋" w:cs="仿宋"/>
          <w:bCs/>
          <w:color w:val="auto"/>
          <w:sz w:val="24"/>
          <w:szCs w:val="24"/>
          <w:lang w:val="en-US" w:eastAsia="zh-CN"/>
        </w:rPr>
      </w:pPr>
      <w:r>
        <w:rPr>
          <w:rFonts w:hint="eastAsia" w:ascii="仿宋" w:hAnsi="仿宋" w:eastAsia="仿宋" w:cs="仿宋"/>
          <w:b w:val="0"/>
          <w:bCs w:val="0"/>
          <w:color w:val="auto"/>
          <w:sz w:val="24"/>
          <w:szCs w:val="24"/>
          <w:lang w:val="en-US" w:eastAsia="zh-CN"/>
        </w:rPr>
        <w:t>质疑联系方式：0575-85738905</w:t>
      </w:r>
    </w:p>
    <w:p>
      <w:pPr>
        <w:pStyle w:val="3"/>
        <w:numPr>
          <w:ilvl w:val="0"/>
          <w:numId w:val="0"/>
        </w:numPr>
        <w:tabs>
          <w:tab w:val="left" w:pos="432"/>
          <w:tab w:val="clear" w:pos="1145"/>
        </w:tabs>
        <w:adjustRightInd/>
        <w:spacing w:before="0" w:after="0" w:line="360" w:lineRule="auto"/>
        <w:ind w:leftChars="200"/>
        <w:jc w:val="both"/>
        <w:rPr>
          <w:rFonts w:hint="eastAsia" w:ascii="仿宋" w:hAnsi="仿宋" w:eastAsia="仿宋" w:cs="仿宋"/>
          <w:bCs/>
          <w:color w:val="auto"/>
          <w:sz w:val="24"/>
          <w:szCs w:val="24"/>
          <w:lang w:val="en-US" w:eastAsia="zh-CN"/>
        </w:rPr>
      </w:pPr>
      <w:bookmarkStart w:id="4" w:name="_Toc35393807"/>
      <w:bookmarkStart w:id="5" w:name="_Toc35393638"/>
      <w:bookmarkStart w:id="6" w:name="_Toc28359097"/>
      <w:bookmarkStart w:id="7" w:name="_Toc28359020"/>
      <w:r>
        <w:rPr>
          <w:rFonts w:hint="eastAsia" w:ascii="仿宋" w:hAnsi="仿宋" w:eastAsia="仿宋" w:cs="仿宋"/>
          <w:bCs/>
          <w:color w:val="auto"/>
          <w:sz w:val="24"/>
          <w:szCs w:val="24"/>
          <w:lang w:val="en-US" w:eastAsia="zh-CN"/>
        </w:rPr>
        <w:t>2.采购代理机构信息</w:t>
      </w:r>
      <w:bookmarkEnd w:id="4"/>
      <w:bookmarkEnd w:id="5"/>
      <w:bookmarkEnd w:id="6"/>
      <w:bookmarkEnd w:id="7"/>
      <w:r>
        <w:rPr>
          <w:rFonts w:hint="eastAsia" w:ascii="仿宋" w:hAnsi="仿宋" w:eastAsia="仿宋" w:cs="仿宋"/>
          <w:bCs/>
          <w:color w:val="auto"/>
          <w:sz w:val="24"/>
          <w:szCs w:val="24"/>
          <w:lang w:val="en-US" w:eastAsia="zh-CN"/>
        </w:rPr>
        <w:t>：</w:t>
      </w:r>
    </w:p>
    <w:p>
      <w:pPr>
        <w:pStyle w:val="3"/>
        <w:numPr>
          <w:ilvl w:val="0"/>
          <w:numId w:val="0"/>
        </w:numPr>
        <w:tabs>
          <w:tab w:val="left" w:pos="432"/>
          <w:tab w:val="clear" w:pos="1145"/>
        </w:tabs>
        <w:adjustRightInd/>
        <w:spacing w:before="0" w:after="0" w:line="360" w:lineRule="auto"/>
        <w:ind w:leftChars="200"/>
        <w:jc w:val="both"/>
        <w:rPr>
          <w:rFonts w:hint="eastAsia" w:ascii="仿宋" w:hAnsi="仿宋" w:eastAsia="仿宋" w:cs="仿宋"/>
          <w:color w:val="auto"/>
          <w:sz w:val="24"/>
        </w:rPr>
      </w:pPr>
      <w:r>
        <w:rPr>
          <w:rFonts w:hint="eastAsia" w:ascii="仿宋" w:hAnsi="仿宋" w:eastAsia="仿宋" w:cs="仿宋"/>
          <w:b w:val="0"/>
          <w:bCs w:val="0"/>
          <w:color w:val="auto"/>
          <w:sz w:val="24"/>
          <w:szCs w:val="24"/>
          <w:lang w:val="en-US" w:eastAsia="zh-CN"/>
        </w:rPr>
        <w:t>名    称：浙江翔实建设项目管理有限公司</w:t>
      </w:r>
      <w:r>
        <w:rPr>
          <w:rFonts w:hint="eastAsia" w:ascii="仿宋" w:hAnsi="仿宋" w:eastAsia="仿宋" w:cs="仿宋"/>
          <w:bCs/>
          <w:color w:val="auto"/>
          <w:sz w:val="24"/>
          <w:szCs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址：绍兴市越城区阳明北路692号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金一静</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0575-88979683/18267597863</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8" w:name="_Toc35393639"/>
      <w:bookmarkStart w:id="9" w:name="_Toc28359021"/>
      <w:bookmarkStart w:id="10" w:name="_Toc28359098"/>
      <w:bookmarkStart w:id="11"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8"/>
    <w:bookmarkEnd w:id="9"/>
    <w:bookmarkEnd w:id="10"/>
    <w:bookmarkEnd w:id="11"/>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ascii="仿宋" w:hAnsi="仿宋" w:eastAsia="仿宋" w:cs="仿宋"/>
          <w:color w:val="auto"/>
          <w:sz w:val="24"/>
        </w:rPr>
      </w:pPr>
      <w:r>
        <w:rPr>
          <w:rFonts w:hint="eastAsia" w:ascii="仿宋" w:hAnsi="仿宋" w:eastAsia="仿宋" w:cs="仿宋"/>
          <w:color w:val="auto"/>
          <w:sz w:val="24"/>
        </w:rPr>
        <w:t>传    真：0575-8520</w:t>
      </w:r>
      <w:r>
        <w:rPr>
          <w:rFonts w:ascii="仿宋" w:hAnsi="仿宋" w:eastAsia="仿宋" w:cs="仿宋"/>
          <w:color w:val="auto"/>
          <w:sz w:val="24"/>
        </w:rPr>
        <w:t>9697</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监督投诉电话：0575-8520</w:t>
      </w:r>
      <w:r>
        <w:rPr>
          <w:rFonts w:ascii="仿宋" w:hAnsi="仿宋" w:eastAsia="仿宋" w:cs="仿宋"/>
          <w:color w:val="auto"/>
          <w:sz w:val="24"/>
        </w:rPr>
        <w:t>9697</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widowControl/>
        <w:jc w:val="left"/>
        <w:rPr>
          <w:rFonts w:ascii="仿宋_GB2312" w:hAnsi="新宋体" w:eastAsia="仿宋_GB2312"/>
          <w:color w:val="auto"/>
          <w:kern w:val="0"/>
          <w:sz w:val="24"/>
        </w:rPr>
      </w:pPr>
      <w:r>
        <w:rPr>
          <w:rFonts w:hint="eastAsia" w:ascii="仿宋" w:hAnsi="仿宋" w:eastAsia="仿宋" w:cs="仿宋"/>
          <w:color w:val="auto"/>
          <w:sz w:val="24"/>
        </w:rPr>
        <w:t>CA问题联系电话（人工）：汇信CA 400-888-4636；天谷CA 400-087-8198。</w:t>
      </w:r>
      <w:r>
        <w:rPr>
          <w:rFonts w:ascii="仿宋_GB2312" w:hAnsi="新宋体" w:eastAsia="仿宋_GB2312"/>
          <w:color w:val="auto"/>
        </w:rPr>
        <w:br w:type="page"/>
      </w: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12" w:name="_Hlk47616320"/>
      <w:r>
        <w:rPr>
          <w:rFonts w:hint="eastAsia" w:ascii="仿宋_GB2312" w:hAnsi="宋体" w:eastAsia="仿宋_GB2312"/>
          <w:b/>
          <w:color w:val="auto"/>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0" w:type="dxa"/>
            <w:gridSpan w:val="2"/>
            <w:vAlign w:val="center"/>
          </w:tcPr>
          <w:p>
            <w:pPr>
              <w:snapToGrid w:val="0"/>
              <w:spacing w:line="44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4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0" w:type="dxa"/>
            <w:gridSpan w:val="2"/>
            <w:vAlign w:val="center"/>
          </w:tcPr>
          <w:p>
            <w:pPr>
              <w:spacing w:line="440" w:lineRule="exact"/>
              <w:rPr>
                <w:rFonts w:ascii="仿宋_GB2312" w:hAnsi="仿宋" w:eastAsia="仿宋_GB2312"/>
                <w:color w:val="auto"/>
                <w:sz w:val="24"/>
              </w:rPr>
            </w:pPr>
            <w:r>
              <w:rPr>
                <w:rFonts w:hint="eastAsia" w:ascii="仿宋_GB2312" w:hAnsi="仿宋" w:eastAsia="仿宋_GB2312" w:cs="仿宋_GB2312"/>
                <w:b/>
                <w:color w:val="auto"/>
                <w:sz w:val="24"/>
              </w:rPr>
              <w:t>分包：</w:t>
            </w:r>
            <w:r>
              <w:rPr>
                <w:rFonts w:ascii="仿宋_GB2312" w:hAnsi="仿宋" w:eastAsia="仿宋_GB2312" w:cs="Arial"/>
                <w:color w:val="auto"/>
                <w:kern w:val="0"/>
                <w:sz w:val="24"/>
              </w:rPr>
              <w:sym w:font="Wingdings" w:char="00A8"/>
            </w:r>
            <w:r>
              <w:rPr>
                <w:rFonts w:ascii="仿宋_GB2312" w:hAnsi="仿宋" w:eastAsia="仿宋_GB2312" w:cs="Arial"/>
                <w:color w:val="auto"/>
                <w:kern w:val="0"/>
                <w:sz w:val="24"/>
              </w:rPr>
              <w:t>A</w:t>
            </w:r>
            <w:r>
              <w:rPr>
                <w:rFonts w:hint="eastAsia" w:ascii="仿宋_GB2312" w:hAnsi="仿宋" w:eastAsia="仿宋_GB2312"/>
                <w:color w:val="auto"/>
                <w:sz w:val="24"/>
              </w:rPr>
              <w:t>同意将非主体、非关键性的</w:t>
            </w:r>
            <w:r>
              <w:rPr>
                <w:rFonts w:hint="eastAsia" w:ascii="仿宋" w:hAnsi="仿宋" w:eastAsia="仿宋" w:cs="仿宋"/>
                <w:color w:val="auto"/>
                <w:sz w:val="24"/>
                <w:highlight w:val="none"/>
                <w:u w:val="single"/>
                <w:lang w:val="en-US" w:eastAsia="zh-CN"/>
              </w:rPr>
              <w:t xml:space="preserve">         </w:t>
            </w:r>
            <w:r>
              <w:rPr>
                <w:rFonts w:hint="eastAsia" w:ascii="仿宋_GB2312" w:hAnsi="仿宋" w:eastAsia="仿宋_GB2312"/>
                <w:color w:val="auto"/>
                <w:sz w:val="24"/>
              </w:rPr>
              <w:t>工作分包。</w:t>
            </w:r>
          </w:p>
          <w:p>
            <w:pPr>
              <w:spacing w:line="440" w:lineRule="exact"/>
              <w:ind w:firstLine="720" w:firstLineChars="300"/>
              <w:rPr>
                <w:rFonts w:ascii="仿宋_GB2312" w:hAnsi="仿宋" w:eastAsia="仿宋_GB2312" w:cs="仿宋_GB2312"/>
                <w:b/>
                <w:color w:val="auto"/>
                <w:sz w:val="24"/>
              </w:rPr>
            </w:pPr>
            <w:r>
              <w:rPr>
                <w:rFonts w:ascii="仿宋_GB2312" w:hAnsi="仿宋" w:eastAsia="仿宋_GB2312" w:cs="Arial"/>
                <w:color w:val="auto"/>
                <w:kern w:val="0"/>
                <w:sz w:val="24"/>
              </w:rPr>
              <w:sym w:font="Wingdings" w:char="00FE"/>
            </w:r>
            <w:r>
              <w:rPr>
                <w:rFonts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269827233"/>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40" w:lineRule="exact"/>
              <w:textAlignment w:val="bottom"/>
              <w:rPr>
                <w:rFonts w:ascii="仿宋_GB2312" w:hAnsi="宋体" w:eastAsia="仿宋_GB2312"/>
                <w:b/>
                <w:color w:val="auto"/>
                <w:sz w:val="24"/>
              </w:rPr>
            </w:pPr>
            <w:sdt>
              <w:sdtPr>
                <w:rPr>
                  <w:rFonts w:hint="eastAsia" w:ascii="仿宋_GB2312" w:hAnsi="仿宋" w:eastAsia="仿宋_GB2312" w:cs="Arial"/>
                  <w:color w:val="auto"/>
                  <w:kern w:val="0"/>
                  <w:sz w:val="24"/>
                </w:rPr>
                <w:id w:val="-1377390262"/>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440" w:lineRule="exact"/>
              <w:rPr>
                <w:rFonts w:ascii="仿宋_GB2312" w:hAnsi="仿宋" w:eastAsia="仿宋_GB2312"/>
                <w:color w:val="auto"/>
                <w:sz w:val="24"/>
              </w:rPr>
            </w:pPr>
            <w:sdt>
              <w:sdtPr>
                <w:rPr>
                  <w:rFonts w:hint="eastAsia" w:ascii="仿宋_GB2312" w:hAnsi="仿宋" w:eastAsia="仿宋_GB2312" w:cs="Arial"/>
                  <w:color w:val="auto"/>
                  <w:kern w:val="0"/>
                  <w:sz w:val="24"/>
                </w:rPr>
                <w:id w:val="147702830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02683198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F0FE"/>
                    </w:r>
                  </w:sdtContent>
                </w:sdt>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440" w:lineRule="exact"/>
              <w:rPr>
                <w:rFonts w:ascii="仿宋_GB2312" w:hAnsi="仿宋" w:eastAsia="仿宋_GB2312"/>
                <w:color w:val="auto"/>
                <w:kern w:val="0"/>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B要求提供，</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sdt>
              <w:sdtPr>
                <w:rPr>
                  <w:rFonts w:hint="eastAsia" w:ascii="仿宋_GB2312" w:hAnsi="仿宋" w:eastAsia="仿宋_GB2312" w:cs="Arial"/>
                  <w:color w:val="auto"/>
                  <w:kern w:val="0"/>
                  <w:sz w:val="24"/>
                </w:rPr>
                <w:id w:val="1303421454"/>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kern w:val="0"/>
                    <w:sz w:val="24"/>
                  </w:rPr>
                  <w:sym w:font="Wingdings" w:char="00A8"/>
                </w:r>
              </w:sdtContent>
            </w:sdt>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62172843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41474232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sdtContent>
            </w:sdt>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lang w:eastAsia="zh-CN"/>
              </w:rPr>
              <w:t>□</w:t>
            </w:r>
            <w:r>
              <w:rPr>
                <w:rFonts w:hint="eastAsia" w:ascii="仿宋_GB2312" w:hAnsi="仿宋" w:eastAsia="仿宋_GB2312" w:cs="仿宋"/>
                <w:color w:val="auto"/>
                <w:sz w:val="24"/>
              </w:rPr>
              <w:t>A无方案讲解演示。</w:t>
            </w:r>
          </w:p>
          <w:p>
            <w:pPr>
              <w:spacing w:line="440" w:lineRule="exact"/>
              <w:rPr>
                <w:rFonts w:ascii="仿宋_GB2312" w:hAnsi="仿宋" w:eastAsia="仿宋_GB2312" w:cs="仿宋"/>
                <w:b/>
                <w:color w:val="auto"/>
                <w:sz w:val="24"/>
              </w:rPr>
            </w:pPr>
            <w:sdt>
              <w:sdtPr>
                <w:rPr>
                  <w:rFonts w:hint="eastAsia" w:ascii="仿宋_GB2312" w:hAnsi="仿宋" w:eastAsia="仿宋_GB2312" w:cs="Arial"/>
                  <w:color w:val="auto"/>
                  <w:kern w:val="0"/>
                  <w:sz w:val="24"/>
                </w:rPr>
                <w:id w:val="-1322571710"/>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kern w:val="0"/>
                    <w:sz w:val="24"/>
                  </w:rPr>
                  <w:sym w:font="Wingdings" w:char="00FE"/>
                </w:r>
              </w:sdtContent>
            </w:sdt>
            <w:r>
              <w:rPr>
                <w:rFonts w:hint="eastAsia" w:ascii="仿宋_GB2312" w:hAnsi="仿宋" w:eastAsia="仿宋_GB2312" w:cs="仿宋"/>
                <w:color w:val="auto"/>
                <w:sz w:val="24"/>
              </w:rPr>
              <w:t xml:space="preserve"> B有方案讲解演示：</w:t>
            </w:r>
          </w:p>
          <w:p>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（1）在评标时安排每个供应商进行方案讲解演示。每个供应商时间不超过</w:t>
            </w:r>
            <w:r>
              <w:rPr>
                <w:rFonts w:hint="eastAsia" w:ascii="仿宋_GB2312" w:hAnsi="仿宋" w:eastAsia="仿宋_GB2312" w:cs="仿宋"/>
                <w:color w:val="auto"/>
                <w:sz w:val="24"/>
                <w:u w:val="single"/>
              </w:rPr>
              <w:t xml:space="preserve"> 15 </w:t>
            </w:r>
            <w:r>
              <w:rPr>
                <w:rFonts w:hint="eastAsia" w:ascii="仿宋_GB2312" w:hAnsi="仿宋" w:eastAsia="仿宋_GB2312" w:cs="仿宋"/>
                <w:color w:val="auto"/>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（2）方案讲解演示可选择以下其中一种方式：</w:t>
            </w:r>
          </w:p>
          <w:p>
            <w:pPr>
              <w:spacing w:line="440" w:lineRule="exact"/>
              <w:rPr>
                <w:rFonts w:ascii="仿宋_GB2312" w:hAnsi="仿宋" w:eastAsia="仿宋_GB2312" w:cs="仿宋"/>
                <w:color w:val="auto"/>
                <w:sz w:val="24"/>
                <w:lang w:val="zh-CN"/>
              </w:rPr>
            </w:pPr>
            <w:sdt>
              <w:sdtPr>
                <w:rPr>
                  <w:rFonts w:hint="eastAsia" w:ascii="仿宋_GB2312" w:hAnsi="仿宋" w:eastAsia="仿宋_GB2312" w:cs="Arial"/>
                  <w:color w:val="auto"/>
                  <w:kern w:val="0"/>
                  <w:sz w:val="24"/>
                </w:rPr>
                <w:id w:val="-740560158"/>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kern w:val="0"/>
                    <w:sz w:val="24"/>
                  </w:rPr>
                  <w:sym w:font="Wingdings" w:char="00FE"/>
                </w:r>
              </w:sdtContent>
            </w:sdt>
            <w:r>
              <w:rPr>
                <w:rFonts w:hint="eastAsia" w:ascii="仿宋_GB2312" w:hAnsi="仿宋" w:eastAsia="仿宋_GB2312"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rPr>
              <w:t>□</w:t>
            </w:r>
            <w:r>
              <w:rPr>
                <w:rFonts w:hint="eastAsia" w:ascii="仿宋_GB2312" w:hAnsi="仿宋" w:eastAsia="仿宋_GB2312" w:cs="仿宋"/>
                <w:color w:val="auto"/>
                <w:sz w:val="24"/>
                <w:lang w:val="zh-CN"/>
              </w:rPr>
              <w:t>方式二：现场讲解演示。现场讲解地点为</w:t>
            </w: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w:t>
            </w:r>
            <w:r>
              <w:rPr>
                <w:rFonts w:hint="eastAsia" w:ascii="仿宋_GB2312" w:hAnsi="仿宋" w:eastAsia="仿宋_GB2312" w:cs="仿宋"/>
                <w:color w:val="auto"/>
                <w:kern w:val="0"/>
                <w:sz w:val="24"/>
                <w:lang w:val="zh-CN"/>
              </w:rPr>
              <w:t>讲解演示人员不超过</w:t>
            </w:r>
            <w:r>
              <w:rPr>
                <w:rFonts w:hint="eastAsia" w:ascii="仿宋_GB2312" w:hAnsi="仿宋" w:eastAsia="仿宋_GB2312" w:cs="仿宋"/>
                <w:color w:val="auto"/>
                <w:kern w:val="0"/>
                <w:sz w:val="24"/>
                <w:u w:val="single"/>
              </w:rPr>
              <w:t xml:space="preserve"> 3 </w:t>
            </w:r>
            <w:r>
              <w:rPr>
                <w:rFonts w:hint="eastAsia" w:ascii="仿宋_GB2312" w:hAnsi="仿宋" w:eastAsia="仿宋_GB2312" w:cs="仿宋"/>
                <w:color w:val="auto"/>
                <w:kern w:val="0"/>
                <w:sz w:val="24"/>
                <w:lang w:val="zh-CN"/>
              </w:rPr>
              <w:t>人。</w:t>
            </w:r>
            <w:r>
              <w:rPr>
                <w:rFonts w:hint="eastAsia" w:ascii="仿宋_GB2312" w:hAnsi="仿宋" w:eastAsia="仿宋_GB2312"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vAlign w:val="center"/>
          </w:tcPr>
          <w:p>
            <w:pPr>
              <w:snapToGrid w:val="0"/>
              <w:spacing w:line="440" w:lineRule="exact"/>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5" w:type="dxa"/>
            <w:vAlign w:val="center"/>
          </w:tcPr>
          <w:p>
            <w:pPr>
              <w:spacing w:line="360" w:lineRule="auto"/>
              <w:rPr>
                <w:rFonts w:ascii="仿宋_GB2312" w:hAnsi="仿宋" w:eastAsia="仿宋_GB2312" w:cs="Arial"/>
                <w:color w:val="auto"/>
                <w:kern w:val="0"/>
                <w:sz w:val="24"/>
              </w:rPr>
            </w:pPr>
            <w:sdt>
              <w:sdtPr>
                <w:rPr>
                  <w:rFonts w:hint="eastAsia" w:ascii="仿宋_GB2312" w:hAnsi="仿宋" w:eastAsia="仿宋_GB2312" w:cs="Arial"/>
                  <w:color w:val="auto"/>
                  <w:kern w:val="0"/>
                  <w:sz w:val="24"/>
                </w:rPr>
                <w:id w:val="270143954"/>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hint="eastAsia" w:ascii="仿宋_GB2312" w:hAnsi="仿宋" w:eastAsia="仿宋_GB2312" w:cs="Arial"/>
                <w:color w:val="auto"/>
                <w:kern w:val="0"/>
                <w:sz w:val="24"/>
              </w:rPr>
              <w:t>本项目不允许采购进口产品。</w:t>
            </w:r>
          </w:p>
          <w:p>
            <w:pPr>
              <w:snapToGrid w:val="0"/>
              <w:spacing w:line="440" w:lineRule="exact"/>
              <w:rPr>
                <w:rFonts w:ascii="仿宋_GB2312" w:hAnsi="仿宋_GB2312" w:eastAsia="仿宋_GB2312" w:cs="仿宋_GB2312"/>
                <w:b/>
                <w:color w:val="auto"/>
                <w:sz w:val="24"/>
              </w:rPr>
            </w:pPr>
            <w:sdt>
              <w:sdtPr>
                <w:rPr>
                  <w:rFonts w:hint="eastAsia" w:ascii="仿宋_GB2312" w:hAnsi="仿宋" w:eastAsia="仿宋_GB2312" w:cs="Arial"/>
                  <w:color w:val="auto"/>
                  <w:kern w:val="0"/>
                  <w:sz w:val="24"/>
                </w:rPr>
                <w:id w:val="55520513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5" w:type="dxa"/>
            <w:vAlign w:val="center"/>
          </w:tcPr>
          <w:p>
            <w:pPr>
              <w:spacing w:line="360" w:lineRule="auto"/>
              <w:rPr>
                <w:rFonts w:ascii="仿宋_GB2312" w:hAnsi="仿宋" w:eastAsia="仿宋_GB2312"/>
                <w:color w:val="auto"/>
                <w:sz w:val="24"/>
              </w:rPr>
            </w:pPr>
            <w:r>
              <w:rPr>
                <w:rFonts w:ascii="MS Gothic" w:hAnsi="MS Gothic" w:eastAsia="仿宋_GB2312" w:cs="Arial"/>
                <w:color w:val="auto"/>
                <w:kern w:val="0"/>
                <w:sz w:val="24"/>
              </w:rPr>
              <w:t>☐</w:t>
            </w:r>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仿宋" w:eastAsia="仿宋_GB2312"/>
                <w:color w:val="auto"/>
                <w:sz w:val="24"/>
                <w:u w:val="single"/>
                <w:lang w:val="en-US" w:eastAsia="zh-CN"/>
              </w:rPr>
              <w:t xml:space="preserve">       </w:t>
            </w:r>
            <w:r>
              <w:rPr>
                <w:rFonts w:hint="eastAsia" w:ascii="仿宋_GB2312" w:hAnsi="仿宋" w:eastAsia="仿宋_GB2312"/>
                <w:color w:val="auto"/>
                <w:sz w:val="24"/>
              </w:rPr>
              <w:t>。</w:t>
            </w:r>
          </w:p>
          <w:p>
            <w:pPr>
              <w:snapToGrid w:val="0"/>
              <w:spacing w:line="440" w:lineRule="exact"/>
              <w:rPr>
                <w:rFonts w:ascii="仿宋_GB2312" w:hAnsi="仿宋_GB2312" w:eastAsia="仿宋_GB2312" w:cs="仿宋_GB2312"/>
                <w:color w:val="auto"/>
                <w:sz w:val="24"/>
              </w:rPr>
            </w:pPr>
            <w:sdt>
              <w:sdtPr>
                <w:rPr>
                  <w:rFonts w:hint="eastAsia" w:ascii="仿宋_GB2312" w:hAnsi="仿宋" w:eastAsia="仿宋_GB2312" w:cs="Arial"/>
                  <w:color w:val="auto"/>
                  <w:kern w:val="0"/>
                  <w:sz w:val="24"/>
                </w:rPr>
                <w:id w:val="474885559"/>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18727868"/>
                    <w:showingPlcHdr/>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sym w:font="Wingdings" w:char="00FE"/>
                    </w:r>
                  </w:sdtContent>
                </w:sdt>
              </w:sdtContent>
            </w:sdt>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5" w:type="dxa"/>
            <w:vAlign w:val="center"/>
          </w:tcPr>
          <w:p>
            <w:pPr>
              <w:snapToGrid w:val="0"/>
              <w:spacing w:line="360" w:lineRule="auto"/>
              <w:rPr>
                <w:color w:val="auto"/>
              </w:rPr>
            </w:pPr>
            <w:r>
              <w:rPr>
                <w:rFonts w:hint="eastAsia" w:ascii="仿宋_GB2312" w:hAnsi="仿宋" w:eastAsia="仿宋_GB2312" w:cs="Arial"/>
                <w:color w:val="auto"/>
                <w:kern w:val="0"/>
                <w:sz w:val="24"/>
              </w:rPr>
              <w:t>（</w:t>
            </w:r>
            <w:r>
              <w:rPr>
                <w:rFonts w:ascii="仿宋_GB2312" w:hAnsi="仿宋" w:eastAsia="仿宋_GB2312" w:cs="Arial"/>
                <w:color w:val="auto"/>
                <w:kern w:val="0"/>
                <w:sz w:val="24"/>
              </w:rPr>
              <w:t>1</w:t>
            </w:r>
            <w:r>
              <w:rPr>
                <w:rFonts w:hint="eastAsia" w:ascii="仿宋_GB2312" w:hAnsi="仿宋" w:eastAsia="仿宋_GB2312" w:cs="Arial"/>
                <w:color w:val="auto"/>
                <w:kern w:val="0"/>
                <w:sz w:val="24"/>
              </w:rPr>
              <w:t>）标的：</w:t>
            </w:r>
            <w:r>
              <w:rPr>
                <w:rFonts w:hint="eastAsia" w:ascii="仿宋_GB2312" w:hAnsi="仿宋" w:eastAsia="仿宋_GB2312" w:cs="Arial"/>
                <w:color w:val="auto"/>
                <w:kern w:val="0"/>
                <w:sz w:val="24"/>
                <w:u w:val="single"/>
              </w:rPr>
              <w:t xml:space="preserve"> </w:t>
            </w:r>
            <w:r>
              <w:rPr>
                <w:rFonts w:ascii="仿宋_GB2312" w:hAnsi="仿宋" w:eastAsia="仿宋_GB2312" w:cs="Arial"/>
                <w:color w:val="auto"/>
                <w:kern w:val="0"/>
                <w:sz w:val="24"/>
                <w:u w:val="single"/>
              </w:rPr>
              <w:t>01</w:t>
            </w:r>
            <w:r>
              <w:rPr>
                <w:rFonts w:hint="eastAsia" w:ascii="仿宋_GB2312" w:hAnsi="仿宋" w:eastAsia="仿宋_GB2312" w:cs="Arial"/>
                <w:color w:val="auto"/>
                <w:kern w:val="0"/>
                <w:sz w:val="24"/>
                <w:u w:val="single"/>
              </w:rPr>
              <w:t xml:space="preserve">标 </w:t>
            </w:r>
            <w:r>
              <w:rPr>
                <w:rFonts w:hint="eastAsia" w:ascii="仿宋_GB2312" w:hAnsi="仿宋" w:eastAsia="仿宋_GB2312" w:cs="Arial"/>
                <w:color w:val="auto"/>
                <w:kern w:val="0"/>
                <w:sz w:val="24"/>
              </w:rPr>
              <w:t>，属于</w:t>
            </w:r>
            <w:r>
              <w:rPr>
                <w:rFonts w:hint="eastAsia" w:ascii="仿宋_GB2312" w:hAnsi="仿宋" w:eastAsia="仿宋_GB2312" w:cs="Arial"/>
                <w:color w:val="auto"/>
                <w:kern w:val="0"/>
                <w:sz w:val="24"/>
                <w:u w:val="single"/>
              </w:rPr>
              <w:t xml:space="preserve"> </w:t>
            </w:r>
            <w:r>
              <w:rPr>
                <w:rFonts w:hint="eastAsia" w:ascii="仿宋" w:hAnsi="仿宋" w:eastAsia="仿宋" w:cs="仿宋"/>
                <w:color w:val="auto"/>
                <w:kern w:val="0"/>
                <w:sz w:val="24"/>
                <w:u w:val="single"/>
                <w:lang w:val="en-US" w:eastAsia="zh-CN"/>
              </w:rPr>
              <w:t xml:space="preserve">软件和信息技术服务 </w:t>
            </w:r>
            <w:r>
              <w:rPr>
                <w:rFonts w:hint="eastAsia" w:ascii="仿宋_GB2312" w:hAnsi="仿宋" w:eastAsia="仿宋_GB2312" w:cs="Arial"/>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rPr>
            </w:pPr>
            <w:r>
              <w:rPr>
                <w:rFonts w:ascii="仿宋_GB2312" w:hAnsi="宋体" w:eastAsia="仿宋_GB2312"/>
                <w:color w:val="auto"/>
                <w:sz w:val="24"/>
              </w:rPr>
              <w:t>1</w:t>
            </w:r>
            <w:r>
              <w:rPr>
                <w:rFonts w:hint="eastAsia" w:ascii="仿宋_GB2312" w:hAnsi="宋体" w:eastAsia="仿宋_GB2312"/>
                <w:color w:val="auto"/>
                <w:sz w:val="24"/>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5" w:type="dxa"/>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信用信息查询渠道及截止时间：</w:t>
            </w:r>
            <w:r>
              <w:rPr>
                <w:rFonts w:hint="eastAsia" w:ascii="仿宋_GB2312" w:hAnsi="仿宋" w:eastAsia="仿宋_GB2312" w:cs="仿宋"/>
                <w:color w:val="auto"/>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rPr>
              <w:t>开标当天</w:t>
            </w:r>
            <w:r>
              <w:rPr>
                <w:rFonts w:hint="eastAsia" w:ascii="仿宋_GB2312" w:hAnsi="仿宋" w:eastAsia="仿宋_GB2312"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信用信息查询记录和证据留存的具体方式：</w:t>
            </w:r>
            <w:r>
              <w:rPr>
                <w:rFonts w:hint="eastAsia" w:ascii="仿宋_GB2312" w:hAnsi="仿宋" w:eastAsia="仿宋_GB2312"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b/>
                <w:color w:val="auto"/>
                <w:sz w:val="24"/>
              </w:rPr>
              <w:t>信用信息的使用规则：</w:t>
            </w:r>
            <w:r>
              <w:rPr>
                <w:rFonts w:hint="eastAsia" w:ascii="仿宋_GB2312" w:hAnsi="仿宋" w:eastAsia="仿宋_GB2312"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rPr>
            </w:pPr>
            <w:r>
              <w:rPr>
                <w:rFonts w:hint="eastAsia" w:ascii="仿宋_GB2312" w:hAnsi="仿宋" w:eastAsia="仿宋_GB2312"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扰乱公共资源交易市场秩序行为：</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16</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 xml:space="preserve">17                                                                                                                                                                                                                                                                                                                                                                                                                                                                                                                                                                                                                                                                                                                                                                                                                                                                                                                                                                                                                                                                                                                                                                                                                                                                                                                                        </w:t>
            </w:r>
          </w:p>
        </w:tc>
        <w:tc>
          <w:tcPr>
            <w:tcW w:w="8370" w:type="dxa"/>
            <w:gridSpan w:val="2"/>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投标与开标注意事项：</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注：供应商CA相关操作可参考政采云平台</w:t>
            </w:r>
            <w:r>
              <w:rPr>
                <w:rFonts w:hint="eastAsia" w:ascii="仿宋_GB2312" w:hAnsi="仿宋" w:eastAsia="仿宋_GB2312" w:cs="仿宋"/>
                <w:color w:val="auto"/>
              </w:rPr>
              <w:t>https://www.zcygov.cn/</w:t>
            </w:r>
            <w:r>
              <w:rPr>
                <w:rFonts w:hint="eastAsia" w:ascii="仿宋_GB2312" w:hAnsi="仿宋" w:eastAsia="仿宋_GB2312"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3.投标文件制作、递交、解密：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rPr>
            </w:pPr>
            <w:r>
              <w:rPr>
                <w:rFonts w:hint="eastAsia" w:ascii="仿宋_GB2312" w:hAnsi="仿宋" w:eastAsia="仿宋_GB2312" w:cs="仿宋"/>
                <w:color w:val="auto"/>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3.3开标时间后30分钟内供应商可以登录“政采云”平台，用“项目采购-开标评标”功能进行解密投标文件。若供应商</w:t>
            </w:r>
            <w:r>
              <w:rPr>
                <w:rFonts w:hint="eastAsia" w:ascii="仿宋_GB2312" w:hAnsi="仿宋" w:eastAsia="仿宋_GB2312" w:cs="仿宋"/>
                <w:b/>
                <w:color w:val="auto"/>
                <w:sz w:val="24"/>
                <w:u w:val="single"/>
              </w:rPr>
              <w:t>未按时解密的</w:t>
            </w:r>
            <w:r>
              <w:rPr>
                <w:rFonts w:hint="eastAsia" w:ascii="仿宋_GB2312" w:hAnsi="仿宋" w:eastAsia="仿宋_GB2312" w:cs="仿宋"/>
                <w:color w:val="auto"/>
                <w:sz w:val="24"/>
              </w:rPr>
              <w:t>，</w:t>
            </w:r>
            <w:r>
              <w:rPr>
                <w:rFonts w:hint="eastAsia" w:ascii="仿宋_GB2312" w:hAnsi="仿宋" w:eastAsia="仿宋_GB2312" w:cs="仿宋"/>
                <w:b/>
                <w:color w:val="auto"/>
                <w:sz w:val="24"/>
                <w:u w:val="single"/>
              </w:rPr>
              <w:t>视为投标文件撤回</w:t>
            </w:r>
            <w:r>
              <w:rPr>
                <w:rFonts w:hint="eastAsia" w:ascii="仿宋_GB2312" w:hAnsi="仿宋" w:eastAsia="仿宋_GB2312"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18</w:t>
            </w:r>
          </w:p>
        </w:tc>
        <w:tc>
          <w:tcPr>
            <w:tcW w:w="8370" w:type="dxa"/>
            <w:gridSpan w:val="2"/>
            <w:vAlign w:val="center"/>
          </w:tcPr>
          <w:p>
            <w:pPr>
              <w:spacing w:line="44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4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rPr>
            </w:pPr>
            <w:r>
              <w:rPr>
                <w:rFonts w:hint="eastAsia" w:ascii="仿宋" w:hAnsi="仿宋" w:eastAsia="仿宋" w:cs="仿宋"/>
                <w:color w:val="auto"/>
                <w:kern w:val="0"/>
                <w:sz w:val="24"/>
                <w:highlight w:val="none"/>
              </w:rPr>
              <w:sym w:font="Wingdings" w:char="00A8"/>
            </w:r>
            <w:sdt>
              <w:sdtPr>
                <w:rPr>
                  <w:rFonts w:hint="eastAsia" w:ascii="仿宋" w:hAnsi="仿宋" w:eastAsia="仿宋" w:cs="仿宋"/>
                  <w:color w:val="auto"/>
                  <w:kern w:val="0"/>
                  <w:sz w:val="24"/>
                  <w:szCs w:val="21"/>
                  <w:highlight w:val="none"/>
                </w:rPr>
                <w:id w:val="192198588"/>
              </w:sdtPr>
              <w:sdtEndPr>
                <w:rPr>
                  <w:rFonts w:hint="eastAsia" w:ascii="仿宋" w:hAnsi="仿宋" w:eastAsia="仿宋" w:cs="仿宋"/>
                  <w:color w:val="auto"/>
                  <w:kern w:val="0"/>
                  <w:sz w:val="24"/>
                  <w:szCs w:val="21"/>
                  <w:highlight w:val="none"/>
                </w:rPr>
              </w:sdtEndPr>
              <w:sdtContent/>
            </w:sdt>
            <w:sdt>
              <w:sdtPr>
                <w:rPr>
                  <w:rFonts w:hint="eastAsia" w:ascii="仿宋_GB2312" w:hAnsi="宋体" w:eastAsia="仿宋_GB2312" w:cs="宋体"/>
                  <w:color w:val="auto"/>
                  <w:kern w:val="0"/>
                  <w:sz w:val="24"/>
                  <w:szCs w:val="21"/>
                </w:rPr>
                <w:id w:val="1811052681"/>
              </w:sdtPr>
              <w:sdtEndPr>
                <w:rPr>
                  <w:rFonts w:hint="eastAsia" w:ascii="仿宋_GB2312" w:hAnsi="宋体" w:eastAsia="仿宋_GB2312" w:cs="宋体"/>
                  <w:color w:val="auto"/>
                  <w:kern w:val="0"/>
                  <w:sz w:val="24"/>
                  <w:szCs w:val="21"/>
                </w:rPr>
              </w:sdtEndPr>
              <w:sdtContent/>
            </w:sdt>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40" w:lineRule="exact"/>
              <w:rPr>
                <w:rFonts w:ascii="宋体" w:hAnsi="宋体" w:cs="宋体"/>
                <w:b/>
                <w:color w:val="auto"/>
                <w:sz w:val="24"/>
              </w:rPr>
            </w:pPr>
            <w:r>
              <w:rPr>
                <w:rFonts w:hint="eastAsia" w:ascii="仿宋" w:hAnsi="仿宋" w:eastAsia="仿宋" w:cs="仿宋"/>
                <w:color w:val="auto"/>
                <w:kern w:val="0"/>
                <w:sz w:val="24"/>
                <w:highlight w:val="none"/>
              </w:rPr>
              <w:sym w:font="Wingdings" w:char="00FE"/>
            </w:r>
            <w:sdt>
              <w:sdtPr>
                <w:rPr>
                  <w:rFonts w:hint="eastAsia" w:ascii="仿宋" w:hAnsi="仿宋" w:eastAsia="仿宋" w:cs="仿宋"/>
                  <w:color w:val="auto"/>
                  <w:kern w:val="0"/>
                  <w:sz w:val="24"/>
                  <w:szCs w:val="21"/>
                  <w:highlight w:val="none"/>
                </w:rPr>
                <w:id w:val="192198588"/>
              </w:sdtPr>
              <w:sdtEndPr>
                <w:rPr>
                  <w:rFonts w:hint="eastAsia" w:ascii="仿宋" w:hAnsi="仿宋" w:eastAsia="仿宋" w:cs="仿宋"/>
                  <w:color w:val="auto"/>
                  <w:kern w:val="0"/>
                  <w:sz w:val="24"/>
                  <w:szCs w:val="21"/>
                  <w:highlight w:val="none"/>
                </w:rPr>
              </w:sdtEndPr>
              <w:sdtContent/>
            </w:sdt>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19</w:t>
            </w:r>
          </w:p>
        </w:tc>
        <w:tc>
          <w:tcPr>
            <w:tcW w:w="8370" w:type="dxa"/>
            <w:gridSpan w:val="2"/>
            <w:vAlign w:val="center"/>
          </w:tcPr>
          <w:p>
            <w:pPr>
              <w:spacing w:line="440" w:lineRule="exact"/>
              <w:jc w:val="left"/>
              <w:rPr>
                <w:rFonts w:hint="eastAsia" w:ascii="仿宋_GB2312" w:hAnsi="宋体" w:eastAsia="仿宋_GB2312"/>
                <w:b/>
                <w:color w:val="auto"/>
                <w:sz w:val="24"/>
              </w:rPr>
            </w:pPr>
            <w:r>
              <w:rPr>
                <w:rFonts w:hint="eastAsia" w:ascii="仿宋_GB2312" w:hAnsi="宋体" w:eastAsia="仿宋_GB2312"/>
                <w:b/>
                <w:color w:val="auto"/>
                <w:sz w:val="24"/>
              </w:rPr>
              <w:t>采购代理服务费：</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eastAsia="仿宋" w:cs="仿宋_GB2312"/>
                <w:b w:val="0"/>
                <w:bCs w:val="0"/>
                <w:color w:val="auto"/>
                <w:sz w:val="24"/>
                <w:highlight w:val="none"/>
              </w:rPr>
            </w:pPr>
            <w:r>
              <w:rPr>
                <w:rFonts w:hint="eastAsia" w:ascii="仿宋" w:eastAsia="仿宋" w:cs="仿宋_GB2312"/>
                <w:b w:val="0"/>
                <w:bCs w:val="0"/>
                <w:color w:val="auto"/>
                <w:sz w:val="24"/>
                <w:highlight w:val="none"/>
              </w:rPr>
              <w:t>中标人须向招标代理机构交纳招标代理服务费，并在投标报价中自行考虑：</w:t>
            </w:r>
          </w:p>
          <w:p>
            <w:pPr>
              <w:autoSpaceDE w:val="0"/>
              <w:autoSpaceDN w:val="0"/>
              <w:spacing w:line="360" w:lineRule="exact"/>
              <w:textAlignment w:val="bottom"/>
              <w:rPr>
                <w:rFonts w:ascii="仿宋" w:eastAsia="仿宋"/>
                <w:color w:val="auto"/>
                <w:sz w:val="24"/>
              </w:rPr>
            </w:pPr>
            <w:r>
              <w:rPr>
                <w:rFonts w:hint="eastAsia" w:ascii="仿宋" w:eastAsia="仿宋" w:cs="仿宋_GB2312"/>
                <w:b w:val="0"/>
                <w:bCs w:val="0"/>
                <w:color w:val="auto"/>
                <w:sz w:val="24"/>
                <w:highlight w:val="none"/>
              </w:rPr>
              <w:t>①</w:t>
            </w:r>
            <w:r>
              <w:rPr>
                <w:rFonts w:hint="eastAsia" w:ascii="仿宋" w:eastAsia="仿宋"/>
                <w:color w:val="auto"/>
                <w:sz w:val="24"/>
              </w:rPr>
              <w:t>以中标通知书中确定的中标总金额作为服务费的计算基数，具体比例参照《国家计委关于印发&lt;招标代理服务收费管理暂行办法&gt;的通知》（计价格[2002]1980号）文件</w:t>
            </w:r>
            <w:r>
              <w:rPr>
                <w:rFonts w:hint="eastAsia" w:ascii="仿宋" w:eastAsia="仿宋"/>
                <w:color w:val="auto"/>
                <w:sz w:val="24"/>
                <w:lang w:val="en-US" w:eastAsia="zh-CN"/>
              </w:rPr>
              <w:t>规定</w:t>
            </w:r>
            <w:r>
              <w:rPr>
                <w:rFonts w:hint="eastAsia" w:ascii="仿宋" w:eastAsia="仿宋"/>
                <w:color w:val="auto"/>
                <w:sz w:val="24"/>
              </w:rPr>
              <w:t>标准的</w:t>
            </w:r>
            <w:r>
              <w:rPr>
                <w:rFonts w:hint="eastAsia" w:ascii="仿宋" w:eastAsia="仿宋"/>
                <w:color w:val="auto"/>
                <w:sz w:val="24"/>
                <w:lang w:val="en-US" w:eastAsia="zh-CN"/>
              </w:rPr>
              <w:t>八折</w:t>
            </w:r>
            <w:r>
              <w:rPr>
                <w:rFonts w:hint="eastAsia" w:ascii="仿宋" w:eastAsia="仿宋"/>
                <w:color w:val="auto"/>
                <w:sz w:val="24"/>
              </w:rPr>
              <w:t>执行。不足5000元按5000元计取。</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② 招标代理服务费的交纳方式：</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用银行支票、汇票、电汇、现金等付款方式直接交纳招标代理服务费。</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公司名称：浙江翔实建设项目管理有限公司</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 xml:space="preserve">开户行：建行绍兴越城支行 </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账  号：33001653549053003519</w:t>
            </w:r>
          </w:p>
          <w:p>
            <w:pPr>
              <w:spacing w:line="440" w:lineRule="exact"/>
              <w:jc w:val="left"/>
              <w:rPr>
                <w:rFonts w:hint="eastAsia" w:ascii="仿宋_GB2312" w:hAnsi="宋体" w:eastAsia="仿宋_GB2312"/>
                <w:b/>
                <w:color w:val="auto"/>
                <w:sz w:val="24"/>
              </w:rPr>
            </w:pPr>
            <w:r>
              <w:rPr>
                <w:rFonts w:hint="eastAsia" w:ascii="仿宋" w:hAnsi="Times New Roman" w:eastAsia="仿宋" w:cs="Times New Roman"/>
                <w:color w:val="auto"/>
                <w:sz w:val="24"/>
              </w:rPr>
              <w:t>③交纳时间：领取中标通知书前交纳。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12"/>
    </w:tbl>
    <w:p>
      <w:pPr>
        <w:pageBreakBefore/>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一、总则</w:t>
      </w:r>
    </w:p>
    <w:p>
      <w:pPr>
        <w:snapToGrid w:val="0"/>
        <w:spacing w:line="440" w:lineRule="exact"/>
        <w:jc w:val="left"/>
        <w:outlineLvl w:val="1"/>
        <w:rPr>
          <w:rFonts w:ascii="仿宋_GB2312" w:hAnsi="仿宋" w:eastAsia="仿宋_GB2312" w:cs="仿宋"/>
          <w:b/>
          <w:color w:val="auto"/>
          <w:sz w:val="24"/>
        </w:rPr>
      </w:pPr>
      <w:r>
        <w:rPr>
          <w:rFonts w:hint="eastAsia" w:ascii="仿宋_GB2312" w:hAnsi="仿宋" w:eastAsia="仿宋_GB2312" w:cs="仿宋"/>
          <w:b/>
          <w:color w:val="auto"/>
          <w:sz w:val="24"/>
        </w:rPr>
        <w:t>1.适用范围</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rPr>
      </w:pPr>
      <w:r>
        <w:rPr>
          <w:rFonts w:hint="eastAsia" w:ascii="仿宋_GB2312" w:hAnsi="仿宋" w:eastAsia="仿宋_GB2312" w:cs="仿宋"/>
          <w:b/>
          <w:color w:val="auto"/>
          <w:sz w:val="24"/>
        </w:rPr>
        <w:t>2.定义</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 “采购人”系指招标公告中载明的本项目的采购人。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2.4“监督单位”系指政府采购法定义监督管理部门。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 w:eastAsia="仿宋_GB2312" w:cs="仿宋"/>
          <w:color w:val="auto"/>
          <w:sz w:val="24"/>
          <w:lang w:val="en-US" w:eastAsia="zh-CN"/>
        </w:rPr>
        <w:t>3</w:t>
      </w:r>
      <w:r>
        <w:rPr>
          <w:rFonts w:hint="eastAsia" w:ascii="仿宋_GB2312" w:hAnsi="仿宋" w:eastAsia="仿宋_GB2312" w:cs="仿宋"/>
          <w:color w:val="auto"/>
          <w:sz w:val="24"/>
        </w:rPr>
        <w:t>）。</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rPr>
        <w:t>☑</w:t>
      </w:r>
      <w:r>
        <w:rPr>
          <w:rFonts w:hint="eastAsia" w:ascii="仿宋_GB2312" w:hAnsi="仿宋" w:eastAsia="仿宋_GB2312" w:cs="仿宋"/>
          <w:color w:val="auto"/>
          <w:sz w:val="24"/>
        </w:rPr>
        <w:t>” 系指适用本项目的要求，“</w:t>
      </w:r>
      <w:r>
        <w:rPr>
          <w:rFonts w:hint="eastAsia" w:ascii="仿宋_GB2312" w:hAnsi="MS Mincho" w:eastAsia="MS Mincho" w:cs="MS Mincho"/>
          <w:color w:val="auto"/>
          <w:sz w:val="24"/>
        </w:rPr>
        <w:t>☐</w:t>
      </w:r>
      <w:r>
        <w:rPr>
          <w:rFonts w:hint="eastAsia" w:ascii="仿宋_GB2312" w:hAnsi="仿宋" w:eastAsia="仿宋_GB2312" w:cs="仿宋"/>
          <w:color w:val="auto"/>
          <w:sz w:val="24"/>
        </w:rPr>
        <w:t>” 系指不适用本项目的要求。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Cs/>
          <w:color w:val="auto"/>
          <w:sz w:val="24"/>
        </w:rPr>
      </w:pPr>
      <w:r>
        <w:rPr>
          <w:rFonts w:hint="eastAsia" w:ascii="仿宋" w:hAnsi="仿宋" w:eastAsia="仿宋" w:cs="仿宋"/>
          <w:bCs/>
          <w:color w:val="auto"/>
          <w:sz w:val="24"/>
        </w:rPr>
        <w:t>3.5平等对待内外资企业和符合条件的破产重整企业</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rPr>
      </w:pPr>
    </w:p>
    <w:p>
      <w:pPr>
        <w:spacing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二、招标文件</w:t>
      </w:r>
    </w:p>
    <w:p>
      <w:pPr>
        <w:snapToGrid w:val="0"/>
        <w:spacing w:line="440" w:lineRule="exact"/>
        <w:jc w:val="left"/>
        <w:rPr>
          <w:rFonts w:ascii="仿宋_GB2312" w:hAnsi="仿宋" w:eastAsia="仿宋_GB2312" w:cs="仿宋"/>
          <w:b/>
          <w:color w:val="auto"/>
          <w:sz w:val="24"/>
        </w:rPr>
      </w:pPr>
      <w:bookmarkStart w:id="13" w:name="_Toc81372776"/>
      <w:bookmarkStart w:id="14" w:name="_Toc84325929"/>
      <w:bookmarkStart w:id="15" w:name="_Toc81372953"/>
      <w:r>
        <w:rPr>
          <w:rFonts w:hint="eastAsia" w:ascii="仿宋_GB2312" w:hAnsi="仿宋" w:eastAsia="仿宋_GB2312" w:cs="仿宋"/>
          <w:b/>
          <w:color w:val="auto"/>
          <w:sz w:val="24"/>
        </w:rPr>
        <w:t>1．招标方式</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 本次招标采用公开招标方式进行。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 本次招标设定限价，即招标公告中公布的各标项预算金额或最高限价（各标项之间的预算金额不能互相调整）。</w:t>
      </w:r>
    </w:p>
    <w:p>
      <w:pPr>
        <w:pStyle w:val="25"/>
        <w:snapToGrid w:val="0"/>
        <w:spacing w:line="440" w:lineRule="exact"/>
        <w:ind w:left="0" w:leftChars="0" w:firstLine="0" w:firstLineChars="0"/>
        <w:jc w:val="left"/>
        <w:rPr>
          <w:rFonts w:ascii="仿宋_GB2312" w:hAnsi="仿宋" w:eastAsia="仿宋_GB2312" w:cs="仿宋"/>
          <w:b/>
          <w:color w:val="auto"/>
        </w:rPr>
      </w:pPr>
      <w:r>
        <w:rPr>
          <w:rFonts w:hint="eastAsia" w:ascii="仿宋_GB2312" w:hAnsi="仿宋" w:eastAsia="仿宋_GB2312" w:cs="仿宋"/>
          <w:b/>
          <w:color w:val="auto"/>
          <w:sz w:val="24"/>
        </w:rPr>
        <w:t>2.授权委托</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3.投标费用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4.2招标文件的澄清 </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的要求推荐性能相当或高于、服务条款相等或高于、符合采购人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人实际业务需求同档次优质品牌的说明书，无法在投标文件中提供的，其投标可能会被拒绝（或作无效投标）。</w:t>
      </w:r>
    </w:p>
    <w:p>
      <w:pPr>
        <w:pStyle w:val="23"/>
        <w:rPr>
          <w:rFonts w:ascii="仿宋_GB2312" w:hAnsi="仿宋" w:cs="仿宋"/>
          <w:color w:val="auto"/>
          <w:sz w:val="32"/>
          <w:szCs w:val="32"/>
        </w:rPr>
      </w:pPr>
      <w:r>
        <w:rPr>
          <w:rFonts w:hint="eastAsia" w:ascii="仿宋_GB2312" w:hAnsi="仿宋" w:cs="仿宋"/>
          <w:color w:val="auto"/>
        </w:rPr>
        <w:t xml:space="preserve">  </w:t>
      </w:r>
      <w:r>
        <w:rPr>
          <w:rFonts w:hint="eastAsia" w:ascii="仿宋_GB2312" w:hAnsi="仿宋" w:cs="仿宋"/>
          <w:color w:val="auto"/>
          <w:sz w:val="32"/>
          <w:szCs w:val="32"/>
        </w:rPr>
        <w:t xml:space="preserve">  </w:t>
      </w:r>
    </w:p>
    <w:p>
      <w:pPr>
        <w:spacing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三、投标文件</w:t>
      </w:r>
    </w:p>
    <w:p>
      <w:pPr>
        <w:snapToGrid w:val="0"/>
        <w:spacing w:line="440" w:lineRule="exact"/>
        <w:jc w:val="left"/>
        <w:rPr>
          <w:rFonts w:ascii="仿宋_GB2312" w:hAnsi="仿宋" w:eastAsia="仿宋_GB2312" w:cs="仿宋"/>
          <w:b/>
          <w:bCs/>
          <w:color w:val="auto"/>
          <w:sz w:val="24"/>
        </w:rPr>
      </w:pPr>
      <w:r>
        <w:rPr>
          <w:rFonts w:hint="eastAsia" w:ascii="仿宋_GB2312" w:hAnsi="仿宋" w:eastAsia="仿宋_GB2312" w:cs="仿宋"/>
          <w:b/>
          <w:bCs/>
          <w:color w:val="auto"/>
          <w:sz w:val="24"/>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1.5投标文件的形式和效力</w:t>
      </w:r>
    </w:p>
    <w:p>
      <w:pPr>
        <w:snapToGrid w:val="0"/>
        <w:spacing w:line="440" w:lineRule="exact"/>
        <w:ind w:firstLine="723" w:firstLineChars="300"/>
        <w:jc w:val="left"/>
        <w:rPr>
          <w:rFonts w:ascii="仿宋_GB2312" w:hAnsi="仿宋" w:eastAsia="仿宋_GB2312" w:cs="仿宋"/>
          <w:b/>
          <w:color w:val="auto"/>
          <w:sz w:val="24"/>
        </w:rPr>
      </w:pPr>
      <w:r>
        <w:rPr>
          <w:rFonts w:hint="eastAsia" w:ascii="仿宋_GB2312" w:hAnsi="仿宋" w:eastAsia="仿宋_GB2312"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1.5.2投标文件的效力：</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rPr>
      </w:pPr>
      <w:r>
        <w:rPr>
          <w:rFonts w:hint="eastAsia" w:ascii="仿宋_GB2312" w:hAnsi="仿宋" w:eastAsia="仿宋_GB2312" w:cs="仿宋"/>
          <w:b/>
          <w:color w:val="auto"/>
          <w:sz w:val="24"/>
          <w:szCs w:val="24"/>
        </w:rPr>
        <w:t>2. 投标文件的组成</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投标文件由“资格文件”、“商务技术（资信）文件资料”、“报价文件资料”三部分组成，其中</w:t>
      </w:r>
      <w:r>
        <w:rPr>
          <w:rFonts w:hint="eastAsia" w:ascii="仿宋_GB2312" w:hAnsi="仿宋" w:eastAsia="仿宋_GB2312" w:cs="仿宋"/>
          <w:b/>
          <w:color w:val="auto"/>
          <w:sz w:val="24"/>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rPr>
        <w:t>2</w:t>
      </w:r>
      <w:r>
        <w:rPr>
          <w:rFonts w:hint="eastAsia" w:ascii="仿宋_GB2312" w:hAnsi="仿宋" w:eastAsia="仿宋_GB2312" w:cs="仿宋"/>
          <w:b/>
          <w:color w:val="auto"/>
          <w:sz w:val="24"/>
          <w:lang w:val="zh-CN"/>
        </w:rPr>
        <w:t>.1资格文件：</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2.1.2联合协议（如果有)；</w:t>
      </w:r>
    </w:p>
    <w:p>
      <w:pPr>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2.1.3分包意向协议</w:t>
      </w:r>
      <w:r>
        <w:rPr>
          <w:rFonts w:hint="eastAsia" w:ascii="仿宋_GB2312" w:hAnsi="仿宋" w:eastAsia="仿宋_GB2312" w:cs="仿宋"/>
          <w:snapToGrid w:val="0"/>
          <w:color w:val="auto"/>
          <w:kern w:val="28"/>
          <w:sz w:val="24"/>
          <w:szCs w:val="20"/>
        </w:rPr>
        <w:t>（如果有)</w:t>
      </w:r>
      <w:r>
        <w:rPr>
          <w:rFonts w:hint="eastAsia" w:ascii="仿宋_GB2312" w:hAnsi="仿宋" w:eastAsia="仿宋_GB2312" w:cs="仿宋"/>
          <w:color w:val="auto"/>
          <w:sz w:val="24"/>
        </w:rPr>
        <w:t>；</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2.1.5本项目的特定资格要求</w:t>
      </w:r>
      <w:r>
        <w:rPr>
          <w:rFonts w:hint="eastAsia" w:ascii="仿宋" w:hAnsi="仿宋" w:eastAsia="仿宋" w:cs="仿宋"/>
          <w:color w:val="auto"/>
          <w:sz w:val="24"/>
          <w:highlight w:val="none"/>
          <w:lang w:eastAsia="zh-CN"/>
        </w:rPr>
        <w:t>（如果有)</w:t>
      </w:r>
      <w:r>
        <w:rPr>
          <w:rFonts w:hint="eastAsia" w:ascii="仿宋_GB2312" w:hAnsi="仿宋" w:eastAsia="仿宋_GB2312" w:cs="仿宋"/>
          <w:color w:val="auto"/>
          <w:sz w:val="24"/>
        </w:rPr>
        <w:t>。</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2.</w:t>
      </w:r>
      <w:r>
        <w:rPr>
          <w:rFonts w:hint="eastAsia" w:ascii="仿宋_GB2312" w:hAnsi="仿宋" w:eastAsia="仿宋_GB2312" w:cs="仿宋"/>
          <w:b/>
          <w:color w:val="auto"/>
          <w:sz w:val="24"/>
        </w:rPr>
        <w:t>2商务技术</w:t>
      </w:r>
      <w:r>
        <w:rPr>
          <w:rFonts w:hint="eastAsia" w:ascii="仿宋_GB2312" w:hAnsi="仿宋" w:eastAsia="仿宋_GB2312" w:cs="仿宋"/>
          <w:b/>
          <w:color w:val="auto"/>
          <w:sz w:val="24"/>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 xml:space="preserve">2.3报价文件： </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2.3.1开标一览表（报价表）；</w:t>
      </w:r>
    </w:p>
    <w:p>
      <w:pPr>
        <w:snapToGrid w:val="0"/>
        <w:spacing w:line="440" w:lineRule="exact"/>
        <w:ind w:firstLine="720" w:firstLineChars="300"/>
        <w:rPr>
          <w:rFonts w:hint="eastAsia" w:ascii="仿宋_GB2312" w:hAnsi="仿宋" w:eastAsia="仿宋_GB2312" w:cs="仿宋"/>
          <w:color w:val="auto"/>
          <w:sz w:val="24"/>
          <w:lang w:eastAsia="zh-CN"/>
        </w:rPr>
      </w:pPr>
      <w:r>
        <w:rPr>
          <w:rFonts w:hint="eastAsia" w:ascii="仿宋_GB2312" w:hAnsi="仿宋" w:eastAsia="仿宋_GB2312" w:cs="仿宋"/>
          <w:color w:val="auto"/>
          <w:sz w:val="24"/>
        </w:rPr>
        <w:t>2.3.2中小企业声明函（如果有）</w:t>
      </w:r>
      <w:r>
        <w:rPr>
          <w:rFonts w:hint="eastAsia" w:ascii="仿宋_GB2312" w:hAnsi="仿宋" w:eastAsia="仿宋_GB2312" w:cs="仿宋"/>
          <w:color w:val="auto"/>
          <w:sz w:val="24"/>
          <w:lang w:eastAsia="zh-CN"/>
        </w:rPr>
        <w:t>；</w:t>
      </w:r>
    </w:p>
    <w:p>
      <w:pPr>
        <w:snapToGrid w:val="0"/>
        <w:spacing w:line="440" w:lineRule="exact"/>
        <w:ind w:firstLine="720" w:firstLineChars="300"/>
        <w:rPr>
          <w:rFonts w:hint="eastAsia" w:ascii="仿宋_GB2312" w:hAnsi="仿宋" w:eastAsia="仿宋_GB2312" w:cs="仿宋"/>
          <w:color w:val="auto"/>
          <w:sz w:val="24"/>
          <w:lang w:eastAsia="zh-CN"/>
        </w:rPr>
      </w:pPr>
      <w:r>
        <w:rPr>
          <w:rFonts w:hint="eastAsia" w:ascii="仿宋_GB2312" w:hAnsi="仿宋" w:eastAsia="仿宋_GB2312" w:cs="仿宋"/>
          <w:snapToGrid w:val="0"/>
          <w:color w:val="auto"/>
          <w:sz w:val="24"/>
        </w:rPr>
        <w:t xml:space="preserve">2.3.3 </w:t>
      </w:r>
      <w:r>
        <w:rPr>
          <w:rFonts w:hint="eastAsia" w:ascii="仿宋_GB2312" w:hAnsi="宋体" w:eastAsia="仿宋_GB2312" w:cs="仿宋_GB2312"/>
          <w:snapToGrid w:val="0"/>
          <w:color w:val="auto"/>
          <w:sz w:val="24"/>
        </w:rPr>
        <w:t>残疾人福利性单位声明函（如果有）</w:t>
      </w:r>
      <w:r>
        <w:rPr>
          <w:rFonts w:hint="eastAsia" w:ascii="仿宋_GB2312" w:hAnsi="宋体" w:eastAsia="仿宋_GB2312" w:cs="仿宋_GB2312"/>
          <w:snapToGrid w:val="0"/>
          <w:color w:val="auto"/>
          <w:sz w:val="24"/>
          <w:lang w:eastAsia="zh-CN"/>
        </w:rPr>
        <w:t>。</w:t>
      </w:r>
    </w:p>
    <w:p>
      <w:pPr>
        <w:snapToGrid w:val="0"/>
        <w:spacing w:line="440" w:lineRule="exact"/>
        <w:rPr>
          <w:rFonts w:ascii="仿宋_GB2312" w:hAnsi="仿宋" w:eastAsia="仿宋_GB2312" w:cs="仿宋"/>
          <w:b/>
          <w:bCs/>
          <w:color w:val="auto"/>
          <w:sz w:val="32"/>
        </w:rPr>
      </w:pPr>
      <w:r>
        <w:rPr>
          <w:rFonts w:hint="eastAsia" w:ascii="仿宋_GB2312" w:hAnsi="仿宋" w:eastAsia="仿宋_GB2312" w:cs="仿宋"/>
          <w:b/>
          <w:bCs/>
          <w:color w:val="auto"/>
          <w:sz w:val="24"/>
          <w:szCs w:val="20"/>
        </w:rPr>
        <w:t>3.投标报价</w:t>
      </w:r>
    </w:p>
    <w:p>
      <w:pPr>
        <w:snapToGrid w:val="0"/>
        <w:spacing w:line="440" w:lineRule="exact"/>
        <w:ind w:firstLine="720" w:firstLineChars="300"/>
        <w:rPr>
          <w:rFonts w:hint="eastAsia" w:ascii="仿宋_GB2312" w:hAnsi="仿宋" w:eastAsia="仿宋_GB2312" w:cs="仿宋"/>
          <w:color w:val="auto"/>
          <w:sz w:val="24"/>
          <w:lang w:val="en-US"/>
        </w:rPr>
      </w:pPr>
      <w:r>
        <w:rPr>
          <w:rFonts w:hint="eastAsia" w:ascii="仿宋_GB2312" w:hAnsi="仿宋" w:eastAsia="仿宋_GB2312" w:cs="仿宋"/>
          <w:color w:val="auto"/>
          <w:sz w:val="24"/>
          <w:lang w:val="en-US"/>
        </w:rPr>
        <w:t>3.1供应商应按招标文件中《开标一览表》等附表要求填写。</w:t>
      </w:r>
    </w:p>
    <w:p>
      <w:pPr>
        <w:snapToGrid w:val="0"/>
        <w:spacing w:line="440" w:lineRule="exact"/>
        <w:ind w:firstLine="720" w:firstLineChars="300"/>
        <w:rPr>
          <w:rFonts w:hint="eastAsia" w:ascii="仿宋_GB2312" w:hAnsi="仿宋" w:eastAsia="仿宋_GB2312" w:cs="仿宋"/>
          <w:color w:val="auto"/>
          <w:sz w:val="24"/>
          <w:lang w:val="en-US"/>
        </w:rPr>
      </w:pPr>
      <w:r>
        <w:rPr>
          <w:rFonts w:hint="eastAsia" w:ascii="仿宋_GB2312" w:hAnsi="仿宋" w:eastAsia="仿宋_GB2312" w:cs="仿宋"/>
          <w:color w:val="auto"/>
          <w:sz w:val="24"/>
          <w:lang w:val="en-US"/>
        </w:rPr>
        <w:t>3.2报价为采购人可以合格使用产品的价格，包括货款、包装、运输、保险、货到就位以及安装、调试、培训、保修及产品知识产权等一切费用。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_GB2312" w:hAnsi="仿宋" w:eastAsia="仿宋_GB2312" w:cs="仿宋"/>
          <w:color w:val="auto"/>
          <w:sz w:val="24"/>
          <w:lang w:val="en-US"/>
        </w:rPr>
      </w:pPr>
      <w:r>
        <w:rPr>
          <w:rFonts w:hint="eastAsia" w:ascii="仿宋_GB2312" w:hAnsi="仿宋" w:eastAsia="仿宋_GB2312" w:cs="仿宋"/>
          <w:color w:val="auto"/>
          <w:sz w:val="24"/>
          <w:lang w:val="en-US"/>
        </w:rPr>
        <w:t>3.3招标文件未列明，而供应商认为必需的费用也需列入报价。</w:t>
      </w:r>
    </w:p>
    <w:p>
      <w:pPr>
        <w:snapToGrid w:val="0"/>
        <w:spacing w:line="440" w:lineRule="exact"/>
        <w:ind w:firstLine="723" w:firstLineChars="300"/>
        <w:rPr>
          <w:rFonts w:hint="eastAsia" w:ascii="仿宋_GB2312" w:hAnsi="仿宋" w:eastAsia="仿宋_GB2312" w:cs="仿宋"/>
          <w:color w:val="auto"/>
          <w:sz w:val="24"/>
        </w:rPr>
      </w:pPr>
      <w:r>
        <w:rPr>
          <w:rFonts w:hint="eastAsia" w:ascii="仿宋_GB2312" w:hAnsi="仿宋" w:eastAsia="仿宋_GB2312" w:cs="仿宋"/>
          <w:b/>
          <w:bCs/>
          <w:color w:val="auto"/>
          <w:sz w:val="24"/>
          <w:lang w:val="en-US"/>
        </w:rPr>
        <w:t>3.4投标报价只允许有一个报价，有选择的报价将不予接受（除指定外）。</w:t>
      </w:r>
    </w:p>
    <w:p>
      <w:pPr>
        <w:pStyle w:val="182"/>
        <w:snapToGrid w:val="0"/>
        <w:spacing w:before="0" w:line="440" w:lineRule="exact"/>
        <w:ind w:firstLine="0" w:firstLineChars="0"/>
        <w:outlineLvl w:val="0"/>
        <w:rPr>
          <w:rFonts w:ascii="仿宋_GB2312" w:hAnsi="仿宋" w:eastAsia="仿宋_GB2312" w:cs="仿宋"/>
          <w:b/>
          <w:color w:val="auto"/>
          <w:szCs w:val="24"/>
        </w:rPr>
      </w:pPr>
      <w:r>
        <w:rPr>
          <w:rFonts w:hint="eastAsia" w:ascii="仿宋_GB2312" w:hAnsi="仿宋" w:eastAsia="仿宋_GB2312" w:cs="仿宋"/>
          <w:b/>
          <w:color w:val="auto"/>
          <w:kern w:val="0"/>
          <w:szCs w:val="24"/>
        </w:rPr>
        <w:t>4.</w:t>
      </w:r>
      <w:r>
        <w:rPr>
          <w:rFonts w:hint="eastAsia" w:ascii="仿宋_GB2312" w:hAnsi="仿宋" w:eastAsia="仿宋_GB2312" w:cs="仿宋"/>
          <w:b/>
          <w:color w:val="auto"/>
          <w:szCs w:val="24"/>
        </w:rPr>
        <w:t>投标文件的编制和</w:t>
      </w:r>
      <w:r>
        <w:rPr>
          <w:rFonts w:hint="eastAsia" w:ascii="仿宋_GB2312" w:hAnsi="仿宋" w:eastAsia="仿宋_GB2312" w:cs="仿宋"/>
          <w:b/>
          <w:color w:val="auto"/>
        </w:rPr>
        <w:t>签署</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4.4</w:t>
      </w:r>
      <w:r>
        <w:rPr>
          <w:rFonts w:hint="eastAsia" w:ascii="仿宋_GB2312" w:hAnsi="仿宋" w:eastAsia="仿宋_GB2312"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4.5</w:t>
      </w:r>
      <w:r>
        <w:rPr>
          <w:rFonts w:hint="eastAsia" w:ascii="仿宋_GB2312" w:hAnsi="仿宋" w:eastAsia="仿宋_GB2312"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4.6</w:t>
      </w:r>
      <w:r>
        <w:rPr>
          <w:rFonts w:hint="eastAsia" w:ascii="仿宋_GB2312" w:hAnsi="仿宋" w:eastAsia="仿宋_GB2312" w:cs="仿宋"/>
          <w:color w:val="auto"/>
          <w:sz w:val="24"/>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color w:val="auto"/>
          <w:szCs w:val="24"/>
        </w:rPr>
      </w:pPr>
      <w:r>
        <w:rPr>
          <w:rFonts w:hint="eastAsia" w:ascii="仿宋_GB2312" w:hAnsi="仿宋" w:eastAsia="仿宋_GB2312" w:cs="仿宋"/>
          <w:b/>
          <w:color w:val="auto"/>
          <w:szCs w:val="24"/>
        </w:rPr>
        <w:t>5.投标文件的提交、补充、修改、撤回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rPr>
      </w:pPr>
      <w:r>
        <w:rPr>
          <w:rFonts w:hint="eastAsia" w:ascii="仿宋_GB2312" w:hAnsi="仿宋" w:eastAsia="仿宋_GB2312" w:cs="仿宋"/>
          <w:b/>
          <w:bCs/>
          <w:color w:val="auto"/>
          <w:sz w:val="24"/>
        </w:rPr>
        <w:t>6.投标有效期</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6.2投标文件合格投递后，自投标截止日期起，在投标有效期内有效。</w:t>
      </w:r>
    </w:p>
    <w:p>
      <w:pPr>
        <w:pStyle w:val="182"/>
        <w:ind w:firstLine="480"/>
        <w:rPr>
          <w:rFonts w:ascii="仿宋_GB2312" w:hAnsi="仿宋" w:eastAsia="仿宋_GB2312" w:cs="仿宋"/>
          <w:b/>
          <w:color w:val="auto"/>
          <w:sz w:val="32"/>
        </w:rPr>
      </w:pPr>
      <w:r>
        <w:rPr>
          <w:rFonts w:hint="eastAsia" w:ascii="仿宋_GB2312" w:hAnsi="仿宋" w:eastAsia="仿宋_GB2312"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四、开标和评标</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w:t>
      </w:r>
      <w:r>
        <w:rPr>
          <w:rFonts w:hint="eastAsia" w:ascii="仿宋_GB2312" w:hAnsi="仿宋" w:eastAsia="仿宋_GB2312" w:cs="仿宋"/>
          <w:b/>
          <w:color w:val="auto"/>
          <w:sz w:val="24"/>
          <w:lang w:val="en-US" w:eastAsia="zh-CN"/>
        </w:rPr>
        <w:t>.</w:t>
      </w:r>
      <w:r>
        <w:rPr>
          <w:rFonts w:hint="eastAsia" w:ascii="仿宋_GB2312" w:hAnsi="仿宋" w:eastAsia="仿宋_GB2312" w:cs="仿宋"/>
          <w:b/>
          <w:color w:val="auto"/>
          <w:sz w:val="24"/>
        </w:rPr>
        <w:t>电子招投标开标及评审程序</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1.7主持人公布评标结果。</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w:t>
      </w:r>
      <w:r>
        <w:rPr>
          <w:rFonts w:hint="eastAsia" w:ascii="仿宋_GB2312" w:hAnsi="仿宋" w:eastAsia="仿宋_GB2312" w:cs="仿宋"/>
          <w:b/>
          <w:color w:val="auto"/>
          <w:sz w:val="24"/>
          <w:lang w:val="en-US" w:eastAsia="zh-CN"/>
        </w:rPr>
        <w:t>.</w:t>
      </w:r>
      <w:r>
        <w:rPr>
          <w:rFonts w:hint="eastAsia" w:ascii="仿宋_GB2312" w:hAnsi="仿宋" w:eastAsia="仿宋_GB2312" w:cs="仿宋"/>
          <w:b/>
          <w:color w:val="auto"/>
          <w:sz w:val="24"/>
        </w:rPr>
        <w:t>评标</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3.7评标委员会不向落标方解释落标的原因。</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w:t>
      </w:r>
      <w:r>
        <w:rPr>
          <w:rFonts w:hint="eastAsia" w:ascii="仿宋_GB2312" w:hAnsi="仿宋" w:eastAsia="仿宋_GB2312" w:cs="仿宋"/>
          <w:b/>
          <w:color w:val="auto"/>
          <w:sz w:val="24"/>
          <w:lang w:val="en-US" w:eastAsia="zh-CN"/>
        </w:rPr>
        <w:t>.</w:t>
      </w:r>
      <w:r>
        <w:rPr>
          <w:rFonts w:hint="eastAsia" w:ascii="仿宋_GB2312" w:hAnsi="仿宋" w:eastAsia="仿宋_GB2312" w:cs="仿宋"/>
          <w:b/>
          <w:color w:val="auto"/>
          <w:sz w:val="24"/>
        </w:rPr>
        <w:t>投标文件的初审鉴定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4.1资格性审查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4.2符合性审查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kern w:val="0"/>
          <w:sz w:val="24"/>
        </w:rPr>
        <w:t>5</w:t>
      </w:r>
      <w:r>
        <w:rPr>
          <w:rFonts w:hint="eastAsia" w:ascii="仿宋_GB2312" w:hAnsi="仿宋" w:eastAsia="仿宋_GB2312" w:cs="仿宋"/>
          <w:b/>
          <w:color w:val="auto"/>
          <w:kern w:val="0"/>
          <w:sz w:val="24"/>
          <w:lang w:val="en-US" w:eastAsia="zh-CN"/>
        </w:rPr>
        <w:t>.</w:t>
      </w:r>
      <w:r>
        <w:rPr>
          <w:rFonts w:hint="eastAsia" w:ascii="仿宋_GB2312" w:hAnsi="仿宋" w:eastAsia="仿宋_GB2312" w:cs="仿宋"/>
          <w:b/>
          <w:color w:val="auto"/>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6.投标文件的评审、比较和否决</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rPr>
      </w:pPr>
      <w:r>
        <w:rPr>
          <w:rFonts w:hint="eastAsia" w:ascii="仿宋_GB2312" w:hAnsi="仿宋" w:eastAsia="仿宋_GB2312" w:cs="仿宋"/>
          <w:b/>
          <w:color w:val="auto"/>
        </w:rPr>
        <w:t>7.投标文件的澄清</w:t>
      </w:r>
    </w:p>
    <w:p>
      <w:pPr>
        <w:pStyle w:val="15"/>
        <w:spacing w:after="120" w:line="440" w:lineRule="exact"/>
        <w:ind w:left="0" w:firstLine="480" w:firstLineChars="200"/>
        <w:rPr>
          <w:rFonts w:hint="eastAsia" w:ascii="仿宋_GB2312" w:hAnsi="仿宋" w:eastAsia="仿宋_GB2312" w:cs="仿宋"/>
          <w:color w:val="auto"/>
          <w:szCs w:val="24"/>
        </w:rPr>
      </w:pPr>
      <w:r>
        <w:rPr>
          <w:rFonts w:hint="eastAsia" w:ascii="仿宋_GB2312" w:hAnsi="仿宋" w:eastAsia="仿宋_GB2312"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pacing w:after="120" w:line="440" w:lineRule="exact"/>
        <w:ind w:left="0"/>
        <w:rPr>
          <w:rFonts w:hint="eastAsia" w:ascii="仿宋_GB2312" w:hAnsi="仿宋" w:eastAsia="仿宋_GB2312" w:cs="仿宋"/>
          <w:b/>
          <w:color w:val="auto"/>
        </w:rPr>
      </w:pPr>
      <w:r>
        <w:rPr>
          <w:rFonts w:hint="eastAsia" w:ascii="仿宋_GB2312" w:hAnsi="仿宋" w:eastAsia="仿宋_GB2312" w:cs="仿宋"/>
          <w:b/>
          <w:color w:val="auto"/>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8.20.5其他弄虚作假的行为。</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rPr>
      </w:pPr>
      <w:r>
        <w:rPr>
          <w:rFonts w:hint="eastAsia" w:ascii="仿宋_GB2312" w:hAnsi="仿宋" w:eastAsia="仿宋_GB2312" w:cs="仿宋"/>
          <w:b/>
          <w:color w:val="auto"/>
          <w:sz w:val="24"/>
        </w:rPr>
        <w:t>8.25其他违反法律、法规的情形。</w:t>
      </w:r>
    </w:p>
    <w:p>
      <w:pPr>
        <w:snapToGrid w:val="0"/>
        <w:spacing w:line="440" w:lineRule="exact"/>
        <w:rPr>
          <w:rFonts w:ascii="仿宋_GB2312" w:hAnsi="仿宋" w:eastAsia="仿宋_GB2312" w:cs="仿宋"/>
          <w:b/>
          <w:color w:val="auto"/>
          <w:kern w:val="0"/>
          <w:sz w:val="24"/>
        </w:rPr>
      </w:pPr>
      <w:r>
        <w:rPr>
          <w:rFonts w:hint="eastAsia" w:ascii="仿宋_GB2312" w:hAnsi="仿宋" w:eastAsia="仿宋_GB2312" w:cs="仿宋"/>
          <w:b/>
          <w:color w:val="auto"/>
          <w:kern w:val="0"/>
          <w:sz w:val="24"/>
        </w:rPr>
        <w:t>9.评标过程保密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9.1</w:t>
      </w:r>
      <w:r>
        <w:rPr>
          <w:rFonts w:hint="eastAsia" w:ascii="仿宋_GB2312" w:hAnsi="仿宋" w:eastAsia="仿宋_GB2312"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9.2 在评标期间，投标人企图影响招标人或</w:t>
      </w:r>
      <w:r>
        <w:rPr>
          <w:rFonts w:hint="eastAsia" w:ascii="仿宋_GB2312" w:hAnsi="仿宋" w:eastAsia="仿宋_GB2312" w:cs="仿宋"/>
          <w:color w:val="auto"/>
          <w:sz w:val="24"/>
        </w:rPr>
        <w:t>评标委员会</w:t>
      </w:r>
      <w:r>
        <w:rPr>
          <w:rFonts w:hint="eastAsia" w:ascii="仿宋_GB2312" w:hAnsi="仿宋" w:eastAsia="仿宋_GB2312" w:cs="仿宋"/>
          <w:color w:val="auto"/>
          <w:kern w:val="0"/>
          <w:sz w:val="24"/>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rPr>
      </w:pPr>
    </w:p>
    <w:p>
      <w:pPr>
        <w:pStyle w:val="33"/>
        <w:adjustRightInd w:val="0"/>
        <w:spacing w:line="360" w:lineRule="auto"/>
        <w:ind w:firstLine="726"/>
        <w:jc w:val="center"/>
        <w:rPr>
          <w:rFonts w:ascii="仿宋_GB2312" w:hAnsi="仿宋" w:eastAsia="仿宋_GB2312" w:cs="仿宋"/>
          <w:b/>
          <w:snapToGrid w:val="0"/>
          <w:color w:val="auto"/>
          <w:sz w:val="32"/>
          <w:szCs w:val="32"/>
        </w:rPr>
      </w:pPr>
      <w:r>
        <w:rPr>
          <w:rFonts w:hint="eastAsia" w:ascii="仿宋_GB2312" w:hAnsi="仿宋" w:eastAsia="仿宋_GB2312" w:cs="仿宋"/>
          <w:b/>
          <w:snapToGrid w:val="0"/>
          <w:color w:val="auto"/>
          <w:sz w:val="32"/>
          <w:szCs w:val="32"/>
        </w:rPr>
        <w:t>五、授予合同</w:t>
      </w:r>
    </w:p>
    <w:bookmarkEnd w:id="13"/>
    <w:bookmarkEnd w:id="14"/>
    <w:bookmarkEnd w:id="15"/>
    <w:p>
      <w:pPr>
        <w:pStyle w:val="15"/>
        <w:spacing w:after="120" w:line="440" w:lineRule="exact"/>
        <w:rPr>
          <w:rFonts w:ascii="仿宋_GB2312" w:hAnsi="仿宋" w:eastAsia="仿宋_GB2312" w:cs="仿宋"/>
          <w:b/>
          <w:color w:val="auto"/>
          <w:szCs w:val="24"/>
        </w:rPr>
      </w:pPr>
      <w:r>
        <w:rPr>
          <w:rFonts w:hint="eastAsia" w:ascii="仿宋_GB2312" w:hAnsi="仿宋" w:eastAsia="仿宋_GB2312" w:cs="仿宋"/>
          <w:b/>
          <w:color w:val="auto"/>
          <w:szCs w:val="24"/>
        </w:rPr>
        <w:t>1.中标条件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1.1投标文件基本符合招标文件要求；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1.2投标人有很好的执行合同的能力；</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1.5招标人将把中标通知书授予最佳投标者，但最低价不是中标的绝对保证。</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2.中标确认</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2.3采购人应在确认中标人前再次对资格条件和相关证件材料进一步查验核实。</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w:t>
      </w:r>
      <w:r>
        <w:rPr>
          <w:rFonts w:hint="eastAsia" w:ascii="仿宋_GB2312" w:hAnsi="仿宋" w:eastAsia="仿宋_GB2312" w:cs="仿宋"/>
          <w:b/>
          <w:color w:val="auto"/>
          <w:sz w:val="24"/>
          <w:lang w:val="en-US" w:eastAsia="zh-CN"/>
        </w:rPr>
        <w:t>.</w:t>
      </w:r>
      <w:r>
        <w:rPr>
          <w:rFonts w:hint="eastAsia" w:ascii="仿宋_GB2312" w:hAnsi="仿宋" w:eastAsia="仿宋_GB2312" w:cs="仿宋"/>
          <w:b/>
          <w:color w:val="auto"/>
          <w:sz w:val="24"/>
        </w:rPr>
        <w:t>中标通知</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_GB2312" w:hAnsi="仿宋" w:eastAsia="仿宋_GB2312" w:cs="仿宋"/>
          <w:color w:val="auto"/>
          <w:sz w:val="24"/>
        </w:rPr>
        <w:t>http://zfcg.czt.zj.gov.cn/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_GB2312" w:hAnsi="仿宋" w:eastAsia="仿宋_GB2312" w:cs="仿宋"/>
          <w:color w:val="auto"/>
          <w:sz w:val="24"/>
        </w:rPr>
        <w:t>http://ggb.sx.gov.cn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）发布中标公告，中标公告期限为1个工作日。</w:t>
      </w:r>
    </w:p>
    <w:p>
      <w:pPr>
        <w:snapToGrid w:val="0"/>
        <w:spacing w:line="440" w:lineRule="exact"/>
        <w:ind w:firstLine="480" w:firstLineChars="200"/>
        <w:rPr>
          <w:rFonts w:ascii="仿宋_GB2312" w:hAnsi="仿宋" w:eastAsia="仿宋_GB2312" w:cs="仿宋"/>
          <w:color w:val="auto"/>
          <w:sz w:val="24"/>
          <w:lang w:val="zh-CN"/>
        </w:rPr>
      </w:pPr>
      <w:r>
        <w:rPr>
          <w:rFonts w:hint="eastAsia" w:ascii="仿宋_GB2312" w:hAnsi="仿宋" w:eastAsia="仿宋_GB2312"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lang w:val="zh-CN"/>
        </w:rPr>
        <w:t>。</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3.3采购代理机构对中标结果不作任何说明和解释，也不回答任何提问。</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w:t>
      </w:r>
      <w:r>
        <w:rPr>
          <w:rFonts w:hint="eastAsia" w:ascii="仿宋_GB2312" w:hAnsi="仿宋" w:eastAsia="仿宋_GB2312" w:cs="仿宋"/>
          <w:b/>
          <w:color w:val="auto"/>
          <w:sz w:val="24"/>
          <w:lang w:val="en-US" w:eastAsia="zh-CN"/>
        </w:rPr>
        <w:t>.</w:t>
      </w:r>
      <w:r>
        <w:rPr>
          <w:rFonts w:hint="eastAsia" w:ascii="仿宋_GB2312" w:hAnsi="仿宋" w:eastAsia="仿宋_GB2312" w:cs="仿宋"/>
          <w:b/>
          <w:color w:val="auto"/>
          <w:sz w:val="24"/>
        </w:rPr>
        <w:t>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4.4政府采购货物和服务项目不得收取质量保证金。</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w:t>
      </w:r>
      <w:r>
        <w:rPr>
          <w:rFonts w:hint="eastAsia" w:ascii="仿宋_GB2312" w:hAnsi="仿宋" w:eastAsia="仿宋_GB2312" w:cs="仿宋"/>
          <w:b/>
          <w:color w:val="auto"/>
          <w:sz w:val="24"/>
          <w:lang w:val="en-US" w:eastAsia="zh-CN"/>
        </w:rPr>
        <w:t>.</w:t>
      </w:r>
      <w:r>
        <w:rPr>
          <w:rFonts w:hint="eastAsia" w:ascii="仿宋_GB2312" w:hAnsi="仿宋" w:eastAsia="仿宋_GB2312" w:cs="仿宋"/>
          <w:b/>
          <w:color w:val="auto"/>
          <w:sz w:val="24"/>
        </w:rPr>
        <w:t>合同签订及备案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5.1中标人应当在中标通知书发出之日起30天内与采购人签订合同，自采购合同签订之日起</w:t>
      </w:r>
      <w:r>
        <w:rPr>
          <w:rFonts w:hint="eastAsia" w:ascii="仿宋_GB2312" w:hAnsi="仿宋" w:eastAsia="仿宋_GB2312" w:cs="仿宋"/>
          <w:b/>
          <w:bCs/>
          <w:color w:val="auto"/>
          <w:sz w:val="24"/>
        </w:rPr>
        <w:t>3个工作日内</w:t>
      </w:r>
      <w:r>
        <w:rPr>
          <w:rFonts w:hint="eastAsia" w:ascii="仿宋_GB2312" w:hAnsi="仿宋" w:eastAsia="仿宋_GB2312" w:cs="仿宋"/>
          <w:color w:val="auto"/>
          <w:sz w:val="24"/>
        </w:rPr>
        <w:t>，通过电子交易平台进行备案。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6.验收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7.售后服务考核</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rPr>
      </w:pPr>
    </w:p>
    <w:p>
      <w:pPr>
        <w:spacing w:line="336"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六、</w:t>
      </w:r>
      <w:r>
        <w:rPr>
          <w:rFonts w:hint="eastAsia" w:ascii="仿宋_GB2312" w:hAnsi="仿宋" w:eastAsia="仿宋_GB2312" w:cs="仿宋"/>
          <w:b/>
          <w:bCs/>
          <w:color w:val="auto"/>
          <w:sz w:val="32"/>
          <w:szCs w:val="20"/>
        </w:rPr>
        <w:t>询问、质疑与投诉</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1.在线询问、质疑、投诉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2.供应商询问</w:t>
      </w:r>
    </w:p>
    <w:p>
      <w:pPr>
        <w:autoSpaceDE w:val="0"/>
        <w:autoSpaceDN w:val="0"/>
        <w:spacing w:line="336" w:lineRule="auto"/>
        <w:ind w:firstLine="480" w:firstLineChars="200"/>
        <w:jc w:val="left"/>
        <w:rPr>
          <w:rFonts w:ascii="仿宋_GB2312" w:hAnsi="仿宋" w:eastAsia="仿宋_GB2312" w:cs="仿宋"/>
          <w:b/>
          <w:color w:val="auto"/>
          <w:sz w:val="32"/>
          <w:szCs w:val="32"/>
        </w:rPr>
      </w:pPr>
      <w:r>
        <w:rPr>
          <w:rFonts w:hint="eastAsia" w:ascii="仿宋_GB2312" w:hAnsi="仿宋" w:eastAsia="仿宋_GB2312"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3</w:t>
      </w:r>
      <w:r>
        <w:rPr>
          <w:rFonts w:hint="eastAsia" w:ascii="仿宋_GB2312" w:hAnsi="仿宋" w:eastAsia="仿宋_GB2312" w:cs="仿宋"/>
          <w:b/>
          <w:bCs/>
          <w:color w:val="auto"/>
          <w:sz w:val="24"/>
          <w:lang w:val="en-US" w:eastAsia="zh-CN"/>
        </w:rPr>
        <w:t>.</w:t>
      </w:r>
      <w:r>
        <w:rPr>
          <w:rFonts w:hint="eastAsia" w:ascii="仿宋_GB2312" w:hAnsi="仿宋" w:eastAsia="仿宋_GB2312" w:cs="仿宋"/>
          <w:b/>
          <w:bCs/>
          <w:color w:val="auto"/>
          <w:sz w:val="24"/>
        </w:rPr>
        <w:t>供应商质疑</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sz w:val="24"/>
          <w:szCs w:val="20"/>
        </w:rPr>
        <w:t>.1质疑提出时效</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kern w:val="0"/>
          <w:sz w:val="24"/>
          <w:szCs w:val="20"/>
          <w:lang w:val="zh-CN"/>
        </w:rPr>
        <w:t>3</w:t>
      </w:r>
      <w:r>
        <w:rPr>
          <w:rFonts w:hint="eastAsia" w:ascii="仿宋_GB2312" w:hAnsi="仿宋" w:eastAsia="仿宋_GB2312"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rPr>
      </w:pPr>
      <w:r>
        <w:rPr>
          <w:rFonts w:hint="eastAsia" w:ascii="仿宋_GB2312" w:hAnsi="仿宋" w:eastAsia="仿宋_GB2312"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kern w:val="0"/>
          <w:sz w:val="24"/>
          <w:szCs w:val="20"/>
        </w:rPr>
        <w:t>2</w:t>
      </w:r>
      <w:r>
        <w:rPr>
          <w:rFonts w:hint="eastAsia" w:ascii="仿宋_GB2312" w:hAnsi="仿宋" w:eastAsia="仿宋_GB2312" w:cs="仿宋"/>
          <w:b/>
          <w:bCs/>
          <w:color w:val="auto"/>
          <w:kern w:val="0"/>
          <w:sz w:val="24"/>
          <w:szCs w:val="20"/>
          <w:lang w:val="zh-CN"/>
        </w:rPr>
        <w:t>质疑函</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质疑项目的名称、编号；</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具体、明确的质疑事项和与质疑事项相关的请求；</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事实依据；</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必要的法律依据；</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提出质疑的日期。</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质疑函范本及制作说明详见附件1。</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4.供应商投诉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投诉书范本及制作说明详见附件2。</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adjustRightInd w:val="0"/>
        <w:spacing w:line="336" w:lineRule="auto"/>
        <w:jc w:val="both"/>
        <w:rPr>
          <w:rFonts w:hint="eastAsia" w:ascii="仿宋" w:hAnsi="仿宋" w:eastAsia="仿宋" w:cs="仿宋"/>
          <w:b/>
          <w:bCs/>
          <w:i w:val="0"/>
          <w:iCs w:val="0"/>
          <w:color w:val="auto"/>
          <w:kern w:val="2"/>
          <w:sz w:val="24"/>
          <w:szCs w:val="20"/>
          <w:highlight w:val="none"/>
          <w:vertAlign w:val="baseline"/>
          <w:lang w:val="en-US" w:eastAsia="zh-CN" w:bidi="ar-SA"/>
        </w:rPr>
      </w:pPr>
      <w:bookmarkStart w:id="16" w:name="_Toc151354173"/>
      <w:bookmarkStart w:id="17" w:name="_Toc80157775"/>
      <w:bookmarkStart w:id="18" w:name="_Toc81372787"/>
      <w:bookmarkStart w:id="19" w:name="_Toc84325981"/>
      <w:bookmarkStart w:id="20" w:name="_Toc81372964"/>
    </w:p>
    <w:p>
      <w:pPr>
        <w:adjustRightInd w:val="0"/>
        <w:spacing w:line="336" w:lineRule="auto"/>
        <w:jc w:val="both"/>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一、项目背景</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近年来，以习近平同志为核心的党中央高度重视基层治理，推动基层治理能力和水平不断提升。习近平总书记就加强基层治理作出了一系列重要论述：“基层强则国家强，基层安则天下安，必须抓好基层治理现代化这项基础性工作”；“要在加强基层基础工作、提高基层治理能力上下更大功夫”；“要加强和创新基层社会治理，坚持和完善新时代‘枫桥经验’，加强城乡社区建设，强化网格化管理和服务，完善社会矛盾纠纷多元预防调处化解综合机制，切实把矛盾化解在基层，维护好社会稳定”等等。深化“县乡一体、条抓块统”改革推进基层治理系统建设是全面推进习近平总书记关于基层治理重要论述在浙江生动实践的必然要求。</w:t>
      </w:r>
    </w:p>
    <w:p>
      <w:pPr>
        <w:spacing w:line="360" w:lineRule="auto"/>
        <w:ind w:firstLine="480" w:firstLineChars="200"/>
        <w:rPr>
          <w:rFonts w:ascii="宋体" w:hAnsi="宋体" w:eastAsia="宋体"/>
          <w:color w:val="auto"/>
        </w:rPr>
      </w:pPr>
      <w:r>
        <w:rPr>
          <w:rFonts w:hint="eastAsia" w:ascii="仿宋" w:hAnsi="仿宋" w:eastAsia="仿宋" w:cs="仿宋"/>
          <w:b w:val="0"/>
          <w:bCs w:val="0"/>
          <w:i w:val="0"/>
          <w:iCs w:val="0"/>
          <w:color w:val="auto"/>
          <w:kern w:val="2"/>
          <w:sz w:val="24"/>
          <w:szCs w:val="20"/>
          <w:highlight w:val="none"/>
          <w:vertAlign w:val="baseline"/>
          <w:lang w:val="en-US" w:eastAsia="zh-CN" w:bidi="ar-SA"/>
        </w:rPr>
        <w:t>全省数字化改革推进会上对基层智治系统提出了三个方面的具体要求：一要推动基层智治架构重塑，提升“141”体系实战水平；二要推动重大应用贯通落地；三要推进共同富裕现代化基本单元建设集成改革。按照 “遵循系统集成方法解决问题的一般规律，实现认识不断深化、体系不断完善、能力不断提升”的具体要求，需以数字化改革为牵引，以“推进持续迭代升级、深化综合集成应用、不断提升实战实效水平”的目标，纵深推进“县乡一体、条抓块统”改革，构建党建统领的基层治理体系。紧扣基层智治系统党建统领、经济生态、平安法治、公共服务4条跑道和重点任务，夯实基础，迭代升级，推动6大系统重点应用及事项向基层衔接贯通，并进一步做实基层网格，突出实战实效，建强基层治理最小作战单元。</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本项目将聚焦“党建统领、整体智治、高效协同、实战实效”建设原则，充分结合绍兴市基层治理业务实际，通过建设与迭代相结合的方式，整合“基层治理四平台”，搭建大整合高共享的治理平台，重塑基层治理工作体制机制，为绍兴市基层治理体系提供“县乡一体、条抓块统、综合集成、减负赋能”的整体智治支撑体系，全方位提升绍兴市基层治理能力水平，构建市、县、乡一体的整体智治高效联动的治理格局。</w:t>
      </w:r>
    </w:p>
    <w:p>
      <w:pPr>
        <w:adjustRightInd w:val="0"/>
        <w:spacing w:line="336" w:lineRule="auto"/>
        <w:jc w:val="both"/>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二、服务要求</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本期主要“162”重大应用贯通、迭代“141”体系应用支撑体系建设。</w:t>
      </w:r>
    </w:p>
    <w:p>
      <w:pPr>
        <w:spacing w:line="360" w:lineRule="auto"/>
        <w:rPr>
          <w:rFonts w:hint="eastAsia" w:ascii="仿宋" w:hAnsi="仿宋" w:eastAsia="仿宋" w:cs="仿宋"/>
          <w:b w:val="0"/>
          <w:bCs w:val="0"/>
          <w:i w:val="0"/>
          <w:iCs w:val="0"/>
          <w:color w:val="auto"/>
          <w:kern w:val="2"/>
          <w:sz w:val="24"/>
          <w:szCs w:val="20"/>
          <w:highlight w:val="none"/>
          <w:vertAlign w:val="baseline"/>
          <w:lang w:val="en-US" w:eastAsia="zh-CN" w:bidi="ar-SA"/>
        </w:rPr>
      </w:pPr>
      <w:bookmarkStart w:id="21" w:name="_Toc138683470"/>
      <w:bookmarkStart w:id="22" w:name="_Toc136444680"/>
      <w:bookmarkStart w:id="23" w:name="_Toc1059"/>
      <w:r>
        <w:rPr>
          <w:rFonts w:hint="eastAsia" w:ascii="仿宋" w:hAnsi="仿宋" w:eastAsia="仿宋" w:cs="仿宋"/>
          <w:b w:val="0"/>
          <w:bCs w:val="0"/>
          <w:i w:val="0"/>
          <w:iCs w:val="0"/>
          <w:color w:val="auto"/>
          <w:kern w:val="2"/>
          <w:sz w:val="24"/>
          <w:szCs w:val="20"/>
          <w:highlight w:val="none"/>
          <w:vertAlign w:val="baseline"/>
          <w:lang w:val="en-US" w:eastAsia="zh-CN" w:bidi="ar-SA"/>
        </w:rPr>
        <w:t>1、推进“162”重大应用贯通</w:t>
      </w:r>
      <w:bookmarkEnd w:id="21"/>
      <w:bookmarkEnd w:id="22"/>
      <w:bookmarkEnd w:id="23"/>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聚焦基层所需所能，以乡镇权责清单为依据，厘清分类分层贯通的工作界面我们坚持赋能和减负并举，按照“县以下非必要不贯通”的原则，按照“162”与“141”体系贯通的模式、方法和路径，推动试点重大应用功能按需下沉到县乡以下“一中心四平台一网格”，实现1612应用、平台、体制机制的整体贯通体系；把需贯通的应用分为3类，一是下发任务型的应用，集成到县级社会治理中心过滤分拨；二是上报事件型的应用，纳入基层智治综合应用进行流转处置；三是数据赋能型的应用，把相关的数据接入县乡两级平台用于研判分析；完成首批七张问题清单、浙江e行在线、防汛防台在线、浙里社区矫正等4个试点应用、15个功能点的全市落地推广；后续六大系统应用经编办审核后按需贯通。</w:t>
      </w:r>
    </w:p>
    <w:p>
      <w:pPr>
        <w:spacing w:line="360" w:lineRule="auto"/>
        <w:rPr>
          <w:rFonts w:hint="eastAsia" w:ascii="仿宋" w:hAnsi="仿宋" w:eastAsia="仿宋" w:cs="仿宋"/>
          <w:b w:val="0"/>
          <w:bCs w:val="0"/>
          <w:i w:val="0"/>
          <w:iCs w:val="0"/>
          <w:color w:val="auto"/>
          <w:kern w:val="2"/>
          <w:sz w:val="24"/>
          <w:szCs w:val="20"/>
          <w:highlight w:val="none"/>
          <w:vertAlign w:val="baseline"/>
          <w:lang w:val="en-US" w:eastAsia="zh-CN" w:bidi="ar-SA"/>
        </w:rPr>
      </w:pPr>
      <w:bookmarkStart w:id="24" w:name="_Toc10680"/>
      <w:bookmarkStart w:id="25" w:name="_Toc136444682"/>
      <w:bookmarkStart w:id="26" w:name="_Toc138683471"/>
      <w:r>
        <w:rPr>
          <w:rFonts w:hint="eastAsia" w:ascii="仿宋" w:hAnsi="仿宋" w:eastAsia="仿宋" w:cs="仿宋"/>
          <w:b w:val="0"/>
          <w:bCs w:val="0"/>
          <w:i w:val="0"/>
          <w:iCs w:val="0"/>
          <w:color w:val="auto"/>
          <w:kern w:val="2"/>
          <w:sz w:val="24"/>
          <w:szCs w:val="20"/>
          <w:highlight w:val="none"/>
          <w:vertAlign w:val="baseline"/>
          <w:lang w:val="en-US" w:eastAsia="zh-CN" w:bidi="ar-SA"/>
        </w:rPr>
        <w:t>2、迭代“141”体系</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在全省统一构架标准下，统筹开展“基层治理四平台”综合信息系统迭代升级，统一更名为：基层智治综合应用，打造五级(市、县、乡、村、网格)、三端(大屏端、PC端、移动端)系统界面，保障“141”体系内的所有人员均使用基层智治综合应用开展工作。工作界面按照“简约化界面、模块化集成、个性化定制”的思路 ，设置“党建统领 、经济生态、平安法治、公共服务”四条跑道，每条跑道再配置若干个业务模块，形成“不同用户有不同界面、不同分工有不同模块”的个性化工作界面，根据基层干部工作分工职责和实际需求，在PC端和“浙政钉”移动端配置或自选定制业务模块。</w:t>
      </w:r>
    </w:p>
    <w:p>
      <w:pPr>
        <w:spacing w:line="360" w:lineRule="auto"/>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3、建设应用支撑体系</w:t>
      </w:r>
      <w:bookmarkEnd w:id="24"/>
      <w:bookmarkEnd w:id="25"/>
      <w:bookmarkEnd w:id="26"/>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（一）业务智能要素建设</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依托绍兴市基层治理大脑和一体化智能化公共数据平台，开发业务应用类组件，提升基层智治综合应用基础应用支撑能力。业务智能组件开发包括基层治理事件智能识别、基层治理事件智能流转、风险计算模型，同时通过组件的形式申请上架基层治理大脑智能要素超市。</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（二）市级业务接口规范共享平台能力建设</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依照省网关建设标准，建设绍兴市业务接口规范共享平台，为本地应用提供接口转发能力。主要功能包括：规范协同事件、任务接入、数据接入等基层智治业务接口，通过线上提供接口的申请、审核，实现基层智治的共建共享。</w:t>
      </w:r>
    </w:p>
    <w:p>
      <w:pPr>
        <w:adjustRightInd w:val="0"/>
        <w:spacing w:line="336" w:lineRule="auto"/>
        <w:jc w:val="both"/>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三、服务清单</w:t>
      </w:r>
    </w:p>
    <w:tbl>
      <w:tblPr>
        <w:tblStyle w:val="63"/>
        <w:tblW w:w="10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397"/>
        <w:gridCol w:w="1329"/>
        <w:gridCol w:w="2425"/>
        <w:gridCol w:w="4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340" w:type="dxa"/>
            <w:gridSpan w:val="5"/>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软件服务清单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397"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一级模块</w:t>
            </w: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二级模块</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三级模块</w:t>
            </w:r>
          </w:p>
        </w:tc>
        <w:tc>
          <w:tcPr>
            <w:tcW w:w="4367"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340" w:type="dxa"/>
            <w:gridSpan w:val="5"/>
            <w:shd w:val="clear" w:color="000000"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一、“162”重大应用贯通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397"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用户体系打通</w:t>
            </w: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基层智治综合应用将依托浙政钉2.0用户体系，自动同步区域组织架构、人员信息，所有系统登录操作都遵循浙政钉的用户登录方式，保证系统用户认证规范、标准。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397"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网关对接</w:t>
            </w: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绍兴市级与省网关贯通平台对接</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基层治理综合应用系统依据《“162”体系与“141体系”贯通接口标准规范》、《“162”体系与“141体系”贯通界面集成标准规范》完成申请、开发、注册的工作后，绍兴市通过和统一省网关平台接口的联调、测试和上线，实现数据可上下贯通，业务可协同流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柯桥区级与绍兴市级网关贯通平台对接</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基层治理综合应用系统依据《“162”体系与“141体系”贯通接口标准规范》、《“162”体系与“141体系”贯通界面集成标准规范》完成申请、开发、注册的工作后，柯桥区通过系统接口与绍兴市平台实现联调、测试和上线运行，实现数据可上下贯通，业务可协同流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397"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工作界面及系统功能迭代</w:t>
            </w: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浙江e行在线</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电动自行车、蓄电池销售单位巡查</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电动自行车、蓄电池销售单位巡查以及新增销售主体信息、异常事件上报。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电动自行车、蓄电池维修单位巡查</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电动自行车、蓄电池维修单位巡查以及新增维修主体信息、异常事件上报。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电动自行车、蓄电池回收单位巡查</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电动自行车、蓄电池回收单位巡查以及新增回收主体信息、异常事件上报。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应急防台防汛</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基层防汛防台体系信息维护</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基层防汛防台责任人、风险点（区）、受影响人员、避灾场所、应急物资、救援队伍信息维护。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村级防汛防台形势图编制更新</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村级防汛防台形势图是图表化的村级防汛防台预案，每年汛前需根据实际情况在线标绘更新。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防汛防台风险隐患排查整治</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常态化开展地质灾害、小流域山洪、城市内涝、山塘水库堤防、道路运输、涉水在建工程等领域风险隐患排查整治，及时录入。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防汛防台基层责任人到岗履职</w:t>
            </w:r>
          </w:p>
        </w:tc>
        <w:tc>
          <w:tcPr>
            <w:tcW w:w="4367" w:type="dxa"/>
            <w:shd w:val="clear" w:color="auto" w:fill="auto"/>
            <w:vAlign w:val="center"/>
          </w:tcPr>
          <w:p>
            <w:pPr>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应急响应期间，基层防汛防台责任人反馈到岗履职情况</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防汛防台应急期间人员转移</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利用“浙江安全码”机制，通过上下对接、扫码确认和督促指导，实现人员转移精密智控</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灾情报送</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遭受自然灾害后，及时上报相关灾情数据（1停电2道路受损3通讯中断4房屋倒塌等）</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应急响应等级信息报送</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启动或调整乡级防汛防台抗旱应急响应等级，并及时上报</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镇街综合指挥</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与省应急数据源保持一致，一图统览应急相关资源、点位、调度力量、应急物资、城市控件等</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社区矫正</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人员走访下派、反馈</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通过浙江省社区矫正系统下发走访任务。网格员收到走访任务后根据任务巡查结果可以将结果反馈给浙江省社区矫正数据协同平台。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异常事件上报</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当网格员走访社区矫正对象且发现异常事件时，可将事件上报至基层智治台综合应用进行流转。由司法工作人员进行事件处理，并将受理结果、处理结果反馈给网格员，最后由网格员记录反馈结果。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七张问题清单</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问题整改</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接收整改任务，形成整改方案，反馈整改进展，申请办结销号</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问题发现上报</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对事件进行综合分析形成问题，进一步分析研判形成疑似重大问题或预警信息纳入县级蓄水池</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19</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基层公权力大数据监督应用</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劳务用工</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对村社劳务用工各环节开展实时监督，主要包含：用工事项提议、村务联席会议审议、务工需求发布、确定拟用务工人员、务工公示、确认实际务工情况、用工和支付结果公开等。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20</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村级工程</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对村级工程项目各环节开展实时监督，主要包含：工程立项、工程发包、合同签订、工程实施、工程变更、工程验收、工程结算、资金支付等。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村级采购</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对村级采购各环节开展实时监督，主要包含：计划采购信息公开、采购交易、签订合同、合同关键信息公开、采购结果公开、资金支付等。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困难救助</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村干部及其家属违规享受低边低保、村集体资金救助补助发放情况等开展实时监督，主要包含：救助政策告知公告、个人申请、村（居）委会主任审核、乡镇职能部门审核、救助补助人员名单公示、救助结果公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资产资源</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村集体资产资源处置各环节开展实时监督，主要包含：集体资产资源建档、集体资产资源信息公开、发布处置公告、村书记审核、县级（乡镇）资产交易中心相关负责人审批、招投标、签订合同、合同关键信息公开、资金入账、资产收入情况公开、收入信息归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用印服务</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对村社用印使用情况开展实时监督，主要包含：个人申请、审核员审核、村（社）党组织书记审批、抄送村两委和联村干部等。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监督一点通</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实时受理群众对村（社）各项权力清单和公示信息的在线投诉，实现群众问题反映一键通达、过程可追溯、结果可查询，主要包含：在线投诉、受理、转办、答复、督办、办结反馈、投诉查询、满意度评价、信息公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26</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红色根脉强基工程应用</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流动党员管理</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流出管理：1.进行流出登记/办理流出，2.编辑已登记流出党员，3.流回已登记流出党员，4.撤销已登记但未纳入流入地管理的流出党员，5.重新流出或终止“流出被退回的流出党员”，6.查看流出历史，7.查询流出党员的功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流入管理：1.查看流入党员信息，2.接收流入党员，3.将流入党员从基层党组织待管理库移入县级待管理库，4.将流入党员从县级待管理库分派至基层党组织待管理库，5.退回流入党员，6.流回流入党员，7.管理流入党员，8.查看流入历史，9.查询流入党员的功能</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27</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浙里“亩均论英雄”应用</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高耗低效企业整治</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1.治理对象：高耗低效企业。</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2.业务流程：确定整治对象。省“亩均论英雄”应用通过模型筛选下发疑似高耗低效企业清单，县（市、区）接收任务，在部门数据交换共享的基础上，初步补充完善清单后，分发给对应镇（街道）工办。对应镇（街道）工作人员根据高耗低效企业指导标准，实地核实、补充完善高耗低效企业名单、位置信息、责任部门，经县（市、区）审核后反馈给省“亩均论英雄”应用。开展整治工作。根据县（市、区）制定的“一企一策”整治方案，组织自然资源、生态环境、税务、市场监管、消防等部门，开展联合执法或帮扶指导工作。整治提升工作完成后，对照销号标准，报送销号情况及腾出用地、腾出用能等整治成效。</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3.交互触点：触点一是省经信厅（省“亩均论英雄”应用）下发疑似高耗低效企业清单，县（市、区）接收任务，初步补充完善清单后，任务交互到基层治理综合信息系统；触点二是镇（街道）工作人员摸排核实后，在基层治理综合信息系统确认、移除、补充高耗低效企业清单，信息反馈至省经信厅（省“亩均论英雄”应用）；触点三是整治提升工作完成后，报送销号情况及腾出用地、腾出用能等整治成效到省经信厅（省“亩均论英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28</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森林防灭火在线</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基层防火信息维护</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森林防火基础设施，水塘，隔离带等信息维护。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29</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火点热点核查</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火点热点检测数据核查信息上报。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30</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人大代表履职综合应用</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人大践行全过程人民民主基层单元</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1.基层单元把收到的人大代表、群众意见建议推送至基层治理平台；</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2.基层治理平台办理后将办理结果反馈给基层单元；</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3.人大代表、群众可以对办理结果进行评价。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协商在线</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协商在线子场景“三位一体”基层政协协商民主单元</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1.协商在线把需要办理的事项推送至基层治理平台；</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2.基层治理平台办理后将办理结果反馈给协商在线；</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3.由群众对办理意见进行评价。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1397"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数据仓建设</w:t>
            </w: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按照数据管理要求，绍兴市基层智治综合应用基于省、市一体化智能化公共数据平台建立专题数据仓，数据仓根据业务和条线建立不同的库和表，实现与省级部门系统的批量数据回流，支撑基层治理综合应用业务模块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340" w:type="dxa"/>
            <w:gridSpan w:val="5"/>
            <w:shd w:val="clear" w:color="000000"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二、迭代“141”体系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1397"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大屏端（具体指标内容根据实际建设情况按《浙江省“１４１”基层治理体系迭代升级工 作指南（试行） 》可进行调整。）</w:t>
            </w: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市级基层智治指挥舱</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指挥舱首页</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指挥舱首页对全市基层智治工作进行统筹汇聚展示，实现对重大改革任务、重大应用贯通综合集成情况、“141”体系迭代升级实战时效量化评价、基层智治大脑赋能情况、全市社会治理要素一张图情况、指挥在线情况、全市基层治理标志性成果情况等内容的统一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“141”体系迭代升级实战时效</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对县级社会治理中心运行质效、基层智治综合应用运行质效、网格智治运行质效分析展示</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重大应用贯通综合集成运行监测</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展示重大应用贯通的集成贯通概况和实战实效情况</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标志性成果</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结合绍兴市三张金名片、“枫桥经验”等标志性社会治理名片，梳理绍兴特色成果，包含金名片语句、特色社会治理模式及案例进行展示。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8"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县（市、区）基层智治驾驶舱</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基层智治驾驶舱首页</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通过县级基层智治驾驶舱可查看基层治理四条跑道（党建统领、经济生态、平安法治、公共服务）和县级社会治理中心六大功能实战时效情况（运行监测、矛盾调处、分析研判、协同流转、应急指挥和督查考核），在驾驶舱首页，实时展示县级社会治理中心六大功能发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党建统领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实现组织工作、三张金名片、贯通应用情况等信息展示。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经济生态</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实现对经济运行情况、生态文明建设、经济生态事件任务中心等信息展示。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40</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平安法治</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实现平安综治、应急管理、监管执法、法治宣传、平安法治事件任务中心等信息展示。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公共服务</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实现幼有善育、老有康养、病有良医、学有优教、弱有众扶、劳有所得、住有宜居、政务服务、公共服务事件任务中心等信息展示。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42</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乡镇四平台智治中心驾驶舱</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乡镇首页</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通过首页大屏查看网格员动态、网格工作、基层事件、任务分拨、各村考核考评、社会稳定、经济运行等情况。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43</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党建统领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展示党建相关信息，包括各类人员统计分布、平台干部情况、平台事件、贯通应用运行等情况。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44</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经济生态</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展示经济生态相关信息，包括</w:t>
            </w:r>
            <w:bookmarkStart w:id="27" w:name="_Toc101340337"/>
            <w:r>
              <w:rPr>
                <w:rFonts w:hint="eastAsia" w:ascii="仿宋" w:hAnsi="仿宋" w:eastAsia="仿宋" w:cs="仿宋"/>
                <w:color w:val="auto"/>
                <w:sz w:val="24"/>
                <w:szCs w:val="24"/>
              </w:rPr>
              <w:t>本地企业</w:t>
            </w:r>
            <w:bookmarkEnd w:id="27"/>
            <w:bookmarkStart w:id="28" w:name="_Toc101340338"/>
            <w:r>
              <w:rPr>
                <w:rFonts w:hint="eastAsia" w:ascii="仿宋" w:hAnsi="仿宋" w:eastAsia="仿宋" w:cs="仿宋"/>
                <w:color w:val="auto"/>
                <w:sz w:val="24"/>
                <w:szCs w:val="24"/>
              </w:rPr>
              <w:t>、经济生态治理工作</w:t>
            </w:r>
            <w:bookmarkEnd w:id="28"/>
            <w:bookmarkStart w:id="29" w:name="_Toc101340339"/>
            <w:r>
              <w:rPr>
                <w:rFonts w:hint="eastAsia" w:ascii="仿宋" w:hAnsi="仿宋" w:eastAsia="仿宋" w:cs="仿宋"/>
                <w:color w:val="auto"/>
                <w:sz w:val="24"/>
                <w:szCs w:val="24"/>
              </w:rPr>
              <w:t>、经济运行监测</w:t>
            </w:r>
            <w:bookmarkEnd w:id="29"/>
            <w:bookmarkStart w:id="30" w:name="_Toc101340340"/>
            <w:r>
              <w:rPr>
                <w:rFonts w:hint="eastAsia" w:ascii="仿宋" w:hAnsi="仿宋" w:eastAsia="仿宋" w:cs="仿宋"/>
                <w:color w:val="auto"/>
                <w:sz w:val="24"/>
                <w:szCs w:val="24"/>
              </w:rPr>
              <w:t>、生态环境监测</w:t>
            </w:r>
            <w:bookmarkEnd w:id="30"/>
            <w:r>
              <w:rPr>
                <w:rFonts w:hint="eastAsia" w:ascii="仿宋" w:hAnsi="仿宋" w:eastAsia="仿宋" w:cs="仿宋"/>
                <w:color w:val="auto"/>
                <w:sz w:val="24"/>
                <w:szCs w:val="24"/>
              </w:rPr>
              <w:t>、贯通应用运行等情况。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45</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平安法治</w:t>
            </w:r>
          </w:p>
        </w:tc>
        <w:tc>
          <w:tcPr>
            <w:tcW w:w="4367" w:type="dxa"/>
            <w:shd w:val="clear" w:color="auto" w:fill="auto"/>
            <w:vAlign w:val="center"/>
          </w:tcPr>
          <w:p>
            <w:pPr>
              <w:rPr>
                <w:rFonts w:hint="eastAsia" w:ascii="仿宋" w:hAnsi="仿宋" w:eastAsia="仿宋" w:cs="仿宋"/>
                <w:color w:val="auto"/>
                <w:sz w:val="24"/>
                <w:szCs w:val="24"/>
              </w:rPr>
            </w:pPr>
            <w:bookmarkStart w:id="31" w:name="_Toc101340346"/>
            <w:r>
              <w:rPr>
                <w:rFonts w:hint="eastAsia" w:ascii="仿宋" w:hAnsi="仿宋" w:eastAsia="仿宋" w:cs="仿宋"/>
                <w:color w:val="auto"/>
                <w:sz w:val="24"/>
                <w:szCs w:val="24"/>
              </w:rPr>
              <w:t>展示平安法治事件管理</w:t>
            </w:r>
            <w:bookmarkEnd w:id="31"/>
            <w:bookmarkStart w:id="32" w:name="_Toc101340347"/>
            <w:r>
              <w:rPr>
                <w:rFonts w:hint="eastAsia" w:ascii="仿宋" w:hAnsi="仿宋" w:eastAsia="仿宋" w:cs="仿宋"/>
                <w:color w:val="auto"/>
                <w:sz w:val="24"/>
                <w:szCs w:val="24"/>
              </w:rPr>
              <w:t>、矛盾纠纷分析</w:t>
            </w:r>
            <w:bookmarkEnd w:id="32"/>
            <w:bookmarkStart w:id="33" w:name="_Toc101340351"/>
            <w:r>
              <w:rPr>
                <w:rFonts w:hint="eastAsia" w:ascii="仿宋" w:hAnsi="仿宋" w:eastAsia="仿宋" w:cs="仿宋"/>
                <w:color w:val="auto"/>
                <w:sz w:val="24"/>
                <w:szCs w:val="24"/>
              </w:rPr>
              <w:t>、应急管理</w:t>
            </w:r>
            <w:bookmarkEnd w:id="33"/>
            <w:bookmarkStart w:id="34" w:name="_Toc101340352"/>
            <w:r>
              <w:rPr>
                <w:rFonts w:hint="eastAsia" w:ascii="仿宋" w:hAnsi="仿宋" w:eastAsia="仿宋" w:cs="仿宋"/>
                <w:color w:val="auto"/>
                <w:sz w:val="24"/>
                <w:szCs w:val="24"/>
              </w:rPr>
              <w:t>、安全生产</w:t>
            </w:r>
            <w:bookmarkEnd w:id="34"/>
            <w:bookmarkStart w:id="35" w:name="_Toc101340353"/>
            <w:r>
              <w:rPr>
                <w:rFonts w:hint="eastAsia" w:ascii="仿宋" w:hAnsi="仿宋" w:eastAsia="仿宋" w:cs="仿宋"/>
                <w:color w:val="auto"/>
                <w:sz w:val="24"/>
                <w:szCs w:val="24"/>
              </w:rPr>
              <w:t>、</w:t>
            </w:r>
            <w:bookmarkEnd w:id="35"/>
            <w:r>
              <w:rPr>
                <w:rFonts w:hint="eastAsia" w:ascii="仿宋" w:hAnsi="仿宋" w:eastAsia="仿宋" w:cs="仿宋"/>
                <w:color w:val="auto"/>
                <w:sz w:val="24"/>
                <w:szCs w:val="24"/>
              </w:rPr>
              <w:t>监测贯通应用运行等情况。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46</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shd w:val="clear" w:color="auto" w:fill="auto"/>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公共服务</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展示乡镇便民服务基础概况、</w:t>
            </w:r>
            <w:bookmarkStart w:id="36" w:name="_Toc101340357"/>
            <w:r>
              <w:rPr>
                <w:rFonts w:hint="eastAsia" w:ascii="仿宋" w:hAnsi="仿宋" w:eastAsia="仿宋" w:cs="仿宋"/>
                <w:color w:val="auto"/>
                <w:sz w:val="24"/>
                <w:szCs w:val="24"/>
              </w:rPr>
              <w:t>便民服务中心</w:t>
            </w:r>
            <w:bookmarkEnd w:id="36"/>
            <w:bookmarkStart w:id="37" w:name="_Toc101340361"/>
            <w:r>
              <w:rPr>
                <w:rFonts w:hint="eastAsia" w:ascii="仿宋" w:hAnsi="仿宋" w:eastAsia="仿宋" w:cs="仿宋"/>
                <w:color w:val="auto"/>
                <w:sz w:val="24"/>
                <w:szCs w:val="24"/>
              </w:rPr>
              <w:t>、事件管理</w:t>
            </w:r>
            <w:bookmarkEnd w:id="37"/>
            <w:bookmarkStart w:id="38" w:name="_Toc101340363"/>
            <w:r>
              <w:rPr>
                <w:rFonts w:hint="eastAsia" w:ascii="仿宋" w:hAnsi="仿宋" w:eastAsia="仿宋" w:cs="仿宋"/>
                <w:color w:val="auto"/>
                <w:sz w:val="24"/>
                <w:szCs w:val="24"/>
              </w:rPr>
              <w:t>、社会救助</w:t>
            </w:r>
            <w:bookmarkEnd w:id="38"/>
            <w:r>
              <w:rPr>
                <w:rFonts w:hint="eastAsia" w:ascii="仿宋" w:hAnsi="仿宋" w:eastAsia="仿宋" w:cs="仿宋"/>
                <w:color w:val="auto"/>
                <w:sz w:val="24"/>
                <w:szCs w:val="24"/>
              </w:rPr>
              <w:t>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47</w:t>
            </w:r>
          </w:p>
        </w:tc>
        <w:tc>
          <w:tcPr>
            <w:tcW w:w="1397" w:type="dxa"/>
            <w:vAlign w:val="center"/>
          </w:tcPr>
          <w:p>
            <w:pPr>
              <w:rPr>
                <w:rFonts w:hint="eastAsia" w:ascii="仿宋" w:hAnsi="仿宋" w:eastAsia="仿宋" w:cs="仿宋"/>
                <w:color w:val="auto"/>
                <w:sz w:val="24"/>
                <w:szCs w:val="24"/>
              </w:rPr>
            </w:pPr>
          </w:p>
        </w:tc>
        <w:tc>
          <w:tcPr>
            <w:tcW w:w="1329"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驾驶舱后台</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后台管理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1.允许用户在IRS上获取不到的数据能自行填报。</w:t>
            </w:r>
          </w:p>
          <w:p>
            <w:pPr>
              <w:rPr>
                <w:rFonts w:hint="eastAsia" w:ascii="仿宋" w:hAnsi="仿宋" w:eastAsia="仿宋" w:cs="仿宋"/>
                <w:color w:val="auto"/>
                <w:sz w:val="24"/>
                <w:szCs w:val="24"/>
              </w:rPr>
            </w:pPr>
            <w:r>
              <w:rPr>
                <w:rFonts w:hint="eastAsia" w:ascii="仿宋" w:hAnsi="仿宋" w:eastAsia="仿宋" w:cs="仿宋"/>
                <w:color w:val="auto"/>
                <w:sz w:val="24"/>
                <w:szCs w:val="24"/>
              </w:rPr>
              <w:t>2.权限分离：分为市、县区、乡镇街道等多个层级。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7"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48</w:t>
            </w:r>
          </w:p>
        </w:tc>
        <w:tc>
          <w:tcPr>
            <w:tcW w:w="1397"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PC端</w:t>
            </w: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首页工作台</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市、区县工作台</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需基于绍兴市基层信息系统工作门户首页升级，将主页面更改成新四平台党建统领、经济生态、平安法治、公共服务四大模块的集成页面，新增重大应用场景的展示位置；在处置应用功能上，增加查看和处理个人工作动态数据，并支持工作人员根据不同时期的工作重点，在弹窗中进行统一地址、重点人员巡查走访等常用功能列展示和选配，支持跳转对应的页面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49</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镇街工作台</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需对镇街工作平台进行升级，实现不同用户不同界面功能。本期主要实现数据管理、对象管理、运行管理、党建统领、经济生态、平安法治、公共服务、一件事应用等的功能入口集成和分析展示开发。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50</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业务应用</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事件管理升级</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本期项目建设中，结合部门业务需求，对原“基层治理四平台”内容进行改造，一是针对事件类型和处置部门变化对原页面的事件类型选项、流转规则、处置单位进行改造；二是方便基层管理人员快速完成事件的创建和流转，需实现事件表单功能升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51</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数据管理升级</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基于本期新增业务应用和基层业务人员实际工作需求，需实现基础数据的字段项调整改造及可视化配置升级和标准表单模板开发功能。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52</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标签管理升级</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在省标和市标的基础上，对人、企、场所、房屋、事件等对象建立基层治理标签体系，需升级改造原事件标注设置功能主要包括标签体系构建、分类检索、标签配置和标签全生命周期管理。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53</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统计分析升级</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根据本期业务建设内容的调整和最新建设要求，对每一类事件内容进行重新调整，实现对不同等级事件统计分析、各区平台内事件数量统计分析、事件办结率统计分析等的升级改造，形成基层治理统计分析组件。需实现运行概况方面、事件分析方面、线索来源方面的统计分析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54</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多源线索管理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多源线索管理提供绍兴市区县镇街自建特色应用的线索管理能力，结合各大应用结构和基层业务事件要求，重新进行接口定义，提供标准API，对进入绍兴市基层智治综合应用的线索进行统一汇聚管理，进行智能去重，人工判定等预处理。需开发多源线索预处理、多源线索融合、线索处置、多源线索配置管理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55</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运行监测</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重大应用监测</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系统对接情况、接口使用情况、数据流转情况进行监测和预警。重大应用用户使用情况（PC端和移动端当日登录次数、累计登录次数）。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56</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业务运行监测</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系统业务流与数据流的运行情况监测及预警与外部系统的业务协同情况，数据协同及运维管理。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57</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分析研判</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专题分析</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党建统领、平安法治、经济生态、公共服务四跑道专题分析。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58</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基础数据分析</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人口、房屋、企业、场所等相关数据分析。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59</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网格质态分析</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围绕网格事件处置、任务走访基础工作，形成网格治理质态综合评估。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60</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协同流转</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协同流转</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实现县级社会治理事件协同流转处置工作，加强基层智治综合应用平台的任务、事件管理，督促平台事件分类处置，统筹协调部门间业务联办处置。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61</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督查考核</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网格评价指标管理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网格化管理评价通过规范制度、明确责任、跟踪问题、提升服务方面来建设，通过系统对网格员设定工作指标，根据工作完成情况，自动进行考核打分，系统可自定义评价指标，根据业务需要，可设置加分项指标和减分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62</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指挥室评价指标管理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指挥室在整个基层治理业务中起到承上启下的作用，在事件的处置效率，和处置质量过程中有非常关键的作用，可自定义添加增分项和减分项。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63</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派驻人员评价指标管理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乡镇指挥中心对派驻的乡镇人员进行评价主要是通过矩阵式的评价机制反馈网格工作的协同情况，重点考核完成日常工作、阶段工作目标和“急难险重”重点工作情况，可根据业务需要，新增考核项和减分考核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64</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统计报表</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支持按照乡镇街道、时间进行指标数据的查询统计，按照统计周期的类型分为日统计报表和月统计报表，并支持导出。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65</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结果展示</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（1）全市考核结果总表</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支持按月、年查询全市各区县的有效运行评价总分并汇总成全市总分，并支持按照排名（降序）展示，并支持导出。</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（2）各区县／镇街考核结果表</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支持按月查询各区县／镇街按照有效运行评价指标体系（基准）各项指标项的打分结果，并支持导出。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66</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四条跑道协同</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党建统领</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（1）事件管理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展示党建统领跑道相关事件。</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（2）任务管理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展示党建统领跑道相关任务。</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（3）场景应用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重大应用（省级）、场景集成应用（市级、区级）</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67</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经济生态</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 xml:space="preserve">（1）事件管理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展示经济生态跑道相关事件。</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（2）任务管理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展示经济生态跑道相关任务。</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（3）场景应用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重大应用（省级）、场景集成应用（市级、区级）。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67</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平安法治</w:t>
            </w:r>
          </w:p>
        </w:tc>
        <w:tc>
          <w:tcPr>
            <w:tcW w:w="4367" w:type="dxa"/>
            <w:shd w:val="clear" w:color="auto" w:fill="auto"/>
            <w:vAlign w:val="center"/>
          </w:tcPr>
          <w:p>
            <w:pPr>
              <w:numPr>
                <w:ilvl w:val="0"/>
                <w:numId w:val="6"/>
              </w:numPr>
              <w:rPr>
                <w:rFonts w:hint="eastAsia" w:ascii="仿宋" w:hAnsi="仿宋" w:eastAsia="仿宋" w:cs="仿宋"/>
                <w:color w:val="auto"/>
                <w:sz w:val="24"/>
                <w:szCs w:val="24"/>
              </w:rPr>
            </w:pPr>
            <w:r>
              <w:rPr>
                <w:rFonts w:hint="eastAsia" w:ascii="仿宋" w:hAnsi="仿宋" w:eastAsia="仿宋" w:cs="仿宋"/>
                <w:color w:val="auto"/>
                <w:sz w:val="24"/>
                <w:szCs w:val="24"/>
              </w:rPr>
              <w:t xml:space="preserve">事件管理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展示平安法治跑道相关事件。</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（2）任务管理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展示平安法治跑道相关任务。</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（3）场景应用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重大应用（省级）、场景集成应用（市级、区级）。</w:t>
            </w:r>
          </w:p>
          <w:p>
            <w:pPr>
              <w:numPr>
                <w:ilvl w:val="0"/>
                <w:numId w:val="7"/>
              </w:numPr>
              <w:rPr>
                <w:rFonts w:hint="eastAsia" w:ascii="仿宋" w:hAnsi="仿宋" w:eastAsia="仿宋" w:cs="仿宋"/>
                <w:color w:val="auto"/>
                <w:sz w:val="24"/>
                <w:szCs w:val="24"/>
              </w:rPr>
            </w:pPr>
            <w:r>
              <w:rPr>
                <w:rFonts w:hint="eastAsia" w:ascii="仿宋" w:hAnsi="仿宋" w:eastAsia="仿宋" w:cs="仿宋"/>
                <w:color w:val="auto"/>
                <w:sz w:val="24"/>
                <w:szCs w:val="24"/>
              </w:rPr>
              <w:t>省平安法治平台归集</w:t>
            </w:r>
          </w:p>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归集网格数网格人员等数据至省平安法治平台</w:t>
            </w:r>
            <w:r>
              <w:rPr>
                <w:rFonts w:hint="eastAsia" w:ascii="仿宋" w:hAnsi="仿宋" w:eastAsia="仿宋" w:cs="仿宋"/>
                <w:color w:val="auto"/>
                <w:sz w:val="24"/>
                <w:szCs w:val="24"/>
                <w:lang w:eastAsia="zh-CN"/>
              </w:rPr>
              <w:t>。</w:t>
            </w:r>
          </w:p>
          <w:p>
            <w:pPr>
              <w:numPr>
                <w:ilvl w:val="0"/>
                <w:numId w:val="8"/>
              </w:numPr>
              <w:rPr>
                <w:rFonts w:hint="eastAsia" w:ascii="仿宋" w:hAnsi="仿宋" w:eastAsia="仿宋" w:cs="仿宋"/>
                <w:color w:val="auto"/>
                <w:sz w:val="24"/>
                <w:szCs w:val="24"/>
              </w:rPr>
            </w:pPr>
            <w:r>
              <w:rPr>
                <w:rFonts w:hint="eastAsia" w:ascii="仿宋" w:hAnsi="仿宋" w:eastAsia="仿宋" w:cs="仿宋"/>
                <w:color w:val="auto"/>
                <w:sz w:val="24"/>
                <w:szCs w:val="24"/>
              </w:rPr>
              <w:t>省市平安法治平台切换</w:t>
            </w:r>
          </w:p>
          <w:p>
            <w:pPr>
              <w:rPr>
                <w:rFonts w:hint="eastAsia" w:ascii="仿宋" w:hAnsi="仿宋" w:eastAsia="仿宋" w:cs="仿宋"/>
                <w:color w:val="auto"/>
                <w:sz w:val="24"/>
                <w:szCs w:val="24"/>
              </w:rPr>
            </w:pPr>
            <w:r>
              <w:rPr>
                <w:rFonts w:hint="eastAsia" w:ascii="仿宋" w:hAnsi="仿宋" w:eastAsia="仿宋" w:cs="仿宋"/>
                <w:color w:val="auto"/>
                <w:sz w:val="24"/>
                <w:szCs w:val="24"/>
              </w:rPr>
              <w:t>按照省平安法治平台规范要求进行切换。</w:t>
            </w:r>
          </w:p>
          <w:p>
            <w:pPr>
              <w:numPr>
                <w:ilvl w:val="0"/>
                <w:numId w:val="8"/>
              </w:numPr>
              <w:rPr>
                <w:rFonts w:hint="eastAsia" w:ascii="仿宋" w:hAnsi="仿宋" w:eastAsia="仿宋" w:cs="仿宋"/>
                <w:color w:val="auto"/>
                <w:sz w:val="24"/>
                <w:szCs w:val="24"/>
              </w:rPr>
            </w:pPr>
            <w:r>
              <w:rPr>
                <w:rFonts w:hint="eastAsia" w:ascii="仿宋" w:hAnsi="仿宋" w:eastAsia="仿宋" w:cs="仿宋"/>
                <w:color w:val="auto"/>
                <w:sz w:val="24"/>
                <w:szCs w:val="24"/>
              </w:rPr>
              <w:t>镇街矛调贯通</w:t>
            </w:r>
          </w:p>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按照省平安法治推广要求进行镇街矛调贯通推广</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68</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公共服务</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 xml:space="preserve">（1）事件管理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展示公共服务跑道相关事件。</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（2）任务管理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展示公共服务跑道相关任务。</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（3）场景应用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重大应用（省级）、场景集成应用（市级、区级）。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69</w:t>
            </w:r>
          </w:p>
        </w:tc>
        <w:tc>
          <w:tcPr>
            <w:tcW w:w="1397" w:type="dxa"/>
            <w:vMerge w:val="continue"/>
            <w:vAlign w:val="center"/>
          </w:tcPr>
          <w:p>
            <w:pPr>
              <w:rPr>
                <w:rFonts w:hint="eastAsia" w:ascii="仿宋" w:hAnsi="仿宋" w:eastAsia="仿宋" w:cs="仿宋"/>
                <w:color w:val="auto"/>
                <w:sz w:val="24"/>
                <w:szCs w:val="24"/>
              </w:rPr>
            </w:pP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网格精细管理</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网格划分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1、根据划细划小网格，分级分类管理的要求，实现网格边界信息的同步和管理；</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2、对网格进行编码、边界、信息的统一管理；</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3、组织机构合并，历史网格数据的清洗迁移。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70</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网格员管理</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（1）网格员管理</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展示绍兴全量网格员清单，以列表的形式展示网格员姓名，绩效得分，工作排名、同比/环比。</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（2）网格员画像</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在网格员考核列表可查看网格员画像，网格员画像从绩效得分、考核得分、排名（区县排名、街道排名、网格员工作简报），以数据可视化的方式从多个维度展示网格员的全量数据。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71</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部门事项准入线</w:t>
            </w:r>
          </w:p>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上审批</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网格事项准入应用提供网格事项准入的线上申请、审批、事项入格、网格事务退出等管理，业务部门在线填报《浙江省网格事务准入申请审定表》提交线上申请，各级党委政法委组织审核。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72</w:t>
            </w:r>
          </w:p>
        </w:tc>
        <w:tc>
          <w:tcPr>
            <w:tcW w:w="1397"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移动端</w:t>
            </w: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基础数据采集升级</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根据PC配置好的各项表单数据，扩展基层工作数据采集填报字段。实现同类数据一次采集、动态维护、统一管理。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73</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事件闭环处置升级</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针对事件类型和处置部门制定事件类型选项、流转规则、处置单位；另一方面是增加关键字匹配功能，根据网格员事件描述字段自动匹配事件，智能简化网格上报操作。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74</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统计分析展示升级</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结合委办局对接协同的网格事件处理情况、下达任务执行等内容，需实现基层治理移动终端APP统计分析展示升级，支撑网格员工作效能提升。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75</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通知公告升级</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在原移动端通知公告的基础上，利用浙政钉消息提醒系统功能，需实现移动端基层信息系统的事件消息、通知公告的浙政钉消息提醒等功能。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76</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走访巡查升级</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结合基层治理网格精细管理业务以及应急管理、治安防治协同业务需求，需对现有移动端的走访、巡查模块进行升级改造，支撑网格员走访、巡查工作。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77</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应用权限管理升级</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基于本期新增移动端功能，需实现对移动端功能新增应用对的权限管理功能，包括角色管理、权限管理等。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78</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APP迁移</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新开发的H5页面按照原生APP方式打包嵌入到浙政钉2.0，实现各APP应用一站式集成于浙政钉2.0。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340" w:type="dxa"/>
            <w:gridSpan w:val="5"/>
            <w:shd w:val="clear" w:color="000000"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三、应用支撑平台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79</w:t>
            </w:r>
          </w:p>
        </w:tc>
        <w:tc>
          <w:tcPr>
            <w:tcW w:w="1397"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算法要素</w:t>
            </w:r>
          </w:p>
        </w:tc>
        <w:tc>
          <w:tcPr>
            <w:tcW w:w="1329"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事件智能识别算法</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事件分类算法</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用户上报事件时，填写完事件内容，自动填写分类信息，点击提交即可上报事件。若分类配置好流转部门后，可自动流转至对应部门。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80</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事件严重算法</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事件/线索/爆料上报时通过算法自动确定严重级别，处置人员可根据严重级别确定事件/线索的优先级</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81</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事件无效算法</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接受线索时系统判断线索有效性，无效线索自动进行处理进入无效信息库，并反馈用户处置信息。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82</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事件重复算法</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用BM25算法，计算待比较样本中每个分词占比较样本的权重，所有分词权重求和，得到待比较样本与比较样本重复权重。该权重和待比较样本自身权重的百分比即为比较样本与待比较样本的重复程度。根据实际情况，拟定重复的阈值，返回对应结果</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83</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事件相似算法</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用BM25算法，计算待比较样本中每个分词占比较样本的权重，所有分词权重求和，得到待比较样本与比较样本相似权重。该权重和待比较样本自身权重的百分比即为比较样本与待比较样本的相似程度。根据实际情况，拟定相似的阈值，返回对应结果</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84</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事件主体提取算法</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采用BM25算法，计算待比较样本中每个分词占比较样本的权重，所有分词权重求和，得到待比较样本</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85</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事件主题提取算法</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采用开源算法HanLP，根据拟定的权重评分标准，求出每个相邻分句对本分句的贡献程度，从而得到每个分句的权重总分，最后从所有分句中自动抽取出权重最高的分句，当前分句即可认为是整个句子的关键，可以作为事件的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86</w:t>
            </w:r>
          </w:p>
        </w:tc>
        <w:tc>
          <w:tcPr>
            <w:tcW w:w="1397" w:type="dxa"/>
            <w:vMerge w:val="continue"/>
            <w:vAlign w:val="center"/>
          </w:tcPr>
          <w:p>
            <w:pPr>
              <w:rPr>
                <w:rFonts w:hint="eastAsia" w:ascii="仿宋" w:hAnsi="仿宋" w:eastAsia="仿宋" w:cs="仿宋"/>
                <w:color w:val="auto"/>
                <w:sz w:val="24"/>
                <w:szCs w:val="24"/>
              </w:rPr>
            </w:pPr>
          </w:p>
        </w:tc>
        <w:tc>
          <w:tcPr>
            <w:tcW w:w="1329" w:type="dxa"/>
            <w:vMerge w:val="continue"/>
            <w:vAlign w:val="center"/>
          </w:tcPr>
          <w:p>
            <w:pPr>
              <w:rPr>
                <w:rFonts w:hint="eastAsia" w:ascii="仿宋" w:hAnsi="仿宋" w:eastAsia="仿宋" w:cs="仿宋"/>
                <w:color w:val="auto"/>
                <w:sz w:val="24"/>
                <w:szCs w:val="24"/>
              </w:rPr>
            </w:pP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事件高频疑难识别算法</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采用深度学习循环神经网络，对样本建模，提取样本的特征，预测的高频疑难标签，工作人员可点击转入“一件事”流程。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87</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事件智能流转算法</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基于事件严重性、事件分类、标签等信息智能推荐流转部门，实现事件的智能流转。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88</w:t>
            </w:r>
          </w:p>
        </w:tc>
        <w:tc>
          <w:tcPr>
            <w:tcW w:w="1397"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市级业务接口规范共享平台建设</w:t>
            </w: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依照省网关建设标准，建设绍兴市业务接口规范共享平台，为本地应用提供接口转发能力。主要功能包括：规范协同事件、任务接入、数据接入基层智治业务接口，通过线上提供接口的申请、审核，实现基层智治的共建共享</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89</w:t>
            </w:r>
          </w:p>
        </w:tc>
        <w:tc>
          <w:tcPr>
            <w:tcW w:w="1397" w:type="dxa"/>
            <w:vMerge w:val="restart"/>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数据安全动态脱敏</w:t>
            </w: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数据分级分类</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在进行敏感数据安全防护之前，通过敏感数据发现功能，对数据进行一键式敏感数据扫描分析，将扫描分析到的敏感资产按照数据敏感等级进行快速的分级分类，以表格或列为单位的管理方法，把敏感数据从普通业务数据中脱离出来进行独立管理，形成敏感数据资产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90</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多因素认证</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多因素认证管理提供用户身份鉴别处理机制，运维人员、开发人员、运维工具、开发工具、业务程序等访问数据资源库的过程中，必须经过失败鉴别处理和多维度身份认证处理。</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通过种类繁多的应用程序访问控制，实现对应用程序进行敏感标签标记、实现高粒度的应用程序审计和操作访问白名单控制。利用Ukey安全客户端同时支持多种SQL工具访问控制（NAVICAT、TOAD、SQLPLUS、PLSQLDEV）和其他应用程序访问身份鉴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8"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91</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数据库权限管理</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（1）敏感数据访问控制</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在对通过多因素认证允许合法的用户或者身份接入数据资源库后，需要对数据库的具体操作过程进行访问控制管理，主要从特权账号权限访问控制、行数返回控制、访问频次控制、高危操作控制等方面入手，全方位保障访问控制体系的安全性</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（2）返回行限制</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提供基于敏感表格访问的返回行控制技术，避免相关人员利用合法的语句导出大量用户敏感信息，最大限度控制敏感信息的安全性。同时能够对大量返回行或更新行等事件做出告警、能够对频繁的相同语句做出告警。</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（3）访问频次限制</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针对一定时间内频繁访问数据的行为进行访问频次控制，有效保证数据安全，可以设置每秒或者每分钟时间内访问数据的频次，超出访问频次的访问行为将被阻断。</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（4）危险操作防范</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除了访问过程中的权限控制以外，还有一部分的危险性操作如Drop Table，Truncate Table等操作是数据库面临的巨大安全风险。充分考虑实际应用的灵活性，当运维人员必须进行某些危险性操作或者需要访问敏感数据时，可提交临时授权工单，由安全管理员进行逐级审批后方可进行操作。</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（5）危险操作恢复</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合法的用户在合法的操作过程中，不可避免会产生误操作行为，支持对表格Drop Table，Truncate Table的动作进行数据进行恢复，用户一旦发生误操作行为，安全管理员可在管理端页面进行语句追踪，找回误删除的数据</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22"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92</w:t>
            </w:r>
          </w:p>
        </w:tc>
        <w:tc>
          <w:tcPr>
            <w:tcW w:w="1397" w:type="dxa"/>
            <w:vMerge w:val="continue"/>
            <w:vAlign w:val="center"/>
          </w:tcPr>
          <w:p>
            <w:pPr>
              <w:rPr>
                <w:rFonts w:hint="eastAsia" w:ascii="仿宋" w:hAnsi="仿宋" w:eastAsia="仿宋" w:cs="仿宋"/>
                <w:color w:val="auto"/>
                <w:sz w:val="24"/>
                <w:szCs w:val="24"/>
              </w:rPr>
            </w:pPr>
          </w:p>
        </w:tc>
        <w:tc>
          <w:tcPr>
            <w:tcW w:w="1329"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业务脱敏</w:t>
            </w:r>
          </w:p>
        </w:tc>
        <w:tc>
          <w:tcPr>
            <w:tcW w:w="2425" w:type="dxa"/>
            <w:shd w:val="clear" w:color="auto" w:fill="auto"/>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4367" w:type="dxa"/>
            <w:shd w:val="clear" w:color="auto" w:fill="auto"/>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业务动态脱敏系统，针对生产的敏感数据信息进行动态数据脱敏。对未授权的业务账户访问敏感数据实现动态脱敏功能，支持对字符串类型、数据类型、日期类型数据脱敏，实现随机、转换、遮盖方式实现对动态数据的脱敏效果，防止业务敏感数据信息和业务的个人隐私数据泄漏，保护关键资产数据</w:t>
            </w:r>
            <w:r>
              <w:rPr>
                <w:rFonts w:hint="eastAsia" w:ascii="仿宋" w:hAnsi="仿宋" w:eastAsia="仿宋" w:cs="仿宋"/>
                <w:color w:val="auto"/>
                <w:sz w:val="24"/>
                <w:szCs w:val="24"/>
                <w:lang w:eastAsia="zh-CN"/>
              </w:rPr>
              <w:t>。</w:t>
            </w:r>
          </w:p>
        </w:tc>
      </w:tr>
    </w:tbl>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其它内容清单：二级等保及功能测评等相关费用。</w:t>
      </w:r>
    </w:p>
    <w:p>
      <w:pPr>
        <w:spacing w:line="360" w:lineRule="auto"/>
        <w:rPr>
          <w:rFonts w:hint="eastAsia" w:ascii="仿宋" w:hAnsi="仿宋" w:eastAsia="仿宋" w:cs="仿宋"/>
          <w:b/>
          <w:bCs/>
          <w:i w:val="0"/>
          <w:iCs w:val="0"/>
          <w:color w:val="auto"/>
          <w:kern w:val="2"/>
          <w:sz w:val="24"/>
          <w:szCs w:val="20"/>
          <w:highlight w:val="none"/>
          <w:vertAlign w:val="baseline"/>
          <w:lang w:val="en-US" w:eastAsia="zh-CN" w:bidi="ar-SA"/>
        </w:rPr>
      </w:pPr>
      <w:bookmarkStart w:id="39" w:name="_Toc1883245872"/>
      <w:r>
        <w:rPr>
          <w:rFonts w:hint="eastAsia" w:ascii="仿宋" w:hAnsi="仿宋" w:eastAsia="仿宋" w:cs="仿宋"/>
          <w:b/>
          <w:bCs/>
          <w:i w:val="0"/>
          <w:iCs w:val="0"/>
          <w:color w:val="auto"/>
          <w:kern w:val="2"/>
          <w:sz w:val="24"/>
          <w:szCs w:val="20"/>
          <w:highlight w:val="none"/>
          <w:vertAlign w:val="baseline"/>
          <w:lang w:val="en-US" w:eastAsia="zh-CN" w:bidi="ar-SA"/>
        </w:rPr>
        <w:t>四、售后服务要求</w:t>
      </w:r>
      <w:bookmarkEnd w:id="39"/>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提供</w:t>
      </w:r>
      <w:bookmarkStart w:id="40" w:name="OLE_LINK7"/>
      <w:r>
        <w:rPr>
          <w:rFonts w:hint="eastAsia" w:ascii="仿宋" w:hAnsi="仿宋" w:eastAsia="仿宋" w:cs="仿宋"/>
          <w:b w:val="0"/>
          <w:bCs w:val="0"/>
          <w:i w:val="0"/>
          <w:iCs w:val="0"/>
          <w:color w:val="auto"/>
          <w:kern w:val="2"/>
          <w:sz w:val="24"/>
          <w:szCs w:val="20"/>
          <w:highlight w:val="none"/>
          <w:vertAlign w:val="baseline"/>
          <w:lang w:val="en-US" w:eastAsia="zh-CN" w:bidi="ar-SA"/>
        </w:rPr>
        <w:t xml:space="preserve"> 7*24 小时</w:t>
      </w:r>
      <w:bookmarkEnd w:id="40"/>
      <w:r>
        <w:rPr>
          <w:rFonts w:hint="eastAsia" w:ascii="仿宋" w:hAnsi="仿宋" w:eastAsia="仿宋" w:cs="仿宋"/>
          <w:b w:val="0"/>
          <w:bCs w:val="0"/>
          <w:i w:val="0"/>
          <w:iCs w:val="0"/>
          <w:color w:val="auto"/>
          <w:kern w:val="2"/>
          <w:sz w:val="24"/>
          <w:szCs w:val="20"/>
          <w:highlight w:val="none"/>
          <w:vertAlign w:val="baseline"/>
          <w:lang w:val="en-US" w:eastAsia="zh-CN" w:bidi="ar-SA"/>
        </w:rPr>
        <w:t>的在线热线电话客服服务。</w:t>
      </w:r>
    </w:p>
    <w:p>
      <w:pPr>
        <w:spacing w:line="360" w:lineRule="auto"/>
        <w:rPr>
          <w:rFonts w:hint="eastAsia" w:ascii="仿宋" w:hAnsi="仿宋" w:eastAsia="仿宋" w:cs="仿宋"/>
          <w:b/>
          <w:bCs/>
          <w:i w:val="0"/>
          <w:iCs w:val="0"/>
          <w:color w:val="auto"/>
          <w:kern w:val="2"/>
          <w:sz w:val="24"/>
          <w:szCs w:val="20"/>
          <w:highlight w:val="none"/>
          <w:vertAlign w:val="baseline"/>
          <w:lang w:val="en-US" w:eastAsia="zh-CN" w:bidi="ar-SA"/>
        </w:rPr>
      </w:pPr>
      <w:bookmarkStart w:id="41" w:name="_Toc61874011"/>
      <w:bookmarkStart w:id="42" w:name="_Toc760431598"/>
      <w:r>
        <w:rPr>
          <w:rFonts w:hint="eastAsia" w:ascii="仿宋" w:hAnsi="仿宋" w:eastAsia="仿宋" w:cs="仿宋"/>
          <w:b/>
          <w:bCs/>
          <w:i w:val="0"/>
          <w:iCs w:val="0"/>
          <w:color w:val="auto"/>
          <w:kern w:val="2"/>
          <w:sz w:val="24"/>
          <w:szCs w:val="20"/>
          <w:highlight w:val="none"/>
          <w:vertAlign w:val="baseline"/>
          <w:lang w:val="en-US" w:eastAsia="zh-CN" w:bidi="ar-SA"/>
        </w:rPr>
        <w:t>五、培训要求</w:t>
      </w:r>
      <w:bookmarkEnd w:id="41"/>
      <w:bookmarkEnd w:id="42"/>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中标人负责提供采购人所在地或中标人所在地现场培训，根据采购人的要求和建议列出培训内容、计划和被培训人员可达到的水平，落实培训的时间和地点，为所有参加培训人员提供培训用文字资料和讲义等相关资料。项目培训服务标准范围内培训场地费、资料费、培训人员讲课费、培训人员的食宿和交通费由中标人负责，包含在本项目投标总价中。</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（2）培训内容要求</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项目培训工作包含：培训方案的设计、培训制度的制定、培训效果评估，以保证培训课程符合采购人实际的需要。为保证业务操作人员对系统的熟练操作， 在系统初验通过后，中标人对业务操作人员进行管理培训和平台功能操作培训。</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（3）培训手册编制</w:t>
      </w:r>
    </w:p>
    <w:p>
      <w:pPr>
        <w:spacing w:line="360" w:lineRule="auto"/>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为采购人提供详细管理员使用手册、用户使用手册，其中管理员使用手册和用户使用手册需挂在平台门户帮助中心醒目位置，并根据平台的开发进展按时更新。</w:t>
      </w:r>
    </w:p>
    <w:p>
      <w:pPr>
        <w:numPr>
          <w:ilvl w:val="0"/>
          <w:numId w:val="9"/>
        </w:numPr>
        <w:spacing w:line="360" w:lineRule="auto"/>
        <w:rPr>
          <w:rFonts w:hint="eastAsia" w:ascii="仿宋" w:hAnsi="仿宋" w:eastAsia="仿宋" w:cs="仿宋"/>
          <w:b/>
          <w:bCs/>
          <w:i w:val="0"/>
          <w:iCs w:val="0"/>
          <w:color w:val="auto"/>
          <w:kern w:val="2"/>
          <w:sz w:val="24"/>
          <w:szCs w:val="20"/>
          <w:highlight w:val="none"/>
          <w:vertAlign w:val="baseline"/>
          <w:lang w:val="en-US" w:eastAsia="zh-CN" w:bidi="ar-SA"/>
        </w:rPr>
      </w:pPr>
      <w:bookmarkStart w:id="43" w:name="_Toc562478743"/>
      <w:r>
        <w:rPr>
          <w:rFonts w:hint="eastAsia" w:ascii="仿宋" w:hAnsi="仿宋" w:eastAsia="仿宋" w:cs="仿宋"/>
          <w:b/>
          <w:bCs/>
          <w:i w:val="0"/>
          <w:iCs w:val="0"/>
          <w:color w:val="auto"/>
          <w:kern w:val="2"/>
          <w:sz w:val="24"/>
          <w:szCs w:val="20"/>
          <w:highlight w:val="none"/>
          <w:vertAlign w:val="baseline"/>
          <w:lang w:val="en-US" w:eastAsia="zh-CN" w:bidi="ar-SA"/>
        </w:rPr>
        <w:t>服务期</w:t>
      </w:r>
    </w:p>
    <w:p>
      <w:pPr>
        <w:spacing w:line="360" w:lineRule="auto"/>
        <w:ind w:firstLine="480" w:firstLineChars="200"/>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自合同签订之日起三个月内完工，组织项目初验；项目整体系统试运行三个月后，组织项目终验。验收之日起维保两年，不另计费用。</w:t>
      </w:r>
    </w:p>
    <w:bookmarkEnd w:id="43"/>
    <w:p>
      <w:pPr>
        <w:keepNext w:val="0"/>
        <w:keepLines w:val="0"/>
        <w:pageBreakBefore w:val="0"/>
        <w:widowControl w:val="0"/>
        <w:numPr>
          <w:ilvl w:val="0"/>
          <w:numId w:val="10"/>
        </w:numPr>
        <w:kinsoku/>
        <w:wordWrap/>
        <w:overflowPunct/>
        <w:topLinePunct w:val="0"/>
        <w:autoSpaceDE/>
        <w:autoSpaceDN/>
        <w:bidi w:val="0"/>
        <w:adjustRightInd w:val="0"/>
        <w:snapToGrid/>
        <w:spacing w:line="360" w:lineRule="auto"/>
        <w:ind w:firstLine="0" w:firstLineChars="0"/>
        <w:textAlignment w:val="auto"/>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付款方式</w:t>
      </w:r>
    </w:p>
    <w:p>
      <w:pPr>
        <w:spacing w:line="360" w:lineRule="auto"/>
        <w:ind w:firstLine="480" w:firstLineChars="200"/>
        <w:outlineLvl w:val="0"/>
        <w:rPr>
          <w:rFonts w:ascii="仿宋" w:hAnsi="仿宋" w:eastAsia="仿宋" w:cs="仿宋"/>
          <w:b/>
          <w:color w:val="auto"/>
          <w:sz w:val="36"/>
          <w:szCs w:val="36"/>
        </w:rPr>
      </w:pPr>
      <w:r>
        <w:rPr>
          <w:rFonts w:hint="eastAsia" w:ascii="仿宋" w:hAnsi="仿宋" w:eastAsia="仿宋" w:cs="仿宋"/>
          <w:color w:val="auto"/>
          <w:sz w:val="24"/>
        </w:rPr>
        <w:t>按《浙江省财政厅关于进一步发挥政府采购政策 功能全力推动经济稳进提质的通知》（浙财采监〔2022〕3号）等文件要求执行，具体付款方式由双方协商后在合同中明确。</w:t>
      </w:r>
    </w:p>
    <w:p>
      <w:pPr>
        <w:spacing w:line="480" w:lineRule="exact"/>
        <w:ind w:firstLine="480" w:firstLineChars="200"/>
        <w:rPr>
          <w:rFonts w:ascii="仿宋_GB2312" w:hAnsi="仿宋" w:eastAsia="仿宋_GB2312"/>
          <w:color w:val="auto"/>
          <w:sz w:val="24"/>
        </w:rPr>
      </w:pPr>
      <w:r>
        <w:rPr>
          <w:rFonts w:hint="eastAsia" w:ascii="仿宋" w:hAnsi="仿宋" w:eastAsia="仿宋" w:cs="仿宋"/>
          <w:b w:val="0"/>
          <w:bCs w:val="0"/>
          <w:color w:val="auto"/>
          <w:kern w:val="2"/>
          <w:sz w:val="24"/>
          <w:szCs w:val="24"/>
          <w:highlight w:val="none"/>
          <w:lang w:val="en-US" w:eastAsia="zh-CN" w:bidi="ar-SA"/>
        </w:rPr>
        <w:tab/>
      </w:r>
    </w:p>
    <w:p>
      <w:pPr>
        <w:spacing w:line="440" w:lineRule="exact"/>
        <w:ind w:firstLine="480" w:firstLineChars="200"/>
        <w:rPr>
          <w:rFonts w:ascii="仿宋_GB2312"/>
          <w:color w:val="auto"/>
          <w:sz w:val="24"/>
        </w:rPr>
      </w:pP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rPr>
      </w:pPr>
    </w:p>
    <w:bookmarkEnd w:id="16"/>
    <w:p>
      <w:pPr>
        <w:keepNext w:val="0"/>
        <w:keepLines w:val="0"/>
        <w:pageBreakBefore/>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ascii="仿宋_GB2312" w:hAnsi="仿宋" w:eastAsia="仿宋_GB2312" w:cs="仿宋"/>
          <w:b/>
          <w:color w:val="auto"/>
          <w:sz w:val="36"/>
          <w:szCs w:val="36"/>
        </w:rPr>
      </w:pPr>
      <w:r>
        <w:rPr>
          <w:rFonts w:hint="eastAsia" w:ascii="仿宋_GB2312" w:hAnsi="宋体" w:eastAsia="仿宋_GB2312"/>
          <w:b/>
          <w:color w:val="auto"/>
          <w:sz w:val="36"/>
          <w:szCs w:val="36"/>
        </w:rPr>
        <w:t xml:space="preserve">第四部分  </w:t>
      </w:r>
      <w:r>
        <w:rPr>
          <w:rFonts w:hint="eastAsia" w:ascii="仿宋_GB2312" w:hAnsi="仿宋" w:eastAsia="仿宋_GB2312" w:cs="仿宋"/>
          <w:b/>
          <w:color w:val="auto"/>
          <w:sz w:val="36"/>
          <w:szCs w:val="36"/>
        </w:rPr>
        <w:t>拟签订的合同文本</w:t>
      </w:r>
    </w:p>
    <w:p>
      <w:pPr>
        <w:rPr>
          <w:rFonts w:ascii="仿宋_GB2312" w:hAnsi="仿宋" w:eastAsia="仿宋_GB2312" w:cs="仿宋"/>
          <w:color w:val="auto"/>
          <w:sz w:val="24"/>
          <w:u w:val="single"/>
        </w:rPr>
      </w:pPr>
      <w:r>
        <w:rPr>
          <w:rFonts w:hint="eastAsia" w:ascii="仿宋_GB2312" w:hAnsi="仿宋" w:eastAsia="仿宋_GB2312" w:cs="仿宋"/>
          <w:color w:val="auto"/>
          <w:sz w:val="24"/>
        </w:rPr>
        <w:t>合同编号：</w:t>
      </w:r>
      <w:r>
        <w:rPr>
          <w:rFonts w:hint="eastAsia" w:ascii="仿宋_GB2312" w:hAnsi="仿宋" w:eastAsia="仿宋_GB2312" w:cs="仿宋"/>
          <w:color w:val="auto"/>
          <w:sz w:val="24"/>
          <w:u w:val="single"/>
        </w:rPr>
        <w:t xml:space="preserve">           </w:t>
      </w:r>
    </w:p>
    <w:p>
      <w:pPr>
        <w:spacing w:line="480" w:lineRule="auto"/>
        <w:jc w:val="center"/>
        <w:rPr>
          <w:rFonts w:ascii="仿宋_GB2312" w:hAnsi="仿宋" w:eastAsia="仿宋_GB2312" w:cs="仿宋"/>
          <w:b/>
          <w:color w:val="auto"/>
          <w:sz w:val="28"/>
          <w:szCs w:val="28"/>
        </w:rPr>
      </w:pPr>
    </w:p>
    <w:p>
      <w:pPr>
        <w:spacing w:line="480" w:lineRule="auto"/>
        <w:jc w:val="center"/>
        <w:rPr>
          <w:rFonts w:ascii="仿宋_GB2312" w:hAnsi="仿宋" w:eastAsia="仿宋_GB2312" w:cs="仿宋"/>
          <w:b/>
          <w:color w:val="auto"/>
          <w:sz w:val="24"/>
        </w:rPr>
      </w:pPr>
    </w:p>
    <w:p>
      <w:pPr>
        <w:spacing w:line="480" w:lineRule="auto"/>
        <w:jc w:val="center"/>
        <w:rPr>
          <w:rFonts w:ascii="仿宋_GB2312" w:hAnsi="仿宋" w:eastAsia="仿宋_GB2312" w:cs="仿宋"/>
          <w:b/>
          <w:color w:val="auto"/>
          <w:sz w:val="24"/>
        </w:rPr>
      </w:pPr>
    </w:p>
    <w:p>
      <w:pPr>
        <w:spacing w:line="480" w:lineRule="auto"/>
        <w:jc w:val="center"/>
        <w:rPr>
          <w:rFonts w:ascii="仿宋_GB2312" w:hAnsi="仿宋" w:eastAsia="仿宋_GB2312" w:cs="仿宋"/>
          <w:b/>
          <w:color w:val="auto"/>
          <w:sz w:val="36"/>
          <w:szCs w:val="36"/>
        </w:rPr>
      </w:pPr>
      <w:r>
        <w:rPr>
          <w:rFonts w:hint="eastAsia" w:ascii="仿宋_GB2312" w:hAnsi="仿宋" w:eastAsia="仿宋_GB2312" w:cs="仿宋"/>
          <w:b/>
          <w:color w:val="auto"/>
          <w:sz w:val="36"/>
          <w:szCs w:val="36"/>
        </w:rPr>
        <w:t>政府采购合同参考范本</w:t>
      </w:r>
    </w:p>
    <w:p>
      <w:pPr>
        <w:spacing w:line="480" w:lineRule="auto"/>
        <w:jc w:val="center"/>
        <w:rPr>
          <w:rFonts w:ascii="仿宋_GB2312" w:hAnsi="仿宋" w:eastAsia="仿宋_GB2312" w:cs="仿宋"/>
          <w:b/>
          <w:color w:val="auto"/>
          <w:sz w:val="36"/>
          <w:szCs w:val="36"/>
        </w:rPr>
      </w:pPr>
      <w:r>
        <w:rPr>
          <w:rFonts w:hint="eastAsia" w:ascii="仿宋_GB2312" w:hAnsi="仿宋" w:eastAsia="仿宋_GB2312" w:cs="仿宋"/>
          <w:b/>
          <w:color w:val="auto"/>
          <w:sz w:val="36"/>
          <w:szCs w:val="36"/>
        </w:rPr>
        <w:t>（服务类）</w:t>
      </w:r>
    </w:p>
    <w:p>
      <w:pPr>
        <w:pStyle w:val="311"/>
        <w:ind w:left="0" w:leftChars="0" w:firstLine="0" w:firstLineChars="0"/>
        <w:rPr>
          <w:rFonts w:ascii="仿宋_GB2312" w:hAnsi="仿宋" w:eastAsia="仿宋_GB2312" w:cs="仿宋"/>
          <w:color w:val="auto"/>
          <w:szCs w:val="24"/>
        </w:rPr>
      </w:pPr>
    </w:p>
    <w:p>
      <w:pPr>
        <w:pStyle w:val="311"/>
        <w:jc w:val="center"/>
        <w:rPr>
          <w:rFonts w:ascii="仿宋_GB2312" w:hAnsi="仿宋" w:eastAsia="仿宋_GB2312" w:cs="仿宋"/>
          <w:color w:val="auto"/>
          <w:szCs w:val="24"/>
        </w:rPr>
      </w:pPr>
    </w:p>
    <w:p>
      <w:pPr>
        <w:pStyle w:val="311"/>
        <w:ind w:firstLine="2843" w:firstLineChars="1180"/>
        <w:rPr>
          <w:rFonts w:ascii="仿宋_GB2312" w:hAnsi="仿宋" w:eastAsia="仿宋_GB2312" w:cs="仿宋"/>
          <w:b/>
          <w:color w:val="auto"/>
          <w:szCs w:val="24"/>
        </w:rPr>
      </w:pPr>
      <w:r>
        <w:rPr>
          <w:rFonts w:hint="eastAsia" w:ascii="仿宋_GB2312" w:hAnsi="仿宋" w:eastAsia="仿宋_GB2312" w:cs="仿宋"/>
          <w:b/>
          <w:color w:val="auto"/>
          <w:szCs w:val="24"/>
        </w:rPr>
        <w:t>第一部分 合同书</w:t>
      </w:r>
    </w:p>
    <w:p>
      <w:pPr>
        <w:pStyle w:val="311"/>
        <w:rPr>
          <w:rFonts w:ascii="仿宋_GB2312" w:hAnsi="仿宋" w:eastAsia="仿宋_GB2312" w:cs="仿宋"/>
          <w:color w:val="auto"/>
          <w:szCs w:val="24"/>
        </w:rPr>
      </w:pPr>
    </w:p>
    <w:p>
      <w:pPr>
        <w:pStyle w:val="311"/>
        <w:rPr>
          <w:rFonts w:ascii="仿宋_GB2312" w:hAnsi="仿宋" w:eastAsia="仿宋_GB2312" w:cs="仿宋"/>
          <w:color w:val="auto"/>
          <w:szCs w:val="24"/>
        </w:rPr>
      </w:pPr>
    </w:p>
    <w:p>
      <w:pPr>
        <w:spacing w:before="120" w:line="22" w:lineRule="atLeast"/>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项目名称：</w:t>
      </w:r>
      <w:r>
        <w:rPr>
          <w:rFonts w:hint="eastAsia" w:ascii="仿宋_GB2312" w:hAnsi="仿宋" w:eastAsia="仿宋_GB2312" w:cs="仿宋"/>
          <w:color w:val="auto"/>
          <w:sz w:val="24"/>
          <w:u w:val="single"/>
        </w:rPr>
        <w:t xml:space="preserve">                                   </w:t>
      </w:r>
    </w:p>
    <w:p>
      <w:pPr>
        <w:pStyle w:val="310"/>
        <w:spacing w:before="120" w:line="22" w:lineRule="atLeast"/>
        <w:rPr>
          <w:rFonts w:hAnsi="仿宋" w:cs="仿宋"/>
          <w:color w:val="auto"/>
          <w:szCs w:val="24"/>
        </w:rPr>
      </w:pPr>
    </w:p>
    <w:p>
      <w:pPr>
        <w:pStyle w:val="310"/>
        <w:spacing w:before="120" w:line="22" w:lineRule="atLeast"/>
        <w:rPr>
          <w:rFonts w:hAnsi="仿宋" w:cs="仿宋"/>
          <w:color w:val="auto"/>
          <w:szCs w:val="24"/>
        </w:rPr>
      </w:pPr>
    </w:p>
    <w:p>
      <w:pPr>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甲方：</w:t>
      </w:r>
      <w:r>
        <w:rPr>
          <w:rFonts w:hint="eastAsia" w:ascii="仿宋_GB2312" w:hAnsi="仿宋" w:eastAsia="仿宋_GB2312" w:cs="仿宋"/>
          <w:color w:val="auto"/>
          <w:sz w:val="24"/>
          <w:u w:val="single"/>
        </w:rPr>
        <w:t xml:space="preserve">                                       </w:t>
      </w:r>
    </w:p>
    <w:p>
      <w:pPr>
        <w:spacing w:before="120" w:line="22" w:lineRule="atLeast"/>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乙方：</w:t>
      </w:r>
      <w:r>
        <w:rPr>
          <w:rFonts w:hint="eastAsia" w:ascii="仿宋_GB2312" w:hAnsi="仿宋" w:eastAsia="仿宋_GB2312" w:cs="仿宋"/>
          <w:color w:val="auto"/>
          <w:sz w:val="24"/>
          <w:u w:val="single"/>
        </w:rPr>
        <w:t xml:space="preserve">                                       </w:t>
      </w:r>
    </w:p>
    <w:p>
      <w:pPr>
        <w:spacing w:before="120" w:line="22" w:lineRule="atLeast"/>
        <w:rPr>
          <w:rFonts w:ascii="仿宋_GB2312" w:hAnsi="仿宋" w:eastAsia="仿宋_GB2312" w:cs="仿宋"/>
          <w:color w:val="auto"/>
          <w:sz w:val="24"/>
        </w:rPr>
      </w:pPr>
    </w:p>
    <w:p>
      <w:pPr>
        <w:spacing w:before="120" w:line="22" w:lineRule="atLeast"/>
        <w:ind w:firstLine="1440" w:firstLineChars="600"/>
        <w:rPr>
          <w:rFonts w:ascii="仿宋_GB2312" w:hAnsi="仿宋" w:eastAsia="仿宋_GB2312" w:cs="仿宋"/>
          <w:color w:val="auto"/>
          <w:sz w:val="24"/>
          <w:u w:val="single"/>
        </w:rPr>
      </w:pPr>
      <w:r>
        <w:rPr>
          <w:rFonts w:hint="eastAsia" w:ascii="仿宋_GB2312" w:hAnsi="仿宋" w:eastAsia="仿宋_GB2312" w:cs="仿宋"/>
          <w:color w:val="auto"/>
          <w:sz w:val="24"/>
        </w:rPr>
        <w:t>签订地：</w:t>
      </w:r>
      <w:r>
        <w:rPr>
          <w:rFonts w:hint="eastAsia" w:ascii="仿宋_GB2312" w:hAnsi="仿宋" w:eastAsia="仿宋_GB2312" w:cs="仿宋"/>
          <w:color w:val="auto"/>
          <w:sz w:val="24"/>
          <w:u w:val="single"/>
        </w:rPr>
        <w:t xml:space="preserve">                                     </w:t>
      </w:r>
    </w:p>
    <w:p>
      <w:pPr>
        <w:spacing w:before="120" w:line="22" w:lineRule="atLeast"/>
        <w:rPr>
          <w:rFonts w:ascii="仿宋_GB2312" w:hAnsi="仿宋" w:eastAsia="仿宋_GB2312" w:cs="仿宋"/>
          <w:color w:val="auto"/>
          <w:sz w:val="24"/>
        </w:rPr>
      </w:pPr>
    </w:p>
    <w:p>
      <w:pPr>
        <w:spacing w:before="120" w:line="22" w:lineRule="atLeast"/>
        <w:ind w:firstLine="1440" w:firstLineChars="600"/>
        <w:rPr>
          <w:rFonts w:ascii="仿宋_GB2312" w:hAnsi="仿宋" w:eastAsia="仿宋_GB2312" w:cs="仿宋"/>
          <w:color w:val="auto"/>
          <w:sz w:val="24"/>
          <w:u w:val="single"/>
        </w:rPr>
      </w:pPr>
      <w:r>
        <w:rPr>
          <w:rFonts w:hint="eastAsia" w:ascii="仿宋_GB2312" w:hAnsi="仿宋" w:eastAsia="仿宋_GB2312" w:cs="仿宋"/>
          <w:color w:val="auto"/>
          <w:sz w:val="24"/>
        </w:rPr>
        <w:t>签订日期：</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日</w:t>
      </w:r>
    </w:p>
    <w:p>
      <w:pPr>
        <w:widowControl/>
        <w:jc w:val="left"/>
        <w:rPr>
          <w:rFonts w:ascii="仿宋_GB2312" w:hAnsi="仿宋" w:eastAsia="仿宋_GB2312" w:cs="仿宋"/>
          <w:color w:val="auto"/>
          <w:kern w:val="0"/>
          <w:sz w:val="24"/>
        </w:rPr>
        <w:sectPr>
          <w:headerReference r:id="rId8" w:type="default"/>
          <w:footerReference r:id="rId9" w:type="default"/>
          <w:pgSz w:w="11907" w:h="16840"/>
          <w:pgMar w:top="1587" w:right="1474" w:bottom="1587" w:left="1474" w:header="992" w:footer="992" w:gutter="0"/>
          <w:pgNumType w:fmt="decimal"/>
          <w:cols w:space="720" w:num="1"/>
          <w:titlePg/>
          <w:docGrid w:linePitch="286" w:charSpace="0"/>
        </w:sectPr>
      </w:pP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年</w:t>
      </w: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月</w:t>
      </w: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日</w:t>
      </w:r>
      <w:r>
        <w:rPr>
          <w:rFonts w:hint="eastAsia" w:ascii="仿宋_GB2312" w:hAnsi="仿宋" w:eastAsia="仿宋_GB2312" w:cs="仿宋"/>
          <w:color w:val="auto"/>
          <w:sz w:val="24"/>
        </w:rPr>
        <w:t>，</w:t>
      </w:r>
      <w:r>
        <w:rPr>
          <w:rFonts w:hint="eastAsia" w:ascii="仿宋_GB2312" w:hAnsi="仿宋" w:eastAsia="仿宋_GB2312" w:cs="仿宋"/>
          <w:color w:val="auto"/>
          <w:sz w:val="24"/>
          <w:u w:val="single"/>
        </w:rPr>
        <w:t xml:space="preserve">   （采购人）   </w:t>
      </w:r>
      <w:r>
        <w:rPr>
          <w:rFonts w:hint="eastAsia" w:ascii="仿宋_GB2312" w:hAnsi="仿宋" w:eastAsia="仿宋_GB2312" w:cs="仿宋"/>
          <w:color w:val="auto"/>
          <w:sz w:val="24"/>
        </w:rPr>
        <w:t>以</w:t>
      </w:r>
      <w:r>
        <w:rPr>
          <w:rFonts w:hint="eastAsia" w:ascii="仿宋_GB2312" w:hAnsi="仿宋" w:eastAsia="仿宋_GB2312" w:cs="仿宋"/>
          <w:color w:val="auto"/>
          <w:sz w:val="24"/>
          <w:u w:val="single"/>
        </w:rPr>
        <w:t xml:space="preserve">   （政府采购方式）  </w:t>
      </w:r>
      <w:r>
        <w:rPr>
          <w:rFonts w:hint="eastAsia" w:ascii="仿宋_GB2312" w:hAnsi="仿宋" w:eastAsia="仿宋_GB2312" w:cs="仿宋"/>
          <w:color w:val="auto"/>
          <w:sz w:val="24"/>
        </w:rPr>
        <w:t>对</w:t>
      </w:r>
      <w:r>
        <w:rPr>
          <w:rFonts w:hint="eastAsia" w:ascii="仿宋_GB2312" w:hAnsi="仿宋" w:eastAsia="仿宋_GB2312" w:cs="仿宋"/>
          <w:color w:val="auto"/>
          <w:sz w:val="24"/>
          <w:u w:val="single"/>
        </w:rPr>
        <w:t xml:space="preserve">  （项目名称）    </w:t>
      </w:r>
      <w:r>
        <w:rPr>
          <w:rFonts w:hint="eastAsia" w:ascii="仿宋_GB2312" w:hAnsi="仿宋" w:eastAsia="仿宋_GB2312" w:cs="仿宋"/>
          <w:color w:val="auto"/>
          <w:sz w:val="24"/>
        </w:rPr>
        <w:t>项目进行了采购。经</w:t>
      </w:r>
      <w:r>
        <w:rPr>
          <w:rFonts w:hint="eastAsia" w:ascii="仿宋_GB2312" w:hAnsi="仿宋" w:eastAsia="仿宋_GB2312" w:cs="仿宋"/>
          <w:color w:val="auto"/>
          <w:sz w:val="24"/>
          <w:u w:val="single"/>
        </w:rPr>
        <w:t xml:space="preserve">   （相关评定主体名称）   </w:t>
      </w:r>
      <w:r>
        <w:rPr>
          <w:rFonts w:hint="eastAsia" w:ascii="仿宋_GB2312" w:hAnsi="仿宋" w:eastAsia="仿宋_GB2312" w:cs="仿宋"/>
          <w:color w:val="auto"/>
          <w:sz w:val="24"/>
        </w:rPr>
        <w:t>评定，</w:t>
      </w:r>
      <w:r>
        <w:rPr>
          <w:rFonts w:hint="eastAsia" w:ascii="仿宋_GB2312" w:hAnsi="仿宋" w:eastAsia="仿宋_GB2312" w:cs="仿宋"/>
          <w:color w:val="auto"/>
          <w:sz w:val="24"/>
          <w:u w:val="single"/>
        </w:rPr>
        <w:t xml:space="preserve">   （中标或者成交供应商名称） </w:t>
      </w:r>
      <w:r>
        <w:rPr>
          <w:rFonts w:hint="eastAsia" w:ascii="仿宋_GB2312" w:hAnsi="仿宋" w:eastAsia="仿宋_GB2312" w:cs="仿宋"/>
          <w:color w:val="auto"/>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u w:val="single"/>
        </w:rPr>
        <w:t xml:space="preserve">   （采购人）   </w:t>
      </w:r>
      <w:r>
        <w:rPr>
          <w:rFonts w:hint="eastAsia" w:ascii="仿宋_GB2312" w:hAnsi="仿宋" w:eastAsia="仿宋_GB2312" w:cs="仿宋"/>
          <w:color w:val="auto"/>
          <w:sz w:val="24"/>
          <w:lang w:val="zh-CN"/>
        </w:rPr>
        <w:t>(以下简称：甲方)和</w:t>
      </w:r>
      <w:r>
        <w:rPr>
          <w:rFonts w:hint="eastAsia" w:ascii="仿宋_GB2312" w:hAnsi="仿宋" w:eastAsia="仿宋_GB2312" w:cs="仿宋"/>
          <w:color w:val="auto"/>
          <w:sz w:val="24"/>
          <w:u w:val="single"/>
        </w:rPr>
        <w:t xml:space="preserve">   （中或者成交标供应商名称）   </w:t>
      </w:r>
      <w:r>
        <w:rPr>
          <w:rFonts w:hint="eastAsia" w:ascii="仿宋_GB2312" w:hAnsi="仿宋" w:eastAsia="仿宋_GB2312" w:cs="仿宋"/>
          <w:color w:val="auto"/>
          <w:sz w:val="24"/>
          <w:lang w:val="zh-CN"/>
        </w:rPr>
        <w:t>(以下简称：乙方)协商一致，约定以下合同</w:t>
      </w:r>
      <w:r>
        <w:rPr>
          <w:rFonts w:hint="eastAsia" w:ascii="仿宋_GB2312" w:hAnsi="仿宋" w:eastAsia="仿宋_GB2312" w:cs="仿宋"/>
          <w:color w:val="auto"/>
          <w:sz w:val="24"/>
        </w:rPr>
        <w:t>条款，以兹共同遵守、全面履行。</w:t>
      </w:r>
    </w:p>
    <w:p>
      <w:pPr>
        <w:spacing w:line="440" w:lineRule="exact"/>
        <w:ind w:firstLine="482" w:firstLineChars="200"/>
        <w:outlineLvl w:val="0"/>
        <w:rPr>
          <w:rFonts w:ascii="仿宋_GB2312" w:hAnsi="仿宋" w:eastAsia="仿宋_GB2312" w:cs="仿宋"/>
          <w:color w:val="auto"/>
          <w:sz w:val="24"/>
        </w:rPr>
      </w:pPr>
      <w:bookmarkStart w:id="44" w:name="_Toc15367"/>
      <w:bookmarkStart w:id="45" w:name="_Toc28855"/>
      <w:bookmarkStart w:id="46" w:name="_Toc20421"/>
      <w:bookmarkStart w:id="47" w:name="_Toc22967"/>
      <w:bookmarkStart w:id="48" w:name="_Toc19273"/>
      <w:r>
        <w:rPr>
          <w:rFonts w:hint="eastAsia" w:ascii="仿宋_GB2312" w:hAnsi="仿宋" w:eastAsia="仿宋_GB2312" w:cs="仿宋"/>
          <w:b/>
          <w:color w:val="auto"/>
          <w:sz w:val="24"/>
        </w:rPr>
        <w:t>1.1 合同组成部分</w:t>
      </w:r>
      <w:bookmarkEnd w:id="44"/>
      <w:bookmarkEnd w:id="45"/>
      <w:bookmarkEnd w:id="46"/>
      <w:bookmarkEnd w:id="47"/>
      <w:bookmarkEnd w:id="48"/>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1.1.1 本合同及其补充合同、变更协议；</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1.1.2 中标或者成交通知书；</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1.1.3 投标或者响应文件（含澄清或者说明文件）；</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1.1.4 采购文件（含澄清或者修改文件）；</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1.1.5 其他相关采购文件。</w:t>
      </w:r>
    </w:p>
    <w:p>
      <w:pPr>
        <w:spacing w:line="440" w:lineRule="exact"/>
        <w:ind w:firstLine="482" w:firstLineChars="200"/>
        <w:outlineLvl w:val="0"/>
        <w:rPr>
          <w:rFonts w:ascii="仿宋_GB2312" w:hAnsi="仿宋" w:eastAsia="仿宋_GB2312" w:cs="仿宋"/>
          <w:b/>
          <w:color w:val="auto"/>
          <w:sz w:val="24"/>
        </w:rPr>
      </w:pPr>
      <w:bookmarkStart w:id="49" w:name="_Toc6773"/>
      <w:bookmarkStart w:id="50" w:name="_Toc6311"/>
      <w:bookmarkStart w:id="51" w:name="_Toc22185"/>
      <w:bookmarkStart w:id="52" w:name="_Toc2918"/>
      <w:bookmarkStart w:id="53" w:name="_Toc18585"/>
      <w:r>
        <w:rPr>
          <w:rFonts w:hint="eastAsia" w:ascii="仿宋_GB2312" w:hAnsi="仿宋" w:eastAsia="仿宋_GB2312" w:cs="仿宋"/>
          <w:b/>
          <w:color w:val="auto"/>
          <w:sz w:val="24"/>
        </w:rPr>
        <w:t>1.2 标的</w:t>
      </w:r>
      <w:bookmarkEnd w:id="49"/>
      <w:bookmarkEnd w:id="50"/>
      <w:bookmarkEnd w:id="51"/>
      <w:bookmarkEnd w:id="52"/>
      <w:bookmarkEnd w:id="53"/>
    </w:p>
    <w:p>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1.2.1 服务内容：</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1.2.2 服务标准：</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1.2.3 技术保障：</w:t>
      </w:r>
      <w:r>
        <w:rPr>
          <w:rFonts w:hint="eastAsia" w:ascii="仿宋_GB2312" w:hAnsi="仿宋" w:eastAsia="仿宋_GB2312" w:cs="仿宋"/>
          <w:color w:val="auto"/>
          <w:sz w:val="24"/>
          <w:u w:val="single"/>
        </w:rPr>
        <w:t>　　　　　　　　　                      　      ；</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1.2.4 服务人员组成：</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pStyle w:val="312"/>
        <w:spacing w:before="0" w:beforeAutospacing="0" w:after="0" w:afterAutospacing="0" w:line="440" w:lineRule="exact"/>
        <w:ind w:firstLine="480" w:firstLineChars="200"/>
        <w:rPr>
          <w:rFonts w:ascii="仿宋_GB2312" w:hAnsi="仿宋" w:eastAsia="仿宋_GB2312" w:cs="仿宋"/>
          <w:color w:val="auto"/>
        </w:rPr>
      </w:pPr>
      <w:r>
        <w:rPr>
          <w:rFonts w:hint="eastAsia" w:ascii="仿宋_GB2312" w:hAnsi="仿宋" w:eastAsia="仿宋_GB2312" w:cs="仿宋"/>
          <w:color w:val="auto"/>
        </w:rPr>
        <w:t>1.2.5合同</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（是/否）涉及货物。若涉及货物的的，则：</w:t>
      </w:r>
    </w:p>
    <w:p>
      <w:pPr>
        <w:spacing w:line="440" w:lineRule="exact"/>
        <w:ind w:firstLine="480" w:firstLineChars="200"/>
        <w:rPr>
          <w:rFonts w:ascii="仿宋_GB2312" w:hAnsi="仿宋" w:eastAsia="仿宋_GB2312" w:cs="仿宋"/>
          <w:color w:val="auto"/>
          <w:sz w:val="24"/>
          <w:u w:val="single"/>
        </w:rPr>
      </w:pPr>
      <w:bookmarkStart w:id="54" w:name="_Toc21124"/>
      <w:bookmarkStart w:id="55" w:name="_Toc1386"/>
      <w:bookmarkStart w:id="56" w:name="_Toc5635"/>
      <w:bookmarkStart w:id="57" w:name="_Toc13918"/>
      <w:bookmarkStart w:id="58" w:name="_Toc4929"/>
      <w:r>
        <w:rPr>
          <w:rFonts w:hint="eastAsia" w:ascii="仿宋_GB2312" w:hAnsi="仿宋" w:eastAsia="仿宋_GB2312" w:cs="仿宋"/>
          <w:color w:val="auto"/>
          <w:sz w:val="24"/>
        </w:rPr>
        <w:t>1.2.5.1 货物名称、品牌、规格型号、花色：</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1.2.5.2 货物数量：</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1.2.5.3 货物质量：</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spacing w:line="440" w:lineRule="exact"/>
        <w:ind w:firstLine="482" w:firstLineChars="200"/>
        <w:outlineLvl w:val="0"/>
        <w:rPr>
          <w:rFonts w:ascii="仿宋_GB2312" w:hAnsi="仿宋" w:eastAsia="仿宋_GB2312" w:cs="仿宋"/>
          <w:b/>
          <w:color w:val="auto"/>
          <w:sz w:val="24"/>
        </w:rPr>
      </w:pPr>
      <w:r>
        <w:rPr>
          <w:rFonts w:hint="eastAsia" w:ascii="仿宋_GB2312" w:hAnsi="仿宋" w:eastAsia="仿宋_GB2312" w:cs="仿宋"/>
          <w:b/>
          <w:color w:val="auto"/>
          <w:sz w:val="24"/>
        </w:rPr>
        <w:t>1.3 价款</w:t>
      </w:r>
      <w:bookmarkEnd w:id="54"/>
      <w:bookmarkEnd w:id="55"/>
      <w:bookmarkEnd w:id="56"/>
      <w:bookmarkEnd w:id="57"/>
      <w:bookmarkEnd w:id="58"/>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本项目采用以下第</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条款规定的计价方式计价。</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1.3.1总价合同，本合同总价（含税）为：￥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元（大写：</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元人民币）。</w:t>
      </w:r>
    </w:p>
    <w:p>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序号</w:t>
            </w: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分项名称</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总价</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rPr>
            </w:pPr>
          </w:p>
        </w:tc>
      </w:tr>
    </w:tbl>
    <w:p>
      <w:pPr>
        <w:spacing w:line="400" w:lineRule="exact"/>
        <w:ind w:firstLine="480" w:firstLineChars="200"/>
        <w:rPr>
          <w:rFonts w:ascii="仿宋_GB2312" w:hAnsi="仿宋" w:eastAsia="仿宋_GB2312" w:cs="仿宋"/>
          <w:color w:val="auto"/>
          <w:sz w:val="24"/>
        </w:rPr>
      </w:pPr>
      <w:bookmarkStart w:id="59" w:name="_Toc30506"/>
      <w:bookmarkStart w:id="60" w:name="_Toc26916"/>
      <w:bookmarkStart w:id="61" w:name="_Toc14993"/>
      <w:bookmarkStart w:id="62" w:name="_Toc3654"/>
      <w:bookmarkStart w:id="63" w:name="_Toc30158"/>
      <w:r>
        <w:rPr>
          <w:rFonts w:hint="eastAsia" w:ascii="仿宋_GB2312" w:hAnsi="仿宋" w:eastAsia="仿宋_GB2312" w:cs="仿宋"/>
          <w:bCs/>
          <w:color w:val="auto"/>
          <w:sz w:val="24"/>
        </w:rPr>
        <w:t>1.3.2单价合同，本合同单价（含税）标准为：</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。服务工作量的计量方式为：</w:t>
      </w:r>
      <w:r>
        <w:rPr>
          <w:rFonts w:hint="eastAsia" w:ascii="仿宋_GB2312" w:hAnsi="仿宋" w:eastAsia="仿宋_GB2312" w:cs="仿宋"/>
          <w:bCs/>
          <w:color w:val="auto"/>
          <w:sz w:val="24"/>
          <w:u w:val="single"/>
        </w:rPr>
        <w:t xml:space="preserve">       </w:t>
      </w:r>
      <w:r>
        <w:rPr>
          <w:rFonts w:hint="eastAsia" w:ascii="仿宋_GB2312" w:hAnsi="仿宋" w:eastAsia="仿宋_GB2312" w:cs="仿宋"/>
          <w:b/>
          <w:i/>
          <w:color w:val="auto"/>
          <w:sz w:val="24"/>
          <w:u w:val="single"/>
        </w:rPr>
        <w:t>合同专用条款</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元（大写：</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元人民币）。</w:t>
      </w:r>
    </w:p>
    <w:p>
      <w:pPr>
        <w:spacing w:line="400" w:lineRule="exact"/>
        <w:ind w:firstLine="480" w:firstLineChars="200"/>
        <w:rPr>
          <w:rFonts w:ascii="仿宋_GB2312" w:hAnsi="仿宋" w:eastAsia="仿宋_GB2312" w:cs="仿宋"/>
          <w:bCs/>
          <w:color w:val="auto"/>
          <w:sz w:val="24"/>
        </w:rPr>
      </w:pPr>
      <w:r>
        <w:rPr>
          <w:rFonts w:hint="eastAsia" w:ascii="仿宋_GB2312" w:hAnsi="仿宋" w:eastAsia="仿宋_GB2312" w:cs="仿宋"/>
          <w:bCs/>
          <w:color w:val="auto"/>
          <w:sz w:val="24"/>
        </w:rPr>
        <w:t>1.3.3其他计价方式：</w:t>
      </w:r>
      <w:r>
        <w:rPr>
          <w:rFonts w:hint="eastAsia" w:ascii="仿宋_GB2312" w:hAnsi="仿宋" w:eastAsia="仿宋_GB2312" w:cs="仿宋"/>
          <w:bCs/>
          <w:color w:val="auto"/>
          <w:sz w:val="24"/>
          <w:u w:val="single"/>
        </w:rPr>
        <w:t xml:space="preserve">                   </w:t>
      </w:r>
      <w:r>
        <w:rPr>
          <w:rFonts w:hint="eastAsia" w:ascii="仿宋_GB2312" w:hAnsi="仿宋" w:eastAsia="仿宋_GB2312" w:cs="仿宋"/>
          <w:bCs/>
          <w:color w:val="auto"/>
          <w:sz w:val="24"/>
        </w:rPr>
        <w:t>。</w:t>
      </w:r>
    </w:p>
    <w:bookmarkEnd w:id="59"/>
    <w:bookmarkEnd w:id="60"/>
    <w:bookmarkEnd w:id="61"/>
    <w:bookmarkEnd w:id="62"/>
    <w:bookmarkEnd w:id="63"/>
    <w:p>
      <w:pPr>
        <w:pStyle w:val="312"/>
        <w:spacing w:before="0" w:beforeAutospacing="0" w:after="0" w:afterAutospacing="0" w:line="400" w:lineRule="exact"/>
        <w:ind w:firstLine="482" w:firstLineChars="200"/>
        <w:rPr>
          <w:rFonts w:ascii="仿宋_GB2312" w:hAnsi="仿宋" w:eastAsia="仿宋_GB2312" w:cs="仿宋"/>
          <w:b/>
          <w:color w:val="auto"/>
        </w:rPr>
      </w:pPr>
      <w:bookmarkStart w:id="64" w:name="_Toc10340"/>
      <w:bookmarkStart w:id="65" w:name="_Toc1814"/>
      <w:bookmarkStart w:id="66" w:name="_Toc22618"/>
      <w:bookmarkStart w:id="67" w:name="_Toc31421"/>
      <w:bookmarkStart w:id="68" w:name="_Toc3625"/>
      <w:bookmarkStart w:id="69" w:name="_Toc11108"/>
      <w:bookmarkStart w:id="70" w:name="_Toc8772"/>
      <w:bookmarkStart w:id="71" w:name="_Toc4760"/>
      <w:r>
        <w:rPr>
          <w:rFonts w:hint="eastAsia" w:ascii="仿宋_GB2312" w:hAnsi="仿宋" w:eastAsia="仿宋_GB2312" w:cs="仿宋"/>
          <w:b/>
          <w:color w:val="auto"/>
        </w:rPr>
        <w:t>1.4履约保证金</w:t>
      </w:r>
    </w:p>
    <w:p>
      <w:pPr>
        <w:pStyle w:val="312"/>
        <w:spacing w:before="0" w:beforeAutospacing="0" w:after="0" w:afterAutospacing="0" w:line="400" w:lineRule="exact"/>
        <w:ind w:firstLine="480" w:firstLineChars="200"/>
        <w:rPr>
          <w:rFonts w:ascii="仿宋_GB2312" w:hAnsi="仿宋" w:eastAsia="仿宋_GB2312" w:cs="仿宋"/>
          <w:color w:val="auto"/>
        </w:rPr>
      </w:pPr>
      <w:r>
        <w:rPr>
          <w:rFonts w:hint="eastAsia" w:ascii="仿宋_GB2312" w:hAnsi="仿宋" w:eastAsia="仿宋_GB2312" w:cs="仿宋"/>
          <w:color w:val="auto"/>
        </w:rPr>
        <w:t>乙方</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rPr>
      </w:pPr>
      <w:r>
        <w:rPr>
          <w:rFonts w:hint="eastAsia" w:ascii="仿宋_GB2312" w:hAnsi="仿宋" w:eastAsia="仿宋_GB2312" w:cs="仿宋"/>
          <w:color w:val="auto"/>
          <w:kern w:val="0"/>
          <w:sz w:val="24"/>
        </w:rPr>
        <w:t>1.4.1履约保证金的比例为合同金额的</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w:t>
      </w:r>
    </w:p>
    <w:p>
      <w:pPr>
        <w:spacing w:line="400" w:lineRule="exact"/>
        <w:ind w:firstLine="480" w:firstLineChars="200"/>
        <w:outlineLvl w:val="0"/>
        <w:rPr>
          <w:rFonts w:ascii="仿宋_GB2312" w:hAnsi="仿宋" w:eastAsia="仿宋_GB2312" w:cs="仿宋"/>
          <w:color w:val="auto"/>
          <w:kern w:val="0"/>
          <w:sz w:val="24"/>
        </w:rPr>
      </w:pPr>
      <w:r>
        <w:rPr>
          <w:rFonts w:hint="eastAsia" w:ascii="仿宋_GB2312" w:hAnsi="仿宋" w:eastAsia="仿宋_GB2312" w:cs="仿宋"/>
          <w:color w:val="auto"/>
          <w:kern w:val="0"/>
          <w:sz w:val="24"/>
        </w:rPr>
        <w:t>1.4.2履约保证金支付方式详见</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w:t>
      </w:r>
    </w:p>
    <w:p>
      <w:pPr>
        <w:spacing w:line="400" w:lineRule="exact"/>
        <w:ind w:firstLine="480" w:firstLineChars="200"/>
        <w:outlineLvl w:val="0"/>
        <w:rPr>
          <w:rFonts w:ascii="仿宋_GB2312" w:hAnsi="仿宋" w:eastAsia="仿宋_GB2312" w:cs="仿宋"/>
          <w:color w:val="auto"/>
          <w:kern w:val="0"/>
          <w:sz w:val="24"/>
        </w:rPr>
      </w:pPr>
      <w:r>
        <w:rPr>
          <w:rFonts w:hint="eastAsia" w:ascii="仿宋_GB2312" w:hAnsi="仿宋" w:eastAsia="仿宋_GB2312" w:cs="仿宋"/>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rPr>
      </w:pPr>
      <w:r>
        <w:rPr>
          <w:rFonts w:hint="eastAsia" w:ascii="仿宋_GB2312" w:hAnsi="仿宋" w:eastAsia="仿宋_GB2312" w:cs="仿宋"/>
          <w:color w:val="auto"/>
          <w:kern w:val="0"/>
          <w:sz w:val="24"/>
        </w:rPr>
        <w:t>1.4.4甲方在项目验收结束后及时退还履约保证金。甲方在项目通过验收之日起</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%计算，最高限额为本合同履约保证金的</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 xml:space="preserve"> %。</w:t>
      </w:r>
    </w:p>
    <w:p>
      <w:pPr>
        <w:spacing w:line="400" w:lineRule="exact"/>
        <w:ind w:firstLine="482" w:firstLineChars="200"/>
        <w:outlineLvl w:val="0"/>
        <w:rPr>
          <w:rFonts w:ascii="仿宋_GB2312" w:hAnsi="仿宋" w:eastAsia="仿宋_GB2312" w:cs="仿宋"/>
          <w:b/>
          <w:color w:val="auto"/>
          <w:sz w:val="24"/>
        </w:rPr>
      </w:pPr>
      <w:r>
        <w:rPr>
          <w:rFonts w:hint="eastAsia" w:ascii="仿宋_GB2312" w:hAnsi="仿宋" w:eastAsia="仿宋_GB2312" w:cs="仿宋"/>
          <w:b/>
          <w:color w:val="auto"/>
          <w:sz w:val="24"/>
        </w:rPr>
        <w:t>1.5</w:t>
      </w:r>
      <w:bookmarkEnd w:id="64"/>
      <w:bookmarkEnd w:id="65"/>
      <w:bookmarkEnd w:id="66"/>
      <w:r>
        <w:rPr>
          <w:rFonts w:hint="eastAsia" w:ascii="仿宋_GB2312" w:hAnsi="仿宋" w:eastAsia="仿宋_GB2312" w:cs="仿宋"/>
          <w:b/>
          <w:color w:val="auto"/>
          <w:sz w:val="24"/>
        </w:rPr>
        <w:t>预付款</w:t>
      </w:r>
    </w:p>
    <w:p>
      <w:pPr>
        <w:pStyle w:val="312"/>
        <w:spacing w:before="0" w:beforeAutospacing="0" w:after="0" w:afterAutospacing="0" w:line="400" w:lineRule="exact"/>
        <w:ind w:firstLine="480" w:firstLineChars="200"/>
        <w:rPr>
          <w:rFonts w:ascii="仿宋_GB2312" w:hAnsi="仿宋" w:eastAsia="仿宋_GB2312" w:cs="仿宋"/>
          <w:color w:val="auto"/>
        </w:rPr>
      </w:pPr>
      <w:r>
        <w:rPr>
          <w:rFonts w:hint="eastAsia" w:ascii="仿宋_GB2312" w:hAnsi="仿宋" w:eastAsia="仿宋_GB2312" w:cs="仿宋"/>
          <w:color w:val="auto"/>
        </w:rPr>
        <w:t>甲方</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（是/否）需要支付预付款。若需要支付预付款的，则：</w:t>
      </w:r>
    </w:p>
    <w:p>
      <w:pPr>
        <w:spacing w:line="40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1.5.1预付款比例、支付方式、时间详见</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w:t>
      </w:r>
    </w:p>
    <w:p>
      <w:pPr>
        <w:pStyle w:val="312"/>
        <w:spacing w:before="0" w:beforeAutospacing="0" w:after="0" w:afterAutospacing="0" w:line="400" w:lineRule="exact"/>
        <w:ind w:firstLine="480" w:firstLineChars="200"/>
        <w:rPr>
          <w:rFonts w:ascii="仿宋_GB2312" w:hAnsi="仿宋" w:eastAsia="仿宋_GB2312" w:cs="仿宋"/>
          <w:color w:val="auto"/>
        </w:rPr>
      </w:pPr>
      <w:r>
        <w:rPr>
          <w:rFonts w:hint="eastAsia" w:ascii="仿宋_GB2312" w:hAnsi="仿宋" w:eastAsia="仿宋_GB2312" w:cs="仿宋"/>
          <w:color w:val="auto"/>
        </w:rPr>
        <w:t>1.5.2预付款的扣回方式详见</w:t>
      </w:r>
      <w:r>
        <w:rPr>
          <w:rFonts w:hint="eastAsia" w:ascii="仿宋_GB2312" w:hAnsi="仿宋" w:eastAsia="仿宋_GB2312" w:cs="仿宋"/>
          <w:color w:val="auto"/>
          <w:u w:val="single"/>
        </w:rPr>
        <w:t xml:space="preserve">    </w:t>
      </w:r>
      <w:r>
        <w:rPr>
          <w:rFonts w:hint="eastAsia" w:ascii="仿宋_GB2312" w:hAnsi="仿宋" w:eastAsia="仿宋_GB2312" w:cs="仿宋"/>
          <w:b/>
          <w:i/>
          <w:color w:val="auto"/>
          <w:u w:val="single"/>
        </w:rPr>
        <w:t>合同专用条款</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w:t>
      </w:r>
    </w:p>
    <w:p>
      <w:pPr>
        <w:pStyle w:val="312"/>
        <w:spacing w:before="0" w:beforeAutospacing="0" w:after="0" w:afterAutospacing="0" w:line="400" w:lineRule="exact"/>
        <w:ind w:firstLine="480" w:firstLineChars="200"/>
        <w:rPr>
          <w:rFonts w:ascii="仿宋_GB2312" w:hAnsi="仿宋" w:eastAsia="仿宋_GB2312" w:cs="仿宋"/>
          <w:color w:val="auto"/>
          <w:u w:val="single"/>
        </w:rPr>
      </w:pPr>
      <w:r>
        <w:rPr>
          <w:rFonts w:hint="eastAsia" w:ascii="仿宋_GB2312" w:hAnsi="仿宋" w:eastAsia="仿宋_GB2312" w:cs="仿宋"/>
          <w:color w:val="auto"/>
        </w:rPr>
        <w:t>1.5.3预付款的担保措施详见</w:t>
      </w:r>
      <w:r>
        <w:rPr>
          <w:rFonts w:hint="eastAsia" w:ascii="仿宋_GB2312" w:hAnsi="仿宋" w:eastAsia="仿宋_GB2312" w:cs="仿宋"/>
          <w:color w:val="auto"/>
          <w:u w:val="single"/>
        </w:rPr>
        <w:t xml:space="preserve">    </w:t>
      </w:r>
      <w:r>
        <w:rPr>
          <w:rFonts w:hint="eastAsia" w:ascii="仿宋_GB2312" w:hAnsi="仿宋" w:eastAsia="仿宋_GB2312" w:cs="仿宋"/>
          <w:b/>
          <w:i/>
          <w:color w:val="auto"/>
          <w:u w:val="single"/>
        </w:rPr>
        <w:t>合同专用条款</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w:t>
      </w:r>
    </w:p>
    <w:p>
      <w:pPr>
        <w:pStyle w:val="312"/>
        <w:spacing w:before="0" w:beforeAutospacing="0" w:after="0" w:afterAutospacing="0" w:line="400" w:lineRule="exact"/>
        <w:ind w:firstLine="482" w:firstLineChars="200"/>
        <w:rPr>
          <w:rFonts w:ascii="仿宋_GB2312" w:hAnsi="仿宋" w:eastAsia="仿宋_GB2312" w:cs="仿宋"/>
          <w:b/>
          <w:bCs/>
          <w:color w:val="auto"/>
        </w:rPr>
      </w:pPr>
      <w:r>
        <w:rPr>
          <w:rFonts w:hint="eastAsia" w:ascii="仿宋_GB2312" w:hAnsi="仿宋" w:eastAsia="仿宋_GB2312" w:cs="仿宋"/>
          <w:b/>
          <w:bCs/>
          <w:color w:val="auto"/>
        </w:rPr>
        <w:t>1.6资金支付</w:t>
      </w:r>
    </w:p>
    <w:p>
      <w:pPr>
        <w:pStyle w:val="312"/>
        <w:spacing w:before="0" w:beforeAutospacing="0" w:after="0" w:afterAutospacing="0" w:line="400" w:lineRule="exact"/>
        <w:ind w:firstLine="480" w:firstLineChars="200"/>
        <w:rPr>
          <w:rFonts w:ascii="仿宋_GB2312" w:hAnsi="仿宋" w:eastAsia="仿宋_GB2312" w:cs="仿宋"/>
          <w:color w:val="auto"/>
        </w:rPr>
      </w:pPr>
      <w:r>
        <w:rPr>
          <w:rFonts w:hint="eastAsia" w:ascii="仿宋_GB2312" w:hAnsi="仿宋" w:eastAsia="仿宋_GB2312"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rPr>
      </w:pPr>
      <w:r>
        <w:rPr>
          <w:rFonts w:hint="eastAsia" w:ascii="仿宋_GB2312" w:hAnsi="仿宋" w:eastAsia="仿宋_GB2312" w:cs="仿宋"/>
          <w:color w:val="auto"/>
          <w:sz w:val="24"/>
        </w:rPr>
        <w:t>1.6.2资金支付的方式、时间和条件详见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00" w:lineRule="exact"/>
        <w:ind w:firstLine="482" w:firstLineChars="200"/>
        <w:outlineLvl w:val="0"/>
        <w:rPr>
          <w:rFonts w:ascii="仿宋_GB2312" w:hAnsi="仿宋" w:eastAsia="仿宋_GB2312" w:cs="仿宋"/>
          <w:b/>
          <w:color w:val="auto"/>
          <w:sz w:val="24"/>
        </w:rPr>
      </w:pPr>
      <w:r>
        <w:rPr>
          <w:rFonts w:hint="eastAsia" w:ascii="仿宋_GB2312" w:hAnsi="仿宋" w:eastAsia="仿宋_GB2312" w:cs="仿宋"/>
          <w:b/>
          <w:color w:val="auto"/>
          <w:sz w:val="24"/>
        </w:rPr>
        <w:t>1.7 履行期限、地点和方式</w:t>
      </w:r>
      <w:bookmarkEnd w:id="67"/>
      <w:bookmarkEnd w:id="68"/>
      <w:bookmarkEnd w:id="69"/>
      <w:bookmarkEnd w:id="70"/>
      <w:bookmarkEnd w:id="71"/>
    </w:p>
    <w:p>
      <w:pPr>
        <w:spacing w:line="40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1.7.1 服务交付（实施）的时间（期限）：</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1.7.2 服务交付（实施）的地点（地域范围）：</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1.7.3 服务交付（实施）的方式：</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00" w:lineRule="exact"/>
        <w:ind w:firstLine="480" w:firstLineChars="200"/>
        <w:outlineLvl w:val="0"/>
        <w:rPr>
          <w:rFonts w:ascii="仿宋_GB2312" w:hAnsi="仿宋" w:eastAsia="仿宋_GB2312" w:cs="仿宋"/>
          <w:bCs/>
          <w:color w:val="auto"/>
          <w:sz w:val="24"/>
        </w:rPr>
      </w:pPr>
      <w:bookmarkStart w:id="72" w:name="_Toc2375"/>
      <w:bookmarkStart w:id="73" w:name="_Toc5698"/>
      <w:bookmarkStart w:id="74" w:name="_Toc3079"/>
      <w:bookmarkStart w:id="75" w:name="_Toc8586"/>
      <w:bookmarkStart w:id="76" w:name="_Toc24662"/>
      <w:r>
        <w:rPr>
          <w:rFonts w:hint="eastAsia" w:ascii="仿宋_GB2312" w:hAnsi="仿宋" w:eastAsia="仿宋_GB2312" w:cs="仿宋"/>
          <w:bCs/>
          <w:color w:val="auto"/>
          <w:sz w:val="24"/>
        </w:rPr>
        <w:t>1.7.4若服务涉及货物的，则货物的：</w:t>
      </w:r>
    </w:p>
    <w:p>
      <w:pPr>
        <w:spacing w:line="40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1.7.4.1 交付期限：详见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1.7.4.2 交付地点：</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1.7.4.3 交付方式：</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00" w:lineRule="exact"/>
        <w:ind w:firstLine="482" w:firstLineChars="200"/>
        <w:outlineLvl w:val="0"/>
        <w:rPr>
          <w:rFonts w:ascii="仿宋_GB2312" w:hAnsi="仿宋" w:eastAsia="仿宋_GB2312" w:cs="仿宋"/>
          <w:color w:val="auto"/>
          <w:sz w:val="24"/>
          <w:u w:val="single"/>
        </w:rPr>
      </w:pPr>
      <w:r>
        <w:rPr>
          <w:rFonts w:hint="eastAsia" w:ascii="仿宋_GB2312" w:hAnsi="仿宋" w:eastAsia="仿宋_GB2312" w:cs="仿宋"/>
          <w:b/>
          <w:color w:val="auto"/>
          <w:sz w:val="24"/>
        </w:rPr>
        <w:t>1.8违约责任</w:t>
      </w:r>
      <w:bookmarkEnd w:id="72"/>
      <w:bookmarkEnd w:id="73"/>
      <w:bookmarkEnd w:id="74"/>
      <w:bookmarkEnd w:id="75"/>
      <w:bookmarkEnd w:id="76"/>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%计算，最高限额为本合同总价的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%计算，最高限额为本合同总价的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%计算，最高限额为本合同总价的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rPr>
      </w:pPr>
      <w:bookmarkStart w:id="77" w:name="_Toc32454"/>
      <w:bookmarkStart w:id="78" w:name="_Toc26807"/>
      <w:bookmarkStart w:id="79" w:name="_Toc9497"/>
      <w:bookmarkStart w:id="80" w:name="_Toc30329"/>
      <w:bookmarkStart w:id="81" w:name="_Toc18683"/>
      <w:r>
        <w:rPr>
          <w:rFonts w:hint="eastAsia" w:ascii="仿宋_GB2312" w:hAnsi="仿宋" w:eastAsia="仿宋_GB2312"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rPr>
      </w:pPr>
      <w:r>
        <w:rPr>
          <w:rFonts w:hint="eastAsia" w:ascii="仿宋_GB2312" w:hAnsi="仿宋" w:eastAsia="仿宋_GB2312" w:cs="仿宋"/>
          <w:color w:val="auto"/>
          <w:sz w:val="24"/>
        </w:rPr>
        <w:t>1.8.7违约责任</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另有约定的，从其约定。</w:t>
      </w:r>
    </w:p>
    <w:bookmarkEnd w:id="77"/>
    <w:bookmarkEnd w:id="78"/>
    <w:bookmarkEnd w:id="79"/>
    <w:bookmarkEnd w:id="80"/>
    <w:bookmarkEnd w:id="81"/>
    <w:p>
      <w:pPr>
        <w:spacing w:line="400" w:lineRule="exact"/>
        <w:ind w:firstLine="482" w:firstLineChars="200"/>
        <w:outlineLvl w:val="0"/>
        <w:rPr>
          <w:rFonts w:ascii="仿宋_GB2312" w:hAnsi="仿宋" w:eastAsia="仿宋_GB2312" w:cs="仿宋"/>
          <w:b/>
          <w:color w:val="auto"/>
          <w:sz w:val="24"/>
        </w:rPr>
      </w:pPr>
      <w:bookmarkStart w:id="82" w:name="_Toc16021"/>
      <w:bookmarkStart w:id="83" w:name="_Toc28375"/>
      <w:bookmarkStart w:id="84" w:name="_Toc15583"/>
      <w:r>
        <w:rPr>
          <w:rFonts w:hint="eastAsia" w:ascii="仿宋_GB2312" w:hAnsi="仿宋" w:eastAsia="仿宋_GB2312" w:cs="仿宋"/>
          <w:b/>
          <w:color w:val="auto"/>
          <w:sz w:val="24"/>
        </w:rPr>
        <w:t>1.9合同争议的解决</w:t>
      </w:r>
      <w:bookmarkEnd w:id="82"/>
      <w:bookmarkEnd w:id="83"/>
      <w:bookmarkEnd w:id="84"/>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u w:val="single"/>
        </w:rPr>
        <w:t xml:space="preserve">      </w:t>
      </w:r>
      <w:r>
        <w:rPr>
          <w:rFonts w:hint="eastAsia" w:ascii="仿宋_GB2312" w:hAnsi="仿宋" w:eastAsia="仿宋_GB2312" w:cs="仿宋"/>
          <w:color w:val="auto"/>
          <w:sz w:val="24"/>
        </w:rPr>
        <w:t>条款规定的方式解决：</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1.9.1 将争议提交</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仲裁委员会依申请仲裁时其现行有效的仲裁规则裁决；</w:t>
      </w:r>
    </w:p>
    <w:p>
      <w:pPr>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1.9.2 向</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人民法院起诉。</w:t>
      </w:r>
    </w:p>
    <w:p>
      <w:pPr>
        <w:spacing w:line="400" w:lineRule="exact"/>
        <w:ind w:firstLine="482" w:firstLineChars="200"/>
        <w:outlineLvl w:val="0"/>
        <w:rPr>
          <w:rFonts w:ascii="仿宋_GB2312" w:hAnsi="仿宋" w:eastAsia="仿宋_GB2312" w:cs="仿宋"/>
          <w:b/>
          <w:color w:val="auto"/>
          <w:sz w:val="24"/>
        </w:rPr>
      </w:pPr>
      <w:bookmarkStart w:id="85" w:name="_Toc15322"/>
      <w:bookmarkStart w:id="86" w:name="_Toc7245"/>
      <w:bookmarkStart w:id="87" w:name="_Toc11173"/>
      <w:r>
        <w:rPr>
          <w:rFonts w:hint="eastAsia" w:ascii="仿宋_GB2312" w:hAnsi="仿宋" w:eastAsia="仿宋_GB2312" w:cs="仿宋"/>
          <w:b/>
          <w:color w:val="auto"/>
          <w:sz w:val="24"/>
        </w:rPr>
        <w:t>2.0 合同生效</w:t>
      </w:r>
      <w:bookmarkEnd w:id="85"/>
      <w:bookmarkEnd w:id="86"/>
      <w:bookmarkEnd w:id="87"/>
    </w:p>
    <w:p>
      <w:pPr>
        <w:spacing w:line="400" w:lineRule="exact"/>
        <w:ind w:firstLine="480" w:firstLineChars="200"/>
        <w:rPr>
          <w:rFonts w:ascii="仿宋_GB2312" w:hAnsi="仿宋" w:eastAsia="仿宋_GB2312" w:cs="仿宋"/>
          <w:color w:val="auto"/>
          <w:sz w:val="24"/>
          <w:lang w:val="zh-CN"/>
        </w:rPr>
      </w:pPr>
      <w:r>
        <w:rPr>
          <w:rFonts w:hint="eastAsia" w:ascii="仿宋_GB2312" w:hAnsi="仿宋" w:eastAsia="仿宋_GB2312" w:cs="仿宋"/>
          <w:color w:val="auto"/>
          <w:sz w:val="24"/>
        </w:rPr>
        <w:t>本合同自双方当事人盖章签字时生效。</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b/>
          <w:color w:val="auto"/>
          <w:sz w:val="24"/>
          <w:lang w:val="zh-CN"/>
        </w:rPr>
        <w:t>甲方</w:t>
      </w:r>
      <w:r>
        <w:rPr>
          <w:rFonts w:hint="eastAsia" w:ascii="仿宋_GB2312" w:hAnsi="仿宋" w:eastAsia="仿宋_GB2312" w:cs="仿宋"/>
          <w:color w:val="auto"/>
          <w:sz w:val="24"/>
          <w:lang w:val="zh-CN"/>
        </w:rPr>
        <w:t xml:space="preserve">：                             </w:t>
      </w:r>
      <w:r>
        <w:rPr>
          <w:rFonts w:hint="eastAsia" w:ascii="仿宋_GB2312" w:hAnsi="仿宋" w:eastAsia="仿宋_GB2312" w:cs="仿宋"/>
          <w:b/>
          <w:color w:val="auto"/>
          <w:sz w:val="24"/>
          <w:lang w:val="zh-CN"/>
        </w:rPr>
        <w:t xml:space="preserve">      乙方</w:t>
      </w:r>
      <w:r>
        <w:rPr>
          <w:rFonts w:hint="eastAsia" w:ascii="仿宋_GB2312" w:hAnsi="仿宋" w:eastAsia="仿宋_GB2312" w:cs="仿宋"/>
          <w:color w:val="auto"/>
          <w:sz w:val="24"/>
          <w:lang w:val="zh-CN"/>
        </w:rPr>
        <w:t>：</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住所：                                   住所：</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法定代表人或                             法定代表人或</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 xml:space="preserve">授权代表（签字）：                       </w:t>
      </w:r>
      <w:r>
        <w:rPr>
          <w:rFonts w:hint="eastAsia" w:ascii="仿宋_GB2312" w:hAnsi="仿宋" w:eastAsia="仿宋_GB2312" w:cs="仿宋"/>
          <w:color w:val="auto"/>
          <w:sz w:val="24"/>
          <w:lang w:val="en-US" w:eastAsia="zh-CN"/>
        </w:rPr>
        <w:t xml:space="preserve"> </w:t>
      </w:r>
      <w:r>
        <w:rPr>
          <w:rFonts w:hint="eastAsia" w:ascii="仿宋_GB2312" w:hAnsi="仿宋" w:eastAsia="仿宋_GB2312" w:cs="仿宋"/>
          <w:color w:val="auto"/>
          <w:sz w:val="24"/>
          <w:lang w:val="zh-CN"/>
        </w:rPr>
        <w:t xml:space="preserve">授权代表（签字）: </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联系人：                                 联系人：</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约定送达地址：                           约定送达地址：</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邮政编码：                               邮政编码：</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 xml:space="preserve">电话:                                    电话: </w:t>
      </w:r>
    </w:p>
    <w:p>
      <w:pPr>
        <w:autoSpaceDE w:val="0"/>
        <w:autoSpaceDN w:val="0"/>
        <w:spacing w:line="40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传真:                                    传真:</w:t>
      </w:r>
    </w:p>
    <w:p>
      <w:pPr>
        <w:autoSpaceDE w:val="0"/>
        <w:autoSpaceDN w:val="0"/>
        <w:spacing w:line="400" w:lineRule="exact"/>
        <w:rPr>
          <w:rFonts w:ascii="仿宋_GB2312" w:hAnsi="仿宋" w:eastAsia="仿宋_GB2312" w:cs="仿宋"/>
          <w:color w:val="auto"/>
          <w:sz w:val="24"/>
        </w:rPr>
      </w:pPr>
      <w:r>
        <w:rPr>
          <w:rFonts w:hint="eastAsia" w:ascii="仿宋_GB2312" w:hAnsi="仿宋" w:eastAsia="仿宋_GB2312" w:cs="仿宋"/>
          <w:color w:val="auto"/>
          <w:sz w:val="24"/>
          <w:lang w:val="zh-CN"/>
        </w:rPr>
        <w:t>电子邮箱：                               电子邮箱：</w:t>
      </w:r>
    </w:p>
    <w:p>
      <w:pPr>
        <w:autoSpaceDE w:val="0"/>
        <w:autoSpaceDN w:val="0"/>
        <w:spacing w:line="400" w:lineRule="exact"/>
        <w:rPr>
          <w:rFonts w:ascii="仿宋_GB2312" w:hAnsi="仿宋" w:eastAsia="仿宋_GB2312" w:cs="仿宋"/>
          <w:color w:val="auto"/>
          <w:sz w:val="24"/>
        </w:rPr>
      </w:pPr>
      <w:r>
        <w:rPr>
          <w:rFonts w:hint="eastAsia" w:ascii="仿宋_GB2312" w:hAnsi="仿宋" w:eastAsia="仿宋_GB2312" w:cs="仿宋"/>
          <w:color w:val="auto"/>
          <w:sz w:val="24"/>
        </w:rPr>
        <w:t xml:space="preserve">开户银行：                               开户银行： </w:t>
      </w:r>
    </w:p>
    <w:p>
      <w:pPr>
        <w:autoSpaceDE w:val="0"/>
        <w:autoSpaceDN w:val="0"/>
        <w:spacing w:line="400" w:lineRule="exact"/>
        <w:rPr>
          <w:rFonts w:ascii="仿宋_GB2312" w:hAnsi="仿宋" w:eastAsia="仿宋_GB2312" w:cs="仿宋"/>
          <w:color w:val="auto"/>
          <w:sz w:val="24"/>
        </w:rPr>
      </w:pPr>
      <w:r>
        <w:rPr>
          <w:rFonts w:hint="eastAsia" w:ascii="仿宋_GB2312" w:hAnsi="仿宋" w:eastAsia="仿宋_GB2312" w:cs="仿宋"/>
          <w:color w:val="auto"/>
          <w:sz w:val="24"/>
        </w:rPr>
        <w:t xml:space="preserve">开户名称：                               开户名称： </w:t>
      </w:r>
    </w:p>
    <w:p>
      <w:pPr>
        <w:autoSpaceDE w:val="0"/>
        <w:autoSpaceDN w:val="0"/>
        <w:spacing w:line="400" w:lineRule="exact"/>
        <w:rPr>
          <w:rFonts w:ascii="仿宋_GB2312" w:hAnsi="仿宋" w:eastAsia="仿宋_GB2312" w:cs="仿宋"/>
          <w:color w:val="auto"/>
          <w:sz w:val="24"/>
        </w:rPr>
      </w:pPr>
      <w:r>
        <w:rPr>
          <w:rFonts w:hint="eastAsia" w:ascii="仿宋_GB2312" w:hAnsi="仿宋" w:eastAsia="仿宋_GB2312" w:cs="仿宋"/>
          <w:color w:val="auto"/>
          <w:sz w:val="24"/>
        </w:rPr>
        <w:t>开户账号：</w:t>
      </w:r>
      <w:r>
        <w:rPr>
          <w:rFonts w:hint="eastAsia" w:ascii="仿宋_GB2312" w:hAnsi="仿宋" w:eastAsia="仿宋_GB2312" w:cs="仿宋"/>
          <w:color w:val="auto"/>
          <w:sz w:val="24"/>
          <w:lang w:val="zh-CN"/>
        </w:rPr>
        <w:t xml:space="preserve">                               </w:t>
      </w:r>
      <w:r>
        <w:rPr>
          <w:rFonts w:hint="eastAsia" w:ascii="仿宋_GB2312" w:hAnsi="仿宋" w:eastAsia="仿宋_GB2312" w:cs="仿宋"/>
          <w:color w:val="auto"/>
          <w:sz w:val="24"/>
        </w:rPr>
        <w:t>开户账号：</w:t>
      </w:r>
    </w:p>
    <w:p>
      <w:pPr>
        <w:widowControl/>
        <w:jc w:val="left"/>
        <w:rPr>
          <w:rFonts w:ascii="仿宋_GB2312" w:hAnsi="仿宋" w:eastAsia="仿宋_GB2312" w:cs="仿宋"/>
          <w:b/>
          <w:color w:val="auto"/>
          <w:sz w:val="24"/>
        </w:rPr>
      </w:pPr>
      <w:r>
        <w:rPr>
          <w:rFonts w:hint="eastAsia" w:ascii="仿宋_GB2312" w:hAnsi="仿宋" w:eastAsia="仿宋_GB2312" w:cs="仿宋"/>
          <w:b/>
          <w:color w:val="auto"/>
        </w:rPr>
        <w:br w:type="page"/>
      </w:r>
    </w:p>
    <w:p>
      <w:pPr>
        <w:pStyle w:val="311"/>
        <w:keepNext w:val="0"/>
        <w:keepLines w:val="0"/>
        <w:pageBreakBefore w:val="0"/>
        <w:widowControl w:val="0"/>
        <w:kinsoku/>
        <w:wordWrap/>
        <w:overflowPunct/>
        <w:topLinePunct w:val="0"/>
        <w:autoSpaceDE w:val="0"/>
        <w:autoSpaceDN w:val="0"/>
        <w:bidi w:val="0"/>
        <w:adjustRightInd w:val="0"/>
        <w:snapToGrid w:val="0"/>
        <w:spacing w:line="560" w:lineRule="exact"/>
        <w:ind w:left="0" w:leftChars="0" w:firstLine="0" w:firstLineChars="0"/>
        <w:jc w:val="center"/>
        <w:textAlignment w:val="auto"/>
        <w:rPr>
          <w:rFonts w:ascii="仿宋_GB2312" w:hAnsi="仿宋" w:eastAsia="仿宋_GB2312" w:cs="仿宋"/>
          <w:b/>
          <w:color w:val="auto"/>
          <w:kern w:val="0"/>
          <w:sz w:val="24"/>
          <w:szCs w:val="24"/>
        </w:rPr>
      </w:pPr>
      <w:r>
        <w:rPr>
          <w:rFonts w:hint="eastAsia" w:ascii="仿宋_GB2312" w:hAnsi="仿宋" w:eastAsia="仿宋_GB2312" w:cs="仿宋"/>
          <w:b/>
          <w:color w:val="auto"/>
          <w:kern w:val="0"/>
          <w:sz w:val="24"/>
          <w:szCs w:val="24"/>
        </w:rPr>
        <w:t>第二部分 合同一般条款</w:t>
      </w:r>
    </w:p>
    <w:p>
      <w:pPr>
        <w:spacing w:line="560" w:lineRule="exact"/>
        <w:ind w:firstLine="482" w:firstLineChars="200"/>
        <w:outlineLvl w:val="0"/>
        <w:rPr>
          <w:rFonts w:ascii="仿宋_GB2312" w:hAnsi="仿宋" w:eastAsia="仿宋_GB2312" w:cs="仿宋"/>
          <w:b/>
          <w:color w:val="auto"/>
          <w:sz w:val="24"/>
        </w:rPr>
      </w:pPr>
      <w:bookmarkStart w:id="88" w:name="_Toc25079"/>
      <w:bookmarkStart w:id="89" w:name="_Toc5228"/>
      <w:bookmarkStart w:id="90" w:name="_Toc14021"/>
      <w:bookmarkStart w:id="91" w:name="_Toc31297"/>
      <w:bookmarkStart w:id="92" w:name="_Toc19680"/>
      <w:r>
        <w:rPr>
          <w:rFonts w:hint="eastAsia" w:ascii="仿宋_GB2312" w:hAnsi="仿宋" w:eastAsia="仿宋_GB2312" w:cs="仿宋"/>
          <w:b/>
          <w:color w:val="auto"/>
          <w:sz w:val="24"/>
        </w:rPr>
        <w:t>2.1 定义</w:t>
      </w:r>
      <w:bookmarkEnd w:id="88"/>
      <w:bookmarkEnd w:id="89"/>
      <w:bookmarkEnd w:id="90"/>
      <w:bookmarkEnd w:id="91"/>
      <w:bookmarkEnd w:id="92"/>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本合同中的下列词语应按以下内容进行解释：</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2.1.6 “现场”系指合同约定提供服务的地点。</w:t>
      </w:r>
    </w:p>
    <w:p>
      <w:pPr>
        <w:spacing w:line="560" w:lineRule="exact"/>
        <w:ind w:firstLine="482" w:firstLineChars="200"/>
        <w:outlineLvl w:val="0"/>
        <w:rPr>
          <w:rFonts w:ascii="仿宋_GB2312" w:hAnsi="仿宋" w:eastAsia="仿宋_GB2312" w:cs="仿宋"/>
          <w:b/>
          <w:color w:val="auto"/>
          <w:sz w:val="24"/>
        </w:rPr>
      </w:pPr>
      <w:bookmarkStart w:id="93" w:name="_Toc16752"/>
      <w:bookmarkStart w:id="94" w:name="_Toc3769"/>
      <w:bookmarkStart w:id="95" w:name="_Toc19539"/>
      <w:bookmarkStart w:id="96" w:name="_Toc23289"/>
      <w:bookmarkStart w:id="97" w:name="_Toc31402"/>
      <w:r>
        <w:rPr>
          <w:rFonts w:hint="eastAsia" w:ascii="仿宋_GB2312" w:hAnsi="仿宋" w:eastAsia="仿宋_GB2312" w:cs="仿宋"/>
          <w:b/>
          <w:color w:val="auto"/>
          <w:sz w:val="24"/>
        </w:rPr>
        <w:t>2.2 技术规范</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rPr>
      </w:pPr>
      <w:bookmarkStart w:id="98" w:name="_Toc12412"/>
      <w:bookmarkStart w:id="99" w:name="_Toc4133"/>
      <w:bookmarkStart w:id="100" w:name="_Toc13673"/>
      <w:bookmarkStart w:id="101" w:name="_Toc27945"/>
      <w:bookmarkStart w:id="102" w:name="_Toc9161"/>
      <w:r>
        <w:rPr>
          <w:rFonts w:hint="eastAsia" w:ascii="仿宋_GB2312" w:hAnsi="仿宋" w:eastAsia="仿宋_GB2312" w:cs="仿宋"/>
          <w:b/>
          <w:color w:val="auto"/>
          <w:sz w:val="24"/>
        </w:rPr>
        <w:t>2.3 知识产权</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2.3.2 合同涉及技术成果的归属和收益的分成办法的，详见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2" w:firstLineChars="200"/>
        <w:rPr>
          <w:rFonts w:ascii="仿宋_GB2312" w:hAnsi="仿宋" w:eastAsia="仿宋_GB2312" w:cs="仿宋"/>
          <w:b/>
          <w:color w:val="auto"/>
          <w:sz w:val="24"/>
        </w:rPr>
      </w:pPr>
      <w:r>
        <w:rPr>
          <w:rFonts w:hint="eastAsia" w:ascii="仿宋_GB2312" w:hAnsi="仿宋" w:eastAsia="仿宋_GB2312" w:cs="仿宋"/>
          <w:b/>
          <w:color w:val="auto"/>
          <w:sz w:val="24"/>
        </w:rPr>
        <w:t>2.4 履约检查和问题反馈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rPr>
      </w:pPr>
      <w:bookmarkStart w:id="103" w:name="_Toc15447"/>
      <w:bookmarkStart w:id="104" w:name="_Toc22011"/>
      <w:bookmarkStart w:id="105" w:name="_Toc32670"/>
      <w:bookmarkStart w:id="106" w:name="_Toc26555"/>
      <w:bookmarkStart w:id="107" w:name="_Toc31233"/>
      <w:r>
        <w:rPr>
          <w:rFonts w:hint="eastAsia" w:ascii="仿宋_GB2312" w:hAnsi="仿宋" w:eastAsia="仿宋_GB2312" w:cs="仿宋"/>
          <w:b/>
          <w:color w:val="auto"/>
          <w:sz w:val="24"/>
        </w:rPr>
        <w:t>2.5 结算方式和付款条件</w:t>
      </w:r>
      <w:bookmarkEnd w:id="103"/>
      <w:bookmarkEnd w:id="104"/>
      <w:bookmarkEnd w:id="105"/>
      <w:bookmarkEnd w:id="106"/>
      <w:bookmarkEnd w:id="107"/>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2" w:firstLineChars="200"/>
        <w:outlineLvl w:val="0"/>
        <w:rPr>
          <w:rFonts w:ascii="仿宋_GB2312" w:hAnsi="仿宋" w:eastAsia="仿宋_GB2312" w:cs="仿宋"/>
          <w:b/>
          <w:color w:val="auto"/>
          <w:sz w:val="24"/>
        </w:rPr>
      </w:pPr>
      <w:bookmarkStart w:id="108" w:name="_Toc16163"/>
      <w:bookmarkStart w:id="109" w:name="_Toc30507"/>
      <w:bookmarkStart w:id="110" w:name="_Toc13154"/>
      <w:bookmarkStart w:id="111" w:name="_Toc13467"/>
      <w:bookmarkStart w:id="112" w:name="_Toc18990"/>
      <w:r>
        <w:rPr>
          <w:rFonts w:hint="eastAsia" w:ascii="仿宋_GB2312" w:hAnsi="仿宋" w:eastAsia="仿宋_GB2312" w:cs="仿宋"/>
          <w:b/>
          <w:color w:val="auto"/>
          <w:sz w:val="24"/>
        </w:rPr>
        <w:t>2.6 技术资料和保密义务</w:t>
      </w:r>
      <w:bookmarkEnd w:id="108"/>
      <w:bookmarkEnd w:id="109"/>
      <w:bookmarkEnd w:id="110"/>
      <w:bookmarkEnd w:id="111"/>
      <w:bookmarkEnd w:id="112"/>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rPr>
      </w:pPr>
      <w:bookmarkStart w:id="113" w:name="_Toc19069"/>
      <w:r>
        <w:rPr>
          <w:rFonts w:hint="eastAsia" w:ascii="仿宋_GB2312" w:hAnsi="仿宋" w:eastAsia="仿宋_GB2312" w:cs="仿宋"/>
          <w:b/>
          <w:color w:val="auto"/>
          <w:sz w:val="24"/>
        </w:rPr>
        <w:t>2.7 质量保证</w:t>
      </w:r>
      <w:bookmarkEnd w:id="113"/>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rPr>
      </w:pPr>
      <w:bookmarkStart w:id="114" w:name="_Toc22267"/>
      <w:r>
        <w:rPr>
          <w:rFonts w:hint="eastAsia" w:ascii="仿宋_GB2312" w:hAnsi="仿宋" w:eastAsia="仿宋_GB2312" w:cs="仿宋"/>
          <w:b/>
          <w:color w:val="auto"/>
          <w:sz w:val="24"/>
        </w:rPr>
        <w:t>2.8 延迟履行</w:t>
      </w:r>
      <w:bookmarkEnd w:id="114"/>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rPr>
      </w:pPr>
      <w:bookmarkStart w:id="115" w:name="_Toc10611"/>
      <w:r>
        <w:rPr>
          <w:rFonts w:hint="eastAsia" w:ascii="仿宋_GB2312" w:hAnsi="仿宋" w:eastAsia="仿宋_GB2312" w:cs="仿宋"/>
          <w:b/>
          <w:color w:val="auto"/>
          <w:sz w:val="24"/>
        </w:rPr>
        <w:t>2.9 合同变更</w:t>
      </w:r>
      <w:bookmarkEnd w:id="115"/>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rPr>
      </w:pPr>
      <w:bookmarkStart w:id="116" w:name="_Toc23368"/>
      <w:bookmarkStart w:id="117" w:name="_Toc21830"/>
      <w:bookmarkStart w:id="118" w:name="_Toc42"/>
      <w:bookmarkStart w:id="119" w:name="_Toc10663"/>
      <w:bookmarkStart w:id="120" w:name="_Toc26689"/>
      <w:r>
        <w:rPr>
          <w:rFonts w:hint="eastAsia" w:ascii="仿宋_GB2312" w:hAnsi="仿宋" w:eastAsia="仿宋_GB2312" w:cs="仿宋"/>
          <w:b/>
          <w:color w:val="auto"/>
          <w:sz w:val="24"/>
        </w:rPr>
        <w:t>2.10 合同转让和分包</w:t>
      </w:r>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rPr>
      </w:pPr>
      <w:bookmarkStart w:id="121" w:name="_Toc26633"/>
      <w:bookmarkStart w:id="122" w:name="_Toc32494"/>
      <w:bookmarkStart w:id="123" w:name="_Toc25571"/>
      <w:bookmarkStart w:id="124" w:name="_Toc4720"/>
      <w:bookmarkStart w:id="125" w:name="_Toc14371"/>
      <w:r>
        <w:rPr>
          <w:rFonts w:hint="eastAsia" w:ascii="仿宋_GB2312" w:hAnsi="仿宋" w:eastAsia="仿宋_GB2312" w:cs="仿宋"/>
          <w:b/>
          <w:color w:val="auto"/>
          <w:sz w:val="24"/>
        </w:rPr>
        <w:t>2.11 不可抗力</w:t>
      </w:r>
      <w:bookmarkEnd w:id="121"/>
      <w:bookmarkEnd w:id="122"/>
      <w:bookmarkEnd w:id="123"/>
      <w:bookmarkEnd w:id="124"/>
      <w:bookmarkEnd w:id="125"/>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2.11.3 因不可抗力致使合同有变更必要的，双方当事人应在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约定时间内以书面形式变更合同；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2.11.4受不可抗力影响的一方在不可抗力发生后，应在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约定时间内以书面形式通知对方当事人，并在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rPr>
      </w:pPr>
      <w:bookmarkStart w:id="126" w:name="_Toc24465"/>
      <w:bookmarkStart w:id="127" w:name="_Toc14115"/>
      <w:bookmarkStart w:id="128" w:name="_Toc3638"/>
      <w:bookmarkStart w:id="129" w:name="_Toc25783"/>
      <w:bookmarkStart w:id="130" w:name="_Toc23854"/>
      <w:r>
        <w:rPr>
          <w:rFonts w:hint="eastAsia" w:ascii="仿宋_GB2312" w:hAnsi="仿宋" w:eastAsia="仿宋_GB2312" w:cs="仿宋"/>
          <w:b/>
          <w:color w:val="auto"/>
          <w:sz w:val="24"/>
        </w:rPr>
        <w:t>2.12 税费</w:t>
      </w:r>
      <w:bookmarkEnd w:id="126"/>
      <w:bookmarkEnd w:id="127"/>
      <w:bookmarkEnd w:id="128"/>
      <w:bookmarkEnd w:id="129"/>
      <w:bookmarkEnd w:id="130"/>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rPr>
      </w:pPr>
      <w:bookmarkStart w:id="131" w:name="_Toc7315"/>
      <w:bookmarkStart w:id="132" w:name="_Toc30105"/>
      <w:bookmarkStart w:id="133" w:name="_Toc14814"/>
      <w:bookmarkStart w:id="134" w:name="_Toc25525"/>
      <w:bookmarkStart w:id="135" w:name="_Toc26883"/>
      <w:r>
        <w:rPr>
          <w:rFonts w:hint="eastAsia" w:ascii="仿宋_GB2312" w:hAnsi="仿宋" w:eastAsia="仿宋_GB2312" w:cs="仿宋"/>
          <w:b/>
          <w:color w:val="auto"/>
          <w:sz w:val="24"/>
        </w:rPr>
        <w:t>2.13 乙方破产</w:t>
      </w:r>
      <w:bookmarkEnd w:id="131"/>
      <w:bookmarkEnd w:id="132"/>
      <w:bookmarkEnd w:id="133"/>
      <w:bookmarkEnd w:id="134"/>
      <w:bookmarkEnd w:id="135"/>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rPr>
      </w:pPr>
      <w:bookmarkStart w:id="136" w:name="_Toc1123"/>
      <w:bookmarkStart w:id="137" w:name="_Toc2016"/>
      <w:bookmarkStart w:id="138" w:name="_Toc23323"/>
      <w:r>
        <w:rPr>
          <w:rFonts w:hint="eastAsia" w:ascii="仿宋_GB2312" w:hAnsi="仿宋" w:eastAsia="仿宋_GB2312" w:cs="仿宋"/>
          <w:b/>
          <w:color w:val="auto"/>
          <w:sz w:val="24"/>
        </w:rPr>
        <w:t>2.14 合同中止、终止</w:t>
      </w:r>
      <w:bookmarkEnd w:id="136"/>
      <w:bookmarkEnd w:id="137"/>
      <w:bookmarkEnd w:id="138"/>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2.14.1 双方当事人不得擅自中止或者终止合同；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rPr>
      </w:pPr>
      <w:bookmarkStart w:id="139" w:name="_Toc14525"/>
      <w:bookmarkStart w:id="140" w:name="_Toc1969"/>
      <w:bookmarkStart w:id="141" w:name="_Toc17363"/>
      <w:r>
        <w:rPr>
          <w:rFonts w:hint="eastAsia" w:ascii="仿宋_GB2312" w:hAnsi="仿宋" w:eastAsia="仿宋_GB2312" w:cs="仿宋"/>
          <w:b/>
          <w:color w:val="auto"/>
          <w:sz w:val="24"/>
        </w:rPr>
        <w:t>2.15 检验和验收</w:t>
      </w:r>
      <w:bookmarkEnd w:id="139"/>
      <w:bookmarkEnd w:id="140"/>
      <w:bookmarkEnd w:id="141"/>
    </w:p>
    <w:p>
      <w:pPr>
        <w:tabs>
          <w:tab w:val="left" w:pos="360"/>
          <w:tab w:val="left" w:pos="540"/>
          <w:tab w:val="left" w:pos="1080"/>
        </w:tabs>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2.15.1 乙方按照</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的约定，定期提交服务报告，甲方按照</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2.15.3 检验和验收标准、程序等具体内容以及前述验收书的效力详见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i/>
          <w:color w:val="auto"/>
          <w:sz w:val="24"/>
        </w:rPr>
        <w:t>。</w:t>
      </w:r>
    </w:p>
    <w:p>
      <w:pPr>
        <w:spacing w:line="560" w:lineRule="exact"/>
        <w:ind w:firstLine="482" w:firstLineChars="200"/>
        <w:outlineLvl w:val="0"/>
        <w:rPr>
          <w:rFonts w:ascii="仿宋_GB2312" w:hAnsi="仿宋" w:eastAsia="仿宋_GB2312" w:cs="仿宋"/>
          <w:b/>
          <w:color w:val="auto"/>
          <w:sz w:val="24"/>
        </w:rPr>
      </w:pPr>
      <w:bookmarkStart w:id="142" w:name="_Toc31892"/>
      <w:bookmarkStart w:id="143" w:name="_Toc9808"/>
      <w:bookmarkStart w:id="144" w:name="_Toc2308"/>
      <w:bookmarkStart w:id="145" w:name="_Toc12666"/>
      <w:bookmarkStart w:id="146" w:name="_Toc25198"/>
      <w:r>
        <w:rPr>
          <w:rFonts w:hint="eastAsia" w:ascii="仿宋_GB2312" w:hAnsi="仿宋" w:eastAsia="仿宋_GB2312" w:cs="仿宋"/>
          <w:b/>
          <w:color w:val="auto"/>
          <w:sz w:val="24"/>
        </w:rPr>
        <w:t>2.16 通知和送达</w:t>
      </w:r>
      <w:bookmarkEnd w:id="142"/>
      <w:bookmarkEnd w:id="143"/>
      <w:bookmarkEnd w:id="144"/>
      <w:bookmarkEnd w:id="145"/>
      <w:bookmarkEnd w:id="146"/>
    </w:p>
    <w:p>
      <w:pPr>
        <w:spacing w:line="560" w:lineRule="exact"/>
        <w:ind w:firstLine="480" w:firstLineChars="200"/>
        <w:rPr>
          <w:rFonts w:ascii="仿宋_GB2312" w:hAnsi="仿宋" w:eastAsia="仿宋_GB2312" w:cs="仿宋"/>
          <w:color w:val="auto"/>
          <w:sz w:val="24"/>
        </w:rPr>
      </w:pPr>
      <w:bookmarkStart w:id="147" w:name="_Toc27674"/>
      <w:bookmarkStart w:id="148" w:name="_Toc18401"/>
      <w:r>
        <w:rPr>
          <w:rFonts w:hint="eastAsia" w:ascii="仿宋_GB2312" w:hAnsi="仿宋" w:eastAsia="仿宋_GB2312" w:cs="仿宋"/>
          <w:color w:val="auto"/>
          <w:sz w:val="24"/>
        </w:rPr>
        <w:t xml:space="preserve">2.17.1任何一方因履行合同而以合同第一部分尾部所列明的传真或电子邮件 </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发出的所有通知、文件、材料，均视为已向对方当事人送达；任何一方变更上述送达方式或者地址的，应于</w:t>
      </w:r>
      <w:r>
        <w:rPr>
          <w:rFonts w:hint="eastAsia" w:ascii="仿宋_GB2312" w:hAnsi="仿宋" w:eastAsia="仿宋_GB2312" w:cs="仿宋"/>
          <w:color w:val="auto"/>
          <w:sz w:val="24"/>
          <w:u w:val="single"/>
        </w:rPr>
        <w:t>3</w:t>
      </w:r>
      <w:r>
        <w:rPr>
          <w:rFonts w:hint="eastAsia" w:ascii="仿宋_GB2312" w:hAnsi="仿宋" w:eastAsia="仿宋_GB2312"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ascii="仿宋_GB2312" w:hAnsi="仿宋" w:eastAsia="仿宋_GB2312" w:cs="仿宋"/>
          <w:b/>
          <w:color w:val="auto"/>
          <w:sz w:val="24"/>
        </w:rPr>
      </w:pPr>
      <w:bookmarkStart w:id="149" w:name="_Toc27644"/>
      <w:bookmarkStart w:id="150" w:name="_Toc12254"/>
      <w:bookmarkStart w:id="151" w:name="_Toc5063"/>
      <w:bookmarkStart w:id="152" w:name="_Toc20808"/>
      <w:bookmarkStart w:id="153" w:name="_Toc28906"/>
      <w:r>
        <w:rPr>
          <w:rFonts w:hint="eastAsia" w:ascii="仿宋_GB2312" w:hAnsi="仿宋" w:eastAsia="仿宋_GB2312" w:cs="仿宋"/>
          <w:b/>
          <w:color w:val="auto"/>
          <w:sz w:val="24"/>
        </w:rPr>
        <w:t>2.17 合同使用的文字和适用的法律</w:t>
      </w:r>
      <w:bookmarkEnd w:id="149"/>
      <w:bookmarkEnd w:id="150"/>
      <w:bookmarkEnd w:id="151"/>
      <w:bookmarkEnd w:id="152"/>
      <w:bookmarkEnd w:id="153"/>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2.17.1 合同使用汉语书就、变更和解释；</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2.17.2 合同适用中华人民共和国法律。</w:t>
      </w:r>
    </w:p>
    <w:p>
      <w:pPr>
        <w:spacing w:line="560" w:lineRule="exact"/>
        <w:ind w:firstLine="482" w:firstLineChars="200"/>
        <w:outlineLvl w:val="0"/>
        <w:rPr>
          <w:rFonts w:ascii="仿宋_GB2312" w:hAnsi="仿宋" w:eastAsia="仿宋_GB2312" w:cs="仿宋"/>
          <w:b/>
          <w:color w:val="auto"/>
          <w:sz w:val="24"/>
        </w:rPr>
      </w:pPr>
      <w:bookmarkStart w:id="154" w:name="_Toc18540"/>
      <w:bookmarkStart w:id="155" w:name="_Toc30599"/>
      <w:bookmarkStart w:id="156" w:name="_Toc4355"/>
      <w:r>
        <w:rPr>
          <w:rFonts w:hint="eastAsia" w:ascii="仿宋_GB2312" w:hAnsi="仿宋" w:eastAsia="仿宋_GB2312" w:cs="仿宋"/>
          <w:b/>
          <w:color w:val="auto"/>
          <w:sz w:val="24"/>
        </w:rPr>
        <w:t>2.18 计量单位</w:t>
      </w:r>
      <w:bookmarkEnd w:id="154"/>
      <w:bookmarkEnd w:id="155"/>
      <w:bookmarkEnd w:id="156"/>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rPr>
      </w:pPr>
      <w:bookmarkStart w:id="157" w:name="_Toc10330"/>
      <w:bookmarkStart w:id="158" w:name="_Toc487900373"/>
      <w:bookmarkStart w:id="159" w:name="_Toc18567"/>
      <w:bookmarkStart w:id="160" w:name="_Toc12773"/>
      <w:bookmarkStart w:id="161" w:name="_Toc259093692"/>
      <w:bookmarkStart w:id="162" w:name="_Toc279701263"/>
      <w:r>
        <w:rPr>
          <w:rFonts w:hint="eastAsia" w:ascii="仿宋_GB2312" w:hAnsi="仿宋" w:eastAsia="仿宋_GB2312" w:cs="仿宋"/>
          <w:b/>
          <w:color w:val="auto"/>
          <w:sz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2.19.1 合同使用汉语书就、变更和解释；</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2.19.2 合同适用中华人民共和国法律。</w:t>
      </w:r>
    </w:p>
    <w:p>
      <w:pPr>
        <w:spacing w:line="560" w:lineRule="exact"/>
        <w:ind w:firstLine="482" w:firstLineChars="200"/>
        <w:rPr>
          <w:rFonts w:ascii="仿宋_GB2312" w:hAnsi="仿宋" w:eastAsia="仿宋_GB2312" w:cs="仿宋"/>
          <w:b/>
          <w:color w:val="auto"/>
          <w:sz w:val="24"/>
        </w:rPr>
      </w:pPr>
      <w:r>
        <w:rPr>
          <w:rFonts w:hint="eastAsia" w:ascii="仿宋_GB2312" w:hAnsi="仿宋" w:eastAsia="仿宋_GB2312" w:cs="仿宋"/>
          <w:b/>
          <w:color w:val="auto"/>
          <w:sz w:val="24"/>
        </w:rPr>
        <w:t>2.20合同份数</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合同份数按</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rPr>
      </w:pPr>
      <w:r>
        <w:rPr>
          <w:rFonts w:hint="eastAsia" w:ascii="仿宋_GB2312" w:hAnsi="仿宋" w:eastAsia="仿宋_GB2312" w:cs="仿宋"/>
          <w:color w:val="auto"/>
          <w:kern w:val="0"/>
        </w:rPr>
        <w:br w:type="page"/>
      </w:r>
      <w:bookmarkStart w:id="163" w:name="_Toc331685784"/>
      <w:r>
        <w:rPr>
          <w:rFonts w:hint="eastAsia" w:ascii="仿宋_GB2312" w:hAnsi="仿宋" w:eastAsia="仿宋_GB2312" w:cs="仿宋"/>
          <w:b/>
          <w:color w:val="auto"/>
          <w:sz w:val="24"/>
        </w:rPr>
        <w:t xml:space="preserve"> </w:t>
      </w:r>
      <w:bookmarkEnd w:id="163"/>
      <w:r>
        <w:rPr>
          <w:rFonts w:hint="eastAsia" w:ascii="仿宋_GB2312" w:hAnsi="仿宋" w:eastAsia="仿宋_GB2312" w:cs="仿宋"/>
          <w:b/>
          <w:color w:val="auto"/>
          <w:sz w:val="24"/>
        </w:rPr>
        <w:t>第三部分  合同专用条款</w:t>
      </w:r>
    </w:p>
    <w:p>
      <w:pPr>
        <w:spacing w:line="440" w:lineRule="atLeast"/>
        <w:ind w:left="-420" w:leftChars="-200" w:right="-420" w:rightChars="-200" w:firstLine="480" w:firstLineChars="200"/>
        <w:rPr>
          <w:rFonts w:hint="eastAsia" w:ascii="仿宋_GB2312" w:hAnsi="仿宋" w:eastAsia="仿宋_GB2312" w:cs="仿宋"/>
          <w:color w:val="auto"/>
          <w:sz w:val="24"/>
        </w:rPr>
      </w:pPr>
      <w:r>
        <w:rPr>
          <w:rFonts w:hint="eastAsia" w:ascii="仿宋_GB2312" w:hAnsi="仿宋" w:eastAsia="仿宋_GB2312"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440" w:lineRule="atLeast"/>
        <w:ind w:left="-420" w:leftChars="-200" w:right="-420" w:rightChars="-200" w:firstLine="480" w:firstLineChars="200"/>
        <w:rPr>
          <w:rFonts w:hint="eastAsia" w:ascii="仿宋_GB2312" w:hAnsi="仿宋" w:eastAsia="仿宋_GB2312" w:cs="仿宋"/>
          <w:color w:val="auto"/>
          <w:sz w:val="24"/>
        </w:rPr>
      </w:pP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条款号</w:t>
            </w:r>
          </w:p>
        </w:tc>
        <w:tc>
          <w:tcPr>
            <w:tcW w:w="8149"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1.3.2</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1.4.2</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1.5.1 </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1.5.2</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1.5.3 </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1.6.2</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1.7.1</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1.7.2</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1.7.3</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1.7.4.1</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1.7.4.2</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1.7.4.3</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1.8.7</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1.9.1</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1.9.2</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2.11.3</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2.11.4 </w:t>
            </w:r>
          </w:p>
        </w:tc>
        <w:tc>
          <w:tcPr>
            <w:tcW w:w="8149" w:type="dxa"/>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2.15.1</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2.15.3</w:t>
            </w:r>
          </w:p>
        </w:tc>
        <w:tc>
          <w:tcPr>
            <w:tcW w:w="8149"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2.19</w:t>
            </w:r>
          </w:p>
        </w:tc>
        <w:tc>
          <w:tcPr>
            <w:tcW w:w="8149" w:type="dxa"/>
          </w:tcPr>
          <w:p>
            <w:pPr>
              <w:spacing w:line="360" w:lineRule="auto"/>
              <w:rPr>
                <w:rFonts w:ascii="仿宋_GB2312" w:hAnsi="仿宋" w:eastAsia="仿宋_GB2312" w:cs="仿宋"/>
                <w:color w:val="auto"/>
                <w:sz w:val="24"/>
              </w:rPr>
            </w:pPr>
          </w:p>
        </w:tc>
      </w:tr>
    </w:tbl>
    <w:p>
      <w:pPr>
        <w:pStyle w:val="33"/>
        <w:keepNext w:val="0"/>
        <w:keepLines w:val="0"/>
        <w:pageBreakBefore/>
        <w:widowControl w:val="0"/>
        <w:kinsoku/>
        <w:wordWrap/>
        <w:overflowPunct/>
        <w:topLinePunct w:val="0"/>
        <w:autoSpaceDE/>
        <w:autoSpaceDN/>
        <w:bidi w:val="0"/>
        <w:adjustRightInd/>
        <w:snapToGrid/>
        <w:spacing w:line="800" w:lineRule="exact"/>
        <w:ind w:firstLine="0"/>
        <w:jc w:val="center"/>
        <w:textAlignment w:val="auto"/>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1、评标方法：</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80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20 </w:t>
      </w:r>
      <w:r>
        <w:rPr>
          <w:rFonts w:hint="eastAsia" w:ascii="仿宋" w:hAnsi="仿宋" w:eastAsia="仿宋" w:cs="仿宋"/>
          <w:color w:val="auto"/>
          <w:sz w:val="24"/>
        </w:rPr>
        <w:t>分。评分依下述所列为评标打分依据，分值如下（计算分值时，按其算术平均值保留小数2位）。</w:t>
      </w:r>
    </w:p>
    <w:p>
      <w:pPr>
        <w:spacing w:line="440" w:lineRule="exact"/>
        <w:rPr>
          <w:rFonts w:ascii="仿宋" w:hAnsi="仿宋" w:eastAsia="仿宋" w:cs="仿宋"/>
          <w:b/>
          <w:color w:val="auto"/>
          <w:sz w:val="32"/>
          <w:szCs w:val="20"/>
        </w:rPr>
      </w:pPr>
      <w:r>
        <w:rPr>
          <w:rFonts w:hint="eastAsia" w:ascii="仿宋_GB2312" w:hAnsi="宋体" w:eastAsia="仿宋_GB2312"/>
          <w:b/>
          <w:bCs/>
          <w:iCs/>
          <w:color w:val="auto"/>
          <w:sz w:val="24"/>
        </w:rPr>
        <w:t>2.</w:t>
      </w:r>
      <w:r>
        <w:rPr>
          <w:rFonts w:hint="eastAsia" w:ascii="仿宋" w:hAnsi="仿宋" w:eastAsia="仿宋" w:cs="仿宋"/>
          <w:b/>
          <w:bCs/>
          <w:iCs/>
          <w:color w:val="auto"/>
          <w:sz w:val="24"/>
        </w:rPr>
        <w:t>1商务技术分（</w:t>
      </w:r>
      <w:r>
        <w:rPr>
          <w:rFonts w:hint="eastAsia" w:ascii="仿宋" w:hAnsi="仿宋" w:eastAsia="仿宋" w:cs="仿宋"/>
          <w:b/>
          <w:bCs/>
          <w:iCs/>
          <w:color w:val="auto"/>
          <w:sz w:val="24"/>
          <w:u w:val="single"/>
          <w:lang w:val="en-US" w:eastAsia="zh-CN"/>
        </w:rPr>
        <w:t>80</w:t>
      </w:r>
      <w:r>
        <w:rPr>
          <w:rFonts w:hint="eastAsia" w:ascii="仿宋" w:hAnsi="仿宋" w:eastAsia="仿宋" w:cs="仿宋"/>
          <w:b/>
          <w:bCs/>
          <w:iCs/>
          <w:color w:val="auto"/>
          <w:sz w:val="24"/>
        </w:rPr>
        <w:t>分）</w:t>
      </w:r>
    </w:p>
    <w:p>
      <w:pPr>
        <w:rPr>
          <w:color w:val="auto"/>
        </w:rPr>
      </w:pPr>
      <w:r>
        <w:rPr>
          <w:rFonts w:hint="eastAsia" w:ascii="仿宋" w:hAnsi="仿宋" w:eastAsia="仿宋" w:cs="仿宋"/>
          <w:color w:val="auto"/>
          <w:sz w:val="20"/>
          <w:szCs w:val="20"/>
          <w:shd w:val="clear" w:color="auto" w:fill="FFFFFF"/>
        </w:rPr>
        <w:t> </w:t>
      </w:r>
    </w:p>
    <w:tbl>
      <w:tblPr>
        <w:tblStyle w:val="63"/>
        <w:tblW w:w="9838" w:type="dxa"/>
        <w:jc w:val="center"/>
        <w:tblLayout w:type="fixed"/>
        <w:tblCellMar>
          <w:top w:w="0" w:type="dxa"/>
          <w:left w:w="108" w:type="dxa"/>
          <w:bottom w:w="0" w:type="dxa"/>
          <w:right w:w="108" w:type="dxa"/>
        </w:tblCellMar>
      </w:tblPr>
      <w:tblGrid>
        <w:gridCol w:w="852"/>
        <w:gridCol w:w="1316"/>
        <w:gridCol w:w="6434"/>
        <w:gridCol w:w="1236"/>
      </w:tblGrid>
      <w:tr>
        <w:tblPrEx>
          <w:tblCellMar>
            <w:top w:w="0" w:type="dxa"/>
            <w:left w:w="108" w:type="dxa"/>
            <w:bottom w:w="0" w:type="dxa"/>
            <w:right w:w="108" w:type="dxa"/>
          </w:tblCellMar>
        </w:tblPrEx>
        <w:trPr>
          <w:trHeight w:val="561"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tblPrEx>
          <w:tblCellMar>
            <w:top w:w="0" w:type="dxa"/>
            <w:left w:w="108" w:type="dxa"/>
            <w:bottom w:w="0" w:type="dxa"/>
            <w:right w:w="108" w:type="dxa"/>
          </w:tblCellMar>
        </w:tblPrEx>
        <w:trPr>
          <w:trHeight w:val="616"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投标单位技术力量</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①拟派</w:t>
            </w:r>
            <w:r>
              <w:rPr>
                <w:rFonts w:hint="eastAsia" w:ascii="仿宋" w:hAnsi="仿宋" w:eastAsia="仿宋" w:cs="仿宋"/>
                <w:color w:val="auto"/>
                <w:sz w:val="24"/>
                <w:szCs w:val="24"/>
                <w:highlight w:val="none"/>
              </w:rPr>
              <w:t>项目负责人具有网络安全能力认证（CCSC）、信息安全保障人员认证证书（CISAW）</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rPr>
              <w:t>通信中级证书（互联网技术）的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每提供一个得1分，最高得3</w:t>
            </w:r>
            <w:r>
              <w:rPr>
                <w:rFonts w:hint="eastAsia" w:ascii="仿宋" w:hAnsi="仿宋" w:eastAsia="仿宋" w:cs="仿宋"/>
                <w:color w:val="auto"/>
                <w:sz w:val="24"/>
                <w:szCs w:val="24"/>
                <w:highlight w:val="none"/>
                <w:lang w:eastAsia="zh-CN"/>
              </w:rPr>
              <w:t>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none"/>
                <w:lang w:val="en-US" w:eastAsia="zh-CN"/>
              </w:rPr>
              <w:t>②拟派</w:t>
            </w:r>
            <w:r>
              <w:rPr>
                <w:rFonts w:hint="eastAsia" w:ascii="仿宋" w:hAnsi="仿宋" w:eastAsia="仿宋" w:cs="仿宋"/>
                <w:color w:val="auto"/>
                <w:sz w:val="24"/>
                <w:szCs w:val="24"/>
                <w:highlight w:val="none"/>
                <w:lang w:eastAsia="zh-CN"/>
              </w:rPr>
              <w:t>项目技术负责人具有信息系统项目管理师高级证书、网络工程师、信息通信技术高级工程师证书、信息系统监理师、互联网技术（中级证书）的，</w:t>
            </w:r>
            <w:r>
              <w:rPr>
                <w:rFonts w:hint="eastAsia" w:ascii="仿宋" w:hAnsi="仿宋" w:eastAsia="仿宋" w:cs="仿宋"/>
                <w:color w:val="auto"/>
                <w:sz w:val="24"/>
                <w:szCs w:val="24"/>
                <w:highlight w:val="none"/>
                <w:lang w:val="en-US" w:eastAsia="zh-CN"/>
              </w:rPr>
              <w:t>每提供一个得0.4分，最高得2</w:t>
            </w:r>
            <w:r>
              <w:rPr>
                <w:rFonts w:hint="eastAsia" w:ascii="仿宋" w:hAnsi="仿宋" w:eastAsia="仿宋" w:cs="仿宋"/>
                <w:color w:val="auto"/>
                <w:sz w:val="24"/>
                <w:szCs w:val="24"/>
                <w:highlight w:val="none"/>
                <w:lang w:eastAsia="zh-CN"/>
              </w:rPr>
              <w:t>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③具有CISP信息安全认证工程师3名及以上，得1分；具有CISP信息安全认证工程师2名，得0.5分；具有CISP信息安全认证工程师1名，得0.2分。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w:t>
            </w:r>
            <w:r>
              <w:rPr>
                <w:rFonts w:hint="eastAsia" w:ascii="仿宋" w:hAnsi="仿宋" w:eastAsia="仿宋" w:cs="仿宋"/>
                <w:b/>
                <w:bCs/>
                <w:color w:val="auto"/>
                <w:sz w:val="24"/>
                <w:lang w:val="en-US" w:eastAsia="zh-CN"/>
              </w:rPr>
              <w:t>需提供相关证书、证书持有人必须为投标人本单位正式员工同时需出具本单位社保缴纳证明并加盖公章。</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6分</w:t>
            </w:r>
          </w:p>
        </w:tc>
      </w:tr>
      <w:tr>
        <w:tblPrEx>
          <w:tblCellMar>
            <w:top w:w="0" w:type="dxa"/>
            <w:left w:w="108" w:type="dxa"/>
            <w:bottom w:w="0" w:type="dxa"/>
            <w:right w:w="108" w:type="dxa"/>
          </w:tblCellMar>
        </w:tblPrEx>
        <w:trPr>
          <w:trHeight w:val="1943"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同类</w:t>
            </w:r>
            <w:r>
              <w:rPr>
                <w:rFonts w:hint="eastAsia" w:ascii="仿宋" w:hAnsi="仿宋" w:eastAsia="仿宋" w:cs="仿宋"/>
                <w:color w:val="auto"/>
                <w:kern w:val="0"/>
                <w:sz w:val="24"/>
                <w:szCs w:val="24"/>
              </w:rPr>
              <w:t>案例</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提供</w:t>
            </w:r>
            <w:r>
              <w:rPr>
                <w:rFonts w:hint="eastAsia" w:ascii="仿宋" w:hAnsi="仿宋" w:eastAsia="仿宋" w:cs="仿宋"/>
                <w:color w:val="auto"/>
                <w:sz w:val="24"/>
                <w:szCs w:val="24"/>
                <w:highlight w:val="none"/>
                <w:lang w:eastAsia="zh-CN"/>
              </w:rPr>
              <w:t>自</w:t>
            </w:r>
            <w:r>
              <w:rPr>
                <w:rFonts w:hint="eastAsia" w:ascii="仿宋" w:hAnsi="仿宋" w:eastAsia="仿宋" w:cs="仿宋"/>
                <w:color w:val="auto"/>
                <w:sz w:val="24"/>
                <w:szCs w:val="24"/>
                <w:highlight w:val="none"/>
                <w:lang w:val="en-US" w:eastAsia="zh-CN"/>
              </w:rPr>
              <w:t>2020</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月以来</w:t>
            </w:r>
            <w:r>
              <w:rPr>
                <w:rFonts w:hint="eastAsia" w:ascii="仿宋" w:hAnsi="仿宋" w:eastAsia="仿宋" w:cs="仿宋"/>
                <w:b/>
                <w:bCs/>
                <w:color w:val="auto"/>
                <w:sz w:val="24"/>
                <w:szCs w:val="24"/>
                <w:highlight w:val="none"/>
                <w:lang w:eastAsia="zh-CN"/>
              </w:rPr>
              <w:t>（合同签订时间为准）</w:t>
            </w:r>
            <w:r>
              <w:rPr>
                <w:rFonts w:hint="eastAsia" w:ascii="仿宋" w:hAnsi="仿宋" w:eastAsia="仿宋" w:cs="仿宋"/>
                <w:color w:val="auto"/>
                <w:sz w:val="24"/>
                <w:szCs w:val="24"/>
                <w:highlight w:val="none"/>
                <w:lang w:eastAsia="zh-CN"/>
              </w:rPr>
              <w:t>同类项目案例，每提供一个案例得0.5分，最高得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w:t>
            </w:r>
            <w:r>
              <w:rPr>
                <w:rFonts w:hint="eastAsia" w:ascii="仿宋" w:hAnsi="仿宋" w:eastAsia="仿宋" w:cs="仿宋"/>
                <w:b/>
                <w:bCs/>
                <w:color w:val="auto"/>
                <w:sz w:val="24"/>
                <w:szCs w:val="24"/>
                <w:highlight w:val="none"/>
                <w:lang w:eastAsia="zh-CN"/>
              </w:rPr>
              <w:t>（投标文件中提供案例合同、中标通知书及验收单并加</w:t>
            </w:r>
            <w:r>
              <w:rPr>
                <w:rFonts w:hint="eastAsia" w:ascii="仿宋" w:hAnsi="仿宋" w:eastAsia="仿宋" w:cs="仿宋"/>
                <w:b/>
                <w:bCs/>
                <w:color w:val="auto"/>
                <w:sz w:val="24"/>
                <w:szCs w:val="24"/>
                <w:lang w:eastAsia="zh-CN"/>
              </w:rPr>
              <w:t>盖公章，</w:t>
            </w:r>
            <w:r>
              <w:rPr>
                <w:rFonts w:hint="eastAsia" w:ascii="仿宋" w:hAnsi="仿宋" w:eastAsia="仿宋" w:cs="仿宋"/>
                <w:b/>
                <w:bCs/>
                <w:color w:val="auto"/>
                <w:sz w:val="24"/>
                <w:szCs w:val="24"/>
                <w:lang w:val="en-US" w:eastAsia="zh-CN"/>
              </w:rPr>
              <w:t>缺一不得分</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highlight w:val="none"/>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2分</w:t>
            </w:r>
          </w:p>
        </w:tc>
      </w:tr>
      <w:tr>
        <w:tblPrEx>
          <w:tblCellMar>
            <w:top w:w="0" w:type="dxa"/>
            <w:left w:w="108" w:type="dxa"/>
            <w:bottom w:w="0" w:type="dxa"/>
            <w:right w:w="108" w:type="dxa"/>
          </w:tblCellMar>
        </w:tblPrEx>
        <w:trPr>
          <w:trHeight w:val="1134"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管理体系证书</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具有ISO20000信息技术服务管理体系</w:t>
            </w:r>
            <w:r>
              <w:rPr>
                <w:rFonts w:hint="eastAsia" w:ascii="仿宋" w:hAnsi="仿宋" w:eastAsia="仿宋" w:cs="仿宋"/>
                <w:color w:val="auto"/>
                <w:sz w:val="24"/>
                <w:szCs w:val="24"/>
                <w:lang w:val="en-US" w:eastAsia="zh-CN"/>
              </w:rPr>
              <w:t>认证</w:t>
            </w:r>
            <w:r>
              <w:rPr>
                <w:rFonts w:hint="eastAsia" w:ascii="仿宋" w:hAnsi="仿宋" w:eastAsia="仿宋" w:cs="仿宋"/>
                <w:color w:val="auto"/>
                <w:sz w:val="24"/>
                <w:szCs w:val="24"/>
                <w:lang w:eastAsia="zh-CN"/>
              </w:rPr>
              <w:t>证书；具有ISO27001信息安全管理体系</w:t>
            </w:r>
            <w:r>
              <w:rPr>
                <w:rFonts w:hint="eastAsia" w:ascii="仿宋" w:hAnsi="仿宋" w:eastAsia="仿宋" w:cs="仿宋"/>
                <w:color w:val="auto"/>
                <w:sz w:val="24"/>
                <w:szCs w:val="24"/>
                <w:lang w:val="en-US" w:eastAsia="zh-CN"/>
              </w:rPr>
              <w:t>认证</w:t>
            </w:r>
            <w:r>
              <w:rPr>
                <w:rFonts w:hint="eastAsia" w:ascii="仿宋" w:hAnsi="仿宋" w:eastAsia="仿宋" w:cs="仿宋"/>
                <w:color w:val="auto"/>
                <w:sz w:val="24"/>
                <w:szCs w:val="24"/>
                <w:lang w:eastAsia="zh-CN"/>
              </w:rPr>
              <w:t>证书；具有ISO14001环境管理体系认证证书；具有ISO9001质量体系认证证书。</w:t>
            </w:r>
            <w:r>
              <w:rPr>
                <w:rFonts w:hint="eastAsia" w:ascii="仿宋" w:hAnsi="仿宋" w:eastAsia="仿宋" w:cs="仿宋"/>
                <w:color w:val="auto"/>
                <w:sz w:val="24"/>
                <w:szCs w:val="24"/>
                <w:lang w:val="en-US" w:eastAsia="zh-CN"/>
              </w:rPr>
              <w:t>以上每提供一个得1分，最高得4分。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sz w:val="24"/>
                <w:szCs w:val="24"/>
                <w:lang w:val="en-US" w:eastAsia="zh-CN"/>
              </w:rPr>
            </w:pPr>
            <w:r>
              <w:rPr>
                <w:rFonts w:hint="eastAsia" w:ascii="仿宋" w:hAnsi="仿宋" w:eastAsia="仿宋" w:cs="仿宋"/>
                <w:b/>
                <w:color w:val="auto"/>
                <w:spacing w:val="4"/>
                <w:sz w:val="24"/>
                <w:lang w:val="en-US" w:eastAsia="zh-CN"/>
              </w:rPr>
              <w:t>注：</w:t>
            </w:r>
            <w:r>
              <w:rPr>
                <w:rFonts w:hint="eastAsia" w:ascii="仿宋" w:hAnsi="仿宋" w:eastAsia="仿宋" w:cs="仿宋"/>
                <w:b/>
                <w:color w:val="auto"/>
                <w:spacing w:val="4"/>
                <w:sz w:val="24"/>
              </w:rPr>
              <w:t>投标文件中提供有效期内的相关证明文件并加盖公章。</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4分</w:t>
            </w:r>
          </w:p>
        </w:tc>
      </w:tr>
      <w:tr>
        <w:tblPrEx>
          <w:tblCellMar>
            <w:top w:w="0" w:type="dxa"/>
            <w:left w:w="108" w:type="dxa"/>
            <w:bottom w:w="0" w:type="dxa"/>
            <w:right w:w="108" w:type="dxa"/>
          </w:tblCellMar>
        </w:tblPrEx>
        <w:trPr>
          <w:trHeight w:val="5484"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yellow"/>
              </w:rPr>
            </w:pPr>
            <w:r>
              <w:rPr>
                <w:rFonts w:hint="eastAsia" w:ascii="仿宋" w:hAnsi="仿宋" w:eastAsia="仿宋" w:cs="仿宋"/>
                <w:color w:val="auto"/>
                <w:kern w:val="0"/>
                <w:sz w:val="24"/>
                <w:szCs w:val="24"/>
                <w:highlight w:val="none"/>
              </w:rPr>
              <w:t>软件技术方案</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整体技术方案迭代思路清晰，能满足“实战实效、减负赋能”要求，所采用技术较为先进、性能稳定、安全可靠。从总体建设思路、推进“162”重大应用贯通、</w:t>
            </w:r>
            <w:bookmarkStart w:id="164" w:name="_Toc27174"/>
            <w:r>
              <w:rPr>
                <w:rFonts w:hint="eastAsia" w:ascii="仿宋" w:hAnsi="仿宋" w:eastAsia="仿宋" w:cs="仿宋"/>
                <w:color w:val="auto"/>
                <w:sz w:val="24"/>
                <w:szCs w:val="24"/>
                <w:lang w:eastAsia="zh-CN"/>
              </w:rPr>
              <w:t>迭代“141”体系</w:t>
            </w:r>
            <w:bookmarkEnd w:id="164"/>
            <w:r>
              <w:rPr>
                <w:rFonts w:hint="eastAsia" w:ascii="仿宋" w:hAnsi="仿宋" w:eastAsia="仿宋" w:cs="仿宋"/>
                <w:color w:val="auto"/>
                <w:sz w:val="24"/>
                <w:szCs w:val="24"/>
                <w:lang w:eastAsia="zh-CN"/>
              </w:rPr>
              <w:t>及应用支撑体系建设四方面阐述。</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根据投标人编制的总体建设思路方案的完整性、合理性等方面，由评委进行综合评分。（0-5分）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根据投标人编制的推进“162”重大应用贯通方案的完整性、合理性等方面，由评委进行综合评分。（0-5分）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根据投标人编制的迭代“141”体系方案的完整性、合理性等方面，由评委进行综合评分。（0-5分）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根据投标人编制的应用支撑体系建设方案的完整性、合理性等方面，由评委进行综合评分。（0-5分）</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highlight w:val="none"/>
                <w:lang w:val="en-US" w:eastAsia="zh-CN"/>
              </w:rPr>
              <w:t>20分</w:t>
            </w:r>
          </w:p>
        </w:tc>
      </w:tr>
      <w:tr>
        <w:tblPrEx>
          <w:tblCellMar>
            <w:top w:w="0" w:type="dxa"/>
            <w:left w:w="108" w:type="dxa"/>
            <w:bottom w:w="0" w:type="dxa"/>
            <w:right w:w="108" w:type="dxa"/>
          </w:tblCellMar>
        </w:tblPrEx>
        <w:trPr>
          <w:trHeight w:val="1510"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yellow"/>
              </w:rPr>
            </w:pPr>
            <w:r>
              <w:rPr>
                <w:rFonts w:hint="eastAsia" w:ascii="仿宋" w:hAnsi="仿宋" w:eastAsia="仿宋" w:cs="仿宋"/>
                <w:color w:val="auto"/>
                <w:kern w:val="0"/>
                <w:sz w:val="24"/>
                <w:szCs w:val="24"/>
                <w:highlight w:val="none"/>
              </w:rPr>
              <w:t>项目实施方案</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根</w:t>
            </w:r>
            <w:r>
              <w:rPr>
                <w:rFonts w:hint="eastAsia" w:ascii="仿宋" w:hAnsi="仿宋" w:eastAsia="仿宋" w:cs="仿宋"/>
                <w:color w:val="auto"/>
                <w:sz w:val="24"/>
                <w:szCs w:val="24"/>
                <w:lang w:eastAsia="zh-CN"/>
              </w:rPr>
              <w:t>据投标人的项目编制实施方案，项目管理及施工方案的合理性、人员安排、进度计划、质量控制等方面，由评委进行</w:t>
            </w:r>
            <w:r>
              <w:rPr>
                <w:rFonts w:hint="eastAsia" w:ascii="仿宋" w:hAnsi="仿宋" w:eastAsia="仿宋" w:cs="仿宋"/>
                <w:color w:val="auto"/>
                <w:sz w:val="24"/>
                <w:szCs w:val="24"/>
                <w:lang w:val="en-US" w:eastAsia="zh-CN"/>
              </w:rPr>
              <w:t>综合</w:t>
            </w:r>
            <w:r>
              <w:rPr>
                <w:rFonts w:hint="eastAsia" w:ascii="仿宋" w:hAnsi="仿宋" w:eastAsia="仿宋" w:cs="仿宋"/>
                <w:color w:val="auto"/>
                <w:sz w:val="24"/>
                <w:szCs w:val="24"/>
                <w:lang w:eastAsia="zh-CN"/>
              </w:rPr>
              <w:t>评分。</w:t>
            </w:r>
            <w:bookmarkStart w:id="171" w:name="_GoBack"/>
            <w:bookmarkEnd w:id="171"/>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0-6分</w:t>
            </w:r>
            <w:r>
              <w:rPr>
                <w:rFonts w:hint="eastAsia" w:ascii="仿宋" w:hAnsi="仿宋" w:eastAsia="仿宋" w:cs="仿宋"/>
                <w:color w:val="auto"/>
                <w:sz w:val="24"/>
                <w:szCs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6分</w:t>
            </w:r>
          </w:p>
        </w:tc>
      </w:tr>
      <w:tr>
        <w:tblPrEx>
          <w:tblCellMar>
            <w:top w:w="0" w:type="dxa"/>
            <w:left w:w="108" w:type="dxa"/>
            <w:bottom w:w="0" w:type="dxa"/>
            <w:right w:w="108" w:type="dxa"/>
          </w:tblCellMar>
        </w:tblPrEx>
        <w:trPr>
          <w:trHeight w:val="642"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yellow"/>
              </w:rPr>
            </w:pPr>
            <w:r>
              <w:rPr>
                <w:rFonts w:hint="eastAsia" w:ascii="仿宋" w:hAnsi="仿宋" w:eastAsia="仿宋" w:cs="仿宋"/>
                <w:color w:val="auto"/>
                <w:kern w:val="0"/>
                <w:sz w:val="24"/>
                <w:szCs w:val="24"/>
                <w:highlight w:val="none"/>
              </w:rPr>
              <w:t>培训方案</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根据项目实际需求，是否提供</w:t>
            </w:r>
            <w:r>
              <w:rPr>
                <w:rFonts w:hint="eastAsia" w:ascii="仿宋" w:hAnsi="仿宋" w:eastAsia="仿宋" w:cs="仿宋"/>
                <w:color w:val="auto"/>
                <w:sz w:val="24"/>
                <w:szCs w:val="24"/>
                <w:lang w:eastAsia="zh-CN"/>
              </w:rPr>
              <w:t>完整、可行的培训计划和培训实施方案，明确具体培训与实施计划（含对相关的系统维护管理人员、业务管理人员和业务经办人员等的培训），</w:t>
            </w:r>
            <w:r>
              <w:rPr>
                <w:rFonts w:hint="eastAsia" w:ascii="仿宋" w:hAnsi="仿宋" w:eastAsia="仿宋" w:cs="仿宋"/>
                <w:color w:val="auto"/>
                <w:sz w:val="24"/>
                <w:szCs w:val="24"/>
                <w:lang w:val="en-US" w:eastAsia="zh-CN"/>
              </w:rPr>
              <w:t>是否配备</w:t>
            </w:r>
            <w:r>
              <w:rPr>
                <w:rFonts w:hint="eastAsia" w:ascii="仿宋" w:hAnsi="仿宋" w:eastAsia="仿宋" w:cs="仿宋"/>
                <w:color w:val="auto"/>
                <w:sz w:val="24"/>
                <w:szCs w:val="24"/>
                <w:lang w:eastAsia="zh-CN"/>
              </w:rPr>
              <w:t>专业的培训队伍，由评委进行</w:t>
            </w:r>
            <w:r>
              <w:rPr>
                <w:rFonts w:hint="eastAsia" w:ascii="仿宋" w:hAnsi="仿宋" w:eastAsia="仿宋" w:cs="仿宋"/>
                <w:color w:val="auto"/>
                <w:sz w:val="24"/>
                <w:szCs w:val="24"/>
                <w:lang w:val="en-US" w:eastAsia="zh-CN"/>
              </w:rPr>
              <w:t>综合</w:t>
            </w:r>
            <w:r>
              <w:rPr>
                <w:rFonts w:hint="eastAsia" w:ascii="仿宋" w:hAnsi="仿宋" w:eastAsia="仿宋" w:cs="仿宋"/>
                <w:color w:val="auto"/>
                <w:sz w:val="24"/>
                <w:szCs w:val="24"/>
                <w:lang w:eastAsia="zh-CN"/>
              </w:rPr>
              <w:t>评分。（</w:t>
            </w:r>
            <w:r>
              <w:rPr>
                <w:rFonts w:hint="eastAsia" w:ascii="仿宋" w:hAnsi="仿宋" w:eastAsia="仿宋" w:cs="仿宋"/>
                <w:color w:val="auto"/>
                <w:sz w:val="24"/>
                <w:szCs w:val="24"/>
                <w:lang w:val="en-US" w:eastAsia="zh-CN"/>
              </w:rPr>
              <w:t>0-6分</w:t>
            </w:r>
            <w:r>
              <w:rPr>
                <w:rFonts w:hint="eastAsia" w:ascii="仿宋" w:hAnsi="仿宋" w:eastAsia="仿宋" w:cs="仿宋"/>
                <w:color w:val="auto"/>
                <w:sz w:val="24"/>
                <w:szCs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6分</w:t>
            </w:r>
          </w:p>
        </w:tc>
      </w:tr>
      <w:tr>
        <w:tblPrEx>
          <w:tblCellMar>
            <w:top w:w="0" w:type="dxa"/>
            <w:left w:w="108" w:type="dxa"/>
            <w:bottom w:w="0" w:type="dxa"/>
            <w:right w:w="108" w:type="dxa"/>
          </w:tblCellMar>
        </w:tblPrEx>
        <w:trPr>
          <w:trHeight w:val="1134"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施工进度承诺</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投标</w:t>
            </w:r>
            <w:r>
              <w:rPr>
                <w:rFonts w:hint="eastAsia" w:ascii="仿宋" w:hAnsi="仿宋" w:eastAsia="仿宋" w:cs="仿宋"/>
                <w:color w:val="auto"/>
                <w:sz w:val="24"/>
                <w:szCs w:val="24"/>
                <w:lang w:val="en-US" w:eastAsia="zh-CN"/>
              </w:rPr>
              <w:t>人</w:t>
            </w:r>
            <w:r>
              <w:rPr>
                <w:rFonts w:hint="eastAsia" w:ascii="仿宋" w:hAnsi="仿宋" w:eastAsia="仿宋" w:cs="仿宋"/>
                <w:color w:val="auto"/>
                <w:sz w:val="24"/>
                <w:szCs w:val="24"/>
                <w:lang w:eastAsia="zh-CN"/>
              </w:rPr>
              <w:t>需承诺项目自签订合同日起进场施工之日起</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lang w:eastAsia="zh-CN"/>
              </w:rPr>
              <w:t>个月内完工的，得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分；未提供承诺</w:t>
            </w:r>
            <w:r>
              <w:rPr>
                <w:rFonts w:hint="eastAsia" w:ascii="仿宋" w:hAnsi="仿宋" w:eastAsia="仿宋" w:cs="仿宋"/>
                <w:color w:val="auto"/>
                <w:sz w:val="24"/>
                <w:szCs w:val="24"/>
                <w:lang w:val="en-US" w:eastAsia="zh-CN"/>
              </w:rPr>
              <w:t>函的</w:t>
            </w:r>
            <w:r>
              <w:rPr>
                <w:rFonts w:hint="eastAsia" w:ascii="仿宋" w:hAnsi="仿宋" w:eastAsia="仿宋" w:cs="仿宋"/>
                <w:color w:val="auto"/>
                <w:sz w:val="24"/>
                <w:szCs w:val="24"/>
                <w:lang w:eastAsia="zh-CN"/>
              </w:rPr>
              <w:t>不得分。</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承诺函格式自拟）</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2分</w:t>
            </w:r>
          </w:p>
        </w:tc>
      </w:tr>
      <w:tr>
        <w:tblPrEx>
          <w:tblCellMar>
            <w:top w:w="0" w:type="dxa"/>
            <w:left w:w="108" w:type="dxa"/>
            <w:bottom w:w="0" w:type="dxa"/>
            <w:right w:w="108" w:type="dxa"/>
          </w:tblCellMar>
        </w:tblPrEx>
        <w:trPr>
          <w:trHeight w:val="1134" w:hRule="atLeast"/>
          <w:jc w:val="center"/>
        </w:trPr>
        <w:tc>
          <w:tcPr>
            <w:tcW w:w="8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3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highlight w:val="none"/>
              </w:rPr>
              <w:t>售后服务</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根据售后服务方案、承诺的范围和完善程度（包括服务年限、服务标准，故障修复响应时间、方式及保障措施）</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lang w:eastAsia="zh-CN"/>
              </w:rPr>
              <w:t>由评委进行</w:t>
            </w:r>
            <w:r>
              <w:rPr>
                <w:rFonts w:hint="eastAsia" w:ascii="仿宋" w:hAnsi="仿宋" w:eastAsia="仿宋" w:cs="仿宋"/>
                <w:color w:val="auto"/>
                <w:sz w:val="24"/>
                <w:szCs w:val="24"/>
                <w:lang w:val="en-US" w:eastAsia="zh-CN"/>
              </w:rPr>
              <w:t>综合</w:t>
            </w:r>
            <w:r>
              <w:rPr>
                <w:rFonts w:hint="eastAsia" w:ascii="仿宋" w:hAnsi="仿宋" w:eastAsia="仿宋" w:cs="仿宋"/>
                <w:color w:val="auto"/>
                <w:sz w:val="24"/>
                <w:szCs w:val="24"/>
                <w:lang w:eastAsia="zh-CN"/>
              </w:rPr>
              <w:t>评分。（</w:t>
            </w:r>
            <w:r>
              <w:rPr>
                <w:rFonts w:hint="eastAsia" w:ascii="仿宋" w:hAnsi="仿宋" w:eastAsia="仿宋" w:cs="仿宋"/>
                <w:color w:val="auto"/>
                <w:sz w:val="24"/>
                <w:szCs w:val="24"/>
                <w:lang w:val="en-US" w:eastAsia="zh-CN"/>
              </w:rPr>
              <w:t>0-6分</w:t>
            </w:r>
            <w:r>
              <w:rPr>
                <w:rFonts w:hint="eastAsia" w:ascii="仿宋" w:hAnsi="仿宋" w:eastAsia="仿宋" w:cs="仿宋"/>
                <w:color w:val="auto"/>
                <w:sz w:val="24"/>
                <w:szCs w:val="24"/>
                <w:lang w:eastAsia="zh-CN"/>
              </w:rPr>
              <w:t>）</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10分</w:t>
            </w:r>
          </w:p>
        </w:tc>
      </w:tr>
      <w:tr>
        <w:tblPrEx>
          <w:tblCellMar>
            <w:top w:w="0" w:type="dxa"/>
            <w:left w:w="108" w:type="dxa"/>
            <w:bottom w:w="0" w:type="dxa"/>
            <w:right w:w="108" w:type="dxa"/>
          </w:tblCellMar>
        </w:tblPrEx>
        <w:trPr>
          <w:trHeight w:val="1810" w:hRule="atLeast"/>
          <w:jc w:val="center"/>
        </w:trPr>
        <w:tc>
          <w:tcPr>
            <w:tcW w:w="852"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lang w:val="en-US" w:eastAsia="zh-CN"/>
              </w:rPr>
            </w:pPr>
          </w:p>
        </w:tc>
        <w:tc>
          <w:tcPr>
            <w:tcW w:w="1316"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售后服务队伍：售后服务负责人具有网络安全能力认证（CCSC）、软件设计师的，</w:t>
            </w:r>
            <w:r>
              <w:rPr>
                <w:rFonts w:hint="eastAsia" w:ascii="仿宋" w:hAnsi="仿宋" w:eastAsia="仿宋" w:cs="仿宋"/>
                <w:color w:val="auto"/>
                <w:sz w:val="24"/>
                <w:szCs w:val="24"/>
                <w:highlight w:val="none"/>
                <w:lang w:val="en-US" w:eastAsia="zh-CN"/>
              </w:rPr>
              <w:t>每提供一个得1分，最高得</w:t>
            </w:r>
            <w:r>
              <w:rPr>
                <w:rFonts w:hint="eastAsia" w:ascii="仿宋" w:hAnsi="仿宋" w:eastAsia="仿宋" w:cs="仿宋"/>
                <w:color w:val="auto"/>
                <w:sz w:val="24"/>
                <w:szCs w:val="24"/>
                <w:highlight w:val="none"/>
                <w:lang w:eastAsia="zh-CN"/>
              </w:rPr>
              <w:t>2分。</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w:t>
            </w:r>
            <w:r>
              <w:rPr>
                <w:rFonts w:hint="eastAsia" w:ascii="仿宋" w:hAnsi="仿宋" w:eastAsia="仿宋" w:cs="仿宋"/>
                <w:b/>
                <w:bCs/>
                <w:color w:val="auto"/>
                <w:sz w:val="24"/>
                <w:lang w:val="en-US" w:eastAsia="zh-CN"/>
              </w:rPr>
              <w:t>需提供相关证书、证书持有人必须为投标人本单位正式员工同时需出具本单位社保缴纳证明并加盖公章。</w:t>
            </w:r>
          </w:p>
        </w:tc>
        <w:tc>
          <w:tcPr>
            <w:tcW w:w="1236"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kern w:val="0"/>
                <w:sz w:val="24"/>
                <w:szCs w:val="24"/>
                <w:lang w:val="en-US" w:eastAsia="zh-CN"/>
              </w:rPr>
            </w:pPr>
          </w:p>
        </w:tc>
      </w:tr>
      <w:tr>
        <w:tblPrEx>
          <w:tblCellMar>
            <w:top w:w="0" w:type="dxa"/>
            <w:left w:w="108" w:type="dxa"/>
            <w:bottom w:w="0" w:type="dxa"/>
            <w:right w:w="108" w:type="dxa"/>
          </w:tblCellMar>
        </w:tblPrEx>
        <w:trPr>
          <w:trHeight w:val="1524" w:hRule="atLeast"/>
          <w:jc w:val="center"/>
        </w:trPr>
        <w:tc>
          <w:tcPr>
            <w:tcW w:w="85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lang w:val="en-US" w:eastAsia="zh-CN"/>
              </w:rPr>
            </w:pPr>
          </w:p>
        </w:tc>
        <w:tc>
          <w:tcPr>
            <w:tcW w:w="13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本地化服务</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highlight w:val="none"/>
                <w:lang w:val="en-US" w:eastAsia="zh-CN"/>
              </w:rPr>
              <w:t>在本地（绍兴市行政区域范围内）设立的项目部、办公室、办事处等机构的证明材料或作出的成交后提供本地化服务的承诺得2分。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承诺函格式自拟）</w:t>
            </w:r>
          </w:p>
        </w:tc>
        <w:tc>
          <w:tcPr>
            <w:tcW w:w="123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kern w:val="0"/>
                <w:sz w:val="24"/>
                <w:szCs w:val="24"/>
                <w:lang w:val="en-US" w:eastAsia="zh-CN"/>
              </w:rPr>
            </w:pPr>
          </w:p>
        </w:tc>
      </w:tr>
      <w:tr>
        <w:tblPrEx>
          <w:tblCellMar>
            <w:top w:w="0" w:type="dxa"/>
            <w:left w:w="108" w:type="dxa"/>
            <w:bottom w:w="0" w:type="dxa"/>
            <w:right w:w="108" w:type="dxa"/>
          </w:tblCellMar>
        </w:tblPrEx>
        <w:trPr>
          <w:trHeight w:val="1134"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9</w:t>
            </w:r>
          </w:p>
        </w:tc>
        <w:tc>
          <w:tcPr>
            <w:tcW w:w="13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highlight w:val="none"/>
                <w:lang w:val="en-US" w:eastAsia="zh-CN"/>
              </w:rPr>
              <w:t>系统</w:t>
            </w:r>
            <w:r>
              <w:rPr>
                <w:rFonts w:hint="eastAsia" w:ascii="仿宋" w:hAnsi="仿宋" w:eastAsia="仿宋" w:cs="仿宋"/>
                <w:color w:val="auto"/>
                <w:kern w:val="0"/>
                <w:sz w:val="24"/>
                <w:szCs w:val="24"/>
                <w:highlight w:val="none"/>
              </w:rPr>
              <w:t>演示</w:t>
            </w:r>
          </w:p>
        </w:tc>
        <w:tc>
          <w:tcPr>
            <w:tcW w:w="6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sz w:val="24"/>
                <w:szCs w:val="24"/>
                <w:lang w:eastAsia="zh-CN"/>
              </w:rPr>
              <w:t>为有效推进本项目，须</w:t>
            </w:r>
            <w:r>
              <w:rPr>
                <w:rFonts w:hint="eastAsia" w:ascii="仿宋" w:hAnsi="仿宋" w:eastAsia="仿宋" w:cs="仿宋"/>
                <w:color w:val="auto"/>
                <w:sz w:val="24"/>
                <w:szCs w:val="24"/>
                <w:lang w:eastAsia="zh-CN"/>
              </w:rPr>
              <w:t>提供系统设计思路、系统设计方案等演示。</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【演示功能1】要求对市级基层智治指挥舱进行演示：</w:t>
            </w:r>
            <w:r>
              <w:rPr>
                <w:rFonts w:hint="eastAsia" w:ascii="仿宋" w:hAnsi="仿宋" w:eastAsia="仿宋" w:cs="仿宋"/>
                <w:color w:val="auto"/>
                <w:sz w:val="24"/>
                <w:szCs w:val="24"/>
                <w:lang w:eastAsia="zh-CN"/>
              </w:rPr>
              <w:br w:type="textWrapping"/>
            </w:r>
            <w:r>
              <w:rPr>
                <w:rFonts w:hint="eastAsia" w:ascii="仿宋" w:hAnsi="仿宋" w:eastAsia="仿宋" w:cs="仿宋"/>
                <w:color w:val="auto"/>
                <w:sz w:val="24"/>
                <w:szCs w:val="24"/>
                <w:lang w:eastAsia="zh-CN"/>
              </w:rPr>
              <w:t>1.大屏展示“141”体系运行情况，包含县级社会治理中心、基层治理四平台和“1+3+N”网格力量等内容；2.展示基层智治大脑建设情况，包含一网、一域、一中心等内容；3.展示重大应用贯通情况，包含四条跑道已贯通应用、第一批和第二批贯通应用情况；4.展示全市基层智治协同流转情况，包含党建统领、经济生态、平安法治、公共服务四跑道协同情况；5.展示预警预测和应急指挥情况，包含预警预测信息、应急事件列表、应急预案和外部协同情况；6.展示绍兴市基层智治核心监测指标和基层智治资源图层等内容。由评委根据</w:t>
            </w:r>
            <w:r>
              <w:rPr>
                <w:rFonts w:hint="eastAsia" w:ascii="仿宋" w:hAnsi="仿宋" w:eastAsia="仿宋" w:cs="仿宋"/>
                <w:color w:val="auto"/>
                <w:sz w:val="24"/>
                <w:szCs w:val="24"/>
                <w:lang w:val="en-US" w:eastAsia="zh-CN"/>
              </w:rPr>
              <w:t>上述</w:t>
            </w:r>
            <w:r>
              <w:rPr>
                <w:rFonts w:hint="eastAsia" w:ascii="仿宋" w:hAnsi="仿宋" w:eastAsia="仿宋" w:cs="仿宋"/>
                <w:color w:val="auto"/>
                <w:sz w:val="24"/>
                <w:szCs w:val="24"/>
                <w:lang w:eastAsia="zh-CN"/>
              </w:rPr>
              <w:t>功能演示情况综合比较打分（</w:t>
            </w:r>
            <w:r>
              <w:rPr>
                <w:rFonts w:hint="eastAsia" w:ascii="仿宋" w:hAnsi="仿宋" w:eastAsia="仿宋" w:cs="仿宋"/>
                <w:color w:val="auto"/>
                <w:sz w:val="24"/>
                <w:szCs w:val="24"/>
                <w:lang w:val="en-US" w:eastAsia="zh-CN"/>
              </w:rPr>
              <w:t>0-4分</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演示功能2】要求对县（市、区）基层智治驾驶舱进行演示：1.展示绍兴基层智治区县级驾驶舱首页，包含社会治理中心六大职能，包含运行监测、矛盾调处、分析研判、协同流转、应急指挥和督查考核等内容；2.展示党建统领驾驶舱，包含三张金名片、组织建设、思想建设、纪律作风、统一战线、人大工作、政协工作、七张问题清单、党建统领事件任务中心等内容；3.展示经济生态驾驶舱，包含经济运行情况、生态文明建设、经济生态事件任务中心等内容；4.展示平安法治驾驶舱，包含平安综治、应急管理、监管执法、法治宣传、平安法治事件任务中心等内容；5.展示公共服务驾驶舱，包含幼有善育、老有康养、病有良医、学有优教、弱有众扶、劳有所得、住有宜居、政务服务、公共服务事件任务中心等内容，由评委根据</w:t>
            </w:r>
            <w:r>
              <w:rPr>
                <w:rFonts w:hint="eastAsia" w:ascii="仿宋" w:hAnsi="仿宋" w:eastAsia="仿宋" w:cs="仿宋"/>
                <w:color w:val="auto"/>
                <w:sz w:val="24"/>
                <w:szCs w:val="24"/>
                <w:lang w:val="en-US" w:eastAsia="zh-CN"/>
              </w:rPr>
              <w:t>上述</w:t>
            </w:r>
            <w:r>
              <w:rPr>
                <w:rFonts w:hint="eastAsia" w:ascii="仿宋" w:hAnsi="仿宋" w:eastAsia="仿宋" w:cs="仿宋"/>
                <w:color w:val="auto"/>
                <w:sz w:val="24"/>
                <w:szCs w:val="24"/>
                <w:lang w:eastAsia="zh-CN"/>
              </w:rPr>
              <w:t>功能演示情况综合比较打分（</w:t>
            </w:r>
            <w:r>
              <w:rPr>
                <w:rFonts w:hint="eastAsia" w:ascii="仿宋" w:hAnsi="仿宋" w:eastAsia="仿宋" w:cs="仿宋"/>
                <w:color w:val="auto"/>
                <w:sz w:val="24"/>
                <w:szCs w:val="24"/>
                <w:lang w:val="en-US" w:eastAsia="zh-CN"/>
              </w:rPr>
              <w:t>0-6分</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演示功能3】要求对乡镇四平台智治中心驾驶舱进行演示：大屏展示乡镇网格工作分析、基层事件分析、任务分拨情况、兴村治社考评情况、经济运行感知、党建统领跑道、经济生态跑道、平安法治跑道、公共服务跑道等重点指标数据。由评委根据</w:t>
            </w:r>
            <w:r>
              <w:rPr>
                <w:rFonts w:hint="eastAsia" w:ascii="仿宋" w:hAnsi="仿宋" w:eastAsia="仿宋" w:cs="仿宋"/>
                <w:color w:val="auto"/>
                <w:sz w:val="24"/>
                <w:szCs w:val="24"/>
                <w:lang w:val="en-US" w:eastAsia="zh-CN"/>
              </w:rPr>
              <w:t>上述</w:t>
            </w:r>
            <w:r>
              <w:rPr>
                <w:rFonts w:hint="eastAsia" w:ascii="仿宋" w:hAnsi="仿宋" w:eastAsia="仿宋" w:cs="仿宋"/>
                <w:color w:val="auto"/>
                <w:sz w:val="24"/>
                <w:szCs w:val="24"/>
                <w:lang w:eastAsia="zh-CN"/>
              </w:rPr>
              <w:t>功能演示情况综合比较打分（</w:t>
            </w:r>
            <w:r>
              <w:rPr>
                <w:rFonts w:hint="eastAsia" w:ascii="仿宋" w:hAnsi="仿宋" w:eastAsia="仿宋" w:cs="仿宋"/>
                <w:color w:val="auto"/>
                <w:sz w:val="24"/>
                <w:szCs w:val="24"/>
                <w:lang w:val="en-US" w:eastAsia="zh-CN"/>
              </w:rPr>
              <w:t>0-4分</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【演示功能4】要求对重大应用贯通功能进行演示：展示省级重大应用贯通后的入口、界面、功能集成及事件数据。由评委根据</w:t>
            </w:r>
            <w:r>
              <w:rPr>
                <w:rFonts w:hint="eastAsia" w:ascii="仿宋" w:hAnsi="仿宋" w:eastAsia="仿宋" w:cs="仿宋"/>
                <w:color w:val="auto"/>
                <w:sz w:val="24"/>
                <w:szCs w:val="24"/>
                <w:lang w:val="en-US" w:eastAsia="zh-CN"/>
              </w:rPr>
              <w:t>上述</w:t>
            </w:r>
            <w:r>
              <w:rPr>
                <w:rFonts w:hint="eastAsia" w:ascii="仿宋" w:hAnsi="仿宋" w:eastAsia="仿宋" w:cs="仿宋"/>
                <w:color w:val="auto"/>
                <w:sz w:val="24"/>
                <w:szCs w:val="24"/>
                <w:lang w:eastAsia="zh-CN"/>
              </w:rPr>
              <w:t>功能演示情况综合比较打分（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演示功能5】要求对跑道专题分析功能进行演示：展示党建统领、平安法治、经济生态、公共服务四跑道事件来源分布、事件等级分布、事件新增办结排行、事件类型分析、人员走访情况、场所巡查情况等内容。由评委根据</w:t>
            </w:r>
            <w:r>
              <w:rPr>
                <w:rFonts w:hint="eastAsia" w:ascii="仿宋" w:hAnsi="仿宋" w:eastAsia="仿宋" w:cs="仿宋"/>
                <w:color w:val="auto"/>
                <w:sz w:val="24"/>
                <w:szCs w:val="24"/>
                <w:lang w:val="en-US" w:eastAsia="zh-CN"/>
              </w:rPr>
              <w:t>上述</w:t>
            </w:r>
            <w:r>
              <w:rPr>
                <w:rFonts w:hint="eastAsia" w:ascii="仿宋" w:hAnsi="仿宋" w:eastAsia="仿宋" w:cs="仿宋"/>
                <w:color w:val="auto"/>
                <w:sz w:val="24"/>
                <w:szCs w:val="24"/>
                <w:lang w:eastAsia="zh-CN"/>
              </w:rPr>
              <w:t>功能演示情况综合比较打分（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lang w:eastAsia="zh-CN"/>
              </w:rPr>
              <w:t>）。</w:t>
            </w:r>
          </w:p>
          <w:p>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sz w:val="24"/>
                <w:szCs w:val="24"/>
                <w:lang w:val="en-US" w:eastAsia="zh-CN"/>
              </w:rPr>
            </w:pPr>
            <w:r>
              <w:rPr>
                <w:rFonts w:hint="eastAsia" w:ascii="仿宋_GB2312" w:hAnsi="仿宋" w:eastAsia="仿宋_GB2312" w:cs="仿宋"/>
                <w:b/>
                <w:bCs/>
                <w:color w:val="auto"/>
                <w:sz w:val="24"/>
                <w:highlight w:val="none"/>
                <w:lang w:val="en-US" w:eastAsia="zh-CN"/>
              </w:rPr>
              <w:t>注：演示说明具体详见招标文件前附表。</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24分</w:t>
            </w:r>
          </w:p>
        </w:tc>
      </w:tr>
    </w:tbl>
    <w:p>
      <w:pPr>
        <w:rPr>
          <w:color w:val="auto"/>
        </w:rPr>
      </w:pPr>
    </w:p>
    <w:p>
      <w:pPr>
        <w:snapToGrid w:val="0"/>
        <w:spacing w:line="440" w:lineRule="exact"/>
        <w:rPr>
          <w:rFonts w:ascii="仿宋_GB2312" w:hAnsi="仿宋" w:eastAsia="仿宋_GB2312" w:cs="仿宋"/>
          <w:color w:val="auto"/>
          <w:sz w:val="24"/>
        </w:rPr>
      </w:pPr>
      <w:r>
        <w:rPr>
          <w:rFonts w:hint="eastAsia" w:ascii="仿宋_GB2312" w:hAnsi="仿宋" w:eastAsia="仿宋_GB2312" w:cs="仿宋"/>
          <w:b/>
          <w:color w:val="auto"/>
          <w:sz w:val="24"/>
        </w:rPr>
        <w:t>备注：</w:t>
      </w:r>
      <w:r>
        <w:rPr>
          <w:rFonts w:hint="eastAsia" w:ascii="仿宋_GB2312" w:hAnsi="仿宋" w:eastAsia="仿宋_GB2312" w:cs="仿宋"/>
          <w:color w:val="auto"/>
          <w:sz w:val="24"/>
        </w:rPr>
        <w:t>投标人编制投标文件（商务技术文件部分）时，建议按此目录（序号和内容）提供评标标准相应的商务技术资料。 </w:t>
      </w:r>
    </w:p>
    <w:p>
      <w:pPr>
        <w:spacing w:line="440" w:lineRule="exact"/>
        <w:rPr>
          <w:rFonts w:hint="eastAsia" w:ascii="仿宋_GB2312" w:hAnsi="宋体" w:eastAsia="仿宋_GB2312"/>
          <w:b/>
          <w:bCs/>
          <w:iCs/>
          <w:color w:val="auto"/>
          <w:sz w:val="24"/>
        </w:rPr>
      </w:pP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u w:val="single"/>
          <w:lang w:val="en-US" w:eastAsia="zh-CN"/>
        </w:rPr>
        <w:t>20</w:t>
      </w:r>
      <w:r>
        <w:rPr>
          <w:rFonts w:hint="eastAsia" w:ascii="仿宋_GB2312" w:hAnsi="宋体" w:eastAsia="仿宋_GB2312"/>
          <w:b/>
          <w:bCs/>
          <w:iCs/>
          <w:color w:val="auto"/>
          <w:sz w:val="24"/>
        </w:rPr>
        <w:t>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lang w:val="en-US"/>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u w:val="single"/>
          <w:lang w:val="en-US" w:eastAsia="zh-CN"/>
        </w:rPr>
        <w:t>20</w:t>
      </w:r>
    </w:p>
    <w:p>
      <w:pPr>
        <w:snapToGrid w:val="0"/>
        <w:rPr>
          <w:rFonts w:ascii="仿宋_GB2312" w:hAnsi="宋体" w:eastAsia="仿宋_GB2312"/>
          <w:b/>
          <w:color w:val="auto"/>
          <w:sz w:val="24"/>
          <w:u w:val="single"/>
        </w:rPr>
      </w:pPr>
    </w:p>
    <w:bookmarkEnd w:id="17"/>
    <w:bookmarkEnd w:id="18"/>
    <w:bookmarkEnd w:id="19"/>
    <w:bookmarkEnd w:id="20"/>
    <w:p>
      <w:pPr>
        <w:snapToGrid w:val="0"/>
        <w:spacing w:line="360" w:lineRule="auto"/>
        <w:jc w:val="center"/>
        <w:rPr>
          <w:rFonts w:ascii="仿宋_GB2312" w:hAnsi="仿宋_GB2312" w:eastAsia="仿宋_GB2312" w:cs="仿宋_GB2312"/>
          <w:b/>
          <w:color w:val="auto"/>
          <w:sz w:val="36"/>
          <w:szCs w:val="20"/>
        </w:rPr>
      </w:pPr>
    </w:p>
    <w:p>
      <w:pPr>
        <w:snapToGrid w:val="0"/>
        <w:spacing w:line="360" w:lineRule="auto"/>
        <w:jc w:val="center"/>
        <w:rPr>
          <w:rFonts w:ascii="仿宋_GB2312" w:hAnsi="仿宋_GB2312" w:eastAsia="仿宋_GB2312" w:cs="仿宋_GB2312"/>
          <w:b/>
          <w:color w:val="auto"/>
          <w:sz w:val="36"/>
          <w:szCs w:val="20"/>
        </w:rPr>
      </w:pPr>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 xml:space="preserve">第六部分   </w:t>
      </w:r>
      <w:r>
        <w:rPr>
          <w:rFonts w:hint="eastAsia" w:ascii="仿宋_GB2312" w:hAnsi="仿宋" w:eastAsia="仿宋_GB2312" w:cs="仿宋"/>
          <w:b/>
          <w:color w:val="auto"/>
          <w:sz w:val="36"/>
          <w:szCs w:val="20"/>
        </w:rPr>
        <w:t>投标文件及其附件格式</w:t>
      </w:r>
    </w:p>
    <w:p>
      <w:pPr>
        <w:spacing w:line="360" w:lineRule="auto"/>
        <w:ind w:firstLine="480" w:firstLineChars="200"/>
        <w:outlineLvl w:val="0"/>
        <w:rPr>
          <w:rFonts w:ascii="仿宋_GB2312" w:hAnsi="仿宋_GB2312" w:eastAsia="仿宋_GB2312" w:cs="仿宋_GB2312"/>
          <w:color w:val="auto"/>
          <w:sz w:val="24"/>
        </w:rPr>
      </w:pP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资格文件部分</w:t>
      </w: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adjustRightInd w:val="0"/>
        <w:spacing w:line="360" w:lineRule="auto"/>
        <w:jc w:val="center"/>
        <w:outlineLvl w:val="0"/>
        <w:rPr>
          <w:rFonts w:ascii="仿宋_GB2312" w:hAnsi="仿宋" w:eastAsia="仿宋_GB2312" w:cs="仿宋"/>
          <w:b/>
          <w:color w:val="auto"/>
          <w:kern w:val="0"/>
          <w:sz w:val="36"/>
          <w:szCs w:val="36"/>
        </w:rPr>
      </w:pP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snapToGrid w:val="0"/>
          <w:color w:val="auto"/>
          <w:kern w:val="28"/>
          <w:sz w:val="24"/>
          <w:szCs w:val="20"/>
        </w:rPr>
        <w:t>（2）联合协议</w:t>
      </w:r>
      <w:r>
        <w:rPr>
          <w:rFonts w:hint="eastAsia" w:ascii="仿宋_GB2312" w:hAnsi="仿宋" w:eastAsia="仿宋_GB2312" w:cs="仿宋"/>
          <w:color w:val="auto"/>
          <w:sz w:val="24"/>
        </w:rPr>
        <w:t>………………………………………………………………（页码）</w:t>
      </w:r>
    </w:p>
    <w:p>
      <w:pPr>
        <w:autoSpaceDE w:val="0"/>
        <w:autoSpaceDN w:val="0"/>
        <w:adjustRightInd w:val="0"/>
        <w:spacing w:line="360" w:lineRule="auto"/>
        <w:rPr>
          <w:rFonts w:ascii="仿宋_GB2312" w:hAnsi="仿宋" w:eastAsia="仿宋_GB2312" w:cs="仿宋"/>
          <w:snapToGrid w:val="0"/>
          <w:color w:val="auto"/>
          <w:sz w:val="24"/>
          <w:szCs w:val="21"/>
          <w:lang w:val="zh-CN"/>
        </w:rPr>
      </w:pPr>
      <w:r>
        <w:rPr>
          <w:rFonts w:hint="eastAsia" w:ascii="仿宋_GB2312" w:hAnsi="仿宋" w:eastAsia="仿宋_GB2312" w:cs="仿宋"/>
          <w:snapToGrid w:val="0"/>
          <w:color w:val="auto"/>
          <w:sz w:val="24"/>
          <w:szCs w:val="21"/>
          <w:lang w:val="zh-CN"/>
        </w:rPr>
        <w:t>（3）分包协议………………………………………………………………（页码）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（4）落实政府采购政策需满足的资格要求………………………………（页码）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（5）本项目的特定资格要求………………………………………………（页码）</w:t>
      </w:r>
    </w:p>
    <w:p>
      <w:pPr>
        <w:spacing w:line="360" w:lineRule="auto"/>
        <w:ind w:firstLine="480" w:firstLineChars="200"/>
        <w:outlineLvl w:val="0"/>
        <w:rPr>
          <w:rFonts w:ascii="仿宋_GB2312" w:hAnsi="仿宋_GB2312" w:eastAsia="仿宋_GB2312" w:cs="仿宋_GB2312"/>
          <w:color w:val="auto"/>
          <w:sz w:val="24"/>
        </w:rPr>
      </w:pPr>
    </w:p>
    <w:p>
      <w:pPr>
        <w:pStyle w:val="25"/>
        <w:spacing w:line="800" w:lineRule="atLeast"/>
        <w:ind w:left="0" w:leftChars="0"/>
        <w:rPr>
          <w:rFonts w:ascii="仿宋_GB2312" w:hAnsi="宋体" w:eastAsia="仿宋_GB2312"/>
          <w:b/>
          <w:color w:val="auto"/>
          <w:sz w:val="36"/>
          <w:szCs w:val="36"/>
        </w:rPr>
      </w:pPr>
    </w:p>
    <w:p>
      <w:pPr>
        <w:pStyle w:val="25"/>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r>
        <w:rPr>
          <w:rFonts w:hint="eastAsia" w:ascii="仿宋_GB2312" w:hAnsi="仿宋" w:eastAsia="仿宋_GB2312" w:cs="仿宋"/>
          <w:b/>
          <w:color w:val="auto"/>
          <w:kern w:val="0"/>
          <w:sz w:val="32"/>
          <w:szCs w:val="32"/>
        </w:rPr>
        <w:t>一、 符合参加政府采购活动应当具备的一般条件的承诺函</w:t>
      </w:r>
    </w:p>
    <w:p>
      <w:pPr>
        <w:snapToGrid w:val="0"/>
        <w:spacing w:line="440" w:lineRule="exact"/>
        <w:rPr>
          <w:rFonts w:ascii="仿宋_GB2312" w:hAnsi="仿宋_GB2312" w:eastAsia="仿宋_GB2312" w:cs="仿宋_GB2312"/>
          <w:color w:val="auto"/>
          <w:sz w:val="24"/>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widowControl/>
        <w:spacing w:line="360" w:lineRule="auto"/>
        <w:jc w:val="center"/>
        <w:rPr>
          <w:rFonts w:hint="eastAsia" w:ascii="仿宋_GB2312" w:hAnsi="仿宋" w:eastAsia="仿宋_GB2312" w:cs="仿宋"/>
          <w:b/>
          <w:color w:val="auto"/>
          <w:kern w:val="0"/>
          <w:sz w:val="32"/>
          <w:szCs w:val="32"/>
        </w:rPr>
      </w:pPr>
    </w:p>
    <w:p>
      <w:pPr>
        <w:widowControl/>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二、联合协议（如果有）</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[以联合体形式投标的，提供联合协议（附件</w:t>
      </w:r>
      <w:r>
        <w:rPr>
          <w:rFonts w:hint="eastAsia" w:ascii="仿宋_GB2312" w:hAnsi="仿宋" w:eastAsia="仿宋_GB2312" w:cs="仿宋"/>
          <w:b/>
          <w:color w:val="auto"/>
          <w:sz w:val="24"/>
          <w:lang w:val="en-US" w:eastAsia="zh-CN"/>
        </w:rPr>
        <w:t>5</w:t>
      </w:r>
      <w:r>
        <w:rPr>
          <w:rFonts w:hint="eastAsia" w:ascii="仿宋_GB2312" w:hAnsi="仿宋" w:eastAsia="仿宋_GB2312" w:cs="仿宋"/>
          <w:b/>
          <w:color w:val="auto"/>
          <w:sz w:val="24"/>
        </w:rPr>
        <w:t>）；本项目不接受联合体投标或者投标人不以联合体形式投标的，则不需要提供]</w:t>
      </w:r>
    </w:p>
    <w:p>
      <w:pPr>
        <w:pStyle w:val="80"/>
        <w:rPr>
          <w:color w:val="auto"/>
        </w:rPr>
      </w:pPr>
    </w:p>
    <w:p>
      <w:pPr>
        <w:snapToGrid w:val="0"/>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三、分包意向协议（如果有）</w:t>
      </w:r>
    </w:p>
    <w:p>
      <w:pPr>
        <w:widowControl/>
        <w:spacing w:line="360" w:lineRule="auto"/>
        <w:ind w:firstLine="361" w:firstLineChars="150"/>
        <w:jc w:val="left"/>
        <w:rPr>
          <w:rFonts w:ascii="仿宋_GB2312" w:hAnsi="仿宋" w:eastAsia="仿宋_GB2312" w:cs="仿宋"/>
          <w:b/>
          <w:color w:val="auto"/>
          <w:sz w:val="24"/>
        </w:rPr>
      </w:pPr>
      <w:r>
        <w:rPr>
          <w:rFonts w:hint="eastAsia" w:ascii="仿宋_GB2312" w:hAnsi="仿宋" w:eastAsia="仿宋_GB2312" w:cs="仿宋"/>
          <w:b/>
          <w:color w:val="auto"/>
          <w:sz w:val="24"/>
        </w:rPr>
        <w:t>[中标后以分包方式履行合同的，提供分包意向协议(附件</w:t>
      </w:r>
      <w:r>
        <w:rPr>
          <w:rFonts w:hint="eastAsia" w:ascii="仿宋_GB2312" w:hAnsi="仿宋" w:eastAsia="仿宋_GB2312" w:cs="仿宋"/>
          <w:b/>
          <w:color w:val="auto"/>
          <w:sz w:val="24"/>
          <w:lang w:val="en-US" w:eastAsia="zh-CN"/>
        </w:rPr>
        <w:t>6</w:t>
      </w:r>
      <w:r>
        <w:rPr>
          <w:rFonts w:hint="eastAsia" w:ascii="仿宋_GB2312" w:hAnsi="仿宋" w:eastAsia="仿宋_GB2312" w:cs="仿宋"/>
          <w:b/>
          <w:color w:val="auto"/>
          <w:sz w:val="24"/>
        </w:rPr>
        <w:t>)；采购人不同意分包或者投标人中标后不以分包方式履行合同的，则不需要提供。]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四、落实政府采购政策需满足的资格要求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A</w:t>
      </w:r>
      <w:r>
        <w:rPr>
          <w:rFonts w:hint="eastAsia" w:ascii="仿宋_GB2312" w:hAnsi="仿宋" w:eastAsia="仿宋_GB2312"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B.</w:t>
      </w:r>
      <w:r>
        <w:rPr>
          <w:rFonts w:hint="eastAsia" w:ascii="仿宋_GB2312" w:hAnsi="仿宋" w:eastAsia="仿宋_GB2312" w:cs="仿宋"/>
          <w:color w:val="auto"/>
          <w:sz w:val="24"/>
        </w:rPr>
        <w:t>要求以联合体形式参加的，提供联合协议（附件</w:t>
      </w:r>
      <w:r>
        <w:rPr>
          <w:rFonts w:hint="eastAsia" w:ascii="仿宋_GB2312" w:hAnsi="仿宋" w:eastAsia="仿宋_GB2312" w:cs="仿宋"/>
          <w:color w:val="auto"/>
          <w:sz w:val="24"/>
          <w:lang w:val="en-US" w:eastAsia="zh-CN"/>
        </w:rPr>
        <w:t>5</w:t>
      </w:r>
      <w:r>
        <w:rPr>
          <w:rFonts w:hint="eastAsia" w:ascii="仿宋_GB2312" w:hAnsi="仿宋" w:eastAsia="仿宋_GB2312" w:cs="仿宋"/>
          <w:color w:val="auto"/>
          <w:sz w:val="24"/>
        </w:rPr>
        <w:t>）和中小企业声明函（附件7），联合协议中中小企业合同金额应当达到招标公告载明的比例；如果供应商本身提供所有标的均由中小企业制造的，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视同符合了资格条件，无需再与其他中小企业组成联合体参加政府采购活动，无需提供联合协议。</w:t>
      </w:r>
      <w:r>
        <w:rPr>
          <w:rFonts w:hint="eastAsia" w:ascii="仿宋_GB2312" w:hAnsi="仿宋" w:eastAsia="仿宋_GB2312" w:cs="仿宋"/>
          <w:b/>
          <w:color w:val="auto"/>
          <w:sz w:val="24"/>
        </w:rPr>
        <w:t xml:space="preserve">    </w:t>
      </w:r>
    </w:p>
    <w:p>
      <w:pPr>
        <w:spacing w:line="360" w:lineRule="auto"/>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C、</w:t>
      </w:r>
      <w:r>
        <w:rPr>
          <w:rFonts w:hint="eastAsia" w:ascii="仿宋_GB2312" w:hAnsi="仿宋" w:eastAsia="仿宋_GB2312" w:cs="仿宋"/>
          <w:color w:val="auto"/>
          <w:sz w:val="24"/>
        </w:rPr>
        <w:t>要求合同分包的，提供分包意向协议（附件</w:t>
      </w:r>
      <w:r>
        <w:rPr>
          <w:rFonts w:hint="eastAsia" w:ascii="仿宋_GB2312" w:hAnsi="仿宋" w:eastAsia="仿宋_GB2312" w:cs="仿宋"/>
          <w:color w:val="auto"/>
          <w:sz w:val="24"/>
          <w:lang w:val="en-US" w:eastAsia="zh-CN"/>
        </w:rPr>
        <w:t>6</w:t>
      </w:r>
      <w:r>
        <w:rPr>
          <w:rFonts w:hint="eastAsia" w:ascii="仿宋_GB2312" w:hAnsi="仿宋" w:eastAsia="仿宋_GB2312" w:cs="仿宋"/>
          <w:color w:val="auto"/>
          <w:sz w:val="24"/>
        </w:rPr>
        <w:t>）和中小企业声明函（附件7），分包意向协议中中小企业合同金额应当达到招标公告载明的比例；如果供应商本身提供所有标的均由中小企业制造的，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rPr>
      </w:pPr>
    </w:p>
    <w:p>
      <w:pPr>
        <w:widowControl/>
        <w:spacing w:line="360" w:lineRule="auto"/>
        <w:ind w:left="15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五、本项目的特定资格要求</w:t>
      </w:r>
    </w:p>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商务技术文件部分</w:t>
      </w:r>
    </w:p>
    <w:p>
      <w:pPr>
        <w:spacing w:line="336" w:lineRule="auto"/>
        <w:jc w:val="center"/>
        <w:outlineLvl w:val="0"/>
        <w:rPr>
          <w:rFonts w:ascii="仿宋_GB2312" w:hAnsi="仿宋" w:eastAsia="仿宋_GB2312" w:cs="仿宋"/>
          <w:b/>
          <w:color w:val="auto"/>
          <w:kern w:val="0"/>
          <w:sz w:val="24"/>
        </w:rPr>
      </w:pPr>
    </w:p>
    <w:p>
      <w:pPr>
        <w:spacing w:line="336" w:lineRule="auto"/>
        <w:jc w:val="center"/>
        <w:outlineLvl w:val="0"/>
        <w:rPr>
          <w:rFonts w:ascii="仿宋_GB2312" w:hAnsi="仿宋" w:eastAsia="仿宋_GB2312" w:cs="仿宋"/>
          <w:b/>
          <w:color w:val="auto"/>
          <w:kern w:val="0"/>
          <w:sz w:val="28"/>
          <w:szCs w:val="28"/>
        </w:rPr>
      </w:pPr>
      <w:r>
        <w:rPr>
          <w:rFonts w:hint="eastAsia" w:ascii="仿宋_GB2312" w:hAnsi="仿宋" w:eastAsia="仿宋_GB2312" w:cs="仿宋"/>
          <w:b/>
          <w:color w:val="auto"/>
          <w:kern w:val="0"/>
          <w:sz w:val="28"/>
          <w:szCs w:val="28"/>
        </w:rPr>
        <w:t>目录</w:t>
      </w:r>
    </w:p>
    <w:p>
      <w:pPr>
        <w:pStyle w:val="222"/>
        <w:spacing w:line="336" w:lineRule="auto"/>
        <w:ind w:left="0" w:firstLine="0" w:firstLineChars="0"/>
        <w:rPr>
          <w:rFonts w:cs="仿宋"/>
          <w:color w:val="auto"/>
        </w:rPr>
      </w:pPr>
      <w:r>
        <w:rPr>
          <w:rFonts w:hint="eastAsia" w:hAnsi="仿宋_GB2312" w:cs="仿宋_GB2312"/>
          <w:color w:val="auto"/>
        </w:rPr>
        <w:t>（1）</w:t>
      </w:r>
      <w:r>
        <w:rPr>
          <w:rFonts w:hint="eastAsia" w:cs="仿宋"/>
          <w:color w:val="auto"/>
        </w:rPr>
        <w:t>投标函</w:t>
      </w:r>
      <w:r>
        <w:rPr>
          <w:rFonts w:hint="eastAsia" w:hAnsi="仿宋_GB2312" w:cs="仿宋_GB2312"/>
          <w:color w:val="auto"/>
        </w:rPr>
        <w:t xml:space="preserve">……………………………………………………………………… </w:t>
      </w:r>
      <w:r>
        <w:rPr>
          <w:rFonts w:hint="eastAsia" w:cs="仿宋"/>
          <w:color w:val="auto"/>
        </w:rPr>
        <w:t>（页码）</w:t>
      </w:r>
    </w:p>
    <w:p>
      <w:pPr>
        <w:pStyle w:val="222"/>
        <w:spacing w:line="336" w:lineRule="auto"/>
        <w:ind w:left="0" w:firstLine="0" w:firstLineChars="0"/>
        <w:rPr>
          <w:rFonts w:cs="仿宋"/>
          <w:color w:val="auto"/>
        </w:rPr>
      </w:pPr>
      <w:r>
        <w:rPr>
          <w:rFonts w:hint="eastAsia" w:hAnsi="仿宋_GB2312" w:cs="仿宋_GB2312"/>
          <w:color w:val="auto"/>
        </w:rPr>
        <w:t>（2）</w:t>
      </w:r>
      <w:r>
        <w:rPr>
          <w:rFonts w:hint="eastAsia" w:cs="仿宋"/>
          <w:color w:val="auto"/>
        </w:rPr>
        <w:t>法定代表人授权书………………</w:t>
      </w:r>
      <w:r>
        <w:rPr>
          <w:rFonts w:hint="eastAsia" w:hAnsi="仿宋_GB2312" w:cs="仿宋_GB2312"/>
          <w:color w:val="auto"/>
        </w:rPr>
        <w:t xml:space="preserve">………………………………………… </w:t>
      </w:r>
      <w:r>
        <w:rPr>
          <w:rFonts w:hint="eastAsia" w:cs="仿宋"/>
          <w:color w:val="auto"/>
        </w:rPr>
        <w:t>（页码）</w:t>
      </w:r>
    </w:p>
    <w:p>
      <w:pPr>
        <w:pStyle w:val="222"/>
        <w:spacing w:line="336" w:lineRule="auto"/>
        <w:ind w:left="0" w:firstLine="0" w:firstLineChars="0"/>
        <w:rPr>
          <w:rFonts w:cs="仿宋"/>
          <w:color w:val="auto"/>
        </w:rPr>
      </w:pPr>
      <w:r>
        <w:rPr>
          <w:rFonts w:hint="eastAsia" w:hAnsi="仿宋_GB2312" w:cs="仿宋_GB2312"/>
          <w:color w:val="auto"/>
        </w:rPr>
        <w:t>（3）</w:t>
      </w:r>
      <w:r>
        <w:rPr>
          <w:rFonts w:hint="eastAsia" w:cs="仿宋"/>
          <w:color w:val="auto"/>
        </w:rPr>
        <w:t>授权代表社保证明</w:t>
      </w:r>
      <w:r>
        <w:rPr>
          <w:rFonts w:hint="eastAsia" w:hAnsi="仿宋_GB2312" w:cs="仿宋_GB2312"/>
          <w:color w:val="auto"/>
          <w:highlight w:val="none"/>
        </w:rPr>
        <w:t>（复印件）</w:t>
      </w:r>
      <w:r>
        <w:rPr>
          <w:rFonts w:hint="eastAsia" w:cs="仿宋"/>
          <w:color w:val="auto"/>
        </w:rPr>
        <w:t>………………</w:t>
      </w:r>
      <w:r>
        <w:rPr>
          <w:rFonts w:hint="eastAsia" w:hAnsi="仿宋_GB2312" w:cs="仿宋_GB2312"/>
          <w:color w:val="auto"/>
        </w:rPr>
        <w:t xml:space="preserve">…………………………… </w:t>
      </w:r>
      <w:r>
        <w:rPr>
          <w:rFonts w:hint="eastAsia" w:cs="仿宋"/>
          <w:color w:val="auto"/>
        </w:rPr>
        <w:t>（页码）</w:t>
      </w:r>
    </w:p>
    <w:p>
      <w:pPr>
        <w:pStyle w:val="222"/>
        <w:spacing w:line="336" w:lineRule="auto"/>
        <w:ind w:left="0" w:firstLine="0" w:firstLineChars="0"/>
        <w:rPr>
          <w:rFonts w:cs="仿宋"/>
          <w:color w:val="auto"/>
        </w:rPr>
      </w:pPr>
      <w:r>
        <w:rPr>
          <w:rFonts w:hint="eastAsia" w:hAnsi="仿宋_GB2312" w:cs="仿宋_GB2312"/>
          <w:color w:val="auto"/>
        </w:rPr>
        <w:t>（4）</w:t>
      </w:r>
      <w:r>
        <w:rPr>
          <w:rFonts w:hint="eastAsia" w:cs="仿宋"/>
          <w:color w:val="auto"/>
        </w:rPr>
        <w:t>法定代表人及其授权代表身份证复印件（复印件）……………</w:t>
      </w:r>
      <w:r>
        <w:rPr>
          <w:rFonts w:hint="eastAsia" w:hAnsi="仿宋_GB2312" w:cs="仿宋_GB2312"/>
          <w:color w:val="auto"/>
        </w:rPr>
        <w:t xml:space="preserve">……… </w:t>
      </w:r>
      <w:r>
        <w:rPr>
          <w:rFonts w:hint="eastAsia" w:cs="仿宋"/>
          <w:color w:val="auto"/>
        </w:rPr>
        <w:t>（页码）</w:t>
      </w:r>
    </w:p>
    <w:p>
      <w:pPr>
        <w:pStyle w:val="222"/>
        <w:spacing w:line="336" w:lineRule="auto"/>
        <w:ind w:left="0" w:firstLine="0" w:firstLineChars="0"/>
        <w:rPr>
          <w:rFonts w:cs="仿宋"/>
          <w:color w:val="auto"/>
        </w:rPr>
      </w:pPr>
      <w:r>
        <w:rPr>
          <w:rFonts w:hint="eastAsia" w:hAnsi="仿宋_GB2312" w:cs="仿宋_GB2312"/>
          <w:color w:val="auto"/>
        </w:rPr>
        <w:t>（5）</w:t>
      </w:r>
      <w:r>
        <w:rPr>
          <w:rFonts w:hint="eastAsia" w:cs="仿宋"/>
          <w:color w:val="auto"/>
        </w:rPr>
        <w:t>法定代表人身份证明书…………………………………………………… （页码）</w:t>
      </w:r>
    </w:p>
    <w:p>
      <w:pPr>
        <w:pStyle w:val="222"/>
        <w:spacing w:line="336" w:lineRule="auto"/>
        <w:ind w:left="0" w:firstLine="0" w:firstLineChars="0"/>
        <w:rPr>
          <w:rFonts w:cs="仿宋"/>
          <w:color w:val="auto"/>
        </w:rPr>
      </w:pPr>
      <w:r>
        <w:rPr>
          <w:rFonts w:hint="eastAsia" w:hAnsi="仿宋_GB2312" w:cs="仿宋_GB2312"/>
          <w:color w:val="auto"/>
        </w:rPr>
        <w:t>（6）</w:t>
      </w:r>
      <w:r>
        <w:rPr>
          <w:rFonts w:hint="eastAsia" w:cs="仿宋"/>
          <w:color w:val="auto"/>
        </w:rPr>
        <w:t>商务技术偏离表…………………………………………………………… （页码）</w:t>
      </w:r>
    </w:p>
    <w:p>
      <w:pPr>
        <w:pStyle w:val="222"/>
        <w:spacing w:line="336" w:lineRule="auto"/>
        <w:ind w:left="0" w:firstLine="0" w:firstLineChars="0"/>
        <w:rPr>
          <w:rFonts w:cs="仿宋"/>
          <w:color w:val="auto"/>
        </w:rPr>
      </w:pPr>
      <w:r>
        <w:rPr>
          <w:rFonts w:hint="eastAsia" w:hAnsi="仿宋_GB2312" w:cs="仿宋_GB2312"/>
          <w:color w:val="auto"/>
        </w:rPr>
        <w:t>（7）</w:t>
      </w:r>
      <w:r>
        <w:rPr>
          <w:rFonts w:hint="eastAsia" w:cs="仿宋"/>
          <w:color w:val="auto"/>
          <w:lang w:val="zh-CN"/>
        </w:rPr>
        <w:t>政府采购供应商廉洁自律承诺书</w:t>
      </w:r>
      <w:r>
        <w:rPr>
          <w:rFonts w:hint="eastAsia" w:cs="仿宋"/>
          <w:color w:val="auto"/>
        </w:rPr>
        <w:t>………………………………………… （页码）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0"/>
        <w:rPr>
          <w:rFonts w:ascii="仿宋_GB2312" w:hAnsi="仿宋" w:eastAsia="仿宋_GB2312" w:cs="仿宋"/>
          <w:b/>
          <w:color w:val="auto"/>
          <w:sz w:val="32"/>
          <w:szCs w:val="32"/>
        </w:rPr>
      </w:pPr>
      <w:r>
        <w:rPr>
          <w:rFonts w:hint="eastAsia" w:ascii="仿宋_GB2312" w:hAnsi="仿宋" w:eastAsia="仿宋_GB2312" w:cs="仿宋"/>
          <w:b/>
          <w:color w:val="auto"/>
          <w:kern w:val="0"/>
          <w:sz w:val="32"/>
          <w:szCs w:val="32"/>
        </w:rPr>
        <w:t>一、投标</w:t>
      </w:r>
      <w:r>
        <w:rPr>
          <w:rFonts w:hint="eastAsia" w:ascii="仿宋_GB2312" w:hAnsi="仿宋" w:eastAsia="仿宋_GB2312" w:cs="仿宋"/>
          <w:b/>
          <w:color w:val="auto"/>
          <w:sz w:val="32"/>
          <w:szCs w:val="32"/>
        </w:rPr>
        <w:t>函</w:t>
      </w:r>
    </w:p>
    <w:p>
      <w:pPr>
        <w:pStyle w:val="99"/>
        <w:spacing w:after="120" w:line="336" w:lineRule="auto"/>
        <w:ind w:firstLine="0" w:firstLineChars="0"/>
        <w:rPr>
          <w:rFonts w:hint="eastAsia" w:ascii="仿宋_GB2312" w:hAnsi="仿宋" w:eastAsia="仿宋_GB2312" w:cs="仿宋"/>
          <w:color w:val="auto"/>
          <w:szCs w:val="24"/>
          <w:lang w:eastAsia="zh-CN"/>
        </w:rPr>
      </w:pPr>
      <w:r>
        <w:rPr>
          <w:rFonts w:hint="eastAsia" w:ascii="仿宋_GB2312" w:hAnsi="仿宋" w:eastAsia="仿宋_GB2312" w:cs="仿宋"/>
          <w:color w:val="auto"/>
          <w:szCs w:val="24"/>
        </w:rPr>
        <w:t>致：</w:t>
      </w:r>
      <w:r>
        <w:rPr>
          <w:rFonts w:hint="eastAsia" w:ascii="仿宋_GB2312" w:hAnsi="仿宋" w:eastAsia="仿宋_GB2312" w:cs="仿宋"/>
          <w:color w:val="auto"/>
          <w:szCs w:val="24"/>
          <w:u w:val="single"/>
          <w:lang w:eastAsia="zh-CN"/>
        </w:rPr>
        <w:t>绍兴市委政法委员会、浙江翔实建设项目管理有限公司</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根据贵方招标文件（</w:t>
      </w:r>
      <w:r>
        <w:rPr>
          <w:rFonts w:hint="eastAsia" w:ascii="仿宋_GB2312" w:hAnsi="仿宋" w:eastAsia="仿宋_GB2312" w:cs="仿宋"/>
          <w:b/>
          <w:color w:val="auto"/>
          <w:szCs w:val="24"/>
          <w:u w:val="single"/>
        </w:rPr>
        <w:t>填写招标编号：</w:t>
      </w:r>
      <w:r>
        <w:rPr>
          <w:rFonts w:hint="eastAsia" w:ascii="仿宋_GB2312" w:hAnsi="仿宋" w:eastAsia="仿宋_GB2312" w:cs="仿宋"/>
          <w:b/>
          <w:color w:val="auto"/>
          <w:szCs w:val="24"/>
          <w:u w:val="single"/>
          <w:lang w:val="en-US" w:eastAsia="zh-CN"/>
        </w:rPr>
        <w:t>CGSHZJ-2023-</w:t>
      </w:r>
      <w:r>
        <w:rPr>
          <w:rFonts w:hint="eastAsia" w:ascii="仿宋_GB2312" w:hAnsi="仿宋" w:eastAsia="仿宋_GB2312" w:cs="仿宋"/>
          <w:b/>
          <w:color w:val="auto"/>
          <w:szCs w:val="24"/>
          <w:u w:val="single"/>
        </w:rPr>
        <w:t>N000923</w:t>
      </w:r>
      <w:r>
        <w:rPr>
          <w:rFonts w:hint="eastAsia" w:ascii="仿宋_GB2312" w:hAnsi="仿宋" w:eastAsia="仿宋_GB2312" w:cs="仿宋"/>
          <w:color w:val="auto"/>
          <w:szCs w:val="24"/>
        </w:rPr>
        <w:t>）的要求，正式授权</w:t>
      </w:r>
      <w:r>
        <w:rPr>
          <w:rFonts w:hint="eastAsia" w:ascii="仿宋_GB2312" w:hAnsi="仿宋" w:eastAsia="仿宋_GB2312" w:cs="仿宋"/>
          <w:b/>
          <w:color w:val="auto"/>
          <w:szCs w:val="24"/>
          <w:u w:val="single"/>
        </w:rPr>
        <w:t>（全权代表姓名    、单位    、职务   ）</w:t>
      </w:r>
      <w:r>
        <w:rPr>
          <w:rFonts w:hint="eastAsia" w:ascii="仿宋_GB2312" w:hAnsi="仿宋" w:eastAsia="仿宋_GB2312" w:cs="仿宋"/>
          <w:color w:val="auto"/>
          <w:szCs w:val="24"/>
        </w:rPr>
        <w:t>代表投标人</w:t>
      </w:r>
      <w:r>
        <w:rPr>
          <w:rFonts w:hint="eastAsia" w:ascii="仿宋_GB2312" w:hAnsi="仿宋" w:eastAsia="仿宋_GB2312" w:cs="仿宋"/>
          <w:color w:val="auto"/>
          <w:szCs w:val="24"/>
          <w:u w:val="single"/>
        </w:rPr>
        <w:t>（</w:t>
      </w:r>
      <w:r>
        <w:rPr>
          <w:rFonts w:hint="eastAsia" w:ascii="仿宋_GB2312" w:hAnsi="仿宋" w:eastAsia="仿宋_GB2312" w:cs="仿宋"/>
          <w:b/>
          <w:color w:val="auto"/>
          <w:szCs w:val="24"/>
          <w:u w:val="single"/>
        </w:rPr>
        <w:t xml:space="preserve">填写单位    、地址   </w:t>
      </w:r>
      <w:r>
        <w:rPr>
          <w:rFonts w:hint="eastAsia" w:ascii="仿宋_GB2312" w:hAnsi="仿宋" w:eastAsia="仿宋_GB2312" w:cs="仿宋"/>
          <w:color w:val="auto"/>
          <w:szCs w:val="24"/>
          <w:u w:val="single"/>
        </w:rPr>
        <w:t>）</w:t>
      </w:r>
      <w:r>
        <w:rPr>
          <w:rFonts w:hint="eastAsia" w:ascii="仿宋_GB2312" w:hAnsi="仿宋" w:eastAsia="仿宋_GB2312" w:cs="仿宋"/>
          <w:color w:val="auto"/>
          <w:szCs w:val="24"/>
        </w:rPr>
        <w:t>提交投标文件。</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1.我方同意在投标人</w:t>
      </w:r>
      <w:r>
        <w:rPr>
          <w:rFonts w:hint="eastAsia" w:ascii="仿宋_GB2312" w:hAnsi="仿宋" w:eastAsia="仿宋_GB2312" w:cs="仿宋"/>
          <w:color w:val="auto"/>
          <w:kern w:val="44"/>
          <w:szCs w:val="24"/>
        </w:rPr>
        <w:t>须知</w:t>
      </w:r>
      <w:r>
        <w:rPr>
          <w:rFonts w:hint="eastAsia" w:ascii="仿宋_GB2312" w:hAnsi="仿宋" w:eastAsia="仿宋_GB2312" w:cs="仿宋"/>
          <w:color w:val="auto"/>
          <w:szCs w:val="24"/>
        </w:rPr>
        <w:t>规定的开标日期起遵守本投标文件中的承诺且在投标有效期满之前均具有约束力。</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2.我方承诺已经具备《中华人民共和国政府采购法》中规定的参加政府采购活动的供应商应当具备的条件。</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5.本投标自开标之日（投标截止之日）起90天内有效。</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a)提供虚假材料谋取中标、成交的；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b)采取不正当手段诋毁、排挤其他供应商的；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e)在招标采购过程中与采购人进行协商谈判的；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f)拒绝有关部门监督检查或提供虚假情况的。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供应商有前款第a)至e)项情形之一的，中标、成交无效。</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地址：　　　　　　　　　　　　　　　邮政编码：</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电话：                              传真：</w:t>
      </w: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开户银行：                          帐号：</w:t>
      </w:r>
    </w:p>
    <w:p>
      <w:pPr>
        <w:pStyle w:val="99"/>
        <w:spacing w:after="120" w:line="336" w:lineRule="auto"/>
        <w:ind w:firstLine="480"/>
        <w:rPr>
          <w:rFonts w:ascii="仿宋_GB2312" w:hAnsi="仿宋" w:eastAsia="仿宋_GB2312" w:cs="仿宋"/>
          <w:color w:val="auto"/>
          <w:szCs w:val="24"/>
        </w:rPr>
      </w:pPr>
    </w:p>
    <w:p>
      <w:pPr>
        <w:pStyle w:val="99"/>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rPr>
      </w:pPr>
    </w:p>
    <w:p>
      <w:pPr>
        <w:snapToGrid w:val="0"/>
        <w:spacing w:line="336" w:lineRule="auto"/>
        <w:ind w:firstLine="480" w:firstLineChars="200"/>
        <w:jc w:val="left"/>
        <w:rPr>
          <w:rFonts w:ascii="仿宋_GB2312" w:hAnsi="仿宋" w:eastAsia="仿宋_GB2312" w:cs="仿宋"/>
          <w:b/>
          <w:color w:val="auto"/>
          <w:kern w:val="0"/>
          <w:sz w:val="32"/>
          <w:szCs w:val="32"/>
        </w:rPr>
      </w:pPr>
      <w:r>
        <w:rPr>
          <w:rFonts w:hint="eastAsia" w:ascii="仿宋_GB2312" w:hAnsi="仿宋" w:eastAsia="仿宋_GB2312" w:cs="仿宋"/>
          <w:color w:val="auto"/>
          <w:sz w:val="24"/>
        </w:rPr>
        <w:t xml:space="preserve">投标人(电子签章)：　　　　　　　　　日期：  </w:t>
      </w:r>
    </w:p>
    <w:p>
      <w:pPr>
        <w:snapToGrid w:val="0"/>
        <w:spacing w:line="360" w:lineRule="auto"/>
        <w:jc w:val="center"/>
        <w:rPr>
          <w:rFonts w:ascii="仿宋_GB2312" w:hAnsi="仿宋" w:eastAsia="仿宋_GB2312" w:cs="仿宋"/>
          <w:b/>
          <w:color w:val="auto"/>
          <w:kern w:val="0"/>
          <w:sz w:val="32"/>
          <w:szCs w:val="32"/>
        </w:rPr>
      </w:pPr>
    </w:p>
    <w:p>
      <w:pPr>
        <w:spacing w:line="360" w:lineRule="auto"/>
        <w:jc w:val="center"/>
        <w:rPr>
          <w:rFonts w:ascii="仿宋_GB2312" w:hAnsi="仿宋_GB2312" w:eastAsia="仿宋_GB2312" w:cs="仿宋_GB2312"/>
          <w:b/>
          <w:color w:val="auto"/>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二、法定代表人授权委托书（格式） </w:t>
      </w:r>
      <w:r>
        <w:rPr>
          <w:rFonts w:hint="eastAsia" w:ascii="仿宋_GB2312" w:hAnsi="仿宋" w:eastAsia="仿宋_GB2312" w:cs="仿宋"/>
          <w:b/>
          <w:color w:val="auto"/>
          <w:kern w:val="0"/>
          <w:sz w:val="32"/>
          <w:szCs w:val="32"/>
          <w:lang w:val="zh-CN"/>
        </w:rPr>
        <w:t>（适用于非联合体投标）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本授权委托书声明：我</w:t>
      </w:r>
      <w:r>
        <w:rPr>
          <w:rFonts w:hint="eastAsia" w:ascii="仿宋_GB2312" w:hAnsi="仿宋" w:eastAsia="仿宋_GB2312" w:cs="仿宋"/>
          <w:color w:val="auto"/>
          <w:sz w:val="24"/>
          <w:u w:val="single"/>
        </w:rPr>
        <w:t xml:space="preserve">         (填写姓名)</w:t>
      </w: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（填写投标人单位全称）</w:t>
      </w:r>
      <w:r>
        <w:rPr>
          <w:rFonts w:hint="eastAsia" w:ascii="仿宋_GB2312" w:hAnsi="仿宋" w:eastAsia="仿宋_GB2312" w:cs="仿宋"/>
          <w:color w:val="auto"/>
          <w:sz w:val="24"/>
        </w:rPr>
        <w:t>的法定代表人，现授权委托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的（填写姓名）为我公司授权代表，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。以本公司的名义参加</w:t>
      </w:r>
      <w:r>
        <w:rPr>
          <w:rFonts w:hint="eastAsia" w:ascii="仿宋_GB2312" w:hAnsi="仿宋" w:eastAsia="仿宋_GB2312" w:cs="仿宋"/>
          <w:color w:val="auto"/>
          <w:sz w:val="24"/>
          <w:u w:val="single"/>
        </w:rPr>
        <w:t>绍兴市委政法委员会、浙江翔实建设项目管理有限公司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lang w:val="en-US" w:eastAsia="zh-CN"/>
        </w:rPr>
        <w:t>绍兴市基层智治综合应用项目</w:t>
      </w:r>
      <w:r>
        <w:rPr>
          <w:rFonts w:hint="eastAsia" w:ascii="仿宋_GB2312" w:hAnsi="仿宋" w:eastAsia="仿宋_GB2312" w:cs="仿宋"/>
          <w:color w:val="auto"/>
          <w:sz w:val="24"/>
          <w:u w:val="single"/>
        </w:rPr>
        <w:t>（招标编号:CGSHZJ-2023-N000923）</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投标人（电子签章）：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法定代表人（签字或盖章）：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ind w:firstLine="5280" w:firstLineChars="2200"/>
        <w:jc w:val="left"/>
        <w:rPr>
          <w:rFonts w:ascii="仿宋_GB2312" w:hAnsi="仿宋" w:eastAsia="仿宋_GB2312" w:cs="仿宋"/>
          <w:color w:val="auto"/>
          <w:sz w:val="24"/>
        </w:rPr>
      </w:pPr>
      <w:r>
        <w:rPr>
          <w:rFonts w:hint="eastAsia" w:ascii="仿宋_GB2312" w:hAnsi="仿宋" w:eastAsia="仿宋_GB2312" w:cs="仿宋"/>
          <w:color w:val="auto"/>
          <w:sz w:val="24"/>
        </w:rPr>
        <w:t>日期：    年   月   日</w:t>
      </w:r>
    </w:p>
    <w:p>
      <w:pPr>
        <w:ind w:firstLine="4920" w:firstLineChars="2050"/>
        <w:jc w:val="left"/>
        <w:rPr>
          <w:rFonts w:ascii="仿宋_GB2312" w:hAnsi="仿宋" w:eastAsia="仿宋_GB2312" w:cs="仿宋"/>
          <w:color w:val="auto"/>
          <w:sz w:val="24"/>
        </w:rPr>
      </w:pPr>
    </w:p>
    <w:p>
      <w:pPr>
        <w:keepNext w:val="0"/>
        <w:keepLines w:val="0"/>
        <w:pageBreakBefore/>
        <w:widowControl w:val="0"/>
        <w:kinsoku/>
        <w:wordWrap/>
        <w:overflowPunct/>
        <w:topLinePunct w:val="0"/>
        <w:autoSpaceDE/>
        <w:autoSpaceDN/>
        <w:bidi w:val="0"/>
        <w:adjustRightInd/>
        <w:snapToGrid/>
        <w:spacing w:line="760" w:lineRule="exact"/>
        <w:jc w:val="center"/>
        <w:textAlignment w:val="auto"/>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法定代表人授权委托书（格式） </w:t>
      </w:r>
      <w:r>
        <w:rPr>
          <w:rFonts w:hint="eastAsia" w:ascii="仿宋_GB2312" w:hAnsi="仿宋" w:eastAsia="仿宋_GB2312" w:cs="仿宋"/>
          <w:b/>
          <w:color w:val="auto"/>
          <w:kern w:val="0"/>
          <w:sz w:val="32"/>
          <w:szCs w:val="32"/>
          <w:lang w:val="zh-CN"/>
        </w:rPr>
        <w:t>（适用于联合体投标）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w:t>
      </w: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的（填写姓名）为我方授权代表，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。以我方的名义参加</w:t>
      </w:r>
      <w:r>
        <w:rPr>
          <w:rFonts w:hint="eastAsia" w:ascii="仿宋_GB2312" w:hAnsi="仿宋" w:eastAsia="仿宋_GB2312" w:cs="仿宋"/>
          <w:color w:val="auto"/>
          <w:sz w:val="24"/>
          <w:u w:val="single"/>
        </w:rPr>
        <w:t xml:space="preserve">               绍兴市委政法委员会、浙江翔实建设项目管理有限公司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lang w:val="en-US" w:eastAsia="zh-CN"/>
        </w:rPr>
        <w:t>绍兴市基层智治综合应用项目</w:t>
      </w:r>
      <w:r>
        <w:rPr>
          <w:rFonts w:hint="eastAsia" w:ascii="仿宋_GB2312" w:hAnsi="仿宋" w:eastAsia="仿宋_GB2312" w:cs="仿宋"/>
          <w:color w:val="auto"/>
          <w:sz w:val="24"/>
          <w:u w:val="single"/>
        </w:rPr>
        <w:t>（招标编号:CGSHZJ-2023-N000923）</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jc w:val="center"/>
        <w:rPr>
          <w:rFonts w:ascii="仿宋_GB2312" w:hAnsi="仿宋" w:eastAsia="仿宋_GB2312" w:cs="仿宋"/>
          <w:b/>
          <w:color w:val="auto"/>
          <w:kern w:val="0"/>
          <w:sz w:val="32"/>
          <w:szCs w:val="32"/>
        </w:rPr>
      </w:pPr>
    </w:p>
    <w:p>
      <w:pPr>
        <w:rPr>
          <w:rFonts w:ascii="仿宋_GB2312" w:hAnsi="仿宋" w:eastAsia="仿宋_GB2312" w:cs="仿宋"/>
          <w:color w:val="auto"/>
        </w:rPr>
      </w:pP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napToGrid w:val="0"/>
        <w:spacing w:line="360" w:lineRule="auto"/>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lang w:val="zh-CN"/>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ascii="仿宋_GB2312" w:hAnsi="仿宋" w:eastAsia="仿宋_GB2312" w:cs="仿宋"/>
          <w:b/>
          <w:color w:val="auto"/>
          <w:sz w:val="30"/>
          <w:szCs w:val="30"/>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四、法定代表人及其授权代表身份证复印件（正反面）</w:t>
      </w:r>
    </w:p>
    <w:p>
      <w:pPr>
        <w:spacing w:line="800" w:lineRule="exact"/>
        <w:rPr>
          <w:rFonts w:ascii="仿宋_GB2312" w:hAnsi="仿宋" w:eastAsia="仿宋_GB2312" w:cs="仿宋"/>
          <w:b/>
          <w:color w:val="auto"/>
          <w:sz w:val="24"/>
        </w:rPr>
      </w:pPr>
    </w:p>
    <w:p>
      <w:pPr>
        <w:spacing w:line="800" w:lineRule="exact"/>
        <w:rPr>
          <w:rFonts w:ascii="仿宋_GB2312" w:hAnsi="仿宋" w:eastAsia="仿宋_GB2312" w:cs="仿宋"/>
          <w:b/>
          <w:color w:val="auto"/>
          <w:sz w:val="24"/>
        </w:rPr>
      </w:pPr>
    </w:p>
    <w:p>
      <w:pPr>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五、法定代表人身份证明书(格式)</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 标 人：</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姓    名：</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身份证号码：</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rPr>
      </w:pPr>
      <w:r>
        <w:rPr>
          <w:rFonts w:hint="eastAsia" w:ascii="仿宋_GB2312" w:hAnsi="仿宋" w:eastAsia="仿宋_GB2312" w:cs="仿宋"/>
          <w:color w:val="auto"/>
          <w:sz w:val="24"/>
        </w:rPr>
        <w:t>职   务：</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（填写投标人名称）</w:t>
      </w:r>
      <w:r>
        <w:rPr>
          <w:rFonts w:hint="eastAsia" w:ascii="仿宋_GB2312" w:hAnsi="仿宋" w:eastAsia="仿宋_GB2312" w:cs="仿宋"/>
          <w:color w:val="auto"/>
          <w:sz w:val="24"/>
        </w:rPr>
        <w:t>的法定代表人。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特此证明。</w:t>
      </w:r>
    </w:p>
    <w:p>
      <w:pPr>
        <w:spacing w:line="440" w:lineRule="exact"/>
        <w:rPr>
          <w:rFonts w:ascii="仿宋_GB2312" w:hAnsi="仿宋" w:eastAsia="仿宋_GB2312" w:cs="仿宋"/>
          <w:color w:val="auto"/>
          <w:sz w:val="24"/>
        </w:rPr>
      </w:pP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投标人名称：                             （电子签章）</w:t>
      </w:r>
    </w:p>
    <w:p>
      <w:pPr>
        <w:spacing w:line="440" w:lineRule="exact"/>
        <w:ind w:right="480"/>
        <w:rPr>
          <w:rFonts w:ascii="仿宋_GB2312" w:hAnsi="仿宋" w:eastAsia="仿宋_GB2312" w:cs="仿宋"/>
          <w:color w:val="auto"/>
          <w:sz w:val="24"/>
        </w:rPr>
      </w:pPr>
    </w:p>
    <w:p>
      <w:pPr>
        <w:spacing w:line="440" w:lineRule="exact"/>
        <w:ind w:right="720"/>
        <w:jc w:val="right"/>
        <w:rPr>
          <w:rFonts w:ascii="仿宋_GB2312" w:hAnsi="仿宋" w:eastAsia="仿宋_GB2312" w:cs="仿宋"/>
          <w:color w:val="auto"/>
          <w:sz w:val="24"/>
        </w:rPr>
      </w:pPr>
      <w:r>
        <w:rPr>
          <w:rFonts w:hint="eastAsia" w:ascii="仿宋_GB2312" w:hAnsi="仿宋" w:eastAsia="仿宋_GB2312" w:cs="仿宋"/>
          <w:color w:val="auto"/>
          <w:sz w:val="24"/>
        </w:rPr>
        <w:t>年   月   日</w:t>
      </w: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p>
    <w:p>
      <w:pPr>
        <w:rPr>
          <w:rFonts w:ascii="仿宋_GB2312" w:eastAsia="仿宋_GB2312"/>
          <w:color w:val="auto"/>
        </w:rPr>
      </w:pP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序号</w:t>
            </w:r>
          </w:p>
        </w:tc>
        <w:tc>
          <w:tcPr>
            <w:tcW w:w="3650" w:type="dxa"/>
            <w:vAlign w:val="center"/>
          </w:tcPr>
          <w:p>
            <w:pPr>
              <w:jc w:val="center"/>
              <w:rPr>
                <w:rFonts w:ascii="仿宋_GB2312" w:eastAsia="仿宋_GB2312"/>
                <w:b/>
                <w:color w:val="auto"/>
              </w:rPr>
            </w:pPr>
            <w:r>
              <w:rPr>
                <w:rFonts w:hint="eastAsia" w:ascii="仿宋_GB2312" w:eastAsia="仿宋_GB2312"/>
                <w:b/>
                <w:color w:val="auto"/>
              </w:rPr>
              <w:t>招标文件章节及具体内容</w:t>
            </w:r>
          </w:p>
        </w:tc>
        <w:tc>
          <w:tcPr>
            <w:tcW w:w="3514" w:type="dxa"/>
            <w:vAlign w:val="center"/>
          </w:tcPr>
          <w:p>
            <w:pPr>
              <w:jc w:val="center"/>
              <w:rPr>
                <w:rFonts w:ascii="仿宋_GB2312" w:eastAsia="仿宋_GB2312"/>
                <w:b/>
                <w:color w:val="auto"/>
              </w:rPr>
            </w:pPr>
            <w:r>
              <w:rPr>
                <w:rFonts w:hint="eastAsia" w:ascii="仿宋_GB2312" w:eastAsia="仿宋_GB2312"/>
                <w:b/>
                <w:color w:val="auto"/>
              </w:rPr>
              <w:t>投标文件章节及具体内容</w:t>
            </w:r>
          </w:p>
        </w:tc>
        <w:tc>
          <w:tcPr>
            <w:tcW w:w="1265" w:type="dxa"/>
            <w:vAlign w:val="center"/>
          </w:tcPr>
          <w:p>
            <w:pPr>
              <w:jc w:val="center"/>
              <w:rPr>
                <w:rFonts w:ascii="仿宋_GB2312" w:eastAsia="仿宋_GB2312"/>
                <w:b/>
                <w:color w:val="auto"/>
              </w:rPr>
            </w:pPr>
            <w:r>
              <w:rPr>
                <w:rFonts w:hint="eastAsia" w:ascii="仿宋_GB2312" w:eastAsia="仿宋_GB2312"/>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1</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2</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bl>
    <w:p>
      <w:pPr>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投标人保证：除商务技术偏离表列出的偏离外，投标人响应招标文件的全部要求</w:t>
      </w:r>
    </w:p>
    <w:p>
      <w:pPr>
        <w:jc w:val="center"/>
        <w:rPr>
          <w:rFonts w:ascii="仿宋_GB2312" w:hAnsi="仿宋" w:eastAsia="仿宋_GB2312" w:cs="仿宋"/>
          <w:b/>
          <w:color w:val="auto"/>
          <w:kern w:val="0"/>
          <w:sz w:val="32"/>
          <w:szCs w:val="32"/>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ind w:firstLine="1911" w:firstLineChars="595"/>
        <w:rPr>
          <w:rFonts w:ascii="仿宋_GB2312" w:hAnsi="仿宋" w:eastAsia="仿宋_GB2312" w:cs="仿宋"/>
          <w:b/>
          <w:bCs/>
          <w:color w:val="auto"/>
          <w:sz w:val="32"/>
          <w:szCs w:val="32"/>
        </w:rPr>
      </w:pPr>
    </w:p>
    <w:p>
      <w:pPr>
        <w:ind w:firstLine="1911" w:firstLineChars="595"/>
        <w:rPr>
          <w:rFonts w:ascii="仿宋_GB2312" w:hAnsi="仿宋" w:eastAsia="仿宋_GB2312" w:cs="仿宋"/>
          <w:b/>
          <w:bCs/>
          <w:color w:val="auto"/>
          <w:sz w:val="32"/>
          <w:szCs w:val="32"/>
        </w:rPr>
      </w:pPr>
    </w:p>
    <w:p>
      <w:pPr>
        <w:widowControl/>
        <w:jc w:val="center"/>
        <w:rPr>
          <w:rFonts w:ascii="仿宋_GB2312" w:hAnsi="仿宋" w:eastAsia="仿宋_GB2312" w:cs="仿宋"/>
          <w:b/>
          <w:color w:val="auto"/>
          <w:kern w:val="0"/>
          <w:sz w:val="32"/>
          <w:szCs w:val="32"/>
        </w:rPr>
      </w:pPr>
      <w:r>
        <w:rPr>
          <w:rFonts w:hint="eastAsia" w:ascii="仿宋_GB2312" w:hAnsi="仿宋" w:eastAsia="仿宋_GB2312" w:cs="仿宋"/>
          <w:b/>
          <w:bCs/>
          <w:color w:val="auto"/>
          <w:sz w:val="32"/>
          <w:szCs w:val="32"/>
        </w:rPr>
        <w:t>七</w:t>
      </w:r>
      <w:r>
        <w:rPr>
          <w:rFonts w:hint="eastAsia" w:ascii="仿宋_GB2312" w:hAnsi="仿宋" w:eastAsia="仿宋_GB2312" w:cs="仿宋"/>
          <w:b/>
          <w:color w:val="auto"/>
          <w:kern w:val="0"/>
          <w:sz w:val="32"/>
          <w:szCs w:val="32"/>
        </w:rPr>
        <w:t>、</w:t>
      </w:r>
      <w:r>
        <w:rPr>
          <w:rFonts w:hint="eastAsia" w:ascii="仿宋_GB2312" w:hAnsi="仿宋" w:eastAsia="仿宋_GB2312" w:cs="仿宋"/>
          <w:b/>
          <w:color w:val="auto"/>
          <w:kern w:val="0"/>
          <w:sz w:val="32"/>
          <w:szCs w:val="32"/>
          <w:lang w:val="zh-CN"/>
        </w:rPr>
        <w:t>政府采购供应商廉洁自律承诺书</w:t>
      </w:r>
    </w:p>
    <w:p>
      <w:pPr>
        <w:snapToGrid w:val="0"/>
        <w:spacing w:line="360" w:lineRule="auto"/>
        <w:rPr>
          <w:rFonts w:ascii="仿宋_GB2312" w:hAnsi="仿宋" w:eastAsia="仿宋_GB2312" w:cs="仿宋"/>
          <w:color w:val="auto"/>
          <w:sz w:val="24"/>
        </w:rPr>
      </w:pP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绍兴市委政法委员会、浙江翔实建设项目管理有限公司：</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我单位响应你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好处；</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六、严格遵守《</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政府采购法》《</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招标投标</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法》</w:t>
      </w:r>
      <w:r>
        <w:rPr>
          <w:rFonts w:hint="eastAsia" w:ascii="仿宋_GB2312" w:hAnsi="仿宋" w:eastAsia="仿宋_GB2312" w:cs="仿宋"/>
          <w:color w:val="auto"/>
          <w:sz w:val="24"/>
          <w:lang w:val="zh-CN"/>
        </w:rPr>
        <w:t>《中华人民共和国民法典》</w:t>
      </w:r>
      <w:r>
        <w:rPr>
          <w:rFonts w:hint="eastAsia" w:ascii="仿宋_GB2312" w:hAnsi="仿宋" w:eastAsia="仿宋_GB2312"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如违反上述承诺，你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有权立即取消我单位投标、中标或在建项目的建设资格，有权拒绝我单位在一定时期内进入你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进行项目建设或其他经营活动，并通报财政监管部门。由此引起的相应损失均由我单位承担。</w:t>
      </w: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投标人名称（</w:t>
      </w:r>
      <w:r>
        <w:rPr>
          <w:rFonts w:hint="eastAsia" w:ascii="仿宋_GB2312" w:hAnsi="仿宋" w:eastAsia="仿宋_GB2312" w:cs="仿宋"/>
          <w:color w:val="auto"/>
          <w:sz w:val="24"/>
        </w:rPr>
        <w:t>电子签名</w:t>
      </w:r>
      <w:r>
        <w:rPr>
          <w:rFonts w:hint="eastAsia" w:ascii="仿宋_GB2312" w:hAnsi="仿宋" w:eastAsia="仿宋_GB2312" w:cs="仿宋"/>
          <w:color w:val="auto"/>
          <w:kern w:val="0"/>
          <w:sz w:val="24"/>
          <w:lang w:val="zh-CN"/>
        </w:rPr>
        <w:t xml:space="preserve">）：                                                                                                                                                                                                               </w:t>
      </w:r>
    </w:p>
    <w:p>
      <w:pPr>
        <w:spacing w:line="360" w:lineRule="auto"/>
        <w:ind w:left="4620" w:leftChars="2200"/>
        <w:rPr>
          <w:rFonts w:ascii="仿宋_GB2312" w:hAnsi="仿宋" w:eastAsia="仿宋_GB2312" w:cs="仿宋"/>
          <w:color w:val="auto"/>
          <w:sz w:val="24"/>
        </w:rPr>
      </w:pP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val="zh-CN"/>
        </w:rPr>
        <w:t xml:space="preserve">   年   月   日</w:t>
      </w:r>
    </w:p>
    <w:p>
      <w:pPr>
        <w:spacing w:line="360" w:lineRule="auto"/>
        <w:jc w:val="center"/>
        <w:rPr>
          <w:rFonts w:ascii="仿宋_GB2312" w:hAnsi="仿宋" w:eastAsia="仿宋_GB2312" w:cs="仿宋"/>
          <w:b/>
          <w:bCs/>
          <w:color w:val="auto"/>
          <w:sz w:val="24"/>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223"/>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
      </w:pPr>
      <w:r>
        <w:rPr>
          <w:rFonts w:hint="eastAsia" w:ascii="仿宋_GB2312" w:hAnsi="仿宋" w:eastAsia="仿宋_GB2312"/>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keepNext w:val="0"/>
        <w:keepLines w:val="0"/>
        <w:pageBreakBefore/>
        <w:widowControl w:val="0"/>
        <w:tabs>
          <w:tab w:val="left" w:pos="2790"/>
          <w:tab w:val="left" w:pos="4230"/>
        </w:tabs>
        <w:kinsoku/>
        <w:wordWrap/>
        <w:overflowPunct/>
        <w:topLinePunct w:val="0"/>
        <w:autoSpaceDE w:val="0"/>
        <w:autoSpaceDN w:val="0"/>
        <w:bidi w:val="0"/>
        <w:adjustRightInd/>
        <w:snapToGrid/>
        <w:spacing w:line="360" w:lineRule="auto"/>
        <w:ind w:right="0"/>
        <w:jc w:val="center"/>
        <w:textAlignment w:val="auto"/>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8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80"/>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pPr>
        <w:spacing w:line="336" w:lineRule="auto"/>
        <w:ind w:firstLine="3600" w:firstLineChars="1500"/>
        <w:rPr>
          <w:rFonts w:ascii="仿宋_GB2312" w:hAnsi="仿宋" w:eastAsia="仿宋_GB2312" w:cs="仿宋"/>
          <w:color w:val="auto"/>
          <w:sz w:val="24"/>
        </w:rPr>
      </w:pPr>
    </w:p>
    <w:p>
      <w:pPr>
        <w:pStyle w:val="80"/>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pStyle w:val="80"/>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pStyle w:val="80"/>
        <w:rPr>
          <w:color w:val="auto"/>
        </w:rPr>
      </w:pP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投标人名称（电子签名）：</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pStyle w:val="80"/>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81"/>
        <w:rPr>
          <w:rFonts w:ascii="仿宋_GB2312" w:eastAsia="仿宋_GB2312"/>
          <w:color w:val="auto"/>
        </w:rPr>
        <w:sectPr>
          <w:footerReference r:id="rId11" w:type="first"/>
          <w:footerReference r:id="rId10" w:type="default"/>
          <w:pgSz w:w="11906" w:h="16838"/>
          <w:pgMar w:top="1587" w:right="1474" w:bottom="1587" w:left="1474" w:header="992" w:footer="992" w:gutter="0"/>
          <w:pgNumType w:fmt="decimal"/>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报价文件部分</w:t>
      </w: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spacing w:line="360" w:lineRule="auto"/>
        <w:jc w:val="center"/>
        <w:outlineLvl w:val="0"/>
        <w:rPr>
          <w:rFonts w:ascii="仿宋_GB2312" w:hAnsi="仿宋" w:eastAsia="仿宋_GB2312" w:cs="仿宋"/>
          <w:b/>
          <w:color w:val="auto"/>
          <w:kern w:val="0"/>
          <w:sz w:val="36"/>
          <w:szCs w:val="36"/>
        </w:rPr>
      </w:pP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（1）开标一览表（报价表）………………………………………………………（页码）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（2）中小企业声明函………………………………………………………………（页码）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rPr>
          <w:rFonts w:ascii="仿宋_GB2312" w:hAnsi="仿宋" w:eastAsia="仿宋_GB2312" w:cs="仿宋"/>
          <w:b/>
          <w:color w:val="auto"/>
          <w:kern w:val="0"/>
          <w:sz w:val="32"/>
          <w:szCs w:val="32"/>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footerReference r:id="rId13" w:type="first"/>
          <w:footerReference r:id="rId12" w:type="default"/>
          <w:pgSz w:w="11906" w:h="16838"/>
          <w:pgMar w:top="1814" w:right="1474" w:bottom="1814" w:left="1474" w:header="992"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r>
        <w:rPr>
          <w:rFonts w:hint="eastAsia" w:ascii="仿宋_GB2312" w:hAnsi="仿宋" w:eastAsia="仿宋_GB2312" w:cs="仿宋"/>
          <w:color w:val="auto"/>
          <w:kern w:val="2"/>
          <w:sz w:val="32"/>
          <w:szCs w:val="32"/>
        </w:rPr>
        <w:t>一、开标一览表（报价表）</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绍兴市委政法委员会、浙江翔实建设项目管理有限公司：</w:t>
      </w:r>
    </w:p>
    <w:p>
      <w:pPr>
        <w:snapToGrid w:val="0"/>
        <w:spacing w:line="360" w:lineRule="auto"/>
        <w:ind w:firstLine="482"/>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val="en-US" w:eastAsia="zh-CN"/>
        </w:rPr>
        <w:t>绍兴市基层智治综合应用项目</w:t>
      </w:r>
      <w:r>
        <w:rPr>
          <w:rFonts w:hint="eastAsia" w:ascii="仿宋_GB2312" w:hAnsi="仿宋" w:eastAsia="仿宋_GB2312" w:cs="仿宋"/>
          <w:color w:val="auto"/>
          <w:sz w:val="24"/>
        </w:rPr>
        <w:t>（招标编号:CGSHZJ-2023-N000923）的实施</w:t>
      </w: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序号</w:t>
            </w:r>
          </w:p>
        </w:tc>
        <w:tc>
          <w:tcPr>
            <w:tcW w:w="1417"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名称</w:t>
            </w:r>
          </w:p>
        </w:tc>
        <w:tc>
          <w:tcPr>
            <w:tcW w:w="1843" w:type="dxa"/>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服务范围</w:t>
            </w:r>
          </w:p>
        </w:tc>
        <w:tc>
          <w:tcPr>
            <w:tcW w:w="2693"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服务要求</w:t>
            </w:r>
          </w:p>
        </w:tc>
        <w:tc>
          <w:tcPr>
            <w:tcW w:w="2410"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服务时间</w:t>
            </w:r>
          </w:p>
        </w:tc>
        <w:tc>
          <w:tcPr>
            <w:tcW w:w="1843"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服务标准</w:t>
            </w:r>
          </w:p>
        </w:tc>
        <w:tc>
          <w:tcPr>
            <w:tcW w:w="1701" w:type="dxa"/>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服务人数</w:t>
            </w:r>
          </w:p>
        </w:tc>
        <w:tc>
          <w:tcPr>
            <w:tcW w:w="2126" w:type="dxa"/>
            <w:vAlign w:val="center"/>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备注（如果有）</w:t>
            </w:r>
          </w:p>
          <w:p>
            <w:pPr>
              <w:spacing w:line="360" w:lineRule="auto"/>
              <w:jc w:val="center"/>
              <w:rPr>
                <w:rFonts w:ascii="仿宋_GB2312" w:hAnsi="仿宋" w:eastAsia="仿宋_GB2312"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1</w:t>
            </w:r>
          </w:p>
        </w:tc>
        <w:tc>
          <w:tcPr>
            <w:tcW w:w="1417" w:type="dxa"/>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XX</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2693" w:type="dxa"/>
            <w:vAlign w:val="center"/>
          </w:tcPr>
          <w:p>
            <w:pPr>
              <w:snapToGrid w:val="0"/>
              <w:spacing w:line="360" w:lineRule="auto"/>
              <w:jc w:val="center"/>
              <w:rPr>
                <w:rFonts w:ascii="仿宋_GB2312" w:hAnsi="仿宋" w:eastAsia="仿宋_GB2312" w:cs="仿宋"/>
                <w:color w:val="auto"/>
                <w:sz w:val="24"/>
              </w:rPr>
            </w:pPr>
          </w:p>
        </w:tc>
        <w:tc>
          <w:tcPr>
            <w:tcW w:w="2410"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pacing w:line="360" w:lineRule="auto"/>
              <w:jc w:val="center"/>
              <w:rPr>
                <w:rFonts w:ascii="仿宋_GB2312" w:hAnsi="仿宋" w:eastAsia="仿宋_GB2312" w:cs="仿宋"/>
                <w:color w:val="auto"/>
                <w:sz w:val="24"/>
              </w:rPr>
            </w:pPr>
          </w:p>
        </w:tc>
        <w:tc>
          <w:tcPr>
            <w:tcW w:w="1701" w:type="dxa"/>
            <w:vAlign w:val="center"/>
          </w:tcPr>
          <w:p>
            <w:pPr>
              <w:spacing w:line="360" w:lineRule="auto"/>
              <w:jc w:val="center"/>
              <w:rPr>
                <w:rFonts w:ascii="仿宋_GB2312" w:hAnsi="仿宋" w:eastAsia="仿宋_GB2312" w:cs="仿宋"/>
                <w:color w:val="auto"/>
                <w:sz w:val="24"/>
              </w:rPr>
            </w:pPr>
          </w:p>
        </w:tc>
        <w:tc>
          <w:tcPr>
            <w:tcW w:w="2126"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2</w:t>
            </w:r>
          </w:p>
        </w:tc>
        <w:tc>
          <w:tcPr>
            <w:tcW w:w="1417" w:type="dxa"/>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XX</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2693" w:type="dxa"/>
            <w:vAlign w:val="center"/>
          </w:tcPr>
          <w:p>
            <w:pPr>
              <w:snapToGrid w:val="0"/>
              <w:spacing w:line="360" w:lineRule="auto"/>
              <w:jc w:val="center"/>
              <w:rPr>
                <w:rFonts w:ascii="仿宋_GB2312" w:hAnsi="仿宋" w:eastAsia="仿宋_GB2312" w:cs="仿宋"/>
                <w:color w:val="auto"/>
                <w:sz w:val="24"/>
              </w:rPr>
            </w:pPr>
          </w:p>
        </w:tc>
        <w:tc>
          <w:tcPr>
            <w:tcW w:w="2410"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pacing w:line="360" w:lineRule="auto"/>
              <w:jc w:val="center"/>
              <w:rPr>
                <w:rFonts w:ascii="仿宋_GB2312" w:hAnsi="仿宋" w:eastAsia="仿宋_GB2312" w:cs="仿宋"/>
                <w:color w:val="auto"/>
                <w:sz w:val="24"/>
              </w:rPr>
            </w:pPr>
          </w:p>
        </w:tc>
        <w:tc>
          <w:tcPr>
            <w:tcW w:w="1701" w:type="dxa"/>
            <w:vAlign w:val="center"/>
          </w:tcPr>
          <w:p>
            <w:pPr>
              <w:spacing w:line="360" w:lineRule="auto"/>
              <w:jc w:val="center"/>
              <w:rPr>
                <w:rFonts w:ascii="仿宋_GB2312" w:hAnsi="仿宋" w:eastAsia="仿宋_GB2312" w:cs="仿宋"/>
                <w:color w:val="auto"/>
                <w:sz w:val="24"/>
              </w:rPr>
            </w:pPr>
          </w:p>
        </w:tc>
        <w:tc>
          <w:tcPr>
            <w:tcW w:w="2126"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2693" w:type="dxa"/>
            <w:vAlign w:val="center"/>
          </w:tcPr>
          <w:p>
            <w:pPr>
              <w:snapToGrid w:val="0"/>
              <w:spacing w:line="360" w:lineRule="auto"/>
              <w:jc w:val="center"/>
              <w:rPr>
                <w:rFonts w:ascii="仿宋_GB2312" w:hAnsi="仿宋" w:eastAsia="仿宋_GB2312" w:cs="仿宋"/>
                <w:color w:val="auto"/>
                <w:sz w:val="24"/>
              </w:rPr>
            </w:pPr>
          </w:p>
        </w:tc>
        <w:tc>
          <w:tcPr>
            <w:tcW w:w="2410"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pacing w:line="360" w:lineRule="auto"/>
              <w:jc w:val="center"/>
              <w:rPr>
                <w:rFonts w:ascii="仿宋_GB2312" w:hAnsi="仿宋" w:eastAsia="仿宋_GB2312" w:cs="仿宋"/>
                <w:color w:val="auto"/>
                <w:sz w:val="24"/>
              </w:rPr>
            </w:pPr>
          </w:p>
        </w:tc>
        <w:tc>
          <w:tcPr>
            <w:tcW w:w="1701" w:type="dxa"/>
            <w:vAlign w:val="center"/>
          </w:tcPr>
          <w:p>
            <w:pPr>
              <w:spacing w:line="360" w:lineRule="auto"/>
              <w:jc w:val="center"/>
              <w:rPr>
                <w:rFonts w:ascii="仿宋_GB2312" w:hAnsi="仿宋" w:eastAsia="仿宋_GB2312" w:cs="仿宋"/>
                <w:color w:val="auto"/>
                <w:sz w:val="24"/>
              </w:rPr>
            </w:pPr>
          </w:p>
        </w:tc>
        <w:tc>
          <w:tcPr>
            <w:tcW w:w="2126"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rPr>
            </w:pP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2693" w:type="dxa"/>
            <w:vAlign w:val="center"/>
          </w:tcPr>
          <w:p>
            <w:pPr>
              <w:snapToGrid w:val="0"/>
              <w:spacing w:line="360" w:lineRule="auto"/>
              <w:jc w:val="center"/>
              <w:rPr>
                <w:rFonts w:ascii="仿宋_GB2312" w:hAnsi="仿宋" w:eastAsia="仿宋_GB2312" w:cs="仿宋"/>
                <w:color w:val="auto"/>
                <w:sz w:val="24"/>
              </w:rPr>
            </w:pPr>
          </w:p>
        </w:tc>
        <w:tc>
          <w:tcPr>
            <w:tcW w:w="2410"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pacing w:line="360" w:lineRule="auto"/>
              <w:jc w:val="center"/>
              <w:rPr>
                <w:rFonts w:ascii="仿宋_GB2312" w:hAnsi="仿宋" w:eastAsia="仿宋_GB2312" w:cs="仿宋"/>
                <w:color w:val="auto"/>
                <w:sz w:val="24"/>
              </w:rPr>
            </w:pPr>
          </w:p>
        </w:tc>
        <w:tc>
          <w:tcPr>
            <w:tcW w:w="1701" w:type="dxa"/>
            <w:vAlign w:val="center"/>
          </w:tcPr>
          <w:p>
            <w:pPr>
              <w:spacing w:line="360" w:lineRule="auto"/>
              <w:jc w:val="center"/>
              <w:rPr>
                <w:rFonts w:ascii="仿宋_GB2312" w:hAnsi="仿宋" w:eastAsia="仿宋_GB2312" w:cs="仿宋"/>
                <w:color w:val="auto"/>
                <w:sz w:val="24"/>
              </w:rPr>
            </w:pPr>
          </w:p>
        </w:tc>
        <w:tc>
          <w:tcPr>
            <w:tcW w:w="2126"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投标报价（小写）</w:t>
            </w:r>
          </w:p>
        </w:tc>
        <w:tc>
          <w:tcPr>
            <w:tcW w:w="8080" w:type="dxa"/>
            <w:gridSpan w:val="4"/>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投标报价（大写）</w:t>
            </w:r>
          </w:p>
        </w:tc>
        <w:tc>
          <w:tcPr>
            <w:tcW w:w="8080" w:type="dxa"/>
            <w:gridSpan w:val="4"/>
            <w:vAlign w:val="center"/>
          </w:tcPr>
          <w:p>
            <w:pPr>
              <w:spacing w:line="360" w:lineRule="auto"/>
              <w:jc w:val="center"/>
              <w:rPr>
                <w:rFonts w:ascii="仿宋_GB2312" w:hAnsi="仿宋" w:eastAsia="仿宋_GB2312" w:cs="仿宋"/>
                <w:color w:val="auto"/>
                <w:sz w:val="24"/>
              </w:rPr>
            </w:pPr>
          </w:p>
        </w:tc>
      </w:tr>
    </w:tbl>
    <w:p>
      <w:pPr>
        <w:snapToGrid w:val="0"/>
        <w:spacing w:line="360" w:lineRule="auto"/>
        <w:ind w:left="480"/>
        <w:rPr>
          <w:rFonts w:ascii="仿宋_GB2312" w:hAnsi="仿宋" w:eastAsia="仿宋_GB2312" w:cs="仿宋"/>
          <w:b/>
          <w:color w:val="auto"/>
          <w:kern w:val="0"/>
          <w:sz w:val="24"/>
          <w:lang w:val="zh-CN"/>
        </w:rPr>
      </w:pPr>
    </w:p>
    <w:p>
      <w:pPr>
        <w:snapToGrid w:val="0"/>
        <w:spacing w:line="360" w:lineRule="auto"/>
        <w:ind w:left="480"/>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注：</w:t>
      </w:r>
    </w:p>
    <w:p>
      <w:pPr>
        <w:spacing w:line="360" w:lineRule="auto"/>
        <w:ind w:left="-2" w:leftChars="-1" w:firstLine="480" w:firstLineChars="2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1、投标人需按本表格式填写</w:t>
      </w:r>
      <w:r>
        <w:rPr>
          <w:rFonts w:hint="eastAsia" w:ascii="仿宋_GB2312" w:hAnsi="仿宋" w:eastAsia="仿宋_GB2312" w:cs="仿宋"/>
          <w:b/>
          <w:color w:val="auto"/>
          <w:kern w:val="0"/>
          <w:sz w:val="24"/>
          <w:lang w:val="zh-CN"/>
        </w:rPr>
        <w:t>，</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color w:val="auto"/>
          <w:kern w:val="0"/>
          <w:sz w:val="24"/>
          <w:lang w:val="zh-CN"/>
        </w:rPr>
        <w:t>。</w:t>
      </w:r>
    </w:p>
    <w:p>
      <w:pPr>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2、有关本项目实施所涉及的一切费用均计入报价。</w:t>
      </w:r>
      <w:r>
        <w:rPr>
          <w:rFonts w:hint="eastAsia" w:ascii="仿宋_GB2312" w:hAnsi="仿宋" w:eastAsia="仿宋_GB2312" w:cs="仿宋"/>
          <w:b/>
          <w:color w:val="auto"/>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不得出现“0元”“免费赠送”等形式的无偿报价，</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b/>
          <w:color w:val="auto"/>
          <w:kern w:val="0"/>
          <w:sz w:val="24"/>
          <w:lang w:val="zh-CN"/>
        </w:rPr>
        <w:t>；采购内容未包含在《开标一览表（报价表）》名称栏中，投标人不能作出合理解释的，</w:t>
      </w:r>
      <w:r>
        <w:rPr>
          <w:rFonts w:hint="eastAsia" w:ascii="仿宋_GB2312" w:hAnsi="仿宋" w:eastAsia="仿宋_GB2312" w:cs="仿宋"/>
          <w:b/>
          <w:color w:val="auto"/>
          <w:kern w:val="0"/>
          <w:sz w:val="24"/>
        </w:rPr>
        <w:t>视为</w:t>
      </w:r>
      <w:r>
        <w:rPr>
          <w:rFonts w:hint="eastAsia" w:ascii="仿宋_GB2312" w:hAnsi="仿宋" w:eastAsia="仿宋_GB2312" w:cs="仿宋"/>
          <w:b/>
          <w:color w:val="auto"/>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szCs w:val="22"/>
          <w:lang w:val="zh-CN"/>
        </w:rPr>
        <w:t>4、</w:t>
      </w:r>
      <w:r>
        <w:rPr>
          <w:rFonts w:hint="eastAsia" w:ascii="仿宋_GB2312" w:hAnsi="仿宋" w:eastAsia="仿宋_GB2312"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headerReference r:id="rId14" w:type="default"/>
          <w:pgSz w:w="16838" w:h="11906" w:orient="landscape"/>
          <w:pgMar w:top="1814" w:right="1474" w:bottom="1814" w:left="1474" w:header="851"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rPr>
      </w:pPr>
      <w:r>
        <w:rPr>
          <w:rFonts w:hint="eastAsia" w:ascii="仿宋_GB2312" w:hAnsi="仿宋" w:eastAsia="仿宋_GB2312" w:cs="仿宋"/>
          <w:color w:val="auto"/>
          <w:kern w:val="2"/>
          <w:sz w:val="32"/>
          <w:szCs w:val="32"/>
        </w:rPr>
        <w:t>二、</w:t>
      </w:r>
      <w:r>
        <w:rPr>
          <w:rFonts w:hint="eastAsia" w:ascii="仿宋_GB2312" w:hAnsi="仿宋" w:eastAsia="仿宋_GB2312" w:cs="仿宋"/>
          <w:color w:val="auto"/>
          <w:sz w:val="32"/>
          <w:szCs w:val="32"/>
        </w:rPr>
        <w:t>中小企业声明函</w:t>
      </w:r>
      <w:bookmarkStart w:id="165" w:name="_Hlk101259491"/>
      <w:r>
        <w:rPr>
          <w:rFonts w:hint="eastAsia" w:ascii="仿宋_GB2312" w:hAnsi="仿宋" w:eastAsia="仿宋_GB2312" w:cs="仿宋"/>
          <w:color w:val="auto"/>
          <w:sz w:val="32"/>
          <w:szCs w:val="32"/>
        </w:rPr>
        <w:t>（如果有）</w:t>
      </w:r>
      <w:bookmarkEnd w:id="165"/>
    </w:p>
    <w:p>
      <w:pPr>
        <w:widowControl/>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Ansi="仿宋" w:cs="仿宋"/>
          <w:b/>
          <w:color w:val="auto"/>
        </w:rPr>
      </w:pPr>
    </w:p>
    <w:p>
      <w:pPr>
        <w:pStyle w:val="81"/>
        <w:rPr>
          <w:rFonts w:ascii="仿宋_GB2312" w:hAnsi="仿宋" w:eastAsia="仿宋_GB2312" w:cs="仿宋"/>
          <w:b/>
          <w:color w:val="auto"/>
          <w:sz w:val="24"/>
        </w:rPr>
      </w:pPr>
    </w:p>
    <w:p>
      <w:pPr>
        <w:rPr>
          <w:rFonts w:ascii="仿宋_GB2312" w:hAnsi="仿宋" w:eastAsia="仿宋_GB2312" w:cs="仿宋"/>
          <w:b/>
          <w:color w:val="auto"/>
          <w:sz w:val="24"/>
        </w:rPr>
      </w:pPr>
    </w:p>
    <w:p>
      <w:pPr>
        <w:pStyle w:val="80"/>
        <w:rPr>
          <w:rFonts w:hAnsi="仿宋" w:cs="仿宋"/>
          <w:b/>
          <w:color w:val="auto"/>
        </w:rPr>
      </w:pPr>
    </w:p>
    <w:p>
      <w:pPr>
        <w:pStyle w:val="81"/>
        <w:rPr>
          <w:rFonts w:ascii="仿宋_GB2312" w:eastAsia="仿宋_GB2312"/>
          <w:color w:val="auto"/>
        </w:rPr>
      </w:pPr>
    </w:p>
    <w:p>
      <w:pPr>
        <w:pStyle w:val="81"/>
        <w:rPr>
          <w:rFonts w:ascii="仿宋_GB2312" w:eastAsia="仿宋_GB2312"/>
          <w:color w:val="auto"/>
        </w:rPr>
      </w:pPr>
    </w:p>
    <w:p>
      <w:pPr>
        <w:widowControl/>
        <w:spacing w:line="360" w:lineRule="auto"/>
        <w:ind w:firstLine="161" w:firstLineChars="50"/>
        <w:jc w:val="center"/>
        <w:rPr>
          <w:rFonts w:ascii="仿宋_GB2312" w:hAnsi="仿宋" w:eastAsia="仿宋_GB2312" w:cs="仿宋"/>
          <w:b/>
          <w:color w:val="auto"/>
          <w:sz w:val="24"/>
        </w:rPr>
      </w:pPr>
      <w:r>
        <w:rPr>
          <w:rFonts w:hint="eastAsia" w:ascii="仿宋_GB2312" w:hAnsi="仿宋" w:eastAsia="仿宋_GB2312"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bCs/>
          <w:snapToGrid w:val="0"/>
          <w:color w:val="auto"/>
          <w:sz w:val="24"/>
          <w:szCs w:val="21"/>
          <w:lang w:val="zh-CN"/>
        </w:rPr>
        <w:t>[符合条件的残疾人福利性单位，提供残疾人福利性单位声明函(附件</w:t>
      </w:r>
      <w:r>
        <w:rPr>
          <w:rFonts w:hint="eastAsia" w:ascii="仿宋_GB2312" w:hAnsi="仿宋" w:eastAsia="仿宋_GB2312" w:cs="仿宋"/>
          <w:b/>
          <w:bCs/>
          <w:snapToGrid w:val="0"/>
          <w:color w:val="auto"/>
          <w:sz w:val="24"/>
          <w:szCs w:val="21"/>
        </w:rPr>
        <w:t>6</w:t>
      </w:r>
      <w:r>
        <w:rPr>
          <w:rFonts w:hint="eastAsia" w:ascii="仿宋_GB2312" w:hAnsi="仿宋" w:eastAsia="仿宋_GB2312" w:cs="仿宋"/>
          <w:b/>
          <w:bCs/>
          <w:snapToGrid w:val="0"/>
          <w:color w:val="auto"/>
          <w:sz w:val="24"/>
          <w:szCs w:val="21"/>
          <w:lang w:val="zh-CN"/>
        </w:rPr>
        <w:t>)，否则不需要提供。]</w:t>
      </w:r>
    </w:p>
    <w:p>
      <w:pPr>
        <w:pStyle w:val="80"/>
        <w:widowControl/>
        <w:spacing w:line="360" w:lineRule="auto"/>
        <w:ind w:firstLine="120" w:firstLineChars="50"/>
        <w:rPr>
          <w:rFonts w:hAnsi="仿宋" w:cs="仿宋"/>
          <w:b/>
          <w:color w:val="auto"/>
        </w:rPr>
      </w:pPr>
    </w:p>
    <w:p>
      <w:pPr>
        <w:pStyle w:val="81"/>
        <w:spacing w:line="360" w:lineRule="auto"/>
        <w:ind w:left="0" w:firstLine="120" w:firstLineChars="50"/>
        <w:jc w:val="left"/>
        <w:rPr>
          <w:rFonts w:ascii="仿宋_GB2312" w:hAnsi="仿宋" w:eastAsia="仿宋_GB2312" w:cs="仿宋"/>
          <w:b/>
          <w:color w:val="auto"/>
          <w:sz w:val="24"/>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rPr>
      </w:pPr>
      <w:bookmarkStart w:id="166" w:name="_Toc465665161"/>
      <w:r>
        <w:rPr>
          <w:rFonts w:hint="eastAsia" w:ascii="仿宋_GB2312" w:hAnsi="仿宋" w:cs="仿宋"/>
          <w:color w:val="auto"/>
        </w:rPr>
        <w:t>附件</w:t>
      </w:r>
      <w:bookmarkEnd w:id="166"/>
    </w:p>
    <w:p>
      <w:pPr>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附件1：质疑函范本及制作说明</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质疑函范本</w:t>
      </w:r>
    </w:p>
    <w:p>
      <w:pPr>
        <w:snapToGrid w:val="0"/>
        <w:spacing w:beforeLines="100"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一、质疑供应商基本信息</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质疑供应商：</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地址： </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二、质疑项目基本情况</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采购文件获取日期：</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三、质疑事项具体内容</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质疑事项1：</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质疑事项2</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四、与质疑事项相关的质疑请求</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jc w:val="center"/>
        <w:rPr>
          <w:rFonts w:ascii="仿宋_GB2312" w:hAnsi="仿宋" w:eastAsia="仿宋_GB2312" w:cs="仿宋"/>
          <w:b/>
          <w:bCs/>
          <w:color w:val="auto"/>
          <w:sz w:val="24"/>
        </w:rPr>
      </w:pP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质疑函制作说明：</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5.质疑函的质疑请求应与质疑事项相关。</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rPr>
      </w:pPr>
    </w:p>
    <w:p>
      <w:pPr>
        <w:spacing w:line="360" w:lineRule="auto"/>
        <w:jc w:val="center"/>
        <w:rPr>
          <w:rFonts w:ascii="仿宋_GB2312" w:hAnsi="仿宋" w:eastAsia="仿宋_GB2312" w:cs="仿宋"/>
          <w:b/>
          <w:color w:val="auto"/>
          <w:spacing w:val="6"/>
          <w:sz w:val="32"/>
          <w:szCs w:val="32"/>
        </w:rPr>
      </w:pPr>
    </w:p>
    <w:p>
      <w:pPr>
        <w:spacing w:line="360" w:lineRule="auto"/>
        <w:jc w:val="center"/>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附件2：投诉书范本及制作说明</w:t>
      </w:r>
    </w:p>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投诉书范本</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一、投诉相关主体基本情况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投诉人：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tabs>
          <w:tab w:val="left" w:pos="6510"/>
        </w:tabs>
        <w:spacing w:line="360" w:lineRule="auto"/>
        <w:jc w:val="left"/>
        <w:rPr>
          <w:rFonts w:ascii="仿宋_GB2312" w:hAnsi="仿宋" w:eastAsia="仿宋_GB2312" w:cs="仿宋"/>
          <w:color w:val="auto"/>
          <w:sz w:val="24"/>
        </w:rPr>
      </w:pPr>
      <w:r>
        <w:rPr>
          <w:rFonts w:hint="eastAsia" w:ascii="仿宋_GB2312" w:hAnsi="仿宋" w:eastAsia="仿宋_GB2312" w:cs="仿宋"/>
          <w:color w:val="auto"/>
          <w:sz w:val="24"/>
        </w:rPr>
        <w:t>法定代表人/主要负责人：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tabs>
          <w:tab w:val="left" w:pos="6510"/>
        </w:tabs>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被投诉人1：</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被投诉人2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相关供应商：</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二、投诉项目基本情况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采购项目名称：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采购项目编号：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代理机构名称：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采购文件公告: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采购结果公告: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三、质疑基本情况</w:t>
      </w:r>
    </w:p>
    <w:p>
      <w:pPr>
        <w:spacing w:line="360" w:lineRule="auto"/>
        <w:ind w:firstLine="480" w:firstLineChars="200"/>
        <w:rPr>
          <w:rFonts w:ascii="仿宋_GB2312" w:hAnsi="仿宋" w:eastAsia="仿宋_GB2312" w:cs="仿宋"/>
          <w:color w:val="auto"/>
          <w:sz w:val="24"/>
          <w:u w:val="dotted"/>
        </w:rPr>
      </w:pPr>
      <w:r>
        <w:rPr>
          <w:rFonts w:hint="eastAsia" w:ascii="仿宋_GB2312" w:hAnsi="仿宋" w:eastAsia="仿宋_GB2312" w:cs="仿宋"/>
          <w:color w:val="auto"/>
          <w:sz w:val="24"/>
        </w:rPr>
        <w:t>投诉人于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日,向</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提出质疑，质疑事项为：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u w:val="dotted"/>
        </w:rPr>
        <w:t>采购人/代理机构</w:t>
      </w:r>
      <w:r>
        <w:rPr>
          <w:rFonts w:hint="eastAsia" w:ascii="仿宋_GB2312" w:hAnsi="仿宋" w:eastAsia="仿宋_GB2312" w:cs="仿宋"/>
          <w:color w:val="auto"/>
          <w:sz w:val="24"/>
        </w:rPr>
        <w:t>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日,就质疑事项作出了答复/没有在法定期限内作出答复。</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四、投诉事项具体内容</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投诉事项 1：</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投诉事项2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五、与投诉事项相关的投诉请求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投诉书制作说明：</w:t>
      </w:r>
    </w:p>
    <w:p>
      <w:pPr>
        <w:widowControl/>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2.投诉人若委托代理人进行投诉的，投诉书应按照要求列明“授权代表”的有关内容，并在附件中提交由</w:t>
      </w:r>
      <w:r>
        <w:rPr>
          <w:rFonts w:hint="eastAsia" w:ascii="仿宋_GB2312" w:hAnsi="仿宋" w:eastAsia="仿宋_GB2312"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附件3：业务专用章使用说明函</w:t>
      </w:r>
    </w:p>
    <w:p>
      <w:pPr>
        <w:spacing w:line="360" w:lineRule="auto"/>
        <w:rPr>
          <w:rFonts w:ascii="仿宋_GB2312" w:hAnsi="仿宋" w:eastAsia="仿宋_GB2312" w:cs="仿宋"/>
          <w:color w:val="auto"/>
          <w:sz w:val="24"/>
          <w:u w:val="single"/>
        </w:rPr>
      </w:pP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u w:val="single"/>
        </w:rPr>
        <w:t>（采购人）、（采购代理机构）：</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kern w:val="0"/>
          <w:sz w:val="24"/>
          <w:lang w:val="zh-CN"/>
        </w:rPr>
        <w:t>我方</w:t>
      </w:r>
      <w:r>
        <w:rPr>
          <w:rFonts w:hint="eastAsia" w:ascii="仿宋_GB2312" w:hAnsi="仿宋" w:eastAsia="仿宋_GB2312" w:cs="仿宋"/>
          <w:color w:val="auto"/>
          <w:kern w:val="0"/>
          <w:sz w:val="24"/>
          <w:u w:val="single"/>
          <w:lang w:val="zh-CN"/>
        </w:rPr>
        <w:t xml:space="preserve">                         </w:t>
      </w:r>
      <w:r>
        <w:rPr>
          <w:rFonts w:hint="eastAsia" w:ascii="仿宋_GB2312" w:hAnsi="仿宋" w:eastAsia="仿宋_GB2312" w:cs="仿宋"/>
          <w:color w:val="auto"/>
          <w:sz w:val="24"/>
        </w:rPr>
        <w:t>(投标人全称)是中华人民共和国依法登记注册的合法企业，</w:t>
      </w:r>
      <w:r>
        <w:rPr>
          <w:rFonts w:hint="eastAsia" w:ascii="仿宋_GB2312" w:hAnsi="仿宋" w:eastAsia="仿宋_GB2312" w:cs="仿宋"/>
          <w:bCs/>
          <w:color w:val="auto"/>
          <w:sz w:val="24"/>
        </w:rPr>
        <w:t>在参加</w:t>
      </w:r>
      <w:r>
        <w:rPr>
          <w:rFonts w:hint="eastAsia" w:ascii="仿宋_GB2312" w:hAnsi="仿宋" w:eastAsia="仿宋_GB2312" w:cs="仿宋"/>
          <w:color w:val="auto"/>
          <w:sz w:val="24"/>
        </w:rPr>
        <w:t>你方组织的（项目名称）【招标编号：（采购编号）】</w:t>
      </w:r>
      <w:r>
        <w:rPr>
          <w:rFonts w:hint="eastAsia" w:ascii="仿宋_GB2312" w:hAnsi="仿宋" w:eastAsia="仿宋_GB2312" w:cs="仿宋"/>
          <w:bCs/>
          <w:color w:val="auto"/>
          <w:sz w:val="24"/>
        </w:rPr>
        <w:t>投标活动中作如下说明：</w:t>
      </w:r>
      <w:r>
        <w:rPr>
          <w:rFonts w:hint="eastAsia" w:ascii="仿宋_GB2312" w:hAnsi="仿宋" w:eastAsia="仿宋_GB2312"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特此说明。</w:t>
      </w: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right="480" w:firstLine="4080" w:firstLineChars="1700"/>
        <w:rPr>
          <w:rFonts w:ascii="仿宋_GB2312" w:hAnsi="仿宋" w:eastAsia="仿宋_GB2312" w:cs="仿宋"/>
          <w:color w:val="auto"/>
          <w:sz w:val="24"/>
        </w:rPr>
      </w:pPr>
      <w:r>
        <w:rPr>
          <w:rFonts w:hint="eastAsia" w:ascii="仿宋_GB2312" w:hAnsi="仿宋" w:eastAsia="仿宋_GB2312" w:cs="仿宋"/>
          <w:color w:val="auto"/>
          <w:sz w:val="24"/>
        </w:rPr>
        <w:t>投标单位（法定名称章）：</w:t>
      </w:r>
    </w:p>
    <w:p>
      <w:pPr>
        <w:ind w:right="1440" w:firstLine="494"/>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80"/>
        <w:rPr>
          <w:color w:val="auto"/>
        </w:rPr>
      </w:pPr>
    </w:p>
    <w:p>
      <w:pPr>
        <w:rPr>
          <w:rFonts w:ascii="仿宋_GB2312" w:hAnsi="仿宋" w:eastAsia="仿宋_GB2312" w:cs="仿宋"/>
          <w:color w:val="auto"/>
          <w:sz w:val="24"/>
        </w:rPr>
      </w:pPr>
      <w:r>
        <w:rPr>
          <w:rFonts w:hint="eastAsia" w:ascii="仿宋_GB2312" w:hAnsi="仿宋" w:eastAsia="仿宋_GB2312" w:cs="仿宋"/>
          <w:b/>
          <w:bCs/>
          <w:color w:val="auto"/>
          <w:sz w:val="24"/>
        </w:rPr>
        <w:t>附：</w:t>
      </w:r>
    </w:p>
    <w:p>
      <w:pPr>
        <w:spacing w:line="360" w:lineRule="auto"/>
        <w:rPr>
          <w:rFonts w:ascii="仿宋_GB2312" w:hAnsi="仿宋" w:eastAsia="仿宋_GB2312" w:cs="仿宋"/>
          <w:bCs/>
          <w:color w:val="auto"/>
          <w:sz w:val="24"/>
        </w:rPr>
      </w:pPr>
      <w:r>
        <w:rPr>
          <w:rFonts w:ascii="仿宋_GB2312" w:hAnsi="仿宋" w:eastAsia="仿宋_GB2312" w:cs="仿宋"/>
          <w:b/>
          <w:bCs/>
          <w:color w:val="auto"/>
          <w:sz w:val="24"/>
        </w:rPr>
        <w:pict>
          <v:rect id="Rectangle 17" o:spid="_x0000_s2056"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color w:val="auto"/>
          <w:sz w:val="24"/>
        </w:rPr>
        <w:pict>
          <v:rect id="Rectangle 16" o:spid="_x0000_s2057"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color w:val="auto"/>
          <w:sz w:val="24"/>
        </w:rPr>
        <w:t>投标单位法定名称章（印模）                投标单位“XX专用章”（印模）</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附件4：联合协议</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（联合体所有成员名称）</w:t>
      </w:r>
      <w:r>
        <w:rPr>
          <w:rFonts w:hint="eastAsia" w:ascii="仿宋_GB2312" w:hAnsi="仿宋" w:eastAsia="仿宋_GB2312" w:cs="仿宋"/>
          <w:color w:val="auto"/>
          <w:kern w:val="0"/>
          <w:sz w:val="24"/>
        </w:rPr>
        <w:t>自愿</w:t>
      </w:r>
      <w:r>
        <w:rPr>
          <w:rFonts w:hint="eastAsia" w:ascii="仿宋_GB2312" w:hAnsi="仿宋" w:eastAsia="仿宋_GB2312" w:cs="仿宋"/>
          <w:color w:val="auto"/>
          <w:kern w:val="0"/>
          <w:sz w:val="24"/>
          <w:lang w:val="zh-CN"/>
        </w:rPr>
        <w:t>组成一个联合体，以一个投标人的身份</w:t>
      </w:r>
      <w:r>
        <w:rPr>
          <w:rFonts w:hint="eastAsia" w:ascii="仿宋_GB2312" w:hAnsi="仿宋" w:eastAsia="仿宋_GB2312" w:cs="仿宋"/>
          <w:color w:val="auto"/>
          <w:kern w:val="0"/>
          <w:sz w:val="24"/>
        </w:rPr>
        <w:t>参加</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 xml:space="preserve">投标。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一、各方一致决定，</w:t>
      </w:r>
      <w:r>
        <w:rPr>
          <w:rFonts w:hint="eastAsia" w:ascii="仿宋_GB2312" w:hAnsi="仿宋" w:eastAsia="仿宋_GB2312" w:cs="仿宋"/>
          <w:color w:val="auto"/>
          <w:kern w:val="0"/>
          <w:sz w:val="24"/>
          <w:u w:val="single"/>
        </w:rPr>
        <w:t>（某联合体成员名称）</w:t>
      </w:r>
      <w:r>
        <w:rPr>
          <w:rFonts w:hint="eastAsia" w:ascii="仿宋_GB2312" w:hAnsi="仿宋" w:eastAsia="仿宋_GB2312" w:cs="仿宋"/>
          <w:color w:val="auto"/>
          <w:kern w:val="0"/>
          <w:sz w:val="24"/>
        </w:rPr>
        <w:t>为联合体</w:t>
      </w:r>
      <w:r>
        <w:rPr>
          <w:rFonts w:hint="eastAsia" w:ascii="仿宋_GB2312" w:hAnsi="仿宋" w:eastAsia="仿宋_GB2312" w:cs="仿宋"/>
          <w:color w:val="auto"/>
          <w:kern w:val="0"/>
          <w:sz w:val="24"/>
          <w:lang w:val="zh-CN"/>
        </w:rPr>
        <w:t>牵头人</w:t>
      </w:r>
      <w:r>
        <w:rPr>
          <w:rFonts w:hint="eastAsia" w:ascii="仿宋_GB2312" w:hAnsi="仿宋" w:eastAsia="仿宋_GB2312" w:cs="仿宋"/>
          <w:color w:val="auto"/>
          <w:sz w:val="24"/>
        </w:rPr>
        <w:t>，代表所有联合体成员负责投标和合同实施阶段的主办、协调工作</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w:t>
      </w:r>
      <w:r>
        <w:rPr>
          <w:rFonts w:hint="eastAsia" w:ascii="仿宋_GB2312" w:hAnsi="仿宋" w:eastAsia="仿宋_GB2312" w:cs="仿宋"/>
          <w:color w:val="auto"/>
          <w:sz w:val="24"/>
        </w:rPr>
        <w:t>所有联合体成员各方签署授权书，授权书载明的</w:t>
      </w:r>
      <w:r>
        <w:rPr>
          <w:rFonts w:hint="eastAsia" w:ascii="仿宋_GB2312" w:hAnsi="仿宋" w:eastAsia="仿宋_GB2312"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三、本次联合投标中，分工如下：</w:t>
      </w:r>
    </w:p>
    <w:p>
      <w:pPr>
        <w:snapToGrid w:val="0"/>
        <w:spacing w:line="360" w:lineRule="auto"/>
        <w:ind w:firstLine="576"/>
        <w:rPr>
          <w:rFonts w:ascii="仿宋_GB2312" w:hAnsi="仿宋" w:eastAsia="仿宋_GB2312" w:cs="仿宋"/>
          <w:color w:val="auto"/>
          <w:kern w:val="0"/>
          <w:sz w:val="24"/>
          <w:lang w:val="zh-CN"/>
        </w:rPr>
      </w:pPr>
      <w:bookmarkStart w:id="167" w:name="_Hlk101134295"/>
      <w:r>
        <w:rPr>
          <w:rFonts w:hint="eastAsia" w:ascii="仿宋_GB2312" w:hAnsi="仿宋" w:eastAsia="仿宋_GB2312" w:cs="仿宋"/>
          <w:color w:val="auto"/>
          <w:kern w:val="0"/>
          <w:sz w:val="24"/>
          <w:u w:val="single"/>
        </w:rPr>
        <w:t>（联合体成员1）</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（联合体成员2）</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w:t>
      </w:r>
    </w:p>
    <w:bookmarkEnd w:id="167"/>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四、联合体成员中小企业合同份额。</w:t>
      </w:r>
    </w:p>
    <w:p>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lang w:val="zh-CN"/>
        </w:rPr>
        <w:t>1、</w:t>
      </w:r>
      <w:r>
        <w:rPr>
          <w:rFonts w:hint="eastAsia" w:ascii="仿宋_GB2312" w:hAnsi="仿宋" w:eastAsia="仿宋_GB2312" w:cs="仿宋"/>
          <w:color w:val="auto"/>
          <w:kern w:val="0"/>
          <w:sz w:val="24"/>
          <w:u w:val="single"/>
        </w:rPr>
        <w:t>（联合体成员X,……）</w:t>
      </w:r>
      <w:r>
        <w:rPr>
          <w:rFonts w:hint="eastAsia" w:ascii="仿宋_GB2312" w:hAnsi="仿宋" w:eastAsia="仿宋_GB2312" w:cs="仿宋"/>
          <w:color w:val="auto"/>
          <w:kern w:val="0"/>
          <w:sz w:val="24"/>
        </w:rPr>
        <w:t>提供的全部货物由小微企业制造，其合同份额占到合同总金额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sz w:val="24"/>
        </w:rPr>
        <w:t>2、中小企业合同金额达到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五、如果中标，</w:t>
      </w:r>
      <w:r>
        <w:rPr>
          <w:rFonts w:hint="eastAsia" w:ascii="仿宋_GB2312" w:hAnsi="仿宋" w:eastAsia="仿宋_GB2312" w:cs="仿宋"/>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六、有关本次联合投标的其他事宜：</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right="960"/>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附件5：分包意向协议</w:t>
      </w:r>
    </w:p>
    <w:p>
      <w:pPr>
        <w:widowControl/>
        <w:spacing w:line="360" w:lineRule="auto"/>
        <w:ind w:firstLine="120" w:firstLineChars="50"/>
        <w:jc w:val="left"/>
        <w:rPr>
          <w:rFonts w:ascii="仿宋_GB2312" w:hAnsi="仿宋" w:eastAsia="仿宋_GB2312" w:cs="仿宋"/>
          <w:color w:val="auto"/>
          <w:sz w:val="24"/>
        </w:rPr>
      </w:pPr>
      <w:r>
        <w:rPr>
          <w:rFonts w:hint="eastAsia" w:ascii="仿宋_GB2312" w:hAnsi="仿宋" w:eastAsia="仿宋_GB2312" w:cs="仿宋"/>
          <w:color w:val="auto"/>
          <w:sz w:val="24"/>
        </w:rPr>
        <w:t>（</w:t>
      </w:r>
      <w:r>
        <w:rPr>
          <w:rFonts w:hint="eastAsia" w:ascii="仿宋_GB2312" w:hAnsi="仿宋" w:eastAsia="仿宋_GB2312" w:cs="仿宋"/>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若成为</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的中标供应商，将依法采取分包方式履行合同。</w:t>
      </w: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rPr>
        <w:t>与</w:t>
      </w:r>
      <w:r>
        <w:rPr>
          <w:rFonts w:hint="eastAsia" w:ascii="仿宋_GB2312" w:hAnsi="仿宋" w:eastAsia="仿宋_GB2312" w:cs="仿宋"/>
          <w:color w:val="auto"/>
          <w:kern w:val="0"/>
          <w:sz w:val="24"/>
          <w:u w:val="single"/>
        </w:rPr>
        <w:t>（所有分包供应商名称）</w:t>
      </w:r>
      <w:r>
        <w:rPr>
          <w:rFonts w:hint="eastAsia" w:ascii="仿宋_GB2312" w:hAnsi="仿宋" w:eastAsia="仿宋_GB2312" w:cs="仿宋"/>
          <w:color w:val="auto"/>
          <w:kern w:val="0"/>
          <w:sz w:val="24"/>
        </w:rPr>
        <w:t>达成分包意向协议</w:t>
      </w:r>
      <w:r>
        <w:rPr>
          <w:rFonts w:hint="eastAsia" w:ascii="仿宋_GB2312" w:hAnsi="仿宋" w:eastAsia="仿宋_GB2312" w:cs="仿宋"/>
          <w:color w:val="auto"/>
          <w:kern w:val="0"/>
          <w:sz w:val="24"/>
          <w:lang w:val="zh-CN"/>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一、分包标的及数量</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将</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u w:val="single"/>
        </w:rPr>
        <w:t xml:space="preserve">  XX工作内容   </w:t>
      </w:r>
      <w:r>
        <w:rPr>
          <w:rFonts w:hint="eastAsia" w:ascii="仿宋_GB2312" w:hAnsi="仿宋" w:eastAsia="仿宋_GB2312" w:cs="仿宋"/>
          <w:color w:val="auto"/>
          <w:sz w:val="24"/>
        </w:rPr>
        <w:t>分包给</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具备承</w:t>
      </w:r>
      <w:r>
        <w:rPr>
          <w:rFonts w:hint="eastAsia" w:ascii="仿宋_GB2312" w:hAnsi="仿宋" w:eastAsia="仿宋_GB2312" w:cs="仿宋"/>
          <w:color w:val="auto"/>
          <w:kern w:val="0"/>
          <w:sz w:val="24"/>
        </w:rPr>
        <w:t>担</w:t>
      </w:r>
      <w:r>
        <w:rPr>
          <w:rFonts w:hint="eastAsia" w:ascii="仿宋_GB2312" w:hAnsi="仿宋" w:eastAsia="仿宋_GB2312" w:cs="仿宋"/>
          <w:color w:val="auto"/>
          <w:kern w:val="0"/>
          <w:sz w:val="24"/>
          <w:u w:val="single"/>
          <w:lang w:val="zh-CN"/>
        </w:rPr>
        <w:t>XX工作内容</w:t>
      </w:r>
      <w:r>
        <w:rPr>
          <w:rFonts w:hint="eastAsia" w:ascii="仿宋_GB2312" w:hAnsi="仿宋" w:eastAsia="仿宋_GB2312" w:cs="仿宋"/>
          <w:color w:val="auto"/>
          <w:kern w:val="0"/>
          <w:sz w:val="24"/>
          <w:lang w:val="zh-CN"/>
        </w:rPr>
        <w:t>相应资质条件且不得再次分包；</w:t>
      </w:r>
    </w:p>
    <w:p>
      <w:pPr>
        <w:snapToGrid w:val="0"/>
        <w:spacing w:line="360" w:lineRule="auto"/>
        <w:ind w:firstLine="576"/>
        <w:jc w:val="left"/>
        <w:rPr>
          <w:rFonts w:cs="仿宋"/>
          <w:color w:val="auto"/>
          <w:kern w:val="0"/>
          <w:sz w:val="24"/>
        </w:rPr>
      </w:pPr>
      <w:r>
        <w:rPr>
          <w:rFonts w:hint="eastAsia" w:cs="仿宋"/>
          <w:color w:val="auto"/>
          <w:kern w:val="0"/>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二、分包供应商中小企业合同份额</w:t>
      </w:r>
    </w:p>
    <w:p>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rPr>
        <w:t>1、</w:t>
      </w:r>
      <w:r>
        <w:rPr>
          <w:rFonts w:hint="eastAsia" w:ascii="仿宋_GB2312" w:hAnsi="仿宋" w:eastAsia="仿宋_GB2312" w:cs="仿宋"/>
          <w:color w:val="auto"/>
          <w:kern w:val="0"/>
          <w:sz w:val="24"/>
          <w:u w:val="single"/>
        </w:rPr>
        <w:t>（分包供应商X,……）提供的货物全部由小微企业制造，</w:t>
      </w:r>
      <w:r>
        <w:rPr>
          <w:rFonts w:hint="eastAsia" w:ascii="仿宋_GB2312" w:hAnsi="仿宋" w:eastAsia="仿宋_GB2312" w:cs="仿宋"/>
          <w:color w:val="auto"/>
          <w:kern w:val="0"/>
          <w:sz w:val="24"/>
        </w:rPr>
        <w:t>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pacing w:line="360" w:lineRule="auto"/>
        <w:ind w:firstLine="480" w:firstLineChars="200"/>
        <w:rPr>
          <w:rFonts w:ascii="仿宋_GB2312" w:hAnsi="仿宋" w:eastAsia="仿宋_GB2312" w:cs="仿宋"/>
          <w:b/>
          <w:bCs/>
          <w:color w:val="auto"/>
          <w:kern w:val="0"/>
          <w:sz w:val="24"/>
          <w:lang w:val="zh-CN"/>
        </w:rPr>
      </w:pPr>
      <w:r>
        <w:rPr>
          <w:rFonts w:hint="eastAsia" w:ascii="仿宋_GB2312" w:hAnsi="仿宋" w:eastAsia="仿宋_GB2312" w:cs="仿宋"/>
          <w:color w:val="auto"/>
          <w:sz w:val="24"/>
        </w:rPr>
        <w:t>2、</w:t>
      </w:r>
      <w:bookmarkStart w:id="168" w:name="_Hlk101133173"/>
      <w:r>
        <w:rPr>
          <w:rFonts w:hint="eastAsia" w:ascii="仿宋_GB2312" w:hAnsi="仿宋" w:eastAsia="仿宋_GB2312" w:cs="仿宋"/>
          <w:color w:val="auto"/>
          <w:sz w:val="24"/>
        </w:rPr>
        <w:t>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lang w:val="zh-CN"/>
        </w:rPr>
        <w:t>分包意向协议</w:t>
      </w:r>
      <w:r>
        <w:rPr>
          <w:rFonts w:hint="eastAsia" w:ascii="仿宋_GB2312" w:hAnsi="仿宋" w:eastAsia="仿宋_GB2312" w:cs="仿宋"/>
          <w:b/>
          <w:bCs/>
          <w:color w:val="auto"/>
          <w:sz w:val="24"/>
        </w:rPr>
        <w:t>中中小企业、小微企业合同金额应当达到的比例要求填写。</w:t>
      </w:r>
      <w:r>
        <w:rPr>
          <w:rFonts w:hint="eastAsia" w:ascii="仿宋_GB2312" w:hAnsi="仿宋" w:eastAsia="仿宋_GB2312" w:cs="仿宋"/>
          <w:b/>
          <w:bCs/>
          <w:color w:val="auto"/>
          <w:kern w:val="0"/>
          <w:sz w:val="24"/>
          <w:lang w:val="zh-CN"/>
        </w:rPr>
        <w:t>）</w:t>
      </w:r>
      <w:bookmarkEnd w:id="168"/>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三、分包工作履行期限、地点、方式</w:t>
      </w:r>
    </w:p>
    <w:p>
      <w:pPr>
        <w:snapToGrid w:val="0"/>
        <w:spacing w:line="360" w:lineRule="auto"/>
        <w:ind w:firstLine="576"/>
        <w:rPr>
          <w:rFonts w:ascii="仿宋_GB2312" w:hAnsi="仿宋" w:eastAsia="仿宋_GB2312" w:cs="仿宋"/>
          <w:color w:val="auto"/>
          <w:u w:val="single"/>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四、质量</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五、价款或者报酬</w:t>
      </w:r>
    </w:p>
    <w:p>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六、违约责任</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七、争议解决的办法</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投标人名称(电子签名)：</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分包供应商名称(电子签名/公章)：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Style w:val="80"/>
        <w:rPr>
          <w:rFonts w:hAnsi="仿宋" w:cs="仿宋"/>
          <w:b/>
          <w:color w:val="auto"/>
          <w:spacing w:val="6"/>
          <w:sz w:val="32"/>
          <w:szCs w:val="32"/>
        </w:rPr>
      </w:pPr>
    </w:p>
    <w:p>
      <w:pPr>
        <w:pStyle w:val="81"/>
        <w:rPr>
          <w:rFonts w:ascii="仿宋_GB2312" w:hAnsi="仿宋" w:eastAsia="仿宋_GB2312" w:cs="仿宋"/>
          <w:b/>
          <w:color w:val="auto"/>
          <w:spacing w:val="6"/>
          <w:sz w:val="32"/>
          <w:szCs w:val="32"/>
        </w:rPr>
      </w:pPr>
    </w:p>
    <w:p>
      <w:pPr>
        <w:rPr>
          <w:rFonts w:ascii="仿宋_GB2312" w:hAnsi="仿宋" w:eastAsia="仿宋_GB2312" w:cs="仿宋"/>
          <w:b/>
          <w:color w:val="auto"/>
          <w:spacing w:val="6"/>
          <w:sz w:val="32"/>
          <w:szCs w:val="32"/>
        </w:rPr>
      </w:pPr>
    </w:p>
    <w:p>
      <w:pPr>
        <w:pStyle w:val="80"/>
        <w:rPr>
          <w:rFonts w:hAnsi="仿宋" w:cs="仿宋"/>
          <w:b/>
          <w:color w:val="auto"/>
          <w:spacing w:val="6"/>
          <w:sz w:val="32"/>
          <w:szCs w:val="32"/>
        </w:rPr>
      </w:pPr>
    </w:p>
    <w:p>
      <w:pPr>
        <w:pStyle w:val="81"/>
        <w:rPr>
          <w:rFonts w:ascii="仿宋_GB2312" w:eastAsia="仿宋_GB2312"/>
          <w:color w:val="auto"/>
        </w:rPr>
      </w:pPr>
    </w:p>
    <w:p>
      <w:pPr>
        <w:spacing w:line="360" w:lineRule="auto"/>
        <w:rPr>
          <w:rFonts w:ascii="仿宋_GB2312" w:hAnsi="仿宋" w:eastAsia="仿宋_GB2312" w:cs="仿宋"/>
          <w:b/>
          <w:color w:val="auto"/>
          <w:spacing w:val="6"/>
          <w:sz w:val="32"/>
          <w:szCs w:val="32"/>
        </w:rPr>
      </w:pPr>
      <w:bookmarkStart w:id="169" w:name="OLE_LINK13"/>
      <w:bookmarkStart w:id="170" w:name="OLE_LINK14"/>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附件6：</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残疾人福利性单位声明函</w:t>
      </w:r>
    </w:p>
    <w:bookmarkEnd w:id="169"/>
    <w:bookmarkEnd w:id="170"/>
    <w:p>
      <w:pPr>
        <w:spacing w:line="360" w:lineRule="auto"/>
        <w:rPr>
          <w:rFonts w:ascii="仿宋_GB2312" w:hAnsi="仿宋" w:eastAsia="仿宋_GB2312" w:cs="仿宋"/>
          <w:b/>
          <w:color w:val="auto"/>
          <w:spacing w:val="6"/>
          <w:sz w:val="30"/>
          <w:szCs w:val="30"/>
        </w:rPr>
      </w:pP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u w:val="single"/>
        </w:rPr>
        <w:t>（采购人）</w:t>
      </w:r>
      <w:r>
        <w:rPr>
          <w:rFonts w:hint="eastAsia" w:ascii="仿宋_GB2312" w:hAnsi="仿宋" w:eastAsia="仿宋_GB2312" w:cs="仿宋"/>
          <w:color w:val="auto"/>
          <w:sz w:val="24"/>
        </w:rPr>
        <w:t>_单位的_</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rPr>
      </w:pPr>
    </w:p>
    <w:p>
      <w:pPr>
        <w:spacing w:line="360" w:lineRule="auto"/>
        <w:ind w:firstLine="480" w:firstLineChars="200"/>
        <w:rPr>
          <w:rFonts w:ascii="仿宋_GB2312" w:hAnsi="仿宋" w:eastAsia="仿宋_GB2312" w:cs="仿宋"/>
          <w:color w:val="auto"/>
          <w:sz w:val="24"/>
        </w:rPr>
      </w:pP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w:t>
      </w:r>
      <w:r>
        <w:rPr>
          <w:rFonts w:hint="eastAsia" w:ascii="仿宋_GB2312" w:hAnsi="仿宋" w:eastAsia="仿宋_GB2312" w:cs="仿宋"/>
          <w:color w:val="auto"/>
          <w:kern w:val="0"/>
          <w:sz w:val="24"/>
          <w:lang w:val="zh-CN"/>
        </w:rPr>
        <w:t>投标人名称（电子签名）</w:t>
      </w:r>
      <w:r>
        <w:rPr>
          <w:rFonts w:hint="eastAsia" w:ascii="仿宋_GB2312" w:hAnsi="仿宋" w:eastAsia="仿宋_GB2312" w:cs="仿宋"/>
          <w:color w:val="auto"/>
          <w:sz w:val="24"/>
        </w:rPr>
        <w:t>：</w:t>
      </w: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  期：</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附件7：</w:t>
      </w:r>
    </w:p>
    <w:p>
      <w:pPr>
        <w:spacing w:line="360" w:lineRule="auto"/>
        <w:jc w:val="center"/>
        <w:rPr>
          <w:rFonts w:ascii="仿宋_GB2312" w:hAnsi="仿宋" w:eastAsia="仿宋_GB2312" w:cs="仿宋"/>
          <w:color w:val="auto"/>
          <w:sz w:val="24"/>
          <w:u w:val="single"/>
        </w:rPr>
      </w:pP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中小企业声明函（货物）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本公司（联合体）郑重声明，根据《政府采购促进中小企业发展管理办法》（财库</w:t>
      </w:r>
      <w:r>
        <w:rPr>
          <w:rFonts w:hint="eastAsia" w:ascii="仿宋_GB2312" w:hAnsi="仿宋" w:eastAsia="仿宋" w:cs="仿宋"/>
          <w:color w:val="auto"/>
          <w:sz w:val="24"/>
        </w:rPr>
        <w:t>﹝</w:t>
      </w:r>
      <w:r>
        <w:rPr>
          <w:rFonts w:hint="eastAsia" w:ascii="仿宋_GB2312" w:hAnsi="仿宋" w:eastAsia="仿宋_GB2312" w:cs="仿宋"/>
          <w:color w:val="auto"/>
          <w:sz w:val="24"/>
        </w:rPr>
        <w:t>2020</w:t>
      </w:r>
      <w:r>
        <w:rPr>
          <w:rFonts w:hint="eastAsia" w:ascii="仿宋_GB2312" w:hAnsi="仿宋" w:eastAsia="仿宋" w:cs="仿宋"/>
          <w:color w:val="auto"/>
          <w:sz w:val="24"/>
        </w:rPr>
        <w:t>﹞</w:t>
      </w:r>
      <w:r>
        <w:rPr>
          <w:rFonts w:hint="eastAsia" w:ascii="仿宋_GB2312" w:hAnsi="仿宋" w:eastAsia="仿宋_GB2312" w:cs="仿宋"/>
          <w:color w:val="auto"/>
          <w:sz w:val="24"/>
        </w:rPr>
        <w:t xml:space="preserve">46 号）的规定，本公司（联合体）参加 </w:t>
      </w:r>
      <w:r>
        <w:rPr>
          <w:rFonts w:hint="eastAsia" w:ascii="仿宋_GB2312" w:hAnsi="仿宋" w:eastAsia="仿宋_GB2312" w:cs="仿宋"/>
          <w:color w:val="auto"/>
          <w:sz w:val="24"/>
          <w:u w:val="single"/>
        </w:rPr>
        <w:t xml:space="preserve">（采购人） </w:t>
      </w:r>
      <w:r>
        <w:rPr>
          <w:rFonts w:hint="eastAsia" w:ascii="仿宋_GB2312" w:hAnsi="仿宋" w:eastAsia="仿宋_GB2312" w:cs="仿宋"/>
          <w:color w:val="auto"/>
          <w:sz w:val="24"/>
        </w:rPr>
        <w:t xml:space="preserve">的 </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w:t>
      </w:r>
      <w:r>
        <w:rPr>
          <w:rFonts w:hint="eastAsia" w:ascii="仿宋_GB2312" w:hAnsi="仿宋" w:eastAsia="仿宋_GB2312" w:cs="仿宋"/>
          <w:color w:val="auto"/>
        </w:rPr>
        <w:t xml:space="preserve"> </w:t>
      </w:r>
      <w:r>
        <w:rPr>
          <w:rFonts w:hint="eastAsia" w:ascii="仿宋_GB2312" w:hAnsi="仿宋" w:eastAsia="仿宋_GB2312" w:cs="仿宋"/>
          <w:color w:val="auto"/>
          <w:sz w:val="24"/>
          <w:u w:val="single"/>
        </w:rPr>
        <w:t>（标的名称）</w:t>
      </w:r>
      <w:r>
        <w:rPr>
          <w:rFonts w:hint="eastAsia"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 ；制造商为</w:t>
      </w:r>
      <w:r>
        <w:rPr>
          <w:rFonts w:hint="eastAsia" w:ascii="仿宋_GB2312" w:hAnsi="仿宋" w:eastAsia="仿宋_GB2312" w:cs="仿宋"/>
          <w:color w:val="auto"/>
          <w:sz w:val="24"/>
          <w:u w:val="single"/>
        </w:rPr>
        <w:t xml:space="preserve"> （企业名称）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w:t>
      </w:r>
      <w:r>
        <w:rPr>
          <w:rFonts w:hint="eastAsia"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w:t>
      </w:r>
      <w:r>
        <w:rPr>
          <w:rFonts w:hint="eastAsia" w:ascii="仿宋_GB2312" w:hAnsi="仿宋" w:eastAsia="仿宋_GB2312" w:cs="仿宋"/>
          <w:color w:val="auto"/>
        </w:rPr>
        <w:t xml:space="preserve"> </w:t>
      </w:r>
      <w:r>
        <w:rPr>
          <w:rFonts w:hint="eastAsia" w:ascii="仿宋_GB2312" w:hAnsi="仿宋" w:eastAsia="仿宋_GB2312" w:cs="仿宋"/>
          <w:color w:val="auto"/>
          <w:sz w:val="24"/>
          <w:u w:val="single"/>
        </w:rPr>
        <w:t>（标的名称）</w:t>
      </w:r>
      <w:r>
        <w:rPr>
          <w:rFonts w:hint="eastAsia"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 ；制造商为</w:t>
      </w:r>
      <w:r>
        <w:rPr>
          <w:rFonts w:hint="eastAsia" w:ascii="仿宋_GB2312" w:hAnsi="仿宋" w:eastAsia="仿宋_GB2312" w:cs="仿宋"/>
          <w:color w:val="auto"/>
          <w:sz w:val="24"/>
          <w:u w:val="single"/>
        </w:rPr>
        <w:t xml:space="preserve"> （企业名称）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w:t>
      </w:r>
      <w:r>
        <w:rPr>
          <w:rFonts w:hint="eastAsia"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投标人名称(电子签名)：</w:t>
      </w:r>
    </w:p>
    <w:p>
      <w:pPr>
        <w:snapToGrid w:val="0"/>
        <w:spacing w:line="360" w:lineRule="auto"/>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w:t>
      </w:r>
      <w:r>
        <w:rPr>
          <w:rFonts w:hint="eastAsia"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w:t>
      </w:r>
    </w:p>
    <w:p>
      <w:pPr>
        <w:spacing w:line="360" w:lineRule="auto"/>
        <w:jc w:val="left"/>
        <w:rPr>
          <w:rFonts w:ascii="仿宋_GB2312" w:hAnsi="仿宋" w:eastAsia="仿宋_GB2312" w:cs="仿宋"/>
          <w:color w:val="auto"/>
          <w:sz w:val="18"/>
          <w:szCs w:val="18"/>
        </w:rPr>
      </w:pPr>
      <w:r>
        <w:rPr>
          <w:rFonts w:hint="eastAsia" w:ascii="仿宋_GB2312" w:hAnsi="仿宋" w:eastAsia="仿宋_GB2312"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注：</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2017年12月28日</w:t>
      </w:r>
    </w:p>
    <w:p>
      <w:pPr>
        <w:pStyle w:val="23"/>
        <w:rPr>
          <w:rFonts w:ascii="仿宋_GB2312"/>
          <w:color w:val="auto"/>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附表：统计上大中小微型企业划分标准</w:t>
      </w: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农、林、牧、渔业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50≤Y＜500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工业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2000≤Y＜40000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建筑业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Y≥80000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6000≤Y＜80000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300≤Y＜6000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Z≥80000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5000≤Z＜80000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300≤Z＜5000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批发业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20≤X＜200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5≤X＜20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5000≤Y＜40000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零售业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10≤X＜50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100≤Y＜500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交通运输业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200≤Y＜3000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仓储业*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100≤X＜200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邮政业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住宿业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餐饮业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信息传输业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100≤X＜2000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软件和信息技术服务业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房地产开发经营</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1000≤Y＜200000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2000≤Z＜5000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物业管理</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租赁和商务服务业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8000≤Z＜120000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100≤Z＜8000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其他未列明行业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（3）资产总额，采用资产总计代替。</w:t>
      </w:r>
    </w:p>
    <w:p>
      <w:pPr>
        <w:widowControl/>
        <w:jc w:val="left"/>
        <w:rPr>
          <w:rFonts w:ascii="仿宋_GB2312" w:hAnsi="仿宋" w:eastAsia="仿宋_GB2312" w:cs="仿宋"/>
          <w:color w:val="auto"/>
          <w:kern w:val="0"/>
          <w:sz w:val="24"/>
        </w:rPr>
      </w:pP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标准值的评估和调整。金融业企业划型标准工作组</w:t>
      </w:r>
      <w:r>
        <w:rPr>
          <w:rFonts w:hint="eastAsia" w:ascii="仿宋_GB2312" w:hAnsi="仿宋" w:eastAsia="仿宋" w:cs="仿宋"/>
          <w:color w:val="auto"/>
          <w:kern w:val="0"/>
          <w:szCs w:val="21"/>
        </w:rPr>
        <w:t>毎</w:t>
      </w:r>
      <w:r>
        <w:rPr>
          <w:rFonts w:hint="eastAsia" w:ascii="仿宋_GB2312" w:hAnsi="仿宋" w:eastAsia="仿宋_GB2312" w:cs="仿宋"/>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货币金融服务</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非货币银行服务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银行业非存款类金融机构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贷款公司、小额贷款公司及典当行</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资本市场服务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证券业金融机构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其他金融业</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金融信托与管理服务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信托公司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控股公司服务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金融控股公司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其他未包括的金融业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bl>
    <w:p>
      <w:pPr>
        <w:spacing w:line="360" w:lineRule="auto"/>
        <w:rPr>
          <w:rFonts w:ascii="仿宋_GB2312" w:hAnsi="仿宋" w:eastAsia="仿宋_GB2312" w:cs="仿宋"/>
          <w:color w:val="auto"/>
          <w:sz w:val="24"/>
        </w:rPr>
      </w:pPr>
    </w:p>
    <w:sectPr>
      <w:footerReference r:id="rId15" w:type="default"/>
      <w:footerReference r:id="rId16" w:type="even"/>
      <w:pgSz w:w="11906" w:h="16838"/>
      <w:pgMar w:top="1587" w:right="1474" w:bottom="1587" w:left="1474" w:header="992"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3074" o:spid="_x0000_s3074" o:spt="202" type="#_x0000_t202" style="position:absolute;left:0pt;margin-left:187.95pt;margin-top:0.55pt;height:11.1pt;width:144pt;mso-position-horizontal-relative:margin;mso-wrap-style:none;z-index:251660288;mso-width-relative:page;mso-height-relative:page;" filled="f" stroked="f" coordsize="21600,21600">
          <v:path/>
          <v:fill on="f" focussize="0,0"/>
          <v:stroke on="f"/>
          <v:imagedata o:title=""/>
          <o:lock v:ext="edit" aspectratio="f"/>
          <v:textbox inset="0mm,0mm,0mm,0mm">
            <w:txbxContent>
              <w:p>
                <w:pPr>
                  <w:pStyle w:val="40"/>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90</w:t>
                </w:r>
                <w:r>
                  <w:rPr>
                    <w:rFonts w:hint="eastAsia" w:ascii="仿宋" w:hAnsi="仿宋" w:eastAsia="仿宋" w:cs="仿宋"/>
                  </w:rPr>
                  <w:fldChar w:fldCharType="end"/>
                </w:r>
                <w:r>
                  <w:rPr>
                    <w:rFonts w:hint="eastAsia" w:ascii="仿宋" w:hAnsi="仿宋" w:eastAsia="仿宋" w:cs="仿宋"/>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3077"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3078" o:spid="_x0000_s307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CGSHZJ-2023-N000882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CGSHZJ-2023-N000923 </w:t>
    </w:r>
  </w:p>
  <w:p>
    <w:pPr>
      <w:pStyle w:val="41"/>
      <w:pBdr>
        <w:bottom w:val="none" w:color="auto" w:sz="0" w:space="0"/>
      </w:pBdr>
      <w:tabs>
        <w:tab w:val="clear" w:pos="4153"/>
        <w:tab w:val="clear" w:pos="8306"/>
      </w:tabs>
      <w:jc w:val="both"/>
      <w:rPr>
        <w:rFonts w:hint="default" w:ascii="仿宋" w:hAnsi="仿宋" w:eastAsia="仿宋" w:cs="仿宋"/>
        <w:lang w:val="en-US" w:eastAsia="zh-CN"/>
      </w:rPr>
    </w:pPr>
    <w:r>
      <w:rPr>
        <w:rFonts w:hint="eastAsia" w:ascii="仿宋" w:hAnsi="仿宋" w:eastAsia="仿宋" w:cs="仿宋"/>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ascii="仿宋" w:hAnsi="仿宋" w:eastAsia="仿宋" w:cs="仿宋"/>
        <w:lang w:val="en-US" w:eastAsia="zh-CN"/>
      </w:rPr>
      <w:t xml:space="preserve">浙江翔实建设项目管理有限公司   </w:t>
    </w:r>
    <w:r>
      <w:rPr>
        <w:rFonts w:hint="eastAsia"/>
      </w:rPr>
      <w:t xml:space="preserve">                              </w:t>
    </w:r>
    <w:r>
      <w:rPr>
        <w:rFonts w:hint="eastAsia" w:ascii="仿宋" w:hAnsi="仿宋" w:eastAsia="仿宋" w:cs="仿宋"/>
        <w:lang w:val="en-US" w:eastAsia="zh-CN"/>
      </w:rPr>
      <w:t xml:space="preserve">     文件招标编号：CGSHZJ-2023-</w:t>
    </w:r>
    <w:r>
      <w:rPr>
        <w:rFonts w:hint="eastAsia" w:ascii="仿宋" w:hAnsi="仿宋" w:eastAsia="仿宋" w:cs="仿宋"/>
      </w:rPr>
      <w:t>N000923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lang w:eastAsia="zh-CN"/>
      </w:rPr>
    </w:pPr>
    <w:r>
      <w:rPr>
        <w:rFonts w:hint="eastAsia" w:ascii="仿宋" w:hAnsi="仿宋" w:eastAsia="仿宋" w:cs="仿宋"/>
        <w:lang w:val="en-US" w:eastAsia="zh-CN"/>
      </w:rPr>
      <w:t xml:space="preserve">浙江翔实建设项目管理有限公司   </w:t>
    </w:r>
    <w:r>
      <w:rPr>
        <w:rFonts w:hint="eastAsia"/>
      </w:rPr>
      <w:t xml:space="preserve">                              </w:t>
    </w:r>
    <w:r>
      <w:rPr>
        <w:rFonts w:hint="eastAsia"/>
        <w:lang w:val="en-US" w:eastAsia="zh-CN"/>
      </w:rPr>
      <w:t xml:space="preserve">  </w:t>
    </w:r>
    <w:r>
      <w:rPr>
        <w:rFonts w:hint="eastAsia" w:ascii="仿宋" w:hAnsi="仿宋" w:eastAsia="仿宋" w:cs="仿宋"/>
        <w:lang w:val="en-US" w:eastAsia="zh-CN"/>
      </w:rPr>
      <w:t xml:space="preserve">   文件招标编号：CGSHZJ-2023-</w:t>
    </w:r>
    <w:r>
      <w:rPr>
        <w:rFonts w:hint="eastAsia" w:ascii="仿宋" w:hAnsi="仿宋" w:eastAsia="仿宋" w:cs="仿宋"/>
      </w:rPr>
      <w:t>N000923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4C7361A"/>
    <w:multiLevelType w:val="singleLevel"/>
    <w:tmpl w:val="04C7361A"/>
    <w:lvl w:ilvl="0" w:tentative="0">
      <w:start w:val="5"/>
      <w:numFmt w:val="decimal"/>
      <w:suff w:val="nothing"/>
      <w:lvlText w:val="（%1）"/>
      <w:lvlJc w:val="left"/>
    </w:lvl>
  </w:abstractNum>
  <w:abstractNum w:abstractNumId="5">
    <w:nsid w:val="270D0FA5"/>
    <w:multiLevelType w:val="singleLevel"/>
    <w:tmpl w:val="270D0FA5"/>
    <w:lvl w:ilvl="0" w:tentative="0">
      <w:start w:val="6"/>
      <w:numFmt w:val="chineseCounting"/>
      <w:suff w:val="nothing"/>
      <w:lvlText w:val="%1、"/>
      <w:lvlJc w:val="left"/>
      <w:rPr>
        <w:rFonts w:hint="eastAsia"/>
      </w:rPr>
    </w:lvl>
  </w:abstractNum>
  <w:abstractNum w:abstractNumId="6">
    <w:nsid w:val="3DB4BE1F"/>
    <w:multiLevelType w:val="singleLevel"/>
    <w:tmpl w:val="3DB4BE1F"/>
    <w:lvl w:ilvl="0" w:tentative="0">
      <w:start w:val="4"/>
      <w:numFmt w:val="decimal"/>
      <w:lvlText w:val="(%1)"/>
      <w:lvlJc w:val="left"/>
      <w:pPr>
        <w:tabs>
          <w:tab w:val="left" w:pos="312"/>
        </w:tabs>
      </w:pPr>
    </w:lvl>
  </w:abstractNum>
  <w:abstractNum w:abstractNumId="7">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5DCA2CE"/>
    <w:multiLevelType w:val="singleLevel"/>
    <w:tmpl w:val="65DCA2CE"/>
    <w:lvl w:ilvl="0" w:tentative="0">
      <w:start w:val="7"/>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6A8BA66F"/>
    <w:multiLevelType w:val="singleLevel"/>
    <w:tmpl w:val="6A8BA66F"/>
    <w:lvl w:ilvl="0" w:tentative="0">
      <w:start w:val="1"/>
      <w:numFmt w:val="decimal"/>
      <w:suff w:val="nothing"/>
      <w:lvlText w:val="（%1）"/>
      <w:lvlJc w:val="left"/>
    </w:lvl>
  </w:abstractNum>
  <w:num w:numId="1">
    <w:abstractNumId w:val="7"/>
  </w:num>
  <w:num w:numId="2">
    <w:abstractNumId w:val="2"/>
  </w:num>
  <w:num w:numId="3">
    <w:abstractNumId w:val="1"/>
  </w:num>
  <w:num w:numId="4">
    <w:abstractNumId w:val="9"/>
  </w:num>
  <w:num w:numId="5">
    <w:abstractNumId w:val="0"/>
  </w:num>
  <w:num w:numId="6">
    <w:abstractNumId w:val="10"/>
  </w:num>
  <w:num w:numId="7">
    <w:abstractNumId w:val="6"/>
  </w:num>
  <w:num w:numId="8">
    <w:abstractNumId w:val="4"/>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docVars>
    <w:docVar w:name="commondata" w:val="eyJoZGlkIjoiNzBlZGZkMjIyYjViMThhNjRhMWEyZDg0YWFmZTE3MjYifQ=="/>
  </w:docVars>
  <w:rsids>
    <w:rsidRoot w:val="00417C8A"/>
    <w:rsid w:val="0000024D"/>
    <w:rsid w:val="00000AB4"/>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576B7"/>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77F84"/>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3B3"/>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1775A"/>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0B1"/>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2D13"/>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5D27"/>
    <w:rsid w:val="004E7CD7"/>
    <w:rsid w:val="004F3734"/>
    <w:rsid w:val="004F69CA"/>
    <w:rsid w:val="004F7507"/>
    <w:rsid w:val="004F7995"/>
    <w:rsid w:val="00503D74"/>
    <w:rsid w:val="005041C0"/>
    <w:rsid w:val="0050570A"/>
    <w:rsid w:val="0050629F"/>
    <w:rsid w:val="005106D0"/>
    <w:rsid w:val="00511FB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03B"/>
    <w:rsid w:val="00576529"/>
    <w:rsid w:val="00576EFE"/>
    <w:rsid w:val="005770CA"/>
    <w:rsid w:val="00585233"/>
    <w:rsid w:val="0058680D"/>
    <w:rsid w:val="00586C3A"/>
    <w:rsid w:val="005879E7"/>
    <w:rsid w:val="00590A70"/>
    <w:rsid w:val="00591190"/>
    <w:rsid w:val="00591584"/>
    <w:rsid w:val="00594CDD"/>
    <w:rsid w:val="00595AB2"/>
    <w:rsid w:val="00595CE0"/>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3370"/>
    <w:rsid w:val="006351A3"/>
    <w:rsid w:val="00637770"/>
    <w:rsid w:val="006378C9"/>
    <w:rsid w:val="00642276"/>
    <w:rsid w:val="00643AA9"/>
    <w:rsid w:val="00643BDC"/>
    <w:rsid w:val="0064613F"/>
    <w:rsid w:val="006465FE"/>
    <w:rsid w:val="006467D7"/>
    <w:rsid w:val="00646E44"/>
    <w:rsid w:val="00650033"/>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0A55"/>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338B6"/>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2E8B"/>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0784"/>
    <w:rsid w:val="007B0F0E"/>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61C"/>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4E6"/>
    <w:rsid w:val="009545C7"/>
    <w:rsid w:val="009557D2"/>
    <w:rsid w:val="009568DF"/>
    <w:rsid w:val="00961961"/>
    <w:rsid w:val="009626CD"/>
    <w:rsid w:val="009639DC"/>
    <w:rsid w:val="00963B11"/>
    <w:rsid w:val="0096450C"/>
    <w:rsid w:val="009700D6"/>
    <w:rsid w:val="00970329"/>
    <w:rsid w:val="00970F9E"/>
    <w:rsid w:val="009712BD"/>
    <w:rsid w:val="009732E8"/>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B4F"/>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154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0D0"/>
    <w:rsid w:val="00B97B7B"/>
    <w:rsid w:val="00B97BD6"/>
    <w:rsid w:val="00BA18A9"/>
    <w:rsid w:val="00BA2C2D"/>
    <w:rsid w:val="00BA4F14"/>
    <w:rsid w:val="00BA4FA3"/>
    <w:rsid w:val="00BB1468"/>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3BC8"/>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25C1"/>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4410"/>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8E1CDD"/>
    <w:rsid w:val="03A74512"/>
    <w:rsid w:val="04472FBC"/>
    <w:rsid w:val="04C31798"/>
    <w:rsid w:val="06693D01"/>
    <w:rsid w:val="07724E37"/>
    <w:rsid w:val="09284F21"/>
    <w:rsid w:val="099E1E63"/>
    <w:rsid w:val="09CB032D"/>
    <w:rsid w:val="0A717628"/>
    <w:rsid w:val="0BD7170D"/>
    <w:rsid w:val="0D0C188A"/>
    <w:rsid w:val="0D645222"/>
    <w:rsid w:val="0F3E087B"/>
    <w:rsid w:val="0F6725AF"/>
    <w:rsid w:val="10AC13BA"/>
    <w:rsid w:val="11531836"/>
    <w:rsid w:val="115B2BFE"/>
    <w:rsid w:val="11742B11"/>
    <w:rsid w:val="11A16A45"/>
    <w:rsid w:val="123F000C"/>
    <w:rsid w:val="128D0D77"/>
    <w:rsid w:val="128D6FC9"/>
    <w:rsid w:val="1399374C"/>
    <w:rsid w:val="168237A2"/>
    <w:rsid w:val="17694E7B"/>
    <w:rsid w:val="19763B91"/>
    <w:rsid w:val="1AC45552"/>
    <w:rsid w:val="1ADA6B24"/>
    <w:rsid w:val="1CB57848"/>
    <w:rsid w:val="1D0936F0"/>
    <w:rsid w:val="1D526D36"/>
    <w:rsid w:val="1DDA6E3B"/>
    <w:rsid w:val="1E4F5A7B"/>
    <w:rsid w:val="1ED33FB6"/>
    <w:rsid w:val="1F574CD6"/>
    <w:rsid w:val="1FC85AE5"/>
    <w:rsid w:val="1FDC333E"/>
    <w:rsid w:val="207577EE"/>
    <w:rsid w:val="210677A8"/>
    <w:rsid w:val="21423675"/>
    <w:rsid w:val="215A09BE"/>
    <w:rsid w:val="23737B15"/>
    <w:rsid w:val="240D53F7"/>
    <w:rsid w:val="2435126F"/>
    <w:rsid w:val="24B44889"/>
    <w:rsid w:val="256E67E6"/>
    <w:rsid w:val="25D07AD9"/>
    <w:rsid w:val="26DE6C18"/>
    <w:rsid w:val="27576F30"/>
    <w:rsid w:val="29916F47"/>
    <w:rsid w:val="29B36EBE"/>
    <w:rsid w:val="2A004862"/>
    <w:rsid w:val="2BA87C8C"/>
    <w:rsid w:val="2C970D19"/>
    <w:rsid w:val="2DE55AB4"/>
    <w:rsid w:val="2DE643A4"/>
    <w:rsid w:val="2F5C3B54"/>
    <w:rsid w:val="313F372D"/>
    <w:rsid w:val="33511CFD"/>
    <w:rsid w:val="343926B5"/>
    <w:rsid w:val="363B0967"/>
    <w:rsid w:val="36AD1752"/>
    <w:rsid w:val="36AE2DE8"/>
    <w:rsid w:val="383E568D"/>
    <w:rsid w:val="38E4576D"/>
    <w:rsid w:val="3C04552F"/>
    <w:rsid w:val="3C666012"/>
    <w:rsid w:val="3C81109D"/>
    <w:rsid w:val="3D406863"/>
    <w:rsid w:val="3E0A46CC"/>
    <w:rsid w:val="3E9B08F3"/>
    <w:rsid w:val="3EA64DEB"/>
    <w:rsid w:val="3EA85C6E"/>
    <w:rsid w:val="3EB968CD"/>
    <w:rsid w:val="40161AFD"/>
    <w:rsid w:val="404E6ADA"/>
    <w:rsid w:val="410431E5"/>
    <w:rsid w:val="41736AF6"/>
    <w:rsid w:val="41B617E9"/>
    <w:rsid w:val="427009D4"/>
    <w:rsid w:val="449070E8"/>
    <w:rsid w:val="4588524B"/>
    <w:rsid w:val="46095888"/>
    <w:rsid w:val="463C1243"/>
    <w:rsid w:val="47C167F2"/>
    <w:rsid w:val="47D91D8D"/>
    <w:rsid w:val="48710218"/>
    <w:rsid w:val="48BD345D"/>
    <w:rsid w:val="4AA06B93"/>
    <w:rsid w:val="4B1F1F99"/>
    <w:rsid w:val="4C6D5E8C"/>
    <w:rsid w:val="4D7F5185"/>
    <w:rsid w:val="4DA70238"/>
    <w:rsid w:val="4DFF65FA"/>
    <w:rsid w:val="50036B16"/>
    <w:rsid w:val="5069089B"/>
    <w:rsid w:val="50E230EB"/>
    <w:rsid w:val="5147420C"/>
    <w:rsid w:val="52F16C1D"/>
    <w:rsid w:val="533E4E87"/>
    <w:rsid w:val="535F1964"/>
    <w:rsid w:val="53EE6BC1"/>
    <w:rsid w:val="54607F58"/>
    <w:rsid w:val="54996B2C"/>
    <w:rsid w:val="55E92BE2"/>
    <w:rsid w:val="560F1454"/>
    <w:rsid w:val="56C82910"/>
    <w:rsid w:val="570404A9"/>
    <w:rsid w:val="57747180"/>
    <w:rsid w:val="580E067C"/>
    <w:rsid w:val="58320C1E"/>
    <w:rsid w:val="5862192B"/>
    <w:rsid w:val="58E40592"/>
    <w:rsid w:val="59A55F73"/>
    <w:rsid w:val="59E52814"/>
    <w:rsid w:val="5AA71457"/>
    <w:rsid w:val="5B385A9B"/>
    <w:rsid w:val="5BF55795"/>
    <w:rsid w:val="5D4930BA"/>
    <w:rsid w:val="5DD5516E"/>
    <w:rsid w:val="5F076D88"/>
    <w:rsid w:val="5FEB66AA"/>
    <w:rsid w:val="606B646C"/>
    <w:rsid w:val="61023CAB"/>
    <w:rsid w:val="62AC0373"/>
    <w:rsid w:val="62AC2121"/>
    <w:rsid w:val="65BF660F"/>
    <w:rsid w:val="65EE5B70"/>
    <w:rsid w:val="66B2655C"/>
    <w:rsid w:val="66DE4873"/>
    <w:rsid w:val="66F805F9"/>
    <w:rsid w:val="67B73751"/>
    <w:rsid w:val="6840489F"/>
    <w:rsid w:val="694F7CAA"/>
    <w:rsid w:val="6A835E5D"/>
    <w:rsid w:val="6B724E0D"/>
    <w:rsid w:val="6BC50EA9"/>
    <w:rsid w:val="6CEC6AB0"/>
    <w:rsid w:val="6D124150"/>
    <w:rsid w:val="6DB602F7"/>
    <w:rsid w:val="6DB65AD1"/>
    <w:rsid w:val="6E632B16"/>
    <w:rsid w:val="6E91666F"/>
    <w:rsid w:val="6EAE08F9"/>
    <w:rsid w:val="6EB5235D"/>
    <w:rsid w:val="6EDB63E4"/>
    <w:rsid w:val="6EFA655B"/>
    <w:rsid w:val="6F795A80"/>
    <w:rsid w:val="6F887A72"/>
    <w:rsid w:val="701C7146"/>
    <w:rsid w:val="7130216F"/>
    <w:rsid w:val="71EC2BF4"/>
    <w:rsid w:val="72E87C49"/>
    <w:rsid w:val="73142912"/>
    <w:rsid w:val="739B4217"/>
    <w:rsid w:val="745037BC"/>
    <w:rsid w:val="7638588C"/>
    <w:rsid w:val="76E41A31"/>
    <w:rsid w:val="785B3F75"/>
    <w:rsid w:val="78F45C2F"/>
    <w:rsid w:val="78F67B51"/>
    <w:rsid w:val="794C5FB4"/>
    <w:rsid w:val="7A585845"/>
    <w:rsid w:val="7D627B54"/>
    <w:rsid w:val="7DFBB8BB"/>
    <w:rsid w:val="7F3E7DB0"/>
    <w:rsid w:val="7FB85809"/>
    <w:rsid w:val="7FC1792F"/>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4"/>
    <w:qFormat/>
    <w:uiPriority w:val="0"/>
    <w:pPr>
      <w:spacing w:line="360" w:lineRule="auto"/>
    </w:pPr>
    <w:rPr>
      <w:rFonts w:eastAsia="仿宋_GB2312"/>
      <w:sz w:val="28"/>
    </w:rPr>
  </w:style>
  <w:style w:type="paragraph" w:styleId="24">
    <w:name w:val="Body Text First Indent"/>
    <w:basedOn w:val="23"/>
    <w:next w:val="1"/>
    <w:link w:val="231"/>
    <w:qFormat/>
    <w:uiPriority w:val="0"/>
    <w:pPr>
      <w:spacing w:after="120" w:line="240" w:lineRule="auto"/>
      <w:ind w:firstLine="420" w:firstLineChars="100"/>
    </w:pPr>
    <w:rPr>
      <w:rFonts w:eastAsia="宋体"/>
      <w:sz w:val="21"/>
    </w:rPr>
  </w:style>
  <w:style w:type="paragraph" w:styleId="25">
    <w:name w:val="Body Text Indent"/>
    <w:basedOn w:val="1"/>
    <w:link w:val="95"/>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3"/>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6"/>
    <w:qFormat/>
    <w:uiPriority w:val="0"/>
    <w:rPr>
      <w:rFonts w:ascii="楷体_GB2312" w:eastAsia="楷体_GB2312"/>
      <w:b/>
      <w:sz w:val="28"/>
      <w:szCs w:val="20"/>
    </w:rPr>
  </w:style>
  <w:style w:type="paragraph" w:styleId="37">
    <w:name w:val="Body Text Indent 2"/>
    <w:basedOn w:val="1"/>
    <w:link w:val="110"/>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8"/>
    <w:qFormat/>
    <w:uiPriority w:val="99"/>
    <w:pPr>
      <w:tabs>
        <w:tab w:val="center" w:pos="4153"/>
        <w:tab w:val="right" w:pos="8306"/>
      </w:tabs>
      <w:snapToGrid w:val="0"/>
      <w:jc w:val="left"/>
    </w:pPr>
    <w:rPr>
      <w:sz w:val="18"/>
      <w:szCs w:val="18"/>
    </w:rPr>
  </w:style>
  <w:style w:type="paragraph" w:styleId="41">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5"/>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2"/>
    <w:basedOn w:val="25"/>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2"/>
    <w:qFormat/>
    <w:uiPriority w:val="9"/>
    <w:rPr>
      <w:rFonts w:eastAsia="仿宋_GB2312"/>
      <w:b/>
      <w:kern w:val="44"/>
      <w:sz w:val="44"/>
      <w:lang w:val="en-US" w:eastAsia="zh-CN" w:bidi="ar-SA"/>
    </w:rPr>
  </w:style>
  <w:style w:type="character" w:customStyle="1" w:styleId="83">
    <w:name w:val="正文缩进 Char"/>
    <w:link w:val="5"/>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3"/>
    <w:qFormat/>
    <w:uiPriority w:val="0"/>
    <w:rPr>
      <w:rFonts w:ascii="Arial" w:hAnsi="Arial" w:eastAsia="黑体"/>
      <w:b/>
      <w:kern w:val="2"/>
      <w:sz w:val="32"/>
      <w:lang w:val="en-US" w:eastAsia="zh-CN" w:bidi="ar-SA"/>
    </w:rPr>
  </w:style>
  <w:style w:type="character" w:customStyle="1" w:styleId="86">
    <w:name w:val="标题 3 Char"/>
    <w:link w:val="4"/>
    <w:qFormat/>
    <w:uiPriority w:val="0"/>
    <w:rPr>
      <w:rFonts w:eastAsia="仿宋_GB2312"/>
      <w:b/>
      <w:kern w:val="2"/>
      <w:sz w:val="32"/>
      <w:lang w:val="en-US" w:eastAsia="zh-CN" w:bidi="ar-SA"/>
    </w:rPr>
  </w:style>
  <w:style w:type="character" w:customStyle="1" w:styleId="87">
    <w:name w:val="标题 4 Char1"/>
    <w:link w:val="6"/>
    <w:qFormat/>
    <w:uiPriority w:val="9"/>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3"/>
    <w:qFormat/>
    <w:uiPriority w:val="0"/>
    <w:rPr>
      <w:rFonts w:ascii="宋体" w:hAnsi="Courier New" w:eastAsia="宋体"/>
      <w:kern w:val="2"/>
      <w:sz w:val="21"/>
      <w:lang w:val="en-US" w:eastAsia="zh-CN" w:bidi="ar-SA"/>
    </w:rPr>
  </w:style>
  <w:style w:type="paragraph" w:customStyle="1" w:styleId="94">
    <w:name w:val="表正文"/>
    <w:basedOn w:val="1"/>
    <w:next w:val="33"/>
    <w:qFormat/>
    <w:uiPriority w:val="0"/>
    <w:rPr>
      <w:rFonts w:ascii="宋体" w:hAnsi="Courier New"/>
      <w:szCs w:val="20"/>
    </w:rPr>
  </w:style>
  <w:style w:type="character" w:customStyle="1" w:styleId="95">
    <w:name w:val="正文文本缩进 Char"/>
    <w:link w:val="25"/>
    <w:qFormat/>
    <w:uiPriority w:val="0"/>
    <w:rPr>
      <w:rFonts w:eastAsia="宋体"/>
      <w:kern w:val="2"/>
      <w:sz w:val="21"/>
      <w:szCs w:val="24"/>
      <w:lang w:val="en-US" w:eastAsia="zh-CN" w:bidi="ar-SA"/>
    </w:rPr>
  </w:style>
  <w:style w:type="character" w:customStyle="1" w:styleId="96">
    <w:name w:val="日期 Char2"/>
    <w:link w:val="36"/>
    <w:qFormat/>
    <w:uiPriority w:val="0"/>
    <w:rPr>
      <w:rFonts w:ascii="楷体_GB2312" w:eastAsia="楷体_GB2312"/>
      <w:b/>
      <w:kern w:val="2"/>
      <w:sz w:val="28"/>
      <w:lang w:val="en-US" w:eastAsia="zh-CN" w:bidi="ar-SA"/>
    </w:rPr>
  </w:style>
  <w:style w:type="character" w:customStyle="1" w:styleId="97">
    <w:name w:val="页眉 Char1"/>
    <w:link w:val="41"/>
    <w:qFormat/>
    <w:uiPriority w:val="0"/>
    <w:rPr>
      <w:rFonts w:eastAsia="宋体"/>
      <w:kern w:val="2"/>
      <w:sz w:val="18"/>
      <w:szCs w:val="18"/>
      <w:lang w:val="en-US" w:eastAsia="zh-CN" w:bidi="ar-SA"/>
    </w:rPr>
  </w:style>
  <w:style w:type="character" w:customStyle="1" w:styleId="98">
    <w:name w:val="页脚 Char"/>
    <w:link w:val="40"/>
    <w:qFormat/>
    <w:locked/>
    <w:uiPriority w:val="0"/>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6"/>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7"/>
    <w:qFormat/>
    <w:locked/>
    <w:uiPriority w:val="99"/>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5"/>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9"/>
    <w:qFormat/>
    <w:uiPriority w:val="0"/>
    <w:rPr>
      <w:kern w:val="2"/>
      <w:sz w:val="18"/>
      <w:szCs w:val="18"/>
    </w:rPr>
  </w:style>
  <w:style w:type="character" w:customStyle="1" w:styleId="228">
    <w:name w:val="正文文本缩进 3 Char"/>
    <w:basedOn w:val="70"/>
    <w:link w:val="53"/>
    <w:qFormat/>
    <w:uiPriority w:val="0"/>
    <w:rPr>
      <w:kern w:val="2"/>
      <w:sz w:val="16"/>
      <w:szCs w:val="16"/>
    </w:rPr>
  </w:style>
  <w:style w:type="character" w:customStyle="1" w:styleId="229">
    <w:name w:val="HTML 预设格式 Char"/>
    <w:basedOn w:val="70"/>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24"/>
    <w:qFormat/>
    <w:uiPriority w:val="0"/>
    <w:rPr>
      <w:rFonts w:eastAsia="仿宋_GB2312"/>
      <w:kern w:val="2"/>
      <w:sz w:val="21"/>
      <w:szCs w:val="24"/>
      <w:lang w:val="en-US" w:eastAsia="zh-CN" w:bidi="ar-SA"/>
    </w:rPr>
  </w:style>
  <w:style w:type="character" w:customStyle="1" w:styleId="232">
    <w:name w:val="正文首行缩进 2 Char"/>
    <w:basedOn w:val="95"/>
    <w:link w:val="62"/>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3077" textRotate="1"/>
    <customShpInfo spid="_x0000_s3078" textRotate="1"/>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101</Pages>
  <Words>10167</Words>
  <Characters>57958</Characters>
  <Lines>482</Lines>
  <Paragraphs>135</Paragraphs>
  <TotalTime>13</TotalTime>
  <ScaleCrop>false</ScaleCrop>
  <LinksUpToDate>false</LinksUpToDate>
  <CharactersWithSpaces>67990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金胖胖</cp:lastModifiedBy>
  <cp:lastPrinted>2023-08-15T07:24:00Z</cp:lastPrinted>
  <dcterms:modified xsi:type="dcterms:W3CDTF">2023-10-12T07:11:06Z</dcterms:modified>
  <dc:title>绍兴文理学院计算机机房设备及录播系统供货项目</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9E24B227F4A14965BF164F2CD0FEA3C6_12</vt:lpwstr>
  </property>
</Properties>
</file>