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cs="Times New Roman"/>
          <w:color w:val="auto"/>
          <w:highlight w:val="none"/>
        </w:rPr>
      </w:pPr>
    </w:p>
    <w:p>
      <w:pPr>
        <w:jc w:val="center"/>
        <w:rPr>
          <w:rFonts w:ascii="宋体"/>
          <w:b/>
          <w:bCs/>
          <w:color w:val="auto"/>
          <w:sz w:val="44"/>
          <w:szCs w:val="44"/>
          <w:highlight w:val="none"/>
        </w:rPr>
      </w:pPr>
      <w:r>
        <w:rPr>
          <w:rFonts w:hint="eastAsia" w:ascii="宋体" w:hAnsi="宋体" w:cs="宋体"/>
          <w:b/>
          <w:bCs/>
          <w:color w:val="auto"/>
          <w:sz w:val="44"/>
          <w:szCs w:val="44"/>
          <w:highlight w:val="none"/>
        </w:rPr>
        <w:t>上虞区地下水监测井建设工程项目</w:t>
      </w:r>
    </w:p>
    <w:p>
      <w:pPr>
        <w:pStyle w:val="3"/>
        <w:rPr>
          <w:rFonts w:ascii="宋体"/>
          <w:b/>
          <w:bCs/>
          <w:color w:val="auto"/>
          <w:sz w:val="44"/>
          <w:szCs w:val="44"/>
          <w:highlight w:val="none"/>
        </w:rPr>
      </w:pPr>
    </w:p>
    <w:p>
      <w:pPr>
        <w:pStyle w:val="3"/>
        <w:rPr>
          <w:rFonts w:ascii="宋体"/>
          <w:b/>
          <w:bCs/>
          <w:color w:val="auto"/>
          <w:sz w:val="44"/>
          <w:szCs w:val="44"/>
          <w:highlight w:val="none"/>
        </w:rPr>
      </w:pPr>
    </w:p>
    <w:p>
      <w:pPr>
        <w:pStyle w:val="3"/>
        <w:rPr>
          <w:rFonts w:ascii="宋体"/>
          <w:b/>
          <w:bCs/>
          <w:color w:val="auto"/>
          <w:sz w:val="44"/>
          <w:szCs w:val="44"/>
          <w:highlight w:val="none"/>
        </w:rPr>
      </w:pPr>
    </w:p>
    <w:p>
      <w:pPr>
        <w:pStyle w:val="3"/>
        <w:rPr>
          <w:rFonts w:ascii="宋体"/>
          <w:b/>
          <w:bCs/>
          <w:color w:val="auto"/>
          <w:sz w:val="44"/>
          <w:szCs w:val="44"/>
          <w:highlight w:val="none"/>
        </w:rPr>
      </w:pPr>
    </w:p>
    <w:p>
      <w:pPr>
        <w:pStyle w:val="3"/>
        <w:rPr>
          <w:color w:val="auto"/>
          <w:highlight w:val="none"/>
        </w:rPr>
      </w:pPr>
    </w:p>
    <w:p>
      <w:pPr>
        <w:spacing w:line="360" w:lineRule="auto"/>
        <w:jc w:val="center"/>
        <w:rPr>
          <w:rFonts w:ascii="宋体"/>
          <w:b/>
          <w:bCs/>
          <w:color w:val="auto"/>
          <w:sz w:val="24"/>
          <w:szCs w:val="24"/>
          <w:highlight w:val="none"/>
        </w:rPr>
      </w:pPr>
      <w:r>
        <w:rPr>
          <w:rFonts w:hint="eastAsia" w:ascii="宋体" w:hAnsi="宋体" w:cs="宋体"/>
          <w:b/>
          <w:bCs/>
          <w:color w:val="auto"/>
          <w:sz w:val="72"/>
          <w:szCs w:val="72"/>
          <w:highlight w:val="none"/>
        </w:rPr>
        <w:t>竞争性磋商文件</w:t>
      </w:r>
    </w:p>
    <w:p>
      <w:pPr>
        <w:spacing w:line="360" w:lineRule="auto"/>
        <w:jc w:val="center"/>
        <w:rPr>
          <w:rFonts w:ascii="宋体"/>
          <w:b/>
          <w:bCs/>
          <w:color w:val="auto"/>
          <w:sz w:val="24"/>
          <w:szCs w:val="24"/>
          <w:highlight w:val="none"/>
        </w:rPr>
      </w:pPr>
    </w:p>
    <w:p>
      <w:pPr>
        <w:snapToGrid w:val="0"/>
        <w:spacing w:line="360" w:lineRule="auto"/>
        <w:ind w:firstLine="2301" w:firstLineChars="767"/>
        <w:jc w:val="left"/>
        <w:rPr>
          <w:rFonts w:ascii="宋体"/>
          <w:color w:val="auto"/>
          <w:sz w:val="30"/>
          <w:szCs w:val="30"/>
          <w:highlight w:val="none"/>
          <w:u w:val="single"/>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u w:val="single"/>
        </w:rPr>
        <w:t>YK2022339</w:t>
      </w:r>
    </w:p>
    <w:p>
      <w:pPr>
        <w:snapToGrid w:val="0"/>
        <w:spacing w:line="360" w:lineRule="auto"/>
        <w:ind w:firstLine="2301" w:firstLineChars="767"/>
        <w:jc w:val="left"/>
        <w:rPr>
          <w:rFonts w:ascii="宋体"/>
          <w:color w:val="auto"/>
          <w:sz w:val="30"/>
          <w:szCs w:val="30"/>
          <w:highlight w:val="none"/>
        </w:rPr>
      </w:pPr>
    </w:p>
    <w:p>
      <w:pPr>
        <w:spacing w:line="360" w:lineRule="auto"/>
        <w:rPr>
          <w:rFonts w:ascii="宋体"/>
          <w:color w:val="auto"/>
          <w:sz w:val="28"/>
          <w:szCs w:val="28"/>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napToGrid w:val="0"/>
        <w:spacing w:line="360" w:lineRule="auto"/>
        <w:ind w:firstLine="1500" w:firstLineChars="500"/>
        <w:rPr>
          <w:rFonts w:ascii="宋体"/>
          <w:color w:val="auto"/>
          <w:highlight w:val="none"/>
          <w:u w:val="single"/>
        </w:rPr>
      </w:pPr>
      <w:r>
        <w:rPr>
          <w:rFonts w:hint="eastAsia" w:ascii="宋体" w:hAnsi="宋体" w:cs="宋体"/>
          <w:color w:val="auto"/>
          <w:sz w:val="30"/>
          <w:szCs w:val="30"/>
          <w:highlight w:val="none"/>
        </w:rPr>
        <w:t>采</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购</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人：绍兴市自然资源和规划局上虞分局</w:t>
      </w:r>
    </w:p>
    <w:p>
      <w:pPr>
        <w:snapToGrid w:val="0"/>
        <w:spacing w:line="360" w:lineRule="auto"/>
        <w:ind w:firstLine="1500" w:firstLineChars="500"/>
        <w:rPr>
          <w:rFonts w:ascii="宋体"/>
          <w:color w:val="auto"/>
          <w:sz w:val="30"/>
          <w:szCs w:val="30"/>
          <w:highlight w:val="none"/>
        </w:rPr>
      </w:pPr>
      <w:r>
        <w:rPr>
          <w:rFonts w:hint="eastAsia" w:ascii="宋体" w:hAnsi="宋体" w:cs="宋体"/>
          <w:color w:val="auto"/>
          <w:sz w:val="30"/>
          <w:szCs w:val="30"/>
          <w:highlight w:val="none"/>
        </w:rPr>
        <w:t>采购代理机构：浙江宇康工程管理咨询有限公司</w:t>
      </w:r>
    </w:p>
    <w:p>
      <w:pPr>
        <w:jc w:val="center"/>
        <w:rPr>
          <w:rFonts w:ascii="宋体"/>
          <w:color w:val="auto"/>
          <w:sz w:val="30"/>
          <w:szCs w:val="30"/>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 w:val="30"/>
          <w:szCs w:val="30"/>
          <w:highlight w:val="none"/>
        </w:rPr>
        <w:t>二〇二二年</w:t>
      </w:r>
      <w:r>
        <w:rPr>
          <w:rFonts w:hint="eastAsia" w:ascii="宋体" w:hAnsi="宋体" w:cs="宋体"/>
          <w:color w:val="auto"/>
          <w:sz w:val="30"/>
          <w:szCs w:val="30"/>
          <w:highlight w:val="none"/>
          <w:lang w:val="en-US" w:eastAsia="zh-CN"/>
        </w:rPr>
        <w:t>九</w:t>
      </w:r>
      <w:r>
        <w:rPr>
          <w:rFonts w:hint="eastAsia" w:ascii="宋体" w:hAnsi="宋体" w:cs="宋体"/>
          <w:color w:val="auto"/>
          <w:sz w:val="30"/>
          <w:szCs w:val="30"/>
          <w:highlight w:val="none"/>
        </w:rPr>
        <w:t>月</w:t>
      </w: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目 录</w:t>
      </w:r>
    </w:p>
    <w:p>
      <w:pPr>
        <w:pStyle w:val="20"/>
        <w:tabs>
          <w:tab w:val="right" w:leader="dot" w:pos="8306"/>
        </w:tabs>
        <w:spacing w:line="360" w:lineRule="auto"/>
        <w:rPr>
          <w:color w:val="auto"/>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"1-3" \h \u </w:instrText>
      </w:r>
      <w:r>
        <w:rPr>
          <w:rFonts w:hint="eastAsia" w:ascii="宋体" w:hAnsi="宋体" w:cs="宋体"/>
          <w:color w:val="auto"/>
          <w:sz w:val="28"/>
          <w:szCs w:val="28"/>
          <w:highlight w:val="none"/>
        </w:rPr>
        <w:fldChar w:fldCharType="separate"/>
      </w:r>
      <w:r>
        <w:rPr>
          <w:color w:val="auto"/>
          <w:highlight w:val="none"/>
        </w:rPr>
        <w:fldChar w:fldCharType="begin"/>
      </w:r>
      <w:r>
        <w:rPr>
          <w:color w:val="auto"/>
          <w:highlight w:val="none"/>
        </w:rPr>
        <w:instrText xml:space="preserve"> HYPERLINK \l "_Toc1578" </w:instrText>
      </w:r>
      <w:r>
        <w:rPr>
          <w:color w:val="auto"/>
          <w:highlight w:val="none"/>
        </w:rPr>
        <w:fldChar w:fldCharType="separate"/>
      </w:r>
      <w:r>
        <w:rPr>
          <w:rFonts w:hint="eastAsia" w:cs="宋体"/>
          <w:color w:val="auto"/>
          <w:szCs w:val="36"/>
          <w:highlight w:val="none"/>
        </w:rPr>
        <w:t>第一部分</w:t>
      </w:r>
      <w:r>
        <w:rPr>
          <w:color w:val="auto"/>
          <w:szCs w:val="36"/>
          <w:highlight w:val="none"/>
        </w:rPr>
        <w:t xml:space="preserve"> </w:t>
      </w:r>
      <w:r>
        <w:rPr>
          <w:rFonts w:hint="eastAsia" w:cs="宋体"/>
          <w:color w:val="auto"/>
          <w:szCs w:val="36"/>
          <w:highlight w:val="none"/>
        </w:rPr>
        <w:t>磋商公告</w:t>
      </w:r>
      <w:r>
        <w:rPr>
          <w:color w:val="auto"/>
          <w:highlight w:val="none"/>
        </w:rPr>
        <w:tab/>
      </w:r>
      <w:r>
        <w:rPr>
          <w:color w:val="auto"/>
          <w:highlight w:val="none"/>
        </w:rPr>
        <w:fldChar w:fldCharType="begin"/>
      </w:r>
      <w:r>
        <w:rPr>
          <w:color w:val="auto"/>
          <w:highlight w:val="none"/>
        </w:rPr>
        <w:instrText xml:space="preserve"> PAGEREF _Toc1578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0"/>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"_Toc18335" </w:instrText>
      </w:r>
      <w:r>
        <w:rPr>
          <w:color w:val="auto"/>
          <w:highlight w:val="none"/>
        </w:rPr>
        <w:fldChar w:fldCharType="separate"/>
      </w:r>
      <w:r>
        <w:rPr>
          <w:rFonts w:hint="eastAsia" w:cs="宋体"/>
          <w:color w:val="auto"/>
          <w:szCs w:val="36"/>
          <w:highlight w:val="none"/>
        </w:rPr>
        <w:t>第二部分</w:t>
      </w:r>
      <w:r>
        <w:rPr>
          <w:color w:val="auto"/>
          <w:szCs w:val="36"/>
          <w:highlight w:val="none"/>
        </w:rPr>
        <w:t xml:space="preserve"> </w:t>
      </w:r>
      <w:r>
        <w:rPr>
          <w:rFonts w:hint="eastAsia" w:cs="宋体"/>
          <w:color w:val="auto"/>
          <w:szCs w:val="36"/>
          <w:highlight w:val="none"/>
        </w:rPr>
        <w:t>供应商须知</w:t>
      </w:r>
      <w:r>
        <w:rPr>
          <w:color w:val="auto"/>
          <w:highlight w:val="none"/>
        </w:rPr>
        <w:tab/>
      </w:r>
      <w:r>
        <w:rPr>
          <w:color w:val="auto"/>
          <w:highlight w:val="none"/>
        </w:rPr>
        <w:fldChar w:fldCharType="begin"/>
      </w:r>
      <w:r>
        <w:rPr>
          <w:color w:val="auto"/>
          <w:highlight w:val="none"/>
        </w:rPr>
        <w:instrText xml:space="preserve"> PAGEREF _Toc18335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"_Toc20645" </w:instrText>
      </w:r>
      <w:r>
        <w:rPr>
          <w:color w:val="auto"/>
          <w:highlight w:val="none"/>
        </w:rPr>
        <w:fldChar w:fldCharType="separate"/>
      </w:r>
      <w:r>
        <w:rPr>
          <w:rFonts w:hint="eastAsia" w:hAnsi="宋体"/>
          <w:color w:val="auto"/>
          <w:highlight w:val="none"/>
        </w:rPr>
        <w:t>一、 总则</w:t>
      </w:r>
      <w:r>
        <w:rPr>
          <w:color w:val="auto"/>
          <w:highlight w:val="none"/>
        </w:rPr>
        <w:tab/>
      </w:r>
      <w:r>
        <w:rPr>
          <w:color w:val="auto"/>
          <w:highlight w:val="none"/>
        </w:rPr>
        <w:fldChar w:fldCharType="begin"/>
      </w:r>
      <w:r>
        <w:rPr>
          <w:color w:val="auto"/>
          <w:highlight w:val="none"/>
        </w:rPr>
        <w:instrText xml:space="preserve"> PAGEREF _Toc20645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"_Toc7247" </w:instrText>
      </w:r>
      <w:r>
        <w:rPr>
          <w:color w:val="auto"/>
          <w:highlight w:val="none"/>
        </w:rPr>
        <w:fldChar w:fldCharType="separate"/>
      </w:r>
      <w:r>
        <w:rPr>
          <w:rFonts w:hint="eastAsia"/>
          <w:color w:val="auto"/>
          <w:highlight w:val="none"/>
        </w:rPr>
        <w:t>二、 竞争性磋商文件</w:t>
      </w:r>
      <w:r>
        <w:rPr>
          <w:color w:val="auto"/>
          <w:highlight w:val="none"/>
        </w:rPr>
        <w:tab/>
      </w:r>
      <w:r>
        <w:rPr>
          <w:color w:val="auto"/>
          <w:highlight w:val="none"/>
        </w:rPr>
        <w:fldChar w:fldCharType="begin"/>
      </w:r>
      <w:r>
        <w:rPr>
          <w:color w:val="auto"/>
          <w:highlight w:val="none"/>
        </w:rPr>
        <w:instrText xml:space="preserve"> PAGEREF _Toc7247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"_Toc22607" </w:instrText>
      </w:r>
      <w:r>
        <w:rPr>
          <w:color w:val="auto"/>
          <w:highlight w:val="none"/>
        </w:rPr>
        <w:fldChar w:fldCharType="separate"/>
      </w:r>
      <w:r>
        <w:rPr>
          <w:rFonts w:hint="eastAsia"/>
          <w:color w:val="auto"/>
          <w:highlight w:val="none"/>
        </w:rPr>
        <w:t>三、 竞争性磋商响应文件的编写</w:t>
      </w:r>
      <w:r>
        <w:rPr>
          <w:color w:val="auto"/>
          <w:highlight w:val="none"/>
        </w:rPr>
        <w:tab/>
      </w:r>
      <w:r>
        <w:rPr>
          <w:color w:val="auto"/>
          <w:highlight w:val="none"/>
        </w:rPr>
        <w:fldChar w:fldCharType="begin"/>
      </w:r>
      <w:r>
        <w:rPr>
          <w:color w:val="auto"/>
          <w:highlight w:val="none"/>
        </w:rPr>
        <w:instrText xml:space="preserve"> PAGEREF _Toc22607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"_Toc3525" </w:instrText>
      </w:r>
      <w:r>
        <w:rPr>
          <w:color w:val="auto"/>
          <w:highlight w:val="none"/>
        </w:rPr>
        <w:fldChar w:fldCharType="separate"/>
      </w:r>
      <w:r>
        <w:rPr>
          <w:rFonts w:hint="eastAsia"/>
          <w:color w:val="auto"/>
          <w:highlight w:val="none"/>
        </w:rPr>
        <w:t>四、 响应文件的递交</w:t>
      </w:r>
      <w:r>
        <w:rPr>
          <w:color w:val="auto"/>
          <w:highlight w:val="none"/>
        </w:rPr>
        <w:tab/>
      </w:r>
      <w:r>
        <w:rPr>
          <w:color w:val="auto"/>
          <w:highlight w:val="none"/>
        </w:rPr>
        <w:fldChar w:fldCharType="begin"/>
      </w:r>
      <w:r>
        <w:rPr>
          <w:color w:val="auto"/>
          <w:highlight w:val="none"/>
        </w:rPr>
        <w:instrText xml:space="preserve"> PAGEREF _Toc3525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"_Toc7608" </w:instrText>
      </w:r>
      <w:r>
        <w:rPr>
          <w:color w:val="auto"/>
          <w:highlight w:val="none"/>
        </w:rPr>
        <w:fldChar w:fldCharType="separate"/>
      </w:r>
      <w:r>
        <w:rPr>
          <w:rFonts w:hint="eastAsia" w:hAnsi="宋体"/>
          <w:color w:val="auto"/>
          <w:highlight w:val="none"/>
        </w:rPr>
        <w:t xml:space="preserve">五、 </w:t>
      </w:r>
      <w:r>
        <w:rPr>
          <w:rFonts w:hint="eastAsia"/>
          <w:color w:val="auto"/>
          <w:highlight w:val="none"/>
        </w:rPr>
        <w:t>磋商无效的情形</w:t>
      </w:r>
      <w:r>
        <w:rPr>
          <w:color w:val="auto"/>
          <w:highlight w:val="none"/>
        </w:rPr>
        <w:tab/>
      </w:r>
      <w:r>
        <w:rPr>
          <w:color w:val="auto"/>
          <w:highlight w:val="none"/>
        </w:rPr>
        <w:fldChar w:fldCharType="begin"/>
      </w:r>
      <w:r>
        <w:rPr>
          <w:color w:val="auto"/>
          <w:highlight w:val="none"/>
        </w:rPr>
        <w:instrText xml:space="preserve"> PAGEREF _Toc7608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"_Toc22222" </w:instrText>
      </w:r>
      <w:r>
        <w:rPr>
          <w:color w:val="auto"/>
          <w:highlight w:val="none"/>
        </w:rPr>
        <w:fldChar w:fldCharType="separate"/>
      </w:r>
      <w:r>
        <w:rPr>
          <w:rFonts w:hint="eastAsia"/>
          <w:color w:val="auto"/>
          <w:highlight w:val="none"/>
        </w:rPr>
        <w:t>六、 采购中止的情形</w:t>
      </w:r>
      <w:r>
        <w:rPr>
          <w:color w:val="auto"/>
          <w:highlight w:val="none"/>
        </w:rPr>
        <w:tab/>
      </w:r>
      <w:r>
        <w:rPr>
          <w:color w:val="auto"/>
          <w:highlight w:val="none"/>
        </w:rPr>
        <w:fldChar w:fldCharType="begin"/>
      </w:r>
      <w:r>
        <w:rPr>
          <w:color w:val="auto"/>
          <w:highlight w:val="none"/>
        </w:rPr>
        <w:instrText xml:space="preserve"> PAGEREF _Toc22222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"_Toc17136" </w:instrText>
      </w:r>
      <w:r>
        <w:rPr>
          <w:color w:val="auto"/>
          <w:highlight w:val="none"/>
        </w:rPr>
        <w:fldChar w:fldCharType="separate"/>
      </w:r>
      <w:r>
        <w:rPr>
          <w:rFonts w:hint="eastAsia"/>
          <w:color w:val="auto"/>
          <w:highlight w:val="none"/>
        </w:rPr>
        <w:t>七、 确定成交供应商与签订合同</w:t>
      </w:r>
      <w:r>
        <w:rPr>
          <w:color w:val="auto"/>
          <w:highlight w:val="none"/>
        </w:rPr>
        <w:tab/>
      </w:r>
      <w:r>
        <w:rPr>
          <w:color w:val="auto"/>
          <w:highlight w:val="none"/>
        </w:rPr>
        <w:fldChar w:fldCharType="begin"/>
      </w:r>
      <w:r>
        <w:rPr>
          <w:color w:val="auto"/>
          <w:highlight w:val="none"/>
        </w:rPr>
        <w:instrText xml:space="preserve"> PAGEREF _Toc17136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0"/>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"_Toc463" </w:instrText>
      </w:r>
      <w:r>
        <w:rPr>
          <w:color w:val="auto"/>
          <w:highlight w:val="none"/>
        </w:rPr>
        <w:fldChar w:fldCharType="separate"/>
      </w:r>
      <w:r>
        <w:rPr>
          <w:rFonts w:hint="eastAsia"/>
          <w:color w:val="auto"/>
          <w:szCs w:val="36"/>
          <w:highlight w:val="none"/>
        </w:rPr>
        <w:t xml:space="preserve">第三部分 </w:t>
      </w:r>
      <w:r>
        <w:rPr>
          <w:rFonts w:hint="eastAsia" w:cs="宋体"/>
          <w:color w:val="auto"/>
          <w:szCs w:val="36"/>
          <w:highlight w:val="none"/>
        </w:rPr>
        <w:t>采购内容及要求</w:t>
      </w:r>
      <w:r>
        <w:rPr>
          <w:color w:val="auto"/>
          <w:highlight w:val="none"/>
        </w:rPr>
        <w:tab/>
      </w:r>
      <w:r>
        <w:rPr>
          <w:color w:val="auto"/>
          <w:highlight w:val="none"/>
        </w:rPr>
        <w:fldChar w:fldCharType="begin"/>
      </w:r>
      <w:r>
        <w:rPr>
          <w:color w:val="auto"/>
          <w:highlight w:val="none"/>
        </w:rPr>
        <w:instrText xml:space="preserve"> PAGEREF _Toc463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"_Toc7953" </w:instrText>
      </w:r>
      <w:r>
        <w:rPr>
          <w:color w:val="auto"/>
          <w:highlight w:val="none"/>
        </w:rPr>
        <w:fldChar w:fldCharType="separate"/>
      </w:r>
      <w:r>
        <w:rPr>
          <w:rFonts w:hint="eastAsia"/>
          <w:color w:val="auto"/>
          <w:highlight w:val="none"/>
        </w:rPr>
        <w:t>第一章 采购内容及要求</w:t>
      </w:r>
      <w:r>
        <w:rPr>
          <w:color w:val="auto"/>
          <w:highlight w:val="none"/>
        </w:rPr>
        <w:tab/>
      </w:r>
      <w:r>
        <w:rPr>
          <w:color w:val="auto"/>
          <w:highlight w:val="none"/>
        </w:rPr>
        <w:fldChar w:fldCharType="begin"/>
      </w:r>
      <w:r>
        <w:rPr>
          <w:color w:val="auto"/>
          <w:highlight w:val="none"/>
        </w:rPr>
        <w:instrText xml:space="preserve"> PAGEREF _Toc7953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"_Toc20123" </w:instrText>
      </w:r>
      <w:r>
        <w:rPr>
          <w:color w:val="auto"/>
          <w:highlight w:val="none"/>
        </w:rPr>
        <w:fldChar w:fldCharType="separate"/>
      </w:r>
      <w:r>
        <w:rPr>
          <w:rFonts w:hint="eastAsia"/>
          <w:color w:val="auto"/>
          <w:highlight w:val="none"/>
        </w:rPr>
        <w:t>第二章 付款方式及要求</w:t>
      </w:r>
      <w:r>
        <w:rPr>
          <w:color w:val="auto"/>
          <w:highlight w:val="none"/>
        </w:rPr>
        <w:tab/>
      </w:r>
      <w:r>
        <w:rPr>
          <w:color w:val="auto"/>
          <w:highlight w:val="none"/>
        </w:rPr>
        <w:fldChar w:fldCharType="begin"/>
      </w:r>
      <w:r>
        <w:rPr>
          <w:color w:val="auto"/>
          <w:highlight w:val="none"/>
        </w:rPr>
        <w:instrText xml:space="preserve"> PAGEREF _Toc20123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20"/>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"_Toc11073" </w:instrText>
      </w:r>
      <w:r>
        <w:rPr>
          <w:color w:val="auto"/>
          <w:highlight w:val="none"/>
        </w:rPr>
        <w:fldChar w:fldCharType="separate"/>
      </w:r>
      <w:r>
        <w:rPr>
          <w:rFonts w:hint="eastAsia" w:cs="宋体"/>
          <w:color w:val="auto"/>
          <w:szCs w:val="36"/>
          <w:highlight w:val="none"/>
        </w:rPr>
        <w:t>第四部分 磋商原则及磋商方法</w:t>
      </w:r>
      <w:r>
        <w:rPr>
          <w:color w:val="auto"/>
          <w:highlight w:val="none"/>
        </w:rPr>
        <w:tab/>
      </w:r>
      <w:r>
        <w:rPr>
          <w:color w:val="auto"/>
          <w:highlight w:val="none"/>
        </w:rPr>
        <w:fldChar w:fldCharType="begin"/>
      </w:r>
      <w:r>
        <w:rPr>
          <w:color w:val="auto"/>
          <w:highlight w:val="none"/>
        </w:rPr>
        <w:instrText xml:space="preserve"> PAGEREF _Toc11073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"_Toc4080" </w:instrText>
      </w:r>
      <w:r>
        <w:rPr>
          <w:color w:val="auto"/>
          <w:highlight w:val="none"/>
        </w:rPr>
        <w:fldChar w:fldCharType="separate"/>
      </w:r>
      <w:r>
        <w:rPr>
          <w:rFonts w:hint="eastAsia"/>
          <w:color w:val="auto"/>
          <w:highlight w:val="none"/>
        </w:rPr>
        <w:t>一、 磋商原则</w:t>
      </w:r>
      <w:r>
        <w:rPr>
          <w:color w:val="auto"/>
          <w:highlight w:val="none"/>
        </w:rPr>
        <w:tab/>
      </w:r>
      <w:r>
        <w:rPr>
          <w:color w:val="auto"/>
          <w:highlight w:val="none"/>
        </w:rPr>
        <w:fldChar w:fldCharType="begin"/>
      </w:r>
      <w:r>
        <w:rPr>
          <w:color w:val="auto"/>
          <w:highlight w:val="none"/>
        </w:rPr>
        <w:instrText xml:space="preserve"> PAGEREF _Toc4080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"_Toc31914" </w:instrText>
      </w:r>
      <w:r>
        <w:rPr>
          <w:color w:val="auto"/>
          <w:highlight w:val="none"/>
        </w:rPr>
        <w:fldChar w:fldCharType="separate"/>
      </w:r>
      <w:r>
        <w:rPr>
          <w:rFonts w:hint="eastAsia"/>
          <w:color w:val="auto"/>
          <w:highlight w:val="none"/>
        </w:rPr>
        <w:t>二、 磋商程序</w:t>
      </w:r>
      <w:r>
        <w:rPr>
          <w:color w:val="auto"/>
          <w:highlight w:val="none"/>
        </w:rPr>
        <w:tab/>
      </w:r>
      <w:r>
        <w:rPr>
          <w:color w:val="auto"/>
          <w:highlight w:val="none"/>
        </w:rPr>
        <w:fldChar w:fldCharType="begin"/>
      </w:r>
      <w:r>
        <w:rPr>
          <w:color w:val="auto"/>
          <w:highlight w:val="none"/>
        </w:rPr>
        <w:instrText xml:space="preserve"> PAGEREF _Toc31914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"_Toc1559" </w:instrText>
      </w:r>
      <w:r>
        <w:rPr>
          <w:color w:val="auto"/>
          <w:highlight w:val="none"/>
        </w:rPr>
        <w:fldChar w:fldCharType="separate"/>
      </w:r>
      <w:r>
        <w:rPr>
          <w:rFonts w:hint="eastAsia"/>
          <w:color w:val="auto"/>
          <w:highlight w:val="none"/>
        </w:rPr>
        <w:t>三、 注意事项</w:t>
      </w:r>
      <w:r>
        <w:rPr>
          <w:color w:val="auto"/>
          <w:highlight w:val="none"/>
        </w:rPr>
        <w:tab/>
      </w:r>
      <w:r>
        <w:rPr>
          <w:color w:val="auto"/>
          <w:highlight w:val="none"/>
        </w:rPr>
        <w:fldChar w:fldCharType="begin"/>
      </w:r>
      <w:r>
        <w:rPr>
          <w:color w:val="auto"/>
          <w:highlight w:val="none"/>
        </w:rPr>
        <w:instrText xml:space="preserve"> PAGEREF _Toc1559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2"/>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"_Toc23345" </w:instrText>
      </w:r>
      <w:r>
        <w:rPr>
          <w:color w:val="auto"/>
          <w:highlight w:val="none"/>
        </w:rPr>
        <w:fldChar w:fldCharType="separate"/>
      </w:r>
      <w:r>
        <w:rPr>
          <w:rFonts w:hint="eastAsia"/>
          <w:color w:val="auto"/>
          <w:highlight w:val="none"/>
        </w:rPr>
        <w:t>四、 评分细则</w:t>
      </w:r>
      <w:r>
        <w:rPr>
          <w:color w:val="auto"/>
          <w:highlight w:val="none"/>
        </w:rPr>
        <w:tab/>
      </w:r>
      <w:r>
        <w:rPr>
          <w:color w:val="auto"/>
          <w:highlight w:val="none"/>
        </w:rPr>
        <w:fldChar w:fldCharType="begin"/>
      </w:r>
      <w:r>
        <w:rPr>
          <w:color w:val="auto"/>
          <w:highlight w:val="none"/>
        </w:rPr>
        <w:instrText xml:space="preserve"> PAGEREF _Toc23345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0"/>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"_Toc10034" </w:instrText>
      </w:r>
      <w:r>
        <w:rPr>
          <w:color w:val="auto"/>
          <w:highlight w:val="none"/>
        </w:rPr>
        <w:fldChar w:fldCharType="separate"/>
      </w:r>
      <w:r>
        <w:rPr>
          <w:rFonts w:hint="eastAsia" w:cs="宋体"/>
          <w:color w:val="auto"/>
          <w:szCs w:val="36"/>
          <w:highlight w:val="none"/>
        </w:rPr>
        <w:t>第五部分</w:t>
      </w:r>
      <w:r>
        <w:rPr>
          <w:color w:val="auto"/>
          <w:szCs w:val="36"/>
          <w:highlight w:val="none"/>
        </w:rPr>
        <w:t xml:space="preserve"> </w:t>
      </w:r>
      <w:r>
        <w:rPr>
          <w:rFonts w:hint="eastAsia" w:cs="宋体"/>
          <w:color w:val="auto"/>
          <w:szCs w:val="36"/>
          <w:highlight w:val="none"/>
        </w:rPr>
        <w:t>采购合同</w:t>
      </w:r>
      <w:r>
        <w:rPr>
          <w:color w:val="auto"/>
          <w:highlight w:val="none"/>
        </w:rPr>
        <w:tab/>
      </w:r>
      <w:r>
        <w:rPr>
          <w:color w:val="auto"/>
          <w:highlight w:val="none"/>
        </w:rPr>
        <w:fldChar w:fldCharType="begin"/>
      </w:r>
      <w:r>
        <w:rPr>
          <w:color w:val="auto"/>
          <w:highlight w:val="none"/>
        </w:rPr>
        <w:instrText xml:space="preserve"> PAGEREF _Toc10034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20"/>
        <w:tabs>
          <w:tab w:val="right" w:leader="dot" w:pos="8306"/>
        </w:tabs>
        <w:spacing w:line="360" w:lineRule="auto"/>
        <w:rPr>
          <w:color w:val="auto"/>
          <w:highlight w:val="none"/>
        </w:rPr>
      </w:pPr>
      <w:r>
        <w:rPr>
          <w:color w:val="auto"/>
          <w:highlight w:val="none"/>
        </w:rPr>
        <w:fldChar w:fldCharType="begin"/>
      </w:r>
      <w:r>
        <w:rPr>
          <w:color w:val="auto"/>
          <w:highlight w:val="none"/>
        </w:rPr>
        <w:instrText xml:space="preserve"> HYPERLINK \l "_Toc17144" </w:instrText>
      </w:r>
      <w:r>
        <w:rPr>
          <w:color w:val="auto"/>
          <w:highlight w:val="none"/>
        </w:rPr>
        <w:fldChar w:fldCharType="separate"/>
      </w:r>
      <w:r>
        <w:rPr>
          <w:rFonts w:hint="eastAsia" w:cs="宋体"/>
          <w:color w:val="auto"/>
          <w:szCs w:val="36"/>
          <w:highlight w:val="none"/>
        </w:rPr>
        <w:t>第六部分</w:t>
      </w:r>
      <w:r>
        <w:rPr>
          <w:color w:val="auto"/>
          <w:szCs w:val="36"/>
          <w:highlight w:val="none"/>
        </w:rPr>
        <w:t xml:space="preserve"> </w:t>
      </w:r>
      <w:r>
        <w:rPr>
          <w:rFonts w:hint="eastAsia" w:cs="宋体"/>
          <w:color w:val="auto"/>
          <w:szCs w:val="36"/>
          <w:highlight w:val="none"/>
        </w:rPr>
        <w:t>应提交的有关格式范例</w:t>
      </w:r>
      <w:r>
        <w:rPr>
          <w:color w:val="auto"/>
          <w:highlight w:val="none"/>
        </w:rPr>
        <w:tab/>
      </w:r>
      <w:r>
        <w:rPr>
          <w:color w:val="auto"/>
          <w:highlight w:val="none"/>
        </w:rPr>
        <w:fldChar w:fldCharType="begin"/>
      </w:r>
      <w:r>
        <w:rPr>
          <w:color w:val="auto"/>
          <w:highlight w:val="none"/>
        </w:rPr>
        <w:instrText xml:space="preserve"> PAGEREF _Toc17144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2"/>
        <w:spacing w:line="360" w:lineRule="auto"/>
        <w:rPr>
          <w:color w:val="auto"/>
          <w:highlight w:val="none"/>
        </w:rPr>
      </w:pPr>
      <w:r>
        <w:rPr>
          <w:rFonts w:hint="eastAsia" w:hAnsi="宋体"/>
          <w:color w:val="auto"/>
          <w:highlight w:val="none"/>
        </w:rPr>
        <w:fldChar w:fldCharType="end"/>
      </w:r>
    </w:p>
    <w:p>
      <w:pPr>
        <w:rPr>
          <w:color w:val="auto"/>
          <w:highlight w:val="none"/>
        </w:rPr>
      </w:pPr>
    </w:p>
    <w:p>
      <w:pPr>
        <w:rPr>
          <w:color w:val="auto"/>
          <w:highlight w:val="none"/>
        </w:rPr>
      </w:pPr>
    </w:p>
    <w:p>
      <w:pPr>
        <w:tabs>
          <w:tab w:val="left" w:pos="3148"/>
        </w:tabs>
        <w:jc w:val="left"/>
        <w:rPr>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color w:val="auto"/>
          <w:highlight w:val="none"/>
        </w:rPr>
        <w:tab/>
      </w:r>
    </w:p>
    <w:p>
      <w:pPr>
        <w:pStyle w:val="4"/>
        <w:jc w:val="center"/>
        <w:rPr>
          <w:rFonts w:ascii="宋体" w:cs="Times New Roman"/>
          <w:color w:val="auto"/>
          <w:highlight w:val="none"/>
        </w:rPr>
      </w:pPr>
      <w:bookmarkStart w:id="0" w:name="_Toc32199"/>
      <w:bookmarkStart w:id="1" w:name="_Toc31034"/>
      <w:bookmarkStart w:id="2" w:name="_Toc1578"/>
      <w:bookmarkStart w:id="3" w:name="第二部分"/>
      <w:bookmarkStart w:id="4" w:name="_Toc91899870"/>
      <w:r>
        <w:rPr>
          <w:rFonts w:hint="eastAsia" w:cs="宋体"/>
          <w:color w:val="auto"/>
          <w:sz w:val="36"/>
          <w:szCs w:val="36"/>
          <w:highlight w:val="none"/>
        </w:rPr>
        <w:t>第一部分</w:t>
      </w:r>
      <w:r>
        <w:rPr>
          <w:color w:val="auto"/>
          <w:sz w:val="36"/>
          <w:szCs w:val="36"/>
          <w:highlight w:val="none"/>
        </w:rPr>
        <w:t xml:space="preserve"> </w:t>
      </w:r>
      <w:r>
        <w:rPr>
          <w:rFonts w:hint="eastAsia" w:cs="宋体"/>
          <w:color w:val="auto"/>
          <w:sz w:val="36"/>
          <w:szCs w:val="36"/>
          <w:highlight w:val="none"/>
        </w:rPr>
        <w:t>磋商公告</w:t>
      </w:r>
      <w:bookmarkEnd w:id="0"/>
      <w:bookmarkEnd w:id="1"/>
      <w:bookmarkEnd w:id="2"/>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浙江宇康工程管理咨询有限公司关于绍兴市自然资源和规划局上虞分局上虞区地下水监测井建设工程项目的竞争性磋商公告</w:t>
      </w:r>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公告日期：</w:t>
      </w:r>
      <w:r>
        <w:rPr>
          <w:rFonts w:ascii="宋体" w:hAnsi="宋体" w:cs="宋体"/>
          <w:color w:val="auto"/>
          <w:sz w:val="28"/>
          <w:szCs w:val="28"/>
          <w:highlight w:val="none"/>
        </w:rPr>
        <w:t>20</w:t>
      </w:r>
      <w:r>
        <w:rPr>
          <w:rFonts w:hint="eastAsia" w:ascii="宋体" w:hAnsi="宋体" w:cs="宋体"/>
          <w:color w:val="auto"/>
          <w:sz w:val="28"/>
          <w:szCs w:val="28"/>
          <w:highlight w:val="none"/>
        </w:rPr>
        <w:t>22年</w:t>
      </w:r>
      <w:r>
        <w:rPr>
          <w:rFonts w:hint="eastAsia" w:ascii="宋体" w:hAnsi="宋体" w:cs="宋体"/>
          <w:color w:val="auto"/>
          <w:sz w:val="28"/>
          <w:szCs w:val="28"/>
          <w:highlight w:val="none"/>
          <w:lang w:val="en-US" w:eastAsia="zh-CN"/>
        </w:rPr>
        <w:t>9</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24</w:t>
      </w:r>
      <w:r>
        <w:rPr>
          <w:rFonts w:hint="eastAsia" w:ascii="宋体" w:hAnsi="宋体" w:cs="宋体"/>
          <w:color w:val="auto"/>
          <w:sz w:val="28"/>
          <w:szCs w:val="28"/>
          <w:highlight w:val="none"/>
        </w:rPr>
        <w:t>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根据《中华人民共和国政府采购法》等有关规定，</w:t>
      </w:r>
      <w:r>
        <w:rPr>
          <w:rFonts w:hint="eastAsia" w:ascii="宋体" w:hAnsi="宋体" w:cs="宋体"/>
          <w:color w:val="auto"/>
          <w:sz w:val="24"/>
          <w:szCs w:val="24"/>
          <w:highlight w:val="none"/>
          <w:u w:val="single"/>
        </w:rPr>
        <w:t>浙江宇康工程管理咨询有限公司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u w:val="single"/>
        </w:rPr>
        <w:t>绍兴市自然资源和规划局上虞分局</w:t>
      </w:r>
      <w:r>
        <w:rPr>
          <w:rFonts w:hint="eastAsia" w:ascii="宋体" w:hAnsi="宋体" w:cs="宋体"/>
          <w:color w:val="auto"/>
          <w:sz w:val="24"/>
          <w:szCs w:val="24"/>
          <w:highlight w:val="none"/>
        </w:rPr>
        <w:t>委托，现就</w:t>
      </w:r>
      <w:r>
        <w:rPr>
          <w:rFonts w:hint="eastAsia" w:ascii="宋体" w:hAnsi="宋体" w:cs="宋体"/>
          <w:color w:val="auto"/>
          <w:sz w:val="24"/>
          <w:szCs w:val="24"/>
          <w:highlight w:val="none"/>
          <w:u w:val="single"/>
        </w:rPr>
        <w:t>上虞区地下水监测井建设工程项目</w:t>
      </w:r>
      <w:r>
        <w:rPr>
          <w:rFonts w:hint="eastAsia" w:ascii="宋体" w:hAnsi="宋体" w:cs="宋体"/>
          <w:color w:val="auto"/>
          <w:sz w:val="24"/>
          <w:szCs w:val="24"/>
          <w:highlight w:val="none"/>
        </w:rPr>
        <w:t>进行竞争性磋商采购，欢迎国内合格的供应商参加本次采购活动。</w:t>
      </w:r>
    </w:p>
    <w:p>
      <w:pPr>
        <w:adjustRightInd w:val="0"/>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磋商项目编号：</w:t>
      </w:r>
      <w:r>
        <w:rPr>
          <w:rFonts w:hint="eastAsia" w:ascii="宋体" w:hAnsi="宋体" w:cs="宋体"/>
          <w:color w:val="auto"/>
          <w:sz w:val="24"/>
          <w:szCs w:val="24"/>
          <w:highlight w:val="none"/>
          <w:u w:val="single"/>
        </w:rPr>
        <w:t xml:space="preserve">YK2022339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采购组织类型：</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分散采购（中介代理）</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 xml:space="preserve">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三．</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磋商项目概况</w:t>
      </w:r>
      <w:r>
        <w:rPr>
          <w:rFonts w:ascii="宋体" w:hAnsi="宋体" w:cs="宋体"/>
          <w:color w:val="auto"/>
          <w:sz w:val="24"/>
          <w:szCs w:val="24"/>
          <w:highlight w:val="none"/>
        </w:rPr>
        <w:t>:</w:t>
      </w:r>
    </w:p>
    <w:tbl>
      <w:tblPr>
        <w:tblStyle w:val="27"/>
        <w:tblW w:w="8661"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69"/>
        <w:gridCol w:w="1609"/>
        <w:gridCol w:w="495"/>
        <w:gridCol w:w="525"/>
        <w:gridCol w:w="1215"/>
        <w:gridCol w:w="2670"/>
        <w:gridCol w:w="1211"/>
        <w:gridCol w:w="467"/>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469"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609"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项目名称</w:t>
            </w:r>
          </w:p>
        </w:tc>
        <w:tc>
          <w:tcPr>
            <w:tcW w:w="495"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数量</w:t>
            </w:r>
          </w:p>
        </w:tc>
        <w:tc>
          <w:tcPr>
            <w:tcW w:w="525"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单位</w:t>
            </w:r>
          </w:p>
        </w:tc>
        <w:tc>
          <w:tcPr>
            <w:tcW w:w="1215"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预算金额</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2670"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简要规格描述或标项基本概况介绍</w:t>
            </w:r>
          </w:p>
        </w:tc>
        <w:tc>
          <w:tcPr>
            <w:tcW w:w="1211"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最高限价</w:t>
            </w:r>
            <w:r>
              <w:rPr>
                <w:rFonts w:ascii="宋体" w:hAnsi="宋体" w:cs="宋体"/>
                <w:color w:val="auto"/>
                <w:sz w:val="24"/>
                <w:szCs w:val="24"/>
                <w:highlight w:val="none"/>
              </w:rPr>
              <w:t>(</w:t>
            </w:r>
            <w:r>
              <w:rPr>
                <w:rFonts w:hint="eastAsia" w:ascii="宋体" w:hAnsi="宋体" w:cs="宋体"/>
                <w:color w:val="auto"/>
                <w:sz w:val="24"/>
                <w:szCs w:val="24"/>
                <w:highlight w:val="none"/>
              </w:rPr>
              <w:t>万元</w:t>
            </w:r>
            <w:r>
              <w:rPr>
                <w:rFonts w:ascii="宋体" w:hAnsi="宋体" w:cs="宋体"/>
                <w:color w:val="auto"/>
                <w:sz w:val="24"/>
                <w:szCs w:val="24"/>
                <w:highlight w:val="none"/>
              </w:rPr>
              <w:t>)</w:t>
            </w:r>
          </w:p>
        </w:tc>
        <w:tc>
          <w:tcPr>
            <w:tcW w:w="467" w:type="dxa"/>
            <w:tcBorders>
              <w:top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469"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ascii="宋体" w:hAnsi="宋体" w:cs="宋体"/>
                <w:color w:val="auto"/>
                <w:sz w:val="24"/>
                <w:szCs w:val="24"/>
                <w:highlight w:val="none"/>
              </w:rPr>
              <w:t>1</w:t>
            </w:r>
          </w:p>
        </w:tc>
        <w:tc>
          <w:tcPr>
            <w:tcW w:w="1609" w:type="dxa"/>
            <w:tcBorders>
              <w:bottom w:val="single" w:color="000000" w:sz="4" w:space="0"/>
            </w:tcBorders>
            <w:vAlign w:val="center"/>
          </w:tcPr>
          <w:p>
            <w:pPr>
              <w:pStyle w:val="15"/>
              <w:snapToGrid w:val="0"/>
              <w:spacing w:before="120" w:after="120"/>
              <w:jc w:val="center"/>
              <w:rPr>
                <w:rFonts w:hAnsi="宋体" w:cs="Times New Roman"/>
                <w:color w:val="auto"/>
                <w:sz w:val="24"/>
                <w:szCs w:val="24"/>
                <w:highlight w:val="none"/>
              </w:rPr>
            </w:pPr>
            <w:r>
              <w:rPr>
                <w:rFonts w:hint="eastAsia" w:hAnsi="宋体" w:cs="Times New Roman"/>
                <w:color w:val="auto"/>
                <w:sz w:val="24"/>
                <w:szCs w:val="24"/>
                <w:highlight w:val="none"/>
              </w:rPr>
              <w:t>上虞区地下水监测井建设工程项目</w:t>
            </w:r>
          </w:p>
        </w:tc>
        <w:tc>
          <w:tcPr>
            <w:tcW w:w="495"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ascii="宋体" w:hAnsi="宋体" w:cs="宋体"/>
                <w:color w:val="auto"/>
                <w:sz w:val="24"/>
                <w:szCs w:val="24"/>
                <w:highlight w:val="none"/>
              </w:rPr>
              <w:t>1</w:t>
            </w:r>
          </w:p>
        </w:tc>
        <w:tc>
          <w:tcPr>
            <w:tcW w:w="525"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sz w:val="24"/>
                <w:szCs w:val="24"/>
                <w:highlight w:val="none"/>
              </w:rPr>
              <w:t>项</w:t>
            </w:r>
          </w:p>
        </w:tc>
        <w:tc>
          <w:tcPr>
            <w:tcW w:w="1215" w:type="dxa"/>
            <w:tcBorders>
              <w:bottom w:val="single" w:color="000000" w:sz="4" w:space="0"/>
            </w:tcBorders>
            <w:vAlign w:val="center"/>
          </w:tcPr>
          <w:p>
            <w:pPr>
              <w:widowControl/>
              <w:spacing w:before="100" w:after="100" w:line="312" w:lineRule="auto"/>
              <w:jc w:val="center"/>
              <w:rPr>
                <w:rFonts w:ascii="宋体"/>
                <w:color w:val="auto"/>
                <w:sz w:val="24"/>
                <w:szCs w:val="24"/>
                <w:highlight w:val="none"/>
              </w:rPr>
            </w:pPr>
            <w:r>
              <w:rPr>
                <w:rFonts w:hint="eastAsia" w:ascii="宋体" w:hAnsi="宋体" w:cs="宋体"/>
                <w:color w:val="auto"/>
                <w:kern w:val="0"/>
                <w:sz w:val="24"/>
                <w:szCs w:val="24"/>
                <w:highlight w:val="none"/>
              </w:rPr>
              <w:t>50</w:t>
            </w:r>
          </w:p>
        </w:tc>
        <w:tc>
          <w:tcPr>
            <w:tcW w:w="2670" w:type="dxa"/>
            <w:tcBorders>
              <w:bottom w:val="single" w:color="000000" w:sz="4" w:space="0"/>
            </w:tcBorders>
            <w:vAlign w:val="center"/>
          </w:tcPr>
          <w:p>
            <w:pPr>
              <w:pStyle w:val="15"/>
              <w:snapToGrid w:val="0"/>
              <w:spacing w:before="120" w:after="120"/>
              <w:jc w:val="center"/>
              <w:rPr>
                <w:rFonts w:hAnsi="宋体" w:cs="Times New Roman"/>
                <w:color w:val="auto"/>
                <w:sz w:val="24"/>
                <w:szCs w:val="24"/>
                <w:highlight w:val="none"/>
              </w:rPr>
            </w:pPr>
            <w:r>
              <w:rPr>
                <w:rFonts w:hint="eastAsia" w:hAnsi="宋体" w:cs="Times New Roman"/>
                <w:color w:val="auto"/>
                <w:sz w:val="24"/>
                <w:szCs w:val="24"/>
                <w:highlight w:val="none"/>
              </w:rPr>
              <w:t>按照规划和年度方案任务，完成虞北地区2处地下水监测点建设。包含选点、钻井以及监测设备的采购安装。</w:t>
            </w:r>
          </w:p>
        </w:tc>
        <w:tc>
          <w:tcPr>
            <w:tcW w:w="1211"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hAnsi="宋体" w:cs="宋体"/>
                <w:color w:val="auto"/>
                <w:kern w:val="0"/>
                <w:sz w:val="24"/>
                <w:szCs w:val="24"/>
                <w:highlight w:val="none"/>
              </w:rPr>
              <w:t>50</w:t>
            </w:r>
          </w:p>
        </w:tc>
        <w:tc>
          <w:tcPr>
            <w:tcW w:w="467" w:type="dxa"/>
            <w:tcBorders>
              <w:bottom w:val="single" w:color="000000" w:sz="4" w:space="0"/>
            </w:tcBorders>
            <w:vAlign w:val="center"/>
          </w:tcPr>
          <w:p>
            <w:pPr>
              <w:adjustRightInd w:val="0"/>
              <w:spacing w:line="360" w:lineRule="auto"/>
              <w:jc w:val="center"/>
              <w:rPr>
                <w:rFonts w:ascii="宋体"/>
                <w:color w:val="auto"/>
                <w:sz w:val="24"/>
                <w:szCs w:val="24"/>
                <w:highlight w:val="none"/>
              </w:rPr>
            </w:pPr>
            <w:r>
              <w:rPr>
                <w:rFonts w:hint="eastAsia" w:ascii="宋体"/>
                <w:color w:val="auto"/>
                <w:sz w:val="24"/>
                <w:szCs w:val="24"/>
                <w:highlight w:val="none"/>
              </w:rPr>
              <w:t>/</w:t>
            </w:r>
          </w:p>
        </w:tc>
      </w:tr>
    </w:tbl>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四．</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合格供应商资格要求</w:t>
      </w:r>
      <w:r>
        <w:rPr>
          <w:rFonts w:ascii="宋体" w:hAnsi="宋体" w:cs="宋体"/>
          <w:color w:val="auto"/>
          <w:sz w:val="24"/>
          <w:szCs w:val="24"/>
          <w:highlight w:val="none"/>
        </w:rPr>
        <w:t>:</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符合政府采购法第二十二条，且未被“信用中国”（</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）列入失信被执行人、重大税收违法案件当事人名单、政府采购严重违法失信行为记录名单。</w:t>
      </w:r>
      <w:r>
        <w:rPr>
          <w:rFonts w:ascii="宋体"/>
          <w:color w:val="auto"/>
          <w:sz w:val="24"/>
          <w:szCs w:val="24"/>
          <w:highlight w:val="none"/>
        </w:rPr>
        <w:t> </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落实政府采购政策需满足的资格要求：供应商为中小企业/小微企业。</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color w:val="auto"/>
          <w:sz w:val="24"/>
          <w:szCs w:val="24"/>
          <w:highlight w:val="none"/>
        </w:rPr>
        <w:t>供应商具备地质灾害防治勘查甲级资质。</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w:t>
      </w:r>
      <w:r>
        <w:rPr>
          <w:rFonts w:hint="eastAsia" w:ascii="宋体" w:hAnsi="宋体" w:cs="宋体"/>
          <w:color w:val="auto"/>
          <w:sz w:val="24"/>
          <w:szCs w:val="24"/>
          <w:highlight w:val="none"/>
          <w:u w:val="single"/>
        </w:rPr>
        <w:t>不接受</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联合体参加磋商。</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本项目采用资格后审的审查方式，由磋商小组负责审查。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五．获取磋商文件</w:t>
      </w:r>
    </w:p>
    <w:p>
      <w:pPr>
        <w:numPr>
          <w:ilvl w:val="0"/>
          <w:numId w:val="3"/>
        </w:numPr>
        <w:adjustRightInd w:val="0"/>
        <w:spacing w:line="360" w:lineRule="auto"/>
        <w:ind w:firstLine="480" w:firstLineChars="200"/>
        <w:rPr>
          <w:rFonts w:ascii="宋体"/>
          <w:color w:val="auto"/>
          <w:sz w:val="24"/>
          <w:szCs w:val="24"/>
          <w:highlight w:val="none"/>
        </w:rPr>
      </w:pPr>
      <w:bookmarkStart w:id="5" w:name="报名开始时间1"/>
      <w:r>
        <w:rPr>
          <w:rFonts w:hint="eastAsia" w:ascii="宋体" w:hAnsi="宋体" w:cs="宋体"/>
          <w:color w:val="auto"/>
          <w:sz w:val="24"/>
          <w:szCs w:val="24"/>
          <w:highlight w:val="none"/>
        </w:rPr>
        <w:t>获取磋商文件时间</w:t>
      </w:r>
      <w:r>
        <w:rPr>
          <w:rFonts w:ascii="宋体" w:hAnsi="宋体" w:cs="宋体"/>
          <w:color w:val="auto"/>
          <w:sz w:val="24"/>
          <w:szCs w:val="24"/>
          <w:highlight w:val="none"/>
        </w:rPr>
        <w:t>:</w:t>
      </w:r>
      <w:bookmarkEnd w:id="5"/>
      <w:r>
        <w:rPr>
          <w:rFonts w:ascii="宋体" w:hAnsi="宋体" w:cs="宋体"/>
          <w:color w:val="auto"/>
          <w:sz w:val="24"/>
          <w:szCs w:val="24"/>
          <w:highlight w:val="none"/>
          <w:u w:val="single"/>
        </w:rPr>
        <w:t>20</w:t>
      </w:r>
      <w:r>
        <w:rPr>
          <w:rFonts w:hint="eastAsia" w:ascii="宋体" w:hAnsi="宋体" w:cs="宋体"/>
          <w:color w:val="auto"/>
          <w:sz w:val="24"/>
          <w:szCs w:val="24"/>
          <w:highlight w:val="none"/>
          <w:u w:val="single"/>
        </w:rPr>
        <w:t>22年</w:t>
      </w:r>
      <w:r>
        <w:rPr>
          <w:rFonts w:hint="eastAsia" w:ascii="宋体" w:hAnsi="宋体" w:cs="宋体"/>
          <w:color w:val="auto"/>
          <w:sz w:val="24"/>
          <w:szCs w:val="24"/>
          <w:highlight w:val="none"/>
          <w:u w:val="single"/>
          <w:lang w:val="en-US" w:eastAsia="zh-CN"/>
        </w:rPr>
        <w:t>10</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8</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u w:val="single"/>
        </w:rPr>
        <w:t>上午09</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之前获取。</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获取磋商文件方式：供应商登陆政采云平台</w:t>
      </w:r>
      <w:r>
        <w:rPr>
          <w:rFonts w:ascii="宋体" w:hAnsi="宋体" w:cs="宋体"/>
          <w:color w:val="auto"/>
          <w:sz w:val="24"/>
          <w:szCs w:val="24"/>
          <w:highlight w:val="none"/>
        </w:rPr>
        <w:t>http://www.zcygov.cn/</w:t>
      </w:r>
      <w:r>
        <w:rPr>
          <w:rFonts w:hint="eastAsia" w:ascii="宋体" w:hAnsi="宋体" w:cs="宋体"/>
          <w:color w:val="auto"/>
          <w:sz w:val="24"/>
          <w:szCs w:val="24"/>
          <w:highlight w:val="none"/>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提示：</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将拒绝接受未获取磋商文件供应商的响应文件。</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六．投标与开标注意事项：</w:t>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本项目实行</w:t>
      </w:r>
      <w:r>
        <w:rPr>
          <w:rFonts w:hint="eastAsia" w:ascii="宋体" w:hAnsi="宋体" w:cs="宋体"/>
          <w:b/>
          <w:bCs/>
          <w:color w:val="auto"/>
          <w:sz w:val="24"/>
          <w:szCs w:val="24"/>
          <w:highlight w:val="none"/>
        </w:rPr>
        <w:t>网上投标</w:t>
      </w:r>
      <w:r>
        <w:rPr>
          <w:rFonts w:hint="eastAsia" w:ascii="宋体" w:hAnsi="宋体" w:cs="宋体"/>
          <w:color w:val="auto"/>
          <w:sz w:val="24"/>
          <w:szCs w:val="24"/>
          <w:highlight w:val="none"/>
        </w:rPr>
        <w:t>，采用电子投标文件，若供应商参与投标，自行承担投标一切费用。</w:t>
      </w:r>
    </w:p>
    <w:p>
      <w:pPr>
        <w:numPr>
          <w:ilvl w:val="0"/>
          <w:numId w:val="5"/>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《CA管理学习专题》：</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https://edu.zcygov.cn/luban/ca?utm=web-government-front.380aac0a.0.0.fc2b6aa0b6e211ebbdb0dd007730dd44</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《CA驱动和申领流程》:</w:t>
      </w:r>
    </w:p>
    <w:p>
      <w:pPr>
        <w:adjustRightInd w:val="0"/>
        <w:spacing w:line="360" w:lineRule="auto"/>
        <w:ind w:left="42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hint="eastAsia" w:ascii="宋体" w:hAnsi="宋体" w:cs="宋体"/>
          <w:color w:val="auto"/>
          <w:sz w:val="24"/>
          <w:highlight w:val="none"/>
        </w:rPr>
        <w:t>http://zfcg.czt.zj.gov.cn/bidClientTemplate/2019-05-27/12945.html</w:t>
      </w:r>
      <w:r>
        <w:rPr>
          <w:rFonts w:hint="eastAsia" w:ascii="宋体" w:hAnsi="宋体" w:cs="宋体"/>
          <w:color w:val="auto"/>
          <w:sz w:val="24"/>
          <w:highlight w:val="none"/>
        </w:rPr>
        <w:fldChar w:fldCharType="end"/>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投标文件制作：</w:t>
      </w:r>
    </w:p>
    <w:p>
      <w:pPr>
        <w:numPr>
          <w:ilvl w:val="0"/>
          <w:numId w:val="6"/>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0"/>
          <w:numId w:val="6"/>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投标人通过“政采云”平台电子投标工具制作投标文件。</w:t>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《电子投标工具》：</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hint="eastAsia" w:ascii="宋体" w:hAnsi="宋体" w:cs="宋体"/>
          <w:color w:val="auto"/>
          <w:sz w:val="24"/>
          <w:szCs w:val="24"/>
          <w:highlight w:val="none"/>
        </w:rPr>
        <w:t>http://zfcg.czt.zj.gov.cn/bidClientTemplate/2019-09-24/12975.html</w:t>
      </w:r>
      <w:r>
        <w:rPr>
          <w:rFonts w:hint="eastAsia" w:ascii="宋体" w:hAnsi="宋体" w:cs="宋体"/>
          <w:color w:val="auto"/>
          <w:sz w:val="24"/>
          <w:szCs w:val="24"/>
          <w:highlight w:val="none"/>
        </w:rPr>
        <w:fldChar w:fldCharType="end"/>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《供应商-政府采购项目电子交易操作指南》：(需登录账号后查看)</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rFonts w:hint="eastAsia" w:ascii="宋体" w:hAnsi="宋体" w:cs="宋体"/>
          <w:color w:val="auto"/>
          <w:sz w:val="24"/>
          <w:szCs w:val="24"/>
          <w:highlight w:val="none"/>
        </w:rPr>
        <w:t>https://service.zcygov.cn/#/knowledges/tree?tag=AG1DtGwBFdiHxlNdhY0r</w:t>
      </w:r>
      <w:r>
        <w:rPr>
          <w:rFonts w:hint="eastAsia" w:ascii="宋体" w:hAnsi="宋体" w:cs="宋体"/>
          <w:color w:val="auto"/>
          <w:sz w:val="24"/>
          <w:szCs w:val="24"/>
          <w:highlight w:val="none"/>
        </w:rPr>
        <w:fldChar w:fldCharType="end"/>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4.供应商在法定质疑期内应一次性提出针对同一采购程序环节的质疑。否则质疑将不予受理。</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6.特别提醒</w:t>
      </w:r>
    </w:p>
    <w:p>
      <w:pPr>
        <w:numPr>
          <w:ilvl w:val="0"/>
          <w:numId w:val="7"/>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单位负责人为同一人或者存在直接控股、管理关系的不同供应商，不得参加同一合同项下的政府采购活动。</w:t>
      </w:r>
    </w:p>
    <w:p>
      <w:pPr>
        <w:numPr>
          <w:ilvl w:val="0"/>
          <w:numId w:val="7"/>
        </w:numPr>
        <w:wordWrap w:val="0"/>
        <w:adjustRightInd w:val="0"/>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除单一来源采购项目外，为采购项目提供整体设计、规范编制或者项目管理、监理、检测等服务的供应商，不得再参加该采购项目的其他采购活动。</w:t>
      </w:r>
    </w:p>
    <w:p>
      <w:pPr>
        <w:pStyle w:val="26"/>
        <w:rPr>
          <w:color w:val="auto"/>
          <w:highlight w:val="none"/>
        </w:rPr>
      </w:pPr>
      <w:r>
        <w:rPr>
          <w:rFonts w:hint="eastAsia"/>
          <w:color w:val="auto"/>
          <w:highlight w:val="none"/>
        </w:rPr>
        <w:t>7. 进入交易场所，需佩戴口罩、进行测温、查验绍兴场所码、行程码，并提供</w:t>
      </w:r>
      <w:r>
        <w:rPr>
          <w:rFonts w:hint="eastAsia"/>
          <w:color w:val="auto"/>
          <w:highlight w:val="none"/>
          <w:lang w:val="en-US" w:eastAsia="zh-CN"/>
        </w:rPr>
        <w:t>3</w:t>
      </w:r>
      <w:r>
        <w:rPr>
          <w:rFonts w:hint="eastAsia"/>
          <w:color w:val="auto"/>
          <w:highlight w:val="none"/>
        </w:rPr>
        <w:t>天内有效核酸检测阴性证明，行程卡带星号人员应提供48小时内核酸检测阴性证明方可入内。“绍兴场所码”扫码结果异常或体温异常人员禁止进入交易场所。（具体防疫要求以开标时间截止之日的绍兴市上虞区最新防疫政策为准）。</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七．磋商响应截止时间及要求：</w:t>
      </w:r>
      <w:r>
        <w:rPr>
          <w:rFonts w:ascii="宋体" w:hAnsi="宋体" w:cs="宋体"/>
          <w:color w:val="auto"/>
          <w:sz w:val="24"/>
          <w:szCs w:val="24"/>
          <w:highlight w:val="none"/>
          <w:u w:val="single"/>
        </w:rPr>
        <w:t xml:space="preserve"> 202</w:t>
      </w:r>
      <w:r>
        <w:rPr>
          <w:rFonts w:hint="eastAsia" w:ascii="宋体" w:hAnsi="宋体" w:cs="宋体"/>
          <w:color w:val="auto"/>
          <w:sz w:val="24"/>
          <w:szCs w:val="24"/>
          <w:highlight w:val="none"/>
          <w:u w:val="single"/>
        </w:rPr>
        <w:t>2</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10</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8</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上午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09</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分整</w:t>
      </w:r>
      <w:r>
        <w:rPr>
          <w:rFonts w:hint="eastAsia" w:ascii="宋体" w:hAnsi="宋体" w:cs="宋体"/>
          <w:color w:val="auto"/>
          <w:kern w:val="0"/>
          <w:sz w:val="24"/>
          <w:szCs w:val="24"/>
          <w:highlight w:val="none"/>
        </w:rPr>
        <w:t>之前将电子磋商响应文件上传到“政采云”平台。</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八．递交首次响应文件时间及地点：</w:t>
      </w:r>
      <w:r>
        <w:rPr>
          <w:rFonts w:ascii="宋体" w:hAnsi="宋体" w:cs="宋体"/>
          <w:color w:val="auto"/>
          <w:sz w:val="24"/>
          <w:szCs w:val="24"/>
          <w:highlight w:val="none"/>
          <w:u w:val="single"/>
        </w:rPr>
        <w:t xml:space="preserve"> 202</w:t>
      </w:r>
      <w:r>
        <w:rPr>
          <w:rFonts w:hint="eastAsia" w:ascii="宋体" w:hAnsi="宋体" w:cs="宋体"/>
          <w:color w:val="auto"/>
          <w:sz w:val="24"/>
          <w:szCs w:val="24"/>
          <w:highlight w:val="none"/>
          <w:u w:val="single"/>
        </w:rPr>
        <w:t>2</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10</w:t>
      </w:r>
      <w:r>
        <w:rPr>
          <w:rFonts w:hint="eastAsia" w:ascii="宋体" w:hAnsi="宋体" w:cs="宋体"/>
          <w:color w:val="auto"/>
          <w:sz w:val="24"/>
          <w:szCs w:val="24"/>
          <w:highlight w:val="none"/>
        </w:rPr>
        <w:t>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8</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上午</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09</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时</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 xml:space="preserve">0  </w:t>
      </w:r>
      <w:r>
        <w:rPr>
          <w:rFonts w:hint="eastAsia" w:ascii="宋体" w:hAnsi="宋体" w:cs="宋体"/>
          <w:color w:val="auto"/>
          <w:sz w:val="24"/>
          <w:szCs w:val="24"/>
          <w:highlight w:val="none"/>
        </w:rPr>
        <w:t>分</w:t>
      </w:r>
      <w:bookmarkStart w:id="6" w:name="B30_开标地点"/>
      <w:r>
        <w:rPr>
          <w:rFonts w:hint="eastAsia" w:ascii="宋体" w:hAnsi="宋体" w:cs="宋体"/>
          <w:color w:val="auto"/>
          <w:sz w:val="24"/>
          <w:szCs w:val="24"/>
          <w:highlight w:val="none"/>
        </w:rPr>
        <w:t>整在浙江宇康工程管理咨询有限公司开标室开标。</w:t>
      </w:r>
      <w:bookmarkEnd w:id="6"/>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开标时间后</w:t>
      </w:r>
      <w:r>
        <w:rPr>
          <w:rFonts w:ascii="宋体" w:hAnsi="宋体" w:cs="宋体"/>
          <w:color w:val="auto"/>
          <w:sz w:val="24"/>
          <w:szCs w:val="24"/>
          <w:highlight w:val="none"/>
        </w:rPr>
        <w:t>30</w:t>
      </w:r>
      <w:r>
        <w:rPr>
          <w:rFonts w:hint="eastAsia" w:ascii="宋体" w:hAnsi="宋体" w:cs="宋体"/>
          <w:color w:val="auto"/>
          <w:sz w:val="24"/>
          <w:szCs w:val="24"/>
          <w:highlight w:val="none"/>
        </w:rPr>
        <w:t>分钟内（</w:t>
      </w:r>
      <w:r>
        <w:rPr>
          <w:rFonts w:ascii="宋体" w:hAnsi="宋体" w:cs="宋体"/>
          <w:color w:val="auto"/>
          <w:sz w:val="24"/>
          <w:szCs w:val="24"/>
          <w:highlight w:val="none"/>
        </w:rPr>
        <w:t>202</w:t>
      </w:r>
      <w:r>
        <w:rPr>
          <w:rFonts w:hint="eastAsia" w:ascii="宋体" w:hAnsi="宋体" w:cs="宋体"/>
          <w:color w:val="auto"/>
          <w:sz w:val="24"/>
          <w:szCs w:val="24"/>
          <w:highlight w:val="none"/>
        </w:rPr>
        <w:t>2年</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 xml:space="preserve"> 月</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前）供应商可以登录“政采云”平台，用“项目采购</w:t>
      </w:r>
      <w:r>
        <w:rPr>
          <w:rFonts w:ascii="宋体" w:cs="宋体"/>
          <w:color w:val="auto"/>
          <w:sz w:val="24"/>
          <w:szCs w:val="24"/>
          <w:highlight w:val="none"/>
        </w:rPr>
        <w:t>-</w:t>
      </w:r>
      <w:r>
        <w:rPr>
          <w:rFonts w:hint="eastAsia" w:ascii="宋体" w:hAnsi="宋体" w:cs="宋体"/>
          <w:color w:val="auto"/>
          <w:sz w:val="24"/>
          <w:szCs w:val="24"/>
          <w:highlight w:val="none"/>
        </w:rPr>
        <w:t>开标评标”功能进行解密响应文件。若供应商在规定时间内（</w:t>
      </w:r>
      <w:r>
        <w:rPr>
          <w:rFonts w:ascii="宋体" w:hAnsi="宋体" w:cs="宋体"/>
          <w:color w:val="auto"/>
          <w:sz w:val="24"/>
          <w:szCs w:val="24"/>
          <w:highlight w:val="none"/>
        </w:rPr>
        <w:t>202</w:t>
      </w:r>
      <w:r>
        <w:rPr>
          <w:rFonts w:hint="eastAsia" w:ascii="宋体" w:hAnsi="宋体" w:cs="宋体"/>
          <w:color w:val="auto"/>
          <w:sz w:val="24"/>
          <w:szCs w:val="24"/>
          <w:highlight w:val="none"/>
        </w:rPr>
        <w:t>2年</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10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 xml:space="preserve"> 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前）解密失败，则由采购代理机构工作人员上传供应商提供的备份文件。备份文件（后缀名为</w:t>
      </w:r>
      <w:r>
        <w:rPr>
          <w:rFonts w:ascii="宋体" w:hAnsi="宋体" w:cs="宋体"/>
          <w:color w:val="auto"/>
          <w:sz w:val="24"/>
          <w:szCs w:val="24"/>
          <w:highlight w:val="none"/>
        </w:rPr>
        <w:t>.bfbs</w:t>
      </w:r>
      <w:r>
        <w:rPr>
          <w:rFonts w:hint="eastAsia" w:ascii="宋体" w:hAnsi="宋体" w:cs="宋体"/>
          <w:color w:val="auto"/>
          <w:sz w:val="24"/>
          <w:szCs w:val="24"/>
          <w:highlight w:val="none"/>
        </w:rPr>
        <w:t>）须存储在</w:t>
      </w:r>
      <w:r>
        <w:rPr>
          <w:rFonts w:ascii="宋体" w:hAnsi="宋体" w:cs="宋体"/>
          <w:color w:val="auto"/>
          <w:sz w:val="24"/>
          <w:szCs w:val="24"/>
          <w:highlight w:val="none"/>
        </w:rPr>
        <w:t>U</w:t>
      </w:r>
      <w:r>
        <w:rPr>
          <w:rFonts w:hint="eastAsia" w:ascii="宋体" w:hAnsi="宋体" w:cs="宋体"/>
          <w:color w:val="auto"/>
          <w:sz w:val="24"/>
          <w:szCs w:val="24"/>
          <w:highlight w:val="none"/>
        </w:rPr>
        <w:t>盘中，与上传的电子磋商响应文件一致，用信封进行密封并盖章</w:t>
      </w:r>
      <w:r>
        <w:rPr>
          <w:rFonts w:hint="eastAsia" w:ascii="宋体" w:hAnsi="宋体" w:cs="宋体"/>
          <w:b/>
          <w:bCs/>
          <w:color w:val="auto"/>
          <w:sz w:val="24"/>
          <w:szCs w:val="24"/>
          <w:highlight w:val="none"/>
        </w:rPr>
        <w:t>（信封内仅需放入存储备份文件的</w:t>
      </w:r>
      <w:r>
        <w:rPr>
          <w:rFonts w:ascii="宋体" w:hAnsi="宋体" w:cs="宋体"/>
          <w:b/>
          <w:bCs/>
          <w:color w:val="auto"/>
          <w:sz w:val="24"/>
          <w:szCs w:val="24"/>
          <w:highlight w:val="none"/>
        </w:rPr>
        <w:t>U</w:t>
      </w:r>
      <w:r>
        <w:rPr>
          <w:rFonts w:hint="eastAsia" w:ascii="宋体" w:hAnsi="宋体" w:cs="宋体"/>
          <w:b/>
          <w:bCs/>
          <w:color w:val="auto"/>
          <w:sz w:val="24"/>
          <w:szCs w:val="24"/>
          <w:highlight w:val="none"/>
        </w:rPr>
        <w:t>盘）</w:t>
      </w:r>
      <w:r>
        <w:rPr>
          <w:rFonts w:hint="eastAsia" w:ascii="宋体" w:hAnsi="宋体" w:cs="宋体"/>
          <w:color w:val="auto"/>
          <w:sz w:val="24"/>
          <w:szCs w:val="24"/>
          <w:highlight w:val="none"/>
        </w:rPr>
        <w:t>，由授权代表在磋商响应截止时间前递交至开标地点。若电子磋商响应文件正常解锁，则</w:t>
      </w:r>
      <w:r>
        <w:rPr>
          <w:rFonts w:ascii="宋体" w:hAnsi="宋体" w:cs="宋体"/>
          <w:color w:val="auto"/>
          <w:sz w:val="24"/>
          <w:szCs w:val="24"/>
          <w:highlight w:val="none"/>
        </w:rPr>
        <w:t>U</w:t>
      </w:r>
      <w:r>
        <w:rPr>
          <w:rFonts w:hint="eastAsia" w:ascii="宋体" w:hAnsi="宋体" w:cs="宋体"/>
          <w:color w:val="auto"/>
          <w:sz w:val="24"/>
          <w:szCs w:val="24"/>
          <w:highlight w:val="none"/>
        </w:rPr>
        <w:t>盘退还给供应商；若解锁失败，则由采购代理机构将</w:t>
      </w:r>
      <w:r>
        <w:rPr>
          <w:rFonts w:ascii="宋体" w:hAnsi="宋体" w:cs="宋体"/>
          <w:color w:val="auto"/>
          <w:sz w:val="24"/>
          <w:szCs w:val="24"/>
          <w:highlight w:val="none"/>
        </w:rPr>
        <w:t>U</w:t>
      </w:r>
      <w:r>
        <w:rPr>
          <w:rFonts w:hint="eastAsia" w:ascii="宋体" w:hAnsi="宋体" w:cs="宋体"/>
          <w:color w:val="auto"/>
          <w:sz w:val="24"/>
          <w:szCs w:val="24"/>
          <w:highlight w:val="none"/>
        </w:rPr>
        <w:t>盘中的备份文件上传，该</w:t>
      </w:r>
      <w:r>
        <w:rPr>
          <w:rFonts w:ascii="宋体" w:hAnsi="宋体" w:cs="宋体"/>
          <w:color w:val="auto"/>
          <w:sz w:val="24"/>
          <w:szCs w:val="24"/>
          <w:highlight w:val="none"/>
        </w:rPr>
        <w:t>U</w:t>
      </w:r>
      <w:r>
        <w:rPr>
          <w:rFonts w:hint="eastAsia" w:ascii="宋体" w:hAnsi="宋体" w:cs="宋体"/>
          <w:color w:val="auto"/>
          <w:sz w:val="24"/>
          <w:szCs w:val="24"/>
          <w:highlight w:val="none"/>
        </w:rPr>
        <w:t>盘将由采购代理机构保存。</w:t>
      </w:r>
    </w:p>
    <w:p>
      <w:pPr>
        <w:adjustRightInd w:val="0"/>
        <w:spacing w:line="360" w:lineRule="auto"/>
        <w:ind w:firstLine="480" w:firstLineChars="200"/>
        <w:rPr>
          <w:rFonts w:ascii="宋体"/>
          <w:color w:val="auto"/>
          <w:kern w:val="0"/>
          <w:sz w:val="24"/>
          <w:szCs w:val="24"/>
          <w:highlight w:val="none"/>
        </w:rPr>
      </w:pPr>
      <w:r>
        <w:rPr>
          <w:rFonts w:hint="eastAsia" w:ascii="宋体" w:hAnsi="宋体" w:cs="宋体"/>
          <w:color w:val="auto"/>
          <w:sz w:val="24"/>
          <w:szCs w:val="24"/>
          <w:highlight w:val="none"/>
        </w:rPr>
        <w:t>本次开标不提供现场视频。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九．磋商保证金：无</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十．公告期限：3个工作日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十一．联系方式：</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．采购代理机构名称：浙江宇康工程管理咨询有限公司</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项目联系人（询问）：冯丹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项目联系方式（询问）：13675739466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质疑联系人：陈东豪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质疑联系方式：</w:t>
      </w:r>
      <w:r>
        <w:rPr>
          <w:rFonts w:ascii="宋体" w:hAnsi="宋体" w:cs="宋体"/>
          <w:color w:val="auto"/>
          <w:sz w:val="24"/>
          <w:szCs w:val="24"/>
          <w:highlight w:val="none"/>
        </w:rPr>
        <w:t>1</w:t>
      </w:r>
      <w:r>
        <w:rPr>
          <w:rFonts w:hint="eastAsia" w:ascii="宋体" w:hAnsi="宋体" w:cs="宋体"/>
          <w:color w:val="auto"/>
          <w:sz w:val="24"/>
          <w:szCs w:val="24"/>
          <w:highlight w:val="none"/>
        </w:rPr>
        <w:t xml:space="preserve">5967562266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地址：绍兴市上虞区百官街道江东北路</w:t>
      </w:r>
      <w:r>
        <w:rPr>
          <w:rFonts w:ascii="宋体" w:hAnsi="宋体" w:cs="宋体"/>
          <w:color w:val="auto"/>
          <w:sz w:val="24"/>
          <w:szCs w:val="24"/>
          <w:highlight w:val="none"/>
        </w:rPr>
        <w:t>588</w:t>
      </w:r>
      <w:r>
        <w:rPr>
          <w:rFonts w:hint="eastAsia" w:ascii="宋体" w:hAnsi="宋体" w:cs="宋体"/>
          <w:color w:val="auto"/>
          <w:sz w:val="24"/>
          <w:szCs w:val="24"/>
          <w:highlight w:val="none"/>
        </w:rPr>
        <w:t>号百官广场</w:t>
      </w:r>
      <w:r>
        <w:rPr>
          <w:rFonts w:ascii="宋体" w:hAnsi="宋体" w:cs="宋体"/>
          <w:color w:val="auto"/>
          <w:sz w:val="24"/>
          <w:szCs w:val="24"/>
          <w:highlight w:val="none"/>
        </w:rPr>
        <w:t>30</w:t>
      </w:r>
      <w:r>
        <w:rPr>
          <w:rFonts w:hint="eastAsia" w:ascii="宋体" w:hAnsi="宋体" w:cs="宋体"/>
          <w:color w:val="auto"/>
          <w:sz w:val="24"/>
          <w:szCs w:val="24"/>
          <w:highlight w:val="none"/>
        </w:rPr>
        <w:t xml:space="preserve">楼  </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．采购人名称：绍兴市自然资源和规划局上虞分局</w:t>
      </w:r>
      <w:r>
        <w:rPr>
          <w:rFonts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w:t>
      </w:r>
      <w:r>
        <w:rPr>
          <w:rFonts w:hint="eastAsia" w:ascii="宋体" w:hAnsi="宋体" w:cs="宋体"/>
          <w:color w:val="auto"/>
          <w:sz w:val="24"/>
          <w:highlight w:val="none"/>
        </w:rPr>
        <w:t>钟女士</w:t>
      </w:r>
      <w:r>
        <w:rPr>
          <w:rFonts w:hint="eastAsia"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项目联系方式（询问）：0575-82121721 </w:t>
      </w:r>
    </w:p>
    <w:p>
      <w:pPr>
        <w:adjustRightInd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质疑联系人：</w:t>
      </w:r>
      <w:r>
        <w:rPr>
          <w:rFonts w:hint="eastAsia" w:ascii="宋体" w:hAnsi="宋体" w:cs="宋体"/>
          <w:color w:val="auto"/>
          <w:sz w:val="24"/>
          <w:szCs w:val="24"/>
          <w:highlight w:val="none"/>
          <w:lang w:val="en-US" w:eastAsia="zh-CN"/>
        </w:rPr>
        <w:t>王先生</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质疑联系方式：0575-82121721 </w:t>
      </w:r>
      <w:r>
        <w:rPr>
          <w:rFonts w:hint="eastAsia" w:ascii="宋体" w:hAnsi="宋体" w:cs="宋体"/>
          <w:color w:val="auto"/>
          <w:sz w:val="24"/>
          <w:highlight w:val="none"/>
        </w:rPr>
        <w:t xml:space="preserve">  </w:t>
      </w:r>
      <w:r>
        <w:rPr>
          <w:rFonts w:hint="eastAsia" w:ascii="宋体" w:hAnsi="宋体" w:cs="宋体"/>
          <w:color w:val="auto"/>
          <w:sz w:val="24"/>
          <w:szCs w:val="24"/>
          <w:highlight w:val="none"/>
        </w:rPr>
        <w:t xml:space="preserve">  </w:t>
      </w:r>
    </w:p>
    <w:p>
      <w:pPr>
        <w:widowControl/>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地址：绍兴市上虞区市民中心二路</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．同级政府采购监督管理部门名称：上虞区财政局政府采购监管科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联系人：谷先生</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监督投诉电话：</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地址：绍兴市上虞区体育场路</w:t>
      </w:r>
      <w:r>
        <w:rPr>
          <w:rFonts w:ascii="宋体" w:hAnsi="宋体" w:cs="宋体"/>
          <w:color w:val="auto"/>
          <w:sz w:val="24"/>
          <w:szCs w:val="24"/>
          <w:highlight w:val="none"/>
        </w:rPr>
        <w:t>18</w:t>
      </w:r>
      <w:r>
        <w:rPr>
          <w:rFonts w:hint="eastAsia" w:ascii="宋体" w:hAnsi="宋体" w:cs="宋体"/>
          <w:color w:val="auto"/>
          <w:sz w:val="24"/>
          <w:szCs w:val="24"/>
          <w:highlight w:val="none"/>
        </w:rPr>
        <w:t>号</w:t>
      </w:r>
    </w:p>
    <w:p>
      <w:pPr>
        <w:spacing w:line="360" w:lineRule="auto"/>
        <w:jc w:val="center"/>
        <w:outlineLvl w:val="0"/>
        <w:rPr>
          <w:rFonts w:ascii="宋体"/>
          <w:b/>
          <w:bCs/>
          <w:color w:val="auto"/>
          <w:sz w:val="36"/>
          <w:szCs w:val="36"/>
          <w:highlight w:val="none"/>
        </w:rPr>
      </w:pPr>
      <w:r>
        <w:rPr>
          <w:rFonts w:ascii="宋体"/>
          <w:b/>
          <w:bCs/>
          <w:color w:val="auto"/>
          <w:sz w:val="36"/>
          <w:szCs w:val="36"/>
          <w:highlight w:val="none"/>
        </w:rPr>
        <w:br w:type="page"/>
      </w:r>
      <w:bookmarkStart w:id="7" w:name="_Toc546"/>
      <w:bookmarkStart w:id="8" w:name="_Toc18335"/>
      <w:bookmarkStart w:id="9" w:name="_Toc29834"/>
      <w:r>
        <w:rPr>
          <w:rStyle w:val="37"/>
          <w:rFonts w:hint="eastAsia" w:cs="宋体"/>
          <w:color w:val="auto"/>
          <w:sz w:val="36"/>
          <w:szCs w:val="36"/>
          <w:highlight w:val="none"/>
        </w:rPr>
        <w:t>第二部分</w:t>
      </w:r>
      <w:bookmarkEnd w:id="3"/>
      <w:r>
        <w:rPr>
          <w:rStyle w:val="37"/>
          <w:color w:val="auto"/>
          <w:sz w:val="36"/>
          <w:szCs w:val="36"/>
          <w:highlight w:val="none"/>
        </w:rPr>
        <w:t xml:space="preserve"> </w:t>
      </w:r>
      <w:bookmarkEnd w:id="4"/>
      <w:r>
        <w:rPr>
          <w:rStyle w:val="37"/>
          <w:rFonts w:hint="eastAsia" w:cs="宋体"/>
          <w:color w:val="auto"/>
          <w:sz w:val="36"/>
          <w:szCs w:val="36"/>
          <w:highlight w:val="none"/>
        </w:rPr>
        <w:t>供应商须知</w:t>
      </w:r>
      <w:bookmarkEnd w:id="7"/>
      <w:bookmarkEnd w:id="8"/>
      <w:bookmarkEnd w:id="9"/>
    </w:p>
    <w:p>
      <w:pPr>
        <w:widowControl/>
        <w:adjustRightInd w:val="0"/>
        <w:snapToGrid w:val="0"/>
        <w:spacing w:line="360" w:lineRule="auto"/>
        <w:jc w:val="center"/>
        <w:rPr>
          <w:rFonts w:ascii="宋体"/>
          <w:b/>
          <w:bCs/>
          <w:snapToGrid w:val="0"/>
          <w:color w:val="auto"/>
          <w:kern w:val="0"/>
          <w:sz w:val="32"/>
          <w:szCs w:val="32"/>
          <w:highlight w:val="none"/>
        </w:rPr>
      </w:pPr>
      <w:r>
        <w:rPr>
          <w:rFonts w:hint="eastAsia" w:ascii="宋体" w:hAnsi="宋体" w:cs="宋体"/>
          <w:b/>
          <w:bCs/>
          <w:snapToGrid w:val="0"/>
          <w:color w:val="auto"/>
          <w:kern w:val="0"/>
          <w:sz w:val="30"/>
          <w:szCs w:val="30"/>
          <w:highlight w:val="none"/>
        </w:rPr>
        <w:t>供应商须知前附表</w:t>
      </w:r>
    </w:p>
    <w:tbl>
      <w:tblPr>
        <w:tblStyle w:val="27"/>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7" w:hRule="atLeast"/>
          <w:tblHeader/>
          <w:jc w:val="center"/>
        </w:trPr>
        <w:tc>
          <w:tcPr>
            <w:tcW w:w="648"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序号</w:t>
            </w:r>
          </w:p>
        </w:tc>
        <w:tc>
          <w:tcPr>
            <w:tcW w:w="1800"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项目</w:t>
            </w:r>
          </w:p>
        </w:tc>
        <w:tc>
          <w:tcPr>
            <w:tcW w:w="6682"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项目名称</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上虞区地下水监测井建设工程项目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服务周期</w:t>
            </w:r>
          </w:p>
        </w:tc>
        <w:tc>
          <w:tcPr>
            <w:tcW w:w="6682" w:type="dxa"/>
            <w:vAlign w:val="center"/>
          </w:tcPr>
          <w:p>
            <w:pPr>
              <w:ind w:firstLine="422" w:firstLineChars="200"/>
              <w:rPr>
                <w:rFonts w:ascii="宋体"/>
                <w:color w:val="auto"/>
                <w:highlight w:val="none"/>
              </w:rPr>
            </w:pPr>
            <w:r>
              <w:rPr>
                <w:rFonts w:hint="eastAsia" w:ascii="宋体" w:hAnsi="宋体" w:cs="宋体"/>
                <w:b/>
                <w:bCs/>
                <w:snapToGrid w:val="0"/>
                <w:color w:val="auto"/>
                <w:kern w:val="0"/>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3</w:t>
            </w:r>
          </w:p>
        </w:tc>
        <w:tc>
          <w:tcPr>
            <w:tcW w:w="1800" w:type="dxa"/>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最高限价</w:t>
            </w:r>
          </w:p>
        </w:tc>
        <w:tc>
          <w:tcPr>
            <w:tcW w:w="6682" w:type="dxa"/>
            <w:vAlign w:val="center"/>
          </w:tcPr>
          <w:p>
            <w:pPr>
              <w:snapToGrid w:val="0"/>
              <w:ind w:firstLine="420" w:firstLineChars="200"/>
              <w:rPr>
                <w:rFonts w:ascii="宋体"/>
                <w:b/>
                <w:bCs/>
                <w:snapToGrid w:val="0"/>
                <w:color w:val="auto"/>
                <w:kern w:val="0"/>
                <w:highlight w:val="none"/>
              </w:rPr>
            </w:pPr>
            <w:r>
              <w:rPr>
                <w:rFonts w:hint="eastAsia" w:ascii="宋体" w:hAnsi="宋体" w:cs="宋体"/>
                <w:color w:val="auto"/>
                <w:highlight w:val="none"/>
              </w:rPr>
              <w:t>本项目最高限价人民币</w:t>
            </w:r>
            <w:r>
              <w:rPr>
                <w:rFonts w:hint="eastAsia" w:ascii="宋体" w:hAnsi="宋体" w:cs="宋体"/>
                <w:color w:val="auto"/>
                <w:highlight w:val="none"/>
                <w:u w:val="single"/>
              </w:rPr>
              <w:t xml:space="preserve"> 50 </w:t>
            </w:r>
            <w:r>
              <w:rPr>
                <w:rFonts w:hint="eastAsia" w:ascii="宋体" w:hAnsi="宋体" w:cs="宋体"/>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 xml:space="preserve">                                                                                                   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资格审查方式</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踏勘现场</w:t>
            </w:r>
          </w:p>
        </w:tc>
        <w:tc>
          <w:tcPr>
            <w:tcW w:w="6682" w:type="dxa"/>
            <w:vAlign w:val="center"/>
          </w:tcPr>
          <w:p>
            <w:pPr>
              <w:snapToGrid w:val="0"/>
              <w:ind w:firstLine="422" w:firstLineChars="200"/>
              <w:rPr>
                <w:rFonts w:ascii="宋体"/>
                <w:snapToGrid w:val="0"/>
                <w:color w:val="auto"/>
                <w:kern w:val="0"/>
                <w:highlight w:val="none"/>
              </w:rPr>
            </w:pPr>
            <w:r>
              <w:rPr>
                <w:rFonts w:hint="eastAsia" w:ascii="宋体" w:hAnsi="宋体" w:cs="宋体"/>
                <w:b/>
                <w:bCs/>
                <w:snapToGrid w:val="0"/>
                <w:color w:val="auto"/>
                <w:kern w:val="0"/>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询问</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供应商对政府采购活动事项有疑问的，可以向采购机构提出询问，采购人或者招标代理机构应当在</w:t>
            </w:r>
            <w:r>
              <w:rPr>
                <w:rFonts w:ascii="宋体" w:hAnsi="宋体" w:cs="宋体"/>
                <w:snapToGrid w:val="0"/>
                <w:color w:val="auto"/>
                <w:kern w:val="0"/>
                <w:highlight w:val="none"/>
              </w:rPr>
              <w:t>3</w:t>
            </w:r>
            <w:r>
              <w:rPr>
                <w:rFonts w:hint="eastAsia" w:ascii="宋体" w:hAnsi="宋体" w:cs="宋体"/>
                <w:snapToGrid w:val="0"/>
                <w:color w:val="auto"/>
                <w:kern w:val="0"/>
                <w:highlight w:val="none"/>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磋商文件的澄清与修改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采购单位可以对已发出的磋商文件进行必要澄清或者修改，澄清或者修改的内容可能影响响应文件编制的，应当在提交首次响应文件截至时间至少</w:t>
            </w:r>
            <w:r>
              <w:rPr>
                <w:rFonts w:ascii="宋体" w:hAnsi="宋体" w:cs="宋体"/>
                <w:snapToGrid w:val="0"/>
                <w:color w:val="auto"/>
                <w:kern w:val="0"/>
                <w:highlight w:val="none"/>
              </w:rPr>
              <w:t>5</w:t>
            </w:r>
            <w:r>
              <w:rPr>
                <w:rFonts w:hint="eastAsia" w:ascii="宋体" w:hAnsi="宋体" w:cs="宋体"/>
                <w:snapToGrid w:val="0"/>
                <w:color w:val="auto"/>
                <w:kern w:val="0"/>
                <w:highlight w:val="none"/>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8</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磋商响应文件组成</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9</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评标办法</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10</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磋商响应文件递交地址及截止时间</w:t>
            </w:r>
          </w:p>
        </w:tc>
        <w:tc>
          <w:tcPr>
            <w:tcW w:w="6682" w:type="dxa"/>
            <w:vAlign w:val="center"/>
          </w:tcPr>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开标时间、地点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开标时间：</w:t>
            </w:r>
            <w:r>
              <w:rPr>
                <w:rFonts w:hint="eastAsia" w:ascii="宋体" w:hAnsi="宋体" w:cs="宋体"/>
                <w:color w:val="auto"/>
                <w:kern w:val="0"/>
                <w:highlight w:val="none"/>
              </w:rPr>
              <w:t>详见磋商公告</w:t>
            </w:r>
          </w:p>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开标地点：</w:t>
            </w:r>
            <w:r>
              <w:rPr>
                <w:rFonts w:hint="eastAsia" w:ascii="宋体" w:hAnsi="宋体" w:cs="宋体"/>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磋商响应文件有效期</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响应文件有效期为从提交响应文件的截止之日起</w:t>
            </w:r>
            <w:r>
              <w:rPr>
                <w:rFonts w:ascii="宋体" w:hAnsi="宋体" w:cs="宋体"/>
                <w:snapToGrid w:val="0"/>
                <w:color w:val="auto"/>
                <w:kern w:val="0"/>
                <w:highlight w:val="none"/>
              </w:rPr>
              <w:t>90</w:t>
            </w:r>
            <w:r>
              <w:rPr>
                <w:rFonts w:hint="eastAsia" w:ascii="宋体" w:hAnsi="宋体" w:cs="宋体"/>
                <w:snapToGrid w:val="0"/>
                <w:color w:val="auto"/>
                <w:kern w:val="0"/>
                <w:highlight w:val="none"/>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13</w:t>
            </w:r>
          </w:p>
        </w:tc>
        <w:tc>
          <w:tcPr>
            <w:tcW w:w="1800"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履约保证金</w:t>
            </w:r>
          </w:p>
        </w:tc>
        <w:tc>
          <w:tcPr>
            <w:tcW w:w="6682" w:type="dxa"/>
            <w:vAlign w:val="center"/>
          </w:tcPr>
          <w:p>
            <w:pPr>
              <w:pStyle w:val="15"/>
              <w:snapToGrid w:val="0"/>
              <w:spacing w:line="360" w:lineRule="exact"/>
              <w:ind w:firstLine="420" w:firstLineChars="200"/>
              <w:rPr>
                <w:rFonts w:hAnsi="宋体" w:cs="Times New Roman"/>
                <w:color w:val="auto"/>
                <w:kern w:val="0"/>
                <w:highlight w:val="none"/>
              </w:rPr>
            </w:pPr>
            <w:r>
              <w:rPr>
                <w:rFonts w:hint="eastAsia" w:hAnsi="宋体"/>
                <w:color w:val="auto"/>
                <w:kern w:val="0"/>
                <w:highlight w:val="none"/>
              </w:rPr>
              <w:t>本项目不设置履约保证金。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磋商公告及成交结果公告发布媒体</w:t>
            </w:r>
          </w:p>
        </w:tc>
        <w:tc>
          <w:tcPr>
            <w:tcW w:w="6682" w:type="dxa"/>
            <w:vAlign w:val="center"/>
          </w:tcPr>
          <w:p>
            <w:pPr>
              <w:pStyle w:val="15"/>
              <w:snapToGrid w:val="0"/>
              <w:ind w:firstLine="420" w:firstLineChars="200"/>
              <w:jc w:val="left"/>
              <w:rPr>
                <w:rFonts w:hAnsi="宋体" w:cs="Times New Roman"/>
                <w:color w:val="auto"/>
                <w:kern w:val="0"/>
                <w:highlight w:val="none"/>
              </w:rPr>
            </w:pPr>
            <w:r>
              <w:rPr>
                <w:rFonts w:hint="eastAsia" w:hAnsi="宋体"/>
                <w:color w:val="auto"/>
                <w:kern w:val="0"/>
                <w:highlight w:val="none"/>
              </w:rPr>
              <w:t>浙江省政府采购网、</w:t>
            </w:r>
            <w:r>
              <w:rPr>
                <w:rFonts w:hAnsi="宋体"/>
                <w:color w:val="auto"/>
                <w:kern w:val="0"/>
                <w:highlight w:val="none"/>
              </w:rPr>
              <w:t xml:space="preserve"> </w:t>
            </w:r>
            <w:r>
              <w:rPr>
                <w:rFonts w:hint="eastAsia" w:hAnsi="宋体"/>
                <w:color w:val="auto"/>
                <w:kern w:val="0"/>
                <w:highlight w:val="none"/>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color w:val="auto"/>
                <w:highlight w:val="none"/>
              </w:rPr>
            </w:pPr>
            <w:r>
              <w:rPr>
                <w:rFonts w:ascii="宋体" w:hAnsi="宋体" w:cs="宋体"/>
                <w:color w:val="auto"/>
                <w:highlight w:val="none"/>
              </w:rPr>
              <w:t>15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质疑</w:t>
            </w:r>
          </w:p>
        </w:tc>
        <w:tc>
          <w:tcPr>
            <w:tcW w:w="6682" w:type="dxa"/>
            <w:vAlign w:val="center"/>
          </w:tcPr>
          <w:p>
            <w:pPr>
              <w:ind w:firstLine="420" w:firstLineChars="200"/>
              <w:jc w:val="left"/>
              <w:rPr>
                <w:rFonts w:ascii="宋体"/>
                <w:color w:val="auto"/>
                <w:highlight w:val="none"/>
              </w:rPr>
            </w:pPr>
            <w:r>
              <w:rPr>
                <w:rFonts w:hint="eastAsia" w:ascii="宋体" w:hAnsi="宋体" w:cs="宋体"/>
                <w:color w:val="auto"/>
                <w:highlight w:val="none"/>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hAnsi="宋体" w:cs="宋体"/>
                <w:color w:val="auto"/>
                <w:highlight w:val="none"/>
              </w:rPr>
            </w:pPr>
            <w:r>
              <w:rPr>
                <w:rFonts w:hint="eastAsia"/>
                <w:color w:val="auto"/>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w:t>
            </w:r>
            <w:r>
              <w:rPr>
                <w:rFonts w:hint="eastAsia" w:ascii="宋体" w:hAnsi="宋体" w:cs="宋体"/>
                <w:color w:val="auto"/>
                <w:highlight w:val="none"/>
              </w:rPr>
              <w:t>供应商在法定质疑期内应一次性提出针对同一采购程序环节的质疑。否则质疑将不予受理。</w:t>
            </w:r>
          </w:p>
          <w:p>
            <w:pPr>
              <w:ind w:firstLine="420" w:firstLineChars="200"/>
              <w:jc w:val="left"/>
              <w:rPr>
                <w:rFonts w:ascii="宋体"/>
                <w:color w:val="auto"/>
                <w:highlight w:val="none"/>
              </w:rPr>
            </w:pPr>
            <w:r>
              <w:rPr>
                <w:rFonts w:hint="eastAsia" w:ascii="宋体" w:hAnsi="宋体" w:cs="宋体"/>
                <w:color w:val="auto"/>
                <w:highlight w:val="none"/>
              </w:rPr>
              <w:t>供应商如认为采购过程使自身的合法权益受到损害的，应于各采购程序环节结束之日起七个工作日内以书面形式向采购机构提出质疑；</w:t>
            </w:r>
          </w:p>
          <w:p>
            <w:pPr>
              <w:ind w:firstLine="420" w:firstLineChars="200"/>
              <w:jc w:val="left"/>
              <w:rPr>
                <w:rFonts w:ascii="宋体"/>
                <w:color w:val="auto"/>
                <w:highlight w:val="none"/>
              </w:rPr>
            </w:pPr>
            <w:r>
              <w:rPr>
                <w:rFonts w:hint="eastAsia" w:ascii="宋体" w:hAnsi="宋体" w:cs="宋体"/>
                <w:color w:val="auto"/>
                <w:highlight w:val="none"/>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kern w:val="0"/>
                <w:highlight w:val="none"/>
              </w:rPr>
              <w:t>。</w:t>
            </w:r>
            <w:r>
              <w:rPr>
                <w:rFonts w:hint="eastAsia"/>
                <w:color w:val="auto"/>
                <w:highlight w:val="none"/>
              </w:rPr>
              <w:t>质疑函范本请到浙江政府采购网下载专区下载</w:t>
            </w:r>
            <w:r>
              <w:rPr>
                <w:rFonts w:hint="eastAsia" w:ascii="宋体" w:hAnsi="宋体" w:cs="宋体"/>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投诉</w:t>
            </w:r>
          </w:p>
        </w:tc>
        <w:tc>
          <w:tcPr>
            <w:tcW w:w="6682" w:type="dxa"/>
            <w:vAlign w:val="center"/>
          </w:tcPr>
          <w:p>
            <w:pPr>
              <w:snapToGrid w:val="0"/>
              <w:ind w:firstLine="420" w:firstLineChars="200"/>
              <w:jc w:val="left"/>
              <w:rPr>
                <w:rFonts w:ascii="宋体"/>
                <w:snapToGrid w:val="0"/>
                <w:color w:val="auto"/>
                <w:kern w:val="0"/>
                <w:highlight w:val="none"/>
              </w:rPr>
            </w:pPr>
            <w:r>
              <w:rPr>
                <w:rFonts w:hint="eastAsia" w:ascii="宋体" w:hAnsi="宋体" w:cs="宋体"/>
                <w:snapToGrid w:val="0"/>
                <w:color w:val="auto"/>
                <w:kern w:val="0"/>
                <w:highlight w:val="none"/>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r>
              <w:rPr>
                <w:rFonts w:hint="eastAsia"/>
                <w:color w:val="auto"/>
                <w:highlight w:val="none"/>
              </w:rPr>
              <w:t>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特别说明</w:t>
            </w:r>
          </w:p>
        </w:tc>
        <w:tc>
          <w:tcPr>
            <w:tcW w:w="6682" w:type="dxa"/>
            <w:vAlign w:val="center"/>
          </w:tcPr>
          <w:p>
            <w:pPr>
              <w:pStyle w:val="15"/>
              <w:snapToGrid w:val="0"/>
              <w:ind w:firstLine="420" w:firstLineChars="200"/>
              <w:jc w:val="left"/>
              <w:rPr>
                <w:rFonts w:hAnsi="宋体" w:cs="Times New Roman"/>
                <w:color w:val="auto"/>
                <w:kern w:val="0"/>
                <w:highlight w:val="none"/>
              </w:rPr>
            </w:pPr>
            <w:r>
              <w:rPr>
                <w:rFonts w:hint="eastAsia" w:hAnsi="宋体"/>
                <w:color w:val="auto"/>
                <w:kern w:val="0"/>
                <w:highlight w:val="none"/>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5"/>
              <w:snapToGrid w:val="0"/>
              <w:ind w:firstLine="420" w:firstLineChars="200"/>
              <w:jc w:val="left"/>
              <w:rPr>
                <w:rFonts w:hAnsi="宋体" w:cs="Times New Roman"/>
                <w:color w:val="auto"/>
                <w:kern w:val="0"/>
                <w:highlight w:val="none"/>
              </w:rPr>
            </w:pPr>
            <w:r>
              <w:rPr>
                <w:rFonts w:hint="eastAsia" w:hAnsi="宋体"/>
                <w:color w:val="auto"/>
                <w:kern w:val="0"/>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5"/>
              <w:snapToGrid w:val="0"/>
              <w:ind w:firstLine="420" w:firstLineChars="200"/>
              <w:jc w:val="left"/>
              <w:rPr>
                <w:rFonts w:hAnsi="宋体" w:cs="Times New Roman"/>
                <w:color w:val="auto"/>
                <w:kern w:val="0"/>
                <w:highlight w:val="none"/>
              </w:rPr>
            </w:pPr>
            <w:r>
              <w:rPr>
                <w:rFonts w:hint="eastAsia" w:hAnsi="宋体"/>
                <w:color w:val="auto"/>
                <w:kern w:val="0"/>
                <w:highlight w:val="none"/>
              </w:rPr>
              <w:t>质疑、投诉人未按前列进行质疑、投诉（申诉），均属于扰乱政府采购市场不良行为。</w:t>
            </w:r>
          </w:p>
          <w:p>
            <w:pPr>
              <w:pStyle w:val="15"/>
              <w:snapToGrid w:val="0"/>
              <w:ind w:firstLine="420" w:firstLineChars="200"/>
              <w:jc w:val="left"/>
              <w:rPr>
                <w:rFonts w:hAnsi="宋体" w:cs="Times New Roman"/>
                <w:b/>
                <w:bCs/>
                <w:color w:val="auto"/>
                <w:kern w:val="0"/>
                <w:highlight w:val="none"/>
              </w:rPr>
            </w:pPr>
            <w:r>
              <w:rPr>
                <w:rFonts w:hint="eastAsia" w:hAnsi="宋体"/>
                <w:color w:val="auto"/>
                <w:kern w:val="0"/>
                <w:highlight w:val="none"/>
              </w:rPr>
              <w:t>磋商文件中凡标注“</w:t>
            </w:r>
            <w:r>
              <w:rPr>
                <w:rFonts w:hint="eastAsia" w:hAnsi="宋体"/>
                <w:color w:val="auto"/>
                <w:highlight w:val="none"/>
              </w:rPr>
              <w:t>★</w:t>
            </w:r>
            <w:r>
              <w:rPr>
                <w:rFonts w:hint="eastAsia" w:hAnsi="宋体"/>
                <w:color w:val="auto"/>
                <w:kern w:val="0"/>
                <w:highlight w:val="none"/>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r>
              <w:rPr>
                <w:rFonts w:hint="eastAsia" w:ascii="宋体" w:hAnsi="宋体" w:cs="宋体"/>
                <w:snapToGrid w:val="0"/>
                <w:color w:val="auto"/>
                <w:kern w:val="0"/>
                <w:highlight w:val="none"/>
              </w:rPr>
              <w:t>8</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支</w:t>
            </w:r>
          </w:p>
          <w:p>
            <w:pPr>
              <w:snapToGrid w:val="0"/>
              <w:jc w:val="center"/>
              <w:rPr>
                <w:rFonts w:ascii="宋体"/>
                <w:color w:val="auto"/>
                <w:highlight w:val="none"/>
              </w:rPr>
            </w:pPr>
            <w:r>
              <w:rPr>
                <w:rFonts w:hint="eastAsia" w:ascii="宋体" w:hAnsi="宋体" w:cs="宋体"/>
                <w:color w:val="auto"/>
                <w:highlight w:val="none"/>
              </w:rPr>
              <w:t>持</w:t>
            </w:r>
          </w:p>
          <w:p>
            <w:pPr>
              <w:snapToGrid w:val="0"/>
              <w:jc w:val="center"/>
              <w:rPr>
                <w:rFonts w:ascii="宋体"/>
                <w:color w:val="auto"/>
                <w:highlight w:val="none"/>
              </w:rPr>
            </w:pPr>
            <w:r>
              <w:rPr>
                <w:rFonts w:hint="eastAsia" w:ascii="宋体" w:hAnsi="宋体" w:cs="宋体"/>
                <w:color w:val="auto"/>
                <w:highlight w:val="none"/>
              </w:rPr>
              <w:t>中</w:t>
            </w:r>
          </w:p>
          <w:p>
            <w:pPr>
              <w:snapToGrid w:val="0"/>
              <w:jc w:val="center"/>
              <w:rPr>
                <w:rFonts w:ascii="宋体"/>
                <w:color w:val="auto"/>
                <w:highlight w:val="none"/>
              </w:rPr>
            </w:pPr>
            <w:r>
              <w:rPr>
                <w:rFonts w:hint="eastAsia" w:ascii="宋体" w:hAnsi="宋体" w:cs="宋体"/>
                <w:color w:val="auto"/>
                <w:highlight w:val="none"/>
              </w:rPr>
              <w:t>小</w:t>
            </w:r>
          </w:p>
          <w:p>
            <w:pPr>
              <w:snapToGrid w:val="0"/>
              <w:jc w:val="center"/>
              <w:rPr>
                <w:rFonts w:ascii="宋体"/>
                <w:color w:val="auto"/>
                <w:highlight w:val="none"/>
              </w:rPr>
            </w:pPr>
            <w:r>
              <w:rPr>
                <w:rFonts w:hint="eastAsia" w:ascii="宋体" w:hAnsi="宋体" w:cs="宋体"/>
                <w:color w:val="auto"/>
                <w:highlight w:val="none"/>
              </w:rPr>
              <w:t>企</w:t>
            </w:r>
          </w:p>
          <w:p>
            <w:pPr>
              <w:snapToGrid w:val="0"/>
              <w:jc w:val="center"/>
              <w:rPr>
                <w:rFonts w:ascii="宋体"/>
                <w:color w:val="auto"/>
                <w:highlight w:val="none"/>
              </w:rPr>
            </w:pPr>
            <w:r>
              <w:rPr>
                <w:rFonts w:hint="eastAsia" w:ascii="宋体" w:hAnsi="宋体" w:cs="宋体"/>
                <w:color w:val="auto"/>
                <w:highlight w:val="none"/>
              </w:rPr>
              <w:t>业</w:t>
            </w:r>
          </w:p>
          <w:p>
            <w:pPr>
              <w:snapToGrid w:val="0"/>
              <w:jc w:val="center"/>
              <w:rPr>
                <w:rFonts w:ascii="宋体"/>
                <w:color w:val="auto"/>
                <w:highlight w:val="none"/>
              </w:rPr>
            </w:pPr>
          </w:p>
        </w:tc>
        <w:tc>
          <w:tcPr>
            <w:tcW w:w="6682" w:type="dxa"/>
            <w:vAlign w:val="center"/>
          </w:tcPr>
          <w:p>
            <w:pPr>
              <w:ind w:firstLine="420" w:firstLineChars="200"/>
              <w:rPr>
                <w:rFonts w:ascii="宋体" w:hAnsi="宋体" w:cs="宋体"/>
                <w:color w:val="auto"/>
                <w:highlight w:val="none"/>
              </w:rPr>
            </w:pPr>
            <w:r>
              <w:rPr>
                <w:rFonts w:hint="eastAsia" w:ascii="宋体" w:hAnsi="宋体" w:cs="宋体"/>
                <w:color w:val="auto"/>
                <w:highlight w:val="none"/>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ind w:firstLine="420" w:firstLineChars="200"/>
              <w:rPr>
                <w:color w:val="auto"/>
                <w:highlight w:val="none"/>
              </w:rPr>
            </w:pPr>
            <w:r>
              <w:rPr>
                <w:rFonts w:hint="eastAsia"/>
                <w:color w:val="auto"/>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ind w:firstLine="420" w:firstLineChars="200"/>
              <w:rPr>
                <w:color w:val="auto"/>
                <w:highlight w:val="none"/>
              </w:rPr>
            </w:pPr>
            <w:r>
              <w:rPr>
                <w:color w:val="auto"/>
                <w:highlight w:val="none"/>
              </w:rPr>
              <w:t>在服务采购项目中，服务由小微企业承接，即提供服务的人员为小微企业依照《中华人民共和国劳动合同法》订立劳动合同的从业人员。</w:t>
            </w:r>
          </w:p>
          <w:p>
            <w:pPr>
              <w:ind w:firstLine="420" w:firstLineChars="200"/>
              <w:rPr>
                <w:color w:val="auto"/>
                <w:highlight w:val="none"/>
              </w:rPr>
            </w:pPr>
            <w:bookmarkStart w:id="10" w:name="_Toc21586"/>
            <w:bookmarkStart w:id="11" w:name="_Toc16526"/>
            <w:r>
              <w:rPr>
                <w:rFonts w:hint="eastAsia"/>
                <w:color w:val="auto"/>
                <w:highlight w:val="none"/>
              </w:rPr>
              <w:t>联合体各方均为小型、微型企业的，联合体视同为小型、微型企业。</w:t>
            </w:r>
            <w:bookmarkEnd w:id="10"/>
            <w:bookmarkEnd w:id="11"/>
          </w:p>
          <w:p>
            <w:pPr>
              <w:ind w:firstLine="420" w:firstLineChars="200"/>
              <w:rPr>
                <w:rFonts w:ascii="宋体" w:hAnsi="宋体" w:cs="宋体"/>
                <w:color w:val="auto"/>
                <w:highlight w:val="none"/>
              </w:rPr>
            </w:pPr>
            <w:r>
              <w:rPr>
                <w:rFonts w:hint="eastAsia" w:ascii="宋体" w:hAnsi="宋体" w:cs="宋体"/>
                <w:color w:val="auto"/>
                <w:highlight w:val="none"/>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ascii="宋体" w:hAnsi="宋体" w:cs="宋体"/>
                <w:color w:val="auto"/>
                <w:highlight w:val="none"/>
              </w:rPr>
            </w:pPr>
            <w:r>
              <w:rPr>
                <w:rFonts w:hint="eastAsia" w:ascii="宋体" w:hAnsi="宋体" w:cs="宋体"/>
                <w:color w:val="auto"/>
                <w:highlight w:val="none"/>
              </w:rPr>
              <w:t>根据浙江省财政厅发布的《浙江省财政厅关于进一步加大政府采购支持中小企业力度 助力扎实稳住经济的通知》（浙财采监〔2022〕8号）规定，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w:t>
            </w:r>
          </w:p>
          <w:p>
            <w:pPr>
              <w:ind w:firstLine="420" w:firstLineChars="200"/>
              <w:rPr>
                <w:rFonts w:ascii="宋体"/>
                <w:color w:val="auto"/>
                <w:highlight w:val="none"/>
              </w:rPr>
            </w:pPr>
            <w:r>
              <w:rPr>
                <w:rFonts w:hint="eastAsia" w:ascii="宋体" w:hAnsi="宋体" w:cs="宋体"/>
                <w:color w:val="auto"/>
                <w:highlight w:val="none"/>
              </w:rPr>
              <w:t>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highlight w:val="none"/>
              </w:rPr>
            </w:pPr>
          </w:p>
        </w:tc>
        <w:tc>
          <w:tcPr>
            <w:tcW w:w="1800" w:type="dxa"/>
            <w:vAlign w:val="center"/>
          </w:tcPr>
          <w:p>
            <w:pPr>
              <w:snapToGrid w:val="0"/>
              <w:jc w:val="center"/>
              <w:rPr>
                <w:rFonts w:ascii="宋体" w:hAnsi="宋体" w:cs="宋体"/>
                <w:color w:val="auto"/>
                <w:highlight w:val="none"/>
              </w:rPr>
            </w:pPr>
            <w:r>
              <w:rPr>
                <w:rFonts w:hint="eastAsia" w:ascii="宋体" w:hAnsi="宋体" w:cs="宋体"/>
                <w:color w:val="auto"/>
                <w:highlight w:val="none"/>
              </w:rPr>
              <w:t>招标代理服务费</w:t>
            </w:r>
          </w:p>
        </w:tc>
        <w:tc>
          <w:tcPr>
            <w:tcW w:w="6682" w:type="dxa"/>
            <w:vAlign w:val="center"/>
          </w:tcPr>
          <w:p>
            <w:pPr>
              <w:autoSpaceDN w:val="0"/>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招标代理服务费由成交供应商支付，按下列服务招标差额定率累进法计算方式的68%计取。</w:t>
            </w:r>
          </w:p>
          <w:tbl>
            <w:tblPr>
              <w:tblStyle w:val="27"/>
              <w:tblW w:w="611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9"/>
              <w:gridCol w:w="1010"/>
              <w:gridCol w:w="1010"/>
              <w:gridCol w:w="9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tblCellSpacing w:w="0" w:type="dxa"/>
                <w:jc w:val="center"/>
              </w:trPr>
              <w:tc>
                <w:tcPr>
                  <w:tcW w:w="311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服务类型 中标金额（万元）</w:t>
                  </w:r>
                </w:p>
              </w:tc>
              <w:tc>
                <w:tcPr>
                  <w:tcW w:w="1010" w:type="dxa"/>
                  <w:tcBorders>
                    <w:top w:val="outset" w:color="auto" w:sz="6" w:space="0"/>
                    <w:left w:val="outset" w:color="auto" w:sz="6" w:space="0"/>
                    <w:bottom w:val="outset" w:color="auto" w:sz="6" w:space="0"/>
                    <w:right w:val="outset" w:color="auto" w:sz="6" w:space="0"/>
                  </w:tcBorders>
                  <w:vAlign w:val="center"/>
                </w:tcPr>
                <w:p>
                  <w:pPr>
                    <w:pStyle w:val="24"/>
                    <w:jc w:val="center"/>
                    <w:rPr>
                      <w:color w:val="auto"/>
                      <w:sz w:val="21"/>
                      <w:szCs w:val="21"/>
                      <w:highlight w:val="none"/>
                    </w:rPr>
                  </w:pPr>
                  <w:r>
                    <w:rPr>
                      <w:rFonts w:hint="eastAsia"/>
                      <w:color w:val="auto"/>
                      <w:sz w:val="21"/>
                      <w:szCs w:val="21"/>
                      <w:highlight w:val="none"/>
                    </w:rPr>
                    <w:t>货物招标</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服务招标</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5" w:hRule="atLeast"/>
                <w:tblCellSpacing w:w="0" w:type="dxa"/>
                <w:jc w:val="center"/>
              </w:trPr>
              <w:tc>
                <w:tcPr>
                  <w:tcW w:w="311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100以下</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5" w:hRule="atLeast"/>
                <w:tblCellSpacing w:w="0" w:type="dxa"/>
                <w:jc w:val="center"/>
              </w:trPr>
              <w:tc>
                <w:tcPr>
                  <w:tcW w:w="311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100—500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5" w:hRule="atLeast"/>
                <w:tblCellSpacing w:w="0" w:type="dxa"/>
                <w:jc w:val="center"/>
              </w:trPr>
              <w:tc>
                <w:tcPr>
                  <w:tcW w:w="311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500—1000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0.45％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5" w:hRule="atLeast"/>
                <w:tblCellSpacing w:w="0" w:type="dxa"/>
                <w:jc w:val="center"/>
              </w:trPr>
              <w:tc>
                <w:tcPr>
                  <w:tcW w:w="311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1000—5000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5" w:hRule="atLeast"/>
                <w:tblCellSpacing w:w="0" w:type="dxa"/>
                <w:jc w:val="center"/>
              </w:trPr>
              <w:tc>
                <w:tcPr>
                  <w:tcW w:w="311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5000—10000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5" w:hRule="atLeast"/>
                <w:tblCellSpacing w:w="0" w:type="dxa"/>
                <w:jc w:val="center"/>
              </w:trPr>
              <w:tc>
                <w:tcPr>
                  <w:tcW w:w="311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10000——100000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0" w:hRule="atLeast"/>
                <w:tblCellSpacing w:w="0" w:type="dxa"/>
                <w:jc w:val="center"/>
              </w:trPr>
              <w:tc>
                <w:tcPr>
                  <w:tcW w:w="311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1000000以上</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r>
          </w:tbl>
          <w:p>
            <w:pPr>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19</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是否允许分包</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不允许</w:t>
            </w:r>
            <w:r>
              <w:rPr>
                <w:rFonts w:hint="eastAsia" w:ascii="宋体" w:hAnsi="宋体" w:cs="宋体"/>
                <w:color w:val="auto"/>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20</w:t>
            </w:r>
          </w:p>
        </w:tc>
        <w:tc>
          <w:tcPr>
            <w:tcW w:w="1800" w:type="dxa"/>
            <w:tcBorders>
              <w:top w:val="sing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是否提供演示</w:t>
            </w:r>
          </w:p>
        </w:tc>
        <w:tc>
          <w:tcPr>
            <w:tcW w:w="6682" w:type="dxa"/>
            <w:tcBorders>
              <w:top w:val="single" w:color="auto" w:sz="4" w:space="0"/>
            </w:tcBorders>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不需要</w:t>
            </w:r>
            <w:r>
              <w:rPr>
                <w:rFonts w:hint="eastAsia" w:ascii="宋体" w:hAnsi="宋体" w:cs="宋体"/>
                <w:color w:val="auto"/>
                <w:highlight w:val="none"/>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hint="eastAsia" w:ascii="宋体" w:hAnsi="Times New Roman" w:eastAsia="宋体" w:cs="Times New Roman"/>
                <w:snapToGrid w:val="0"/>
                <w:color w:val="auto"/>
                <w:kern w:val="0"/>
                <w:sz w:val="21"/>
                <w:szCs w:val="21"/>
                <w:highlight w:val="none"/>
                <w:lang w:val="en-US" w:eastAsia="zh-CN" w:bidi="ar-SA"/>
              </w:rPr>
            </w:pPr>
            <w:r>
              <w:rPr>
                <w:rFonts w:hint="eastAsia" w:ascii="宋体" w:hAnsi="宋体" w:cs="宋体"/>
                <w:snapToGrid w:val="0"/>
                <w:color w:val="auto"/>
                <w:kern w:val="0"/>
                <w:highlight w:val="none"/>
              </w:rPr>
              <w:t>21</w:t>
            </w:r>
          </w:p>
        </w:tc>
        <w:tc>
          <w:tcPr>
            <w:tcW w:w="1800" w:type="dxa"/>
            <w:vAlign w:val="center"/>
          </w:tcPr>
          <w:p>
            <w:pPr>
              <w:snapToGrid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预付款</w:t>
            </w:r>
          </w:p>
        </w:tc>
        <w:tc>
          <w:tcPr>
            <w:tcW w:w="6682" w:type="dxa"/>
            <w:vAlign w:val="top"/>
          </w:tcPr>
          <w:p>
            <w:pPr>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根据《浙江省财政厅关于进一步发挥政府采购政策功能全力推动经济稳进提质的通知》</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浙财采监〔2022）3号</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文件第</w:t>
            </w:r>
            <w:r>
              <w:rPr>
                <w:rFonts w:hint="eastAsia" w:ascii="宋体" w:hAnsi="宋体" w:cs="宋体"/>
                <w:color w:val="auto"/>
                <w:sz w:val="21"/>
                <w:szCs w:val="21"/>
                <w:highlight w:val="none"/>
                <w:lang w:eastAsia="zh-CN"/>
              </w:rPr>
              <w:t>二条第</w:t>
            </w:r>
            <w:r>
              <w:rPr>
                <w:rFonts w:hint="eastAsia" w:ascii="宋体" w:hAnsi="宋体" w:eastAsia="宋体" w:cs="宋体"/>
                <w:color w:val="auto"/>
                <w:sz w:val="21"/>
                <w:szCs w:val="21"/>
                <w:highlight w:val="none"/>
              </w:rPr>
              <w:t>五</w:t>
            </w:r>
            <w:r>
              <w:rPr>
                <w:rFonts w:hint="eastAsia" w:ascii="宋体" w:hAnsi="宋体" w:cs="宋体"/>
                <w:color w:val="auto"/>
                <w:sz w:val="21"/>
                <w:szCs w:val="21"/>
                <w:highlight w:val="none"/>
                <w:lang w:eastAsia="zh-CN"/>
              </w:rPr>
              <w:t>点</w:t>
            </w:r>
            <w:r>
              <w:rPr>
                <w:rFonts w:hint="eastAsia" w:ascii="宋体" w:hAnsi="宋体" w:eastAsia="宋体" w:cs="宋体"/>
                <w:color w:val="auto"/>
                <w:sz w:val="21"/>
                <w:szCs w:val="21"/>
                <w:highlight w:val="none"/>
              </w:rPr>
              <w:t>关于“进一步提高政府采购预付款比例”的规定</w:t>
            </w:r>
            <w:r>
              <w:rPr>
                <w:rFonts w:hint="eastAsia" w:ascii="宋体" w:hAnsi="宋体" w:cs="宋体"/>
                <w:color w:val="auto"/>
                <w:sz w:val="21"/>
                <w:szCs w:val="21"/>
                <w:highlight w:val="none"/>
                <w:lang w:eastAsia="zh-CN"/>
              </w:rPr>
              <w:t>：</w:t>
            </w:r>
          </w:p>
          <w:p>
            <w:pPr>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1、采购单位</w:t>
            </w:r>
            <w:r>
              <w:rPr>
                <w:rFonts w:hint="eastAsia" w:ascii="宋体" w:hAnsi="宋体" w:cs="宋体"/>
                <w:color w:val="auto"/>
                <w:sz w:val="21"/>
                <w:szCs w:val="21"/>
                <w:highlight w:val="none"/>
                <w:lang w:eastAsia="zh-CN"/>
              </w:rPr>
              <w:t>应当在政府采购合同中约定预付款；</w:t>
            </w:r>
          </w:p>
          <w:p>
            <w:pPr>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项目涉及中小企业合同预付款的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合同签订后，采购人可以</w:t>
            </w:r>
            <w:r>
              <w:rPr>
                <w:rFonts w:hint="eastAsia" w:ascii="宋体" w:hAnsi="宋体" w:cs="宋体"/>
                <w:color w:val="auto"/>
                <w:sz w:val="21"/>
                <w:szCs w:val="21"/>
                <w:highlight w:val="none"/>
                <w:lang w:eastAsia="zh-CN"/>
              </w:rPr>
              <w:t>根据项目特点、供应商诚信等因素</w:t>
            </w:r>
            <w:r>
              <w:rPr>
                <w:rFonts w:hint="eastAsia" w:ascii="宋体" w:hAnsi="宋体" w:eastAsia="宋体" w:cs="宋体"/>
                <w:color w:val="auto"/>
                <w:sz w:val="21"/>
                <w:szCs w:val="21"/>
                <w:highlight w:val="none"/>
              </w:rPr>
              <w:t>要求中标人</w:t>
            </w:r>
            <w:r>
              <w:rPr>
                <w:rFonts w:hint="eastAsia" w:ascii="宋体" w:hAnsi="宋体" w:cs="宋体"/>
                <w:color w:val="auto"/>
                <w:sz w:val="21"/>
                <w:szCs w:val="21"/>
                <w:highlight w:val="none"/>
                <w:lang w:val="en-US" w:eastAsia="zh-CN"/>
              </w:rPr>
              <w:t>提交</w:t>
            </w:r>
            <w:r>
              <w:rPr>
                <w:rFonts w:hint="eastAsia" w:ascii="宋体" w:hAnsi="宋体" w:eastAsia="宋体" w:cs="宋体"/>
                <w:color w:val="auto"/>
                <w:sz w:val="21"/>
                <w:szCs w:val="21"/>
                <w:highlight w:val="none"/>
              </w:rPr>
              <w:t>银行、保险公司等金融机构出具的预付款保函或其他担保措施，采购人</w:t>
            </w:r>
            <w:r>
              <w:rPr>
                <w:rFonts w:hint="eastAsia" w:ascii="宋体" w:hAnsi="宋体" w:cs="宋体"/>
                <w:color w:val="auto"/>
                <w:sz w:val="21"/>
                <w:szCs w:val="21"/>
                <w:highlight w:val="none"/>
                <w:lang w:eastAsia="zh-CN"/>
              </w:rPr>
              <w:t>在合同生效以及具备实施条件后</w:t>
            </w:r>
            <w:r>
              <w:rPr>
                <w:rFonts w:hint="eastAsia" w:ascii="宋体" w:hAnsi="宋体" w:cs="宋体"/>
                <w:color w:val="auto"/>
                <w:sz w:val="21"/>
                <w:szCs w:val="21"/>
                <w:highlight w:val="none"/>
                <w:lang w:val="en-US" w:eastAsia="zh-CN"/>
              </w:rPr>
              <w:t>7个工作日内</w:t>
            </w:r>
            <w:r>
              <w:rPr>
                <w:rFonts w:hint="eastAsia" w:ascii="宋体" w:hAnsi="宋体" w:eastAsia="宋体" w:cs="宋体"/>
                <w:color w:val="auto"/>
                <w:sz w:val="21"/>
                <w:szCs w:val="21"/>
                <w:highlight w:val="none"/>
              </w:rPr>
              <w:t>向中标人支付</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0%-70%的合同款作为预付款（项目为分年安排预算的，预付款按年度计划支付资金额的上述比例执行）；项目如以人工投入为主，采购人</w:t>
            </w:r>
            <w:r>
              <w:rPr>
                <w:rFonts w:hint="eastAsia" w:ascii="宋体" w:hAnsi="宋体" w:cs="宋体"/>
                <w:color w:val="auto"/>
                <w:sz w:val="21"/>
                <w:szCs w:val="21"/>
                <w:highlight w:val="none"/>
                <w:lang w:eastAsia="zh-CN"/>
              </w:rPr>
              <w:t>在合同生效以及具备实施条件后</w:t>
            </w:r>
            <w:r>
              <w:rPr>
                <w:rFonts w:hint="eastAsia" w:ascii="宋体" w:hAnsi="宋体" w:cs="宋体"/>
                <w:color w:val="auto"/>
                <w:sz w:val="21"/>
                <w:szCs w:val="21"/>
                <w:highlight w:val="none"/>
                <w:lang w:val="en-US" w:eastAsia="zh-CN"/>
              </w:rPr>
              <w:t>7个工作日内</w:t>
            </w:r>
            <w:r>
              <w:rPr>
                <w:rFonts w:hint="eastAsia" w:ascii="宋体" w:hAnsi="宋体" w:eastAsia="宋体" w:cs="宋体"/>
                <w:color w:val="auto"/>
                <w:sz w:val="21"/>
                <w:szCs w:val="21"/>
                <w:highlight w:val="none"/>
              </w:rPr>
              <w:t>向中标人支付20%-70%的合同款作为预付款。</w:t>
            </w:r>
          </w:p>
          <w:p>
            <w:pPr>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本项目涉及投标人为大型企业，或者以人工投入为主且实行按月定期结算支付款项的，预付款可低于上述比例或者不约定预付款</w:t>
            </w:r>
            <w:r>
              <w:rPr>
                <w:rFonts w:hint="eastAsia" w:ascii="宋体" w:hAnsi="宋体" w:cs="宋体"/>
                <w:color w:val="auto"/>
                <w:sz w:val="21"/>
                <w:szCs w:val="21"/>
                <w:highlight w:val="none"/>
                <w:lang w:eastAsia="zh-CN"/>
              </w:rPr>
              <w:t>（相应字样应在合同中体现）</w:t>
            </w:r>
            <w:r>
              <w:rPr>
                <w:rFonts w:hint="eastAsia" w:ascii="宋体" w:hAnsi="宋体" w:eastAsia="宋体" w:cs="宋体"/>
                <w:color w:val="auto"/>
                <w:sz w:val="21"/>
                <w:szCs w:val="21"/>
                <w:highlight w:val="none"/>
              </w:rPr>
              <w:t>。</w:t>
            </w:r>
          </w:p>
          <w:p>
            <w:pPr>
              <w:ind w:firstLine="420" w:firstLineChars="200"/>
              <w:rPr>
                <w:rFonts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在签订合同时，中标人明确表示无需预付款或者主动要求降低预付款比例的，</w:t>
            </w:r>
            <w:r>
              <w:rPr>
                <w:rFonts w:hint="eastAsia" w:ascii="宋体" w:hAnsi="宋体" w:cs="宋体"/>
                <w:color w:val="auto"/>
                <w:sz w:val="21"/>
                <w:szCs w:val="21"/>
                <w:highlight w:val="none"/>
                <w:lang w:eastAsia="zh-CN"/>
              </w:rPr>
              <w:t>应</w:t>
            </w:r>
            <w:r>
              <w:rPr>
                <w:rFonts w:hint="eastAsia" w:ascii="宋体" w:hAnsi="宋体" w:eastAsia="宋体" w:cs="宋体"/>
                <w:color w:val="auto"/>
                <w:sz w:val="21"/>
                <w:szCs w:val="21"/>
                <w:highlight w:val="none"/>
              </w:rPr>
              <w:t>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Times New Roman" w:eastAsia="宋体" w:cs="Times New Roman"/>
                <w:snapToGrid w:val="0"/>
                <w:color w:val="auto"/>
                <w:kern w:val="0"/>
                <w:sz w:val="21"/>
                <w:szCs w:val="21"/>
                <w:highlight w:val="none"/>
                <w:lang w:val="en-US" w:eastAsia="zh-CN" w:bidi="ar-SA"/>
              </w:rPr>
            </w:pPr>
            <w:r>
              <w:rPr>
                <w:rFonts w:hint="eastAsia" w:ascii="宋体" w:hAnsi="宋体" w:cs="宋体"/>
                <w:snapToGrid w:val="0"/>
                <w:color w:val="auto"/>
                <w:kern w:val="0"/>
                <w:highlight w:val="none"/>
              </w:rPr>
              <w:t>22</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供应商信用信息查询渠道及截止时点、信用信息查询记录和证据留存的具体方式、信用信息的使用规则</w:t>
            </w:r>
          </w:p>
        </w:tc>
        <w:tc>
          <w:tcPr>
            <w:tcW w:w="6682" w:type="dxa"/>
            <w:vAlign w:val="center"/>
          </w:tcPr>
          <w:p>
            <w:pPr>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、查询渠道：信用中国（网址：</w:t>
            </w:r>
            <w:r>
              <w:rPr>
                <w:rFonts w:ascii="宋体" w:hAnsi="宋体" w:cs="宋体"/>
                <w:color w:val="auto"/>
                <w:highlight w:val="none"/>
              </w:rPr>
              <w:t>http://www.creditchina.gov.cn</w:t>
            </w:r>
            <w:r>
              <w:rPr>
                <w:rFonts w:hint="eastAsia" w:ascii="宋体" w:hAnsi="宋体" w:cs="宋体"/>
                <w:color w:val="auto"/>
                <w:highlight w:val="none"/>
              </w:rPr>
              <w:t>）、中国政府采购网</w:t>
            </w:r>
            <w:r>
              <w:rPr>
                <w:rFonts w:ascii="宋体" w:hAnsi="宋体" w:cs="宋体"/>
                <w:color w:val="auto"/>
                <w:highlight w:val="none"/>
              </w:rPr>
              <w:t>(</w:t>
            </w:r>
            <w:r>
              <w:rPr>
                <w:rFonts w:hint="eastAsia" w:ascii="宋体" w:hAnsi="宋体" w:cs="宋体"/>
                <w:color w:val="auto"/>
                <w:highlight w:val="none"/>
              </w:rPr>
              <w:t>网址：</w:t>
            </w:r>
            <w:r>
              <w:rPr>
                <w:rFonts w:ascii="宋体" w:hAnsi="宋体" w:cs="宋体"/>
                <w:color w:val="auto"/>
                <w:highlight w:val="none"/>
              </w:rPr>
              <w:t>http://www.ccgp.gov.cn</w:t>
            </w:r>
            <w:r>
              <w:rPr>
                <w:rFonts w:hint="eastAsia" w:ascii="宋体" w:hAnsi="宋体" w:cs="宋体"/>
                <w:color w:val="auto"/>
                <w:highlight w:val="none"/>
              </w:rPr>
              <w:t>）。</w:t>
            </w:r>
          </w:p>
          <w:p>
            <w:pPr>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、截止时点：开标后评标前。</w:t>
            </w:r>
          </w:p>
          <w:p>
            <w:pPr>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、信用信息查询记录和证据留存的具体方式：由采购组织机构在规定查询时间内打印信用信息查询记录并归入项目档案。</w:t>
            </w:r>
          </w:p>
          <w:p>
            <w:pPr>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hAnsi="Times New Roman" w:eastAsia="宋体" w:cs="Times New Roman"/>
                <w:snapToGrid w:val="0"/>
                <w:color w:val="auto"/>
                <w:kern w:val="0"/>
                <w:sz w:val="21"/>
                <w:szCs w:val="21"/>
                <w:highlight w:val="none"/>
                <w:lang w:val="en-US" w:eastAsia="zh-CN" w:bidi="ar-SA"/>
              </w:rPr>
            </w:pPr>
            <w:r>
              <w:rPr>
                <w:rFonts w:hint="eastAsia" w:ascii="宋体" w:hAnsi="宋体" w:cs="宋体"/>
                <w:snapToGrid w:val="0"/>
                <w:color w:val="auto"/>
                <w:kern w:val="0"/>
                <w:highlight w:val="none"/>
              </w:rPr>
              <w:t>23</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金融支持</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为支持和促进中小企业发展，进一步发挥政府采购政策功能，浙江省财政厅出台浙财采监〔</w:t>
            </w:r>
            <w:r>
              <w:rPr>
                <w:rFonts w:ascii="宋体" w:hAnsi="宋体" w:cs="宋体"/>
                <w:color w:val="auto"/>
                <w:highlight w:val="none"/>
              </w:rPr>
              <w:t>2020</w:t>
            </w:r>
            <w:r>
              <w:rPr>
                <w:rFonts w:hint="eastAsia" w:ascii="宋体" w:hAnsi="宋体" w:cs="宋体"/>
                <w:color w:val="auto"/>
                <w:highlight w:val="none"/>
              </w:rPr>
              <w:t>〕</w:t>
            </w:r>
            <w:r>
              <w:rPr>
                <w:rFonts w:ascii="宋体" w:hAnsi="宋体" w:cs="宋体"/>
                <w:color w:val="auto"/>
                <w:highlight w:val="none"/>
              </w:rPr>
              <w:t xml:space="preserve">3 </w:t>
            </w:r>
            <w:r>
              <w:rPr>
                <w:rFonts w:hint="eastAsia" w:ascii="宋体" w:hAnsi="宋体" w:cs="宋体"/>
                <w:color w:val="auto"/>
                <w:highlight w:val="none"/>
              </w:rPr>
              <w:t>号文件，企业若有融资意向，可登陆政采云平台融资服务（</w:t>
            </w:r>
            <w:r>
              <w:rPr>
                <w:rFonts w:ascii="宋体" w:hAnsi="宋体" w:cs="宋体"/>
                <w:color w:val="auto"/>
                <w:highlight w:val="none"/>
              </w:rPr>
              <w:t>https://jinrong.zcygov.cn/</w:t>
            </w:r>
            <w:r>
              <w:rPr>
                <w:rFonts w:hint="eastAsia" w:ascii="宋体" w:hAnsi="宋体" w:cs="宋体"/>
                <w:color w:val="auto"/>
                <w:highlight w:val="none"/>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spacing w:line="360" w:lineRule="exact"/>
              <w:jc w:val="center"/>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val="en-US" w:eastAsia="zh-CN"/>
              </w:rPr>
              <w:t>4</w:t>
            </w:r>
          </w:p>
        </w:tc>
        <w:tc>
          <w:tcPr>
            <w:tcW w:w="1800" w:type="dxa"/>
            <w:tcBorders>
              <w:bottom w:val="doub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其他</w:t>
            </w:r>
          </w:p>
        </w:tc>
        <w:tc>
          <w:tcPr>
            <w:tcW w:w="6682" w:type="dxa"/>
            <w:tcBorders>
              <w:bottom w:val="double" w:color="auto" w:sz="4" w:space="0"/>
            </w:tcBorders>
            <w:vAlign w:val="center"/>
          </w:tcPr>
          <w:p>
            <w:pPr>
              <w:numPr>
                <w:ilvl w:val="0"/>
                <w:numId w:val="8"/>
              </w:numPr>
              <w:ind w:firstLine="422" w:firstLineChars="200"/>
              <w:rPr>
                <w:rFonts w:hint="eastAsia"/>
                <w:b/>
                <w:bCs/>
                <w:color w:val="auto"/>
                <w:highlight w:val="none"/>
              </w:rPr>
            </w:pPr>
            <w:r>
              <w:rPr>
                <w:rFonts w:hint="eastAsia"/>
                <w:b/>
                <w:bCs/>
                <w:color w:val="auto"/>
                <w:highlight w:val="none"/>
              </w:rPr>
              <w:t>本磋商文件要求提供的身份证复印件皆需提供正反面，否则按不提供处理。</w:t>
            </w:r>
          </w:p>
          <w:p>
            <w:pPr>
              <w:ind w:firstLine="420" w:firstLineChars="200"/>
              <w:rPr>
                <w:rFonts w:ascii="宋体"/>
                <w:b/>
                <w:bCs/>
                <w:color w:val="auto"/>
                <w:highlight w:val="none"/>
              </w:rPr>
            </w:pPr>
            <w:r>
              <w:rPr>
                <w:rFonts w:hint="eastAsia" w:ascii="Times New Roman" w:hAnsi="Times New Roman" w:eastAsia="宋体" w:cs="Times New Roman"/>
                <w:b w:val="0"/>
                <w:bCs w:val="0"/>
                <w:color w:val="auto"/>
                <w:kern w:val="2"/>
                <w:sz w:val="21"/>
                <w:szCs w:val="21"/>
                <w:highlight w:val="none"/>
                <w:lang w:val="en-US" w:eastAsia="zh-CN" w:bidi="ar-SA"/>
              </w:rPr>
              <w:t>2、本项目货物如涉及柴油动力移动源，柴油动力移动源应当符合低排放要求。</w:t>
            </w:r>
          </w:p>
        </w:tc>
      </w:tr>
    </w:tbl>
    <w:p>
      <w:pPr>
        <w:pStyle w:val="3"/>
        <w:rPr>
          <w:rFonts w:ascii="宋体"/>
          <w:color w:val="auto"/>
          <w:highlight w:val="none"/>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highlight w:val="none"/>
        </w:rPr>
        <w:t>注：以上内容如有变化将另行通知。如通知其中某一内容发生变化，其余未提及的将不作变动。</w:t>
      </w:r>
    </w:p>
    <w:p>
      <w:pPr>
        <w:pStyle w:val="2"/>
        <w:numPr>
          <w:ilvl w:val="0"/>
          <w:numId w:val="9"/>
        </w:numPr>
        <w:spacing w:line="336" w:lineRule="auto"/>
        <w:jc w:val="center"/>
        <w:rPr>
          <w:rFonts w:hAnsi="宋体" w:cs="Times New Roman"/>
          <w:color w:val="auto"/>
          <w:highlight w:val="none"/>
        </w:rPr>
      </w:pPr>
      <w:r>
        <w:rPr>
          <w:rFonts w:hAnsi="宋体"/>
          <w:color w:val="auto"/>
          <w:highlight w:val="none"/>
        </w:rPr>
        <w:t xml:space="preserve"> </w:t>
      </w:r>
      <w:bookmarkStart w:id="12" w:name="_Toc20645"/>
      <w:bookmarkStart w:id="13" w:name="_Toc25187"/>
      <w:r>
        <w:rPr>
          <w:rFonts w:hint="eastAsia" w:hAnsi="宋体"/>
          <w:color w:val="auto"/>
          <w:highlight w:val="none"/>
        </w:rPr>
        <w:t>总则</w:t>
      </w:r>
      <w:bookmarkEnd w:id="12"/>
      <w:bookmarkEnd w:id="13"/>
    </w:p>
    <w:p>
      <w:pPr>
        <w:spacing w:line="336" w:lineRule="auto"/>
        <w:ind w:firstLine="480" w:firstLineChars="200"/>
        <w:rPr>
          <w:color w:val="auto"/>
          <w:highlight w:val="none"/>
        </w:rPr>
      </w:pPr>
      <w:r>
        <w:rPr>
          <w:rFonts w:hint="eastAsia" w:cs="宋体"/>
          <w:color w:val="auto"/>
          <w:sz w:val="24"/>
          <w:szCs w:val="24"/>
          <w:highlight w:val="none"/>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、适用范围</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本次磋商工作仅适用于</w:t>
      </w:r>
      <w:r>
        <w:rPr>
          <w:rFonts w:hint="eastAsia" w:ascii="宋体" w:hAnsi="宋体" w:cs="宋体"/>
          <w:color w:val="auto"/>
          <w:sz w:val="24"/>
          <w:szCs w:val="24"/>
          <w:highlight w:val="none"/>
          <w:u w:val="single"/>
        </w:rPr>
        <w:t>上虞区地下水监测井建设工程项目</w:t>
      </w:r>
      <w:r>
        <w:rPr>
          <w:rFonts w:hint="eastAsia" w:ascii="宋体" w:hAnsi="宋体" w:cs="宋体"/>
          <w:color w:val="auto"/>
          <w:sz w:val="24"/>
          <w:szCs w:val="24"/>
          <w:highlight w:val="none"/>
        </w:rPr>
        <w:t>。</w:t>
      </w:r>
    </w:p>
    <w:p>
      <w:pPr>
        <w:pStyle w:val="25"/>
        <w:numPr>
          <w:ilvl w:val="0"/>
          <w:numId w:val="0"/>
        </w:numPr>
        <w:spacing w:line="336" w:lineRule="auto"/>
        <w:ind w:firstLine="480" w:firstLineChars="200"/>
        <w:rPr>
          <w:b w:val="0"/>
          <w:bCs w:val="0"/>
          <w:color w:val="auto"/>
          <w:highlight w:val="none"/>
        </w:rPr>
      </w:pPr>
      <w:r>
        <w:rPr>
          <w:rFonts w:hAnsi="宋体"/>
          <w:b w:val="0"/>
          <w:bCs w:val="0"/>
          <w:color w:val="auto"/>
          <w:sz w:val="24"/>
          <w:szCs w:val="24"/>
          <w:highlight w:val="none"/>
        </w:rPr>
        <w:t>1.2</w:t>
      </w:r>
      <w:r>
        <w:rPr>
          <w:rFonts w:hint="eastAsia" w:hAnsi="宋体"/>
          <w:b w:val="0"/>
          <w:bCs w:val="0"/>
          <w:color w:val="auto"/>
          <w:sz w:val="24"/>
          <w:szCs w:val="24"/>
          <w:highlight w:val="none"/>
        </w:rPr>
        <w:t>本项目采购方式采用竞争性磋商方式。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、定义</w:t>
      </w:r>
    </w:p>
    <w:p>
      <w:pPr>
        <w:spacing w:line="336" w:lineRule="auto"/>
        <w:ind w:firstLine="480" w:firstLineChars="200"/>
        <w:rPr>
          <w:rFonts w:ascii="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采购人”系指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绍兴市自然资源和规划局上虞分局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。采购人委托</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为本项目采购代理机构。</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2.2</w:t>
      </w:r>
      <w:r>
        <w:rPr>
          <w:rFonts w:hint="eastAsia" w:ascii="宋体" w:hAnsi="宋体" w:cs="宋体"/>
          <w:color w:val="auto"/>
          <w:sz w:val="24"/>
          <w:szCs w:val="24"/>
          <w:highlight w:val="none"/>
        </w:rPr>
        <w:t>“磋商供应商”系指响应本次采购，参加本次竞争性磋商的供应商。</w:t>
      </w:r>
    </w:p>
    <w:p>
      <w:pPr>
        <w:spacing w:line="336" w:lineRule="auto"/>
        <w:ind w:firstLine="480" w:firstLineChars="200"/>
        <w:rPr>
          <w:rFonts w:ascii="宋体"/>
          <w:color w:val="auto"/>
          <w:sz w:val="24"/>
          <w:szCs w:val="24"/>
          <w:highlight w:val="none"/>
          <w:lang w:val="zh-CN"/>
        </w:rPr>
      </w:pPr>
      <w:r>
        <w:rPr>
          <w:rFonts w:ascii="宋体" w:hAnsi="宋体" w:cs="宋体"/>
          <w:color w:val="auto"/>
          <w:sz w:val="24"/>
          <w:szCs w:val="24"/>
          <w:highlight w:val="none"/>
        </w:rPr>
        <w:t>2.3</w:t>
      </w:r>
      <w:r>
        <w:rPr>
          <w:rFonts w:hint="eastAsia" w:ascii="宋体" w:hAnsi="宋体" w:cs="宋体"/>
          <w:color w:val="auto"/>
          <w:sz w:val="24"/>
          <w:szCs w:val="24"/>
          <w:highlight w:val="none"/>
          <w:lang w:val="zh-CN"/>
        </w:rPr>
        <w:t>“服务”系指</w:t>
      </w:r>
      <w:r>
        <w:rPr>
          <w:rFonts w:hint="eastAsia" w:ascii="宋体" w:hAnsi="宋体" w:cs="宋体"/>
          <w:color w:val="auto"/>
          <w:sz w:val="24"/>
          <w:szCs w:val="24"/>
          <w:highlight w:val="none"/>
        </w:rPr>
        <w:t>磋商供应商按合同规定，须承担的服务的义务</w:t>
      </w:r>
      <w:r>
        <w:rPr>
          <w:rFonts w:hint="eastAsia" w:ascii="宋体" w:hAnsi="宋体" w:cs="宋体"/>
          <w:color w:val="auto"/>
          <w:sz w:val="24"/>
          <w:szCs w:val="24"/>
          <w:highlight w:val="none"/>
          <w:lang w:val="zh-CN"/>
        </w:rPr>
        <w:t>。</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、采购项目概况</w:t>
      </w:r>
      <w:r>
        <w:rPr>
          <w:rFonts w:ascii="宋体"/>
          <w:b/>
          <w:bCs/>
          <w:color w:val="auto"/>
          <w:sz w:val="24"/>
          <w:szCs w:val="24"/>
          <w:highlight w:val="none"/>
        </w:rPr>
        <w:tab/>
      </w:r>
      <w:r>
        <w:rPr>
          <w:rFonts w:ascii="宋体"/>
          <w:b/>
          <w:bCs/>
          <w:color w:val="auto"/>
          <w:sz w:val="24"/>
          <w:szCs w:val="24"/>
          <w:highlight w:val="none"/>
        </w:rPr>
        <w:tab/>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详见竞争性磋商公告相关内容，主要要求参见本文件第</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三</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部分。</w:t>
      </w:r>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、合格的磋商供应商</w:t>
      </w:r>
    </w:p>
    <w:p>
      <w:pPr>
        <w:spacing w:line="336" w:lineRule="auto"/>
        <w:ind w:firstLine="480" w:firstLineChars="200"/>
        <w:rPr>
          <w:rFonts w:ascii="宋体"/>
          <w:color w:val="auto"/>
          <w:sz w:val="24"/>
          <w:szCs w:val="24"/>
          <w:highlight w:val="none"/>
        </w:rPr>
      </w:pPr>
      <w:bookmarkStart w:id="14" w:name="_Toc193523219"/>
      <w:bookmarkStart w:id="15" w:name="_Toc204683265"/>
      <w:bookmarkStart w:id="16" w:name="_Toc209435242"/>
      <w:bookmarkStart w:id="17" w:name="_Toc209504018"/>
      <w:bookmarkStart w:id="18" w:name="_Toc208913145"/>
      <w:bookmarkStart w:id="19" w:name="_Toc207946571"/>
      <w:bookmarkStart w:id="20" w:name="_Toc209520993"/>
      <w:bookmarkStart w:id="21" w:name="_Toc208287611"/>
      <w:bookmarkStart w:id="22" w:name="_Toc193538208"/>
      <w:bookmarkStart w:id="23" w:name="_Toc211412066"/>
      <w:bookmarkStart w:id="24" w:name="_Toc197156227"/>
      <w:bookmarkStart w:id="25" w:name="_Toc197657950"/>
      <w:bookmarkStart w:id="26" w:name="_Toc197053926"/>
      <w:bookmarkStart w:id="27" w:name="_Toc197163261"/>
      <w:r>
        <w:rPr>
          <w:rFonts w:hint="eastAsia" w:ascii="宋体" w:hAnsi="宋体" w:cs="宋体"/>
          <w:color w:val="auto"/>
          <w:sz w:val="24"/>
          <w:szCs w:val="24"/>
          <w:highlight w:val="none"/>
        </w:rPr>
        <w:t>详见竞争性磋商采购公告磋商供应商的资格要求规定。</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hint="eastAsia" w:ascii="宋体" w:hAnsi="宋体" w:cs="宋体"/>
          <w:b/>
          <w:bCs/>
          <w:color w:val="auto"/>
          <w:sz w:val="24"/>
          <w:szCs w:val="24"/>
          <w:highlight w:val="none"/>
        </w:rPr>
        <w:t>、磋商费用</w:t>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磋商供应商应承担其参加磋商所涉及的一切费用，不管结果如何，采购人对上述费用不负任何责任。</w:t>
      </w:r>
    </w:p>
    <w:p>
      <w:pPr>
        <w:pStyle w:val="2"/>
        <w:numPr>
          <w:ilvl w:val="0"/>
          <w:numId w:val="9"/>
        </w:numPr>
        <w:spacing w:line="336" w:lineRule="auto"/>
        <w:jc w:val="center"/>
        <w:rPr>
          <w:rFonts w:cs="Times New Roman"/>
          <w:color w:val="auto"/>
          <w:highlight w:val="none"/>
        </w:rPr>
      </w:pPr>
      <w:bookmarkStart w:id="28" w:name="_Toc416992151"/>
      <w:bookmarkStart w:id="29" w:name="_Toc25923"/>
      <w:bookmarkStart w:id="30" w:name="_Toc32689"/>
      <w:r>
        <w:rPr>
          <w:color w:val="auto"/>
          <w:highlight w:val="none"/>
        </w:rPr>
        <w:t xml:space="preserve"> </w:t>
      </w:r>
      <w:bookmarkStart w:id="31" w:name="_Toc11814"/>
      <w:bookmarkStart w:id="32" w:name="_Toc7247"/>
      <w:r>
        <w:rPr>
          <w:rFonts w:hint="eastAsia"/>
          <w:color w:val="auto"/>
          <w:highlight w:val="none"/>
        </w:rPr>
        <w:t>竞争性磋商文件</w:t>
      </w:r>
      <w:bookmarkEnd w:id="28"/>
      <w:bookmarkEnd w:id="29"/>
      <w:bookmarkEnd w:id="30"/>
      <w:bookmarkEnd w:id="31"/>
      <w:bookmarkEnd w:id="32"/>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6</w:t>
      </w:r>
      <w:r>
        <w:rPr>
          <w:rFonts w:hint="eastAsia" w:ascii="宋体" w:hAnsi="宋体" w:cs="宋体"/>
          <w:b/>
          <w:bCs/>
          <w:color w:val="auto"/>
          <w:sz w:val="24"/>
          <w:szCs w:val="24"/>
          <w:highlight w:val="none"/>
        </w:rPr>
        <w:t>、磋商文件的组成</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6.1</w:t>
      </w:r>
      <w:r>
        <w:rPr>
          <w:rFonts w:hint="eastAsia" w:ascii="宋体" w:hAnsi="宋体" w:cs="宋体"/>
          <w:color w:val="auto"/>
          <w:sz w:val="24"/>
          <w:szCs w:val="24"/>
          <w:highlight w:val="none"/>
        </w:rPr>
        <w:t>本磋商文件包括目录所示内容及所有按本须知发出的补充资料（如果有）。</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6.2</w:t>
      </w:r>
      <w:r>
        <w:rPr>
          <w:rFonts w:hint="eastAsia" w:ascii="宋体" w:hAnsi="宋体" w:cs="宋体"/>
          <w:color w:val="auto"/>
          <w:sz w:val="24"/>
          <w:szCs w:val="24"/>
          <w:highlight w:val="none"/>
        </w:rPr>
        <w:t>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6.3</w:t>
      </w:r>
      <w:r>
        <w:rPr>
          <w:rFonts w:hint="eastAsia" w:ascii="宋体" w:hAnsi="宋体" w:cs="宋体"/>
          <w:color w:val="auto"/>
          <w:sz w:val="24"/>
          <w:szCs w:val="24"/>
          <w:highlight w:val="none"/>
        </w:rPr>
        <w:t>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6.4</w:t>
      </w:r>
      <w:r>
        <w:rPr>
          <w:rFonts w:hint="eastAsia" w:ascii="宋体" w:hAnsi="宋体" w:cs="宋体"/>
          <w:color w:val="auto"/>
          <w:sz w:val="24"/>
          <w:szCs w:val="24"/>
          <w:highlight w:val="none"/>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ascii="宋体"/>
          <w:b/>
          <w:bCs/>
          <w:color w:val="auto"/>
          <w:sz w:val="24"/>
          <w:szCs w:val="24"/>
          <w:highlight w:val="none"/>
        </w:rPr>
      </w:pPr>
      <w:r>
        <w:rPr>
          <w:rFonts w:ascii="宋体" w:hAnsi="宋体" w:cs="宋体"/>
          <w:b/>
          <w:bCs/>
          <w:color w:val="auto"/>
          <w:sz w:val="24"/>
          <w:szCs w:val="24"/>
          <w:highlight w:val="none"/>
        </w:rPr>
        <w:t>7</w:t>
      </w:r>
      <w:r>
        <w:rPr>
          <w:rFonts w:hint="eastAsia" w:ascii="宋体" w:hAnsi="宋体" w:cs="宋体"/>
          <w:b/>
          <w:bCs/>
          <w:color w:val="auto"/>
          <w:sz w:val="24"/>
          <w:szCs w:val="24"/>
          <w:highlight w:val="none"/>
        </w:rPr>
        <w:t>、磋商文件的澄清与修改</w:t>
      </w:r>
    </w:p>
    <w:p>
      <w:pPr>
        <w:pStyle w:val="13"/>
        <w:spacing w:line="336" w:lineRule="auto"/>
        <w:ind w:firstLine="480" w:firstLineChars="200"/>
        <w:rPr>
          <w:rFonts w:cs="Times New Roman"/>
          <w:color w:val="auto"/>
          <w:highlight w:val="none"/>
        </w:rPr>
      </w:pPr>
      <w:r>
        <w:rPr>
          <w:color w:val="auto"/>
          <w:highlight w:val="none"/>
        </w:rPr>
        <w:t>7.1</w:t>
      </w:r>
      <w:r>
        <w:rPr>
          <w:rFonts w:hint="eastAsia"/>
          <w:color w:val="auto"/>
          <w:highlight w:val="none"/>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3"/>
        <w:spacing w:line="336" w:lineRule="auto"/>
        <w:ind w:right="-252" w:rightChars="-120" w:firstLine="480" w:firstLineChars="200"/>
        <w:rPr>
          <w:rFonts w:cs="Times New Roman"/>
          <w:color w:val="auto"/>
          <w:highlight w:val="none"/>
        </w:rPr>
      </w:pPr>
      <w:r>
        <w:rPr>
          <w:color w:val="auto"/>
          <w:highlight w:val="none"/>
        </w:rPr>
        <w:t>7.2</w:t>
      </w:r>
      <w:r>
        <w:rPr>
          <w:rFonts w:hint="eastAsia"/>
          <w:color w:val="auto"/>
          <w:highlight w:val="none"/>
        </w:rPr>
        <w:t>磋商供应商要求解释或澄清的问题应以书面形式，并加盖公章、写明日期。</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7.3</w:t>
      </w:r>
      <w:r>
        <w:rPr>
          <w:rFonts w:hint="eastAsia" w:ascii="宋体" w:hAnsi="宋体" w:cs="宋体"/>
          <w:color w:val="auto"/>
          <w:sz w:val="24"/>
          <w:szCs w:val="24"/>
          <w:highlight w:val="none"/>
        </w:rPr>
        <w:t>提交响应文件截止之日前，采购人、采购代理机构或者磋商小组可以对已发出的磋商文件进行必要的澄清或者修改，澄清或者修改的内容作为磋商文件的组成部分。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rPr>
        <w:t>竞争性磋商文件的澄清修改文件及更正补充公告，请自行登录浙江政府采购网或绍兴市上虞区公共资源交易中心网站，在采购公告页面中下载。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rPr>
        <w:t>澄清或者修改的内容可能影响响应文件编制的，采购人、采购代理机构将在提交响应文件截止时间至少</w:t>
      </w:r>
      <w:r>
        <w:rPr>
          <w:rFonts w:ascii="宋体" w:hAnsi="宋体" w:cs="宋体"/>
          <w:color w:val="auto"/>
          <w:sz w:val="24"/>
          <w:szCs w:val="24"/>
          <w:highlight w:val="none"/>
        </w:rPr>
        <w:t>5</w:t>
      </w:r>
      <w:r>
        <w:rPr>
          <w:rFonts w:hint="eastAsia" w:ascii="宋体" w:hAnsi="宋体" w:cs="宋体"/>
          <w:color w:val="auto"/>
          <w:sz w:val="24"/>
          <w:szCs w:val="24"/>
          <w:highlight w:val="none"/>
        </w:rPr>
        <w:t>日前，以公告形式通知所有获取磋商文件的供应商；不足</w:t>
      </w:r>
      <w:r>
        <w:rPr>
          <w:rFonts w:ascii="宋体" w:hAnsi="宋体" w:cs="宋体"/>
          <w:color w:val="auto"/>
          <w:sz w:val="24"/>
          <w:szCs w:val="24"/>
          <w:highlight w:val="none"/>
        </w:rPr>
        <w:t>5</w:t>
      </w:r>
      <w:r>
        <w:rPr>
          <w:rFonts w:hint="eastAsia" w:ascii="宋体" w:hAnsi="宋体" w:cs="宋体"/>
          <w:color w:val="auto"/>
          <w:sz w:val="24"/>
          <w:szCs w:val="24"/>
          <w:highlight w:val="none"/>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rPr>
        <w:t>竞争性磋商文件澄清、答复、修改、补充的内容为竞争性磋商文件的组成部分。</w:t>
      </w:r>
    </w:p>
    <w:p>
      <w:pPr>
        <w:pStyle w:val="3"/>
        <w:spacing w:line="336" w:lineRule="auto"/>
        <w:rPr>
          <w:rFonts w:ascii="宋体"/>
          <w:color w:val="auto"/>
          <w:sz w:val="24"/>
          <w:szCs w:val="24"/>
          <w:highlight w:val="none"/>
        </w:rPr>
      </w:pPr>
      <w:r>
        <w:rPr>
          <w:rFonts w:ascii="宋体" w:hAnsi="宋体" w:cs="宋体"/>
          <w:color w:val="auto"/>
          <w:sz w:val="24"/>
          <w:szCs w:val="24"/>
          <w:highlight w:val="none"/>
        </w:rPr>
        <w:t>7.7</w:t>
      </w:r>
      <w:r>
        <w:rPr>
          <w:rFonts w:hint="eastAsia" w:ascii="宋体" w:hAnsi="宋体" w:cs="宋体"/>
          <w:color w:val="auto"/>
          <w:sz w:val="24"/>
          <w:szCs w:val="24"/>
          <w:highlight w:val="none"/>
        </w:rPr>
        <w:t>磋商文件发售截止日后，经采购人同意后购买磋商文件的磋商供应商不得对磋商文件和补充文件提出答疑或质疑。</w:t>
      </w:r>
    </w:p>
    <w:p>
      <w:pPr>
        <w:pStyle w:val="2"/>
        <w:numPr>
          <w:ilvl w:val="0"/>
          <w:numId w:val="9"/>
        </w:numPr>
        <w:spacing w:line="336" w:lineRule="auto"/>
        <w:jc w:val="center"/>
        <w:rPr>
          <w:rFonts w:cs="Times New Roman"/>
          <w:color w:val="auto"/>
          <w:highlight w:val="none"/>
        </w:rPr>
      </w:pPr>
      <w:bookmarkStart w:id="33" w:name="_Toc31748"/>
      <w:bookmarkStart w:id="34" w:name="_Toc6079"/>
      <w:bookmarkStart w:id="35" w:name="_Toc10669"/>
      <w:bookmarkStart w:id="36" w:name="_Toc10810"/>
      <w:bookmarkStart w:id="37" w:name="_Toc11669"/>
      <w:bookmarkStart w:id="38" w:name="_Toc7126"/>
      <w:bookmarkStart w:id="39" w:name="_Toc1729"/>
      <w:bookmarkStart w:id="40" w:name="_Toc11093"/>
      <w:bookmarkStart w:id="41" w:name="_Toc1202"/>
      <w:bookmarkStart w:id="42" w:name="_Toc18702"/>
      <w:bookmarkStart w:id="43" w:name="_Toc24622"/>
      <w:bookmarkStart w:id="44" w:name="_Toc8860"/>
      <w:bookmarkStart w:id="45" w:name="_Toc14650"/>
      <w:bookmarkStart w:id="46" w:name="_Toc6273"/>
      <w:bookmarkStart w:id="47" w:name="_Toc391298957"/>
      <w:bookmarkStart w:id="48" w:name="_Toc6457"/>
      <w:bookmarkStart w:id="49" w:name="_Toc23135"/>
      <w:bookmarkStart w:id="50" w:name="_Toc26027"/>
      <w:bookmarkStart w:id="51" w:name="_Toc11692"/>
      <w:bookmarkStart w:id="52" w:name="_Toc23975"/>
      <w:bookmarkStart w:id="53" w:name="_Toc26603"/>
      <w:bookmarkStart w:id="54" w:name="_Toc1828"/>
      <w:r>
        <w:rPr>
          <w:color w:val="auto"/>
          <w:highlight w:val="none"/>
        </w:rPr>
        <w:t xml:space="preserve"> </w:t>
      </w:r>
      <w:bookmarkStart w:id="55" w:name="_Toc22607"/>
      <w:bookmarkStart w:id="56" w:name="_Toc11515"/>
      <w:r>
        <w:rPr>
          <w:rFonts w:hint="eastAsia"/>
          <w:color w:val="auto"/>
          <w:highlight w:val="none"/>
        </w:rPr>
        <w:t>竞争性磋商响应文件的编写</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、要求</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8.2</w:t>
      </w:r>
      <w:r>
        <w:rPr>
          <w:rFonts w:hint="eastAsia" w:ascii="宋体" w:hAnsi="宋体" w:cs="宋体"/>
          <w:color w:val="auto"/>
          <w:sz w:val="24"/>
          <w:szCs w:val="24"/>
          <w:highlight w:val="none"/>
        </w:rPr>
        <w:t>报价</w:t>
      </w:r>
    </w:p>
    <w:p>
      <w:pPr>
        <w:spacing w:line="336" w:lineRule="auto"/>
        <w:ind w:firstLine="480" w:firstLineChars="200"/>
        <w:rPr>
          <w:rFonts w:ascii="宋体"/>
          <w:b/>
          <w:bCs/>
          <w:color w:val="auto"/>
          <w:sz w:val="24"/>
          <w:szCs w:val="24"/>
          <w:highlight w:val="none"/>
          <w:shd w:val="clear" w:color="FFFFFF" w:fill="D9D9D9"/>
        </w:rPr>
      </w:pPr>
      <w:r>
        <w:rPr>
          <w:rFonts w:ascii="宋体" w:hAnsi="宋体" w:cs="宋体"/>
          <w:color w:val="auto"/>
          <w:sz w:val="24"/>
          <w:szCs w:val="24"/>
          <w:highlight w:val="none"/>
        </w:rPr>
        <w:t>8.2.1</w:t>
      </w:r>
      <w:r>
        <w:rPr>
          <w:rFonts w:hint="eastAsia" w:ascii="宋体" w:hAnsi="宋体" w:cs="宋体"/>
          <w:color w:val="auto"/>
          <w:sz w:val="24"/>
          <w:szCs w:val="24"/>
          <w:highlight w:val="none"/>
        </w:rPr>
        <w:t>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48"/>
        <w:tabs>
          <w:tab w:val="left" w:pos="0"/>
        </w:tabs>
        <w:spacing w:line="336" w:lineRule="auto"/>
        <w:ind w:firstLine="480"/>
        <w:rPr>
          <w:rFonts w:ascii="宋体"/>
          <w:color w:val="auto"/>
          <w:highlight w:val="none"/>
          <w:u w:val="single"/>
        </w:rPr>
      </w:pPr>
      <w:r>
        <w:rPr>
          <w:rFonts w:ascii="宋体" w:hAnsi="宋体" w:cs="宋体"/>
          <w:color w:val="auto"/>
          <w:highlight w:val="none"/>
          <w:u w:val="single"/>
        </w:rPr>
        <w:t>8.2.2</w:t>
      </w:r>
      <w:r>
        <w:rPr>
          <w:rFonts w:hint="eastAsia" w:ascii="宋体" w:hAnsi="宋体" w:cs="宋体"/>
          <w:color w:val="auto"/>
          <w:highlight w:val="none"/>
          <w:u w:val="single"/>
        </w:rPr>
        <w:t>投标报价应包含项目所需全部服务，不得缺漏，是履行合同的最终价格（人员的工资福利、员工五险费(养老保险、医疗保险、失业保险、工伤保险、生育保险)、管理费、税费、</w:t>
      </w:r>
      <w:r>
        <w:rPr>
          <w:rFonts w:hint="eastAsia" w:hAnsi="宋体"/>
          <w:color w:val="auto"/>
          <w:highlight w:val="none"/>
          <w:u w:val="single"/>
        </w:rPr>
        <w:t>监测设备的采购安装费、</w:t>
      </w:r>
      <w:r>
        <w:rPr>
          <w:rFonts w:hint="eastAsia" w:ascii="宋体" w:hAnsi="宋体" w:cs="宋体"/>
          <w:color w:val="auto"/>
          <w:highlight w:val="none"/>
          <w:u w:val="single"/>
        </w:rPr>
        <w:t>质检费、专家费、人工成本费、管理费、办公用品、税费、调查项目竣工验收费和采购代理费等一切费用）。</w:t>
      </w:r>
      <w:r>
        <w:rPr>
          <w:rFonts w:hint="eastAsia" w:cs="宋体"/>
          <w:color w:val="auto"/>
          <w:highlight w:val="none"/>
        </w:rPr>
        <w:t>投标报价为供应商所能承受的最低、最终报价，供应商不得再要求追加任何费用。</w:t>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宋体"/>
          <w:color w:val="auto"/>
          <w:highlight w:val="none"/>
        </w:rPr>
      </w:pPr>
      <w:r>
        <w:rPr>
          <w:rFonts w:ascii="宋体" w:hAnsi="宋体" w:cs="宋体"/>
          <w:color w:val="auto"/>
          <w:sz w:val="24"/>
          <w:szCs w:val="24"/>
          <w:highlight w:val="none"/>
        </w:rPr>
        <w:t>8.2.3</w:t>
      </w:r>
      <w:r>
        <w:rPr>
          <w:rFonts w:hint="eastAsia" w:ascii="宋体" w:hAnsi="宋体" w:cs="宋体"/>
          <w:color w:val="auto"/>
          <w:sz w:val="24"/>
          <w:szCs w:val="24"/>
          <w:highlight w:val="none"/>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5"/>
        <w:spacing w:line="336" w:lineRule="auto"/>
        <w:ind w:firstLine="482" w:firstLineChars="200"/>
        <w:rPr>
          <w:rFonts w:hAnsi="宋体" w:cs="Times New Roman"/>
          <w:b/>
          <w:bCs/>
          <w:color w:val="auto"/>
          <w:sz w:val="24"/>
          <w:szCs w:val="24"/>
          <w:highlight w:val="none"/>
          <w:u w:val="single"/>
        </w:rPr>
      </w:pPr>
      <w:r>
        <w:rPr>
          <w:rFonts w:hAnsi="宋体"/>
          <w:b/>
          <w:bCs/>
          <w:color w:val="auto"/>
          <w:sz w:val="24"/>
          <w:szCs w:val="24"/>
          <w:highlight w:val="none"/>
        </w:rPr>
        <w:t>9</w:t>
      </w:r>
      <w:r>
        <w:rPr>
          <w:rFonts w:hint="eastAsia" w:hAnsi="宋体"/>
          <w:b/>
          <w:bCs/>
          <w:color w:val="auto"/>
          <w:sz w:val="24"/>
          <w:szCs w:val="24"/>
          <w:highlight w:val="none"/>
        </w:rPr>
        <w:t>、响应文件的组成</w:t>
      </w:r>
      <w:r>
        <w:rPr>
          <w:rFonts w:hint="eastAsia" w:hAnsi="宋体"/>
          <w:b/>
          <w:bCs/>
          <w:color w:val="auto"/>
          <w:sz w:val="24"/>
          <w:szCs w:val="24"/>
          <w:highlight w:val="none"/>
          <w:u w:val="single"/>
        </w:rPr>
        <w:t>（供应商应根据采购文件的要求提供相应的内容且设置关联定位，供应商可查看《供应商</w:t>
      </w:r>
      <w:r>
        <w:rPr>
          <w:rFonts w:hAnsi="宋体"/>
          <w:b/>
          <w:bCs/>
          <w:color w:val="auto"/>
          <w:sz w:val="24"/>
          <w:szCs w:val="24"/>
          <w:highlight w:val="none"/>
          <w:u w:val="single"/>
        </w:rPr>
        <w:t>-</w:t>
      </w:r>
      <w:r>
        <w:rPr>
          <w:rFonts w:hint="eastAsia" w:hAnsi="宋体"/>
          <w:b/>
          <w:bCs/>
          <w:color w:val="auto"/>
          <w:sz w:val="24"/>
          <w:szCs w:val="24"/>
          <w:highlight w:val="none"/>
          <w:u w:val="single"/>
        </w:rPr>
        <w:t>政府采购项目电子交易操作指南》进行操作：</w:t>
      </w:r>
      <w:r>
        <w:rPr>
          <w:rFonts w:hAnsi="宋体"/>
          <w:b/>
          <w:bCs/>
          <w:color w:val="auto"/>
          <w:sz w:val="24"/>
          <w:szCs w:val="24"/>
          <w:highlight w:val="none"/>
          <w:u w:val="single"/>
        </w:rPr>
        <w:t>https://help.zcygov.cn/web/site_2/2018/12-28/2573.html</w:t>
      </w:r>
      <w:r>
        <w:rPr>
          <w:rFonts w:hint="eastAsia" w:hAnsi="宋体"/>
          <w:b/>
          <w:bCs/>
          <w:color w:val="auto"/>
          <w:sz w:val="24"/>
          <w:szCs w:val="24"/>
          <w:highlight w:val="none"/>
          <w:u w:val="single"/>
        </w:rPr>
        <w:t>）</w:t>
      </w:r>
    </w:p>
    <w:p>
      <w:pPr>
        <w:pStyle w:val="48"/>
        <w:tabs>
          <w:tab w:val="left" w:pos="0"/>
        </w:tabs>
        <w:spacing w:before="0" w:line="336" w:lineRule="auto"/>
        <w:ind w:firstLine="480"/>
        <w:rPr>
          <w:rFonts w:ascii="宋体"/>
          <w:color w:val="auto"/>
          <w:highlight w:val="none"/>
        </w:rPr>
      </w:pPr>
      <w:r>
        <w:rPr>
          <w:rFonts w:hint="eastAsia" w:ascii="宋体" w:hAnsi="宋体" w:cs="宋体"/>
          <w:color w:val="auto"/>
          <w:highlight w:val="none"/>
        </w:rPr>
        <w:t>响应文件应当包括以下主要内容：资格文件、商务技术文件、报价文件。</w:t>
      </w:r>
    </w:p>
    <w:p>
      <w:pPr>
        <w:pStyle w:val="48"/>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资格文件包括以下内容：</w:t>
      </w:r>
    </w:p>
    <w:p>
      <w:pPr>
        <w:pStyle w:val="48"/>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48"/>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营业执照</w:t>
      </w:r>
      <w:r>
        <w:rPr>
          <w:rFonts w:ascii="宋体" w:hAnsi="宋体" w:cs="宋体"/>
          <w:color w:val="auto"/>
          <w:highlight w:val="none"/>
        </w:rPr>
        <w:t>(</w:t>
      </w:r>
      <w:r>
        <w:rPr>
          <w:rFonts w:hint="eastAsia" w:ascii="宋体" w:hAnsi="宋体" w:cs="宋体"/>
          <w:color w:val="auto"/>
          <w:highlight w:val="none"/>
        </w:rPr>
        <w:t>或事业法人登记证或其他工商等登记证明材料</w:t>
      </w:r>
      <w:r>
        <w:rPr>
          <w:rFonts w:ascii="宋体" w:hAnsi="宋体" w:cs="宋体"/>
          <w:color w:val="auto"/>
          <w:highlight w:val="none"/>
        </w:rPr>
        <w:t>)</w:t>
      </w:r>
      <w:r>
        <w:rPr>
          <w:rFonts w:hint="eastAsia" w:ascii="宋体" w:hAnsi="宋体" w:cs="宋体"/>
          <w:color w:val="auto"/>
          <w:highlight w:val="none"/>
        </w:rPr>
        <w:t>复印件、税务登记证</w:t>
      </w:r>
      <w:r>
        <w:rPr>
          <w:rFonts w:ascii="宋体" w:hAnsi="宋体" w:cs="宋体"/>
          <w:color w:val="auto"/>
          <w:highlight w:val="none"/>
        </w:rPr>
        <w:t>(</w:t>
      </w:r>
      <w:r>
        <w:rPr>
          <w:rFonts w:hint="eastAsia" w:ascii="宋体" w:hAnsi="宋体" w:cs="宋体"/>
          <w:color w:val="auto"/>
          <w:highlight w:val="none"/>
        </w:rPr>
        <w:t>或其它缴纳证明材料</w:t>
      </w:r>
      <w:r>
        <w:rPr>
          <w:rFonts w:ascii="宋体" w:hAnsi="宋体" w:cs="宋体"/>
          <w:color w:val="auto"/>
          <w:highlight w:val="none"/>
        </w:rPr>
        <w:t>)</w:t>
      </w:r>
      <w:r>
        <w:rPr>
          <w:rFonts w:hint="eastAsia" w:ascii="宋体" w:hAnsi="宋体" w:cs="宋体"/>
          <w:color w:val="auto"/>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48"/>
        <w:spacing w:before="0" w:line="336" w:lineRule="auto"/>
        <w:ind w:firstLine="480"/>
        <w:rPr>
          <w:rFonts w:ascii="宋体"/>
          <w:color w:val="auto"/>
          <w:highlight w:val="none"/>
        </w:rPr>
      </w:pPr>
      <w:r>
        <w:rPr>
          <w:rFonts w:hint="eastAsia" w:ascii="宋体" w:hAnsi="宋体" w:cs="宋体"/>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48"/>
        <w:numPr>
          <w:ilvl w:val="0"/>
          <w:numId w:val="11"/>
        </w:numPr>
        <w:spacing w:before="0" w:line="336" w:lineRule="auto"/>
        <w:ind w:firstLine="480"/>
        <w:rPr>
          <w:rFonts w:ascii="宋体" w:hAnsi="宋体" w:cs="宋体"/>
          <w:color w:val="auto"/>
          <w:highlight w:val="none"/>
        </w:rPr>
      </w:pPr>
      <w:r>
        <w:rPr>
          <w:rFonts w:hint="eastAsia" w:ascii="宋体" w:hAnsi="宋体" w:cs="宋体"/>
          <w:color w:val="auto"/>
          <w:highlight w:val="none"/>
        </w:rPr>
        <w:t>具有履行合同所必需的产品和专业技术能力的承诺函；</w:t>
      </w:r>
    </w:p>
    <w:p>
      <w:pPr>
        <w:pStyle w:val="48"/>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投标人承诺函（格式见附件）；</w:t>
      </w:r>
    </w:p>
    <w:p>
      <w:pPr>
        <w:pStyle w:val="48"/>
        <w:numPr>
          <w:ilvl w:val="0"/>
          <w:numId w:val="11"/>
        </w:numPr>
        <w:spacing w:before="0"/>
        <w:ind w:firstLine="480"/>
        <w:rPr>
          <w:rFonts w:ascii="宋体" w:hAnsi="宋体" w:cs="宋体"/>
          <w:color w:val="auto"/>
          <w:highlight w:val="none"/>
        </w:rPr>
      </w:pPr>
      <w:r>
        <w:rPr>
          <w:rFonts w:hint="eastAsia" w:ascii="宋体" w:hAnsi="宋体" w:cs="宋体"/>
          <w:color w:val="auto"/>
          <w:highlight w:val="none"/>
        </w:rPr>
        <w:t>中小企业声明函（格式见附件）；</w:t>
      </w:r>
    </w:p>
    <w:p>
      <w:pPr>
        <w:pStyle w:val="48"/>
        <w:numPr>
          <w:ilvl w:val="0"/>
          <w:numId w:val="11"/>
        </w:numPr>
        <w:spacing w:before="0"/>
        <w:ind w:firstLine="480"/>
        <w:rPr>
          <w:rFonts w:ascii="宋体" w:hAnsi="宋体" w:cs="宋体"/>
          <w:color w:val="auto"/>
          <w:highlight w:val="none"/>
        </w:rPr>
      </w:pPr>
      <w:r>
        <w:rPr>
          <w:rFonts w:hint="eastAsia" w:ascii="宋体" w:hAnsi="宋体" w:cs="宋体"/>
          <w:color w:val="auto"/>
          <w:highlight w:val="none"/>
        </w:rPr>
        <w:t>残疾人福利性单位声明函(如有)（格式见附件）；</w:t>
      </w:r>
    </w:p>
    <w:p>
      <w:pPr>
        <w:pStyle w:val="48"/>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监狱企业证明文件(如有)（格式见附件）；</w:t>
      </w:r>
    </w:p>
    <w:p>
      <w:pPr>
        <w:pStyle w:val="48"/>
        <w:numPr>
          <w:ilvl w:val="0"/>
          <w:numId w:val="11"/>
        </w:numPr>
        <w:spacing w:before="0" w:line="336" w:lineRule="auto"/>
        <w:ind w:firstLine="480"/>
        <w:rPr>
          <w:rFonts w:ascii="宋体"/>
          <w:color w:val="auto"/>
          <w:highlight w:val="none"/>
        </w:rPr>
      </w:pPr>
      <w:r>
        <w:rPr>
          <w:rFonts w:hint="eastAsia" w:ascii="宋体"/>
          <w:color w:val="auto"/>
          <w:highlight w:val="none"/>
        </w:rPr>
        <w:t>地质灾害防治勘查甲级资质资质证书扫描件加盖公章。</w:t>
      </w:r>
    </w:p>
    <w:p>
      <w:pPr>
        <w:pStyle w:val="48"/>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商务技术文件，本次磋商需要供应商提供以下项所列的技术文件：</w:t>
      </w:r>
    </w:p>
    <w:p>
      <w:pPr>
        <w:pStyle w:val="48"/>
        <w:numPr>
          <w:ilvl w:val="0"/>
          <w:numId w:val="12"/>
        </w:numPr>
        <w:spacing w:before="0" w:line="336" w:lineRule="auto"/>
        <w:ind w:firstLine="480"/>
        <w:rPr>
          <w:rFonts w:ascii="宋体"/>
          <w:color w:val="auto"/>
          <w:highlight w:val="none"/>
        </w:rPr>
      </w:pPr>
      <w:r>
        <w:rPr>
          <w:rFonts w:hint="eastAsia" w:ascii="宋体" w:hAnsi="宋体" w:cs="宋体"/>
          <w:color w:val="auto"/>
          <w:highlight w:val="none"/>
        </w:rPr>
        <w:t>评分对应表（格式见附件，主要用于评委对应评分内容）</w:t>
      </w:r>
    </w:p>
    <w:p>
      <w:pPr>
        <w:pStyle w:val="48"/>
        <w:numPr>
          <w:ilvl w:val="0"/>
          <w:numId w:val="12"/>
        </w:numPr>
        <w:spacing w:before="0" w:line="336" w:lineRule="auto"/>
        <w:ind w:firstLine="480"/>
        <w:rPr>
          <w:rFonts w:ascii="宋体"/>
          <w:color w:val="auto"/>
          <w:highlight w:val="none"/>
        </w:rPr>
      </w:pPr>
      <w:r>
        <w:rPr>
          <w:rFonts w:hint="eastAsia" w:ascii="宋体" w:hAnsi="宋体" w:cs="宋体"/>
          <w:color w:val="auto"/>
          <w:highlight w:val="none"/>
        </w:rPr>
        <w:t>供应商商务技术文件中资信分自评表（格式见附件）；</w:t>
      </w:r>
    </w:p>
    <w:p>
      <w:pPr>
        <w:pStyle w:val="48"/>
        <w:numPr>
          <w:ilvl w:val="0"/>
          <w:numId w:val="12"/>
        </w:numPr>
        <w:spacing w:before="0" w:line="336" w:lineRule="auto"/>
        <w:ind w:firstLine="480"/>
        <w:rPr>
          <w:rFonts w:ascii="宋体"/>
          <w:color w:val="auto"/>
          <w:highlight w:val="none"/>
        </w:rPr>
      </w:pPr>
      <w:r>
        <w:rPr>
          <w:rFonts w:hint="eastAsia" w:ascii="宋体" w:hAnsi="宋体" w:cs="宋体"/>
          <w:color w:val="auto"/>
          <w:highlight w:val="none"/>
        </w:rPr>
        <w:t>磋商项目明细清单（格式见附件）；</w:t>
      </w:r>
    </w:p>
    <w:p>
      <w:pPr>
        <w:pStyle w:val="48"/>
        <w:numPr>
          <w:ilvl w:val="0"/>
          <w:numId w:val="12"/>
        </w:numPr>
        <w:spacing w:before="0" w:line="336" w:lineRule="auto"/>
        <w:ind w:firstLine="480"/>
        <w:rPr>
          <w:rFonts w:ascii="宋体"/>
          <w:color w:val="auto"/>
          <w:highlight w:val="none"/>
        </w:rPr>
      </w:pPr>
      <w:r>
        <w:rPr>
          <w:rFonts w:hint="eastAsia" w:ascii="宋体" w:hAnsi="宋体" w:cs="宋体"/>
          <w:color w:val="auto"/>
          <w:highlight w:val="none"/>
        </w:rPr>
        <w:t>技术响应及建议表（格式见附件）；</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商务响应表（格式见附件）；</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项目理解；</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监测工作方案；</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监测设施维护方案；</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重难点措施；</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人员配置；</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设备配置；</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服务方案；</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认证证书；</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供应商业绩；</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供应商荣誉；</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项目负责人实力；</w:t>
      </w:r>
    </w:p>
    <w:p>
      <w:pPr>
        <w:pStyle w:val="48"/>
        <w:numPr>
          <w:ilvl w:val="0"/>
          <w:numId w:val="12"/>
        </w:numPr>
        <w:spacing w:before="0" w:line="336" w:lineRule="auto"/>
        <w:ind w:firstLine="480"/>
        <w:rPr>
          <w:rFonts w:ascii="宋体" w:hAnsi="宋体" w:cs="宋体"/>
          <w:color w:val="auto"/>
          <w:highlight w:val="none"/>
        </w:rPr>
      </w:pPr>
      <w:r>
        <w:rPr>
          <w:rFonts w:hint="eastAsia" w:ascii="宋体" w:hAnsi="宋体" w:cs="宋体"/>
          <w:color w:val="auto"/>
          <w:highlight w:val="none"/>
        </w:rPr>
        <w:t>供应商认为需要的其他文件资料。</w:t>
      </w:r>
      <w:r>
        <w:rPr>
          <w:rFonts w:ascii="宋体" w:hAnsi="宋体" w:cs="宋体"/>
          <w:color w:val="auto"/>
          <w:highlight w:val="none"/>
        </w:rPr>
        <w:t xml:space="preserve"> </w:t>
      </w:r>
    </w:p>
    <w:p>
      <w:pPr>
        <w:pStyle w:val="48"/>
        <w:tabs>
          <w:tab w:val="left" w:pos="0"/>
        </w:tabs>
        <w:spacing w:before="0" w:line="336" w:lineRule="auto"/>
        <w:ind w:firstLine="480"/>
        <w:rPr>
          <w:rFonts w:ascii="宋体"/>
          <w:color w:val="auto"/>
          <w:highlight w:val="none"/>
        </w:rPr>
      </w:pPr>
      <w:r>
        <w:rPr>
          <w:rFonts w:hint="eastAsia" w:ascii="宋体" w:hAnsi="宋体" w:cs="宋体"/>
          <w:color w:val="auto"/>
          <w:highlight w:val="none"/>
        </w:rPr>
        <w:t>注：以上内容应与评标办法中内容具有一致性。</w:t>
      </w:r>
    </w:p>
    <w:p>
      <w:pPr>
        <w:pStyle w:val="48"/>
        <w:tabs>
          <w:tab w:val="left" w:pos="0"/>
        </w:tabs>
        <w:spacing w:before="0" w:line="336" w:lineRule="auto"/>
        <w:ind w:firstLine="480"/>
        <w:rPr>
          <w:rFonts w:ascii="宋体"/>
          <w:color w:val="auto"/>
          <w:highlight w:val="none"/>
        </w:rPr>
      </w:pPr>
      <w:r>
        <w:rPr>
          <w:rFonts w:hint="eastAsia" w:ascii="宋体" w:hAnsi="宋体" w:cs="宋体"/>
          <w:color w:val="auto"/>
          <w:highlight w:val="none"/>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48"/>
        <w:tabs>
          <w:tab w:val="left" w:pos="0"/>
        </w:tabs>
        <w:spacing w:before="0" w:line="336" w:lineRule="auto"/>
        <w:ind w:firstLine="480"/>
        <w:rPr>
          <w:rFonts w:ascii="宋体"/>
          <w:color w:val="auto"/>
          <w:highlight w:val="none"/>
        </w:rPr>
      </w:pPr>
      <w:r>
        <w:rPr>
          <w:rFonts w:hint="eastAsia" w:ascii="宋体" w:hAnsi="宋体" w:cs="宋体"/>
          <w:color w:val="auto"/>
          <w:highlight w:val="none"/>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48"/>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报价文件包括以下内容：</w:t>
      </w:r>
    </w:p>
    <w:p>
      <w:pPr>
        <w:pStyle w:val="48"/>
        <w:numPr>
          <w:ilvl w:val="0"/>
          <w:numId w:val="13"/>
        </w:numPr>
        <w:spacing w:before="0" w:line="336" w:lineRule="auto"/>
        <w:ind w:firstLine="480"/>
        <w:rPr>
          <w:rFonts w:ascii="宋体"/>
          <w:color w:val="auto"/>
          <w:highlight w:val="none"/>
        </w:rPr>
      </w:pPr>
      <w:r>
        <w:rPr>
          <w:rFonts w:hint="eastAsia" w:ascii="宋体" w:hAnsi="宋体" w:cs="宋体"/>
          <w:color w:val="auto"/>
          <w:highlight w:val="none"/>
        </w:rPr>
        <w:t>磋商函（格式见附件）；</w:t>
      </w:r>
    </w:p>
    <w:p>
      <w:pPr>
        <w:pStyle w:val="48"/>
        <w:numPr>
          <w:ilvl w:val="0"/>
          <w:numId w:val="13"/>
        </w:numPr>
        <w:spacing w:before="0" w:line="336" w:lineRule="auto"/>
        <w:ind w:firstLine="480"/>
        <w:rPr>
          <w:rFonts w:ascii="宋体"/>
          <w:color w:val="auto"/>
          <w:highlight w:val="none"/>
        </w:rPr>
      </w:pPr>
      <w:r>
        <w:rPr>
          <w:rFonts w:hint="eastAsia" w:ascii="宋体" w:hAnsi="宋体" w:cs="宋体"/>
          <w:color w:val="auto"/>
          <w:highlight w:val="none"/>
        </w:rPr>
        <w:t>报价一览表（格式见附件）；</w:t>
      </w:r>
    </w:p>
    <w:p>
      <w:pPr>
        <w:pStyle w:val="48"/>
        <w:numPr>
          <w:ilvl w:val="0"/>
          <w:numId w:val="13"/>
        </w:numPr>
        <w:spacing w:before="0" w:line="336" w:lineRule="auto"/>
        <w:ind w:firstLine="480"/>
        <w:rPr>
          <w:rFonts w:ascii="宋体" w:hAnsi="宋体" w:cs="宋体"/>
          <w:color w:val="auto"/>
          <w:highlight w:val="none"/>
        </w:rPr>
      </w:pPr>
      <w:r>
        <w:rPr>
          <w:rFonts w:hint="eastAsia" w:ascii="宋体" w:hAnsi="宋体" w:cs="宋体"/>
          <w:color w:val="auto"/>
          <w:highlight w:val="none"/>
        </w:rPr>
        <w:t>磋商报价明细表（格式见附件）。</w:t>
      </w:r>
    </w:p>
    <w:p>
      <w:pPr>
        <w:pStyle w:val="48"/>
        <w:spacing w:before="0" w:line="336" w:lineRule="auto"/>
        <w:ind w:firstLine="241" w:firstLineChars="100"/>
        <w:rPr>
          <w:rFonts w:ascii="宋体"/>
          <w:b/>
          <w:bCs/>
          <w:color w:val="auto"/>
          <w:highlight w:val="none"/>
          <w:u w:val="single"/>
        </w:rPr>
      </w:pPr>
      <w:r>
        <w:rPr>
          <w:rFonts w:hint="eastAsia" w:ascii="宋体" w:hAnsi="宋体" w:cs="宋体"/>
          <w:b/>
          <w:bCs/>
          <w:color w:val="auto"/>
          <w:highlight w:val="none"/>
          <w:u w:val="single"/>
        </w:rPr>
        <w:t>注：“资格文件”、“商务技术文件”、“报价文件”须分</w:t>
      </w:r>
      <w:r>
        <w:rPr>
          <w:rFonts w:ascii="宋体" w:hAnsi="宋体" w:cs="宋体"/>
          <w:b/>
          <w:bCs/>
          <w:color w:val="auto"/>
          <w:highlight w:val="none"/>
          <w:u w:val="single"/>
        </w:rPr>
        <w:t>3</w:t>
      </w:r>
      <w:r>
        <w:rPr>
          <w:rFonts w:hint="eastAsia" w:ascii="宋体" w:hAnsi="宋体" w:cs="宋体"/>
          <w:b/>
          <w:bCs/>
          <w:color w:val="auto"/>
          <w:highlight w:val="none"/>
          <w:u w:val="single"/>
        </w:rPr>
        <w:t>个</w:t>
      </w:r>
      <w:r>
        <w:rPr>
          <w:rFonts w:ascii="宋体" w:hAnsi="宋体" w:cs="宋体"/>
          <w:b/>
          <w:bCs/>
          <w:color w:val="auto"/>
          <w:highlight w:val="none"/>
          <w:u w:val="single"/>
        </w:rPr>
        <w:t>PDF</w:t>
      </w:r>
      <w:r>
        <w:rPr>
          <w:rFonts w:hint="eastAsia" w:ascii="宋体" w:hAnsi="宋体" w:cs="宋体"/>
          <w:b/>
          <w:bCs/>
          <w:color w:val="auto"/>
          <w:highlight w:val="none"/>
          <w:u w:val="single"/>
        </w:rPr>
        <w:t>格式分别导入。</w:t>
      </w:r>
    </w:p>
    <w:p>
      <w:pPr>
        <w:pStyle w:val="48"/>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10</w:t>
      </w:r>
      <w:r>
        <w:rPr>
          <w:rFonts w:hint="eastAsia" w:ascii="宋体" w:hAnsi="宋体" w:cs="宋体"/>
          <w:b/>
          <w:bCs/>
          <w:color w:val="auto"/>
          <w:highlight w:val="none"/>
        </w:rPr>
        <w:t>、响应文件有效期</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10.1 </w:t>
      </w:r>
      <w:r>
        <w:rPr>
          <w:rFonts w:hint="eastAsia" w:ascii="宋体" w:hAnsi="宋体" w:cs="宋体"/>
          <w:color w:val="auto"/>
          <w:highlight w:val="none"/>
        </w:rPr>
        <w:t>响应文件未在磋商响应截止时间前完成传输的或者未按时解密的，视为放弃磋商；响应文件解密失败后未提供备份文件或者备份文件也出现异常情况无法进行评审的，亦视为放弃磋商。</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10.2 </w:t>
      </w:r>
      <w:r>
        <w:rPr>
          <w:rFonts w:hint="eastAsia" w:ascii="宋体" w:hAnsi="宋体" w:cs="宋体"/>
          <w:color w:val="auto"/>
          <w:highlight w:val="none"/>
        </w:rPr>
        <w:t>响应文件上传后，自磋商响应截止日期起，在前附表所列的磋商响应文件有效期内有效。</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10.3 </w:t>
      </w:r>
      <w:r>
        <w:rPr>
          <w:rFonts w:hint="eastAsia" w:ascii="宋体" w:hAnsi="宋体" w:cs="宋体"/>
          <w:color w:val="auto"/>
          <w:highlight w:val="none"/>
        </w:rPr>
        <w:t>在原定有效期满之前，如果出现特殊情况，采购代理机构可以以书面形式向磋商供应商提出延长磋商有效期的要求，磋商供应商对此须以书面形式予以答复。</w:t>
      </w:r>
    </w:p>
    <w:p>
      <w:pPr>
        <w:pStyle w:val="48"/>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11</w:t>
      </w:r>
      <w:r>
        <w:rPr>
          <w:rFonts w:hint="eastAsia" w:ascii="宋体" w:hAnsi="宋体" w:cs="宋体"/>
          <w:b/>
          <w:bCs/>
          <w:color w:val="auto"/>
          <w:highlight w:val="none"/>
        </w:rPr>
        <w:t>、供应商如有下列情况之一者列入不良行为记录：</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11.1 </w:t>
      </w:r>
      <w:r>
        <w:rPr>
          <w:rFonts w:hint="eastAsia" w:ascii="宋体" w:hAnsi="宋体" w:cs="宋体"/>
          <w:color w:val="auto"/>
          <w:highlight w:val="none"/>
        </w:rPr>
        <w:t>供应商在磋商响应文件有效期内撤回投标的；</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11.2 </w:t>
      </w:r>
      <w:r>
        <w:rPr>
          <w:rFonts w:hint="eastAsia" w:ascii="宋体" w:hAnsi="宋体" w:cs="宋体"/>
          <w:color w:val="auto"/>
          <w:highlight w:val="none"/>
        </w:rPr>
        <w:t>供应商或中标候选人放弃中标或中标候选人资格的；</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11.3 </w:t>
      </w:r>
      <w:r>
        <w:rPr>
          <w:rFonts w:hint="eastAsia" w:ascii="宋体" w:hAnsi="宋体" w:cs="宋体"/>
          <w:color w:val="auto"/>
          <w:highlight w:val="none"/>
        </w:rPr>
        <w:t>擅自修改或拒绝接受已经确认的条款；</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11.4 </w:t>
      </w:r>
      <w:r>
        <w:rPr>
          <w:rFonts w:hint="eastAsia" w:ascii="宋体" w:hAnsi="宋体" w:cs="宋体"/>
          <w:color w:val="auto"/>
          <w:highlight w:val="none"/>
        </w:rPr>
        <w:t>成交供应商未按规定与采购人签订合同；</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5</w:t>
      </w:r>
      <w:r>
        <w:rPr>
          <w:rFonts w:ascii="宋体" w:hAnsi="宋体" w:cs="宋体"/>
          <w:color w:val="auto"/>
          <w:highlight w:val="none"/>
        </w:rPr>
        <w:t xml:space="preserve"> </w:t>
      </w:r>
      <w:r>
        <w:rPr>
          <w:rFonts w:hint="eastAsia" w:ascii="宋体" w:hAnsi="宋体" w:cs="宋体"/>
          <w:color w:val="auto"/>
          <w:highlight w:val="none"/>
        </w:rPr>
        <w:t>供应商采取提供虚假资料等不正当手段的；</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6</w:t>
      </w:r>
      <w:r>
        <w:rPr>
          <w:rFonts w:ascii="宋体" w:hAnsi="宋体" w:cs="宋体"/>
          <w:color w:val="auto"/>
          <w:highlight w:val="none"/>
        </w:rPr>
        <w:t xml:space="preserve"> </w:t>
      </w:r>
      <w:r>
        <w:rPr>
          <w:rFonts w:hint="eastAsia" w:ascii="宋体" w:hAnsi="宋体" w:cs="宋体"/>
          <w:color w:val="auto"/>
          <w:highlight w:val="none"/>
        </w:rPr>
        <w:t>供应商在投标过程中串通投标的。</w:t>
      </w:r>
    </w:p>
    <w:p>
      <w:pPr>
        <w:pStyle w:val="48"/>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12</w:t>
      </w:r>
      <w:r>
        <w:rPr>
          <w:rFonts w:hint="eastAsia" w:ascii="宋体" w:hAnsi="宋体" w:cs="宋体"/>
          <w:b/>
          <w:bCs/>
          <w:color w:val="auto"/>
          <w:highlight w:val="none"/>
        </w:rPr>
        <w:t>、响应文件的编制和签署</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12.1 </w:t>
      </w:r>
      <w:r>
        <w:rPr>
          <w:rFonts w:hint="eastAsia" w:ascii="宋体" w:hAnsi="宋体" w:cs="宋体"/>
          <w:color w:val="auto"/>
          <w:highlight w:val="none"/>
        </w:rPr>
        <w:t>按磋商文件</w:t>
      </w:r>
      <w:r>
        <w:rPr>
          <w:rFonts w:ascii="宋体" w:hAnsi="宋体" w:cs="宋体"/>
          <w:color w:val="auto"/>
          <w:highlight w:val="none"/>
        </w:rPr>
        <w:t>9.1</w:t>
      </w:r>
      <w:r>
        <w:rPr>
          <w:rFonts w:hint="eastAsia" w:ascii="宋体" w:hAnsi="宋体" w:cs="宋体"/>
          <w:color w:val="auto"/>
          <w:highlight w:val="none"/>
        </w:rPr>
        <w:t>条、</w:t>
      </w:r>
      <w:r>
        <w:rPr>
          <w:rFonts w:ascii="宋体" w:hAnsi="宋体" w:cs="宋体"/>
          <w:color w:val="auto"/>
          <w:highlight w:val="none"/>
        </w:rPr>
        <w:t>9.2</w:t>
      </w:r>
      <w:r>
        <w:rPr>
          <w:rFonts w:hint="eastAsia" w:ascii="宋体" w:hAnsi="宋体" w:cs="宋体"/>
          <w:color w:val="auto"/>
          <w:highlight w:val="none"/>
        </w:rPr>
        <w:t>条、</w:t>
      </w:r>
      <w:r>
        <w:rPr>
          <w:rFonts w:ascii="宋体" w:hAnsi="宋体" w:cs="宋体"/>
          <w:color w:val="auto"/>
          <w:highlight w:val="none"/>
        </w:rPr>
        <w:t>9.3</w:t>
      </w:r>
      <w:r>
        <w:rPr>
          <w:rFonts w:hint="eastAsia" w:ascii="宋体" w:hAnsi="宋体" w:cs="宋体"/>
          <w:color w:val="auto"/>
          <w:highlight w:val="none"/>
        </w:rPr>
        <w:t>条要求提供的各种文件，响应文件分为资格文件、商务技术文件和报价文件三部分。</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12.2 </w:t>
      </w:r>
      <w:r>
        <w:rPr>
          <w:rFonts w:hint="eastAsia" w:ascii="宋体" w:hAnsi="宋体" w:cs="宋体"/>
          <w:color w:val="auto"/>
          <w:highlight w:val="none"/>
        </w:rPr>
        <w:t>响应文件须按附件格式要求进行电子签章，供应商应写全称。（电子磋商响应文件中所须加盖公章部分均应采用电子签章）</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12.3 </w:t>
      </w:r>
      <w:r>
        <w:rPr>
          <w:rFonts w:hint="eastAsia" w:ascii="宋体" w:hAnsi="宋体" w:cs="宋体"/>
          <w:color w:val="auto"/>
          <w:highlight w:val="none"/>
        </w:rPr>
        <w:t>全套响应文件应无涂改和行间插字，除非这些删改是根据采购代理机构要求进行，或者是供应商造成的必须修改的错误。所修改处应由法定代表人或其授权代表签字盖章予以确认。</w:t>
      </w:r>
    </w:p>
    <w:p>
      <w:pPr>
        <w:pStyle w:val="48"/>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12.4 </w:t>
      </w:r>
      <w:r>
        <w:rPr>
          <w:rFonts w:hint="eastAsia" w:ascii="宋体" w:hAnsi="宋体" w:cs="宋体"/>
          <w:color w:val="auto"/>
          <w:highlight w:val="none"/>
        </w:rPr>
        <w:t>由于字迹模糊或表达不清引起的后果由供应商负责。</w:t>
      </w:r>
    </w:p>
    <w:p>
      <w:pPr>
        <w:pStyle w:val="48"/>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13</w:t>
      </w:r>
      <w:r>
        <w:rPr>
          <w:rFonts w:hint="eastAsia" w:ascii="宋体" w:hAnsi="宋体" w:cs="宋体"/>
          <w:b/>
          <w:bCs/>
          <w:color w:val="auto"/>
          <w:highlight w:val="none"/>
        </w:rPr>
        <w:t>、响应文件的形式</w:t>
      </w:r>
    </w:p>
    <w:p>
      <w:pPr>
        <w:pStyle w:val="48"/>
        <w:spacing w:before="0" w:line="336" w:lineRule="auto"/>
        <w:ind w:left="420" w:leftChars="200" w:firstLine="0" w:firstLineChars="0"/>
        <w:rPr>
          <w:rFonts w:ascii="宋体"/>
          <w:color w:val="auto"/>
          <w:highlight w:val="none"/>
        </w:rPr>
      </w:pPr>
      <w:r>
        <w:rPr>
          <w:rFonts w:hint="eastAsia" w:ascii="宋体" w:hAnsi="宋体" w:cs="宋体"/>
          <w:color w:val="auto"/>
          <w:highlight w:val="none"/>
        </w:rPr>
        <w:t>响应文件为电子磋商响应文件，电子磋商响应文件按“政采云供应商项目采购</w:t>
      </w:r>
      <w:r>
        <w:rPr>
          <w:rFonts w:ascii="宋体" w:cs="宋体"/>
          <w:color w:val="auto"/>
          <w:highlight w:val="none"/>
        </w:rPr>
        <w:t>-</w:t>
      </w:r>
      <w:r>
        <w:rPr>
          <w:rFonts w:hint="eastAsia" w:ascii="宋体" w:hAnsi="宋体" w:cs="宋体"/>
          <w:color w:val="auto"/>
          <w:highlight w:val="none"/>
        </w:rPr>
        <w:t>电子招投标操作指南”及本磋商文件要求制作、加密传输。</w:t>
      </w:r>
    </w:p>
    <w:p>
      <w:pPr>
        <w:pStyle w:val="2"/>
        <w:numPr>
          <w:ilvl w:val="0"/>
          <w:numId w:val="9"/>
        </w:numPr>
        <w:spacing w:line="336" w:lineRule="auto"/>
        <w:jc w:val="center"/>
        <w:rPr>
          <w:rFonts w:cs="Times New Roman"/>
          <w:color w:val="auto"/>
          <w:highlight w:val="none"/>
        </w:rPr>
      </w:pPr>
      <w:bookmarkStart w:id="57" w:name="_Toc1420"/>
      <w:r>
        <w:rPr>
          <w:color w:val="auto"/>
          <w:highlight w:val="none"/>
        </w:rPr>
        <w:t xml:space="preserve"> </w:t>
      </w:r>
      <w:bookmarkStart w:id="58" w:name="_Toc3525"/>
      <w:bookmarkStart w:id="59" w:name="_Toc21266"/>
      <w:r>
        <w:rPr>
          <w:rFonts w:hint="eastAsia"/>
          <w:color w:val="auto"/>
          <w:highlight w:val="none"/>
        </w:rPr>
        <w:t>响应文件的递交</w:t>
      </w:r>
      <w:bookmarkEnd w:id="57"/>
      <w:bookmarkEnd w:id="58"/>
      <w:bookmarkEnd w:id="59"/>
    </w:p>
    <w:p>
      <w:pPr>
        <w:pStyle w:val="15"/>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14</w:t>
      </w:r>
      <w:r>
        <w:rPr>
          <w:rFonts w:hint="eastAsia" w:hAnsi="宋体"/>
          <w:b/>
          <w:bCs/>
          <w:color w:val="auto"/>
          <w:sz w:val="24"/>
          <w:szCs w:val="24"/>
          <w:highlight w:val="none"/>
        </w:rPr>
        <w:t>、磋商响应截止期</w:t>
      </w:r>
    </w:p>
    <w:p>
      <w:pPr>
        <w:pStyle w:val="48"/>
        <w:numPr>
          <w:ilvl w:val="0"/>
          <w:numId w:val="14"/>
        </w:numPr>
        <w:spacing w:before="0" w:line="336" w:lineRule="auto"/>
        <w:ind w:firstLine="480"/>
        <w:rPr>
          <w:rFonts w:ascii="宋体"/>
          <w:color w:val="auto"/>
          <w:highlight w:val="none"/>
        </w:rPr>
      </w:pPr>
      <w:r>
        <w:rPr>
          <w:rFonts w:hint="eastAsia" w:ascii="宋体" w:hAnsi="宋体" w:cs="宋体"/>
          <w:color w:val="auto"/>
          <w:highlight w:val="none"/>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48"/>
        <w:numPr>
          <w:ilvl w:val="0"/>
          <w:numId w:val="14"/>
        </w:numPr>
        <w:spacing w:before="0" w:line="336" w:lineRule="auto"/>
        <w:ind w:firstLine="480"/>
        <w:rPr>
          <w:rFonts w:ascii="宋体"/>
          <w:color w:val="auto"/>
          <w:highlight w:val="none"/>
        </w:rPr>
      </w:pPr>
      <w:r>
        <w:rPr>
          <w:rFonts w:hint="eastAsia" w:ascii="宋体" w:hAnsi="宋体" w:cs="宋体"/>
          <w:color w:val="auto"/>
          <w:highlight w:val="none"/>
        </w:rPr>
        <w:t>采购人因故推迟磋商响应截止时间，将以公告形式通知。在这种情况下，采购人和供应商的权利和义务将受到新的截止时间的约束。</w:t>
      </w:r>
    </w:p>
    <w:p>
      <w:pPr>
        <w:pStyle w:val="15"/>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15</w:t>
      </w:r>
      <w:r>
        <w:rPr>
          <w:rFonts w:hint="eastAsia" w:hAnsi="宋体"/>
          <w:b/>
          <w:bCs/>
          <w:color w:val="auto"/>
          <w:sz w:val="24"/>
          <w:szCs w:val="24"/>
          <w:highlight w:val="none"/>
        </w:rPr>
        <w:t>、响应文件的修改、撤销</w:t>
      </w:r>
    </w:p>
    <w:p>
      <w:pPr>
        <w:pStyle w:val="15"/>
        <w:spacing w:line="336" w:lineRule="auto"/>
        <w:ind w:firstLine="480" w:firstLineChars="200"/>
        <w:rPr>
          <w:rFonts w:hAnsi="宋体" w:cs="Times New Roman"/>
          <w:color w:val="auto"/>
          <w:sz w:val="24"/>
          <w:szCs w:val="24"/>
          <w:highlight w:val="none"/>
        </w:rPr>
      </w:pPr>
      <w:r>
        <w:rPr>
          <w:rFonts w:hint="eastAsia" w:hAnsi="宋体"/>
          <w:color w:val="auto"/>
          <w:sz w:val="24"/>
          <w:szCs w:val="24"/>
          <w:highlight w:val="none"/>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2"/>
        <w:numPr>
          <w:ilvl w:val="0"/>
          <w:numId w:val="9"/>
        </w:numPr>
        <w:spacing w:line="336" w:lineRule="auto"/>
        <w:jc w:val="center"/>
        <w:rPr>
          <w:rFonts w:hAnsi="宋体" w:cs="Times New Roman"/>
          <w:color w:val="auto"/>
          <w:highlight w:val="none"/>
        </w:rPr>
      </w:pPr>
      <w:r>
        <w:rPr>
          <w:color w:val="auto"/>
          <w:highlight w:val="none"/>
        </w:rPr>
        <w:t xml:space="preserve"> </w:t>
      </w:r>
      <w:bookmarkStart w:id="60" w:name="_Toc24120"/>
      <w:bookmarkStart w:id="61" w:name="_Toc7608"/>
      <w:r>
        <w:rPr>
          <w:rFonts w:hint="eastAsia"/>
          <w:color w:val="auto"/>
          <w:highlight w:val="none"/>
        </w:rPr>
        <w:t>磋商无效的情形</w:t>
      </w:r>
      <w:bookmarkEnd w:id="60"/>
      <w:bookmarkEnd w:id="61"/>
    </w:p>
    <w:p>
      <w:pPr>
        <w:pStyle w:val="15"/>
        <w:snapToGrid w:val="0"/>
        <w:spacing w:line="336"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16</w:t>
      </w:r>
      <w:r>
        <w:rPr>
          <w:rFonts w:hint="eastAsia" w:hAnsi="宋体"/>
          <w:b/>
          <w:bCs/>
          <w:color w:val="auto"/>
          <w:sz w:val="24"/>
          <w:szCs w:val="24"/>
          <w:highlight w:val="none"/>
        </w:rPr>
        <w:t>、无效响应</w:t>
      </w:r>
    </w:p>
    <w:p>
      <w:pPr>
        <w:pStyle w:val="15"/>
        <w:snapToGrid w:val="0"/>
        <w:spacing w:line="336" w:lineRule="auto"/>
        <w:ind w:firstLine="480" w:firstLineChars="200"/>
        <w:rPr>
          <w:rFonts w:hAnsi="宋体" w:cs="Times New Roman"/>
          <w:color w:val="auto"/>
          <w:sz w:val="24"/>
          <w:szCs w:val="24"/>
          <w:highlight w:val="none"/>
        </w:rPr>
      </w:pPr>
      <w:r>
        <w:rPr>
          <w:rFonts w:hint="eastAsia" w:hAnsi="宋体"/>
          <w:color w:val="auto"/>
          <w:sz w:val="24"/>
          <w:szCs w:val="24"/>
          <w:highlight w:val="none"/>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w:t>
      </w:r>
      <w:r>
        <w:rPr>
          <w:rFonts w:hint="eastAsia" w:ascii="宋体" w:hAnsi="宋体" w:cs="宋体"/>
          <w:b/>
          <w:bCs/>
          <w:color w:val="auto"/>
          <w:sz w:val="24"/>
          <w:szCs w:val="24"/>
          <w:highlight w:val="none"/>
        </w:rPr>
        <w:t>未按照磋商文件规定要求签署、盖章的；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16.2</w:t>
      </w:r>
      <w:r>
        <w:rPr>
          <w:rFonts w:hint="eastAsia" w:ascii="宋体" w:hAnsi="宋体" w:cs="宋体"/>
          <w:b/>
          <w:bCs/>
          <w:color w:val="auto"/>
          <w:sz w:val="24"/>
          <w:szCs w:val="24"/>
          <w:highlight w:val="none"/>
        </w:rPr>
        <w:t>《法定代表人授权书》填写不全、错误、未加盖供应商公章（公章和签字或盖章缺一不可）；</w:t>
      </w:r>
      <w:r>
        <w:rPr>
          <w:rFonts w:ascii="宋体" w:hAnsi="宋体" w:cs="宋体"/>
          <w:b/>
          <w:bCs/>
          <w:color w:val="auto"/>
          <w:sz w:val="24"/>
          <w:szCs w:val="24"/>
          <w:highlight w:val="none"/>
        </w:rPr>
        <w:t xml:space="preserve"> </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16.3</w:t>
      </w:r>
      <w:r>
        <w:rPr>
          <w:rFonts w:hint="eastAsia" w:ascii="宋体" w:hAnsi="宋体" w:cs="宋体"/>
          <w:b/>
          <w:bCs/>
          <w:color w:val="auto"/>
          <w:sz w:val="24"/>
          <w:szCs w:val="24"/>
          <w:highlight w:val="none"/>
        </w:rPr>
        <w:t>个体工商户的身份证明与营业执照不一致的；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16.4</w:t>
      </w:r>
      <w:r>
        <w:rPr>
          <w:rFonts w:hint="eastAsia" w:ascii="宋体" w:hAnsi="宋体" w:cs="宋体"/>
          <w:b/>
          <w:bCs/>
          <w:color w:val="auto"/>
          <w:sz w:val="24"/>
          <w:szCs w:val="24"/>
          <w:highlight w:val="none"/>
        </w:rPr>
        <w:t>响应文件中的磋商函未加盖供应商的企业公章或填写不全的；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16.5</w:t>
      </w:r>
      <w:r>
        <w:rPr>
          <w:rFonts w:hint="eastAsia" w:ascii="宋体" w:hAnsi="宋体" w:cs="宋体"/>
          <w:b/>
          <w:bCs/>
          <w:color w:val="auto"/>
          <w:sz w:val="24"/>
          <w:szCs w:val="24"/>
          <w:highlight w:val="none"/>
        </w:rPr>
        <w:t>报价一经涂改，未在涂改处加盖投标单位公章或者未经法定代表人或其授权代表签字或盖章的；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16.6</w:t>
      </w:r>
      <w:r>
        <w:rPr>
          <w:rFonts w:hint="eastAsia" w:ascii="宋体" w:hAnsi="宋体" w:cs="宋体"/>
          <w:b/>
          <w:bCs/>
          <w:color w:val="auto"/>
          <w:sz w:val="24"/>
          <w:szCs w:val="24"/>
          <w:highlight w:val="none"/>
        </w:rPr>
        <w:t>因未按规定的格式填写，内容不全或主要实质性内容字迹模糊辨认不清</w:t>
      </w:r>
      <w:r>
        <w:rPr>
          <w:rFonts w:ascii="宋体" w:cs="宋体"/>
          <w:b/>
          <w:bCs/>
          <w:color w:val="auto"/>
          <w:sz w:val="24"/>
          <w:szCs w:val="24"/>
          <w:highlight w:val="none"/>
        </w:rPr>
        <w:t>,</w:t>
      </w:r>
      <w:r>
        <w:rPr>
          <w:rFonts w:hint="eastAsia" w:ascii="宋体" w:hAnsi="宋体" w:cs="宋体"/>
          <w:b/>
          <w:bCs/>
          <w:color w:val="auto"/>
          <w:sz w:val="24"/>
          <w:szCs w:val="24"/>
          <w:highlight w:val="none"/>
        </w:rPr>
        <w:t>经评标委员会认定为无法评审的；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16.7</w:t>
      </w:r>
      <w:r>
        <w:rPr>
          <w:rFonts w:hint="eastAsia" w:ascii="宋体" w:hAnsi="宋体" w:cs="宋体"/>
          <w:b/>
          <w:bCs/>
          <w:color w:val="auto"/>
          <w:sz w:val="24"/>
          <w:szCs w:val="24"/>
          <w:highlight w:val="none"/>
        </w:rPr>
        <w:t>出现同一标的物或本次采购产品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服务</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内的主要产品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重要组成部分</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出现技术、商务描述不一致或前后描述不一致，经评标委员会认定后为无法评审的；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16.8</w:t>
      </w:r>
      <w:r>
        <w:rPr>
          <w:rFonts w:hint="eastAsia" w:ascii="宋体" w:hAnsi="宋体" w:cs="宋体"/>
          <w:b/>
          <w:bCs/>
          <w:color w:val="auto"/>
          <w:sz w:val="24"/>
          <w:szCs w:val="24"/>
          <w:highlight w:val="none"/>
        </w:rPr>
        <w:t>响应详细配置清单响应表不真实填写或弄虚作假的；改变磋商文件提供的清单中的计量单位、工程数量；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16.9</w:t>
      </w:r>
      <w:r>
        <w:rPr>
          <w:rFonts w:hint="eastAsia" w:ascii="宋体" w:hAnsi="宋体" w:cs="宋体"/>
          <w:b/>
          <w:bCs/>
          <w:color w:val="auto"/>
          <w:sz w:val="24"/>
          <w:szCs w:val="24"/>
          <w:highlight w:val="none"/>
        </w:rPr>
        <w:t>对采购产品技术规格未详细应答，致使其技术文件无法评审的；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16.10</w:t>
      </w:r>
      <w:r>
        <w:rPr>
          <w:rFonts w:hint="eastAsia" w:ascii="宋体" w:hAnsi="宋体" w:cs="宋体"/>
          <w:b/>
          <w:bCs/>
          <w:color w:val="auto"/>
          <w:sz w:val="24"/>
          <w:szCs w:val="24"/>
          <w:highlight w:val="none"/>
        </w:rPr>
        <w:t>响应文件有采购方不能接受的条件；</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16.11</w:t>
      </w:r>
      <w:r>
        <w:rPr>
          <w:rFonts w:hint="eastAsia" w:ascii="宋体" w:hAnsi="宋体" w:cs="宋体"/>
          <w:b/>
          <w:bCs/>
          <w:color w:val="auto"/>
          <w:sz w:val="24"/>
          <w:szCs w:val="24"/>
          <w:highlight w:val="none"/>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16.12</w:t>
      </w:r>
      <w:r>
        <w:rPr>
          <w:rFonts w:hint="eastAsia" w:ascii="宋体" w:hAnsi="宋体" w:cs="宋体"/>
          <w:b/>
          <w:bCs/>
          <w:color w:val="auto"/>
          <w:sz w:val="24"/>
          <w:szCs w:val="24"/>
          <w:highlight w:val="none"/>
        </w:rPr>
        <w:t>磋商报价超过预算金额或最高限价的；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16.13</w:t>
      </w:r>
      <w:r>
        <w:rPr>
          <w:rFonts w:hint="eastAsia" w:ascii="宋体" w:hAnsi="宋体" w:cs="宋体"/>
          <w:b/>
          <w:bCs/>
          <w:color w:val="auto"/>
          <w:sz w:val="24"/>
          <w:szCs w:val="24"/>
          <w:highlight w:val="none"/>
        </w:rPr>
        <w:t>响应文件“商务技术文件资料”部分中出现《报价一览表》或《磋商报价明细表》相关内容的；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16.14</w:t>
      </w:r>
      <w:r>
        <w:rPr>
          <w:rFonts w:hint="eastAsia" w:ascii="宋体" w:hAnsi="宋体" w:cs="宋体"/>
          <w:b/>
          <w:bCs/>
          <w:color w:val="auto"/>
          <w:sz w:val="24"/>
          <w:szCs w:val="24"/>
          <w:highlight w:val="none"/>
        </w:rPr>
        <w:t>评标委员会认定有重大偏差或实质性不响应磋商文件要求的，即“★”的关键性指标及技术参数要求负偏离或缺漏；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16.15</w:t>
      </w:r>
      <w:r>
        <w:rPr>
          <w:rFonts w:hint="eastAsia" w:ascii="宋体" w:hAnsi="宋体" w:cs="宋体"/>
          <w:b/>
          <w:bCs/>
          <w:color w:val="auto"/>
          <w:sz w:val="24"/>
          <w:szCs w:val="24"/>
          <w:highlight w:val="none"/>
        </w:rPr>
        <w:t>供应商拒绝按磋商文件规定的修正原则对响应文件进行修改的；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w:t>
      </w:r>
      <w:r>
        <w:rPr>
          <w:rFonts w:hint="eastAsia" w:ascii="宋体" w:hAnsi="宋体" w:cs="宋体"/>
          <w:b/>
          <w:bCs/>
          <w:color w:val="auto"/>
          <w:sz w:val="24"/>
          <w:szCs w:val="24"/>
          <w:highlight w:val="none"/>
        </w:rPr>
        <w:t>有下列情形之一的，视为供应商串通投标，其投标无效：</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16.16.1</w:t>
      </w:r>
      <w:r>
        <w:rPr>
          <w:rFonts w:hint="eastAsia" w:ascii="宋体" w:hAnsi="宋体" w:cs="宋体"/>
          <w:b/>
          <w:bCs/>
          <w:color w:val="auto"/>
          <w:sz w:val="24"/>
          <w:szCs w:val="24"/>
          <w:highlight w:val="none"/>
        </w:rPr>
        <w:t>不同供应商的响应文件由同一单位或者个人编制；</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16.16.2</w:t>
      </w:r>
      <w:r>
        <w:rPr>
          <w:rFonts w:hint="eastAsia" w:ascii="宋体" w:hAnsi="宋体" w:cs="宋体"/>
          <w:b/>
          <w:bCs/>
          <w:color w:val="auto"/>
          <w:sz w:val="24"/>
          <w:szCs w:val="24"/>
          <w:highlight w:val="none"/>
        </w:rPr>
        <w:t>不同供应商委托同一单位或者个人办理投标事宜；</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16.16.3</w:t>
      </w:r>
      <w:r>
        <w:rPr>
          <w:rFonts w:hint="eastAsia" w:ascii="宋体" w:hAnsi="宋体" w:cs="宋体"/>
          <w:b/>
          <w:bCs/>
          <w:color w:val="auto"/>
          <w:sz w:val="24"/>
          <w:szCs w:val="24"/>
          <w:highlight w:val="none"/>
        </w:rPr>
        <w:t>不同供应商的响应文件载明的项目管理成员或者联系人员为同一人；</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16.16.4</w:t>
      </w:r>
      <w:r>
        <w:rPr>
          <w:rFonts w:hint="eastAsia" w:ascii="宋体" w:hAnsi="宋体" w:cs="宋体"/>
          <w:b/>
          <w:bCs/>
          <w:color w:val="auto"/>
          <w:sz w:val="24"/>
          <w:szCs w:val="24"/>
          <w:highlight w:val="none"/>
        </w:rPr>
        <w:t>不同供应商的响应文件异常一致或者投标报价呈规律性差异；</w:t>
      </w:r>
    </w:p>
    <w:p>
      <w:pPr>
        <w:spacing w:line="336" w:lineRule="auto"/>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16.16.5</w:t>
      </w:r>
      <w:r>
        <w:rPr>
          <w:rFonts w:hint="eastAsia" w:ascii="宋体" w:hAnsi="宋体" w:cs="宋体"/>
          <w:b/>
          <w:bCs/>
          <w:color w:val="auto"/>
          <w:sz w:val="24"/>
          <w:szCs w:val="24"/>
          <w:highlight w:val="none"/>
        </w:rPr>
        <w:t>不同供应商提供的响应文件出自同一终端设备的，或在相同</w:t>
      </w:r>
      <w:r>
        <w:rPr>
          <w:rFonts w:ascii="宋体" w:hAnsi="宋体" w:cs="宋体"/>
          <w:b/>
          <w:bCs/>
          <w:color w:val="auto"/>
          <w:sz w:val="24"/>
          <w:szCs w:val="24"/>
          <w:highlight w:val="none"/>
        </w:rPr>
        <w:t>Internet</w:t>
      </w:r>
      <w:r>
        <w:rPr>
          <w:rFonts w:hint="eastAsia" w:ascii="宋体" w:hAnsi="宋体" w:cs="宋体"/>
          <w:b/>
          <w:bCs/>
          <w:color w:val="auto"/>
          <w:sz w:val="24"/>
          <w:szCs w:val="24"/>
          <w:highlight w:val="none"/>
        </w:rPr>
        <w:t>主机分配地址（相同</w:t>
      </w:r>
      <w:r>
        <w:rPr>
          <w:rFonts w:ascii="宋体" w:hAnsi="宋体" w:cs="宋体"/>
          <w:b/>
          <w:bCs/>
          <w:color w:val="auto"/>
          <w:sz w:val="24"/>
          <w:szCs w:val="24"/>
          <w:highlight w:val="none"/>
        </w:rPr>
        <w:t>IP</w:t>
      </w:r>
      <w:r>
        <w:rPr>
          <w:rFonts w:hint="eastAsia" w:ascii="宋体" w:hAnsi="宋体" w:cs="宋体"/>
          <w:b/>
          <w:bCs/>
          <w:color w:val="auto"/>
          <w:sz w:val="24"/>
          <w:szCs w:val="24"/>
          <w:highlight w:val="none"/>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36" w:lineRule="auto"/>
        <w:ind w:firstLine="482" w:firstLineChars="200"/>
        <w:jc w:val="left"/>
        <w:rPr>
          <w:rFonts w:ascii="宋体" w:hAnsi="宋体" w:cs="宋体"/>
          <w:b/>
          <w:color w:val="auto"/>
          <w:sz w:val="24"/>
          <w:highlight w:val="none"/>
        </w:rPr>
      </w:pPr>
      <w:r>
        <w:rPr>
          <w:rFonts w:hint="eastAsia" w:ascii="宋体" w:hAnsi="宋体" w:cs="宋体"/>
          <w:b/>
          <w:bCs/>
          <w:color w:val="auto"/>
          <w:sz w:val="24"/>
          <w:szCs w:val="24"/>
          <w:highlight w:val="none"/>
        </w:rPr>
        <w:t>16.17</w:t>
      </w:r>
      <w:r>
        <w:rPr>
          <w:rFonts w:hint="eastAsia" w:ascii="宋体" w:hAnsi="宋体" w:cs="宋体"/>
          <w:b/>
          <w:color w:val="auto"/>
          <w:sz w:val="24"/>
          <w:highlight w:val="none"/>
        </w:rPr>
        <w:t>员工工资标准低于上虞区最低工资标准的；</w:t>
      </w:r>
    </w:p>
    <w:p>
      <w:pPr>
        <w:tabs>
          <w:tab w:val="left" w:pos="3870"/>
          <w:tab w:val="left" w:pos="4085"/>
        </w:tabs>
        <w:snapToGrid w:val="0"/>
        <w:spacing w:line="336"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16.18 其他违反法律、法规的情形。</w:t>
      </w:r>
    </w:p>
    <w:p>
      <w:pPr>
        <w:pStyle w:val="2"/>
        <w:numPr>
          <w:ilvl w:val="0"/>
          <w:numId w:val="9"/>
        </w:numPr>
        <w:spacing w:line="336" w:lineRule="auto"/>
        <w:jc w:val="center"/>
        <w:rPr>
          <w:rFonts w:cs="Times New Roman"/>
          <w:color w:val="auto"/>
          <w:highlight w:val="none"/>
        </w:rPr>
      </w:pPr>
      <w:r>
        <w:rPr>
          <w:color w:val="auto"/>
          <w:highlight w:val="none"/>
        </w:rPr>
        <w:t xml:space="preserve"> </w:t>
      </w:r>
      <w:bookmarkStart w:id="62" w:name="_Toc21752"/>
      <w:bookmarkStart w:id="63" w:name="_Toc22222"/>
      <w:r>
        <w:rPr>
          <w:rFonts w:hint="eastAsia"/>
          <w:color w:val="auto"/>
          <w:highlight w:val="none"/>
        </w:rPr>
        <w:t>采购中止的情形</w:t>
      </w:r>
      <w:bookmarkEnd w:id="62"/>
      <w:bookmarkEnd w:id="63"/>
    </w:p>
    <w:p>
      <w:pPr>
        <w:pStyle w:val="15"/>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17</w:t>
      </w:r>
      <w:r>
        <w:rPr>
          <w:rFonts w:hint="eastAsia" w:hAnsi="宋体"/>
          <w:b/>
          <w:bCs/>
          <w:color w:val="auto"/>
          <w:sz w:val="24"/>
          <w:szCs w:val="24"/>
          <w:highlight w:val="none"/>
        </w:rPr>
        <w:t>、</w:t>
      </w:r>
      <w:r>
        <w:rPr>
          <w:rFonts w:hint="eastAsia" w:hAnsi="宋体"/>
          <w:b/>
          <w:bCs/>
          <w:color w:val="auto"/>
          <w:sz w:val="24"/>
          <w:szCs w:val="24"/>
          <w:highlight w:val="none"/>
          <w:lang w:val="zh-CN"/>
        </w:rPr>
        <w:t>中止电子交易活动和</w:t>
      </w:r>
      <w:r>
        <w:rPr>
          <w:rFonts w:hint="eastAsia" w:hAnsi="宋体"/>
          <w:b/>
          <w:bCs/>
          <w:color w:val="auto"/>
          <w:sz w:val="24"/>
          <w:szCs w:val="24"/>
          <w:highlight w:val="none"/>
        </w:rPr>
        <w:t>重新组织采购</w:t>
      </w:r>
    </w:p>
    <w:p>
      <w:pPr>
        <w:pStyle w:val="48"/>
        <w:tabs>
          <w:tab w:val="left" w:pos="0"/>
        </w:tabs>
        <w:spacing w:before="0" w:line="336" w:lineRule="auto"/>
        <w:ind w:left="420" w:leftChars="200" w:firstLine="0" w:firstLineChars="0"/>
        <w:rPr>
          <w:rFonts w:ascii="宋体"/>
          <w:color w:val="auto"/>
          <w:highlight w:val="none"/>
          <w:lang w:val="zh-CN"/>
        </w:rPr>
      </w:pPr>
      <w:r>
        <w:rPr>
          <w:rFonts w:ascii="宋体" w:hAnsi="宋体" w:cs="宋体"/>
          <w:color w:val="auto"/>
          <w:highlight w:val="none"/>
        </w:rPr>
        <w:t>17.1</w:t>
      </w:r>
      <w:r>
        <w:rPr>
          <w:rFonts w:hint="eastAsia" w:ascii="宋体" w:hAnsi="宋体" w:cs="宋体"/>
          <w:color w:val="auto"/>
          <w:highlight w:val="none"/>
          <w:lang w:val="zh-CN"/>
        </w:rPr>
        <w:t>采购过程中出现以下情形，导致电子交易平台无法正常运行，或者无法保证电子交易的公平、公正和安全时，采购组织机构可中止电子交易活动：</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电子交易平台发生故障而无法登录访问的；</w:t>
      </w:r>
      <w:r>
        <w:rPr>
          <w:rFonts w:ascii="宋体" w:hAnsi="宋体" w:cs="宋体"/>
          <w:color w:val="auto"/>
          <w:sz w:val="24"/>
          <w:szCs w:val="24"/>
          <w:highlight w:val="none"/>
        </w:rPr>
        <w:t xml:space="preserve"> </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电子交易平台应用或数据库出现错误，不能进行正常操作的；</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电子交易平台发现严重安全漏洞，有潜在泄密危险的；</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病毒发作导致不能进行正常操作的；</w:t>
      </w:r>
      <w:r>
        <w:rPr>
          <w:rFonts w:ascii="宋体" w:hAnsi="宋体" w:cs="宋体"/>
          <w:color w:val="auto"/>
          <w:sz w:val="24"/>
          <w:szCs w:val="24"/>
          <w:highlight w:val="none"/>
        </w:rPr>
        <w:t xml:space="preserve"> </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其他无法保证电子交易的公平、公正和安全的情况。</w:t>
      </w:r>
    </w:p>
    <w:p>
      <w:pPr>
        <w:pStyle w:val="48"/>
        <w:tabs>
          <w:tab w:val="left" w:pos="0"/>
        </w:tabs>
        <w:spacing w:before="0" w:line="336" w:lineRule="auto"/>
        <w:ind w:firstLine="480"/>
        <w:rPr>
          <w:rFonts w:ascii="宋体"/>
          <w:color w:val="auto"/>
          <w:highlight w:val="none"/>
        </w:rPr>
      </w:pPr>
      <w:r>
        <w:rPr>
          <w:rFonts w:ascii="宋体" w:hAnsi="宋体" w:cs="宋体"/>
          <w:color w:val="auto"/>
          <w:highlight w:val="none"/>
        </w:rPr>
        <w:t>17.2</w:t>
      </w:r>
      <w:r>
        <w:rPr>
          <w:rFonts w:hint="eastAsia" w:ascii="宋体" w:hAnsi="宋体" w:cs="宋体"/>
          <w:color w:val="auto"/>
          <w:highlight w:val="none"/>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2"/>
        <w:numPr>
          <w:ilvl w:val="0"/>
          <w:numId w:val="9"/>
        </w:numPr>
        <w:spacing w:line="336" w:lineRule="auto"/>
        <w:jc w:val="center"/>
        <w:rPr>
          <w:rFonts w:cs="Times New Roman"/>
          <w:color w:val="auto"/>
          <w:highlight w:val="none"/>
        </w:rPr>
      </w:pPr>
      <w:r>
        <w:rPr>
          <w:color w:val="auto"/>
          <w:highlight w:val="none"/>
        </w:rPr>
        <w:t xml:space="preserve"> </w:t>
      </w:r>
      <w:bookmarkStart w:id="64" w:name="_Toc14029"/>
      <w:bookmarkStart w:id="65" w:name="_Toc17136"/>
      <w:r>
        <w:rPr>
          <w:rFonts w:hint="eastAsia"/>
          <w:color w:val="auto"/>
          <w:highlight w:val="none"/>
        </w:rPr>
        <w:t>确定成交供应商与签订合同</w:t>
      </w:r>
      <w:bookmarkEnd w:id="64"/>
      <w:bookmarkEnd w:id="65"/>
    </w:p>
    <w:p>
      <w:pPr>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18</w:t>
      </w:r>
      <w:r>
        <w:rPr>
          <w:rFonts w:hint="eastAsia" w:ascii="宋体" w:hAnsi="宋体" w:cs="宋体"/>
          <w:b/>
          <w:bCs/>
          <w:color w:val="auto"/>
          <w:sz w:val="24"/>
          <w:szCs w:val="24"/>
          <w:highlight w:val="none"/>
        </w:rPr>
        <w:t>、推荐成交候选供应商</w:t>
      </w:r>
    </w:p>
    <w:p>
      <w:pPr>
        <w:snapToGri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18.1 </w:t>
      </w:r>
      <w:r>
        <w:rPr>
          <w:rFonts w:hint="eastAsia" w:ascii="宋体" w:hAnsi="宋体" w:cs="宋体"/>
          <w:color w:val="auto"/>
          <w:sz w:val="24"/>
          <w:szCs w:val="24"/>
          <w:highlight w:val="none"/>
        </w:rPr>
        <w:t>磋商小组应当根据综合评分情况，按照评审得分由高到低顺序推荐</w:t>
      </w:r>
      <w:r>
        <w:rPr>
          <w:rFonts w:ascii="宋体" w:hAnsi="宋体" w:cs="宋体"/>
          <w:color w:val="auto"/>
          <w:sz w:val="24"/>
          <w:szCs w:val="24"/>
          <w:highlight w:val="none"/>
        </w:rPr>
        <w:t>1</w:t>
      </w:r>
      <w:r>
        <w:rPr>
          <w:rFonts w:hint="eastAsia" w:ascii="宋体" w:hAnsi="宋体" w:cs="宋体"/>
          <w:color w:val="auto"/>
          <w:sz w:val="24"/>
          <w:szCs w:val="24"/>
          <w:highlight w:val="none"/>
        </w:rPr>
        <w:t>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18.2 </w:t>
      </w:r>
      <w:r>
        <w:rPr>
          <w:rFonts w:hint="eastAsia" w:ascii="宋体" w:hAnsi="宋体" w:cs="宋体"/>
          <w:color w:val="auto"/>
          <w:sz w:val="24"/>
          <w:szCs w:val="24"/>
          <w:highlight w:val="none"/>
        </w:rPr>
        <w:t>采购代理机构应当在评审结束后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个工作日内将评审报告送采购人确认。</w:t>
      </w:r>
    </w:p>
    <w:p>
      <w:pPr>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19</w:t>
      </w:r>
      <w:r>
        <w:rPr>
          <w:rFonts w:hint="eastAsia" w:ascii="宋体" w:hAnsi="宋体" w:cs="宋体"/>
          <w:b/>
          <w:bCs/>
          <w:color w:val="auto"/>
          <w:sz w:val="24"/>
          <w:szCs w:val="24"/>
          <w:highlight w:val="none"/>
        </w:rPr>
        <w:t>、确定成交供应商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19.1</w:t>
      </w:r>
      <w:r>
        <w:rPr>
          <w:rFonts w:hint="eastAsia" w:ascii="宋体" w:hAnsi="宋体" w:cs="宋体"/>
          <w:color w:val="auto"/>
          <w:sz w:val="24"/>
          <w:szCs w:val="24"/>
          <w:highlight w:val="none"/>
        </w:rPr>
        <w:t>采购人应当在收到评审报告后</w:t>
      </w:r>
      <w:r>
        <w:rPr>
          <w:rFonts w:ascii="宋体" w:hAnsi="宋体" w:cs="宋体"/>
          <w:color w:val="auto"/>
          <w:sz w:val="24"/>
          <w:szCs w:val="24"/>
          <w:highlight w:val="none"/>
        </w:rPr>
        <w:t>5</w:t>
      </w:r>
      <w:r>
        <w:rPr>
          <w:rFonts w:hint="eastAsia" w:ascii="宋体" w:hAnsi="宋体" w:cs="宋体"/>
          <w:color w:val="auto"/>
          <w:sz w:val="24"/>
          <w:szCs w:val="24"/>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19.2</w:t>
      </w:r>
      <w:r>
        <w:rPr>
          <w:rFonts w:hint="eastAsia" w:ascii="宋体" w:hAnsi="宋体" w:cs="宋体"/>
          <w:color w:val="auto"/>
          <w:sz w:val="24"/>
          <w:szCs w:val="24"/>
          <w:highlight w:val="none"/>
        </w:rPr>
        <w:t>采购人或者采购代理机构应当在成交供应商确定后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个工作日内，在省级以上财政部门指定的政府采购信息发布媒体上公告成交结果，同时向成交供应商发出成交通知书。</w:t>
      </w:r>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20</w:t>
      </w:r>
      <w:r>
        <w:rPr>
          <w:rFonts w:hint="eastAsia" w:ascii="宋体" w:hAnsi="宋体" w:cs="宋体"/>
          <w:b/>
          <w:bCs/>
          <w:color w:val="auto"/>
          <w:sz w:val="24"/>
          <w:szCs w:val="24"/>
          <w:highlight w:val="none"/>
        </w:rPr>
        <w:t>、签订合同</w:t>
      </w:r>
    </w:p>
    <w:p>
      <w:pPr>
        <w:pStyle w:val="48"/>
        <w:snapToGrid w:val="0"/>
        <w:spacing w:before="0" w:line="336" w:lineRule="auto"/>
        <w:ind w:firstLine="480"/>
        <w:rPr>
          <w:rFonts w:ascii="宋体"/>
          <w:color w:val="auto"/>
          <w:highlight w:val="none"/>
        </w:rPr>
      </w:pPr>
      <w:r>
        <w:rPr>
          <w:rFonts w:ascii="宋体" w:hAnsi="宋体" w:cs="宋体"/>
          <w:color w:val="auto"/>
          <w:highlight w:val="none"/>
        </w:rPr>
        <w:t xml:space="preserve">20.1. </w:t>
      </w:r>
      <w:r>
        <w:rPr>
          <w:rFonts w:hint="eastAsia" w:ascii="宋体" w:hAnsi="宋体" w:cs="宋体"/>
          <w:color w:val="auto"/>
          <w:highlight w:val="none"/>
        </w:rPr>
        <w:t>采购人与成交供应商应当在成交通知书发出之日起</w:t>
      </w:r>
      <w:r>
        <w:rPr>
          <w:rFonts w:ascii="宋体" w:hAnsi="宋体" w:cs="宋体"/>
          <w:color w:val="auto"/>
          <w:highlight w:val="none"/>
        </w:rPr>
        <w:t>30</w:t>
      </w:r>
      <w:r>
        <w:rPr>
          <w:rFonts w:hint="eastAsia" w:ascii="宋体" w:hAnsi="宋体" w:cs="宋体"/>
          <w:color w:val="auto"/>
          <w:highlight w:val="none"/>
        </w:rPr>
        <w:t>日内，按照磋商文件确定的合同文本以及采购标的、规格型号、采购金额、采购数量、技术和服务要求等事项签订政府采购合同。</w:t>
      </w:r>
    </w:p>
    <w:p>
      <w:pPr>
        <w:pStyle w:val="48"/>
        <w:snapToGrid w:val="0"/>
        <w:spacing w:before="0" w:line="336" w:lineRule="auto"/>
        <w:ind w:firstLine="480"/>
        <w:rPr>
          <w:rFonts w:ascii="宋体"/>
          <w:color w:val="auto"/>
          <w:highlight w:val="none"/>
        </w:rPr>
      </w:pPr>
      <w:r>
        <w:rPr>
          <w:rFonts w:ascii="宋体" w:hAnsi="宋体" w:cs="宋体"/>
          <w:color w:val="auto"/>
          <w:highlight w:val="none"/>
        </w:rPr>
        <w:t xml:space="preserve">20.2. </w:t>
      </w:r>
      <w:r>
        <w:rPr>
          <w:rFonts w:hint="eastAsia" w:ascii="宋体" w:hAnsi="宋体" w:cs="宋体"/>
          <w:color w:val="auto"/>
          <w:highlight w:val="none"/>
        </w:rPr>
        <w:t>成交供应商拒绝签订政府采购合同的，采购人可以按照《政府采购竞争性磋商采购方式管理暂行办法》（财库〔</w:t>
      </w:r>
      <w:r>
        <w:rPr>
          <w:rFonts w:ascii="宋体" w:hAnsi="宋体" w:cs="宋体"/>
          <w:color w:val="auto"/>
          <w:highlight w:val="none"/>
        </w:rPr>
        <w:t>2014</w:t>
      </w:r>
      <w:r>
        <w:rPr>
          <w:rFonts w:hint="eastAsia" w:ascii="宋体" w:hAnsi="宋体" w:cs="宋体"/>
          <w:color w:val="auto"/>
          <w:highlight w:val="none"/>
        </w:rPr>
        <w:t>〕</w:t>
      </w:r>
      <w:r>
        <w:rPr>
          <w:rFonts w:ascii="宋体" w:hAnsi="宋体" w:cs="宋体"/>
          <w:color w:val="auto"/>
          <w:highlight w:val="none"/>
        </w:rPr>
        <w:t>214</w:t>
      </w:r>
      <w:r>
        <w:rPr>
          <w:rFonts w:hint="eastAsia" w:ascii="宋体" w:hAnsi="宋体" w:cs="宋体"/>
          <w:color w:val="auto"/>
          <w:highlight w:val="none"/>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21</w:t>
      </w:r>
      <w:r>
        <w:rPr>
          <w:rFonts w:hint="eastAsia" w:ascii="宋体" w:hAnsi="宋体" w:cs="宋体"/>
          <w:b/>
          <w:bCs/>
          <w:color w:val="auto"/>
          <w:sz w:val="24"/>
          <w:szCs w:val="24"/>
          <w:highlight w:val="none"/>
        </w:rPr>
        <w:t>、解释权</w:t>
      </w:r>
    </w:p>
    <w:p>
      <w:pPr>
        <w:adjustRightInd w:val="0"/>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磋商文件的解释权均属于</w:t>
      </w:r>
      <w:r>
        <w:rPr>
          <w:rFonts w:hint="eastAsia" w:ascii="宋体" w:hAnsi="宋体" w:cs="宋体"/>
          <w:color w:val="auto"/>
          <w:sz w:val="24"/>
          <w:szCs w:val="24"/>
          <w:highlight w:val="none"/>
          <w:u w:val="single"/>
        </w:rPr>
        <w:t>绍兴市自然资源和规划局上虞分局</w:t>
      </w:r>
      <w:r>
        <w:rPr>
          <w:rFonts w:hint="eastAsia" w:ascii="宋体" w:hAnsi="宋体" w:cs="宋体"/>
          <w:color w:val="auto"/>
          <w:sz w:val="24"/>
          <w:szCs w:val="24"/>
          <w:highlight w:val="none"/>
        </w:rPr>
        <w:t>和</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pStyle w:val="13"/>
        <w:rPr>
          <w:rFonts w:cs="Times New Roman"/>
          <w:color w:val="auto"/>
          <w:highlight w:val="none"/>
        </w:rPr>
      </w:pPr>
    </w:p>
    <w:p>
      <w:pPr>
        <w:pStyle w:val="4"/>
        <w:jc w:val="center"/>
        <w:rPr>
          <w:rFonts w:cs="Times New Roman"/>
          <w:color w:val="auto"/>
          <w:sz w:val="36"/>
          <w:szCs w:val="36"/>
          <w:highlight w:val="none"/>
        </w:rPr>
      </w:pPr>
      <w:r>
        <w:rPr>
          <w:color w:val="auto"/>
          <w:sz w:val="36"/>
          <w:szCs w:val="36"/>
          <w:highlight w:val="none"/>
        </w:rPr>
        <w:br w:type="page"/>
      </w:r>
      <w:bookmarkStart w:id="66" w:name="_Toc463"/>
      <w:bookmarkStart w:id="67" w:name="_Toc21248"/>
      <w:r>
        <w:rPr>
          <w:rFonts w:hint="eastAsia"/>
          <w:color w:val="auto"/>
          <w:sz w:val="36"/>
          <w:szCs w:val="36"/>
          <w:highlight w:val="none"/>
        </w:rPr>
        <w:t xml:space="preserve">第三部分 </w:t>
      </w:r>
      <w:r>
        <w:rPr>
          <w:rFonts w:hint="eastAsia" w:cs="宋体"/>
          <w:color w:val="auto"/>
          <w:sz w:val="36"/>
          <w:szCs w:val="36"/>
          <w:highlight w:val="none"/>
        </w:rPr>
        <w:t>采购内容及要求</w:t>
      </w:r>
      <w:bookmarkEnd w:id="66"/>
      <w:bookmarkEnd w:id="67"/>
    </w:p>
    <w:p>
      <w:pPr>
        <w:pStyle w:val="2"/>
        <w:jc w:val="center"/>
        <w:rPr>
          <w:color w:val="auto"/>
          <w:highlight w:val="none"/>
        </w:rPr>
      </w:pPr>
      <w:bookmarkStart w:id="68" w:name="_Toc7953"/>
      <w:bookmarkStart w:id="69" w:name="_Toc25073"/>
      <w:bookmarkStart w:id="70" w:name="_Toc15284"/>
      <w:r>
        <w:rPr>
          <w:rFonts w:hint="eastAsia"/>
          <w:color w:val="auto"/>
          <w:highlight w:val="none"/>
        </w:rPr>
        <w:t xml:space="preserve">第一章 </w:t>
      </w:r>
      <w:bookmarkStart w:id="71" w:name="_Toc506107120"/>
      <w:r>
        <w:rPr>
          <w:rFonts w:hint="eastAsia"/>
          <w:color w:val="auto"/>
          <w:highlight w:val="none"/>
        </w:rPr>
        <w:t>采购内容及要求</w:t>
      </w:r>
      <w:bookmarkEnd w:id="68"/>
      <w:bookmarkEnd w:id="69"/>
      <w:bookmarkEnd w:id="71"/>
    </w:p>
    <w:p>
      <w:pPr>
        <w:spacing w:line="360" w:lineRule="auto"/>
        <w:ind w:firstLine="482" w:firstLineChars="200"/>
        <w:rPr>
          <w:rFonts w:ascii="宋体" w:hAnsi="宋体" w:cs="宋体"/>
          <w:b/>
          <w:bCs/>
          <w:color w:val="auto"/>
          <w:sz w:val="24"/>
          <w:szCs w:val="24"/>
          <w:highlight w:val="none"/>
        </w:rPr>
      </w:pPr>
      <w:bookmarkStart w:id="72" w:name="_Hlk103930317"/>
      <w:r>
        <w:rPr>
          <w:rFonts w:hint="eastAsia" w:ascii="宋体" w:hAnsi="宋体" w:cs="宋体"/>
          <w:b/>
          <w:bCs/>
          <w:color w:val="auto"/>
          <w:sz w:val="24"/>
          <w:szCs w:val="24"/>
          <w:highlight w:val="none"/>
        </w:rPr>
        <w:t>一、项目概况</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认真贯彻落实国务院《地下水管理条例》，以区域地面沉降和城市地质安全风险防控为重点，启动地下水自动化监测井建设，建成2个自动化监测井，完善地下水监测网络，分类分级做好地下水监测站点监测、维护和管理，实现对地下水动态的有效监测，为优化配置、科学管理地下水资源，同时加强地下水水位动态与地面沉降相关性分析，增强地面沉降风险防控，服务城市建设和运行安全。</w:t>
      </w:r>
    </w:p>
    <w:p>
      <w:pP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b/>
          <w:bCs/>
          <w:color w:val="auto"/>
          <w:sz w:val="24"/>
          <w:szCs w:val="24"/>
          <w:highlight w:val="none"/>
        </w:rPr>
        <w:t>工作任务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新建</w:t>
      </w:r>
      <w:r>
        <w:rPr>
          <w:rFonts w:ascii="宋体" w:hAnsi="宋体" w:cs="宋体"/>
          <w:color w:val="auto"/>
          <w:sz w:val="24"/>
          <w:szCs w:val="24"/>
          <w:highlight w:val="none"/>
        </w:rPr>
        <w:t>2</w:t>
      </w:r>
      <w:r>
        <w:rPr>
          <w:rFonts w:hint="eastAsia" w:ascii="宋体" w:hAnsi="宋体" w:cs="宋体"/>
          <w:color w:val="auto"/>
          <w:sz w:val="24"/>
          <w:szCs w:val="24"/>
          <w:highlight w:val="none"/>
        </w:rPr>
        <w:t>个自动化监测井，完善地下水监测网络，分类分级做好地下水监测站点监测、维护和管理。</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三、项目主要执行标准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1、《地下水监测井建设规范》（DZ/T 2070-2014）；</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2、《水文水井地质钻探规程》（DZ/T 0148-2014）；</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3、《岩土工程勘察规范》（GB 50021-2001）（2</w:t>
      </w:r>
      <w:r>
        <w:rPr>
          <w:rFonts w:ascii="宋体" w:hAnsi="宋体" w:cs="宋体"/>
          <w:color w:val="auto"/>
          <w:sz w:val="24"/>
          <w:szCs w:val="24"/>
          <w:highlight w:val="none"/>
        </w:rPr>
        <w:t>009</w:t>
      </w:r>
      <w:r>
        <w:rPr>
          <w:rFonts w:hint="eastAsia" w:ascii="宋体" w:hAnsi="宋体" w:cs="宋体"/>
          <w:color w:val="auto"/>
          <w:sz w:val="24"/>
          <w:szCs w:val="24"/>
          <w:highlight w:val="none"/>
        </w:rPr>
        <w:t>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4、《管井技术规范》（GB50296-2014）；</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5、《水文地质手册》（第二版 2012）；</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6、《地质环境监测标识规定》；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7、《工程测量规范》（</w:t>
      </w:r>
      <w:r>
        <w:rPr>
          <w:rFonts w:ascii="宋体" w:hAnsi="宋体" w:cs="宋体"/>
          <w:color w:val="auto"/>
          <w:sz w:val="24"/>
          <w:szCs w:val="24"/>
          <w:highlight w:val="none"/>
        </w:rPr>
        <w:t>GB 50026-2007</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8、《国家三、四等水准测量规范》（GB</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12898-2009）；</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9</w:t>
      </w:r>
      <w:r>
        <w:rPr>
          <w:rFonts w:hint="eastAsia" w:ascii="宋体" w:hAnsi="宋体" w:cs="宋体"/>
          <w:color w:val="auto"/>
          <w:sz w:val="24"/>
          <w:szCs w:val="24"/>
          <w:highlight w:val="none"/>
        </w:rPr>
        <w:t>、《全球定位系统（GPS）测量规范》（GB/T</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18314-2009）；</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0</w:t>
      </w:r>
      <w:r>
        <w:rPr>
          <w:rFonts w:hint="eastAsia" w:ascii="宋体" w:hAnsi="宋体" w:cs="宋体"/>
          <w:color w:val="auto"/>
          <w:sz w:val="24"/>
          <w:szCs w:val="24"/>
          <w:highlight w:val="none"/>
        </w:rPr>
        <w:t>、《水文测井工作规范》（DZ/T 0181-1997）；</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、其他上级相关规范文件等。</w:t>
      </w:r>
    </w:p>
    <w:p>
      <w:pPr>
        <w:pStyle w:val="26"/>
        <w:ind w:firstLine="482" w:firstLineChars="200"/>
        <w:rPr>
          <w:b/>
          <w:bCs/>
          <w:color w:val="auto"/>
          <w:highlight w:val="none"/>
        </w:rPr>
      </w:pPr>
      <w:r>
        <w:rPr>
          <w:rFonts w:hint="eastAsia"/>
          <w:b/>
          <w:bCs/>
          <w:color w:val="auto"/>
          <w:highlight w:val="none"/>
        </w:rPr>
        <w:t>四、服务期限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要求在2022年</w:t>
      </w:r>
      <w:r>
        <w:rPr>
          <w:rFonts w:ascii="宋体" w:hAnsi="宋体" w:cs="宋体"/>
          <w:color w:val="auto"/>
          <w:sz w:val="24"/>
          <w:szCs w:val="24"/>
          <w:highlight w:val="none"/>
        </w:rPr>
        <w:t>1</w:t>
      </w:r>
      <w:r>
        <w:rPr>
          <w:rFonts w:hint="eastAsia" w:ascii="宋体" w:hAnsi="宋体" w:cs="宋体"/>
          <w:color w:val="auto"/>
          <w:sz w:val="24"/>
          <w:szCs w:val="24"/>
          <w:highlight w:val="none"/>
        </w:rPr>
        <w:t>1月底前完成并通过专家验收。</w:t>
      </w:r>
    </w:p>
    <w:p>
      <w:pPr>
        <w:pStyle w:val="2"/>
        <w:jc w:val="center"/>
        <w:rPr>
          <w:color w:val="auto"/>
          <w:highlight w:val="none"/>
        </w:rPr>
      </w:pPr>
      <w:bookmarkStart w:id="73" w:name="_Toc27416"/>
    </w:p>
    <w:p>
      <w:pPr>
        <w:rPr>
          <w:color w:val="auto"/>
          <w:highlight w:val="none"/>
        </w:rPr>
      </w:pPr>
    </w:p>
    <w:p>
      <w:pPr>
        <w:rPr>
          <w:rFonts w:hint="eastAsia"/>
          <w:color w:val="auto"/>
          <w:highlight w:val="none"/>
        </w:rPr>
      </w:pPr>
      <w:bookmarkStart w:id="74" w:name="_Toc20123"/>
      <w:r>
        <w:rPr>
          <w:rFonts w:hint="eastAsia"/>
          <w:color w:val="auto"/>
          <w:highlight w:val="none"/>
        </w:rPr>
        <w:br w:type="page"/>
      </w:r>
    </w:p>
    <w:p>
      <w:pPr>
        <w:pStyle w:val="2"/>
        <w:jc w:val="center"/>
        <w:rPr>
          <w:color w:val="auto"/>
          <w:sz w:val="24"/>
          <w:szCs w:val="24"/>
          <w:highlight w:val="none"/>
        </w:rPr>
      </w:pPr>
      <w:r>
        <w:rPr>
          <w:rFonts w:hint="eastAsia"/>
          <w:color w:val="auto"/>
          <w:highlight w:val="none"/>
        </w:rPr>
        <w:t>第二章 付款方式及要求</w:t>
      </w:r>
      <w:bookmarkEnd w:id="73"/>
      <w:bookmarkEnd w:id="74"/>
    </w:p>
    <w:bookmarkEnd w:id="72"/>
    <w:p>
      <w:pPr>
        <w:autoSpaceDE w:val="0"/>
        <w:autoSpaceDN w:val="0"/>
        <w:adjustRightInd w:val="0"/>
        <w:spacing w:line="360" w:lineRule="auto"/>
        <w:ind w:firstLine="600"/>
        <w:rPr>
          <w:rFonts w:ascii="宋体" w:cs="宋体"/>
          <w:color w:val="auto"/>
          <w:kern w:val="0"/>
          <w:sz w:val="24"/>
          <w:highlight w:val="none"/>
          <w:lang w:val="zh-CN"/>
        </w:rPr>
      </w:pPr>
      <w:r>
        <w:rPr>
          <w:rFonts w:hint="eastAsia" w:ascii="宋体" w:cs="宋体"/>
          <w:color w:val="auto"/>
          <w:kern w:val="0"/>
          <w:sz w:val="24"/>
          <w:highlight w:val="none"/>
          <w:lang w:val="zh-CN"/>
        </w:rPr>
        <w:t>在合同生效以及具备实施条件后7个工作日内</w:t>
      </w:r>
      <w:bookmarkStart w:id="111" w:name="_GoBack"/>
      <w:bookmarkEnd w:id="111"/>
      <w:r>
        <w:rPr>
          <w:rFonts w:hint="eastAsia" w:ascii="宋体" w:cs="宋体"/>
          <w:color w:val="auto"/>
          <w:kern w:val="0"/>
          <w:sz w:val="24"/>
          <w:highlight w:val="none"/>
          <w:lang w:val="zh-CN"/>
        </w:rPr>
        <w:t>预付合同款的40%，2022年11月底前完成监测井建设并通过验收后一次性支付尾款。</w:t>
      </w:r>
    </w:p>
    <w:p>
      <w:pPr>
        <w:rPr>
          <w:rFonts w:cs="宋体"/>
          <w:color w:val="auto"/>
          <w:sz w:val="36"/>
          <w:szCs w:val="36"/>
          <w:highlight w:val="none"/>
        </w:rPr>
      </w:pPr>
      <w:bookmarkStart w:id="75" w:name="_Toc11073"/>
      <w:r>
        <w:rPr>
          <w:rFonts w:hint="eastAsia" w:cs="宋体"/>
          <w:color w:val="auto"/>
          <w:sz w:val="36"/>
          <w:szCs w:val="36"/>
          <w:highlight w:val="none"/>
        </w:rPr>
        <w:br w:type="page"/>
      </w:r>
    </w:p>
    <w:p>
      <w:pPr>
        <w:pStyle w:val="4"/>
        <w:jc w:val="center"/>
        <w:rPr>
          <w:rFonts w:cs="Times New Roman"/>
          <w:color w:val="auto"/>
          <w:sz w:val="36"/>
          <w:szCs w:val="36"/>
          <w:highlight w:val="none"/>
        </w:rPr>
      </w:pPr>
      <w:r>
        <w:rPr>
          <w:rFonts w:hint="eastAsia" w:cs="宋体"/>
          <w:color w:val="auto"/>
          <w:sz w:val="36"/>
          <w:szCs w:val="36"/>
          <w:highlight w:val="none"/>
        </w:rPr>
        <w:t>第四部分 磋商原则及磋商方法</w:t>
      </w:r>
      <w:bookmarkEnd w:id="70"/>
      <w:bookmarkEnd w:id="75"/>
    </w:p>
    <w:p>
      <w:pPr>
        <w:pStyle w:val="2"/>
        <w:numPr>
          <w:ilvl w:val="0"/>
          <w:numId w:val="16"/>
        </w:numPr>
        <w:jc w:val="center"/>
        <w:rPr>
          <w:rFonts w:cs="Times New Roman"/>
          <w:color w:val="auto"/>
          <w:highlight w:val="none"/>
        </w:rPr>
      </w:pPr>
      <w:bookmarkStart w:id="76" w:name="_Toc1265"/>
      <w:r>
        <w:rPr>
          <w:rFonts w:hint="eastAsia"/>
          <w:color w:val="auto"/>
          <w:highlight w:val="none"/>
        </w:rPr>
        <w:t xml:space="preserve"> </w:t>
      </w:r>
      <w:bookmarkStart w:id="77" w:name="_Toc4080"/>
      <w:r>
        <w:rPr>
          <w:rFonts w:hint="eastAsia"/>
          <w:color w:val="auto"/>
          <w:highlight w:val="none"/>
        </w:rPr>
        <w:t>磋商原则</w:t>
      </w:r>
      <w:bookmarkEnd w:id="76"/>
      <w:bookmarkEnd w:id="77"/>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、本次竞争性磋商本着公平、公正、科学、择优的原则，邀请各磋商方参加报价。</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、磋商小组将严格按照竞争性磋商文件的要求，对供应商的响应性文件进行认真评审；磋商小组对响应性文件的评审仅依据响应性文件本身，而不依据响应性文件以外的任何因素。</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、磋商小组按照统一的磋商原则和磋商方法，用同一标准对所有响应性文件进行评审。</w:t>
      </w:r>
    </w:p>
    <w:p>
      <w:pPr>
        <w:pStyle w:val="15"/>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4</w:t>
      </w:r>
      <w:r>
        <w:rPr>
          <w:rFonts w:hint="eastAsia" w:hAnsi="宋体"/>
          <w:b/>
          <w:bCs/>
          <w:color w:val="auto"/>
          <w:sz w:val="24"/>
          <w:szCs w:val="24"/>
          <w:highlight w:val="none"/>
        </w:rPr>
        <w:t>、评审</w:t>
      </w:r>
    </w:p>
    <w:p>
      <w:pPr>
        <w:pStyle w:val="15"/>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在磋商响应截止时间前按规定提交响应文件的供应商在三家（含）以上的，由采购人或采购代理机构组织进行开标。</w:t>
      </w:r>
    </w:p>
    <w:p>
      <w:pPr>
        <w:pStyle w:val="15"/>
        <w:spacing w:line="360" w:lineRule="auto"/>
        <w:ind w:firstLine="482" w:firstLineChars="200"/>
        <w:rPr>
          <w:rFonts w:hAnsi="宋体" w:cs="Times New Roman"/>
          <w:color w:val="auto"/>
          <w:sz w:val="24"/>
          <w:szCs w:val="24"/>
          <w:highlight w:val="none"/>
        </w:rPr>
      </w:pPr>
      <w:r>
        <w:rPr>
          <w:rFonts w:hAnsi="宋体"/>
          <w:b/>
          <w:bCs/>
          <w:color w:val="auto"/>
          <w:sz w:val="24"/>
          <w:szCs w:val="24"/>
          <w:highlight w:val="none"/>
        </w:rPr>
        <w:t>4.2</w:t>
      </w:r>
      <w:r>
        <w:rPr>
          <w:rFonts w:hint="eastAsia" w:hAnsi="宋体"/>
          <w:b/>
          <w:bCs/>
          <w:color w:val="auto"/>
          <w:sz w:val="24"/>
          <w:szCs w:val="24"/>
          <w:highlight w:val="none"/>
        </w:rPr>
        <w:t>供应商登录政采云平台，用“项目采购</w:t>
      </w:r>
      <w:r>
        <w:rPr>
          <w:rFonts w:hAnsi="宋体"/>
          <w:b/>
          <w:bCs/>
          <w:color w:val="auto"/>
          <w:sz w:val="24"/>
          <w:szCs w:val="24"/>
          <w:highlight w:val="none"/>
        </w:rPr>
        <w:t>-</w:t>
      </w:r>
      <w:r>
        <w:rPr>
          <w:rFonts w:hint="eastAsia" w:hAnsi="宋体"/>
          <w:b/>
          <w:bCs/>
          <w:color w:val="auto"/>
          <w:sz w:val="24"/>
          <w:szCs w:val="24"/>
          <w:highlight w:val="none"/>
        </w:rPr>
        <w:t>开标评标”功能对电子磋商响应文件进行在线解密。在线解密电子磋商响应文件时间为开标时间起</w:t>
      </w:r>
      <w:r>
        <w:rPr>
          <w:rFonts w:hAnsi="宋体"/>
          <w:b/>
          <w:bCs/>
          <w:color w:val="auto"/>
          <w:sz w:val="24"/>
          <w:szCs w:val="24"/>
          <w:highlight w:val="none"/>
        </w:rPr>
        <w:t>30</w:t>
      </w:r>
      <w:r>
        <w:rPr>
          <w:rFonts w:hint="eastAsia" w:hAnsi="宋体"/>
          <w:b/>
          <w:bCs/>
          <w:color w:val="auto"/>
          <w:sz w:val="24"/>
          <w:szCs w:val="24"/>
          <w:highlight w:val="none"/>
        </w:rPr>
        <w:t>分钟内。若电子磋商响应文件解密失败，则由采购代理机构工作人员上传供应商提供的备份文件。</w:t>
      </w:r>
      <w:r>
        <w:rPr>
          <w:rFonts w:hint="eastAsia" w:hAnsi="宋体"/>
          <w:color w:val="auto"/>
          <w:sz w:val="24"/>
          <w:szCs w:val="24"/>
          <w:highlight w:val="none"/>
        </w:rPr>
        <w:t>备份文件（后缀名为</w:t>
      </w:r>
      <w:r>
        <w:rPr>
          <w:rFonts w:hAnsi="宋体"/>
          <w:color w:val="auto"/>
          <w:sz w:val="24"/>
          <w:szCs w:val="24"/>
          <w:highlight w:val="none"/>
        </w:rPr>
        <w:t>.bfbs</w:t>
      </w:r>
      <w:r>
        <w:rPr>
          <w:rFonts w:hint="eastAsia" w:hAnsi="宋体"/>
          <w:color w:val="auto"/>
          <w:sz w:val="24"/>
          <w:szCs w:val="24"/>
          <w:highlight w:val="none"/>
        </w:rPr>
        <w:t>）须存储在</w:t>
      </w:r>
      <w:r>
        <w:rPr>
          <w:rFonts w:hAnsi="宋体"/>
          <w:color w:val="auto"/>
          <w:sz w:val="24"/>
          <w:szCs w:val="24"/>
          <w:highlight w:val="none"/>
        </w:rPr>
        <w:t>U</w:t>
      </w:r>
      <w:r>
        <w:rPr>
          <w:rFonts w:hint="eastAsia" w:hAnsi="宋体"/>
          <w:color w:val="auto"/>
          <w:sz w:val="24"/>
          <w:szCs w:val="24"/>
          <w:highlight w:val="none"/>
        </w:rPr>
        <w:t>盘中，与上传的电子磋商响应文件一致，用信封进行密封并盖章</w:t>
      </w:r>
      <w:r>
        <w:rPr>
          <w:rFonts w:hint="eastAsia" w:hAnsi="宋体"/>
          <w:b/>
          <w:bCs/>
          <w:color w:val="auto"/>
          <w:sz w:val="24"/>
          <w:szCs w:val="24"/>
          <w:highlight w:val="none"/>
        </w:rPr>
        <w:t>（信封内仅需放入存储备份文件的</w:t>
      </w:r>
      <w:r>
        <w:rPr>
          <w:rFonts w:hAnsi="宋体"/>
          <w:b/>
          <w:bCs/>
          <w:color w:val="auto"/>
          <w:sz w:val="24"/>
          <w:szCs w:val="24"/>
          <w:highlight w:val="none"/>
        </w:rPr>
        <w:t>U</w:t>
      </w:r>
      <w:r>
        <w:rPr>
          <w:rFonts w:hint="eastAsia" w:hAnsi="宋体"/>
          <w:b/>
          <w:bCs/>
          <w:color w:val="auto"/>
          <w:sz w:val="24"/>
          <w:szCs w:val="24"/>
          <w:highlight w:val="none"/>
        </w:rPr>
        <w:t>盘）</w:t>
      </w:r>
      <w:r>
        <w:rPr>
          <w:rFonts w:hint="eastAsia" w:hAnsi="宋体"/>
          <w:color w:val="auto"/>
          <w:sz w:val="24"/>
          <w:szCs w:val="24"/>
          <w:highlight w:val="none"/>
        </w:rPr>
        <w:t>，由授权代表在磋商响应截止时间前递交至开标地点。</w:t>
      </w:r>
    </w:p>
    <w:p>
      <w:pPr>
        <w:pStyle w:val="15"/>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4.3</w:t>
      </w:r>
      <w:r>
        <w:rPr>
          <w:rFonts w:hint="eastAsia" w:hAnsi="宋体"/>
          <w:color w:val="auto"/>
          <w:sz w:val="24"/>
          <w:szCs w:val="24"/>
          <w:highlight w:val="none"/>
        </w:rPr>
        <w:t>采购人按磋商文件规定的时间、地点公开开标。开标仪式由采购人或采购代理机构主持及有关人员参加。</w:t>
      </w:r>
    </w:p>
    <w:p>
      <w:pPr>
        <w:pStyle w:val="48"/>
        <w:spacing w:before="0"/>
        <w:ind w:firstLine="480"/>
        <w:rPr>
          <w:rFonts w:ascii="宋体"/>
          <w:color w:val="auto"/>
          <w:highlight w:val="none"/>
        </w:rPr>
      </w:pPr>
      <w:r>
        <w:rPr>
          <w:rFonts w:ascii="宋体" w:hAnsi="宋体" w:cs="宋体"/>
          <w:color w:val="auto"/>
          <w:highlight w:val="none"/>
        </w:rPr>
        <w:t>4.4</w:t>
      </w:r>
      <w:r>
        <w:rPr>
          <w:rFonts w:hint="eastAsia" w:ascii="宋体" w:hAnsi="宋体" w:cs="宋体"/>
          <w:color w:val="auto"/>
          <w:highlight w:val="none"/>
        </w:rPr>
        <w:t>本项目为电子投标项目，供应商一般不需要参加现场投标和开标，若供应商需要指派授权代表递交备份文件，则授权代表应随身携带法定代表人授权书原件于</w:t>
      </w:r>
      <w:r>
        <w:rPr>
          <w:rFonts w:hint="eastAsia" w:hAnsi="宋体" w:cs="宋体"/>
          <w:color w:val="auto"/>
          <w:highlight w:val="none"/>
        </w:rPr>
        <w:t>磋商响应</w:t>
      </w:r>
      <w:r>
        <w:rPr>
          <w:rFonts w:hint="eastAsia" w:ascii="宋体" w:hAnsi="宋体" w:cs="宋体"/>
          <w:color w:val="auto"/>
          <w:highlight w:val="none"/>
        </w:rPr>
        <w:t>截止时间前到达开标地点递交备份文件。若电子磋商响应文件正常解锁，则</w:t>
      </w:r>
      <w:r>
        <w:rPr>
          <w:rFonts w:ascii="宋体" w:hAnsi="宋体" w:cs="宋体"/>
          <w:color w:val="auto"/>
          <w:highlight w:val="none"/>
        </w:rPr>
        <w:t>U</w:t>
      </w:r>
      <w:r>
        <w:rPr>
          <w:rFonts w:hint="eastAsia" w:ascii="宋体" w:hAnsi="宋体" w:cs="宋体"/>
          <w:color w:val="auto"/>
          <w:highlight w:val="none"/>
        </w:rPr>
        <w:t>盘退还给供应商；若解锁失败，则由采购代理机构将</w:t>
      </w:r>
      <w:r>
        <w:rPr>
          <w:rFonts w:ascii="宋体" w:hAnsi="宋体" w:cs="宋体"/>
          <w:color w:val="auto"/>
          <w:highlight w:val="none"/>
        </w:rPr>
        <w:t>U</w:t>
      </w:r>
      <w:r>
        <w:rPr>
          <w:rFonts w:hint="eastAsia" w:ascii="宋体" w:hAnsi="宋体" w:cs="宋体"/>
          <w:color w:val="auto"/>
          <w:highlight w:val="none"/>
        </w:rPr>
        <w:t>盘中的备份文件上传，该</w:t>
      </w:r>
      <w:r>
        <w:rPr>
          <w:rFonts w:ascii="宋体" w:hAnsi="宋体" w:cs="宋体"/>
          <w:color w:val="auto"/>
          <w:highlight w:val="none"/>
        </w:rPr>
        <w:t>U</w:t>
      </w:r>
      <w:r>
        <w:rPr>
          <w:rFonts w:hint="eastAsia" w:ascii="宋体" w:hAnsi="宋体" w:cs="宋体"/>
          <w:color w:val="auto"/>
          <w:highlight w:val="none"/>
        </w:rPr>
        <w:t>盘将由采购代理机构保存。</w:t>
      </w:r>
    </w:p>
    <w:p>
      <w:pPr>
        <w:pStyle w:val="48"/>
        <w:spacing w:before="0"/>
        <w:ind w:firstLine="480"/>
        <w:rPr>
          <w:rFonts w:ascii="宋体"/>
          <w:color w:val="auto"/>
          <w:highlight w:val="none"/>
        </w:rPr>
      </w:pPr>
      <w:r>
        <w:rPr>
          <w:rFonts w:ascii="宋体" w:hAnsi="宋体" w:cs="宋体"/>
          <w:color w:val="auto"/>
          <w:highlight w:val="none"/>
        </w:rPr>
        <w:t>4.5</w:t>
      </w:r>
      <w:r>
        <w:rPr>
          <w:rFonts w:hint="eastAsia" w:ascii="宋体" w:hAnsi="宋体" w:cs="宋体"/>
          <w:color w:val="auto"/>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、组建磋商小组</w:t>
      </w:r>
    </w:p>
    <w:p>
      <w:pPr>
        <w:pStyle w:val="48"/>
        <w:spacing w:before="0"/>
        <w:ind w:firstLine="480"/>
        <w:rPr>
          <w:rFonts w:ascii="宋体"/>
          <w:color w:val="auto"/>
          <w:highlight w:val="none"/>
        </w:rPr>
      </w:pPr>
      <w:r>
        <w:rPr>
          <w:rFonts w:ascii="宋体" w:hAnsi="宋体" w:cs="宋体"/>
          <w:color w:val="auto"/>
          <w:highlight w:val="none"/>
        </w:rPr>
        <w:t>5.1</w:t>
      </w:r>
      <w:r>
        <w:rPr>
          <w:rFonts w:hint="eastAsia" w:ascii="宋体" w:hAnsi="宋体" w:cs="宋体"/>
          <w:color w:val="auto"/>
          <w:highlight w:val="none"/>
        </w:rPr>
        <w:t>磋商小组由采购人代表和评审专家共</w:t>
      </w:r>
      <w:r>
        <w:rPr>
          <w:rFonts w:ascii="宋体" w:hAnsi="宋体" w:cs="宋体"/>
          <w:color w:val="auto"/>
          <w:highlight w:val="none"/>
        </w:rPr>
        <w:t>3</w:t>
      </w:r>
      <w:r>
        <w:rPr>
          <w:rFonts w:hint="eastAsia" w:ascii="宋体" w:hAnsi="宋体" w:cs="宋体"/>
          <w:color w:val="auto"/>
          <w:highlight w:val="none"/>
        </w:rPr>
        <w:t>人或以上单数组成，其中评审专家人数不少于磋商小组成员总数的</w:t>
      </w:r>
      <w:r>
        <w:rPr>
          <w:rFonts w:ascii="宋体" w:hAnsi="宋体" w:cs="宋体"/>
          <w:color w:val="auto"/>
          <w:highlight w:val="none"/>
        </w:rPr>
        <w:t>2/3</w:t>
      </w:r>
      <w:r>
        <w:rPr>
          <w:rFonts w:hint="eastAsia" w:ascii="宋体" w:hAnsi="宋体" w:cs="宋体"/>
          <w:color w:val="auto"/>
          <w:highlight w:val="none"/>
        </w:rPr>
        <w:t>。</w:t>
      </w:r>
    </w:p>
    <w:p>
      <w:pPr>
        <w:pStyle w:val="48"/>
        <w:tabs>
          <w:tab w:val="left" w:pos="0"/>
        </w:tabs>
        <w:spacing w:before="0"/>
        <w:ind w:firstLine="480"/>
        <w:rPr>
          <w:rFonts w:ascii="宋体"/>
          <w:color w:val="auto"/>
          <w:highlight w:val="none"/>
          <w:lang w:val="zh-CN"/>
        </w:rPr>
      </w:pPr>
      <w:r>
        <w:rPr>
          <w:rFonts w:ascii="宋体" w:hAnsi="宋体" w:cs="宋体"/>
          <w:color w:val="auto"/>
          <w:highlight w:val="none"/>
        </w:rPr>
        <w:t>5.2</w:t>
      </w:r>
      <w:r>
        <w:rPr>
          <w:rFonts w:hint="eastAsia" w:ascii="宋体" w:hAnsi="宋体" w:cs="宋体"/>
          <w:color w:val="auto"/>
          <w:highlight w:val="none"/>
          <w:lang w:val="zh-CN"/>
        </w:rPr>
        <w:t>评标工作由评标委员会负责，并推选产生的组长主持；</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lang w:val="zh-CN"/>
        </w:rPr>
        <w:t>本次评标为在线评标。</w:t>
      </w:r>
    </w:p>
    <w:p>
      <w:pPr>
        <w:pStyle w:val="2"/>
        <w:numPr>
          <w:ilvl w:val="0"/>
          <w:numId w:val="16"/>
        </w:numPr>
        <w:jc w:val="center"/>
        <w:rPr>
          <w:rFonts w:cs="Times New Roman"/>
          <w:color w:val="auto"/>
          <w:highlight w:val="none"/>
        </w:rPr>
      </w:pPr>
      <w:r>
        <w:rPr>
          <w:color w:val="auto"/>
          <w:highlight w:val="none"/>
        </w:rPr>
        <w:t xml:space="preserve"> </w:t>
      </w:r>
      <w:bookmarkStart w:id="78" w:name="_Toc10093"/>
      <w:bookmarkStart w:id="79" w:name="_Toc31914"/>
      <w:r>
        <w:rPr>
          <w:rFonts w:hint="eastAsia"/>
          <w:color w:val="auto"/>
          <w:highlight w:val="none"/>
        </w:rPr>
        <w:t>磋商程序</w:t>
      </w:r>
      <w:bookmarkEnd w:id="78"/>
      <w:bookmarkEnd w:id="79"/>
    </w:p>
    <w:p>
      <w:pPr>
        <w:snapToGrid w:val="0"/>
        <w:spacing w:line="360" w:lineRule="auto"/>
        <w:ind w:firstLine="48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、对所有响应文件的初审</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资格审查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）开标后，磋商小组将依法对供应商的资格进行审查。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color w:val="auto"/>
          <w:sz w:val="24"/>
          <w:szCs w:val="24"/>
          <w:highlight w:val="none"/>
        </w:rPr>
        <w:t>.</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）采购人或采购代理机构将通过“信用中国”网站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）响应文件无法定代表人或其委托授权代表签名或盖章。</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）响应文件内容虚假的。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）响应文件有采购人不能接受的附加条件的。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）磋商有效期、服务期等商务条款不能满足磋商文件要求的。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）投标价格超出预算或最高限价，导致采购单位无法支付的。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）磋商文件明确规定的其他无效条款的。</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1.3 </w:t>
      </w:r>
      <w:r>
        <w:rPr>
          <w:rFonts w:hint="eastAsia" w:ascii="宋体" w:hAnsi="宋体" w:cs="宋体"/>
          <w:color w:val="auto"/>
          <w:sz w:val="24"/>
          <w:szCs w:val="24"/>
          <w:highlight w:val="none"/>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8"/>
        <w:tabs>
          <w:tab w:val="left" w:pos="0"/>
        </w:tabs>
        <w:spacing w:before="0"/>
        <w:ind w:firstLine="480"/>
        <w:rPr>
          <w:rFonts w:ascii="宋体"/>
          <w:color w:val="auto"/>
          <w:highlight w:val="none"/>
        </w:rPr>
      </w:pPr>
      <w:r>
        <w:rPr>
          <w:rFonts w:ascii="宋体" w:hAnsi="宋体" w:cs="宋体"/>
          <w:color w:val="auto"/>
          <w:highlight w:val="none"/>
        </w:rPr>
        <w:t>1.4</w:t>
      </w:r>
      <w:r>
        <w:rPr>
          <w:rFonts w:hint="eastAsia" w:ascii="宋体" w:hAnsi="宋体" w:cs="宋体"/>
          <w:color w:val="auto"/>
          <w:highlight w:val="none"/>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lang w:val="zh-CN"/>
        </w:rPr>
        <w:t>、磋商</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2.1 </w:t>
      </w:r>
      <w:r>
        <w:rPr>
          <w:rFonts w:hint="eastAsia" w:ascii="宋体" w:hAnsi="宋体" w:cs="宋体"/>
          <w:color w:val="auto"/>
          <w:sz w:val="24"/>
          <w:szCs w:val="24"/>
          <w:highlight w:val="none"/>
        </w:rPr>
        <w:t>初审合格的供应商进入下一步的磋商活动。</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2.2 </w:t>
      </w:r>
      <w:r>
        <w:rPr>
          <w:rFonts w:hint="eastAsia" w:ascii="宋体" w:hAnsi="宋体" w:cs="宋体"/>
          <w:color w:val="auto"/>
          <w:sz w:val="24"/>
          <w:szCs w:val="24"/>
          <w:highlight w:val="none"/>
        </w:rPr>
        <w:t>磋商小组所有成员应当集中与单一供应商分别进行磋商，并给予所有参加磋商的供应商平等的磋商机会。</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2.3 </w:t>
      </w:r>
      <w:r>
        <w:rPr>
          <w:rFonts w:hint="eastAsia" w:ascii="宋体" w:hAnsi="宋体" w:cs="宋体"/>
          <w:color w:val="auto"/>
          <w:sz w:val="24"/>
          <w:szCs w:val="24"/>
          <w:highlight w:val="none"/>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color w:val="auto"/>
          <w:sz w:val="24"/>
          <w:szCs w:val="24"/>
          <w:highlight w:val="none"/>
        </w:rPr>
        <w:t xml:space="preserve"> </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2.4 </w:t>
      </w:r>
      <w:r>
        <w:rPr>
          <w:rFonts w:hint="eastAsia" w:ascii="宋体" w:hAnsi="宋体" w:cs="宋体"/>
          <w:color w:val="auto"/>
          <w:sz w:val="24"/>
          <w:szCs w:val="24"/>
          <w:highlight w:val="none"/>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2.5 </w:t>
      </w:r>
      <w:r>
        <w:rPr>
          <w:rFonts w:hint="eastAsia" w:ascii="宋体" w:hAnsi="宋体" w:cs="宋体"/>
          <w:color w:val="auto"/>
          <w:sz w:val="24"/>
          <w:szCs w:val="24"/>
          <w:highlight w:val="none"/>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2.6 </w:t>
      </w:r>
      <w:r>
        <w:rPr>
          <w:rFonts w:hint="eastAsia" w:ascii="宋体" w:hAnsi="宋体" w:cs="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2.7 </w:t>
      </w:r>
      <w:r>
        <w:rPr>
          <w:rFonts w:hint="eastAsia" w:ascii="宋体" w:hAnsi="宋体" w:cs="宋体"/>
          <w:color w:val="auto"/>
          <w:sz w:val="24"/>
          <w:szCs w:val="24"/>
          <w:highlight w:val="none"/>
        </w:rPr>
        <w:t>符合《政府采购竞争性磋商采购方式管理暂行办法》（财库〔</w:t>
      </w:r>
      <w:r>
        <w:rPr>
          <w:rFonts w:ascii="宋体" w:hAnsi="宋体" w:cs="宋体"/>
          <w:color w:val="auto"/>
          <w:sz w:val="24"/>
          <w:szCs w:val="24"/>
          <w:highlight w:val="none"/>
        </w:rPr>
        <w:t>2014</w:t>
      </w:r>
      <w:r>
        <w:rPr>
          <w:rFonts w:hint="eastAsia" w:ascii="宋体" w:hAnsi="宋体" w:cs="宋体"/>
          <w:color w:val="auto"/>
          <w:sz w:val="24"/>
          <w:szCs w:val="24"/>
          <w:highlight w:val="none"/>
        </w:rPr>
        <w:t>〕</w:t>
      </w:r>
      <w:r>
        <w:rPr>
          <w:rFonts w:ascii="宋体" w:hAnsi="宋体" w:cs="宋体"/>
          <w:color w:val="auto"/>
          <w:sz w:val="24"/>
          <w:szCs w:val="24"/>
          <w:highlight w:val="none"/>
        </w:rPr>
        <w:t>214</w:t>
      </w:r>
      <w:r>
        <w:rPr>
          <w:rFonts w:hint="eastAsia" w:ascii="宋体" w:hAnsi="宋体" w:cs="宋体"/>
          <w:color w:val="auto"/>
          <w:sz w:val="24"/>
          <w:szCs w:val="24"/>
          <w:highlight w:val="none"/>
        </w:rPr>
        <w:t>号）第三条第四项即“市场竞争不充分的科研项目，以及需要扶持的科技成果转化项目”情形的，提交最后报价的供应商可以为</w:t>
      </w:r>
      <w:r>
        <w:rPr>
          <w:rFonts w:ascii="宋体" w:hAnsi="宋体" w:cs="宋体"/>
          <w:color w:val="auto"/>
          <w:sz w:val="24"/>
          <w:szCs w:val="24"/>
          <w:highlight w:val="none"/>
        </w:rPr>
        <w:t>2</w:t>
      </w:r>
      <w:r>
        <w:rPr>
          <w:rFonts w:hint="eastAsia" w:ascii="宋体" w:hAnsi="宋体" w:cs="宋体"/>
          <w:color w:val="auto"/>
          <w:sz w:val="24"/>
          <w:szCs w:val="24"/>
          <w:highlight w:val="none"/>
        </w:rPr>
        <w:t>家。</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2.8 </w:t>
      </w:r>
      <w:r>
        <w:rPr>
          <w:rFonts w:hint="eastAsia" w:ascii="宋体" w:hAnsi="宋体" w:cs="宋体"/>
          <w:color w:val="auto"/>
          <w:sz w:val="24"/>
          <w:szCs w:val="24"/>
          <w:highlight w:val="none"/>
        </w:rPr>
        <w:t>采用竞争性磋商采购方式采购的政府购买服务项目（含政府和社会资本合作项目），在采购过程中符合要求的供应商（社会资本）只有</w:t>
      </w:r>
      <w:r>
        <w:rPr>
          <w:rFonts w:ascii="宋体" w:hAnsi="宋体" w:cs="宋体"/>
          <w:color w:val="auto"/>
          <w:sz w:val="24"/>
          <w:szCs w:val="24"/>
          <w:highlight w:val="none"/>
        </w:rPr>
        <w:t>2</w:t>
      </w:r>
      <w:r>
        <w:rPr>
          <w:rFonts w:hint="eastAsia" w:ascii="宋体" w:hAnsi="宋体" w:cs="宋体"/>
          <w:color w:val="auto"/>
          <w:sz w:val="24"/>
          <w:szCs w:val="24"/>
          <w:highlight w:val="none"/>
        </w:rPr>
        <w:t>家的，竞争性磋商采购活动可以继续进行。采购过程中符合要求的供应商（社会资本）只有</w:t>
      </w:r>
      <w:r>
        <w:rPr>
          <w:rFonts w:ascii="宋体" w:hAnsi="宋体" w:cs="宋体"/>
          <w:color w:val="auto"/>
          <w:sz w:val="24"/>
          <w:szCs w:val="24"/>
          <w:highlight w:val="none"/>
        </w:rPr>
        <w:t>1</w:t>
      </w:r>
      <w:r>
        <w:rPr>
          <w:rFonts w:hint="eastAsia" w:ascii="宋体" w:hAnsi="宋体" w:cs="宋体"/>
          <w:color w:val="auto"/>
          <w:sz w:val="24"/>
          <w:szCs w:val="24"/>
          <w:highlight w:val="none"/>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lang w:val="zh-CN"/>
        </w:rPr>
        <w:t>、最后报价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已提交响应文件的供应商，在提交最后报价之前，若因磋商文件实质性变动导致供应商无法满足采购需求的，允许供应商退出磋商。</w:t>
      </w:r>
    </w:p>
    <w:p>
      <w:pPr>
        <w:pStyle w:val="3"/>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、电子评标</w:t>
      </w:r>
    </w:p>
    <w:p>
      <w:pPr>
        <w:pStyle w:val="3"/>
        <w:spacing w:line="360" w:lineRule="auto"/>
        <w:ind w:firstLine="0"/>
        <w:rPr>
          <w:rFonts w:ascii="宋体"/>
          <w:color w:val="auto"/>
          <w:sz w:val="24"/>
          <w:szCs w:val="24"/>
          <w:highlight w:val="none"/>
        </w:rPr>
      </w:pPr>
      <w:r>
        <w:rPr>
          <w:rFonts w:ascii="宋体" w:hAnsi="宋体" w:cs="宋体"/>
          <w:color w:val="auto"/>
          <w:sz w:val="24"/>
          <w:szCs w:val="24"/>
          <w:highlight w:val="none"/>
        </w:rPr>
        <w:t xml:space="preserve">    4.1</w:t>
      </w:r>
      <w:r>
        <w:rPr>
          <w:rFonts w:hint="eastAsia" w:ascii="宋体" w:hAnsi="宋体" w:cs="宋体"/>
          <w:color w:val="auto"/>
          <w:sz w:val="24"/>
          <w:szCs w:val="24"/>
          <w:highlight w:val="none"/>
        </w:rPr>
        <w:t>磋商活动由采购代理机构主持</w:t>
      </w:r>
      <w:r>
        <w:rPr>
          <w:rFonts w:ascii="宋体" w:cs="宋体"/>
          <w:color w:val="auto"/>
          <w:sz w:val="24"/>
          <w:szCs w:val="24"/>
          <w:highlight w:val="none"/>
        </w:rPr>
        <w:t>,</w:t>
      </w:r>
      <w:r>
        <w:rPr>
          <w:rFonts w:hint="eastAsia" w:ascii="宋体" w:hAnsi="宋体" w:cs="宋体"/>
          <w:color w:val="auto"/>
          <w:sz w:val="24"/>
          <w:szCs w:val="24"/>
          <w:highlight w:val="none"/>
        </w:rPr>
        <w:t>磋商响应截止时间后</w:t>
      </w:r>
      <w:r>
        <w:rPr>
          <w:rFonts w:ascii="宋体" w:cs="宋体"/>
          <w:color w:val="auto"/>
          <w:sz w:val="24"/>
          <w:szCs w:val="24"/>
          <w:highlight w:val="none"/>
        </w:rPr>
        <w:t>,</w:t>
      </w:r>
      <w:r>
        <w:rPr>
          <w:rFonts w:hint="eastAsia" w:ascii="宋体" w:hAnsi="宋体" w:cs="宋体"/>
          <w:color w:val="auto"/>
          <w:sz w:val="24"/>
          <w:szCs w:val="24"/>
          <w:highlight w:val="none"/>
        </w:rPr>
        <w:t>供应商登录政采云平台对电子响应文件进行在线解密；</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4.2</w:t>
      </w:r>
      <w:r>
        <w:rPr>
          <w:rFonts w:hint="eastAsia" w:ascii="宋体" w:hAnsi="宋体" w:cs="宋体"/>
          <w:color w:val="auto"/>
          <w:sz w:val="24"/>
          <w:szCs w:val="24"/>
          <w:highlight w:val="none"/>
        </w:rPr>
        <w:t>响应文件解密结束</w:t>
      </w:r>
      <w:r>
        <w:rPr>
          <w:rFonts w:ascii="宋体" w:cs="宋体"/>
          <w:color w:val="auto"/>
          <w:sz w:val="24"/>
          <w:szCs w:val="24"/>
          <w:highlight w:val="none"/>
        </w:rPr>
        <w:t>,</w:t>
      </w:r>
      <w:r>
        <w:rPr>
          <w:rFonts w:hint="eastAsia" w:ascii="宋体" w:hAnsi="宋体" w:cs="宋体"/>
          <w:color w:val="auto"/>
          <w:sz w:val="24"/>
          <w:szCs w:val="24"/>
          <w:highlight w:val="none"/>
        </w:rPr>
        <w:t>开启响应文件</w:t>
      </w:r>
      <w:r>
        <w:rPr>
          <w:rFonts w:ascii="宋体" w:cs="宋体"/>
          <w:color w:val="auto"/>
          <w:sz w:val="24"/>
          <w:szCs w:val="24"/>
          <w:highlight w:val="none"/>
        </w:rPr>
        <w:t>,</w:t>
      </w:r>
      <w:r>
        <w:rPr>
          <w:rFonts w:hint="eastAsia" w:ascii="宋体" w:hAnsi="宋体" w:cs="宋体"/>
          <w:color w:val="auto"/>
          <w:sz w:val="24"/>
          <w:szCs w:val="24"/>
          <w:highlight w:val="none"/>
        </w:rPr>
        <w:t>磋商小组对资格和商务技术响应文件进行资格审查和符合性审查；</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4.3</w:t>
      </w:r>
      <w:r>
        <w:rPr>
          <w:rFonts w:hint="eastAsia" w:ascii="宋体" w:hAnsi="宋体" w:cs="宋体"/>
          <w:color w:val="auto"/>
          <w:sz w:val="24"/>
          <w:szCs w:val="24"/>
          <w:highlight w:val="none"/>
        </w:rPr>
        <w:t>供应商按递交磋商响应文件的前后顺序决定磋商的顺序</w:t>
      </w:r>
      <w:r>
        <w:rPr>
          <w:rFonts w:ascii="宋体" w:cs="宋体"/>
          <w:color w:val="auto"/>
          <w:sz w:val="24"/>
          <w:szCs w:val="24"/>
          <w:highlight w:val="none"/>
        </w:rPr>
        <w:t>,</w:t>
      </w:r>
      <w:r>
        <w:rPr>
          <w:rFonts w:hint="eastAsia" w:ascii="宋体" w:hAnsi="宋体" w:cs="宋体"/>
          <w:color w:val="auto"/>
          <w:sz w:val="24"/>
          <w:szCs w:val="24"/>
          <w:highlight w:val="none"/>
        </w:rPr>
        <w:t>就价格、服务等认为需要磋商的内容进行磋商</w:t>
      </w:r>
      <w:r>
        <w:rPr>
          <w:rFonts w:ascii="宋体" w:cs="宋体"/>
          <w:color w:val="auto"/>
          <w:sz w:val="24"/>
          <w:szCs w:val="24"/>
          <w:highlight w:val="none"/>
        </w:rPr>
        <w:t>,</w:t>
      </w:r>
      <w:r>
        <w:rPr>
          <w:rFonts w:hint="eastAsia" w:ascii="宋体" w:hAnsi="宋体" w:cs="宋体"/>
          <w:color w:val="auto"/>
          <w:sz w:val="24"/>
          <w:szCs w:val="24"/>
          <w:highlight w:val="none"/>
        </w:rPr>
        <w:t>供应商逐家回答磋商小组的提问</w:t>
      </w:r>
      <w:r>
        <w:rPr>
          <w:rFonts w:ascii="宋体" w:cs="宋体"/>
          <w:color w:val="auto"/>
          <w:sz w:val="24"/>
          <w:szCs w:val="24"/>
          <w:highlight w:val="none"/>
        </w:rPr>
        <w:t>,</w:t>
      </w:r>
      <w:r>
        <w:rPr>
          <w:rFonts w:hint="eastAsia" w:ascii="宋体" w:hAnsi="宋体" w:cs="宋体"/>
          <w:color w:val="auto"/>
          <w:sz w:val="24"/>
          <w:szCs w:val="24"/>
          <w:highlight w:val="none"/>
        </w:rPr>
        <w:t>供应商作出最终承诺；</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4.4</w:t>
      </w:r>
      <w:r>
        <w:rPr>
          <w:rFonts w:hint="eastAsia" w:ascii="宋体" w:hAnsi="宋体" w:cs="宋体"/>
          <w:color w:val="auto"/>
          <w:sz w:val="24"/>
          <w:szCs w:val="24"/>
          <w:highlight w:val="none"/>
        </w:rPr>
        <w:t>磋商小组对商务技术响应文件进行评审；</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4.5</w:t>
      </w:r>
      <w:r>
        <w:rPr>
          <w:rFonts w:hint="eastAsia" w:ascii="宋体" w:hAnsi="宋体" w:cs="宋体"/>
          <w:color w:val="auto"/>
          <w:sz w:val="24"/>
          <w:szCs w:val="24"/>
          <w:highlight w:val="none"/>
        </w:rPr>
        <w:t>商务技术汇总后，供应商开启报价文件，进行磋商二次报价（最终报价），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4.6</w:t>
      </w:r>
      <w:r>
        <w:rPr>
          <w:rFonts w:hint="eastAsia" w:ascii="宋体" w:hAnsi="宋体" w:cs="宋体"/>
          <w:color w:val="auto"/>
          <w:sz w:val="24"/>
          <w:szCs w:val="24"/>
          <w:highlight w:val="none"/>
        </w:rPr>
        <w:t>在系统上开启最终报价情况；</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4.7</w:t>
      </w:r>
      <w:r>
        <w:rPr>
          <w:rFonts w:hint="eastAsia" w:ascii="宋体" w:hAnsi="宋体" w:cs="宋体"/>
          <w:color w:val="auto"/>
          <w:sz w:val="24"/>
          <w:szCs w:val="24"/>
          <w:highlight w:val="none"/>
        </w:rPr>
        <w:t>磋商小组对报价情况进行评审；</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4.8</w:t>
      </w:r>
      <w:r>
        <w:rPr>
          <w:rFonts w:hint="eastAsia" w:ascii="宋体" w:hAnsi="宋体" w:cs="宋体"/>
          <w:color w:val="auto"/>
          <w:sz w:val="24"/>
          <w:szCs w:val="24"/>
          <w:highlight w:val="none"/>
        </w:rPr>
        <w:t>在系统上公开资格和商务技术评审结果；</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4.9</w:t>
      </w:r>
      <w:r>
        <w:rPr>
          <w:rFonts w:hint="eastAsia" w:ascii="宋体" w:hAnsi="宋体" w:cs="宋体"/>
          <w:color w:val="auto"/>
          <w:sz w:val="24"/>
          <w:szCs w:val="24"/>
          <w:highlight w:val="none"/>
        </w:rPr>
        <w:t>在系统上公布评审结果。</w:t>
      </w:r>
    </w:p>
    <w:p>
      <w:pPr>
        <w:pStyle w:val="3"/>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4.10</w:t>
      </w:r>
      <w:r>
        <w:rPr>
          <w:rFonts w:hint="eastAsia" w:ascii="宋体" w:hAnsi="宋体" w:cs="宋体"/>
          <w:color w:val="auto"/>
          <w:sz w:val="24"/>
          <w:szCs w:val="24"/>
          <w:highlight w:val="none"/>
        </w:rPr>
        <w:t>开标会结束。</w:t>
      </w:r>
    </w:p>
    <w:p>
      <w:pPr>
        <w:snapToGrid w:val="0"/>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特别说明</w:t>
      </w:r>
      <w:r>
        <w:rPr>
          <w:rFonts w:ascii="宋体" w:hAnsi="宋体" w:cs="宋体"/>
          <w:color w:val="auto"/>
          <w:sz w:val="24"/>
          <w:szCs w:val="24"/>
          <w:highlight w:val="none"/>
        </w:rPr>
        <w:t>:</w:t>
      </w:r>
      <w:r>
        <w:rPr>
          <w:rFonts w:hint="eastAsia" w:ascii="宋体" w:hAnsi="宋体" w:cs="宋体"/>
          <w:color w:val="auto"/>
          <w:sz w:val="24"/>
          <w:szCs w:val="24"/>
          <w:highlight w:val="none"/>
        </w:rPr>
        <w:t>政采云如对电子化开标及评审程序有调整的</w:t>
      </w:r>
      <w:r>
        <w:rPr>
          <w:rFonts w:ascii="宋体" w:cs="宋体"/>
          <w:color w:val="auto"/>
          <w:sz w:val="24"/>
          <w:szCs w:val="24"/>
          <w:highlight w:val="none"/>
        </w:rPr>
        <w:t>,</w:t>
      </w:r>
      <w:r>
        <w:rPr>
          <w:rFonts w:hint="eastAsia" w:ascii="宋体" w:hAnsi="宋体" w:cs="宋体"/>
          <w:color w:val="auto"/>
          <w:sz w:val="24"/>
          <w:szCs w:val="24"/>
          <w:highlight w:val="none"/>
        </w:rPr>
        <w:t>按调整后的程序操作。</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ascii="宋体" w:cs="宋体"/>
          <w:b/>
          <w:bCs/>
          <w:color w:val="auto"/>
          <w:sz w:val="24"/>
          <w:szCs w:val="24"/>
          <w:highlight w:val="none"/>
        </w:rPr>
        <w:t>.</w:t>
      </w:r>
      <w:r>
        <w:rPr>
          <w:rFonts w:hint="eastAsia" w:ascii="宋体" w:hAnsi="宋体" w:cs="宋体"/>
          <w:b/>
          <w:bCs/>
          <w:color w:val="auto"/>
          <w:sz w:val="24"/>
          <w:szCs w:val="24"/>
          <w:highlight w:val="none"/>
        </w:rPr>
        <w:t>综合评分</w:t>
      </w:r>
    </w:p>
    <w:p>
      <w:pPr>
        <w:tabs>
          <w:tab w:val="left" w:pos="-1080"/>
          <w:tab w:val="left" w:pos="180"/>
          <w:tab w:val="left" w:pos="1080"/>
        </w:tabs>
        <w:snapToGrid w:val="0"/>
        <w:spacing w:line="360" w:lineRule="auto"/>
        <w:ind w:firstLine="480"/>
        <w:rPr>
          <w:rFonts w:ascii="宋体"/>
          <w:color w:val="auto"/>
          <w:kern w:val="0"/>
          <w:sz w:val="24"/>
          <w:szCs w:val="24"/>
          <w:highlight w:val="none"/>
        </w:rPr>
      </w:pPr>
      <w:r>
        <w:rPr>
          <w:rFonts w:ascii="宋体" w:hAnsi="宋体" w:cs="宋体"/>
          <w:color w:val="auto"/>
          <w:sz w:val="24"/>
          <w:szCs w:val="24"/>
          <w:highlight w:val="none"/>
        </w:rPr>
        <w:t>5.1</w:t>
      </w:r>
      <w:r>
        <w:rPr>
          <w:rFonts w:hint="eastAsia" w:ascii="宋体" w:hAnsi="宋体" w:cs="宋体"/>
          <w:color w:val="auto"/>
          <w:sz w:val="24"/>
          <w:szCs w:val="24"/>
          <w:highlight w:val="none"/>
        </w:rPr>
        <w:t>本评标办法采用综合评标法，由商务技术分和报价分合计组成，其中商务技术分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80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分、报价分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20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分；满分为</w:t>
      </w:r>
      <w:r>
        <w:rPr>
          <w:rFonts w:ascii="宋体" w:hAnsi="宋体" w:cs="宋体"/>
          <w:color w:val="auto"/>
          <w:sz w:val="24"/>
          <w:szCs w:val="24"/>
          <w:highlight w:val="none"/>
        </w:rPr>
        <w:t>100</w:t>
      </w:r>
      <w:r>
        <w:rPr>
          <w:rFonts w:hint="eastAsia" w:ascii="宋体" w:hAnsi="宋体" w:cs="宋体"/>
          <w:color w:val="auto"/>
          <w:sz w:val="24"/>
          <w:szCs w:val="24"/>
          <w:highlight w:val="none"/>
        </w:rPr>
        <w:t>分。</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经初步评审合格的响应文件，磋商小组根据竞争性磋商文件确定的评审标准和方法，对其商务技术部分作进一步评审、比较、打分。</w:t>
      </w:r>
    </w:p>
    <w:p>
      <w:pPr>
        <w:pStyle w:val="15"/>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5.3</w:t>
      </w:r>
      <w:r>
        <w:rPr>
          <w:rFonts w:hint="eastAsia" w:hAnsi="宋体"/>
          <w:color w:val="auto"/>
          <w:sz w:val="24"/>
          <w:szCs w:val="24"/>
          <w:highlight w:val="none"/>
        </w:rPr>
        <w:t>磋商小组成员首先分别对每个供应商商务技术部分进行评审打分，然后计算出算术平均值（保留</w:t>
      </w:r>
      <w:r>
        <w:rPr>
          <w:rFonts w:hAnsi="宋体"/>
          <w:color w:val="auto"/>
          <w:sz w:val="24"/>
          <w:szCs w:val="24"/>
          <w:highlight w:val="none"/>
        </w:rPr>
        <w:t>2</w:t>
      </w:r>
      <w:r>
        <w:rPr>
          <w:rFonts w:hint="eastAsia" w:hAnsi="宋体"/>
          <w:color w:val="auto"/>
          <w:sz w:val="24"/>
          <w:szCs w:val="24"/>
          <w:highlight w:val="none"/>
        </w:rPr>
        <w:t>位小数），即为供应商的商务技术得分，后计算二次报价，计算公式：投标价格分</w:t>
      </w:r>
      <w:r>
        <w:rPr>
          <w:rFonts w:hAnsi="宋体"/>
          <w:color w:val="auto"/>
          <w:sz w:val="24"/>
          <w:szCs w:val="24"/>
          <w:highlight w:val="none"/>
        </w:rPr>
        <w:t>=(</w:t>
      </w:r>
      <w:r>
        <w:rPr>
          <w:rFonts w:hint="eastAsia" w:hAnsi="宋体"/>
          <w:color w:val="auto"/>
          <w:sz w:val="24"/>
          <w:szCs w:val="24"/>
          <w:highlight w:val="none"/>
        </w:rPr>
        <w:t>最佳报价</w:t>
      </w:r>
      <w:r>
        <w:rPr>
          <w:rFonts w:hAnsi="宋体"/>
          <w:color w:val="auto"/>
          <w:sz w:val="24"/>
          <w:szCs w:val="24"/>
          <w:highlight w:val="none"/>
        </w:rPr>
        <w:t>/</w:t>
      </w:r>
      <w:r>
        <w:rPr>
          <w:rFonts w:hint="eastAsia" w:hAnsi="宋体"/>
          <w:color w:val="auto"/>
          <w:sz w:val="24"/>
          <w:szCs w:val="24"/>
          <w:highlight w:val="none"/>
        </w:rPr>
        <w:t>投标报价</w:t>
      </w:r>
      <w:r>
        <w:rPr>
          <w:rFonts w:hAnsi="宋体"/>
          <w:color w:val="auto"/>
          <w:sz w:val="24"/>
          <w:szCs w:val="24"/>
          <w:highlight w:val="none"/>
        </w:rPr>
        <w:t>)*</w:t>
      </w:r>
      <w:r>
        <w:rPr>
          <w:rFonts w:hint="eastAsia" w:hAnsi="宋体"/>
          <w:color w:val="auto"/>
          <w:sz w:val="24"/>
          <w:szCs w:val="24"/>
          <w:highlight w:val="none"/>
        </w:rPr>
        <w:t>价格权值</w:t>
      </w:r>
      <w:r>
        <w:rPr>
          <w:rFonts w:hAnsi="宋体"/>
          <w:color w:val="auto"/>
          <w:sz w:val="24"/>
          <w:szCs w:val="24"/>
          <w:highlight w:val="none"/>
        </w:rPr>
        <w:t>*100</w:t>
      </w:r>
      <w:r>
        <w:rPr>
          <w:rFonts w:hint="eastAsia" w:hAnsi="宋体"/>
          <w:color w:val="auto"/>
          <w:sz w:val="24"/>
          <w:szCs w:val="24"/>
          <w:highlight w:val="none"/>
        </w:rPr>
        <w:t>。，综合得分</w:t>
      </w:r>
      <w:r>
        <w:rPr>
          <w:rFonts w:hAnsi="宋体"/>
          <w:color w:val="auto"/>
          <w:sz w:val="24"/>
          <w:szCs w:val="24"/>
          <w:highlight w:val="none"/>
        </w:rPr>
        <w:t>=</w:t>
      </w:r>
      <w:r>
        <w:rPr>
          <w:rFonts w:hint="eastAsia" w:hAnsi="宋体"/>
          <w:color w:val="auto"/>
          <w:sz w:val="24"/>
          <w:szCs w:val="24"/>
          <w:highlight w:val="none"/>
        </w:rPr>
        <w:t>商务技术分</w:t>
      </w:r>
      <w:r>
        <w:rPr>
          <w:rFonts w:hAnsi="宋体"/>
          <w:color w:val="auto"/>
          <w:sz w:val="24"/>
          <w:szCs w:val="24"/>
          <w:highlight w:val="none"/>
        </w:rPr>
        <w:t>+</w:t>
      </w:r>
      <w:r>
        <w:rPr>
          <w:rFonts w:hint="eastAsia" w:hAnsi="宋体"/>
          <w:color w:val="auto"/>
          <w:sz w:val="24"/>
          <w:szCs w:val="24"/>
          <w:highlight w:val="none"/>
        </w:rPr>
        <w:t>报价分，以综合得分（保留</w:t>
      </w:r>
      <w:r>
        <w:rPr>
          <w:rFonts w:hAnsi="宋体"/>
          <w:color w:val="auto"/>
          <w:sz w:val="24"/>
          <w:szCs w:val="24"/>
          <w:highlight w:val="none"/>
        </w:rPr>
        <w:t>2</w:t>
      </w:r>
      <w:r>
        <w:rPr>
          <w:rFonts w:hint="eastAsia" w:hAnsi="宋体"/>
          <w:color w:val="auto"/>
          <w:sz w:val="24"/>
          <w:szCs w:val="24"/>
          <w:highlight w:val="none"/>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5"/>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6</w:t>
      </w:r>
      <w:r>
        <w:rPr>
          <w:rFonts w:hint="eastAsia" w:hAnsi="宋体"/>
          <w:b/>
          <w:bCs/>
          <w:color w:val="auto"/>
          <w:sz w:val="24"/>
          <w:szCs w:val="24"/>
          <w:highlight w:val="none"/>
        </w:rPr>
        <w:t>、修正原则</w:t>
      </w:r>
    </w:p>
    <w:p>
      <w:pPr>
        <w:pStyle w:val="48"/>
        <w:spacing w:before="0"/>
        <w:ind w:left="420" w:leftChars="200" w:firstLine="0" w:firstLineChars="0"/>
        <w:rPr>
          <w:rFonts w:ascii="宋体"/>
          <w:color w:val="auto"/>
          <w:highlight w:val="none"/>
          <w:lang w:val="zh-CN"/>
        </w:rPr>
      </w:pPr>
      <w:r>
        <w:rPr>
          <w:rFonts w:hint="eastAsia" w:ascii="宋体" w:hAnsi="宋体" w:cs="宋体"/>
          <w:color w:val="auto"/>
          <w:highlight w:val="none"/>
        </w:rPr>
        <w:t>响应</w:t>
      </w:r>
      <w:r>
        <w:rPr>
          <w:rFonts w:hint="eastAsia" w:ascii="宋体" w:hAnsi="宋体" w:cs="宋体"/>
          <w:color w:val="auto"/>
          <w:highlight w:val="none"/>
          <w:lang w:val="zh-CN"/>
        </w:rPr>
        <w:t>文件报价出现前后不一致的，按照下列规定修正：</w:t>
      </w:r>
    </w:p>
    <w:p>
      <w:pPr>
        <w:pStyle w:val="48"/>
        <w:tabs>
          <w:tab w:val="left" w:pos="0"/>
        </w:tabs>
        <w:spacing w:before="0"/>
        <w:ind w:firstLine="480"/>
        <w:rPr>
          <w:rFonts w:ascii="宋体"/>
          <w:color w:val="auto"/>
          <w:highlight w:val="none"/>
          <w:lang w:val="zh-CN"/>
        </w:rPr>
      </w:pPr>
      <w:r>
        <w:rPr>
          <w:rFonts w:ascii="宋体" w:hAnsi="宋体" w:cs="宋体"/>
          <w:color w:val="auto"/>
          <w:highlight w:val="none"/>
        </w:rPr>
        <w:t>6.1</w:t>
      </w:r>
      <w:r>
        <w:rPr>
          <w:rFonts w:hint="eastAsia" w:ascii="宋体" w:hAnsi="宋体" w:cs="宋体"/>
          <w:color w:val="auto"/>
          <w:highlight w:val="none"/>
        </w:rPr>
        <w:t>响应</w:t>
      </w:r>
      <w:r>
        <w:rPr>
          <w:rFonts w:hint="eastAsia" w:ascii="宋体" w:hAnsi="宋体" w:cs="宋体"/>
          <w:color w:val="auto"/>
          <w:highlight w:val="none"/>
          <w:lang w:val="zh-CN"/>
        </w:rPr>
        <w:t>文件中</w:t>
      </w:r>
      <w:r>
        <w:rPr>
          <w:rFonts w:hint="eastAsia" w:ascii="宋体" w:hAnsi="宋体" w:cs="宋体"/>
          <w:color w:val="auto"/>
          <w:highlight w:val="none"/>
        </w:rPr>
        <w:t>报价</w:t>
      </w:r>
      <w:r>
        <w:rPr>
          <w:rFonts w:hint="eastAsia" w:ascii="宋体" w:hAnsi="宋体" w:cs="宋体"/>
          <w:color w:val="auto"/>
          <w:highlight w:val="none"/>
          <w:lang w:val="zh-CN"/>
        </w:rPr>
        <w:t>一览表内容与</w:t>
      </w:r>
      <w:r>
        <w:rPr>
          <w:rFonts w:hint="eastAsia" w:ascii="宋体" w:hAnsi="宋体" w:cs="宋体"/>
          <w:color w:val="auto"/>
          <w:highlight w:val="none"/>
        </w:rPr>
        <w:t>响应</w:t>
      </w:r>
      <w:r>
        <w:rPr>
          <w:rFonts w:hint="eastAsia" w:ascii="宋体" w:hAnsi="宋体" w:cs="宋体"/>
          <w:color w:val="auto"/>
          <w:highlight w:val="none"/>
          <w:lang w:val="zh-CN"/>
        </w:rPr>
        <w:t>文件中相应内容不一致的，以</w:t>
      </w:r>
      <w:r>
        <w:rPr>
          <w:rFonts w:hint="eastAsia" w:ascii="宋体" w:hAnsi="宋体" w:cs="宋体"/>
          <w:color w:val="auto"/>
          <w:highlight w:val="none"/>
        </w:rPr>
        <w:t>报价</w:t>
      </w:r>
      <w:r>
        <w:rPr>
          <w:rFonts w:hint="eastAsia" w:ascii="宋体" w:hAnsi="宋体" w:cs="宋体"/>
          <w:color w:val="auto"/>
          <w:highlight w:val="none"/>
          <w:lang w:val="zh-CN"/>
        </w:rPr>
        <w:t>一览表为准；</w:t>
      </w:r>
    </w:p>
    <w:p>
      <w:pPr>
        <w:pStyle w:val="48"/>
        <w:tabs>
          <w:tab w:val="left" w:pos="0"/>
        </w:tabs>
        <w:spacing w:before="0"/>
        <w:ind w:firstLine="480"/>
        <w:rPr>
          <w:rFonts w:ascii="宋体"/>
          <w:color w:val="auto"/>
          <w:highlight w:val="none"/>
          <w:lang w:val="zh-CN"/>
        </w:rPr>
      </w:pPr>
      <w:r>
        <w:rPr>
          <w:rFonts w:ascii="宋体" w:hAnsi="宋体" w:cs="宋体"/>
          <w:color w:val="auto"/>
          <w:highlight w:val="none"/>
        </w:rPr>
        <w:t>6.2</w:t>
      </w:r>
      <w:r>
        <w:rPr>
          <w:rFonts w:hint="eastAsia" w:ascii="宋体" w:hAnsi="宋体" w:cs="宋体"/>
          <w:color w:val="auto"/>
          <w:highlight w:val="none"/>
          <w:lang w:val="zh-CN"/>
        </w:rPr>
        <w:t>大写金额和小写金额不一致的，以大写金额为准；</w:t>
      </w:r>
    </w:p>
    <w:p>
      <w:pPr>
        <w:pStyle w:val="48"/>
        <w:tabs>
          <w:tab w:val="left" w:pos="0"/>
        </w:tabs>
        <w:spacing w:before="0"/>
        <w:ind w:firstLine="480"/>
        <w:rPr>
          <w:rFonts w:ascii="宋体"/>
          <w:color w:val="auto"/>
          <w:highlight w:val="none"/>
          <w:lang w:val="zh-CN"/>
        </w:rPr>
      </w:pPr>
      <w:r>
        <w:rPr>
          <w:rFonts w:ascii="宋体" w:hAnsi="宋体" w:cs="宋体"/>
          <w:color w:val="auto"/>
          <w:highlight w:val="none"/>
        </w:rPr>
        <w:t>6.3</w:t>
      </w:r>
      <w:r>
        <w:rPr>
          <w:rFonts w:hint="eastAsia" w:ascii="宋体" w:hAnsi="宋体" w:cs="宋体"/>
          <w:color w:val="auto"/>
          <w:highlight w:val="none"/>
          <w:lang w:val="zh-CN"/>
        </w:rPr>
        <w:t>单价金额小数点或者百分比有明显错位的，以</w:t>
      </w:r>
      <w:r>
        <w:rPr>
          <w:rFonts w:hint="eastAsia" w:ascii="宋体" w:hAnsi="宋体" w:cs="宋体"/>
          <w:color w:val="auto"/>
          <w:highlight w:val="none"/>
        </w:rPr>
        <w:t>报价</w:t>
      </w:r>
      <w:r>
        <w:rPr>
          <w:rFonts w:hint="eastAsia" w:ascii="宋体" w:hAnsi="宋体" w:cs="宋体"/>
          <w:color w:val="auto"/>
          <w:highlight w:val="none"/>
          <w:lang w:val="zh-CN"/>
        </w:rPr>
        <w:t>一览表的总价为准，并修改单价；</w:t>
      </w:r>
    </w:p>
    <w:p>
      <w:pPr>
        <w:pStyle w:val="48"/>
        <w:tabs>
          <w:tab w:val="left" w:pos="0"/>
        </w:tabs>
        <w:spacing w:before="0"/>
        <w:ind w:firstLine="480"/>
        <w:rPr>
          <w:rFonts w:ascii="宋体"/>
          <w:color w:val="auto"/>
          <w:highlight w:val="none"/>
          <w:lang w:val="zh-CN"/>
        </w:rPr>
      </w:pPr>
      <w:r>
        <w:rPr>
          <w:rFonts w:ascii="宋体" w:hAnsi="宋体" w:cs="宋体"/>
          <w:color w:val="auto"/>
          <w:highlight w:val="none"/>
        </w:rPr>
        <w:t>6.4</w:t>
      </w:r>
      <w:r>
        <w:rPr>
          <w:rFonts w:hint="eastAsia" w:ascii="宋体" w:hAnsi="宋体" w:cs="宋体"/>
          <w:color w:val="auto"/>
          <w:highlight w:val="none"/>
          <w:lang w:val="zh-CN"/>
        </w:rPr>
        <w:t>总价金额与按单价汇总金额不一致的，以单价金额计算结果为准。</w:t>
      </w:r>
    </w:p>
    <w:p>
      <w:pPr>
        <w:pStyle w:val="48"/>
        <w:spacing w:before="0"/>
        <w:ind w:firstLine="480"/>
        <w:rPr>
          <w:rFonts w:ascii="宋体"/>
          <w:color w:val="auto"/>
          <w:highlight w:val="none"/>
          <w:lang w:val="zh-CN"/>
        </w:rPr>
      </w:pPr>
      <w:r>
        <w:rPr>
          <w:rFonts w:hint="eastAsia" w:ascii="宋体" w:hAnsi="宋体" w:cs="宋体"/>
          <w:color w:val="auto"/>
          <w:highlight w:val="none"/>
          <w:lang w:val="zh-CN"/>
        </w:rPr>
        <w:t>同时出现两种以上不一致的，按照前款规定的顺序修正。修正后的报价按照财政部公布第</w:t>
      </w:r>
      <w:r>
        <w:rPr>
          <w:rFonts w:ascii="宋体" w:hAnsi="宋体" w:cs="宋体"/>
          <w:color w:val="auto"/>
          <w:highlight w:val="none"/>
          <w:lang w:val="zh-CN"/>
        </w:rPr>
        <w:t>87</w:t>
      </w:r>
      <w:r>
        <w:rPr>
          <w:rFonts w:hint="eastAsia" w:ascii="宋体" w:hAnsi="宋体" w:cs="宋体"/>
          <w:color w:val="auto"/>
          <w:highlight w:val="none"/>
          <w:lang w:val="zh-CN"/>
        </w:rPr>
        <w:t>号令</w:t>
      </w:r>
      <w:r>
        <w:rPr>
          <w:rFonts w:ascii="宋体" w:hAnsi="宋体" w:cs="宋体"/>
          <w:color w:val="auto"/>
          <w:highlight w:val="none"/>
          <w:lang w:val="zh-CN"/>
        </w:rPr>
        <w:t xml:space="preserve"> </w:t>
      </w:r>
      <w:r>
        <w:rPr>
          <w:rFonts w:hint="eastAsia" w:ascii="宋体" w:hAnsi="宋体" w:cs="宋体"/>
          <w:color w:val="auto"/>
          <w:highlight w:val="none"/>
          <w:lang w:val="zh-CN"/>
        </w:rPr>
        <w:t>《政府采购产品和服务招标投标管理办法》第五十一条第二款的规定经</w:t>
      </w:r>
      <w:r>
        <w:rPr>
          <w:rFonts w:hint="eastAsia" w:ascii="宋体" w:hAnsi="宋体" w:cs="宋体"/>
          <w:color w:val="auto"/>
          <w:highlight w:val="none"/>
        </w:rPr>
        <w:t>供应商</w:t>
      </w:r>
      <w:r>
        <w:rPr>
          <w:rFonts w:hint="eastAsia" w:ascii="宋体" w:hAnsi="宋体" w:cs="宋体"/>
          <w:color w:val="auto"/>
          <w:highlight w:val="none"/>
          <w:lang w:val="zh-CN"/>
        </w:rPr>
        <w:t>确认后产生约束力，</w:t>
      </w:r>
      <w:r>
        <w:rPr>
          <w:rFonts w:hint="eastAsia" w:ascii="宋体" w:hAnsi="宋体" w:cs="宋体"/>
          <w:color w:val="auto"/>
          <w:highlight w:val="none"/>
        </w:rPr>
        <w:t>供应商</w:t>
      </w:r>
      <w:r>
        <w:rPr>
          <w:rFonts w:hint="eastAsia" w:ascii="宋体" w:hAnsi="宋体" w:cs="宋体"/>
          <w:color w:val="auto"/>
          <w:highlight w:val="none"/>
          <w:lang w:val="zh-CN"/>
        </w:rPr>
        <w:t>不确认的，其</w:t>
      </w:r>
      <w:r>
        <w:rPr>
          <w:rFonts w:hint="eastAsia" w:ascii="宋体" w:hAnsi="宋体" w:cs="宋体"/>
          <w:color w:val="auto"/>
          <w:highlight w:val="none"/>
        </w:rPr>
        <w:t>磋商</w:t>
      </w:r>
      <w:r>
        <w:rPr>
          <w:rFonts w:hint="eastAsia" w:ascii="宋体" w:hAnsi="宋体" w:cs="宋体"/>
          <w:color w:val="auto"/>
          <w:highlight w:val="none"/>
          <w:lang w:val="zh-CN"/>
        </w:rPr>
        <w:t>无效。</w:t>
      </w:r>
    </w:p>
    <w:p>
      <w:pPr>
        <w:pStyle w:val="15"/>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7</w:t>
      </w:r>
      <w:r>
        <w:rPr>
          <w:rFonts w:hint="eastAsia" w:hAnsi="宋体"/>
          <w:b/>
          <w:bCs/>
          <w:color w:val="auto"/>
          <w:sz w:val="24"/>
          <w:szCs w:val="24"/>
          <w:highlight w:val="none"/>
        </w:rPr>
        <w:t>、响应文件的澄清</w:t>
      </w:r>
    </w:p>
    <w:p>
      <w:pPr>
        <w:pStyle w:val="48"/>
        <w:tabs>
          <w:tab w:val="left" w:pos="0"/>
        </w:tabs>
        <w:spacing w:before="0"/>
        <w:ind w:firstLine="480"/>
        <w:rPr>
          <w:rFonts w:ascii="宋体"/>
          <w:color w:val="auto"/>
          <w:highlight w:val="none"/>
          <w:lang w:val="zh-CN"/>
        </w:rPr>
      </w:pPr>
      <w:r>
        <w:rPr>
          <w:rFonts w:ascii="宋体" w:hAnsi="宋体" w:cs="宋体"/>
          <w:color w:val="auto"/>
          <w:highlight w:val="none"/>
        </w:rPr>
        <w:t>7.1</w:t>
      </w:r>
      <w:r>
        <w:rPr>
          <w:rFonts w:hint="eastAsia" w:ascii="宋体" w:hAnsi="宋体" w:cs="宋体"/>
          <w:color w:val="auto"/>
          <w:highlight w:val="none"/>
          <w:lang w:val="zh-CN"/>
        </w:rPr>
        <w:t>评审中因</w:t>
      </w:r>
      <w:r>
        <w:rPr>
          <w:rFonts w:hint="eastAsia" w:ascii="宋体" w:hAnsi="宋体" w:cs="宋体"/>
          <w:color w:val="auto"/>
          <w:highlight w:val="none"/>
        </w:rPr>
        <w:t>响应</w:t>
      </w:r>
      <w:r>
        <w:rPr>
          <w:rFonts w:hint="eastAsia" w:ascii="宋体" w:hAnsi="宋体" w:cs="宋体"/>
          <w:color w:val="auto"/>
          <w:highlight w:val="none"/>
          <w:lang w:val="zh-CN"/>
        </w:rPr>
        <w:t>文件含义不明、表述不一致或有明显计算错误等内容需要供应商作出澄清、说明或者补正的，</w:t>
      </w:r>
      <w:r>
        <w:rPr>
          <w:rFonts w:hint="eastAsia" w:ascii="宋体" w:hAnsi="宋体" w:cs="宋体"/>
          <w:color w:val="auto"/>
          <w:highlight w:val="none"/>
        </w:rPr>
        <w:t>磋商小组</w:t>
      </w:r>
      <w:r>
        <w:rPr>
          <w:rFonts w:hint="eastAsia" w:ascii="宋体" w:hAnsi="宋体" w:cs="宋体"/>
          <w:color w:val="auto"/>
          <w:highlight w:val="none"/>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zh-CN"/>
        </w:rPr>
        <w:t>供应商通过政采云平台交换的数据电文必须进行电子签章。</w:t>
      </w:r>
    </w:p>
    <w:p>
      <w:pPr>
        <w:pStyle w:val="2"/>
        <w:numPr>
          <w:ilvl w:val="0"/>
          <w:numId w:val="16"/>
        </w:numPr>
        <w:jc w:val="center"/>
        <w:rPr>
          <w:rFonts w:cs="Times New Roman"/>
          <w:color w:val="auto"/>
          <w:highlight w:val="none"/>
        </w:rPr>
      </w:pPr>
      <w:r>
        <w:rPr>
          <w:color w:val="auto"/>
          <w:highlight w:val="none"/>
        </w:rPr>
        <w:t xml:space="preserve"> </w:t>
      </w:r>
      <w:bookmarkStart w:id="80" w:name="_Toc1559"/>
      <w:bookmarkStart w:id="81" w:name="_Toc12816"/>
      <w:r>
        <w:rPr>
          <w:rFonts w:hint="eastAsia"/>
          <w:color w:val="auto"/>
          <w:highlight w:val="none"/>
        </w:rPr>
        <w:t>注意事项</w:t>
      </w:r>
      <w:bookmarkEnd w:id="80"/>
      <w:bookmarkEnd w:id="81"/>
    </w:p>
    <w:p>
      <w:pPr>
        <w:pStyle w:val="3"/>
        <w:spacing w:line="360" w:lineRule="auto"/>
        <w:rPr>
          <w:b/>
          <w:bCs/>
          <w:color w:val="auto"/>
          <w:sz w:val="24"/>
          <w:szCs w:val="24"/>
          <w:highlight w:val="none"/>
        </w:rPr>
      </w:pPr>
      <w:r>
        <w:rPr>
          <w:rFonts w:hint="eastAsia" w:cs="宋体"/>
          <w:b/>
          <w:bCs/>
          <w:color w:val="auto"/>
          <w:sz w:val="24"/>
          <w:szCs w:val="24"/>
          <w:highlight w:val="none"/>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2"/>
        <w:numPr>
          <w:ilvl w:val="0"/>
          <w:numId w:val="17"/>
        </w:numPr>
        <w:jc w:val="center"/>
        <w:rPr>
          <w:rFonts w:cs="Times New Roman"/>
          <w:color w:val="auto"/>
          <w:highlight w:val="none"/>
        </w:rPr>
      </w:pPr>
      <w:r>
        <w:rPr>
          <w:color w:val="auto"/>
          <w:highlight w:val="none"/>
        </w:rPr>
        <w:t xml:space="preserve"> </w:t>
      </w:r>
      <w:bookmarkStart w:id="82" w:name="_Toc13782"/>
      <w:bookmarkStart w:id="83" w:name="_Toc23345"/>
      <w:r>
        <w:rPr>
          <w:rFonts w:hint="eastAsia"/>
          <w:color w:val="auto"/>
          <w:highlight w:val="none"/>
        </w:rPr>
        <w:t>评分细则</w:t>
      </w:r>
      <w:bookmarkEnd w:id="82"/>
      <w:bookmarkEnd w:id="83"/>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一、报价文件评分标准（</w:t>
      </w:r>
      <w:r>
        <w:rPr>
          <w:rFonts w:hint="eastAsia" w:ascii="宋体" w:hAnsi="宋体" w:cs="宋体"/>
          <w:b/>
          <w:bCs/>
          <w:color w:val="auto"/>
          <w:sz w:val="24"/>
          <w:szCs w:val="24"/>
          <w:highlight w:val="none"/>
          <w:u w:val="single"/>
        </w:rPr>
        <w:t>20</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报价文件主要是对供应商的有效报价进行评议，其评分标准及分值设置规则如下：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、本次采购最高限价规定如下：</w:t>
      </w:r>
    </w:p>
    <w:p>
      <w:pP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本项目投标报价的最高限价</w:t>
      </w:r>
      <w:r>
        <w:rPr>
          <w:rFonts w:hint="eastAsia" w:ascii="宋体" w:hAnsi="宋体" w:cs="宋体"/>
          <w:b/>
          <w:bCs/>
          <w:color w:val="auto"/>
          <w:sz w:val="24"/>
          <w:szCs w:val="24"/>
          <w:highlight w:val="none"/>
        </w:rPr>
        <w:t>为人民币</w:t>
      </w:r>
      <w:r>
        <w:rPr>
          <w:rFonts w:hint="eastAsia" w:ascii="宋体" w:hAnsi="宋体" w:cs="宋体"/>
          <w:b/>
          <w:bCs/>
          <w:color w:val="auto"/>
          <w:sz w:val="24"/>
          <w:szCs w:val="24"/>
          <w:highlight w:val="none"/>
          <w:u w:val="single"/>
        </w:rPr>
        <w:t xml:space="preserve"> 伍拾万元整 </w:t>
      </w:r>
      <w:r>
        <w:rPr>
          <w:rFonts w:hint="eastAsia" w:ascii="宋体" w:hAnsi="宋体" w:cs="宋体"/>
          <w:b/>
          <w:bCs/>
          <w:color w:val="auto"/>
          <w:sz w:val="24"/>
          <w:szCs w:val="24"/>
          <w:highlight w:val="none"/>
        </w:rPr>
        <w:t>（小写</w:t>
      </w:r>
      <w:r>
        <w:rPr>
          <w:rFonts w:hint="eastAsia" w:ascii="宋体" w:hAnsi="宋体" w:cs="宋体"/>
          <w:b/>
          <w:bCs/>
          <w:color w:val="auto"/>
          <w:sz w:val="24"/>
          <w:szCs w:val="24"/>
          <w:highlight w:val="none"/>
          <w:u w:val="single"/>
        </w:rPr>
        <w:t xml:space="preserve"> 500000</w:t>
      </w:r>
      <w:r>
        <w:rPr>
          <w:rFonts w:ascii="宋体" w:hAnsi="宋体" w:cs="宋体"/>
          <w:b/>
          <w:bCs/>
          <w:color w:val="auto"/>
          <w:sz w:val="24"/>
          <w:szCs w:val="24"/>
          <w:highlight w:val="none"/>
          <w:u w:val="single"/>
        </w:rPr>
        <w:t xml:space="preserve">.00 </w:t>
      </w:r>
      <w:r>
        <w:rPr>
          <w:rFonts w:hint="eastAsia" w:ascii="宋体" w:hAnsi="宋体" w:cs="宋体"/>
          <w:b/>
          <w:bCs/>
          <w:color w:val="auto"/>
          <w:sz w:val="24"/>
          <w:szCs w:val="24"/>
          <w:highlight w:val="none"/>
        </w:rPr>
        <w:t>元）。</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、供应商的报价在最高限价内的，为有效报价。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、本次评标设有最佳报价。</w:t>
      </w:r>
      <w:r>
        <w:rPr>
          <w:rFonts w:hint="eastAsia" w:ascii="宋体" w:hAnsi="宋体" w:cs="宋体"/>
          <w:color w:val="auto"/>
          <w:highlight w:val="none"/>
        </w:rPr>
        <w:t>最</w:t>
      </w:r>
      <w:r>
        <w:rPr>
          <w:rFonts w:hint="eastAsia" w:ascii="宋体" w:hAnsi="宋体" w:cs="宋体"/>
          <w:color w:val="auto"/>
          <w:sz w:val="24"/>
          <w:szCs w:val="24"/>
          <w:highlight w:val="none"/>
        </w:rPr>
        <w:t>佳报价确定方式：根据所有入围供应商有效报价中的最低报价作为最佳报价。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、最佳报价者的报价分为满分，其他供应商的有效报价与最佳报价相比，按下列方法计算其报价分：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投标价格分</w:t>
      </w:r>
      <w:r>
        <w:rPr>
          <w:rFonts w:ascii="宋体" w:hAnsi="宋体" w:cs="宋体"/>
          <w:color w:val="auto"/>
          <w:sz w:val="24"/>
          <w:szCs w:val="24"/>
          <w:highlight w:val="none"/>
        </w:rPr>
        <w:t>=(</w:t>
      </w:r>
      <w:r>
        <w:rPr>
          <w:rFonts w:hint="eastAsia" w:ascii="宋体" w:hAnsi="宋体" w:cs="宋体"/>
          <w:color w:val="auto"/>
          <w:sz w:val="24"/>
          <w:szCs w:val="24"/>
          <w:highlight w:val="none"/>
        </w:rPr>
        <w:t>最佳报价</w:t>
      </w:r>
      <w:r>
        <w:rPr>
          <w:rFonts w:ascii="宋体" w:hAnsi="宋体" w:cs="宋体"/>
          <w:color w:val="auto"/>
          <w:sz w:val="24"/>
          <w:szCs w:val="24"/>
          <w:highlight w:val="none"/>
        </w:rPr>
        <w:t>/</w:t>
      </w:r>
      <w:r>
        <w:rPr>
          <w:rFonts w:hint="eastAsia" w:ascii="宋体" w:hAnsi="宋体" w:cs="宋体"/>
          <w:color w:val="auto"/>
          <w:sz w:val="24"/>
          <w:szCs w:val="24"/>
          <w:highlight w:val="none"/>
        </w:rPr>
        <w:t>投标报价</w:t>
      </w:r>
      <w:r>
        <w:rPr>
          <w:rFonts w:ascii="宋体" w:hAnsi="宋体" w:cs="宋体"/>
          <w:color w:val="auto"/>
          <w:sz w:val="24"/>
          <w:szCs w:val="24"/>
          <w:highlight w:val="none"/>
        </w:rPr>
        <w:t>)*</w:t>
      </w:r>
      <w:r>
        <w:rPr>
          <w:rFonts w:hint="eastAsia" w:ascii="宋体" w:hAnsi="宋体" w:cs="宋体"/>
          <w:color w:val="auto"/>
          <w:sz w:val="24"/>
          <w:szCs w:val="24"/>
          <w:highlight w:val="none"/>
        </w:rPr>
        <w:t>价格权值</w:t>
      </w:r>
      <w:r>
        <w:rPr>
          <w:rFonts w:ascii="宋体" w:hAnsi="宋体" w:cs="宋体"/>
          <w:color w:val="auto"/>
          <w:sz w:val="24"/>
          <w:szCs w:val="24"/>
          <w:highlight w:val="none"/>
        </w:rPr>
        <w:t>*100</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、响应文件只允许有一个报价，磋商报价应按磋商文件中相关附表格式填报，该磋商报价应与明细报价汇总相等，且不允许出现报价优惠、赠送等字样（明细出现“</w:t>
      </w:r>
      <w:r>
        <w:rPr>
          <w:rFonts w:ascii="宋体" w:cs="宋体"/>
          <w:color w:val="auto"/>
          <w:sz w:val="24"/>
          <w:szCs w:val="24"/>
          <w:highlight w:val="none"/>
        </w:rPr>
        <w:t>0</w:t>
      </w:r>
      <w:r>
        <w:rPr>
          <w:rFonts w:hint="eastAsia" w:ascii="宋体" w:hAnsi="宋体" w:cs="宋体"/>
          <w:color w:val="auto"/>
          <w:sz w:val="24"/>
          <w:szCs w:val="24"/>
          <w:highlight w:val="none"/>
        </w:rPr>
        <w:t>”元，视同赠送）</w:t>
      </w:r>
      <w:r>
        <w:rPr>
          <w:rFonts w:ascii="宋体" w:cs="宋体"/>
          <w:color w:val="auto"/>
          <w:sz w:val="24"/>
          <w:szCs w:val="24"/>
          <w:highlight w:val="none"/>
        </w:rPr>
        <w:t>,</w:t>
      </w:r>
      <w:r>
        <w:rPr>
          <w:rFonts w:hint="eastAsia" w:ascii="宋体" w:hAnsi="宋体" w:cs="宋体"/>
          <w:color w:val="auto"/>
          <w:sz w:val="24"/>
          <w:szCs w:val="24"/>
          <w:highlight w:val="none"/>
        </w:rPr>
        <w:t>如出现则做</w:t>
      </w:r>
      <w:r>
        <w:rPr>
          <w:rFonts w:hint="eastAsia" w:ascii="宋体" w:hAnsi="宋体" w:cs="宋体"/>
          <w:b/>
          <w:bCs/>
          <w:color w:val="auto"/>
          <w:sz w:val="24"/>
          <w:szCs w:val="24"/>
          <w:highlight w:val="none"/>
        </w:rPr>
        <w:t>无效响应</w:t>
      </w:r>
      <w:r>
        <w:rPr>
          <w:rFonts w:hint="eastAsia" w:ascii="宋体" w:hAnsi="宋体" w:cs="宋体"/>
          <w:color w:val="auto"/>
          <w:sz w:val="24"/>
          <w:szCs w:val="24"/>
          <w:highlight w:val="none"/>
        </w:rPr>
        <w:t>处理。</w:t>
      </w:r>
    </w:p>
    <w:p>
      <w:pPr>
        <w:autoSpaceDE w:val="0"/>
        <w:autoSpaceDN w:val="0"/>
        <w:spacing w:line="360" w:lineRule="auto"/>
        <w:ind w:firstLine="482"/>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投标价格的合理性</w:t>
      </w:r>
      <w:r>
        <w:rPr>
          <w:rFonts w:hint="eastAsia" w:ascii="宋体" w:hAnsi="宋体" w:cs="宋体"/>
          <w:color w:val="auto"/>
          <w:sz w:val="24"/>
          <w:szCs w:val="24"/>
          <w:highlight w:val="none"/>
        </w:rPr>
        <w:t>：</w:t>
      </w:r>
      <w:r>
        <w:rPr>
          <w:rFonts w:hint="eastAsia" w:ascii="Arial" w:hAnsi="Arial" w:cs="宋体"/>
          <w:color w:val="auto"/>
          <w:sz w:val="24"/>
          <w:szCs w:val="24"/>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8、价格扣除：小微企业是指在中华人民共和国境内依法设立，依据国务院批准的中小企业划分标准确定的小型企业和微型企业，但与大企业的负责人为同一人，或者与大企业存在直接控股、管理关系的除外。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符合中小企业划分标准的个体工商户，在政府采购活动中视同中小企业。</w:t>
      </w:r>
    </w:p>
    <w:p>
      <w:pPr>
        <w:spacing w:line="360" w:lineRule="auto"/>
        <w:ind w:firstLine="480" w:firstLineChars="200"/>
        <w:rPr>
          <w:rFonts w:ascii="宋体" w:hAnsi="宋体" w:cs="宋体"/>
          <w:bCs/>
          <w:color w:val="auto"/>
          <w:sz w:val="24"/>
          <w:szCs w:val="32"/>
          <w:highlight w:val="none"/>
        </w:rPr>
      </w:pPr>
      <w:r>
        <w:rPr>
          <w:rFonts w:hint="eastAsia"/>
          <w:color w:val="auto"/>
          <w:sz w:val="24"/>
          <w:szCs w:val="24"/>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360" w:lineRule="auto"/>
        <w:ind w:firstLine="480" w:firstLineChars="200"/>
        <w:rPr>
          <w:color w:val="auto"/>
          <w:highlight w:val="none"/>
        </w:rPr>
      </w:pPr>
      <w:r>
        <w:rPr>
          <w:rFonts w:hint="eastAsia"/>
          <w:color w:val="auto"/>
          <w:sz w:val="24"/>
          <w:szCs w:val="24"/>
          <w:highlight w:val="none"/>
        </w:rPr>
        <w:t>在服务采购项目中，服务由小微企业承接，即提供服务的人员为小微企业依照《中华人民共和国劳动合同法》订立劳动合同的从业人员。</w:t>
      </w:r>
    </w:p>
    <w:p>
      <w:pPr>
        <w:ind w:firstLine="480" w:firstLineChars="200"/>
        <w:rPr>
          <w:color w:val="auto"/>
          <w:sz w:val="24"/>
          <w:szCs w:val="24"/>
          <w:highlight w:val="none"/>
        </w:rPr>
      </w:pPr>
      <w:r>
        <w:rPr>
          <w:rFonts w:hint="eastAsia"/>
          <w:color w:val="auto"/>
          <w:sz w:val="24"/>
          <w:szCs w:val="24"/>
          <w:highlight w:val="none"/>
        </w:rPr>
        <w:t>联合体各方均为小型、微型企业的，联合体视同为小型、微型企业。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根据浙江省财政厅发布的《浙江省财政厅关于进一步加大政府采购支持中小企业力度 助力扎实稳住经济的通知》（浙财采监〔2022〕8号）规定，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30%以上的，采购单位、采购代理机构应结合项目实际，对联合体或者大中型企业的报价原则上按最高优惠幅度6%给予扣除，用扣除后的价格参加评审。（中标价及合同价仍以其投标报价为准）</w:t>
      </w:r>
    </w:p>
    <w:p>
      <w:pPr>
        <w:spacing w:line="360" w:lineRule="auto"/>
        <w:ind w:firstLine="480" w:firstLineChars="200"/>
        <w:rPr>
          <w:rFonts w:ascii="宋体"/>
          <w:color w:val="auto"/>
          <w:sz w:val="24"/>
          <w:szCs w:val="24"/>
          <w:highlight w:val="none"/>
        </w:rPr>
      </w:pPr>
      <w:r>
        <w:rPr>
          <w:rFonts w:hint="eastAsia" w:ascii="宋体" w:hAnsi="宋体"/>
          <w:color w:val="auto"/>
          <w:sz w:val="24"/>
          <w:highlight w:val="none"/>
        </w:rPr>
        <w:t>组成联合体或者接受分包的小微企业与联合体内其他企业、分包企业之间存在直接控股、管理关系的，不享受价格扣除优惠政策。联合体各方均为小型、微型企业的，联合体视同为小型、微型企业</w:t>
      </w:r>
      <w:r>
        <w:rPr>
          <w:rFonts w:hint="eastAsia" w:ascii="宋体" w:hAnsi="宋体" w:cs="宋体"/>
          <w:color w:val="auto"/>
          <w:sz w:val="24"/>
          <w:szCs w:val="24"/>
          <w:highlight w:val="none"/>
        </w:rPr>
        <w:t>。</w:t>
      </w:r>
    </w:p>
    <w:p>
      <w:pPr>
        <w:numPr>
          <w:ilvl w:val="0"/>
          <w:numId w:val="18"/>
        </w:num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商务技术文件评标内容及标准（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rPr>
        <w:t>80</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1、评分细则</w:t>
      </w:r>
    </w:p>
    <w:tbl>
      <w:tblPr>
        <w:tblStyle w:val="2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5921"/>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861" w:type="dxa"/>
            <w:tcBorders>
              <w:top w:val="single" w:color="auto" w:sz="4" w:space="0"/>
              <w:left w:val="single" w:color="auto" w:sz="4" w:space="0"/>
              <w:bottom w:val="single" w:color="auto" w:sz="4" w:space="0"/>
              <w:right w:val="single" w:color="auto" w:sz="4" w:space="0"/>
            </w:tcBorders>
            <w:vAlign w:val="center"/>
          </w:tcPr>
          <w:p>
            <w:pPr>
              <w:adjustRightInd w:val="0"/>
              <w:spacing w:before="156" w:beforeLines="5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评分项目</w:t>
            </w:r>
          </w:p>
        </w:tc>
        <w:tc>
          <w:tcPr>
            <w:tcW w:w="5921" w:type="dxa"/>
            <w:tcBorders>
              <w:top w:val="single" w:color="auto" w:sz="4" w:space="0"/>
              <w:left w:val="single" w:color="auto" w:sz="4" w:space="0"/>
              <w:bottom w:val="single" w:color="auto" w:sz="4" w:space="0"/>
              <w:right w:val="single" w:color="auto" w:sz="4" w:space="0"/>
            </w:tcBorders>
            <w:vAlign w:val="center"/>
          </w:tcPr>
          <w:p>
            <w:pPr>
              <w:adjustRightInd w:val="0"/>
              <w:spacing w:before="156" w:beforeLines="5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评标要点及说明</w:t>
            </w:r>
          </w:p>
        </w:tc>
        <w:tc>
          <w:tcPr>
            <w:tcW w:w="723" w:type="dxa"/>
            <w:tcBorders>
              <w:top w:val="single" w:color="auto" w:sz="4" w:space="0"/>
              <w:left w:val="single" w:color="auto" w:sz="4" w:space="0"/>
              <w:bottom w:val="single" w:color="auto" w:sz="4" w:space="0"/>
              <w:right w:val="single" w:color="auto" w:sz="4" w:space="0"/>
            </w:tcBorders>
            <w:vAlign w:val="center"/>
          </w:tcPr>
          <w:p>
            <w:pPr>
              <w:adjustRightInd w:val="0"/>
              <w:spacing w:before="156" w:beforeLines="5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vMerge w:val="restart"/>
            <w:tcBorders>
              <w:left w:val="single" w:color="auto" w:sz="4" w:space="0"/>
              <w:right w:val="single" w:color="auto" w:sz="4" w:space="0"/>
            </w:tcBorders>
            <w:vAlign w:val="center"/>
          </w:tcPr>
          <w:p>
            <w:pPr>
              <w:widowControl/>
              <w:snapToGrid w:val="0"/>
              <w:spacing w:line="360" w:lineRule="auto"/>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rPr>
              <w:t>项目理解</w:t>
            </w: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lang w:val="zh-CN"/>
              </w:rPr>
            </w:pPr>
            <w:r>
              <w:rPr>
                <w:rFonts w:hint="eastAsia" w:ascii="宋体" w:hAnsi="宋体" w:cs="宋体"/>
                <w:color w:val="auto"/>
                <w:sz w:val="24"/>
                <w:szCs w:val="24"/>
                <w:highlight w:val="none"/>
              </w:rPr>
              <w:t>评委根据供应商对本项目背景及工作内容进行阐述，根据阐述内容的完成性、科学性、与实际情况的匹配程度进行评分。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vMerge w:val="continue"/>
            <w:tcBorders>
              <w:left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评委根据供应商针对本项目对上虞区和工作区地质环境条件的熟悉情况、认识等进行评分。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vMerge w:val="restart"/>
            <w:tcBorders>
              <w:left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监测工作方案</w:t>
            </w: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评委根据供应商提供的监测工作整体方案编制的科学合理性进行打分。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vMerge w:val="continue"/>
            <w:tcBorders>
              <w:left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评委根据供应商提供的监测工作方案编制工序安排的切实可行性进行打分。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atLeast"/>
          <w:jc w:val="center"/>
        </w:trPr>
        <w:tc>
          <w:tcPr>
            <w:tcW w:w="1861" w:type="dxa"/>
            <w:vMerge w:val="continue"/>
            <w:tcBorders>
              <w:left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评委根据供应商提供的监测工作方案各部分任务及其完成时间的明确性进行打分。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vMerge w:val="continue"/>
            <w:tcBorders>
              <w:left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评委根据供应商提供的监测工作方案总进度对采购人要求的满足性进行打分。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vMerge w:val="restart"/>
            <w:tcBorders>
              <w:left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监测设施维护方案</w:t>
            </w: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评委根据供应商提供的监测设施维护工作方案的完整性进行打分。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vMerge w:val="continue"/>
            <w:tcBorders>
              <w:left w:val="single" w:color="auto" w:sz="4" w:space="0"/>
              <w:right w:val="single" w:color="auto" w:sz="4" w:space="0"/>
            </w:tcBorders>
            <w:vAlign w:val="center"/>
          </w:tcPr>
          <w:p>
            <w:pPr>
              <w:widowControl/>
              <w:snapToGrid w:val="0"/>
              <w:spacing w:line="360" w:lineRule="auto"/>
              <w:rPr>
                <w:rFonts w:ascii="宋体" w:hAnsi="宋体" w:cs="宋体"/>
                <w:color w:val="auto"/>
                <w:spacing w:val="1"/>
                <w:sz w:val="24"/>
                <w:szCs w:val="24"/>
                <w:highlight w:val="none"/>
              </w:rPr>
            </w:pP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评委根据供应商提供的监测设施维护施工工艺的合理性进行打分。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vMerge w:val="continue"/>
            <w:tcBorders>
              <w:left w:val="single" w:color="auto" w:sz="4" w:space="0"/>
              <w:right w:val="single" w:color="auto" w:sz="4" w:space="0"/>
            </w:tcBorders>
            <w:vAlign w:val="center"/>
          </w:tcPr>
          <w:p>
            <w:pPr>
              <w:widowControl/>
              <w:snapToGrid w:val="0"/>
              <w:spacing w:line="360" w:lineRule="auto"/>
              <w:rPr>
                <w:rFonts w:ascii="宋体" w:hAnsi="宋体" w:cs="宋体"/>
                <w:color w:val="auto"/>
                <w:spacing w:val="1"/>
                <w:sz w:val="24"/>
                <w:szCs w:val="24"/>
                <w:highlight w:val="none"/>
              </w:rPr>
            </w:pP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评委根据供应商提供的监测设施维护施工安全措施的得当性进行打分。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tcBorders>
              <w:left w:val="single" w:color="auto" w:sz="4" w:space="0"/>
              <w:right w:val="single" w:color="auto" w:sz="4" w:space="0"/>
            </w:tcBorders>
            <w:vAlign w:val="center"/>
          </w:tcPr>
          <w:p>
            <w:pPr>
              <w:widowControl/>
              <w:snapToGrid w:val="0"/>
              <w:spacing w:line="360" w:lineRule="auto"/>
              <w:jc w:val="center"/>
              <w:rPr>
                <w:rFonts w:ascii="宋体" w:hAnsi="宋体" w:cs="宋体"/>
                <w:color w:val="auto"/>
                <w:spacing w:val="1"/>
                <w:sz w:val="24"/>
                <w:szCs w:val="24"/>
                <w:highlight w:val="none"/>
              </w:rPr>
            </w:pPr>
            <w:r>
              <w:rPr>
                <w:rFonts w:hint="eastAsia" w:ascii="宋体" w:hAnsi="宋体" w:cs="宋体"/>
                <w:color w:val="auto"/>
                <w:sz w:val="24"/>
                <w:szCs w:val="24"/>
                <w:highlight w:val="none"/>
              </w:rPr>
              <w:t>重难点措施</w:t>
            </w: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评委根据供应商对本项目的任务要求、重点及关键性技术难题理解、本项目可能的风险及应对措施等进行评分。</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vMerge w:val="restart"/>
            <w:tcBorders>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人员配置</w:t>
            </w: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评委根据供应商对本项目开展的组织管理、人员安排分配的合理性、稳定性进行打分。</w:t>
            </w:r>
          </w:p>
        </w:tc>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861" w:type="dxa"/>
            <w:vMerge w:val="continue"/>
            <w:tcBorders>
              <w:left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 w:val="24"/>
                <w:szCs w:val="24"/>
                <w:highlight w:val="none"/>
              </w:rPr>
            </w:pP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评委根据供应商拟投入本项目人员（除项目负责人）的数量、经验、职称、综合技术力量情况进行打分。需提供相关专业人员的专业证明、技术职称证书等，以上人员均需提供近三个月社保证明。</w:t>
            </w:r>
          </w:p>
        </w:tc>
        <w:tc>
          <w:tcPr>
            <w:tcW w:w="7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861" w:type="dxa"/>
            <w:tcBorders>
              <w:left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设备配置</w:t>
            </w: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评委根据供应商提供的满足本工程项目的装备配置、仪器设备等进行评分。</w:t>
            </w:r>
          </w:p>
        </w:tc>
        <w:tc>
          <w:tcPr>
            <w:tcW w:w="723" w:type="dxa"/>
            <w:tcBorders>
              <w:top w:val="single" w:color="auto" w:sz="4" w:space="0"/>
              <w:left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861" w:type="dxa"/>
            <w:tcBorders>
              <w:left w:val="single" w:color="auto" w:sz="4" w:space="0"/>
              <w:right w:val="single" w:color="auto" w:sz="4" w:space="0"/>
            </w:tcBorders>
            <w:vAlign w:val="center"/>
          </w:tcPr>
          <w:p>
            <w:pPr>
              <w:widowControl/>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服务承诺、后续服务便利</w:t>
            </w: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评委根据供应商针对本项目提供的售后服务方案（包括服务措施、服务响应时间、驻现场服务人员、技术培训计划、对客户使用中提出的问题能否及时、有效的提出解决方案</w:t>
            </w:r>
            <w:r>
              <w:rPr>
                <w:rFonts w:hint="eastAsia" w:ascii="宋体" w:hAnsi="宋体" w:cs="宋体"/>
                <w:color w:val="auto"/>
                <w:sz w:val="24"/>
                <w:szCs w:val="24"/>
                <w:highlight w:val="none"/>
                <w:lang w:val="zh-TW"/>
              </w:rPr>
              <w:t>，</w:t>
            </w:r>
            <w:r>
              <w:rPr>
                <w:rFonts w:hint="eastAsia" w:ascii="宋体" w:hAnsi="宋体" w:cs="宋体"/>
                <w:color w:val="auto"/>
                <w:sz w:val="24"/>
                <w:szCs w:val="24"/>
                <w:highlight w:val="none"/>
              </w:rPr>
              <w:t>综合评审评分。</w:t>
            </w:r>
          </w:p>
        </w:tc>
        <w:tc>
          <w:tcPr>
            <w:tcW w:w="723" w:type="dxa"/>
            <w:tcBorders>
              <w:top w:val="single" w:color="auto" w:sz="4" w:space="0"/>
              <w:left w:val="single" w:color="auto" w:sz="4" w:space="0"/>
              <w:right w:val="single" w:color="auto" w:sz="4" w:space="0"/>
            </w:tcBorders>
            <w:vAlign w:val="center"/>
          </w:tcPr>
          <w:p>
            <w:pPr>
              <w:widowControl/>
              <w:snapToGrid w:val="0"/>
              <w:spacing w:line="360" w:lineRule="auto"/>
              <w:jc w:val="center"/>
              <w:rPr>
                <w:rFonts w:ascii="宋体" w:hAnsi="宋体" w:cs="宋体"/>
                <w:bCs/>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jc w:val="center"/>
        </w:trPr>
        <w:tc>
          <w:tcPr>
            <w:tcW w:w="1861" w:type="dxa"/>
            <w:vMerge w:val="restart"/>
            <w:tcBorders>
              <w:top w:val="single" w:color="auto" w:sz="4" w:space="0"/>
              <w:left w:val="single" w:color="auto" w:sz="4" w:space="0"/>
              <w:right w:val="single" w:color="auto" w:sz="4" w:space="0"/>
            </w:tcBorders>
            <w:vAlign w:val="center"/>
          </w:tcPr>
          <w:p>
            <w:pPr>
              <w:tabs>
                <w:tab w:val="left" w:pos="772"/>
              </w:tabs>
              <w:spacing w:line="360" w:lineRule="auto"/>
              <w:jc w:val="center"/>
              <w:rPr>
                <w:rStyle w:val="65"/>
                <w:rFonts w:ascii="宋体" w:hAnsi="宋体" w:cs="宋体"/>
                <w:color w:val="auto"/>
                <w:sz w:val="24"/>
                <w:szCs w:val="24"/>
                <w:highlight w:val="none"/>
              </w:rPr>
            </w:pPr>
            <w:r>
              <w:rPr>
                <w:rFonts w:hint="eastAsia" w:ascii="宋体" w:hAnsi="宋体" w:cs="宋体"/>
                <w:color w:val="auto"/>
                <w:sz w:val="24"/>
                <w:szCs w:val="24"/>
                <w:highlight w:val="none"/>
              </w:rPr>
              <w:t>资信（10）</w:t>
            </w:r>
          </w:p>
        </w:tc>
        <w:tc>
          <w:tcPr>
            <w:tcW w:w="5921" w:type="dxa"/>
            <w:tcBorders>
              <w:top w:val="single" w:color="auto" w:sz="4" w:space="0"/>
              <w:left w:val="single" w:color="auto" w:sz="4" w:space="0"/>
              <w:bottom w:val="single" w:color="auto" w:sz="4" w:space="0"/>
              <w:right w:val="single" w:color="auto" w:sz="4" w:space="0"/>
            </w:tcBorders>
            <w:vAlign w:val="center"/>
          </w:tcPr>
          <w:p>
            <w:pPr>
              <w:spacing w:line="360" w:lineRule="auto"/>
              <w:rPr>
                <w:rStyle w:val="65"/>
                <w:rFonts w:ascii="宋体" w:hAnsi="宋体" w:cs="宋体"/>
                <w:color w:val="auto"/>
                <w:sz w:val="24"/>
                <w:szCs w:val="24"/>
                <w:highlight w:val="none"/>
              </w:rPr>
            </w:pPr>
            <w:r>
              <w:rPr>
                <w:rFonts w:hint="eastAsia" w:ascii="宋体" w:hAnsi="宋体" w:cs="宋体"/>
                <w:color w:val="auto"/>
                <w:kern w:val="0"/>
                <w:sz w:val="24"/>
                <w:szCs w:val="24"/>
                <w:highlight w:val="none"/>
              </w:rPr>
              <w:t>认证证书</w:t>
            </w:r>
            <w:r>
              <w:rPr>
                <w:rFonts w:hint="eastAsia" w:ascii="宋体" w:hAnsi="宋体" w:cs="宋体"/>
                <w:b/>
                <w:color w:val="auto"/>
                <w:kern w:val="0"/>
                <w:sz w:val="24"/>
                <w:szCs w:val="24"/>
                <w:highlight w:val="none"/>
                <w:lang w:val="zh-CN"/>
              </w:rPr>
              <w:t>（具体详见商务要求表）</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65"/>
                <w:rFonts w:ascii="宋体" w:hAnsi="宋体" w:cs="宋体"/>
                <w:bCs/>
                <w:color w:val="auto"/>
                <w:sz w:val="24"/>
                <w:szCs w:val="24"/>
                <w:highlight w:val="none"/>
              </w:rPr>
            </w:pPr>
            <w:r>
              <w:rPr>
                <w:rFonts w:hint="eastAsia" w:ascii="宋体" w:hAnsi="宋体" w:cs="宋体"/>
                <w:color w:val="auto"/>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861" w:type="dxa"/>
            <w:vMerge w:val="continue"/>
            <w:tcBorders>
              <w:left w:val="single" w:color="auto" w:sz="4" w:space="0"/>
              <w:right w:val="single" w:color="auto" w:sz="4" w:space="0"/>
            </w:tcBorders>
            <w:vAlign w:val="center"/>
          </w:tcPr>
          <w:p>
            <w:pPr>
              <w:tabs>
                <w:tab w:val="left" w:pos="772"/>
              </w:tabs>
              <w:spacing w:line="360" w:lineRule="auto"/>
              <w:jc w:val="center"/>
              <w:rPr>
                <w:rStyle w:val="65"/>
                <w:rFonts w:ascii="宋体" w:hAnsi="宋体" w:cs="宋体"/>
                <w:color w:val="auto"/>
                <w:sz w:val="24"/>
                <w:szCs w:val="24"/>
                <w:highlight w:val="none"/>
              </w:rPr>
            </w:pPr>
          </w:p>
        </w:tc>
        <w:tc>
          <w:tcPr>
            <w:tcW w:w="5921" w:type="dxa"/>
            <w:tcBorders>
              <w:top w:val="single" w:color="auto" w:sz="4" w:space="0"/>
              <w:left w:val="single" w:color="auto" w:sz="4" w:space="0"/>
              <w:bottom w:val="single" w:color="auto" w:sz="4" w:space="0"/>
              <w:right w:val="single" w:color="auto" w:sz="4" w:space="0"/>
            </w:tcBorders>
            <w:vAlign w:val="center"/>
          </w:tcPr>
          <w:p>
            <w:pPr>
              <w:pStyle w:val="75"/>
              <w:widowControl w:val="0"/>
              <w:spacing w:line="360" w:lineRule="auto"/>
              <w:rPr>
                <w:rStyle w:val="65"/>
                <w:rFonts w:cs="宋体"/>
                <w:color w:val="auto"/>
                <w:szCs w:val="24"/>
                <w:highlight w:val="none"/>
              </w:rPr>
            </w:pPr>
            <w:r>
              <w:rPr>
                <w:rFonts w:hint="eastAsia" w:cs="宋体"/>
                <w:color w:val="auto"/>
                <w:szCs w:val="24"/>
                <w:highlight w:val="none"/>
              </w:rPr>
              <w:t>供应商业绩</w:t>
            </w:r>
            <w:r>
              <w:rPr>
                <w:rFonts w:hint="eastAsia" w:cs="宋体"/>
                <w:b/>
                <w:color w:val="auto"/>
                <w:szCs w:val="24"/>
                <w:highlight w:val="none"/>
              </w:rPr>
              <w:t>（具体详见商务要求表）</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65"/>
                <w:rFonts w:ascii="宋体" w:hAnsi="宋体" w:cs="宋体"/>
                <w:bCs/>
                <w:color w:val="auto"/>
                <w:sz w:val="24"/>
                <w:szCs w:val="24"/>
                <w:highlight w:val="none"/>
              </w:rPr>
            </w:pP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861" w:type="dxa"/>
            <w:vMerge w:val="continue"/>
            <w:tcBorders>
              <w:left w:val="single" w:color="auto" w:sz="4" w:space="0"/>
              <w:right w:val="single" w:color="auto" w:sz="4" w:space="0"/>
            </w:tcBorders>
            <w:vAlign w:val="center"/>
          </w:tcPr>
          <w:p>
            <w:pPr>
              <w:tabs>
                <w:tab w:val="left" w:pos="772"/>
              </w:tabs>
              <w:spacing w:line="360" w:lineRule="auto"/>
              <w:jc w:val="center"/>
              <w:rPr>
                <w:rStyle w:val="65"/>
                <w:rFonts w:ascii="宋体" w:hAnsi="宋体" w:cs="宋体"/>
                <w:color w:val="auto"/>
                <w:sz w:val="24"/>
                <w:szCs w:val="24"/>
                <w:highlight w:val="none"/>
              </w:rPr>
            </w:pPr>
          </w:p>
        </w:tc>
        <w:tc>
          <w:tcPr>
            <w:tcW w:w="5921" w:type="dxa"/>
            <w:tcBorders>
              <w:top w:val="single" w:color="auto" w:sz="4" w:space="0"/>
              <w:left w:val="single" w:color="auto" w:sz="4" w:space="0"/>
              <w:bottom w:val="single" w:color="auto" w:sz="4" w:space="0"/>
              <w:right w:val="single" w:color="auto" w:sz="4" w:space="0"/>
            </w:tcBorders>
            <w:vAlign w:val="center"/>
          </w:tcPr>
          <w:p>
            <w:pPr>
              <w:pStyle w:val="75"/>
              <w:widowControl w:val="0"/>
              <w:spacing w:line="360" w:lineRule="auto"/>
              <w:rPr>
                <w:rStyle w:val="65"/>
                <w:rFonts w:cs="宋体"/>
                <w:color w:val="auto"/>
                <w:szCs w:val="24"/>
                <w:highlight w:val="none"/>
              </w:rPr>
            </w:pPr>
            <w:r>
              <w:rPr>
                <w:rFonts w:hint="eastAsia" w:cs="宋体"/>
                <w:color w:val="auto"/>
                <w:szCs w:val="24"/>
                <w:highlight w:val="none"/>
                <w:lang w:val="en-US"/>
              </w:rPr>
              <w:t>供应商</w:t>
            </w:r>
            <w:r>
              <w:rPr>
                <w:rFonts w:hint="eastAsia" w:cs="宋体"/>
                <w:color w:val="auto"/>
                <w:szCs w:val="24"/>
                <w:highlight w:val="none"/>
              </w:rPr>
              <w:t>荣誉</w:t>
            </w:r>
            <w:r>
              <w:rPr>
                <w:rFonts w:hint="eastAsia" w:cs="宋体"/>
                <w:b/>
                <w:color w:val="auto"/>
                <w:szCs w:val="24"/>
                <w:highlight w:val="none"/>
              </w:rPr>
              <w:t>（具体详见商务要求表）</w:t>
            </w:r>
          </w:p>
        </w:tc>
        <w:tc>
          <w:tcPr>
            <w:tcW w:w="72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Style w:val="65"/>
                <w:rFonts w:ascii="宋体" w:hAnsi="宋体" w:cs="宋体"/>
                <w:bCs/>
                <w:color w:val="auto"/>
                <w:sz w:val="24"/>
                <w:szCs w:val="24"/>
                <w:highlight w:val="none"/>
              </w:rPr>
            </w:pPr>
            <w:r>
              <w:rPr>
                <w:rFonts w:hint="eastAsia" w:ascii="宋体" w:hAnsi="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861" w:type="dxa"/>
            <w:vMerge w:val="continue"/>
            <w:tcBorders>
              <w:left w:val="single" w:color="auto" w:sz="4" w:space="0"/>
              <w:right w:val="single" w:color="auto" w:sz="4" w:space="0"/>
            </w:tcBorders>
            <w:vAlign w:val="center"/>
          </w:tcPr>
          <w:p>
            <w:pPr>
              <w:tabs>
                <w:tab w:val="left" w:pos="772"/>
              </w:tabs>
              <w:spacing w:line="360" w:lineRule="auto"/>
              <w:jc w:val="center"/>
              <w:rPr>
                <w:rStyle w:val="65"/>
                <w:rFonts w:ascii="宋体" w:hAnsi="宋体" w:cs="宋体"/>
                <w:color w:val="auto"/>
                <w:sz w:val="24"/>
                <w:szCs w:val="24"/>
                <w:highlight w:val="none"/>
              </w:rPr>
            </w:pPr>
          </w:p>
        </w:tc>
        <w:tc>
          <w:tcPr>
            <w:tcW w:w="5921" w:type="dxa"/>
            <w:tcBorders>
              <w:top w:val="single" w:color="auto" w:sz="4" w:space="0"/>
              <w:left w:val="single" w:color="auto" w:sz="4" w:space="0"/>
              <w:right w:val="single" w:color="auto" w:sz="4" w:space="0"/>
            </w:tcBorders>
            <w:vAlign w:val="center"/>
          </w:tcPr>
          <w:p>
            <w:pPr>
              <w:pStyle w:val="75"/>
              <w:widowControl w:val="0"/>
              <w:spacing w:line="360" w:lineRule="auto"/>
              <w:rPr>
                <w:rFonts w:cs="宋体"/>
                <w:color w:val="auto"/>
                <w:szCs w:val="24"/>
                <w:highlight w:val="none"/>
                <w:lang w:val="en-US"/>
              </w:rPr>
            </w:pPr>
            <w:r>
              <w:rPr>
                <w:rFonts w:hint="eastAsia" w:cs="宋体"/>
                <w:color w:val="auto"/>
                <w:highlight w:val="none"/>
                <w:lang w:val="en-US"/>
              </w:rPr>
              <w:t>项目负责人实力</w:t>
            </w:r>
            <w:r>
              <w:rPr>
                <w:rFonts w:hint="eastAsia" w:cs="宋体"/>
                <w:b/>
                <w:color w:val="auto"/>
                <w:szCs w:val="24"/>
                <w:highlight w:val="none"/>
              </w:rPr>
              <w:t>（具体详见商务要求表）</w:t>
            </w:r>
          </w:p>
        </w:tc>
        <w:tc>
          <w:tcPr>
            <w:tcW w:w="723" w:type="dxa"/>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color w:val="auto"/>
                <w:sz w:val="24"/>
                <w:szCs w:val="24"/>
                <w:highlight w:val="none"/>
              </w:rPr>
            </w:pPr>
            <w:r>
              <w:rPr>
                <w:rFonts w:ascii="宋体" w:hAnsi="宋体" w:cs="宋体"/>
                <w:color w:val="auto"/>
                <w:sz w:val="24"/>
                <w:szCs w:val="24"/>
                <w:highlight w:val="none"/>
              </w:rPr>
              <w:t>4</w:t>
            </w:r>
          </w:p>
        </w:tc>
      </w:tr>
    </w:tbl>
    <w:p>
      <w:pPr>
        <w:pStyle w:val="26"/>
        <w:ind w:firstLine="0"/>
        <w:rPr>
          <w:color w:val="auto"/>
          <w:highlight w:val="none"/>
        </w:rPr>
      </w:pPr>
    </w:p>
    <w:p>
      <w:pPr>
        <w:numPr>
          <w:ilvl w:val="0"/>
          <w:numId w:val="19"/>
        </w:numPr>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商务要求表</w:t>
      </w:r>
      <w:r>
        <w:rPr>
          <w:rFonts w:hint="eastAsia" w:ascii="宋体" w:hAnsi="宋体" w:cs="宋体"/>
          <w:color w:val="auto"/>
          <w:sz w:val="24"/>
          <w:szCs w:val="24"/>
          <w:highlight w:val="none"/>
        </w:rPr>
        <w:t>（对应评分标准）</w:t>
      </w:r>
    </w:p>
    <w:tbl>
      <w:tblPr>
        <w:tblStyle w:val="27"/>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225"/>
        <w:gridCol w:w="569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46" w:type="dxa"/>
            <w:vMerge w:val="restart"/>
            <w:vAlign w:val="center"/>
          </w:tcPr>
          <w:p>
            <w:pPr>
              <w:spacing w:line="240" w:lineRule="auto"/>
              <w:jc w:val="center"/>
              <w:rPr>
                <w:rFonts w:ascii="宋体" w:cs="宋体"/>
                <w:color w:val="auto"/>
                <w:sz w:val="24"/>
                <w:highlight w:val="none"/>
              </w:rPr>
            </w:pPr>
            <w:r>
              <w:rPr>
                <w:rFonts w:hint="eastAsia" w:ascii="宋体" w:cs="宋体"/>
                <w:color w:val="auto"/>
                <w:sz w:val="24"/>
                <w:highlight w:val="none"/>
              </w:rPr>
              <w:t>资信</w:t>
            </w:r>
          </w:p>
        </w:tc>
        <w:tc>
          <w:tcPr>
            <w:tcW w:w="1225" w:type="dxa"/>
            <w:vAlign w:val="center"/>
          </w:tcPr>
          <w:p>
            <w:pPr>
              <w:tabs>
                <w:tab w:val="left" w:pos="772"/>
              </w:tabs>
              <w:spacing w:line="240" w:lineRule="auto"/>
              <w:jc w:val="center"/>
              <w:rPr>
                <w:rFonts w:ascii="宋体" w:hAnsi="宋体"/>
                <w:color w:val="auto"/>
                <w:kern w:val="0"/>
                <w:sz w:val="24"/>
                <w:szCs w:val="20"/>
                <w:highlight w:val="none"/>
              </w:rPr>
            </w:pPr>
            <w:r>
              <w:rPr>
                <w:rFonts w:hint="eastAsia" w:ascii="宋体" w:hAnsi="宋体"/>
                <w:color w:val="auto"/>
                <w:kern w:val="0"/>
                <w:sz w:val="24"/>
                <w:szCs w:val="20"/>
                <w:highlight w:val="none"/>
              </w:rPr>
              <w:t>认证证书</w:t>
            </w:r>
          </w:p>
        </w:tc>
        <w:tc>
          <w:tcPr>
            <w:tcW w:w="5696" w:type="dxa"/>
            <w:vAlign w:val="center"/>
          </w:tcPr>
          <w:p>
            <w:pPr>
              <w:autoSpaceDE w:val="0"/>
              <w:autoSpaceDN w:val="0"/>
              <w:adjustRightInd w:val="0"/>
              <w:spacing w:line="240" w:lineRule="auto"/>
              <w:rPr>
                <w:rFonts w:ascii="宋体" w:hAnsi="宋体" w:cs="宋体"/>
                <w:color w:val="auto"/>
                <w:sz w:val="24"/>
                <w:highlight w:val="none"/>
              </w:rPr>
            </w:pPr>
            <w:r>
              <w:rPr>
                <w:rFonts w:hint="eastAsia" w:ascii="宋体" w:hAnsi="宋体" w:cs="宋体"/>
                <w:color w:val="auto"/>
                <w:sz w:val="24"/>
                <w:highlight w:val="none"/>
              </w:rPr>
              <w:t>供应商具备有效期内的质量管理体系认证证书、环境管理体系认证证书、职业健康安全管理体系认证证书的，每提供1本得1分，本项最高3分。</w:t>
            </w:r>
            <w:r>
              <w:rPr>
                <w:rFonts w:hint="eastAsia" w:ascii="宋体" w:hAnsi="宋体"/>
                <w:color w:val="auto"/>
                <w:kern w:val="0"/>
                <w:sz w:val="24"/>
                <w:szCs w:val="20"/>
                <w:highlight w:val="none"/>
              </w:rPr>
              <w:t>提供证书扫描件加盖公章。</w:t>
            </w:r>
          </w:p>
        </w:tc>
        <w:tc>
          <w:tcPr>
            <w:tcW w:w="794" w:type="dxa"/>
            <w:vAlign w:val="center"/>
          </w:tcPr>
          <w:p>
            <w:pPr>
              <w:autoSpaceDE w:val="0"/>
              <w:autoSpaceDN w:val="0"/>
              <w:adjustRightInd w:val="0"/>
              <w:spacing w:line="240" w:lineRule="auto"/>
              <w:jc w:val="center"/>
              <w:rPr>
                <w:rFonts w:ascii="宋体" w:hAnsi="宋体" w:cs="宋体"/>
                <w:color w:val="auto"/>
                <w:sz w:val="24"/>
                <w:highlight w:val="none"/>
              </w:rPr>
            </w:pPr>
            <w:r>
              <w:rPr>
                <w:rFonts w:hint="eastAsia" w:ascii="宋体" w:hAnsi="宋体" w:cs="宋体"/>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46" w:type="dxa"/>
            <w:vMerge w:val="continue"/>
            <w:vAlign w:val="center"/>
          </w:tcPr>
          <w:p>
            <w:pPr>
              <w:spacing w:line="240" w:lineRule="auto"/>
              <w:jc w:val="center"/>
              <w:rPr>
                <w:rFonts w:ascii="宋体" w:cs="宋体"/>
                <w:color w:val="auto"/>
                <w:sz w:val="24"/>
                <w:highlight w:val="none"/>
              </w:rPr>
            </w:pPr>
          </w:p>
        </w:tc>
        <w:tc>
          <w:tcPr>
            <w:tcW w:w="1225" w:type="dxa"/>
            <w:vAlign w:val="center"/>
          </w:tcPr>
          <w:p>
            <w:pPr>
              <w:spacing w:line="240" w:lineRule="auto"/>
              <w:jc w:val="center"/>
              <w:rPr>
                <w:rFonts w:ascii="宋体" w:hAnsi="宋体"/>
                <w:color w:val="auto"/>
                <w:kern w:val="0"/>
                <w:sz w:val="24"/>
                <w:szCs w:val="20"/>
                <w:highlight w:val="none"/>
              </w:rPr>
            </w:pPr>
            <w:r>
              <w:rPr>
                <w:rFonts w:hint="eastAsia" w:ascii="宋体" w:hAnsi="宋体"/>
                <w:color w:val="auto"/>
                <w:kern w:val="0"/>
                <w:sz w:val="24"/>
                <w:szCs w:val="20"/>
                <w:highlight w:val="none"/>
              </w:rPr>
              <w:t>投标人业绩</w:t>
            </w:r>
          </w:p>
        </w:tc>
        <w:tc>
          <w:tcPr>
            <w:tcW w:w="5696" w:type="dxa"/>
            <w:vAlign w:val="center"/>
          </w:tcPr>
          <w:p>
            <w:pPr>
              <w:spacing w:line="240" w:lineRule="auto"/>
              <w:rPr>
                <w:rFonts w:ascii="宋体" w:hAnsi="宋体" w:cs="宋体"/>
                <w:color w:val="auto"/>
                <w:sz w:val="24"/>
                <w:highlight w:val="none"/>
              </w:rPr>
            </w:pPr>
            <w:r>
              <w:rPr>
                <w:rFonts w:hint="eastAsia" w:ascii="宋体" w:hAnsi="宋体" w:cs="宋体"/>
                <w:color w:val="auto"/>
                <w:sz w:val="24"/>
                <w:highlight w:val="none"/>
              </w:rPr>
              <w:t>供应商自2019年1月1日起至今（以合同签署时间为准）</w:t>
            </w:r>
            <w:r>
              <w:rPr>
                <w:rFonts w:hint="eastAsia" w:ascii="宋体" w:hAnsi="宋体"/>
                <w:color w:val="auto"/>
                <w:kern w:val="0"/>
                <w:sz w:val="24"/>
                <w:szCs w:val="20"/>
                <w:highlight w:val="none"/>
              </w:rPr>
              <w:t>完成过类似项目的每个得1分，最多得</w:t>
            </w:r>
            <w:r>
              <w:rPr>
                <w:rFonts w:ascii="宋体" w:hAnsi="宋体"/>
                <w:color w:val="auto"/>
                <w:kern w:val="0"/>
                <w:sz w:val="24"/>
                <w:szCs w:val="20"/>
                <w:highlight w:val="none"/>
              </w:rPr>
              <w:t>1</w:t>
            </w:r>
            <w:r>
              <w:rPr>
                <w:rFonts w:hint="eastAsia" w:ascii="宋体" w:hAnsi="宋体"/>
                <w:color w:val="auto"/>
                <w:kern w:val="0"/>
                <w:sz w:val="24"/>
                <w:szCs w:val="20"/>
                <w:highlight w:val="none"/>
              </w:rPr>
              <w:t>分。提供合同复印件加盖公章。</w:t>
            </w:r>
          </w:p>
        </w:tc>
        <w:tc>
          <w:tcPr>
            <w:tcW w:w="794" w:type="dxa"/>
            <w:vAlign w:val="center"/>
          </w:tcPr>
          <w:p>
            <w:pPr>
              <w:spacing w:line="240" w:lineRule="auto"/>
              <w:jc w:val="center"/>
              <w:rPr>
                <w:rFonts w:ascii="宋体" w:hAnsi="宋体" w:cs="宋体"/>
                <w:color w:val="auto"/>
                <w:sz w:val="24"/>
                <w:highlight w:val="none"/>
              </w:rPr>
            </w:pPr>
            <w:r>
              <w:rPr>
                <w:rFonts w:ascii="宋体" w:hAnsi="宋体"/>
                <w:color w:val="auto"/>
                <w:kern w:val="0"/>
                <w:sz w:val="24"/>
                <w:szCs w:val="20"/>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946" w:type="dxa"/>
            <w:vMerge w:val="continue"/>
            <w:vAlign w:val="center"/>
          </w:tcPr>
          <w:p>
            <w:pPr>
              <w:spacing w:line="240" w:lineRule="auto"/>
              <w:jc w:val="center"/>
              <w:rPr>
                <w:rFonts w:ascii="宋体" w:cs="宋体"/>
                <w:color w:val="auto"/>
                <w:sz w:val="24"/>
                <w:highlight w:val="none"/>
              </w:rPr>
            </w:pPr>
          </w:p>
        </w:tc>
        <w:tc>
          <w:tcPr>
            <w:tcW w:w="1225" w:type="dxa"/>
            <w:vAlign w:val="center"/>
          </w:tcPr>
          <w:p>
            <w:pPr>
              <w:spacing w:line="240" w:lineRule="auto"/>
              <w:jc w:val="center"/>
              <w:rPr>
                <w:rFonts w:ascii="宋体" w:hAnsi="宋体"/>
                <w:color w:val="auto"/>
                <w:kern w:val="0"/>
                <w:sz w:val="24"/>
                <w:szCs w:val="20"/>
                <w:highlight w:val="none"/>
              </w:rPr>
            </w:pPr>
            <w:r>
              <w:rPr>
                <w:rFonts w:hint="eastAsia" w:ascii="宋体" w:hAnsi="宋体"/>
                <w:color w:val="auto"/>
                <w:kern w:val="0"/>
                <w:sz w:val="24"/>
                <w:szCs w:val="20"/>
                <w:highlight w:val="none"/>
              </w:rPr>
              <w:t>投标人荣誉</w:t>
            </w:r>
          </w:p>
        </w:tc>
        <w:tc>
          <w:tcPr>
            <w:tcW w:w="5696" w:type="dxa"/>
            <w:vAlign w:val="center"/>
          </w:tcPr>
          <w:p>
            <w:pPr>
              <w:spacing w:line="240" w:lineRule="auto"/>
              <w:rPr>
                <w:rFonts w:ascii="宋体" w:hAnsi="宋体" w:cs="宋体"/>
                <w:color w:val="auto"/>
                <w:sz w:val="24"/>
                <w:highlight w:val="none"/>
              </w:rPr>
            </w:pPr>
            <w:r>
              <w:rPr>
                <w:rFonts w:hint="eastAsia" w:ascii="宋体" w:hAnsi="宋体" w:cs="宋体"/>
                <w:color w:val="auto"/>
                <w:sz w:val="24"/>
                <w:highlight w:val="none"/>
              </w:rPr>
              <w:t>供应商自2019年1月1日以来在地质领域获得过省级及以上荣誉的得2分，没有不得分。提供证明资料扫描件加盖公章。</w:t>
            </w:r>
          </w:p>
        </w:tc>
        <w:tc>
          <w:tcPr>
            <w:tcW w:w="794" w:type="dxa"/>
            <w:vAlign w:val="center"/>
          </w:tcPr>
          <w:p>
            <w:pPr>
              <w:spacing w:line="240" w:lineRule="auto"/>
              <w:jc w:val="center"/>
              <w:rPr>
                <w:rFonts w:ascii="宋体" w:hAnsi="宋体"/>
                <w:color w:val="auto"/>
                <w:kern w:val="0"/>
                <w:sz w:val="24"/>
                <w:szCs w:val="20"/>
                <w:highlight w:val="none"/>
              </w:rPr>
            </w:pPr>
            <w:r>
              <w:rPr>
                <w:rFonts w:hint="eastAsia" w:ascii="宋体" w:hAnsi="宋体"/>
                <w:color w:val="auto"/>
                <w:kern w:val="0"/>
                <w:sz w:val="24"/>
                <w:szCs w:val="20"/>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46" w:type="dxa"/>
            <w:vMerge w:val="continue"/>
            <w:vAlign w:val="center"/>
          </w:tcPr>
          <w:p>
            <w:pPr>
              <w:spacing w:line="240" w:lineRule="auto"/>
              <w:jc w:val="center"/>
              <w:rPr>
                <w:rFonts w:ascii="宋体" w:cs="宋体"/>
                <w:color w:val="auto"/>
                <w:sz w:val="24"/>
                <w:highlight w:val="none"/>
              </w:rPr>
            </w:pPr>
          </w:p>
        </w:tc>
        <w:tc>
          <w:tcPr>
            <w:tcW w:w="1225" w:type="dxa"/>
            <w:vMerge w:val="restart"/>
            <w:vAlign w:val="center"/>
          </w:tcPr>
          <w:p>
            <w:pPr>
              <w:spacing w:line="240" w:lineRule="auto"/>
              <w:jc w:val="center"/>
              <w:rPr>
                <w:rFonts w:ascii="宋体" w:hAnsi="宋体" w:cs="宋体"/>
                <w:color w:val="auto"/>
                <w:sz w:val="24"/>
                <w:highlight w:val="none"/>
              </w:rPr>
            </w:pPr>
            <w:r>
              <w:rPr>
                <w:rFonts w:hint="eastAsia" w:ascii="宋体" w:hAnsi="宋体" w:cs="宋体"/>
                <w:color w:val="auto"/>
                <w:sz w:val="24"/>
                <w:highlight w:val="none"/>
              </w:rPr>
              <w:t>项目负责人实力</w:t>
            </w:r>
          </w:p>
        </w:tc>
        <w:tc>
          <w:tcPr>
            <w:tcW w:w="5696" w:type="dxa"/>
            <w:vAlign w:val="center"/>
          </w:tcPr>
          <w:p>
            <w:pPr>
              <w:spacing w:line="240" w:lineRule="auto"/>
              <w:rPr>
                <w:rFonts w:ascii="宋体" w:hAnsi="宋体" w:cs="宋体"/>
                <w:color w:val="auto"/>
                <w:sz w:val="24"/>
                <w:highlight w:val="none"/>
              </w:rPr>
            </w:pPr>
            <w:r>
              <w:rPr>
                <w:rFonts w:hint="eastAsia" w:ascii="宋体" w:hAnsi="宋体" w:cs="宋体"/>
                <w:color w:val="auto"/>
                <w:sz w:val="24"/>
                <w:highlight w:val="none"/>
              </w:rPr>
              <w:t>供应商拟投入本项目项目负责人具有地质类专业教授级高级工程师的得2分，高级工程师的得1分，没有不得分。提供人员证书和近三个月社保证明扫描件加盖公章。</w:t>
            </w:r>
          </w:p>
        </w:tc>
        <w:tc>
          <w:tcPr>
            <w:tcW w:w="794" w:type="dxa"/>
            <w:vAlign w:val="center"/>
          </w:tcPr>
          <w:p>
            <w:pPr>
              <w:spacing w:line="240" w:lineRule="auto"/>
              <w:jc w:val="center"/>
              <w:rPr>
                <w:rFonts w:ascii="宋体" w:hAnsi="宋体" w:cs="宋体"/>
                <w:color w:val="auto"/>
                <w:sz w:val="24"/>
                <w:highlight w:val="none"/>
              </w:rPr>
            </w:pPr>
            <w:r>
              <w:rPr>
                <w:rFonts w:hint="eastAsia" w:ascii="宋体" w:hAnsi="宋体" w:cs="宋体"/>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946" w:type="dxa"/>
            <w:vMerge w:val="continue"/>
            <w:vAlign w:val="center"/>
          </w:tcPr>
          <w:p>
            <w:pPr>
              <w:spacing w:line="240" w:lineRule="auto"/>
              <w:jc w:val="center"/>
              <w:rPr>
                <w:rFonts w:ascii="宋体" w:cs="宋体"/>
                <w:color w:val="auto"/>
                <w:sz w:val="24"/>
                <w:highlight w:val="none"/>
              </w:rPr>
            </w:pPr>
          </w:p>
        </w:tc>
        <w:tc>
          <w:tcPr>
            <w:tcW w:w="1225" w:type="dxa"/>
            <w:vMerge w:val="continue"/>
            <w:vAlign w:val="center"/>
          </w:tcPr>
          <w:p>
            <w:pPr>
              <w:spacing w:line="240" w:lineRule="auto"/>
              <w:jc w:val="center"/>
              <w:rPr>
                <w:rFonts w:hint="eastAsia" w:ascii="宋体" w:hAnsi="宋体" w:cs="宋体"/>
                <w:color w:val="auto"/>
                <w:sz w:val="24"/>
                <w:highlight w:val="none"/>
              </w:rPr>
            </w:pPr>
          </w:p>
        </w:tc>
        <w:tc>
          <w:tcPr>
            <w:tcW w:w="5696" w:type="dxa"/>
            <w:vAlign w:val="center"/>
          </w:tcPr>
          <w:p>
            <w:pPr>
              <w:spacing w:line="240" w:lineRule="auto"/>
              <w:rPr>
                <w:rFonts w:hint="eastAsia" w:ascii="宋体" w:hAnsi="宋体" w:cs="宋体"/>
                <w:color w:val="auto"/>
                <w:sz w:val="24"/>
                <w:highlight w:val="none"/>
              </w:rPr>
            </w:pPr>
            <w:r>
              <w:rPr>
                <w:rFonts w:hint="eastAsia" w:ascii="宋体" w:hAnsi="宋体" w:cs="宋体"/>
                <w:color w:val="auto"/>
                <w:sz w:val="24"/>
                <w:highlight w:val="none"/>
              </w:rPr>
              <w:t>供应商拟投入本项目项目负责人自2017年1月1日起获得过地质灾害防治相关省（部）级及以上科学技术类奖项的得</w:t>
            </w:r>
            <w:r>
              <w:rPr>
                <w:rFonts w:ascii="宋体" w:hAnsi="宋体" w:cs="宋体"/>
                <w:color w:val="auto"/>
                <w:sz w:val="24"/>
                <w:highlight w:val="none"/>
              </w:rPr>
              <w:t>2</w:t>
            </w:r>
            <w:r>
              <w:rPr>
                <w:rFonts w:hint="eastAsia" w:ascii="宋体" w:hAnsi="宋体" w:cs="宋体"/>
                <w:color w:val="auto"/>
                <w:sz w:val="24"/>
                <w:highlight w:val="none"/>
              </w:rPr>
              <w:t>分；获得过地质灾害防治相关市（局）级科学技术类奖项的，每个得</w:t>
            </w:r>
            <w:r>
              <w:rPr>
                <w:rFonts w:hint="eastAsia" w:ascii="宋体" w:hAnsi="宋体" w:cs="宋体"/>
                <w:color w:val="auto"/>
                <w:sz w:val="24"/>
                <w:highlight w:val="none"/>
              </w:rPr>
              <w:t>1</w:t>
            </w:r>
            <w:r>
              <w:rPr>
                <w:rFonts w:hint="eastAsia" w:ascii="宋体" w:hAnsi="宋体" w:cs="宋体"/>
                <w:color w:val="auto"/>
                <w:sz w:val="24"/>
                <w:highlight w:val="none"/>
              </w:rPr>
              <w:t>分；本项最高得2分。提供奖项证明资料扫描件加盖公章。</w:t>
            </w:r>
          </w:p>
        </w:tc>
        <w:tc>
          <w:tcPr>
            <w:tcW w:w="794" w:type="dxa"/>
            <w:vAlign w:val="center"/>
          </w:tcPr>
          <w:p>
            <w:pPr>
              <w:spacing w:line="240" w:lineRule="auto"/>
              <w:jc w:val="center"/>
              <w:rPr>
                <w:rFonts w:ascii="宋体" w:hAnsi="宋体" w:cs="宋体"/>
                <w:color w:val="auto"/>
                <w:sz w:val="24"/>
                <w:highlight w:val="none"/>
              </w:rPr>
            </w:pPr>
            <w:r>
              <w:rPr>
                <w:rFonts w:hint="eastAsia" w:ascii="宋体" w:hAnsi="宋体" w:cs="宋体"/>
                <w:color w:val="auto"/>
                <w:sz w:val="24"/>
                <w:highlight w:val="none"/>
              </w:rPr>
              <w:t>2</w:t>
            </w:r>
          </w:p>
        </w:tc>
      </w:tr>
    </w:tbl>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、所有文件、合同、证书、资质等需要真实有效。成交供应商在中标后签订合同时需提供以上证明文件原件，若发现资料作假的取消中标资格。</w:t>
      </w:r>
      <w:bookmarkStart w:id="84" w:name="_Toc8033"/>
      <w:bookmarkStart w:id="85" w:name="_Toc4517"/>
    </w:p>
    <w:p>
      <w:pPr>
        <w:spacing w:line="360" w:lineRule="auto"/>
        <w:rPr>
          <w:rFonts w:cs="宋体"/>
          <w:color w:val="auto"/>
          <w:sz w:val="36"/>
          <w:szCs w:val="36"/>
          <w:highlight w:val="none"/>
        </w:rPr>
      </w:pPr>
      <w:r>
        <w:rPr>
          <w:rFonts w:hint="eastAsia" w:cs="宋体"/>
          <w:color w:val="auto"/>
          <w:sz w:val="36"/>
          <w:szCs w:val="36"/>
          <w:highlight w:val="none"/>
        </w:rPr>
        <w:br w:type="page"/>
      </w:r>
    </w:p>
    <w:p>
      <w:pPr>
        <w:pStyle w:val="4"/>
        <w:jc w:val="center"/>
        <w:rPr>
          <w:rFonts w:ascii="宋体" w:cs="Times New Roman"/>
          <w:color w:val="auto"/>
          <w:highlight w:val="none"/>
        </w:rPr>
      </w:pPr>
      <w:bookmarkStart w:id="86" w:name="_Toc10034"/>
      <w:r>
        <w:rPr>
          <w:rFonts w:hint="eastAsia" w:cs="宋体"/>
          <w:color w:val="auto"/>
          <w:sz w:val="36"/>
          <w:szCs w:val="36"/>
          <w:highlight w:val="none"/>
        </w:rPr>
        <w:t>第五部分</w:t>
      </w:r>
      <w:r>
        <w:rPr>
          <w:color w:val="auto"/>
          <w:sz w:val="36"/>
          <w:szCs w:val="36"/>
          <w:highlight w:val="none"/>
        </w:rPr>
        <w:t xml:space="preserve"> </w:t>
      </w:r>
      <w:r>
        <w:rPr>
          <w:rFonts w:hint="eastAsia" w:cs="宋体"/>
          <w:color w:val="auto"/>
          <w:sz w:val="36"/>
          <w:szCs w:val="36"/>
          <w:highlight w:val="none"/>
        </w:rPr>
        <w:t>采购合同</w:t>
      </w:r>
      <w:bookmarkEnd w:id="84"/>
      <w:bookmarkEnd w:id="85"/>
      <w:bookmarkEnd w:id="86"/>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szCs w:val="24"/>
          <w:highlight w:val="none"/>
        </w:rPr>
        <w:t>　</w:t>
      </w:r>
      <w:r>
        <w:rPr>
          <w:rFonts w:hint="eastAsia" w:ascii="宋体" w:hAnsi="宋体" w:cs="宋体"/>
          <w:color w:val="auto"/>
          <w:kern w:val="0"/>
          <w:sz w:val="24"/>
          <w:highlight w:val="none"/>
        </w:rPr>
        <w:t>合同编号：（2022）第</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号</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签订日期：2022年</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日</w:t>
      </w:r>
    </w:p>
    <w:p>
      <w:pPr>
        <w:spacing w:line="360" w:lineRule="auto"/>
        <w:ind w:firstLine="480" w:firstLineChars="200"/>
        <w:rPr>
          <w:rFonts w:ascii="宋体" w:hAnsi="宋体" w:cs="宋体"/>
          <w:color w:val="auto"/>
          <w:sz w:val="28"/>
          <w:highlight w:val="none"/>
          <w:u w:val="single"/>
        </w:rPr>
      </w:pPr>
      <w:r>
        <w:rPr>
          <w:rFonts w:hint="eastAsia" w:ascii="宋体" w:hAnsi="宋体" w:cs="宋体"/>
          <w:color w:val="auto"/>
          <w:kern w:val="0"/>
          <w:sz w:val="24"/>
          <w:highlight w:val="none"/>
        </w:rPr>
        <w:t>　供方</w:t>
      </w:r>
      <w:r>
        <w:rPr>
          <w:rFonts w:hint="eastAsia" w:ascii="宋体" w:hAnsi="宋体" w:cs="宋体"/>
          <w:color w:val="auto"/>
          <w:sz w:val="28"/>
          <w:highlight w:val="none"/>
        </w:rPr>
        <w:t>：</w:t>
      </w:r>
      <w:r>
        <w:rPr>
          <w:rFonts w:hint="eastAsia" w:ascii="宋体" w:hAnsi="宋体" w:cs="宋体"/>
          <w:color w:val="auto"/>
          <w:sz w:val="28"/>
          <w:highlight w:val="none"/>
          <w:u w:val="single"/>
        </w:rPr>
        <w:t>　　　　　　　　　　　　　　　　　　　　　　　　　</w:t>
      </w:r>
    </w:p>
    <w:p>
      <w:pPr>
        <w:spacing w:line="360" w:lineRule="auto"/>
        <w:ind w:firstLine="720" w:firstLineChars="300"/>
        <w:jc w:val="left"/>
        <w:rPr>
          <w:rFonts w:ascii="宋体" w:hAnsi="宋体" w:cs="宋体"/>
          <w:color w:val="auto"/>
          <w:sz w:val="28"/>
          <w:highlight w:val="none"/>
          <w:u w:val="single"/>
        </w:rPr>
      </w:pPr>
      <w:r>
        <w:rPr>
          <w:rFonts w:hint="eastAsia" w:ascii="宋体" w:hAnsi="宋体" w:cs="宋体"/>
          <w:color w:val="auto"/>
          <w:kern w:val="0"/>
          <w:sz w:val="24"/>
          <w:highlight w:val="none"/>
        </w:rPr>
        <w:t>需方</w:t>
      </w:r>
      <w:r>
        <w:rPr>
          <w:rFonts w:hint="eastAsia" w:ascii="宋体" w:hAnsi="宋体" w:cs="宋体"/>
          <w:color w:val="auto"/>
          <w:sz w:val="28"/>
          <w:highlight w:val="none"/>
        </w:rPr>
        <w:t>：</w:t>
      </w:r>
      <w:r>
        <w:rPr>
          <w:rFonts w:hint="eastAsia" w:ascii="宋体" w:hAnsi="宋体" w:cs="宋体"/>
          <w:color w:val="auto"/>
          <w:sz w:val="28"/>
          <w:highlight w:val="none"/>
          <w:u w:val="single"/>
        </w:rPr>
        <w:t>　　　　　　　　　　　　　　　　　　　　　　　　　</w:t>
      </w:r>
    </w:p>
    <w:p>
      <w:pPr>
        <w:spacing w:line="360" w:lineRule="auto"/>
        <w:ind w:firstLine="480" w:firstLineChars="200"/>
        <w:jc w:val="left"/>
        <w:rPr>
          <w:rFonts w:ascii="宋体" w:hAnsi="宋体" w:cs="宋体"/>
          <w:b/>
          <w:bCs/>
          <w:color w:val="auto"/>
          <w:sz w:val="24"/>
          <w:szCs w:val="24"/>
          <w:highlight w:val="none"/>
        </w:rPr>
      </w:pPr>
      <w:r>
        <w:rPr>
          <w:rFonts w:hint="eastAsia" w:ascii="宋体" w:hAnsi="宋体" w:cs="宋体"/>
          <w:color w:val="auto"/>
          <w:kern w:val="0"/>
          <w:sz w:val="24"/>
          <w:szCs w:val="24"/>
          <w:highlight w:val="none"/>
        </w:rPr>
        <w:t>根据《中华人民共和国民法典》、政府采购编号为YK2022339招标文件、中标人响应文件的规定，经公开招标采购，签订本合同。</w:t>
      </w:r>
      <w:r>
        <w:rPr>
          <w:rFonts w:hint="eastAsia" w:ascii="宋体" w:hAnsi="宋体" w:cs="宋体"/>
          <w:b/>
          <w:bCs/>
          <w:color w:val="auto"/>
          <w:sz w:val="24"/>
          <w:szCs w:val="24"/>
          <w:highlight w:val="none"/>
        </w:rPr>
        <w:t xml:space="preserve"> </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一、项目概况</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认真贯彻落实国务院《地下水管理条例》，以区域地面沉降和城市地质安全风险防控为重点，启动地下水自动化监测井建设，建成2个自动化监测井，完善地下水监测网络，分类分级做好地下水监测站点监测、维护和管理，实现对地下水动态的有效监测，为优化配置、科学管理地下水资源，同时加强地下水水位动态与地面沉降相关性分析，增强地面沉降风险防控，服务城市建设和运行安全。</w:t>
      </w:r>
    </w:p>
    <w:p>
      <w:pP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二、</w:t>
      </w:r>
      <w:r>
        <w:rPr>
          <w:rFonts w:hint="eastAsia" w:ascii="宋体" w:hAnsi="宋体" w:cs="宋体"/>
          <w:b/>
          <w:bCs/>
          <w:color w:val="auto"/>
          <w:sz w:val="24"/>
          <w:szCs w:val="24"/>
          <w:highlight w:val="none"/>
        </w:rPr>
        <w:t>工作任务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新建</w:t>
      </w:r>
      <w:r>
        <w:rPr>
          <w:rFonts w:ascii="宋体" w:hAnsi="宋体" w:cs="宋体"/>
          <w:color w:val="auto"/>
          <w:sz w:val="24"/>
          <w:szCs w:val="24"/>
          <w:highlight w:val="none"/>
        </w:rPr>
        <w:t>2</w:t>
      </w:r>
      <w:r>
        <w:rPr>
          <w:rFonts w:hint="eastAsia" w:ascii="宋体" w:hAnsi="宋体" w:cs="宋体"/>
          <w:color w:val="auto"/>
          <w:sz w:val="24"/>
          <w:szCs w:val="24"/>
          <w:highlight w:val="none"/>
        </w:rPr>
        <w:t>个自动化监测井，完善地下水监测网络，分类分级做好地下水监测站点监测、维护和管理。</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三、项目主要执行标准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1、《地下水监测井建设规范》（DZ/T 2070-2014）；</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2、《水文水井地质钻探规程》（DZ/T 0148-2014）；</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3、《岩土工程勘察规范》（GB 50021-2001）（2</w:t>
      </w:r>
      <w:r>
        <w:rPr>
          <w:rFonts w:ascii="宋体" w:hAnsi="宋体" w:cs="宋体"/>
          <w:color w:val="auto"/>
          <w:sz w:val="24"/>
          <w:szCs w:val="24"/>
          <w:highlight w:val="none"/>
        </w:rPr>
        <w:t>009</w:t>
      </w:r>
      <w:r>
        <w:rPr>
          <w:rFonts w:hint="eastAsia" w:ascii="宋体" w:hAnsi="宋体" w:cs="宋体"/>
          <w:color w:val="auto"/>
          <w:sz w:val="24"/>
          <w:szCs w:val="24"/>
          <w:highlight w:val="none"/>
        </w:rPr>
        <w:t>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4、《管井技术规范》（GB50296-2014）；</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5、《水文地质手册》（第二版 2012）；</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6、《地质环境监测标识规定》；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7、《工程测量规范》（</w:t>
      </w:r>
      <w:r>
        <w:rPr>
          <w:rFonts w:ascii="宋体" w:hAnsi="宋体" w:cs="宋体"/>
          <w:color w:val="auto"/>
          <w:sz w:val="24"/>
          <w:szCs w:val="24"/>
          <w:highlight w:val="none"/>
        </w:rPr>
        <w:t>GB 50026-2007</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8、《国家三、四等水准测量规范》（GB</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12898-2009）；</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9</w:t>
      </w:r>
      <w:r>
        <w:rPr>
          <w:rFonts w:hint="eastAsia" w:ascii="宋体" w:hAnsi="宋体" w:cs="宋体"/>
          <w:color w:val="auto"/>
          <w:sz w:val="24"/>
          <w:szCs w:val="24"/>
          <w:highlight w:val="none"/>
        </w:rPr>
        <w:t>、《全球定位系统（GPS）测量规范》（GB/T</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18314-2009）；</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0</w:t>
      </w:r>
      <w:r>
        <w:rPr>
          <w:rFonts w:hint="eastAsia" w:ascii="宋体" w:hAnsi="宋体" w:cs="宋体"/>
          <w:color w:val="auto"/>
          <w:sz w:val="24"/>
          <w:szCs w:val="24"/>
          <w:highlight w:val="none"/>
        </w:rPr>
        <w:t>、《水文测井工作规范》（DZ/T 0181-1997）；</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、其他上级相关规范文件等。</w:t>
      </w:r>
    </w:p>
    <w:p>
      <w:pPr>
        <w:pStyle w:val="26"/>
        <w:ind w:firstLine="482" w:firstLineChars="200"/>
        <w:rPr>
          <w:b/>
          <w:bCs/>
          <w:color w:val="auto"/>
          <w:highlight w:val="none"/>
        </w:rPr>
      </w:pPr>
      <w:r>
        <w:rPr>
          <w:rFonts w:hint="eastAsia"/>
          <w:b/>
          <w:bCs/>
          <w:color w:val="auto"/>
          <w:highlight w:val="none"/>
        </w:rPr>
        <w:t>四、服务期限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要求在2022年</w:t>
      </w:r>
      <w:r>
        <w:rPr>
          <w:rFonts w:ascii="宋体" w:hAnsi="宋体" w:cs="宋体"/>
          <w:color w:val="auto"/>
          <w:sz w:val="24"/>
          <w:szCs w:val="24"/>
          <w:highlight w:val="none"/>
        </w:rPr>
        <w:t>1</w:t>
      </w:r>
      <w:r>
        <w:rPr>
          <w:rFonts w:hint="eastAsia" w:ascii="宋体" w:hAnsi="宋体" w:cs="宋体"/>
          <w:color w:val="auto"/>
          <w:sz w:val="24"/>
          <w:szCs w:val="24"/>
          <w:highlight w:val="none"/>
        </w:rPr>
        <w:t>1月底前完成并通过专家验收。</w:t>
      </w:r>
    </w:p>
    <w:p>
      <w:pPr>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五、付款方式</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（一）成交价：</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成交价为人民币（大写）：</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元（￥</w:t>
      </w:r>
      <w:r>
        <w:rPr>
          <w:rFonts w:hint="eastAsia" w:ascii="宋体" w:hAnsi="宋体" w:cs="宋体"/>
          <w:bCs/>
          <w:color w:val="auto"/>
          <w:sz w:val="24"/>
          <w:szCs w:val="24"/>
          <w:highlight w:val="none"/>
          <w:u w:val="single"/>
        </w:rPr>
        <w:t xml:space="preserve">       </w:t>
      </w:r>
      <w:r>
        <w:rPr>
          <w:rFonts w:hint="eastAsia" w:ascii="宋体" w:hAnsi="宋体" w:cs="宋体"/>
          <w:bCs/>
          <w:color w:val="auto"/>
          <w:sz w:val="24"/>
          <w:szCs w:val="24"/>
          <w:highlight w:val="none"/>
        </w:rPr>
        <w:t>元）。成交价包括但不限于人员的工资福利、员工五险费(养老保险、医疗保险、失业保险、工伤保险、生育保险)、管理费、税费、监测设备的采购安装费、质检费、专家费、人工成本费、管理费、办公用品、税费、调查项目竣工验收费和采购代理费等一切费用。凡乙方在报价中未列明但又为本次采购所必备的项目或遗漏项目，甲方将一律视为已包括在合同价中，在合同执行中将不予考虑。</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（二）本项目付款方式：</w:t>
      </w:r>
    </w:p>
    <w:p>
      <w:pPr>
        <w:spacing w:line="360" w:lineRule="auto"/>
        <w:ind w:firstLine="480" w:firstLineChars="200"/>
        <w:rPr>
          <w:rFonts w:ascii="宋体" w:hAnsi="宋体" w:cs="宋体"/>
          <w:bCs/>
          <w:color w:val="auto"/>
          <w:sz w:val="24"/>
          <w:szCs w:val="24"/>
          <w:highlight w:val="none"/>
        </w:rPr>
      </w:pPr>
      <w:r>
        <w:rPr>
          <w:rFonts w:hint="eastAsia" w:ascii="宋体" w:cs="宋体"/>
          <w:color w:val="auto"/>
          <w:kern w:val="0"/>
          <w:sz w:val="24"/>
          <w:highlight w:val="none"/>
          <w:lang w:val="zh-CN"/>
        </w:rPr>
        <w:t>在合同生效以及具备实施条件后7个工作日内预付合同款的40%，2022年11月底前完成监测井建设并通过验收后一次性支付尾款</w:t>
      </w:r>
      <w:r>
        <w:rPr>
          <w:rFonts w:hint="eastAsia" w:ascii="宋体" w:hAnsi="宋体" w:cs="宋体"/>
          <w:color w:val="auto"/>
          <w:sz w:val="24"/>
          <w:szCs w:val="24"/>
          <w:highlight w:val="none"/>
        </w:rPr>
        <w:t>。</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六、</w:t>
      </w:r>
      <w:r>
        <w:rPr>
          <w:rFonts w:hint="eastAsia" w:ascii="宋体" w:hAnsi="宋体" w:cs="宋体"/>
          <w:b/>
          <w:color w:val="auto"/>
          <w:kern w:val="0"/>
          <w:sz w:val="24"/>
          <w:szCs w:val="24"/>
          <w:highlight w:val="none"/>
          <w:lang w:val="zh-CN"/>
        </w:rPr>
        <w:t>违约责任</w:t>
      </w:r>
    </w:p>
    <w:p>
      <w:pPr>
        <w:autoSpaceDE w:val="0"/>
        <w:autoSpaceDN w:val="0"/>
        <w:adjustRightIn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1、在响应文件中明确的项目负责人、项目班子以及主要测量仪器和设备必须到位，否则视作违约，违约金按</w:t>
      </w:r>
      <w:r>
        <w:rPr>
          <w:rFonts w:hint="eastAsia" w:ascii="宋体" w:hAnsi="宋体" w:cs="宋体"/>
          <w:color w:val="auto"/>
          <w:kern w:val="0"/>
          <w:sz w:val="24"/>
          <w:szCs w:val="24"/>
          <w:highlight w:val="none"/>
        </w:rPr>
        <w:t>项目</w:t>
      </w:r>
      <w:r>
        <w:rPr>
          <w:rFonts w:hint="eastAsia" w:ascii="宋体" w:hAnsi="宋体" w:cs="宋体"/>
          <w:color w:val="auto"/>
          <w:kern w:val="0"/>
          <w:sz w:val="24"/>
          <w:szCs w:val="24"/>
          <w:highlight w:val="none"/>
          <w:lang w:val="zh-CN"/>
        </w:rPr>
        <w:t>总价5%计算。</w:t>
      </w:r>
    </w:p>
    <w:p>
      <w:pPr>
        <w:autoSpaceDE w:val="0"/>
        <w:autoSpaceDN w:val="0"/>
        <w:adjustRightIn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2、中标工期即为合同工期，如乙方无正当理由不能在合同工期前完成</w:t>
      </w:r>
      <w:r>
        <w:rPr>
          <w:rFonts w:hint="eastAsia" w:ascii="宋体" w:hAnsi="宋体" w:cs="宋体"/>
          <w:color w:val="auto"/>
          <w:kern w:val="0"/>
          <w:sz w:val="24"/>
          <w:szCs w:val="24"/>
          <w:highlight w:val="none"/>
        </w:rPr>
        <w:t>项目</w:t>
      </w:r>
      <w:r>
        <w:rPr>
          <w:rFonts w:hint="eastAsia" w:ascii="宋体" w:hAnsi="宋体" w:cs="宋体"/>
          <w:color w:val="auto"/>
          <w:kern w:val="0"/>
          <w:sz w:val="24"/>
          <w:szCs w:val="24"/>
          <w:highlight w:val="none"/>
          <w:lang w:val="zh-CN"/>
        </w:rPr>
        <w:t xml:space="preserve">任务的，违约金每天按总价的0.5‰ </w:t>
      </w:r>
    </w:p>
    <w:p>
      <w:pPr>
        <w:autoSpaceDE w:val="0"/>
        <w:autoSpaceDN w:val="0"/>
        <w:adjustRightIn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3、</w:t>
      </w:r>
      <w:r>
        <w:rPr>
          <w:rFonts w:hint="eastAsia" w:ascii="宋体" w:hAnsi="宋体" w:cs="宋体"/>
          <w:color w:val="auto"/>
          <w:kern w:val="0"/>
          <w:sz w:val="24"/>
          <w:szCs w:val="24"/>
          <w:highlight w:val="none"/>
        </w:rPr>
        <w:t>本</w:t>
      </w:r>
      <w:r>
        <w:rPr>
          <w:rFonts w:hint="eastAsia" w:ascii="宋体" w:hAnsi="宋体" w:cs="宋体"/>
          <w:color w:val="auto"/>
          <w:kern w:val="0"/>
          <w:sz w:val="24"/>
          <w:szCs w:val="24"/>
          <w:highlight w:val="none"/>
          <w:lang w:val="zh-CN"/>
        </w:rPr>
        <w:t>项目严禁转包，依法分包须经甲方确认并同意。</w:t>
      </w:r>
    </w:p>
    <w:p>
      <w:pPr>
        <w:autoSpaceDE w:val="0"/>
        <w:autoSpaceDN w:val="0"/>
        <w:adjustRightInd w:val="0"/>
        <w:spacing w:line="360" w:lineRule="auto"/>
        <w:ind w:firstLine="480" w:firstLineChars="200"/>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4、</w:t>
      </w:r>
      <w:r>
        <w:rPr>
          <w:rFonts w:hint="eastAsia" w:ascii="宋体" w:hAnsi="宋体" w:cs="宋体"/>
          <w:color w:val="auto"/>
          <w:kern w:val="0"/>
          <w:sz w:val="24"/>
          <w:szCs w:val="24"/>
          <w:highlight w:val="none"/>
        </w:rPr>
        <w:t>项目</w:t>
      </w:r>
      <w:r>
        <w:rPr>
          <w:rFonts w:hint="eastAsia" w:ascii="宋体" w:hAnsi="宋体" w:cs="宋体"/>
          <w:color w:val="auto"/>
          <w:kern w:val="0"/>
          <w:sz w:val="24"/>
          <w:szCs w:val="24"/>
          <w:highlight w:val="none"/>
          <w:lang w:val="zh-CN"/>
        </w:rPr>
        <w:t>完成后，</w:t>
      </w:r>
      <w:r>
        <w:rPr>
          <w:rFonts w:hint="eastAsia" w:ascii="宋体" w:hAnsi="宋体" w:cs="宋体"/>
          <w:color w:val="auto"/>
          <w:kern w:val="0"/>
          <w:sz w:val="24"/>
          <w:szCs w:val="24"/>
          <w:highlight w:val="none"/>
        </w:rPr>
        <w:t>调查</w:t>
      </w:r>
      <w:r>
        <w:rPr>
          <w:rFonts w:hint="eastAsia" w:ascii="宋体" w:hAnsi="宋体" w:cs="宋体"/>
          <w:color w:val="auto"/>
          <w:kern w:val="0"/>
          <w:sz w:val="24"/>
          <w:szCs w:val="24"/>
          <w:highlight w:val="none"/>
          <w:lang w:val="zh-CN"/>
        </w:rPr>
        <w:t>成果经</w:t>
      </w:r>
      <w:r>
        <w:rPr>
          <w:rFonts w:hint="eastAsia" w:ascii="宋体" w:hAnsi="宋体" w:cs="宋体"/>
          <w:color w:val="auto"/>
          <w:kern w:val="0"/>
          <w:sz w:val="24"/>
          <w:szCs w:val="24"/>
          <w:highlight w:val="none"/>
        </w:rPr>
        <w:t>专家验收不</w:t>
      </w:r>
      <w:r>
        <w:rPr>
          <w:rFonts w:hint="eastAsia" w:ascii="宋体" w:hAnsi="宋体" w:cs="宋体"/>
          <w:color w:val="auto"/>
          <w:kern w:val="0"/>
          <w:sz w:val="24"/>
          <w:szCs w:val="24"/>
          <w:highlight w:val="none"/>
          <w:lang w:val="zh-CN"/>
        </w:rPr>
        <w:t>合格，处罚违约金按</w:t>
      </w:r>
      <w:r>
        <w:rPr>
          <w:rFonts w:hint="eastAsia" w:ascii="宋体" w:hAnsi="宋体" w:cs="宋体"/>
          <w:color w:val="auto"/>
          <w:kern w:val="0"/>
          <w:sz w:val="24"/>
          <w:szCs w:val="24"/>
          <w:highlight w:val="none"/>
        </w:rPr>
        <w:t>项目</w:t>
      </w:r>
      <w:r>
        <w:rPr>
          <w:rFonts w:hint="eastAsia" w:ascii="宋体" w:hAnsi="宋体" w:cs="宋体"/>
          <w:color w:val="auto"/>
          <w:kern w:val="0"/>
          <w:sz w:val="24"/>
          <w:szCs w:val="24"/>
          <w:highlight w:val="none"/>
          <w:lang w:val="zh-CN"/>
        </w:rPr>
        <w:t>总价的20%计算。</w:t>
      </w:r>
      <w:r>
        <w:rPr>
          <w:rFonts w:hint="eastAsia" w:ascii="宋体" w:hAnsi="宋体" w:cs="宋体"/>
          <w:color w:val="auto"/>
          <w:kern w:val="0"/>
          <w:sz w:val="24"/>
          <w:szCs w:val="24"/>
          <w:highlight w:val="none"/>
        </w:rPr>
        <w:t>二次</w:t>
      </w:r>
      <w:r>
        <w:rPr>
          <w:rFonts w:hint="eastAsia" w:ascii="宋体" w:hAnsi="宋体" w:cs="宋体"/>
          <w:color w:val="auto"/>
          <w:kern w:val="0"/>
          <w:sz w:val="24"/>
          <w:szCs w:val="24"/>
          <w:highlight w:val="none"/>
          <w:lang w:val="zh-CN"/>
        </w:rPr>
        <w:t>验收不合格，甲方拒付</w:t>
      </w:r>
      <w:r>
        <w:rPr>
          <w:rFonts w:hint="eastAsia" w:ascii="宋体" w:hAnsi="宋体" w:cs="宋体"/>
          <w:color w:val="auto"/>
          <w:kern w:val="0"/>
          <w:sz w:val="24"/>
          <w:szCs w:val="24"/>
          <w:highlight w:val="none"/>
        </w:rPr>
        <w:t>项目</w:t>
      </w:r>
      <w:r>
        <w:rPr>
          <w:rFonts w:hint="eastAsia" w:ascii="宋体" w:hAnsi="宋体" w:cs="宋体"/>
          <w:color w:val="auto"/>
          <w:kern w:val="0"/>
          <w:sz w:val="24"/>
          <w:szCs w:val="24"/>
          <w:highlight w:val="none"/>
          <w:lang w:val="zh-CN"/>
        </w:rPr>
        <w:t>余款。</w:t>
      </w:r>
    </w:p>
    <w:p>
      <w:pPr>
        <w:spacing w:line="360" w:lineRule="auto"/>
        <w:ind w:firstLine="480" w:firstLineChars="200"/>
        <w:rPr>
          <w:rFonts w:ascii="宋体" w:hAnsi="宋体" w:cs="宋体"/>
          <w:bCs/>
          <w:color w:val="auto"/>
          <w:sz w:val="24"/>
          <w:szCs w:val="24"/>
          <w:highlight w:val="none"/>
        </w:rPr>
      </w:pPr>
      <w:r>
        <w:rPr>
          <w:rFonts w:hint="eastAsia" w:ascii="宋体" w:hAnsi="宋体" w:cs="宋体"/>
          <w:color w:val="auto"/>
          <w:kern w:val="0"/>
          <w:sz w:val="24"/>
          <w:szCs w:val="24"/>
          <w:highlight w:val="none"/>
        </w:rPr>
        <w:t>5</w:t>
      </w:r>
      <w:r>
        <w:rPr>
          <w:rFonts w:hint="eastAsia" w:ascii="宋体" w:hAnsi="宋体" w:cs="宋体"/>
          <w:color w:val="auto"/>
          <w:kern w:val="0"/>
          <w:sz w:val="24"/>
          <w:szCs w:val="24"/>
          <w:highlight w:val="none"/>
          <w:lang w:val="zh-CN"/>
        </w:rPr>
        <w:t>、对甲方提供的图纸、技术资料和档案资料和属于甲方的调查成果，乙方有义务保密，不得向第三方转让，否则，甲方有权对因此造成的损失追究乙方责任</w:t>
      </w:r>
      <w:r>
        <w:rPr>
          <w:rFonts w:hint="eastAsia" w:ascii="宋体" w:hAnsi="宋体" w:cs="宋体"/>
          <w:bCs/>
          <w:color w:val="auto"/>
          <w:sz w:val="24"/>
          <w:szCs w:val="24"/>
          <w:highlight w:val="none"/>
        </w:rPr>
        <w:t>。</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七、</w:t>
      </w:r>
    </w:p>
    <w:p>
      <w:pPr>
        <w:numPr>
          <w:ilvl w:val="0"/>
          <w:numId w:val="20"/>
        </w:num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本合同执行过程中的未尽事宜，双方应本着实事求是友好协商的态度加以解决。双方协商一致的，签订补充协议。补充协议与本合同具有同等效力。</w:t>
      </w:r>
    </w:p>
    <w:p>
      <w:pPr>
        <w:numPr>
          <w:ilvl w:val="0"/>
          <w:numId w:val="20"/>
        </w:num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本项目货物如涉及柴油动力移动源，柴油动力移动源应当符合低排放要求。</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八、</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1、由于不可抗力，致使合同无法履行时，双方应按有关法律规定及时协商处理。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因合同执行过程中双方发生纠纷，可由双方协商解决或由双方主管部门调解，若达不成协议，双方同意就本合同产生的纠纷向仲裁委员会申请仲裁。当事人双方不在合同中约定仲裁机构的，事后又没有达成书面仲裁协议的，可向有管辖权的人民法院起诉。</w:t>
      </w:r>
    </w:p>
    <w:p>
      <w:pPr>
        <w:spacing w:line="360" w:lineRule="auto"/>
        <w:ind w:left="480"/>
        <w:rPr>
          <w:rFonts w:ascii="宋体" w:hAnsi="宋体" w:cs="宋体"/>
          <w:b/>
          <w:bCs/>
          <w:color w:val="auto"/>
          <w:sz w:val="24"/>
          <w:szCs w:val="24"/>
          <w:highlight w:val="none"/>
        </w:rPr>
      </w:pPr>
      <w:r>
        <w:rPr>
          <w:rFonts w:hint="eastAsia" w:ascii="宋体" w:hAnsi="宋体" w:cs="宋体"/>
          <w:b/>
          <w:bCs/>
          <w:color w:val="auto"/>
          <w:sz w:val="24"/>
          <w:szCs w:val="24"/>
          <w:highlight w:val="none"/>
        </w:rPr>
        <w:t>九、附则</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 xml:space="preserve">    1、本合同由双方代表签字，加盖双方公章或合同专用章即生效。项目全部完成并将所有资料交接甲方后，本合同终止。</w:t>
      </w:r>
    </w:p>
    <w:p>
      <w:pPr>
        <w:spacing w:line="360" w:lineRule="auto"/>
        <w:ind w:left="240" w:hanging="240" w:hangingChars="100"/>
        <w:rPr>
          <w:rFonts w:ascii="宋体" w:hAnsi="宋体" w:cs="宋体"/>
          <w:b/>
          <w:bCs/>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bCs/>
          <w:color w:val="auto"/>
          <w:sz w:val="24"/>
          <w:szCs w:val="24"/>
          <w:highlight w:val="none"/>
        </w:rPr>
        <w:t xml:space="preserve">  2、本</w:t>
      </w:r>
      <w:r>
        <w:rPr>
          <w:rFonts w:hint="eastAsia" w:ascii="宋体" w:hAnsi="宋体" w:cs="宋体"/>
          <w:b/>
          <w:color w:val="auto"/>
          <w:sz w:val="24"/>
          <w:szCs w:val="24"/>
          <w:highlight w:val="none"/>
        </w:rPr>
        <w:t>合同一式</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份，甲方和乙方各执</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份，乙方抄送区公共资源交易中心</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备案。</w:t>
      </w:r>
    </w:p>
    <w:tbl>
      <w:tblPr>
        <w:tblStyle w:val="27"/>
        <w:tblW w:w="819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2368"/>
        <w:gridCol w:w="1640"/>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甲方单位</w:t>
            </w:r>
          </w:p>
        </w:tc>
        <w:tc>
          <w:tcPr>
            <w:tcW w:w="2368"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（盖章）</w:t>
            </w:r>
          </w:p>
        </w:tc>
        <w:tc>
          <w:tcPr>
            <w:tcW w:w="1640"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乙方单位</w:t>
            </w:r>
          </w:p>
        </w:tc>
        <w:tc>
          <w:tcPr>
            <w:tcW w:w="2733"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代表签名</w:t>
            </w:r>
          </w:p>
        </w:tc>
        <w:tc>
          <w:tcPr>
            <w:tcW w:w="2368" w:type="dxa"/>
            <w:vAlign w:val="center"/>
          </w:tcPr>
          <w:p>
            <w:pPr>
              <w:snapToGrid w:val="0"/>
              <w:spacing w:line="360" w:lineRule="auto"/>
              <w:jc w:val="center"/>
              <w:rPr>
                <w:rFonts w:ascii="宋体" w:hAnsi="宋体" w:cs="宋体"/>
                <w:color w:val="auto"/>
                <w:sz w:val="24"/>
                <w:szCs w:val="24"/>
                <w:highlight w:val="none"/>
              </w:rPr>
            </w:pPr>
          </w:p>
        </w:tc>
        <w:tc>
          <w:tcPr>
            <w:tcW w:w="1640"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代表签名</w:t>
            </w:r>
          </w:p>
        </w:tc>
        <w:tc>
          <w:tcPr>
            <w:tcW w:w="2733" w:type="dxa"/>
            <w:vAlign w:val="center"/>
          </w:tcPr>
          <w:p>
            <w:pPr>
              <w:snapToGrid w:val="0"/>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地址</w:t>
            </w:r>
          </w:p>
        </w:tc>
        <w:tc>
          <w:tcPr>
            <w:tcW w:w="2368" w:type="dxa"/>
            <w:vAlign w:val="center"/>
          </w:tcPr>
          <w:p>
            <w:pPr>
              <w:snapToGrid w:val="0"/>
              <w:spacing w:line="360" w:lineRule="auto"/>
              <w:jc w:val="center"/>
              <w:rPr>
                <w:rFonts w:ascii="宋体" w:hAnsi="宋体" w:cs="宋体"/>
                <w:color w:val="auto"/>
                <w:sz w:val="24"/>
                <w:szCs w:val="24"/>
                <w:highlight w:val="none"/>
              </w:rPr>
            </w:pPr>
          </w:p>
        </w:tc>
        <w:tc>
          <w:tcPr>
            <w:tcW w:w="1640"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地址</w:t>
            </w:r>
          </w:p>
        </w:tc>
        <w:tc>
          <w:tcPr>
            <w:tcW w:w="2733" w:type="dxa"/>
            <w:vAlign w:val="center"/>
          </w:tcPr>
          <w:p>
            <w:pPr>
              <w:snapToGrid w:val="0"/>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电话</w:t>
            </w:r>
          </w:p>
        </w:tc>
        <w:tc>
          <w:tcPr>
            <w:tcW w:w="2368" w:type="dxa"/>
            <w:vAlign w:val="center"/>
          </w:tcPr>
          <w:p>
            <w:pPr>
              <w:snapToGrid w:val="0"/>
              <w:spacing w:line="360" w:lineRule="auto"/>
              <w:jc w:val="center"/>
              <w:rPr>
                <w:rFonts w:ascii="宋体" w:hAnsi="宋体" w:cs="宋体"/>
                <w:color w:val="auto"/>
                <w:sz w:val="24"/>
                <w:szCs w:val="24"/>
                <w:highlight w:val="none"/>
              </w:rPr>
            </w:pPr>
          </w:p>
        </w:tc>
        <w:tc>
          <w:tcPr>
            <w:tcW w:w="1640"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电话</w:t>
            </w:r>
          </w:p>
        </w:tc>
        <w:tc>
          <w:tcPr>
            <w:tcW w:w="2733" w:type="dxa"/>
            <w:vAlign w:val="center"/>
          </w:tcPr>
          <w:p>
            <w:pPr>
              <w:snapToGrid w:val="0"/>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457"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开户银行</w:t>
            </w:r>
          </w:p>
        </w:tc>
        <w:tc>
          <w:tcPr>
            <w:tcW w:w="2368" w:type="dxa"/>
            <w:vAlign w:val="center"/>
          </w:tcPr>
          <w:p>
            <w:pPr>
              <w:snapToGrid w:val="0"/>
              <w:spacing w:line="360" w:lineRule="auto"/>
              <w:jc w:val="center"/>
              <w:rPr>
                <w:rFonts w:ascii="宋体" w:hAnsi="宋体" w:cs="宋体"/>
                <w:color w:val="auto"/>
                <w:sz w:val="24"/>
                <w:szCs w:val="24"/>
                <w:highlight w:val="none"/>
              </w:rPr>
            </w:pPr>
          </w:p>
        </w:tc>
        <w:tc>
          <w:tcPr>
            <w:tcW w:w="1640"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开户银行</w:t>
            </w:r>
          </w:p>
        </w:tc>
        <w:tc>
          <w:tcPr>
            <w:tcW w:w="2733" w:type="dxa"/>
            <w:vAlign w:val="center"/>
          </w:tcPr>
          <w:p>
            <w:pPr>
              <w:snapToGrid w:val="0"/>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457"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帐号</w:t>
            </w:r>
          </w:p>
        </w:tc>
        <w:tc>
          <w:tcPr>
            <w:tcW w:w="2368" w:type="dxa"/>
            <w:vAlign w:val="center"/>
          </w:tcPr>
          <w:p>
            <w:pPr>
              <w:snapToGrid w:val="0"/>
              <w:spacing w:line="360" w:lineRule="auto"/>
              <w:jc w:val="center"/>
              <w:rPr>
                <w:rFonts w:ascii="宋体" w:hAnsi="宋体" w:cs="宋体"/>
                <w:color w:val="auto"/>
                <w:sz w:val="24"/>
                <w:szCs w:val="24"/>
                <w:highlight w:val="none"/>
              </w:rPr>
            </w:pPr>
          </w:p>
        </w:tc>
        <w:tc>
          <w:tcPr>
            <w:tcW w:w="1640" w:type="dxa"/>
            <w:vAlign w:val="center"/>
          </w:tcPr>
          <w:p>
            <w:pPr>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帐号</w:t>
            </w:r>
          </w:p>
        </w:tc>
        <w:tc>
          <w:tcPr>
            <w:tcW w:w="2733" w:type="dxa"/>
            <w:vAlign w:val="center"/>
          </w:tcPr>
          <w:p>
            <w:pPr>
              <w:snapToGrid w:val="0"/>
              <w:spacing w:line="360" w:lineRule="auto"/>
              <w:jc w:val="center"/>
              <w:rPr>
                <w:rFonts w:ascii="宋体" w:hAnsi="宋体" w:cs="宋体"/>
                <w:color w:val="auto"/>
                <w:sz w:val="24"/>
                <w:szCs w:val="24"/>
                <w:highlight w:val="none"/>
              </w:rPr>
            </w:pPr>
          </w:p>
        </w:tc>
      </w:tr>
    </w:tbl>
    <w:p>
      <w:pPr>
        <w:rPr>
          <w:rFonts w:cs="宋体"/>
          <w:color w:val="auto"/>
          <w:sz w:val="36"/>
          <w:szCs w:val="36"/>
          <w:highlight w:val="none"/>
        </w:rPr>
      </w:pPr>
      <w:bookmarkStart w:id="87" w:name="_Toc4669"/>
      <w:bookmarkStart w:id="88" w:name="_Toc7690"/>
      <w:r>
        <w:rPr>
          <w:rFonts w:hint="eastAsia" w:cs="宋体"/>
          <w:color w:val="auto"/>
          <w:sz w:val="36"/>
          <w:szCs w:val="36"/>
          <w:highlight w:val="none"/>
        </w:rPr>
        <w:br w:type="page"/>
      </w:r>
    </w:p>
    <w:p>
      <w:pPr>
        <w:pStyle w:val="4"/>
        <w:jc w:val="center"/>
        <w:rPr>
          <w:rFonts w:cs="Times New Roman"/>
          <w:color w:val="auto"/>
          <w:sz w:val="36"/>
          <w:szCs w:val="36"/>
          <w:highlight w:val="none"/>
        </w:rPr>
      </w:pPr>
      <w:bookmarkStart w:id="89" w:name="_Toc17144"/>
      <w:r>
        <w:rPr>
          <w:rFonts w:hint="eastAsia" w:cs="宋体"/>
          <w:color w:val="auto"/>
          <w:sz w:val="36"/>
          <w:szCs w:val="36"/>
          <w:highlight w:val="none"/>
        </w:rPr>
        <w:t>第六部分</w:t>
      </w:r>
      <w:r>
        <w:rPr>
          <w:color w:val="auto"/>
          <w:sz w:val="36"/>
          <w:szCs w:val="36"/>
          <w:highlight w:val="none"/>
        </w:rPr>
        <w:t xml:space="preserve"> </w:t>
      </w:r>
      <w:r>
        <w:rPr>
          <w:rFonts w:hint="eastAsia" w:cs="宋体"/>
          <w:color w:val="auto"/>
          <w:sz w:val="36"/>
          <w:szCs w:val="36"/>
          <w:highlight w:val="none"/>
        </w:rPr>
        <w:t>应提交的有关格式范例</w:t>
      </w:r>
      <w:bookmarkEnd w:id="87"/>
      <w:bookmarkEnd w:id="88"/>
      <w:bookmarkEnd w:id="89"/>
    </w:p>
    <w:p>
      <w:pPr>
        <w:rPr>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供应商按照以下格式编制响应文件，</w:t>
      </w:r>
      <w:r>
        <w:rPr>
          <w:rFonts w:hint="eastAsia" w:ascii="宋体" w:hAnsi="宋体" w:cs="宋体"/>
          <w:b/>
          <w:bCs/>
          <w:color w:val="auto"/>
          <w:sz w:val="24"/>
          <w:szCs w:val="24"/>
          <w:highlight w:val="none"/>
        </w:rPr>
        <w:t>“资格文件”、“商务技术文件”、“报价文件”须分</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个</w:t>
      </w:r>
      <w:r>
        <w:rPr>
          <w:rFonts w:ascii="宋体" w:hAnsi="宋体" w:cs="宋体"/>
          <w:b/>
          <w:bCs/>
          <w:color w:val="auto"/>
          <w:sz w:val="24"/>
          <w:szCs w:val="24"/>
          <w:highlight w:val="none"/>
        </w:rPr>
        <w:t>PDF</w:t>
      </w:r>
      <w:r>
        <w:rPr>
          <w:rFonts w:hint="eastAsia" w:ascii="宋体" w:hAnsi="宋体" w:cs="宋体"/>
          <w:b/>
          <w:bCs/>
          <w:color w:val="auto"/>
          <w:sz w:val="24"/>
          <w:szCs w:val="24"/>
          <w:highlight w:val="none"/>
        </w:rPr>
        <w:t>格式分别导入。</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color w:val="auto"/>
          <w:kern w:val="0"/>
          <w:sz w:val="36"/>
          <w:szCs w:val="36"/>
          <w:highlight w:val="none"/>
        </w:rPr>
      </w:pPr>
      <w:r>
        <w:rPr>
          <w:rFonts w:ascii="宋体"/>
          <w:b/>
          <w:bCs/>
          <w:color w:val="auto"/>
          <w:sz w:val="24"/>
          <w:szCs w:val="24"/>
          <w:highlight w:val="none"/>
        </w:rPr>
        <w:br w:type="page"/>
      </w:r>
      <w:r>
        <w:rPr>
          <w:rFonts w:hint="eastAsia" w:ascii="宋体" w:hAnsi="宋体" w:cs="宋体"/>
          <w:b/>
          <w:bCs/>
          <w:color w:val="auto"/>
          <w:kern w:val="0"/>
          <w:sz w:val="36"/>
          <w:szCs w:val="36"/>
          <w:highlight w:val="none"/>
        </w:rPr>
        <w:t>资格文件部分</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spacing w:line="360" w:lineRule="auto"/>
        <w:ind w:left="420" w:leftChars="20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）法定代表人授权书（格式见附件）；如法定代表人直接参加投标并对相应文件签字的（签字是指线下签字扫描后上传或者线上进行电子签章），只需提供其身份证复印件，否则则应提供授权代表身份证复印件；</w:t>
      </w:r>
    </w:p>
    <w:p>
      <w:pPr>
        <w:spacing w:line="360" w:lineRule="auto"/>
        <w:ind w:left="420" w:leftChars="20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left="420" w:leftChars="20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left="420" w:leftChars="200"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（3）具有履行合同所必需的产品和专业技术能力的承诺函；</w:t>
      </w:r>
    </w:p>
    <w:p>
      <w:pPr>
        <w:spacing w:line="360" w:lineRule="auto"/>
        <w:ind w:left="420" w:leftChars="200"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（4）投标人承诺函（格式见附件）；</w:t>
      </w:r>
    </w:p>
    <w:p>
      <w:pPr>
        <w:spacing w:line="360" w:lineRule="auto"/>
        <w:ind w:left="420" w:leftChars="200"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（5）中小企业声明函（格式见附件）；</w:t>
      </w:r>
    </w:p>
    <w:p>
      <w:pPr>
        <w:spacing w:line="360" w:lineRule="auto"/>
        <w:ind w:left="420" w:leftChars="200"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（6）残疾人福利性单位声明函(如有)（格式见附件）；</w:t>
      </w:r>
    </w:p>
    <w:p>
      <w:pPr>
        <w:spacing w:line="360" w:lineRule="auto"/>
        <w:ind w:left="420" w:leftChars="200"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（7）监狱企业证明文件(如有)（格式见附件）；</w:t>
      </w:r>
    </w:p>
    <w:p>
      <w:pPr>
        <w:spacing w:line="360" w:lineRule="auto"/>
        <w:ind w:left="420" w:leftChars="200"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（8）提供地质灾害防治勘查甲级资质资质证书扫描件加盖公章。</w:t>
      </w:r>
    </w:p>
    <w:p>
      <w:pPr>
        <w:pStyle w:val="13"/>
        <w:ind w:firstLine="0"/>
        <w:rPr>
          <w:rFonts w:cs="Times New Roman"/>
          <w:color w:val="auto"/>
          <w:highlight w:val="none"/>
        </w:rPr>
      </w:pPr>
    </w:p>
    <w:p>
      <w:pPr>
        <w:rPr>
          <w:rFonts w:ascii="宋体"/>
          <w:color w:val="auto"/>
          <w:highlight w:val="none"/>
        </w:rPr>
      </w:pPr>
      <w:r>
        <w:rPr>
          <w:rFonts w:ascii="宋体"/>
          <w:color w:val="auto"/>
          <w:highlight w:val="none"/>
        </w:rPr>
        <w:br w:type="page"/>
      </w:r>
      <w:bookmarkStart w:id="90" w:name="_Toc24699"/>
    </w:p>
    <w:p>
      <w:pPr>
        <w:rPr>
          <w:b/>
          <w:bCs/>
          <w:color w:val="auto"/>
          <w:highlight w:val="none"/>
        </w:rPr>
      </w:pPr>
      <w:r>
        <w:rPr>
          <w:rFonts w:hint="eastAsia" w:cs="宋体"/>
          <w:b/>
          <w:bCs/>
          <w:color w:val="auto"/>
          <w:highlight w:val="none"/>
        </w:rPr>
        <w:t>附件一：</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法定代表人授权书</w:t>
      </w:r>
      <w:bookmarkEnd w:id="90"/>
    </w:p>
    <w:p>
      <w:pPr>
        <w:pStyle w:val="3"/>
        <w:spacing w:line="360" w:lineRule="auto"/>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绍兴市自然资源和规划局上虞分局：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（供应商全称）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法定代表人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（授权代表名称）</w:t>
      </w:r>
      <w:r>
        <w:rPr>
          <w:rFonts w:hint="eastAsia" w:ascii="宋体" w:hAnsi="宋体" w:cs="宋体"/>
          <w:color w:val="auto"/>
          <w:sz w:val="24"/>
          <w:szCs w:val="24"/>
          <w:highlight w:val="none"/>
        </w:rPr>
        <w:t>为授权代表，参加贵处组织的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w:t>
      </w:r>
      <w:r>
        <w:rPr>
          <w:rFonts w:hint="eastAsia" w:ascii="宋体" w:hAnsi="宋体" w:cs="宋体"/>
          <w:color w:val="auto"/>
          <w:sz w:val="24"/>
          <w:szCs w:val="24"/>
          <w:highlight w:val="none"/>
          <w:u w:val="single"/>
        </w:rPr>
        <w:t>（括号内填写招标编号）</w:t>
      </w:r>
      <w:r>
        <w:rPr>
          <w:rFonts w:hint="eastAsia" w:ascii="宋体" w:hAnsi="宋体" w:cs="宋体"/>
          <w:color w:val="auto"/>
          <w:sz w:val="24"/>
          <w:szCs w:val="24"/>
          <w:highlight w:val="none"/>
        </w:rPr>
        <w:t>，授权处理招投标活动中的一切事宜。</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供应商全称：（盖章）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授权代表姓名：</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职务：</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详细通讯地址：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电话：</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邮政编码：</w:t>
      </w:r>
    </w:p>
    <w:p>
      <w:pPr>
        <w:pStyle w:val="15"/>
        <w:snapToGrid w:val="0"/>
        <w:spacing w:line="360" w:lineRule="auto"/>
        <w:rPr>
          <w:rFonts w:hAnsi="宋体" w:cs="Times New Roman"/>
          <w:color w:val="auto"/>
          <w:sz w:val="24"/>
          <w:szCs w:val="24"/>
          <w:highlight w:val="none"/>
        </w:rPr>
      </w:pPr>
    </w:p>
    <w:p>
      <w:pPr>
        <w:pStyle w:val="15"/>
        <w:snapToGrid w:val="0"/>
        <w:spacing w:line="360" w:lineRule="auto"/>
        <w:rPr>
          <w:rFonts w:hAnsi="宋体" w:cs="Times New Roman"/>
          <w:color w:val="auto"/>
          <w:sz w:val="24"/>
          <w:szCs w:val="24"/>
          <w:highlight w:val="none"/>
        </w:rPr>
      </w:pPr>
    </w:p>
    <w:p>
      <w:pPr>
        <w:pStyle w:val="15"/>
        <w:snapToGrid w:val="0"/>
        <w:spacing w:line="360" w:lineRule="auto"/>
        <w:rPr>
          <w:rFonts w:hAnsi="宋体" w:cs="Times New Roman"/>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附：授权代表身份证复印件（正反面）</w:t>
      </w:r>
    </w:p>
    <w:p>
      <w:pPr>
        <w:spacing w:line="360" w:lineRule="auto"/>
        <w:rPr>
          <w:rFonts w:ascii="宋体"/>
          <w:b/>
          <w:bCs/>
          <w:color w:val="auto"/>
          <w:sz w:val="24"/>
          <w:szCs w:val="24"/>
          <w:highlight w:val="none"/>
        </w:rPr>
      </w:pPr>
    </w:p>
    <w:p>
      <w:pPr>
        <w:pStyle w:val="13"/>
        <w:ind w:firstLine="486"/>
        <w:rPr>
          <w:rFonts w:cs="Times New Roman"/>
          <w:color w:val="auto"/>
          <w:highlight w:val="none"/>
        </w:rPr>
      </w:pPr>
    </w:p>
    <w:p>
      <w:pPr>
        <w:snapToGrid w:val="0"/>
        <w:spacing w:before="50" w:after="156" w:afterLines="50"/>
        <w:jc w:val="left"/>
        <w:rPr>
          <w:rFonts w:ascii="宋体"/>
          <w:b/>
          <w:bCs/>
          <w:color w:val="auto"/>
          <w:sz w:val="24"/>
          <w:szCs w:val="24"/>
          <w:highlight w:val="none"/>
          <w:lang w:val="zh-CN"/>
        </w:rPr>
      </w:pPr>
      <w:r>
        <w:rPr>
          <w:rFonts w:ascii="宋体"/>
          <w:b/>
          <w:bCs/>
          <w:color w:val="auto"/>
          <w:sz w:val="24"/>
          <w:szCs w:val="24"/>
          <w:highlight w:val="none"/>
        </w:rPr>
        <w:br w:type="page"/>
      </w:r>
      <w:r>
        <w:rPr>
          <w:rFonts w:hint="eastAsia" w:ascii="宋体" w:hAnsi="宋体" w:cs="宋体"/>
          <w:b/>
          <w:bCs/>
          <w:color w:val="auto"/>
          <w:sz w:val="24"/>
          <w:szCs w:val="24"/>
          <w:highlight w:val="none"/>
          <w:lang w:val="zh-CN"/>
        </w:rPr>
        <w:t>附件二：</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 标 人 承 诺 函</w:t>
      </w:r>
    </w:p>
    <w:p>
      <w:pPr>
        <w:pStyle w:val="21"/>
        <w:rPr>
          <w:color w:val="auto"/>
          <w:highlight w:val="none"/>
        </w:rPr>
      </w:pPr>
    </w:p>
    <w:p>
      <w:pPr>
        <w:rPr>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绍兴市自然资源和规划局上虞分局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浙江宇康工程管理咨询有限公司：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（投标人名称）</w:t>
      </w:r>
      <w:r>
        <w:rPr>
          <w:rFonts w:hint="eastAsia" w:ascii="宋体" w:hAnsi="宋体" w:cs="宋体"/>
          <w:color w:val="auto"/>
          <w:sz w:val="24"/>
          <w:highlight w:val="none"/>
        </w:rPr>
        <w:t>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（姓名）</w:t>
      </w:r>
      <w:r>
        <w:rPr>
          <w:rFonts w:hint="eastAsia" w:ascii="宋体" w:hAnsi="宋体" w:cs="宋体"/>
          <w:color w:val="auto"/>
          <w:sz w:val="24"/>
          <w:highlight w:val="none"/>
        </w:rPr>
        <w:t>系</w:t>
      </w:r>
      <w:r>
        <w:rPr>
          <w:rFonts w:hint="eastAsia" w:ascii="宋体" w:hAnsi="宋体" w:cs="宋体"/>
          <w:color w:val="auto"/>
          <w:sz w:val="24"/>
          <w:highlight w:val="none"/>
          <w:u w:val="single"/>
        </w:rPr>
        <w:t>（投标人名称）</w:t>
      </w:r>
      <w:r>
        <w:rPr>
          <w:rFonts w:hint="eastAsia" w:ascii="宋体" w:hAnsi="宋体" w:cs="宋体"/>
          <w:color w:val="auto"/>
          <w:sz w:val="24"/>
          <w:highlight w:val="none"/>
        </w:rPr>
        <w:t>的法定代表人，我方愿意参加贵方组织的</w:t>
      </w:r>
      <w:r>
        <w:rPr>
          <w:rFonts w:hint="eastAsia" w:ascii="宋体" w:hAnsi="宋体" w:cs="宋体"/>
          <w:color w:val="auto"/>
          <w:sz w:val="24"/>
          <w:highlight w:val="none"/>
          <w:u w:val="single"/>
        </w:rPr>
        <w:t>（招标项目名称）（编号为）</w:t>
      </w:r>
      <w:r>
        <w:rPr>
          <w:rFonts w:hint="eastAsia" w:ascii="宋体" w:hAnsi="宋体" w:cs="宋体"/>
          <w:color w:val="auto"/>
          <w:sz w:val="24"/>
          <w:highlight w:val="none"/>
        </w:rPr>
        <w:t>的投标，为此，我方就本次投标有关事项郑重承诺如下：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1、我方已详细审查全部招标文件，同意招标文件的各项要求。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2、我方向贵方提交的所有投标文件、资料都是准确的和真实的。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3、若中标，我方将按招标文件规定履行合同责任和义务。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5、投标文件自开标日起有效期为90天。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6、我方参与本项目前3年内的经营活动中没有重大违法记录；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7、我方通过“信用中国”网站（www.creditchina.gov.cn）、中国政府采购网（www.ccgp.gov.cn）查询，未被列入失信被执行人、重大税收违法案件当事人名单、政府采购严重违法失信行为记录名单。</w:t>
      </w:r>
    </w:p>
    <w:p>
      <w:pPr>
        <w:pStyle w:val="48"/>
        <w:spacing w:before="0"/>
        <w:ind w:firstLine="480"/>
        <w:jc w:val="left"/>
        <w:rPr>
          <w:rFonts w:ascii="宋体" w:hAnsi="宋体" w:cs="宋体"/>
          <w:color w:val="auto"/>
          <w:highlight w:val="none"/>
        </w:rPr>
      </w:pPr>
      <w:r>
        <w:rPr>
          <w:rFonts w:hint="eastAsia" w:ascii="宋体" w:hAnsi="宋体" w:cs="宋体"/>
          <w:color w:val="auto"/>
          <w:highlight w:val="none"/>
        </w:rPr>
        <w:t>8、具有良好的商业信誉和健全的财务会计制度；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9、具有依法缴纳税收和社会保障资金的良好记录；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10、以上事项如有虚假或隐瞒，我方愿意承担一切后果，并不再寻求任何旨在减轻或免除法律责任的辩解。</w:t>
      </w:r>
    </w:p>
    <w:p>
      <w:pPr>
        <w:spacing w:line="360" w:lineRule="auto"/>
        <w:ind w:firstLine="480" w:firstLineChars="200"/>
        <w:rPr>
          <w:rFonts w:ascii="宋体" w:hAnsi="宋体" w:cs="宋体"/>
          <w:color w:val="auto"/>
          <w:sz w:val="24"/>
          <w:highlight w:val="none"/>
        </w:rPr>
      </w:pPr>
    </w:p>
    <w:p>
      <w:pPr>
        <w:pStyle w:val="13"/>
        <w:rPr>
          <w:color w:val="auto"/>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pStyle w:val="13"/>
        <w:ind w:firstLine="566"/>
        <w:jc w:val="center"/>
        <w:rPr>
          <w:rFonts w:cs="Times New Roman"/>
          <w:color w:val="auto"/>
          <w:sz w:val="28"/>
          <w:szCs w:val="28"/>
          <w:highlight w:val="none"/>
        </w:rPr>
      </w:pPr>
      <w:r>
        <w:rPr>
          <w:rFonts w:hint="eastAsia"/>
          <w:color w:val="auto"/>
          <w:highlight w:val="none"/>
        </w:rPr>
        <w:t xml:space="preserve">                 投标人全称（公章）：</w:t>
      </w:r>
    </w:p>
    <w:p>
      <w:pPr>
        <w:pStyle w:val="3"/>
        <w:rPr>
          <w:rFonts w:ascii="宋体"/>
          <w:color w:val="auto"/>
          <w:highlight w:val="none"/>
        </w:rPr>
      </w:pPr>
    </w:p>
    <w:p>
      <w:pPr>
        <w:spacing w:line="360" w:lineRule="auto"/>
        <w:rPr>
          <w:rFonts w:ascii="宋体"/>
          <w:b/>
          <w:bCs/>
          <w:color w:val="auto"/>
          <w:kern w:val="0"/>
          <w:sz w:val="36"/>
          <w:szCs w:val="36"/>
          <w:highlight w:val="none"/>
        </w:rPr>
      </w:pPr>
    </w:p>
    <w:p>
      <w:pPr>
        <w:rPr>
          <w:rFonts w:ascii="宋体"/>
          <w:b/>
          <w:bCs/>
          <w:color w:val="auto"/>
          <w:sz w:val="32"/>
          <w:szCs w:val="32"/>
          <w:highlight w:val="none"/>
        </w:rPr>
      </w:pP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rPr>
        <w:t>三</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中小企业声明函</w:t>
      </w:r>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【不属于中小企业的无需填写、递交】</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本公司（联合体）郑重声明，根据《政府采购促进中小企业发展管理办法》 （财库﹝2020﹞46 号）的规定，本公司（联合体）参加</w:t>
      </w:r>
      <w:r>
        <w:rPr>
          <w:rFonts w:hint="eastAsia" w:ascii="宋体" w:hAnsi="宋体" w:cs="宋体"/>
          <w:color w:val="auto"/>
          <w:sz w:val="24"/>
          <w:szCs w:val="24"/>
          <w:highlight w:val="none"/>
          <w:u w:val="single"/>
        </w:rPr>
        <w:t xml:space="preserve"> （采购人名称）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（项目名称）     </w:t>
      </w:r>
      <w:r>
        <w:rPr>
          <w:rFonts w:hint="eastAsia" w:ascii="宋体" w:hAnsi="宋体" w:cs="宋体"/>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288"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 xml:space="preserve">                  （采购文件中明确的所属行业）</w:t>
      </w:r>
      <w:r>
        <w:rPr>
          <w:rFonts w:hint="eastAsia" w:ascii="宋体" w:hAnsi="宋体" w:cs="宋体"/>
          <w:color w:val="auto"/>
          <w:sz w:val="24"/>
          <w:szCs w:val="24"/>
          <w:highlight w:val="none"/>
        </w:rPr>
        <w:t>；承建（承接）企业为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 ，属于</w:t>
      </w:r>
      <w:r>
        <w:rPr>
          <w:rFonts w:hint="eastAsia" w:ascii="宋体" w:hAnsi="宋体" w:cs="宋体"/>
          <w:color w:val="auto"/>
          <w:sz w:val="24"/>
          <w:szCs w:val="24"/>
          <w:highlight w:val="none"/>
          <w:u w:val="single"/>
        </w:rPr>
        <w:t xml:space="preserve">       （中型企业、小型企业、微型企业）</w:t>
      </w:r>
      <w:r>
        <w:rPr>
          <w:rFonts w:hint="eastAsia" w:ascii="宋体" w:hAnsi="宋体" w:cs="宋体"/>
          <w:color w:val="auto"/>
          <w:sz w:val="24"/>
          <w:szCs w:val="24"/>
          <w:highlight w:val="none"/>
        </w:rPr>
        <w:t xml:space="preserve"> ；</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800" w:firstLineChars="2000"/>
        <w:rPr>
          <w:rFonts w:ascii="宋体" w:hAnsi="宋体" w:cs="宋体"/>
          <w:color w:val="auto"/>
          <w:sz w:val="24"/>
          <w:szCs w:val="24"/>
          <w:highlight w:val="none"/>
        </w:rPr>
      </w:pPr>
      <w:r>
        <w:rPr>
          <w:rFonts w:hint="eastAsia" w:ascii="宋体" w:hAnsi="宋体" w:cs="宋体"/>
          <w:color w:val="auto"/>
          <w:sz w:val="24"/>
          <w:szCs w:val="24"/>
          <w:highlight w:val="none"/>
        </w:rPr>
        <w:t xml:space="preserve">企业名称（盖章）： </w:t>
      </w:r>
    </w:p>
    <w:p>
      <w:pPr>
        <w:spacing w:line="288" w:lineRule="auto"/>
        <w:ind w:left="3780" w:leftChars="1800"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3"/>
        <w:spacing w:line="288" w:lineRule="auto"/>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color w:val="auto"/>
          <w:sz w:val="24"/>
          <w:szCs w:val="24"/>
          <w:highlight w:val="none"/>
        </w:rPr>
      </w:pPr>
    </w:p>
    <w:p>
      <w:pPr>
        <w:pStyle w:val="2"/>
        <w:spacing w:line="360" w:lineRule="auto"/>
        <w:jc w:val="center"/>
        <w:rPr>
          <w:rFonts w:hAnsi="宋体" w:cs="Times New Roman"/>
          <w:color w:val="auto"/>
          <w:sz w:val="24"/>
          <w:szCs w:val="24"/>
          <w:highlight w:val="none"/>
        </w:rPr>
      </w:pPr>
    </w:p>
    <w:p>
      <w:pPr>
        <w:pStyle w:val="2"/>
        <w:spacing w:line="360" w:lineRule="auto"/>
        <w:jc w:val="center"/>
        <w:rPr>
          <w:rFonts w:hAnsi="宋体" w:cs="Times New Roman"/>
          <w:color w:val="auto"/>
          <w:sz w:val="24"/>
          <w:szCs w:val="24"/>
          <w:highlight w:val="none"/>
        </w:rPr>
      </w:pPr>
    </w:p>
    <w:p>
      <w:pPr>
        <w:jc w:val="center"/>
        <w:rPr>
          <w:color w:val="auto"/>
          <w:highlight w:val="none"/>
          <w:lang w:val="zh-CN"/>
        </w:rPr>
      </w:pPr>
      <w:bookmarkStart w:id="91" w:name="_Toc2071"/>
      <w:bookmarkStart w:id="92" w:name="_Toc30916"/>
      <w:bookmarkStart w:id="93" w:name="_Toc3295"/>
      <w:r>
        <w:rPr>
          <w:rFonts w:hAnsi="宋体"/>
          <w:color w:val="auto"/>
          <w:highlight w:val="none"/>
        </w:rPr>
        <w:br w:type="page"/>
      </w:r>
      <w:bookmarkEnd w:id="91"/>
      <w:bookmarkEnd w:id="92"/>
      <w:bookmarkEnd w:id="93"/>
    </w:p>
    <w:p>
      <w:pPr>
        <w:rPr>
          <w:b/>
          <w:bCs/>
          <w:color w:val="auto"/>
          <w:sz w:val="24"/>
          <w:szCs w:val="24"/>
          <w:highlight w:val="none"/>
          <w:lang w:val="zh-CN"/>
        </w:rPr>
      </w:pPr>
      <w:bookmarkStart w:id="94" w:name="_Toc25017"/>
      <w:bookmarkStart w:id="95" w:name="_Toc16150"/>
      <w:bookmarkStart w:id="96" w:name="_Toc31472"/>
      <w:bookmarkStart w:id="97" w:name="_Toc9715"/>
      <w:r>
        <w:rPr>
          <w:rFonts w:hint="eastAsia" w:cs="宋体"/>
          <w:b/>
          <w:bCs/>
          <w:color w:val="auto"/>
          <w:sz w:val="24"/>
          <w:szCs w:val="24"/>
          <w:highlight w:val="none"/>
          <w:lang w:val="zh-CN"/>
        </w:rPr>
        <w:t>附件</w:t>
      </w:r>
      <w:r>
        <w:rPr>
          <w:rFonts w:hint="eastAsia" w:cs="宋体"/>
          <w:b/>
          <w:bCs/>
          <w:color w:val="auto"/>
          <w:sz w:val="24"/>
          <w:szCs w:val="24"/>
          <w:highlight w:val="none"/>
        </w:rPr>
        <w:t>四：</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残疾人福利性单位声明函</w:t>
      </w:r>
      <w:bookmarkEnd w:id="94"/>
      <w:bookmarkEnd w:id="95"/>
      <w:bookmarkEnd w:id="96"/>
      <w:bookmarkEnd w:id="97"/>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【不属于残疾人福利性单位的无需填写、递交】</w:t>
      </w:r>
    </w:p>
    <w:p>
      <w:pPr>
        <w:spacing w:line="588" w:lineRule="exact"/>
        <w:rPr>
          <w:rFonts w:ascii="宋体"/>
          <w:b/>
          <w:bCs/>
          <w:color w:val="auto"/>
          <w:spacing w:val="6"/>
          <w:sz w:val="30"/>
          <w:szCs w:val="30"/>
          <w:highlight w:val="none"/>
        </w:rPr>
      </w:pPr>
    </w:p>
    <w:p>
      <w:pPr>
        <w:spacing w:line="588"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本单位郑重声明，根据《财政部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民政部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中国残疾人联合会关于促进残疾人就业政府采购政策的通知》（财库〔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z w:val="24"/>
          <w:szCs w:val="24"/>
          <w:highlight w:val="none"/>
        </w:rPr>
        <w:t>号）的规定，本单位为符合条件的残疾人福利性单位，且本单位参加</w:t>
      </w:r>
      <w:r>
        <w:rPr>
          <w:rFonts w:ascii="宋体" w:hAnsi="宋体" w:cs="宋体"/>
          <w:color w:val="auto"/>
          <w:sz w:val="24"/>
          <w:szCs w:val="24"/>
          <w:highlight w:val="none"/>
        </w:rPr>
        <w:t>______</w:t>
      </w:r>
      <w:r>
        <w:rPr>
          <w:rFonts w:hint="eastAsia" w:ascii="宋体" w:hAnsi="宋体" w:cs="宋体"/>
          <w:color w:val="auto"/>
          <w:sz w:val="24"/>
          <w:szCs w:val="24"/>
          <w:highlight w:val="none"/>
        </w:rPr>
        <w:t>单位的</w:t>
      </w:r>
      <w:r>
        <w:rPr>
          <w:rFonts w:ascii="宋体" w:hAnsi="宋体" w:cs="宋体"/>
          <w:color w:val="auto"/>
          <w:sz w:val="24"/>
          <w:szCs w:val="24"/>
          <w:highlight w:val="none"/>
        </w:rPr>
        <w:t>______</w:t>
      </w:r>
      <w:r>
        <w:rPr>
          <w:rFonts w:hint="eastAsia" w:ascii="宋体" w:hAnsi="宋体" w:cs="宋体"/>
          <w:color w:val="auto"/>
          <w:sz w:val="24"/>
          <w:szCs w:val="24"/>
          <w:highlight w:val="none"/>
        </w:rPr>
        <w:t>项目采购活动提供本单位服务，或者提供其他残疾人福利性单位提供的服务。本单位对上述声明的真实性负责。如有虚假，将依法承担相应责任。</w:t>
      </w:r>
    </w:p>
    <w:p>
      <w:pPr>
        <w:pStyle w:val="2"/>
        <w:rPr>
          <w:rFonts w:cs="Times New Roman"/>
          <w:color w:val="auto"/>
          <w:highlight w:val="none"/>
        </w:rPr>
      </w:pPr>
    </w:p>
    <w:p>
      <w:pPr>
        <w:pStyle w:val="3"/>
        <w:rPr>
          <w:color w:val="auto"/>
          <w:highlight w:val="none"/>
        </w:rPr>
      </w:pPr>
    </w:p>
    <w:p>
      <w:pPr>
        <w:spacing w:line="588" w:lineRule="exact"/>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b/>
          <w:bCs/>
          <w:color w:val="auto"/>
          <w:sz w:val="24"/>
          <w:szCs w:val="24"/>
          <w:highlight w:val="none"/>
          <w:lang w:val="zh-CN"/>
        </w:rPr>
      </w:pPr>
      <w:bookmarkStart w:id="98" w:name="_Toc24"/>
      <w:bookmarkStart w:id="99" w:name="_Toc5441"/>
      <w:bookmarkStart w:id="100" w:name="_Toc2386"/>
      <w:bookmarkStart w:id="101" w:name="_Toc15966"/>
      <w:r>
        <w:rPr>
          <w:color w:val="auto"/>
          <w:sz w:val="24"/>
          <w:szCs w:val="24"/>
          <w:highlight w:val="none"/>
          <w:lang w:val="zh-CN"/>
        </w:rPr>
        <w:br w:type="page"/>
      </w:r>
      <w:r>
        <w:rPr>
          <w:rFonts w:hint="eastAsia" w:cs="宋体"/>
          <w:b/>
          <w:bCs/>
          <w:color w:val="auto"/>
          <w:sz w:val="24"/>
          <w:szCs w:val="24"/>
          <w:highlight w:val="none"/>
          <w:lang w:val="zh-CN"/>
        </w:rPr>
        <w:t>附件</w:t>
      </w:r>
      <w:r>
        <w:rPr>
          <w:rFonts w:hint="eastAsia" w:cs="宋体"/>
          <w:b/>
          <w:bCs/>
          <w:color w:val="auto"/>
          <w:sz w:val="24"/>
          <w:szCs w:val="24"/>
          <w:highlight w:val="none"/>
        </w:rPr>
        <w:t>五：</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监狱企业证明文件</w:t>
      </w:r>
      <w:bookmarkEnd w:id="98"/>
      <w:bookmarkEnd w:id="99"/>
      <w:bookmarkEnd w:id="100"/>
      <w:bookmarkEnd w:id="101"/>
    </w:p>
    <w:p>
      <w:pPr>
        <w:widowControl/>
        <w:snapToGrid w:val="0"/>
        <w:spacing w:line="360" w:lineRule="auto"/>
        <w:jc w:val="center"/>
        <w:rPr>
          <w:rFonts w:ascii="宋体"/>
          <w:color w:val="auto"/>
          <w:kern w:val="0"/>
          <w:sz w:val="28"/>
          <w:szCs w:val="28"/>
          <w:highlight w:val="none"/>
        </w:rPr>
      </w:pPr>
      <w:r>
        <w:rPr>
          <w:rFonts w:hint="eastAsia" w:ascii="宋体" w:hAnsi="宋体" w:cs="宋体"/>
          <w:color w:val="auto"/>
          <w:kern w:val="0"/>
          <w:sz w:val="28"/>
          <w:szCs w:val="28"/>
          <w:highlight w:val="none"/>
        </w:rPr>
        <w:t>【不属于监狱企业的无需填写、递交】</w:t>
      </w:r>
    </w:p>
    <w:p>
      <w:pPr>
        <w:widowControl/>
        <w:snapToGrid w:val="0"/>
        <w:spacing w:line="324" w:lineRule="auto"/>
        <w:jc w:val="center"/>
        <w:rPr>
          <w:rFonts w:ascii="宋体"/>
          <w:color w:val="auto"/>
          <w:kern w:val="0"/>
          <w:sz w:val="24"/>
          <w:szCs w:val="24"/>
          <w:highlight w:val="none"/>
        </w:rPr>
      </w:pPr>
    </w:p>
    <w:p>
      <w:pPr>
        <w:spacing w:line="588" w:lineRule="exact"/>
        <w:ind w:firstLine="480" w:firstLineChars="200"/>
        <w:rPr>
          <w:rFonts w:ascii="宋体"/>
          <w:color w:val="auto"/>
          <w:sz w:val="24"/>
          <w:szCs w:val="24"/>
          <w:highlight w:val="none"/>
        </w:rPr>
      </w:pPr>
    </w:p>
    <w:p>
      <w:pPr>
        <w:adjustRightInd w:val="0"/>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监狱企业需提供省级以上的监狱管理局、戒毒管理局（含新疆生产建设兵团）出具的属于监狱企业的证明文件。</w:t>
      </w:r>
      <w:r>
        <w:rPr>
          <w:rFonts w:ascii="宋体" w:hAnsi="宋体" w:cs="宋体"/>
          <w:color w:val="auto"/>
          <w:sz w:val="24"/>
          <w:szCs w:val="24"/>
          <w:highlight w:val="none"/>
        </w:rPr>
        <w:t xml:space="preserve">  </w:t>
      </w:r>
    </w:p>
    <w:p>
      <w:pPr>
        <w:pStyle w:val="2"/>
        <w:rPr>
          <w:rFonts w:cs="Times New Roman"/>
          <w:color w:val="auto"/>
          <w:highlight w:val="none"/>
        </w:rPr>
      </w:pPr>
    </w:p>
    <w:p>
      <w:pPr>
        <w:pStyle w:val="3"/>
        <w:rPr>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color w:val="auto"/>
          <w:highlight w:val="none"/>
        </w:rPr>
      </w:pPr>
      <w:r>
        <w:rPr>
          <w:rFonts w:hint="eastAsia" w:ascii="宋体" w:hAnsi="宋体" w:cs="宋体"/>
          <w:color w:val="auto"/>
          <w:sz w:val="24"/>
          <w:szCs w:val="24"/>
          <w:highlight w:val="none"/>
        </w:rPr>
        <w:t>供应商全称（公章）：</w:t>
      </w:r>
    </w:p>
    <w:p>
      <w:pP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br w:type="page"/>
      </w: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商务技术文件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13"/>
        <w:ind w:left="426" w:firstLine="486"/>
        <w:rPr>
          <w:rFonts w:cs="Times New Roman"/>
          <w:color w:val="auto"/>
          <w:highlight w:val="none"/>
        </w:rPr>
      </w:pP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评分对应表（格式见附件，主要用于评委对应评分内容）</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供应商商务技术文件中资信分自评表（格式见附件）；</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磋商项目明细清单（格式见附件）；</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技术响应及建议表（格式见附件）；</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商务响应表（格式见附件）；</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项目理解；</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监测工作方案；</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监测设施维护方案；</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重难点措施；</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人员配置；</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设备配置；</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服务方案；</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认证证书；</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供应商业绩；</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供应商荣誉；</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highlight w:val="none"/>
        </w:rPr>
        <w:t>项目负责人实力；</w:t>
      </w:r>
    </w:p>
    <w:p>
      <w:pPr>
        <w:numPr>
          <w:ilvl w:val="0"/>
          <w:numId w:val="21"/>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供应商认为需要的其他文件资料。</w:t>
      </w:r>
    </w:p>
    <w:p>
      <w:pPr>
        <w:pStyle w:val="15"/>
        <w:spacing w:line="500" w:lineRule="exact"/>
        <w:ind w:firstLine="480" w:firstLineChars="200"/>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p>
    <w:p>
      <w:pPr>
        <w:pStyle w:val="13"/>
        <w:ind w:firstLine="566"/>
        <w:rPr>
          <w:rFonts w:cs="Times New Roman"/>
          <w:color w:val="auto"/>
          <w:sz w:val="28"/>
          <w:szCs w:val="28"/>
          <w:highlight w:val="none"/>
        </w:rPr>
      </w:pPr>
    </w:p>
    <w:p>
      <w:pPr>
        <w:pStyle w:val="13"/>
        <w:ind w:firstLine="566"/>
        <w:rPr>
          <w:rFonts w:cs="Times New Roman"/>
          <w:color w:val="auto"/>
          <w:sz w:val="28"/>
          <w:szCs w:val="28"/>
          <w:highlight w:val="none"/>
        </w:rPr>
      </w:pPr>
    </w:p>
    <w:p>
      <w:pPr>
        <w:rPr>
          <w:rFonts w:ascii="宋体"/>
          <w:color w:val="auto"/>
          <w:sz w:val="28"/>
          <w:szCs w:val="28"/>
          <w:highlight w:val="none"/>
        </w:rPr>
      </w:pPr>
      <w:r>
        <w:rPr>
          <w:rFonts w:ascii="宋体"/>
          <w:color w:val="auto"/>
          <w:sz w:val="28"/>
          <w:szCs w:val="28"/>
          <w:highlight w:val="none"/>
        </w:rPr>
        <w:br w:type="page"/>
      </w:r>
    </w:p>
    <w:p>
      <w:pPr>
        <w:snapToGrid w:val="0"/>
        <w:spacing w:before="50" w:after="50"/>
        <w:jc w:val="left"/>
        <w:rPr>
          <w:rFonts w:ascii="宋体"/>
          <w:b/>
          <w:bCs/>
          <w:color w:val="auto"/>
          <w:sz w:val="24"/>
          <w:szCs w:val="24"/>
          <w:highlight w:val="none"/>
          <w:lang w:val="zh-CN"/>
        </w:rPr>
      </w:pPr>
      <w:bookmarkStart w:id="102" w:name="_Toc10131"/>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rPr>
        <w:t>六</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评分对应表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7"/>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对应评分办法及评分标准</w:t>
            </w:r>
          </w:p>
          <w:p>
            <w:pPr>
              <w:jc w:val="center"/>
              <w:rPr>
                <w:rFonts w:ascii="宋体"/>
                <w:color w:val="auto"/>
                <w:sz w:val="24"/>
                <w:szCs w:val="24"/>
                <w:highlight w:val="none"/>
              </w:rPr>
            </w:pPr>
            <w:r>
              <w:rPr>
                <w:rFonts w:hint="eastAsia" w:ascii="宋体" w:hAnsi="宋体" w:cs="宋体"/>
                <w:color w:val="auto"/>
                <w:sz w:val="24"/>
                <w:szCs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highlight w:val="none"/>
          <w:lang w:val="zh-CN"/>
        </w:rPr>
      </w:pPr>
    </w:p>
    <w:p>
      <w:pPr>
        <w:rPr>
          <w:b/>
          <w:bCs/>
          <w:color w:val="auto"/>
          <w:sz w:val="24"/>
          <w:szCs w:val="24"/>
          <w:highlight w:val="none"/>
          <w:lang w:val="zh-CN"/>
        </w:rPr>
      </w:pPr>
      <w:r>
        <w:rPr>
          <w:rFonts w:hint="eastAsia" w:cs="宋体"/>
          <w:b/>
          <w:bCs/>
          <w:color w:val="auto"/>
          <w:sz w:val="24"/>
          <w:szCs w:val="24"/>
          <w:highlight w:val="none"/>
          <w:lang w:val="zh-CN"/>
        </w:rPr>
        <w:t>附件</w:t>
      </w:r>
      <w:r>
        <w:rPr>
          <w:rFonts w:hint="eastAsia" w:cs="宋体"/>
          <w:b/>
          <w:bCs/>
          <w:color w:val="auto"/>
          <w:sz w:val="24"/>
          <w:szCs w:val="24"/>
          <w:highlight w:val="none"/>
        </w:rPr>
        <w:t>七：</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供应商商务技术文件中资信分自评表</w:t>
      </w:r>
      <w:bookmarkEnd w:id="102"/>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7"/>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387"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资信分内容</w:t>
            </w:r>
          </w:p>
        </w:tc>
        <w:tc>
          <w:tcPr>
            <w:tcW w:w="146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自评得分</w:t>
            </w:r>
          </w:p>
        </w:tc>
        <w:tc>
          <w:tcPr>
            <w:tcW w:w="2415" w:type="dxa"/>
            <w:tcBorders>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746" w:type="dxa"/>
            <w:tcBorders>
              <w:lef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1</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2</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3</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4</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5</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6</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7</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8</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合计</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156" w:afterLines="50"/>
        <w:jc w:val="left"/>
        <w:rPr>
          <w:rFonts w:ascii="宋体"/>
          <w:b/>
          <w:bCs/>
          <w:color w:val="auto"/>
          <w:sz w:val="24"/>
          <w:szCs w:val="24"/>
          <w:highlight w:val="none"/>
          <w:lang w:val="zh-CN"/>
        </w:rPr>
      </w:pPr>
      <w:r>
        <w:rPr>
          <w:rFonts w:ascii="宋体"/>
          <w:b/>
          <w:bCs/>
          <w:color w:val="auto"/>
          <w:sz w:val="30"/>
          <w:szCs w:val="30"/>
          <w:highlight w:val="none"/>
        </w:rPr>
        <w:br w:type="page"/>
      </w: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rPr>
        <w:t>八</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投标项目明细清单</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7"/>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注：在填写时，如上表不适合本项目的实际情况，可在确保投标明细内容完整的情况下，根据上表格式自行划表填写。</w:t>
      </w:r>
    </w:p>
    <w:p>
      <w:pPr>
        <w:pStyle w:val="13"/>
        <w:rPr>
          <w:rFonts w:cs="Times New Roman"/>
          <w:color w:val="auto"/>
          <w:highlight w:val="none"/>
        </w:rPr>
      </w:pPr>
    </w:p>
    <w:p>
      <w:pPr>
        <w:pStyle w:val="13"/>
        <w:rPr>
          <w:rFonts w:cs="Times New Roman"/>
          <w:color w:val="auto"/>
          <w:highlight w:val="none"/>
        </w:rPr>
      </w:pPr>
    </w:p>
    <w:p>
      <w:pPr>
        <w:pStyle w:val="13"/>
        <w:rPr>
          <w:rFonts w:cs="Times New Roman"/>
          <w:color w:val="auto"/>
          <w:highlight w:val="none"/>
        </w:rPr>
      </w:pPr>
    </w:p>
    <w:p>
      <w:pPr>
        <w:snapToGrid w:val="0"/>
        <w:spacing w:before="156" w:beforeLines="5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color w:val="auto"/>
          <w:spacing w:val="20"/>
          <w:sz w:val="24"/>
          <w:szCs w:val="24"/>
          <w:highlight w:val="none"/>
        </w:rPr>
      </w:pPr>
    </w:p>
    <w:p>
      <w:pPr>
        <w:snapToGrid w:val="0"/>
        <w:spacing w:before="50" w:after="50"/>
        <w:rPr>
          <w:rFonts w:ascii="宋体"/>
          <w:color w:val="auto"/>
          <w:spacing w:val="20"/>
          <w:sz w:val="30"/>
          <w:szCs w:val="30"/>
          <w:highlight w:val="none"/>
        </w:rPr>
      </w:pPr>
    </w:p>
    <w:p>
      <w:pPr>
        <w:pStyle w:val="13"/>
        <w:ind w:firstLine="686"/>
        <w:rPr>
          <w:rFonts w:cs="Times New Roman"/>
          <w:color w:val="auto"/>
          <w:spacing w:val="20"/>
          <w:sz w:val="30"/>
          <w:szCs w:val="30"/>
          <w:highlight w:val="none"/>
        </w:rPr>
      </w:pPr>
    </w:p>
    <w:p>
      <w:pPr>
        <w:pStyle w:val="13"/>
        <w:ind w:firstLine="686"/>
        <w:rPr>
          <w:rFonts w:cs="Times New Roman"/>
          <w:color w:val="auto"/>
          <w:spacing w:val="20"/>
          <w:sz w:val="30"/>
          <w:szCs w:val="30"/>
          <w:highlight w:val="none"/>
        </w:rPr>
        <w:sectPr>
          <w:pgSz w:w="11906" w:h="16838"/>
          <w:pgMar w:top="1440" w:right="1800" w:bottom="1440" w:left="1800" w:header="851" w:footer="992" w:gutter="0"/>
          <w:cols w:space="425" w:num="1"/>
          <w:docGrid w:type="lines" w:linePitch="312" w:charSpace="0"/>
        </w:sectPr>
      </w:pPr>
    </w:p>
    <w:p>
      <w:pPr>
        <w:rPr>
          <w:b/>
          <w:bCs/>
          <w:color w:val="auto"/>
          <w:sz w:val="24"/>
          <w:szCs w:val="24"/>
          <w:highlight w:val="none"/>
        </w:rPr>
      </w:pPr>
      <w:bookmarkStart w:id="103" w:name="_Toc2823"/>
      <w:r>
        <w:rPr>
          <w:rFonts w:hint="eastAsia" w:cs="宋体"/>
          <w:b/>
          <w:bCs/>
          <w:color w:val="auto"/>
          <w:sz w:val="24"/>
          <w:szCs w:val="24"/>
          <w:highlight w:val="none"/>
        </w:rPr>
        <w:t>附件九：</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技术响应及建议表</w:t>
      </w:r>
      <w:bookmarkEnd w:id="103"/>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7"/>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44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名称</w:t>
            </w:r>
          </w:p>
        </w:tc>
        <w:tc>
          <w:tcPr>
            <w:tcW w:w="198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25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响应文件响应</w:t>
            </w:r>
          </w:p>
        </w:tc>
        <w:tc>
          <w:tcPr>
            <w:tcW w:w="1953"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投标建议</w:t>
            </w:r>
          </w:p>
        </w:tc>
        <w:tc>
          <w:tcPr>
            <w:tcW w:w="6453" w:type="dxa"/>
            <w:gridSpan w:val="3"/>
            <w:vAlign w:val="center"/>
          </w:tcPr>
          <w:p>
            <w:pPr>
              <w:spacing w:line="360" w:lineRule="auto"/>
              <w:jc w:val="center"/>
              <w:rPr>
                <w:rFonts w:ascii="宋体"/>
                <w:color w:val="auto"/>
                <w:sz w:val="24"/>
                <w:szCs w:val="24"/>
                <w:highlight w:val="none"/>
              </w:rPr>
            </w:pPr>
          </w:p>
        </w:tc>
      </w:tr>
    </w:tbl>
    <w:p>
      <w:pPr>
        <w:snapToGrid w:val="0"/>
        <w:spacing w:line="360" w:lineRule="auto"/>
        <w:rPr>
          <w:rFonts w:ascii="宋体"/>
          <w:color w:val="auto"/>
          <w:sz w:val="24"/>
          <w:szCs w:val="24"/>
          <w:highlight w:val="none"/>
        </w:rPr>
      </w:pPr>
    </w:p>
    <w:p>
      <w:pPr>
        <w:pStyle w:val="15"/>
        <w:spacing w:line="360" w:lineRule="auto"/>
        <w:rPr>
          <w:rFonts w:hAnsi="宋体" w:cs="Times New Roman"/>
          <w:color w:val="auto"/>
          <w:sz w:val="24"/>
          <w:szCs w:val="24"/>
          <w:highlight w:val="none"/>
        </w:rPr>
      </w:pPr>
      <w:r>
        <w:rPr>
          <w:rFonts w:hint="eastAsia" w:hAnsi="宋体"/>
          <w:color w:val="auto"/>
          <w:sz w:val="24"/>
          <w:szCs w:val="24"/>
          <w:highlight w:val="none"/>
        </w:rPr>
        <w:t>注：名称可基于项目清单根据供应商实际情况调整。</w:t>
      </w:r>
    </w:p>
    <w:p>
      <w:pPr>
        <w:rPr>
          <w:rFonts w:ascii="宋体"/>
          <w:color w:val="auto"/>
          <w:sz w:val="24"/>
          <w:szCs w:val="24"/>
          <w:highlight w:val="none"/>
        </w:rPr>
      </w:pPr>
    </w:p>
    <w:p>
      <w:pPr>
        <w:pStyle w:val="13"/>
        <w:rPr>
          <w:rFonts w:cs="Times New Roman"/>
          <w:color w:val="auto"/>
          <w:highlight w:val="none"/>
        </w:rPr>
      </w:pPr>
    </w:p>
    <w:p>
      <w:pPr>
        <w:snapToGrid w:val="0"/>
        <w:spacing w:line="360" w:lineRule="auto"/>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sz w:val="24"/>
          <w:szCs w:val="24"/>
          <w:highlight w:val="none"/>
        </w:rPr>
      </w:pPr>
      <w:r>
        <w:rPr>
          <w:color w:val="auto"/>
          <w:sz w:val="24"/>
          <w:szCs w:val="24"/>
          <w:highlight w:val="none"/>
        </w:rPr>
        <w:br w:type="page"/>
      </w:r>
    </w:p>
    <w:p>
      <w:pPr>
        <w:rPr>
          <w:b/>
          <w:bCs/>
          <w:color w:val="auto"/>
          <w:sz w:val="24"/>
          <w:szCs w:val="24"/>
          <w:highlight w:val="none"/>
        </w:rPr>
      </w:pPr>
      <w:r>
        <w:rPr>
          <w:rFonts w:hint="eastAsia" w:cs="宋体"/>
          <w:b/>
          <w:bCs/>
          <w:color w:val="auto"/>
          <w:sz w:val="24"/>
          <w:szCs w:val="24"/>
          <w:highlight w:val="none"/>
        </w:rPr>
        <w:t>附件十：</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商务响应表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7"/>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是否</w:t>
            </w:r>
          </w:p>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b/>
          <w:bCs/>
          <w:color w:val="auto"/>
          <w:sz w:val="24"/>
          <w:szCs w:val="24"/>
          <w:highlight w:val="none"/>
          <w:lang w:val="zh-CN"/>
        </w:rPr>
      </w:pPr>
      <w:r>
        <w:rPr>
          <w:rFonts w:ascii="宋体"/>
          <w:color w:val="auto"/>
          <w:sz w:val="24"/>
          <w:szCs w:val="24"/>
          <w:highlight w:val="none"/>
        </w:rPr>
        <w:br w:type="page"/>
      </w: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rPr>
        <w:t>十一</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项目组人员清单</w:t>
      </w:r>
    </w:p>
    <w:p>
      <w:pPr>
        <w:snapToGrid w:val="0"/>
        <w:spacing w:before="156" w:beforeLines="50" w:after="50"/>
        <w:jc w:val="center"/>
        <w:rPr>
          <w:rFonts w:ascii="宋体"/>
          <w:b/>
          <w:bCs/>
          <w:color w:val="auto"/>
          <w:sz w:val="30"/>
          <w:szCs w:val="30"/>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7"/>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16"/>
              <w:snapToGrid w:val="0"/>
              <w:spacing w:before="156" w:beforeLines="50" w:after="50" w:line="460" w:lineRule="exact"/>
              <w:ind w:left="5250"/>
              <w:rPr>
                <w:rFonts w:cs="Times New Roman"/>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bl>
    <w:p>
      <w:pPr>
        <w:adjustRightInd w:val="0"/>
        <w:snapToGrid w:val="0"/>
        <w:spacing w:line="360" w:lineRule="auto"/>
        <w:jc w:val="left"/>
        <w:rPr>
          <w:rFonts w:ascii="宋体"/>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注：在填写时，如本表格不适合投标单位的实际情况，可根据本表格式自行划表填写。</w:t>
      </w:r>
      <w:r>
        <w:rPr>
          <w:rFonts w:ascii="宋体" w:hAnsi="宋体" w:cs="宋体"/>
          <w:color w:val="auto"/>
          <w:sz w:val="24"/>
          <w:szCs w:val="24"/>
          <w:highlight w:val="none"/>
        </w:rPr>
        <w:t xml:space="preserve"> </w:t>
      </w:r>
    </w:p>
    <w:p>
      <w:pPr>
        <w:snapToGrid w:val="0"/>
        <w:spacing w:before="50" w:after="156" w:afterLines="50" w:line="460" w:lineRule="exact"/>
        <w:jc w:val="left"/>
        <w:rPr>
          <w:rFonts w:ascii="宋体"/>
          <w:color w:val="auto"/>
          <w:sz w:val="24"/>
          <w:szCs w:val="24"/>
          <w:highlight w:val="none"/>
        </w:rPr>
      </w:pPr>
    </w:p>
    <w:p>
      <w:pPr>
        <w:pStyle w:val="13"/>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kern w:val="0"/>
          <w:sz w:val="36"/>
          <w:szCs w:val="36"/>
          <w:highlight w:val="none"/>
        </w:rPr>
      </w:pPr>
      <w:r>
        <w:rPr>
          <w:rFonts w:ascii="宋体"/>
          <w:color w:val="auto"/>
          <w:spacing w:val="20"/>
          <w:sz w:val="30"/>
          <w:szCs w:val="30"/>
          <w:highlight w:val="none"/>
        </w:rPr>
        <w:br w:type="page"/>
      </w:r>
      <w:r>
        <w:rPr>
          <w:rFonts w:hint="eastAsia" w:ascii="宋体" w:hAnsi="宋体" w:cs="宋体"/>
          <w:b/>
          <w:bCs/>
          <w:color w:val="auto"/>
          <w:kern w:val="0"/>
          <w:sz w:val="36"/>
          <w:szCs w:val="36"/>
          <w:highlight w:val="none"/>
        </w:rPr>
        <w:t>报价文件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13"/>
        <w:ind w:firstLine="723"/>
        <w:rPr>
          <w:rFonts w:cs="Times New Roman"/>
          <w:b/>
          <w:bCs/>
          <w:color w:val="auto"/>
          <w:kern w:val="0"/>
          <w:sz w:val="36"/>
          <w:szCs w:val="36"/>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）磋商函（格式见附件）；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）报价一览表（格式见附件）；</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）磋商报价明细表（格式见附件）。</w:t>
      </w:r>
    </w:p>
    <w:p>
      <w:pPr>
        <w:rPr>
          <w:rFonts w:ascii="宋体"/>
          <w:color w:val="auto"/>
          <w:highlight w:val="none"/>
        </w:rPr>
      </w:pPr>
    </w:p>
    <w:p>
      <w:pPr>
        <w:rPr>
          <w:rFonts w:ascii="宋体"/>
          <w:color w:val="auto"/>
          <w:highlight w:val="none"/>
        </w:rPr>
      </w:pPr>
      <w:r>
        <w:rPr>
          <w:rFonts w:ascii="宋体"/>
          <w:color w:val="auto"/>
          <w:highlight w:val="none"/>
        </w:rPr>
        <w:br w:type="page"/>
      </w:r>
    </w:p>
    <w:p>
      <w:pPr>
        <w:rPr>
          <w:rFonts w:ascii="宋体"/>
          <w:b/>
          <w:bCs/>
          <w:color w:val="auto"/>
          <w:highlight w:val="none"/>
          <w:lang w:val="zh-CN"/>
        </w:rPr>
      </w:pPr>
      <w:bookmarkStart w:id="104" w:name="_Toc3094"/>
      <w:r>
        <w:rPr>
          <w:rFonts w:hint="eastAsia" w:cs="宋体"/>
          <w:b/>
          <w:bCs/>
          <w:color w:val="auto"/>
          <w:sz w:val="24"/>
          <w:szCs w:val="24"/>
          <w:highlight w:val="none"/>
          <w:lang w:val="zh-CN"/>
        </w:rPr>
        <w:t>附件</w:t>
      </w:r>
      <w:bookmarkStart w:id="105" w:name="_Toc98731770"/>
      <w:bookmarkStart w:id="106" w:name="_Toc130094924"/>
      <w:r>
        <w:rPr>
          <w:rFonts w:hint="eastAsia" w:cs="宋体"/>
          <w:b/>
          <w:bCs/>
          <w:color w:val="auto"/>
          <w:sz w:val="24"/>
          <w:szCs w:val="24"/>
          <w:highlight w:val="none"/>
        </w:rPr>
        <w:t>十二：</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商</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函</w:t>
      </w:r>
      <w:bookmarkEnd w:id="104"/>
      <w:bookmarkEnd w:id="105"/>
      <w:bookmarkEnd w:id="106"/>
    </w:p>
    <w:p>
      <w:pPr>
        <w:spacing w:line="360" w:lineRule="auto"/>
        <w:ind w:firstLine="480" w:firstLineChars="200"/>
        <w:rPr>
          <w:rFonts w:ascii="宋体"/>
          <w:color w:val="auto"/>
          <w:sz w:val="24"/>
          <w:szCs w:val="24"/>
          <w:highlight w:val="none"/>
          <w:u w:val="singl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绍兴市自然资源和规划局上虞分局：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jc w:val="left"/>
        <w:rPr>
          <w:rFonts w:ascii="宋体"/>
          <w:color w:val="auto"/>
          <w:sz w:val="24"/>
          <w:szCs w:val="24"/>
          <w:highlight w:val="none"/>
        </w:rPr>
      </w:pPr>
      <w:r>
        <w:rPr>
          <w:rFonts w:hint="eastAsia" w:ascii="宋体" w:hAnsi="宋体" w:cs="宋体"/>
          <w:color w:val="auto"/>
          <w:sz w:val="24"/>
          <w:szCs w:val="24"/>
          <w:highlight w:val="none"/>
        </w:rPr>
        <w:t>我单位认真研究了关于</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color w:val="auto"/>
          <w:sz w:val="24"/>
          <w:szCs w:val="24"/>
          <w:highlight w:val="none"/>
        </w:rPr>
      </w:pPr>
      <w:r>
        <w:rPr>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ascii="宋体" w:hAnsi="宋体" w:cs="宋体"/>
          <w:color w:val="auto"/>
          <w:sz w:val="24"/>
          <w:szCs w:val="24"/>
          <w:highlight w:val="none"/>
        </w:rPr>
        <w:t>1</w:t>
      </w:r>
      <w:r>
        <w:rPr>
          <w:rFonts w:hint="eastAsia" w:ascii="宋体" w:hAnsi="宋体" w:cs="宋体"/>
          <w:color w:val="auto"/>
          <w:sz w:val="24"/>
          <w:szCs w:val="24"/>
          <w:highlight w:val="none"/>
        </w:rPr>
        <w:t>、一旦我单位中标，我单位愿意承接报价一览表中所列的技术服务，服务期为：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天。</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、一旦我单位中标，我们保证按照磋商文件的要求，完成服务。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、如果我单位中标，我方将按照要求严格履行合同义务。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、除非另行达成协议并生效，你方的成交通知书和本磋商函将构成约束你我双方的合同。</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、我单位承诺，一旦发生磋商文件第二部分第</w:t>
      </w:r>
      <w:r>
        <w:rPr>
          <w:rFonts w:ascii="宋体" w:hAnsi="宋体" w:cs="宋体"/>
          <w:color w:val="auto"/>
          <w:sz w:val="24"/>
          <w:szCs w:val="24"/>
          <w:highlight w:val="none"/>
        </w:rPr>
        <w:t>11</w:t>
      </w:r>
      <w:r>
        <w:rPr>
          <w:rFonts w:hint="eastAsia" w:ascii="宋体" w:hAnsi="宋体" w:cs="宋体"/>
          <w:color w:val="auto"/>
          <w:sz w:val="24"/>
          <w:szCs w:val="24"/>
          <w:highlight w:val="none"/>
        </w:rPr>
        <w:t>条规定情形之一的，承担该条款约定的责任。</w:t>
      </w:r>
    </w:p>
    <w:p>
      <w:pPr>
        <w:pStyle w:val="15"/>
        <w:snapToGrid w:val="0"/>
        <w:spacing w:line="360" w:lineRule="auto"/>
        <w:ind w:left="480"/>
        <w:jc w:val="left"/>
        <w:rPr>
          <w:rFonts w:hAnsi="宋体"/>
          <w:color w:val="auto"/>
          <w:sz w:val="24"/>
          <w:szCs w:val="24"/>
          <w:highlight w:val="none"/>
        </w:rPr>
      </w:pPr>
      <w:r>
        <w:rPr>
          <w:rFonts w:hAnsi="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邮编：</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电话：</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供应商代表姓名：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供应商名称</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（公章）：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firstLine="5280" w:firstLineChars="2200"/>
        <w:rPr>
          <w:rFonts w:ascii="宋体"/>
          <w:color w:val="auto"/>
          <w:sz w:val="24"/>
          <w:szCs w:val="24"/>
          <w:highlight w:val="none"/>
        </w:rPr>
      </w:pPr>
    </w:p>
    <w:p>
      <w:pPr>
        <w:rPr>
          <w:color w:val="auto"/>
          <w:sz w:val="24"/>
          <w:szCs w:val="24"/>
          <w:highlight w:val="none"/>
          <w:lang w:val="zh-CN"/>
        </w:rPr>
      </w:pPr>
      <w:bookmarkStart w:id="107" w:name="_Toc12011"/>
      <w:r>
        <w:rPr>
          <w:color w:val="auto"/>
          <w:sz w:val="24"/>
          <w:szCs w:val="24"/>
          <w:highlight w:val="none"/>
          <w:lang w:val="zh-CN"/>
        </w:rPr>
        <w:br w:type="page"/>
      </w:r>
    </w:p>
    <w:p>
      <w:pPr>
        <w:rPr>
          <w:b/>
          <w:bCs/>
          <w:color w:val="auto"/>
          <w:sz w:val="24"/>
          <w:szCs w:val="24"/>
          <w:highlight w:val="none"/>
          <w:lang w:val="zh-CN"/>
        </w:rPr>
      </w:pPr>
      <w:r>
        <w:rPr>
          <w:rFonts w:hint="eastAsia" w:cs="宋体"/>
          <w:b/>
          <w:bCs/>
          <w:color w:val="auto"/>
          <w:sz w:val="24"/>
          <w:szCs w:val="24"/>
          <w:highlight w:val="none"/>
          <w:lang w:val="zh-CN"/>
        </w:rPr>
        <w:t>附件</w:t>
      </w:r>
      <w:bookmarkStart w:id="108" w:name="_Toc130094925"/>
      <w:bookmarkStart w:id="109" w:name="_Toc98731771"/>
      <w:r>
        <w:rPr>
          <w:rFonts w:hint="eastAsia" w:cs="宋体"/>
          <w:b/>
          <w:bCs/>
          <w:color w:val="auto"/>
          <w:sz w:val="24"/>
          <w:szCs w:val="24"/>
          <w:highlight w:val="none"/>
        </w:rPr>
        <w:t>十三：</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报价一览表</w:t>
      </w:r>
      <w:bookmarkEnd w:id="107"/>
      <w:bookmarkEnd w:id="108"/>
      <w:bookmarkEnd w:id="109"/>
    </w:p>
    <w:p>
      <w:pPr>
        <w:pStyle w:val="15"/>
        <w:spacing w:line="360" w:lineRule="auto"/>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7"/>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5"/>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投标总价</w:t>
            </w:r>
          </w:p>
        </w:tc>
        <w:tc>
          <w:tcPr>
            <w:tcW w:w="6707" w:type="dxa"/>
            <w:vAlign w:val="center"/>
          </w:tcPr>
          <w:p>
            <w:pPr>
              <w:pStyle w:val="15"/>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大写：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元（小写：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5"/>
              <w:spacing w:line="360" w:lineRule="auto"/>
              <w:ind w:firstLine="482" w:firstLineChars="200"/>
              <w:rPr>
                <w:rFonts w:hAnsi="宋体" w:cs="Times New Roman"/>
                <w:b/>
                <w:bCs/>
                <w:color w:val="auto"/>
                <w:sz w:val="24"/>
                <w:szCs w:val="24"/>
                <w:highlight w:val="none"/>
              </w:rPr>
            </w:pPr>
            <w:r>
              <w:rPr>
                <w:rFonts w:hint="eastAsia" w:hAnsi="宋体" w:cs="Times New Roman"/>
                <w:b/>
                <w:bCs/>
                <w:color w:val="auto"/>
                <w:sz w:val="24"/>
                <w:szCs w:val="24"/>
                <w:highlight w:val="none"/>
              </w:rPr>
              <w:t>本次报价应包含项目所需全部服务，不得缺漏，是履行合同的最终价格（人员的工资福利、员工五险费(养老保险、医疗保险、失业保险、工伤保险、生育保险)、管理费、税费、监测设备的采购安装费、质检费、专家费、人工成本费、管理费、办公用品、税费、调查项目竣工验收费和采购代理费等一切费用）。</w:t>
            </w:r>
          </w:p>
        </w:tc>
      </w:tr>
    </w:tbl>
    <w:p>
      <w:pPr>
        <w:pStyle w:val="15"/>
        <w:spacing w:line="360" w:lineRule="auto"/>
        <w:rPr>
          <w:rFonts w:hAnsi="宋体" w:cs="Times New Roman"/>
          <w:color w:val="auto"/>
          <w:sz w:val="24"/>
          <w:szCs w:val="24"/>
          <w:highlight w:val="none"/>
        </w:rPr>
      </w:pPr>
    </w:p>
    <w:p>
      <w:pPr>
        <w:pStyle w:val="15"/>
        <w:spacing w:line="360" w:lineRule="auto"/>
        <w:rPr>
          <w:rFonts w:hAnsi="宋体" w:cs="Times New Roman"/>
          <w:color w:val="auto"/>
          <w:sz w:val="24"/>
          <w:szCs w:val="24"/>
          <w:highlight w:val="none"/>
        </w:rPr>
      </w:pPr>
    </w:p>
    <w:p>
      <w:pPr>
        <w:pStyle w:val="15"/>
        <w:spacing w:line="360" w:lineRule="auto"/>
        <w:rPr>
          <w:rFonts w:hAnsi="宋体" w:cs="Times New Roman"/>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pacing w:line="360" w:lineRule="auto"/>
        <w:jc w:val="left"/>
        <w:rPr>
          <w:rFonts w:ascii="宋体"/>
          <w:b/>
          <w:bCs/>
          <w:color w:val="auto"/>
          <w:sz w:val="24"/>
          <w:szCs w:val="24"/>
          <w:highlight w:val="none"/>
          <w:lang w:val="zh-CN"/>
        </w:rPr>
      </w:pPr>
      <w:r>
        <w:rPr>
          <w:rFonts w:ascii="宋体"/>
          <w:color w:val="auto"/>
          <w:highlight w:val="none"/>
        </w:rPr>
        <w:br w:type="page"/>
      </w:r>
      <w:bookmarkStart w:id="110" w:name="_Toc7196"/>
      <w:r>
        <w:rPr>
          <w:rFonts w:hint="eastAsia" w:ascii="宋体" w:hAnsi="宋体" w:cs="宋体"/>
          <w:b/>
          <w:bCs/>
          <w:color w:val="auto"/>
          <w:sz w:val="24"/>
          <w:szCs w:val="24"/>
          <w:highlight w:val="none"/>
          <w:lang w:val="zh-CN"/>
        </w:rPr>
        <w:t>附件十</w:t>
      </w:r>
      <w:r>
        <w:rPr>
          <w:rFonts w:hint="eastAsia" w:hAnsi="宋体" w:cs="宋体"/>
          <w:b/>
          <w:bCs/>
          <w:color w:val="auto"/>
          <w:sz w:val="24"/>
          <w:szCs w:val="24"/>
          <w:highlight w:val="none"/>
        </w:rPr>
        <w:t>四</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磋商报价明细表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7"/>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2492"/>
        <w:gridCol w:w="915"/>
        <w:gridCol w:w="1876"/>
        <w:gridCol w:w="495"/>
        <w:gridCol w:w="498"/>
        <w:gridCol w:w="11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restart"/>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序</w:t>
            </w:r>
          </w:p>
          <w:p>
            <w:pPr>
              <w:pStyle w:val="15"/>
              <w:spacing w:line="360" w:lineRule="auto"/>
              <w:jc w:val="center"/>
              <w:rPr>
                <w:rFonts w:hAnsi="宋体"/>
                <w:color w:val="auto"/>
                <w:sz w:val="22"/>
                <w:szCs w:val="22"/>
                <w:highlight w:val="none"/>
              </w:rPr>
            </w:pPr>
            <w:r>
              <w:rPr>
                <w:rFonts w:hint="eastAsia" w:hAnsi="宋体"/>
                <w:color w:val="auto"/>
                <w:sz w:val="22"/>
                <w:szCs w:val="22"/>
                <w:highlight w:val="none"/>
              </w:rPr>
              <w:t>号</w:t>
            </w:r>
          </w:p>
        </w:tc>
        <w:tc>
          <w:tcPr>
            <w:tcW w:w="2492" w:type="dxa"/>
            <w:vMerge w:val="restart"/>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名称</w:t>
            </w:r>
          </w:p>
        </w:tc>
        <w:tc>
          <w:tcPr>
            <w:tcW w:w="915" w:type="dxa"/>
            <w:vMerge w:val="restart"/>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内容</w:t>
            </w:r>
          </w:p>
        </w:tc>
        <w:tc>
          <w:tcPr>
            <w:tcW w:w="1876" w:type="dxa"/>
            <w:vMerge w:val="restart"/>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其他</w:t>
            </w:r>
          </w:p>
        </w:tc>
        <w:tc>
          <w:tcPr>
            <w:tcW w:w="495" w:type="dxa"/>
            <w:vMerge w:val="restart"/>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单</w:t>
            </w:r>
          </w:p>
          <w:p>
            <w:pPr>
              <w:pStyle w:val="15"/>
              <w:spacing w:line="360" w:lineRule="auto"/>
              <w:jc w:val="center"/>
              <w:rPr>
                <w:rFonts w:hAnsi="宋体"/>
                <w:color w:val="auto"/>
                <w:sz w:val="22"/>
                <w:szCs w:val="22"/>
                <w:highlight w:val="none"/>
              </w:rPr>
            </w:pPr>
            <w:r>
              <w:rPr>
                <w:rFonts w:hint="eastAsia" w:hAnsi="宋体"/>
                <w:color w:val="auto"/>
                <w:sz w:val="22"/>
                <w:szCs w:val="22"/>
                <w:highlight w:val="none"/>
              </w:rPr>
              <w:t>位</w:t>
            </w:r>
          </w:p>
        </w:tc>
        <w:tc>
          <w:tcPr>
            <w:tcW w:w="498" w:type="dxa"/>
            <w:vMerge w:val="restart"/>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数量</w:t>
            </w:r>
          </w:p>
        </w:tc>
        <w:tc>
          <w:tcPr>
            <w:tcW w:w="2272" w:type="dxa"/>
            <w:gridSpan w:val="2"/>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continue"/>
            <w:vAlign w:val="center"/>
          </w:tcPr>
          <w:p>
            <w:pPr>
              <w:pStyle w:val="15"/>
              <w:spacing w:line="360" w:lineRule="auto"/>
              <w:jc w:val="center"/>
              <w:rPr>
                <w:rFonts w:hAnsi="宋体"/>
                <w:color w:val="auto"/>
                <w:sz w:val="22"/>
                <w:szCs w:val="22"/>
                <w:highlight w:val="none"/>
              </w:rPr>
            </w:pPr>
          </w:p>
        </w:tc>
        <w:tc>
          <w:tcPr>
            <w:tcW w:w="2492" w:type="dxa"/>
            <w:vMerge w:val="continue"/>
            <w:vAlign w:val="center"/>
          </w:tcPr>
          <w:p>
            <w:pPr>
              <w:pStyle w:val="15"/>
              <w:spacing w:line="360" w:lineRule="auto"/>
              <w:jc w:val="center"/>
              <w:rPr>
                <w:rFonts w:hAnsi="宋体"/>
                <w:color w:val="auto"/>
                <w:sz w:val="22"/>
                <w:szCs w:val="22"/>
                <w:highlight w:val="none"/>
              </w:rPr>
            </w:pPr>
          </w:p>
        </w:tc>
        <w:tc>
          <w:tcPr>
            <w:tcW w:w="915" w:type="dxa"/>
            <w:vMerge w:val="continue"/>
            <w:vAlign w:val="center"/>
          </w:tcPr>
          <w:p>
            <w:pPr>
              <w:pStyle w:val="15"/>
              <w:spacing w:line="360" w:lineRule="auto"/>
              <w:jc w:val="center"/>
              <w:rPr>
                <w:rFonts w:hAnsi="宋体"/>
                <w:color w:val="auto"/>
                <w:sz w:val="22"/>
                <w:szCs w:val="22"/>
                <w:highlight w:val="none"/>
              </w:rPr>
            </w:pPr>
          </w:p>
        </w:tc>
        <w:tc>
          <w:tcPr>
            <w:tcW w:w="1876" w:type="dxa"/>
            <w:vMerge w:val="continue"/>
            <w:vAlign w:val="center"/>
          </w:tcPr>
          <w:p>
            <w:pPr>
              <w:pStyle w:val="15"/>
              <w:spacing w:line="360" w:lineRule="auto"/>
              <w:jc w:val="center"/>
              <w:rPr>
                <w:rFonts w:hAnsi="宋体"/>
                <w:color w:val="auto"/>
                <w:sz w:val="22"/>
                <w:szCs w:val="22"/>
                <w:highlight w:val="none"/>
              </w:rPr>
            </w:pPr>
          </w:p>
        </w:tc>
        <w:tc>
          <w:tcPr>
            <w:tcW w:w="495" w:type="dxa"/>
            <w:vMerge w:val="continue"/>
            <w:vAlign w:val="center"/>
          </w:tcPr>
          <w:p>
            <w:pPr>
              <w:pStyle w:val="15"/>
              <w:spacing w:line="360" w:lineRule="auto"/>
              <w:jc w:val="center"/>
              <w:rPr>
                <w:rFonts w:hAnsi="宋体"/>
                <w:color w:val="auto"/>
                <w:sz w:val="22"/>
                <w:szCs w:val="22"/>
                <w:highlight w:val="none"/>
              </w:rPr>
            </w:pPr>
          </w:p>
        </w:tc>
        <w:tc>
          <w:tcPr>
            <w:tcW w:w="498" w:type="dxa"/>
            <w:vMerge w:val="continue"/>
            <w:vAlign w:val="center"/>
          </w:tcPr>
          <w:p>
            <w:pPr>
              <w:pStyle w:val="15"/>
              <w:spacing w:line="360" w:lineRule="auto"/>
              <w:jc w:val="center"/>
              <w:rPr>
                <w:rFonts w:hAnsi="宋体"/>
                <w:color w:val="auto"/>
                <w:sz w:val="22"/>
                <w:szCs w:val="22"/>
                <w:highlight w:val="none"/>
              </w:rPr>
            </w:pPr>
          </w:p>
        </w:tc>
        <w:tc>
          <w:tcPr>
            <w:tcW w:w="1148" w:type="dxa"/>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单价</w:t>
            </w:r>
          </w:p>
        </w:tc>
        <w:tc>
          <w:tcPr>
            <w:tcW w:w="1124" w:type="dxa"/>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5"/>
              <w:jc w:val="center"/>
              <w:rPr>
                <w:rFonts w:hAnsi="宋体"/>
                <w:color w:val="auto"/>
                <w:sz w:val="22"/>
                <w:szCs w:val="22"/>
                <w:highlight w:val="none"/>
              </w:rPr>
            </w:pPr>
            <w:r>
              <w:rPr>
                <w:rFonts w:hint="eastAsia" w:hAnsi="宋体"/>
                <w:color w:val="auto"/>
                <w:sz w:val="22"/>
                <w:szCs w:val="22"/>
                <w:highlight w:val="none"/>
              </w:rPr>
              <w:t>1</w:t>
            </w:r>
          </w:p>
        </w:tc>
        <w:tc>
          <w:tcPr>
            <w:tcW w:w="2492" w:type="dxa"/>
            <w:vAlign w:val="center"/>
          </w:tcPr>
          <w:p>
            <w:pPr>
              <w:pStyle w:val="15"/>
              <w:rPr>
                <w:rFonts w:hAnsi="宋体"/>
                <w:color w:val="auto"/>
                <w:sz w:val="22"/>
                <w:szCs w:val="22"/>
                <w:highlight w:val="none"/>
              </w:rPr>
            </w:pPr>
          </w:p>
        </w:tc>
        <w:tc>
          <w:tcPr>
            <w:tcW w:w="915" w:type="dxa"/>
            <w:vAlign w:val="center"/>
          </w:tcPr>
          <w:p>
            <w:pPr>
              <w:pStyle w:val="15"/>
              <w:spacing w:line="360" w:lineRule="auto"/>
              <w:rPr>
                <w:rFonts w:hAnsi="宋体"/>
                <w:b/>
                <w:bCs/>
                <w:color w:val="auto"/>
                <w:sz w:val="22"/>
                <w:szCs w:val="22"/>
                <w:highlight w:val="none"/>
              </w:rPr>
            </w:pPr>
          </w:p>
        </w:tc>
        <w:tc>
          <w:tcPr>
            <w:tcW w:w="1876" w:type="dxa"/>
            <w:vAlign w:val="center"/>
          </w:tcPr>
          <w:p>
            <w:pPr>
              <w:pStyle w:val="15"/>
              <w:spacing w:line="360" w:lineRule="auto"/>
              <w:rPr>
                <w:rFonts w:hAnsi="宋体"/>
                <w:b/>
                <w:bCs/>
                <w:color w:val="auto"/>
                <w:sz w:val="22"/>
                <w:szCs w:val="22"/>
                <w:highlight w:val="none"/>
              </w:rPr>
            </w:pPr>
          </w:p>
        </w:tc>
        <w:tc>
          <w:tcPr>
            <w:tcW w:w="495" w:type="dxa"/>
            <w:vAlign w:val="center"/>
          </w:tcPr>
          <w:p>
            <w:pPr>
              <w:pStyle w:val="15"/>
              <w:spacing w:line="360" w:lineRule="auto"/>
              <w:rPr>
                <w:rFonts w:hAnsi="宋体"/>
                <w:b/>
                <w:bCs/>
                <w:color w:val="auto"/>
                <w:sz w:val="22"/>
                <w:szCs w:val="22"/>
                <w:highlight w:val="none"/>
              </w:rPr>
            </w:pPr>
          </w:p>
        </w:tc>
        <w:tc>
          <w:tcPr>
            <w:tcW w:w="498" w:type="dxa"/>
            <w:vAlign w:val="center"/>
          </w:tcPr>
          <w:p>
            <w:pPr>
              <w:pStyle w:val="15"/>
              <w:spacing w:line="360" w:lineRule="auto"/>
              <w:rPr>
                <w:rFonts w:hAnsi="宋体"/>
                <w:b/>
                <w:bCs/>
                <w:color w:val="auto"/>
                <w:sz w:val="22"/>
                <w:szCs w:val="22"/>
                <w:highlight w:val="none"/>
              </w:rPr>
            </w:pPr>
          </w:p>
        </w:tc>
        <w:tc>
          <w:tcPr>
            <w:tcW w:w="1148" w:type="dxa"/>
          </w:tcPr>
          <w:p>
            <w:pPr>
              <w:pStyle w:val="15"/>
              <w:spacing w:line="360" w:lineRule="auto"/>
              <w:rPr>
                <w:rFonts w:hAnsi="宋体"/>
                <w:color w:val="auto"/>
                <w:sz w:val="22"/>
                <w:szCs w:val="22"/>
                <w:highlight w:val="none"/>
              </w:rPr>
            </w:pPr>
          </w:p>
        </w:tc>
        <w:tc>
          <w:tcPr>
            <w:tcW w:w="1124" w:type="dxa"/>
          </w:tcPr>
          <w:p>
            <w:pPr>
              <w:pStyle w:val="15"/>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5"/>
              <w:jc w:val="center"/>
              <w:rPr>
                <w:rFonts w:hAnsi="宋体"/>
                <w:color w:val="auto"/>
                <w:sz w:val="22"/>
                <w:szCs w:val="22"/>
                <w:highlight w:val="none"/>
              </w:rPr>
            </w:pPr>
            <w:r>
              <w:rPr>
                <w:rFonts w:hint="eastAsia" w:hAnsi="宋体"/>
                <w:color w:val="auto"/>
                <w:sz w:val="22"/>
                <w:szCs w:val="22"/>
                <w:highlight w:val="none"/>
              </w:rPr>
              <w:t>2</w:t>
            </w:r>
          </w:p>
        </w:tc>
        <w:tc>
          <w:tcPr>
            <w:tcW w:w="2492" w:type="dxa"/>
            <w:vAlign w:val="center"/>
          </w:tcPr>
          <w:p>
            <w:pPr>
              <w:pStyle w:val="15"/>
              <w:rPr>
                <w:rFonts w:hAnsi="宋体"/>
                <w:color w:val="auto"/>
                <w:sz w:val="22"/>
                <w:szCs w:val="22"/>
                <w:highlight w:val="none"/>
              </w:rPr>
            </w:pPr>
          </w:p>
        </w:tc>
        <w:tc>
          <w:tcPr>
            <w:tcW w:w="915" w:type="dxa"/>
            <w:vAlign w:val="center"/>
          </w:tcPr>
          <w:p>
            <w:pPr>
              <w:pStyle w:val="15"/>
              <w:spacing w:line="360" w:lineRule="auto"/>
              <w:rPr>
                <w:rFonts w:hAnsi="宋体"/>
                <w:b/>
                <w:bCs/>
                <w:color w:val="auto"/>
                <w:sz w:val="22"/>
                <w:szCs w:val="22"/>
                <w:highlight w:val="none"/>
              </w:rPr>
            </w:pPr>
          </w:p>
        </w:tc>
        <w:tc>
          <w:tcPr>
            <w:tcW w:w="1876" w:type="dxa"/>
            <w:vAlign w:val="center"/>
          </w:tcPr>
          <w:p>
            <w:pPr>
              <w:pStyle w:val="15"/>
              <w:spacing w:line="360" w:lineRule="auto"/>
              <w:rPr>
                <w:rFonts w:hAnsi="宋体"/>
                <w:b/>
                <w:bCs/>
                <w:color w:val="auto"/>
                <w:sz w:val="22"/>
                <w:szCs w:val="22"/>
                <w:highlight w:val="none"/>
              </w:rPr>
            </w:pPr>
          </w:p>
        </w:tc>
        <w:tc>
          <w:tcPr>
            <w:tcW w:w="495" w:type="dxa"/>
            <w:vAlign w:val="center"/>
          </w:tcPr>
          <w:p>
            <w:pPr>
              <w:pStyle w:val="15"/>
              <w:spacing w:line="360" w:lineRule="auto"/>
              <w:rPr>
                <w:rFonts w:hAnsi="宋体"/>
                <w:b/>
                <w:bCs/>
                <w:color w:val="auto"/>
                <w:sz w:val="22"/>
                <w:szCs w:val="22"/>
                <w:highlight w:val="none"/>
              </w:rPr>
            </w:pPr>
          </w:p>
        </w:tc>
        <w:tc>
          <w:tcPr>
            <w:tcW w:w="498" w:type="dxa"/>
            <w:vAlign w:val="center"/>
          </w:tcPr>
          <w:p>
            <w:pPr>
              <w:pStyle w:val="15"/>
              <w:spacing w:line="360" w:lineRule="auto"/>
              <w:rPr>
                <w:rFonts w:hAnsi="宋体"/>
                <w:b/>
                <w:bCs/>
                <w:color w:val="auto"/>
                <w:sz w:val="22"/>
                <w:szCs w:val="22"/>
                <w:highlight w:val="none"/>
              </w:rPr>
            </w:pPr>
          </w:p>
        </w:tc>
        <w:tc>
          <w:tcPr>
            <w:tcW w:w="1148" w:type="dxa"/>
          </w:tcPr>
          <w:p>
            <w:pPr>
              <w:pStyle w:val="15"/>
              <w:spacing w:line="360" w:lineRule="auto"/>
              <w:rPr>
                <w:rFonts w:hAnsi="宋体"/>
                <w:color w:val="auto"/>
                <w:sz w:val="22"/>
                <w:szCs w:val="22"/>
                <w:highlight w:val="none"/>
              </w:rPr>
            </w:pPr>
          </w:p>
        </w:tc>
        <w:tc>
          <w:tcPr>
            <w:tcW w:w="1124" w:type="dxa"/>
          </w:tcPr>
          <w:p>
            <w:pPr>
              <w:pStyle w:val="15"/>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5"/>
              <w:jc w:val="center"/>
              <w:rPr>
                <w:rFonts w:hAnsi="宋体"/>
                <w:color w:val="auto"/>
                <w:sz w:val="22"/>
                <w:szCs w:val="22"/>
                <w:highlight w:val="none"/>
              </w:rPr>
            </w:pPr>
            <w:r>
              <w:rPr>
                <w:rFonts w:hint="eastAsia" w:hAnsi="宋体"/>
                <w:color w:val="auto"/>
                <w:sz w:val="22"/>
                <w:szCs w:val="22"/>
                <w:highlight w:val="none"/>
              </w:rPr>
              <w:t>3</w:t>
            </w:r>
          </w:p>
        </w:tc>
        <w:tc>
          <w:tcPr>
            <w:tcW w:w="2492" w:type="dxa"/>
            <w:vAlign w:val="center"/>
          </w:tcPr>
          <w:p>
            <w:pPr>
              <w:pStyle w:val="15"/>
              <w:rPr>
                <w:rFonts w:hAnsi="宋体"/>
                <w:color w:val="auto"/>
                <w:sz w:val="22"/>
                <w:szCs w:val="22"/>
                <w:highlight w:val="none"/>
              </w:rPr>
            </w:pPr>
          </w:p>
        </w:tc>
        <w:tc>
          <w:tcPr>
            <w:tcW w:w="915" w:type="dxa"/>
            <w:vAlign w:val="center"/>
          </w:tcPr>
          <w:p>
            <w:pPr>
              <w:pStyle w:val="15"/>
              <w:spacing w:line="360" w:lineRule="auto"/>
              <w:rPr>
                <w:rFonts w:hAnsi="宋体"/>
                <w:b/>
                <w:bCs/>
                <w:color w:val="auto"/>
                <w:sz w:val="22"/>
                <w:szCs w:val="22"/>
                <w:highlight w:val="none"/>
              </w:rPr>
            </w:pPr>
          </w:p>
        </w:tc>
        <w:tc>
          <w:tcPr>
            <w:tcW w:w="1876" w:type="dxa"/>
            <w:vAlign w:val="center"/>
          </w:tcPr>
          <w:p>
            <w:pPr>
              <w:pStyle w:val="15"/>
              <w:spacing w:line="360" w:lineRule="auto"/>
              <w:rPr>
                <w:rFonts w:hAnsi="宋体"/>
                <w:b/>
                <w:bCs/>
                <w:color w:val="auto"/>
                <w:sz w:val="22"/>
                <w:szCs w:val="22"/>
                <w:highlight w:val="none"/>
              </w:rPr>
            </w:pPr>
          </w:p>
        </w:tc>
        <w:tc>
          <w:tcPr>
            <w:tcW w:w="495" w:type="dxa"/>
            <w:vAlign w:val="center"/>
          </w:tcPr>
          <w:p>
            <w:pPr>
              <w:pStyle w:val="15"/>
              <w:spacing w:line="360" w:lineRule="auto"/>
              <w:rPr>
                <w:rFonts w:hAnsi="宋体"/>
                <w:b/>
                <w:bCs/>
                <w:color w:val="auto"/>
                <w:sz w:val="22"/>
                <w:szCs w:val="22"/>
                <w:highlight w:val="none"/>
              </w:rPr>
            </w:pPr>
          </w:p>
        </w:tc>
        <w:tc>
          <w:tcPr>
            <w:tcW w:w="498" w:type="dxa"/>
            <w:vAlign w:val="center"/>
          </w:tcPr>
          <w:p>
            <w:pPr>
              <w:pStyle w:val="15"/>
              <w:spacing w:line="360" w:lineRule="auto"/>
              <w:rPr>
                <w:rFonts w:hAnsi="宋体"/>
                <w:b/>
                <w:bCs/>
                <w:color w:val="auto"/>
                <w:sz w:val="22"/>
                <w:szCs w:val="22"/>
                <w:highlight w:val="none"/>
              </w:rPr>
            </w:pPr>
          </w:p>
        </w:tc>
        <w:tc>
          <w:tcPr>
            <w:tcW w:w="1148" w:type="dxa"/>
          </w:tcPr>
          <w:p>
            <w:pPr>
              <w:pStyle w:val="15"/>
              <w:spacing w:line="360" w:lineRule="auto"/>
              <w:rPr>
                <w:rFonts w:hAnsi="宋体"/>
                <w:color w:val="auto"/>
                <w:sz w:val="22"/>
                <w:szCs w:val="22"/>
                <w:highlight w:val="none"/>
              </w:rPr>
            </w:pPr>
          </w:p>
        </w:tc>
        <w:tc>
          <w:tcPr>
            <w:tcW w:w="1124" w:type="dxa"/>
          </w:tcPr>
          <w:p>
            <w:pPr>
              <w:pStyle w:val="15"/>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5"/>
              <w:jc w:val="center"/>
              <w:rPr>
                <w:rFonts w:hAnsi="宋体"/>
                <w:color w:val="auto"/>
                <w:sz w:val="22"/>
                <w:szCs w:val="22"/>
                <w:highlight w:val="none"/>
              </w:rPr>
            </w:pPr>
            <w:r>
              <w:rPr>
                <w:rFonts w:hint="eastAsia" w:hAnsi="宋体"/>
                <w:color w:val="auto"/>
                <w:sz w:val="22"/>
                <w:szCs w:val="22"/>
                <w:highlight w:val="none"/>
              </w:rPr>
              <w:t>4</w:t>
            </w:r>
          </w:p>
        </w:tc>
        <w:tc>
          <w:tcPr>
            <w:tcW w:w="2492" w:type="dxa"/>
            <w:vAlign w:val="center"/>
          </w:tcPr>
          <w:p>
            <w:pPr>
              <w:pStyle w:val="15"/>
              <w:rPr>
                <w:rFonts w:hAnsi="宋体"/>
                <w:color w:val="auto"/>
                <w:sz w:val="22"/>
                <w:szCs w:val="22"/>
                <w:highlight w:val="none"/>
              </w:rPr>
            </w:pPr>
          </w:p>
        </w:tc>
        <w:tc>
          <w:tcPr>
            <w:tcW w:w="915" w:type="dxa"/>
            <w:vAlign w:val="center"/>
          </w:tcPr>
          <w:p>
            <w:pPr>
              <w:pStyle w:val="15"/>
              <w:spacing w:line="360" w:lineRule="auto"/>
              <w:jc w:val="center"/>
              <w:rPr>
                <w:rFonts w:hAnsi="宋体"/>
                <w:color w:val="auto"/>
                <w:sz w:val="22"/>
                <w:szCs w:val="22"/>
                <w:highlight w:val="none"/>
              </w:rPr>
            </w:pPr>
          </w:p>
        </w:tc>
        <w:tc>
          <w:tcPr>
            <w:tcW w:w="1876" w:type="dxa"/>
            <w:vAlign w:val="center"/>
          </w:tcPr>
          <w:p>
            <w:pPr>
              <w:pStyle w:val="15"/>
              <w:spacing w:line="360" w:lineRule="auto"/>
              <w:jc w:val="center"/>
              <w:rPr>
                <w:rFonts w:hAnsi="宋体"/>
                <w:color w:val="auto"/>
                <w:sz w:val="22"/>
                <w:szCs w:val="22"/>
                <w:highlight w:val="none"/>
              </w:rPr>
            </w:pPr>
          </w:p>
        </w:tc>
        <w:tc>
          <w:tcPr>
            <w:tcW w:w="495" w:type="dxa"/>
            <w:vAlign w:val="center"/>
          </w:tcPr>
          <w:p>
            <w:pPr>
              <w:pStyle w:val="15"/>
              <w:spacing w:line="360" w:lineRule="auto"/>
              <w:jc w:val="center"/>
              <w:rPr>
                <w:rFonts w:hAnsi="宋体"/>
                <w:color w:val="auto"/>
                <w:sz w:val="22"/>
                <w:szCs w:val="22"/>
                <w:highlight w:val="none"/>
              </w:rPr>
            </w:pPr>
          </w:p>
        </w:tc>
        <w:tc>
          <w:tcPr>
            <w:tcW w:w="498" w:type="dxa"/>
            <w:vAlign w:val="center"/>
          </w:tcPr>
          <w:p>
            <w:pPr>
              <w:pStyle w:val="15"/>
              <w:spacing w:line="360" w:lineRule="auto"/>
              <w:jc w:val="center"/>
              <w:rPr>
                <w:rFonts w:hAnsi="宋体"/>
                <w:color w:val="auto"/>
                <w:sz w:val="22"/>
                <w:szCs w:val="22"/>
                <w:highlight w:val="none"/>
              </w:rPr>
            </w:pPr>
          </w:p>
        </w:tc>
        <w:tc>
          <w:tcPr>
            <w:tcW w:w="1148" w:type="dxa"/>
          </w:tcPr>
          <w:p>
            <w:pPr>
              <w:pStyle w:val="15"/>
              <w:spacing w:line="360" w:lineRule="auto"/>
              <w:rPr>
                <w:rFonts w:hAnsi="宋体"/>
                <w:color w:val="auto"/>
                <w:sz w:val="22"/>
                <w:szCs w:val="22"/>
                <w:highlight w:val="none"/>
              </w:rPr>
            </w:pPr>
          </w:p>
        </w:tc>
        <w:tc>
          <w:tcPr>
            <w:tcW w:w="1124" w:type="dxa"/>
          </w:tcPr>
          <w:p>
            <w:pPr>
              <w:pStyle w:val="15"/>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5</w:t>
            </w:r>
          </w:p>
        </w:tc>
        <w:tc>
          <w:tcPr>
            <w:tcW w:w="2492" w:type="dxa"/>
            <w:vAlign w:val="center"/>
          </w:tcPr>
          <w:p>
            <w:pPr>
              <w:pStyle w:val="15"/>
              <w:spacing w:line="360" w:lineRule="auto"/>
              <w:jc w:val="center"/>
              <w:rPr>
                <w:rFonts w:hAnsi="宋体"/>
                <w:color w:val="auto"/>
                <w:sz w:val="22"/>
                <w:szCs w:val="22"/>
                <w:highlight w:val="none"/>
              </w:rPr>
            </w:pPr>
          </w:p>
        </w:tc>
        <w:tc>
          <w:tcPr>
            <w:tcW w:w="915" w:type="dxa"/>
            <w:vAlign w:val="center"/>
          </w:tcPr>
          <w:p>
            <w:pPr>
              <w:jc w:val="center"/>
              <w:rPr>
                <w:rFonts w:ascii="宋体" w:hAnsi="宋体" w:cs="宋体"/>
                <w:b/>
                <w:bCs/>
                <w:color w:val="auto"/>
                <w:sz w:val="22"/>
                <w:szCs w:val="22"/>
                <w:highlight w:val="none"/>
              </w:rPr>
            </w:pPr>
          </w:p>
        </w:tc>
        <w:tc>
          <w:tcPr>
            <w:tcW w:w="1876" w:type="dxa"/>
            <w:vAlign w:val="center"/>
          </w:tcPr>
          <w:p>
            <w:pPr>
              <w:jc w:val="center"/>
              <w:rPr>
                <w:rFonts w:ascii="宋体" w:hAnsi="宋体" w:cs="宋体"/>
                <w:b/>
                <w:bCs/>
                <w:color w:val="auto"/>
                <w:sz w:val="22"/>
                <w:szCs w:val="22"/>
                <w:highlight w:val="none"/>
              </w:rPr>
            </w:pPr>
          </w:p>
        </w:tc>
        <w:tc>
          <w:tcPr>
            <w:tcW w:w="495" w:type="dxa"/>
            <w:vAlign w:val="center"/>
          </w:tcPr>
          <w:p>
            <w:pPr>
              <w:pStyle w:val="15"/>
              <w:spacing w:line="360" w:lineRule="auto"/>
              <w:jc w:val="center"/>
              <w:rPr>
                <w:rFonts w:hAnsi="宋体"/>
                <w:b/>
                <w:bCs/>
                <w:color w:val="auto"/>
                <w:sz w:val="22"/>
                <w:szCs w:val="22"/>
                <w:highlight w:val="none"/>
              </w:rPr>
            </w:pPr>
          </w:p>
        </w:tc>
        <w:tc>
          <w:tcPr>
            <w:tcW w:w="498" w:type="dxa"/>
            <w:vAlign w:val="center"/>
          </w:tcPr>
          <w:p>
            <w:pPr>
              <w:pStyle w:val="15"/>
              <w:spacing w:line="360" w:lineRule="auto"/>
              <w:jc w:val="center"/>
              <w:rPr>
                <w:rFonts w:hAnsi="宋体"/>
                <w:b/>
                <w:bCs/>
                <w:color w:val="auto"/>
                <w:sz w:val="22"/>
                <w:szCs w:val="22"/>
                <w:highlight w:val="none"/>
              </w:rPr>
            </w:pPr>
          </w:p>
        </w:tc>
        <w:tc>
          <w:tcPr>
            <w:tcW w:w="1148" w:type="dxa"/>
            <w:vAlign w:val="center"/>
          </w:tcPr>
          <w:p>
            <w:pPr>
              <w:pStyle w:val="15"/>
              <w:spacing w:line="360" w:lineRule="auto"/>
              <w:jc w:val="center"/>
              <w:rPr>
                <w:rFonts w:hAnsi="宋体"/>
                <w:b/>
                <w:bCs/>
                <w:color w:val="auto"/>
                <w:sz w:val="22"/>
                <w:szCs w:val="22"/>
                <w:highlight w:val="none"/>
              </w:rPr>
            </w:pPr>
          </w:p>
        </w:tc>
        <w:tc>
          <w:tcPr>
            <w:tcW w:w="1124" w:type="dxa"/>
            <w:vAlign w:val="center"/>
          </w:tcPr>
          <w:p>
            <w:pPr>
              <w:pStyle w:val="15"/>
              <w:spacing w:line="360" w:lineRule="auto"/>
              <w:jc w:val="center"/>
              <w:rPr>
                <w:rFonts w:hAns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tcPr>
          <w:p>
            <w:pPr>
              <w:pStyle w:val="15"/>
              <w:spacing w:line="360" w:lineRule="auto"/>
              <w:rPr>
                <w:rFonts w:hAnsi="宋体"/>
                <w:color w:val="auto"/>
                <w:sz w:val="22"/>
                <w:szCs w:val="22"/>
                <w:highlight w:val="none"/>
              </w:rPr>
            </w:pPr>
            <w:r>
              <w:rPr>
                <w:rFonts w:hint="eastAsia" w:hAnsi="宋体"/>
                <w:color w:val="auto"/>
                <w:sz w:val="22"/>
                <w:szCs w:val="22"/>
                <w:highlight w:val="none"/>
              </w:rPr>
              <w:t>…</w:t>
            </w:r>
          </w:p>
        </w:tc>
        <w:tc>
          <w:tcPr>
            <w:tcW w:w="2492" w:type="dxa"/>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w:t>
            </w:r>
          </w:p>
        </w:tc>
        <w:tc>
          <w:tcPr>
            <w:tcW w:w="915" w:type="dxa"/>
            <w:vAlign w:val="center"/>
          </w:tcPr>
          <w:p>
            <w:pPr>
              <w:jc w:val="center"/>
              <w:rPr>
                <w:rFonts w:ascii="宋体" w:hAnsi="宋体" w:cs="宋体"/>
                <w:color w:val="auto"/>
                <w:sz w:val="22"/>
                <w:szCs w:val="22"/>
                <w:highlight w:val="none"/>
              </w:rPr>
            </w:pPr>
          </w:p>
        </w:tc>
        <w:tc>
          <w:tcPr>
            <w:tcW w:w="1876" w:type="dxa"/>
            <w:vAlign w:val="center"/>
          </w:tcPr>
          <w:p>
            <w:pPr>
              <w:jc w:val="center"/>
              <w:rPr>
                <w:rFonts w:ascii="宋体" w:hAnsi="宋体" w:cs="宋体"/>
                <w:color w:val="auto"/>
                <w:sz w:val="22"/>
                <w:szCs w:val="22"/>
                <w:highlight w:val="none"/>
              </w:rPr>
            </w:pPr>
          </w:p>
        </w:tc>
        <w:tc>
          <w:tcPr>
            <w:tcW w:w="495" w:type="dxa"/>
            <w:vAlign w:val="center"/>
          </w:tcPr>
          <w:p>
            <w:pPr>
              <w:pStyle w:val="15"/>
              <w:spacing w:line="360" w:lineRule="auto"/>
              <w:jc w:val="center"/>
              <w:rPr>
                <w:rFonts w:hAnsi="宋体"/>
                <w:color w:val="auto"/>
                <w:sz w:val="22"/>
                <w:szCs w:val="22"/>
                <w:highlight w:val="none"/>
              </w:rPr>
            </w:pPr>
          </w:p>
        </w:tc>
        <w:tc>
          <w:tcPr>
            <w:tcW w:w="498" w:type="dxa"/>
            <w:vAlign w:val="center"/>
          </w:tcPr>
          <w:p>
            <w:pPr>
              <w:pStyle w:val="15"/>
              <w:spacing w:line="360" w:lineRule="auto"/>
              <w:jc w:val="center"/>
              <w:rPr>
                <w:rFonts w:hAnsi="宋体"/>
                <w:color w:val="auto"/>
                <w:sz w:val="22"/>
                <w:szCs w:val="22"/>
                <w:highlight w:val="none"/>
              </w:rPr>
            </w:pPr>
          </w:p>
        </w:tc>
        <w:tc>
          <w:tcPr>
            <w:tcW w:w="1148" w:type="dxa"/>
          </w:tcPr>
          <w:p>
            <w:pPr>
              <w:pStyle w:val="15"/>
              <w:spacing w:line="360" w:lineRule="auto"/>
              <w:rPr>
                <w:rFonts w:hAnsi="宋体"/>
                <w:color w:val="auto"/>
                <w:sz w:val="22"/>
                <w:szCs w:val="22"/>
                <w:highlight w:val="none"/>
              </w:rPr>
            </w:pPr>
          </w:p>
        </w:tc>
        <w:tc>
          <w:tcPr>
            <w:tcW w:w="1124" w:type="dxa"/>
          </w:tcPr>
          <w:p>
            <w:pPr>
              <w:pStyle w:val="15"/>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981" w:type="dxa"/>
            <w:gridSpan w:val="2"/>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投标总价</w:t>
            </w:r>
          </w:p>
        </w:tc>
        <w:tc>
          <w:tcPr>
            <w:tcW w:w="6056" w:type="dxa"/>
            <w:gridSpan w:val="6"/>
            <w:vAlign w:val="center"/>
          </w:tcPr>
          <w:p>
            <w:pPr>
              <w:pStyle w:val="15"/>
              <w:spacing w:line="360" w:lineRule="auto"/>
              <w:jc w:val="center"/>
              <w:rPr>
                <w:rFonts w:hAnsi="宋体"/>
                <w:color w:val="auto"/>
                <w:sz w:val="22"/>
                <w:szCs w:val="22"/>
                <w:highlight w:val="none"/>
              </w:rPr>
            </w:pPr>
            <w:r>
              <w:rPr>
                <w:rFonts w:hint="eastAsia" w:hAnsi="宋体"/>
                <w:color w:val="auto"/>
                <w:sz w:val="22"/>
                <w:szCs w:val="22"/>
                <w:highlight w:val="none"/>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9037" w:type="dxa"/>
            <w:gridSpan w:val="8"/>
            <w:vAlign w:val="center"/>
          </w:tcPr>
          <w:p>
            <w:pPr>
              <w:pStyle w:val="15"/>
              <w:spacing w:line="360" w:lineRule="auto"/>
              <w:ind w:firstLine="480" w:firstLineChars="200"/>
              <w:jc w:val="left"/>
              <w:rPr>
                <w:rFonts w:hAnsi="宋体"/>
                <w:color w:val="auto"/>
                <w:sz w:val="22"/>
                <w:szCs w:val="22"/>
                <w:highlight w:val="none"/>
              </w:rPr>
            </w:pPr>
            <w:r>
              <w:rPr>
                <w:rFonts w:hint="eastAsia" w:hAnsi="宋体"/>
                <w:color w:val="auto"/>
                <w:sz w:val="24"/>
                <w:szCs w:val="24"/>
                <w:highlight w:val="none"/>
              </w:rPr>
              <w:t>本次报价应包含项目所需全部服务，不得缺漏，是履行合同的最终价格（人员的工资福利、员工五险费(养老保险、医疗保险、失业保险、工伤保险、生育保险)、管理费、税费、监测设备的采购安装费、质检费、专家费、人工成本费、管理费、办公用品、税费、调查项目竣工验收费和采购代理费等一切费用）。</w:t>
            </w:r>
          </w:p>
        </w:tc>
      </w:tr>
    </w:tbl>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         </w:t>
      </w:r>
    </w:p>
    <w:p>
      <w:pPr>
        <w:pStyle w:val="15"/>
        <w:spacing w:line="360" w:lineRule="auto"/>
        <w:ind w:firstLine="480" w:firstLineChars="200"/>
        <w:rPr>
          <w:rFonts w:hAnsi="宋体"/>
          <w:color w:val="auto"/>
          <w:sz w:val="24"/>
          <w:szCs w:val="24"/>
          <w:highlight w:val="none"/>
        </w:rPr>
      </w:pPr>
    </w:p>
    <w:p>
      <w:pPr>
        <w:pStyle w:val="15"/>
        <w:spacing w:line="360" w:lineRule="auto"/>
        <w:ind w:firstLine="480" w:firstLineChars="200"/>
        <w:rPr>
          <w:rFonts w:hAnsi="宋体" w:cs="Times New Roman"/>
          <w:color w:val="auto"/>
          <w:sz w:val="24"/>
          <w:szCs w:val="24"/>
          <w:highlight w:val="none"/>
        </w:rPr>
      </w:pPr>
      <w:r>
        <w:rPr>
          <w:rFonts w:hint="eastAsia" w:hAnsi="宋体"/>
          <w:color w:val="auto"/>
          <w:sz w:val="24"/>
          <w:szCs w:val="24"/>
          <w:highlight w:val="none"/>
        </w:rPr>
        <w:t>注：内容可根据供应商实际情况自行调整。</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供应商全称（公章）：</w:t>
      </w:r>
    </w:p>
    <w:bookmarkEnd w:id="110"/>
    <w:p>
      <w:pPr>
        <w:rPr>
          <w:rFonts w:ascii="宋体" w:hAnsi="宋体" w:cs="宋体"/>
          <w:color w:val="auto"/>
          <w:sz w:val="24"/>
          <w:szCs w:val="24"/>
          <w:highlight w:val="none"/>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8"/>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N8kzXAQAAsA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3KuLLswwWRKY+vZSsN+mHjufXtG&#10;mj3uA6MO158S88Gh3Hl1ZiPOxn42jiHqQ4cdL0t1CG+PCXsrLecKIyxSzQ4OspCeli5vyt9+yXr8&#10;0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CazfJM1wEAALADAAAOAAAAAAAAAAEAIAAA&#10;AB8BAABkcnMvZTJvRG9jLnhtbFBLBQYAAAAABgAGAFkBAABo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3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a:effectLst/>
                    </wps:spPr>
                    <wps:txbx>
                      <w:txbxContent>
                        <w:p>
                          <w:pPr>
                            <w:pStyle w:val="18"/>
                          </w:pPr>
                          <w:r>
                            <w:fldChar w:fldCharType="begin"/>
                          </w:r>
                          <w:r>
                            <w:instrText xml:space="preserve"> PAGE  \* MERGEFORMAT </w:instrText>
                          </w:r>
                          <w:r>
                            <w:fldChar w:fldCharType="separate"/>
                          </w:r>
                          <w:r>
                            <w:t>49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61312;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uNj1nRAAAAAwEAAA8AAAAAAAAAAQAgAAAAIgAAAGRy&#10;cy9kb3ducmV2LnhtbFBLAQIUABQAAAAIAIdO4kArpkT20wEAAKUDAAAOAAAAAAAAAAEAIAAAACAB&#10;AABkcnMvZTJvRG9jLnhtbFBLBQYAAAAABgAGAFkBAABlBQ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49</w:t>
                    </w:r>
                    <w:r>
                      <w:fldChar w:fldCharType="end"/>
                    </w:r>
                  </w:p>
                </w:txbxContent>
              </v:textbox>
            </v:shape>
          </w:pict>
        </mc:Fallback>
      </mc:AlternateContent>
    </w:r>
  </w:p>
  <w:p>
    <w:pPr>
      <w:pStyle w:val="18"/>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99C87"/>
    <w:multiLevelType w:val="singleLevel"/>
    <w:tmpl w:val="91799C87"/>
    <w:lvl w:ilvl="0" w:tentative="0">
      <w:start w:val="1"/>
      <w:numFmt w:val="decimal"/>
      <w:suff w:val="nothing"/>
      <w:lvlText w:val="（%1）"/>
      <w:lvlJc w:val="left"/>
    </w:lvl>
  </w:abstractNum>
  <w:abstractNum w:abstractNumId="1">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2">
    <w:nsid w:val="9E7D436F"/>
    <w:multiLevelType w:val="singleLevel"/>
    <w:tmpl w:val="9E7D436F"/>
    <w:lvl w:ilvl="0" w:tentative="0">
      <w:start w:val="1"/>
      <w:numFmt w:val="chineseCounting"/>
      <w:suff w:val="nothing"/>
      <w:lvlText w:val="%1、"/>
      <w:lvlJc w:val="left"/>
      <w:rPr>
        <w:rFonts w:hint="eastAsia"/>
      </w:rPr>
    </w:lvl>
  </w:abstractNum>
  <w:abstractNum w:abstractNumId="3">
    <w:nsid w:val="B5692A31"/>
    <w:multiLevelType w:val="singleLevel"/>
    <w:tmpl w:val="B5692A31"/>
    <w:lvl w:ilvl="0" w:tentative="0">
      <w:start w:val="2"/>
      <w:numFmt w:val="decimal"/>
      <w:suff w:val="nothing"/>
      <w:lvlText w:val="%1、"/>
      <w:lvlJc w:val="left"/>
    </w:lvl>
  </w:abstractNum>
  <w:abstractNum w:abstractNumId="4">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5">
    <w:nsid w:val="E6D07868"/>
    <w:multiLevelType w:val="singleLevel"/>
    <w:tmpl w:val="E6D07868"/>
    <w:lvl w:ilvl="0" w:tentative="0">
      <w:start w:val="1"/>
      <w:numFmt w:val="decimal"/>
      <w:suff w:val="nothing"/>
      <w:lvlText w:val="%1、"/>
      <w:lvlJc w:val="left"/>
    </w:lvl>
  </w:abstractNum>
  <w:abstractNum w:abstractNumId="6">
    <w:nsid w:val="F4396F3A"/>
    <w:multiLevelType w:val="singleLevel"/>
    <w:tmpl w:val="F4396F3A"/>
    <w:lvl w:ilvl="0" w:tentative="0">
      <w:start w:val="2"/>
      <w:numFmt w:val="chineseCounting"/>
      <w:suff w:val="nothing"/>
      <w:lvlText w:val="%1、"/>
      <w:lvlJc w:val="left"/>
      <w:rPr>
        <w:rFonts w:hint="eastAsia"/>
      </w:rPr>
    </w:lvl>
  </w:abstractNum>
  <w:abstractNum w:abstractNumId="7">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8">
    <w:nsid w:val="12F353C5"/>
    <w:multiLevelType w:val="singleLevel"/>
    <w:tmpl w:val="12F353C5"/>
    <w:lvl w:ilvl="0" w:tentative="0">
      <w:start w:val="1"/>
      <w:numFmt w:val="chineseCounting"/>
      <w:suff w:val="nothing"/>
      <w:lvlText w:val="%1、"/>
      <w:lvlJc w:val="left"/>
      <w:rPr>
        <w:rFonts w:hint="eastAsia"/>
      </w:rPr>
    </w:lvl>
  </w:abstractNum>
  <w:abstractNum w:abstractNumId="9">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10">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1">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12">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3">
    <w:nsid w:val="31213A5A"/>
    <w:multiLevelType w:val="singleLevel"/>
    <w:tmpl w:val="31213A5A"/>
    <w:lvl w:ilvl="0" w:tentative="0">
      <w:start w:val="4"/>
      <w:numFmt w:val="chineseCounting"/>
      <w:suff w:val="nothing"/>
      <w:lvlText w:val="%1、"/>
      <w:lvlJc w:val="left"/>
      <w:rPr>
        <w:rFonts w:hint="eastAsia"/>
      </w:rPr>
    </w:lvl>
  </w:abstractNum>
  <w:abstractNum w:abstractNumId="14">
    <w:nsid w:val="396BDA90"/>
    <w:multiLevelType w:val="singleLevel"/>
    <w:tmpl w:val="396BDA90"/>
    <w:lvl w:ilvl="0" w:tentative="0">
      <w:start w:val="1"/>
      <w:numFmt w:val="decimal"/>
      <w:suff w:val="nothing"/>
      <w:lvlText w:val="%1、"/>
      <w:lvlJc w:val="left"/>
    </w:lvl>
  </w:abstractNum>
  <w:abstractNum w:abstractNumId="15">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6">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7">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18">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9">
    <w:nsid w:val="62705028"/>
    <w:multiLevelType w:val="singleLevel"/>
    <w:tmpl w:val="62705028"/>
    <w:lvl w:ilvl="0" w:tentative="0">
      <w:start w:val="1"/>
      <w:numFmt w:val="decimalEnclosedCircleChinese"/>
      <w:suff w:val="nothing"/>
      <w:lvlText w:val="%1　"/>
      <w:lvlJc w:val="left"/>
      <w:pPr>
        <w:ind w:firstLine="397"/>
      </w:pPr>
      <w:rPr>
        <w:rFonts w:hint="eastAsia"/>
      </w:rPr>
    </w:lvl>
  </w:abstractNum>
  <w:abstractNum w:abstractNumId="20">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16"/>
  </w:num>
  <w:num w:numId="2">
    <w:abstractNumId w:val="7"/>
  </w:num>
  <w:num w:numId="3">
    <w:abstractNumId w:val="18"/>
  </w:num>
  <w:num w:numId="4">
    <w:abstractNumId w:val="10"/>
  </w:num>
  <w:num w:numId="5">
    <w:abstractNumId w:val="20"/>
  </w:num>
  <w:num w:numId="6">
    <w:abstractNumId w:val="11"/>
  </w:num>
  <w:num w:numId="7">
    <w:abstractNumId w:val="19"/>
  </w:num>
  <w:num w:numId="8">
    <w:abstractNumId w:val="14"/>
  </w:num>
  <w:num w:numId="9">
    <w:abstractNumId w:val="8"/>
  </w:num>
  <w:num w:numId="10">
    <w:abstractNumId w:val="9"/>
  </w:num>
  <w:num w:numId="11">
    <w:abstractNumId w:val="17"/>
  </w:num>
  <w:num w:numId="12">
    <w:abstractNumId w:val="15"/>
  </w:num>
  <w:num w:numId="13">
    <w:abstractNumId w:val="4"/>
  </w:num>
  <w:num w:numId="14">
    <w:abstractNumId w:val="1"/>
  </w:num>
  <w:num w:numId="15">
    <w:abstractNumId w:val="12"/>
  </w:num>
  <w:num w:numId="16">
    <w:abstractNumId w:val="2"/>
  </w:num>
  <w:num w:numId="17">
    <w:abstractNumId w:val="13"/>
  </w:num>
  <w:num w:numId="18">
    <w:abstractNumId w:val="6"/>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xOTZmYmYwNmE3NDdkMjFjOTU2NTAxZjdmNTVhZjgifQ=="/>
  </w:docVars>
  <w:rsids>
    <w:rsidRoot w:val="5AA412FE"/>
    <w:rsid w:val="000023F9"/>
    <w:rsid w:val="00003EF7"/>
    <w:rsid w:val="000122B4"/>
    <w:rsid w:val="00027C5B"/>
    <w:rsid w:val="00043EEC"/>
    <w:rsid w:val="00046957"/>
    <w:rsid w:val="0005045A"/>
    <w:rsid w:val="00084F39"/>
    <w:rsid w:val="00085ECB"/>
    <w:rsid w:val="000B3BC7"/>
    <w:rsid w:val="000D30BB"/>
    <w:rsid w:val="000F06EE"/>
    <w:rsid w:val="001039CA"/>
    <w:rsid w:val="00121BA2"/>
    <w:rsid w:val="0012684B"/>
    <w:rsid w:val="001339E2"/>
    <w:rsid w:val="001521A7"/>
    <w:rsid w:val="00161E6F"/>
    <w:rsid w:val="00170927"/>
    <w:rsid w:val="001C7972"/>
    <w:rsid w:val="00221416"/>
    <w:rsid w:val="00223E24"/>
    <w:rsid w:val="00234866"/>
    <w:rsid w:val="00234D57"/>
    <w:rsid w:val="00255FD2"/>
    <w:rsid w:val="00264C08"/>
    <w:rsid w:val="00273F1A"/>
    <w:rsid w:val="0027526D"/>
    <w:rsid w:val="00284949"/>
    <w:rsid w:val="00297FF4"/>
    <w:rsid w:val="002C487B"/>
    <w:rsid w:val="002F6EC0"/>
    <w:rsid w:val="0030570F"/>
    <w:rsid w:val="003470DA"/>
    <w:rsid w:val="003914B1"/>
    <w:rsid w:val="00392B4C"/>
    <w:rsid w:val="00393C1C"/>
    <w:rsid w:val="003A0D36"/>
    <w:rsid w:val="003A2883"/>
    <w:rsid w:val="003D07BA"/>
    <w:rsid w:val="0040061B"/>
    <w:rsid w:val="00402FF9"/>
    <w:rsid w:val="004047AC"/>
    <w:rsid w:val="004277E5"/>
    <w:rsid w:val="0043140B"/>
    <w:rsid w:val="00434E53"/>
    <w:rsid w:val="00463C96"/>
    <w:rsid w:val="00476057"/>
    <w:rsid w:val="0048104F"/>
    <w:rsid w:val="00485852"/>
    <w:rsid w:val="00486150"/>
    <w:rsid w:val="00497B50"/>
    <w:rsid w:val="004E63AF"/>
    <w:rsid w:val="004E7DB7"/>
    <w:rsid w:val="00542925"/>
    <w:rsid w:val="005456AD"/>
    <w:rsid w:val="00550AE1"/>
    <w:rsid w:val="005617C4"/>
    <w:rsid w:val="005747A4"/>
    <w:rsid w:val="0057775B"/>
    <w:rsid w:val="005F4C64"/>
    <w:rsid w:val="00603A33"/>
    <w:rsid w:val="0060407F"/>
    <w:rsid w:val="00624CA0"/>
    <w:rsid w:val="006545B6"/>
    <w:rsid w:val="00686360"/>
    <w:rsid w:val="006A7EBE"/>
    <w:rsid w:val="006B56AA"/>
    <w:rsid w:val="006E3901"/>
    <w:rsid w:val="006E4D94"/>
    <w:rsid w:val="006E5F17"/>
    <w:rsid w:val="006E7DD6"/>
    <w:rsid w:val="00726B0B"/>
    <w:rsid w:val="00741B88"/>
    <w:rsid w:val="0074647B"/>
    <w:rsid w:val="00761CC5"/>
    <w:rsid w:val="007675AE"/>
    <w:rsid w:val="007C1988"/>
    <w:rsid w:val="007C36F2"/>
    <w:rsid w:val="007D1674"/>
    <w:rsid w:val="007F23B1"/>
    <w:rsid w:val="00804A32"/>
    <w:rsid w:val="00816086"/>
    <w:rsid w:val="00846EE7"/>
    <w:rsid w:val="008651FF"/>
    <w:rsid w:val="008A2209"/>
    <w:rsid w:val="008B2FE6"/>
    <w:rsid w:val="008C2439"/>
    <w:rsid w:val="008E3963"/>
    <w:rsid w:val="00913BA9"/>
    <w:rsid w:val="00913DF5"/>
    <w:rsid w:val="00922646"/>
    <w:rsid w:val="009241BF"/>
    <w:rsid w:val="00945D04"/>
    <w:rsid w:val="00992B51"/>
    <w:rsid w:val="009A687F"/>
    <w:rsid w:val="009B5145"/>
    <w:rsid w:val="009B698E"/>
    <w:rsid w:val="009C14AC"/>
    <w:rsid w:val="00A06FE3"/>
    <w:rsid w:val="00A5469A"/>
    <w:rsid w:val="00A60C7C"/>
    <w:rsid w:val="00A832EF"/>
    <w:rsid w:val="00AC176A"/>
    <w:rsid w:val="00AC415C"/>
    <w:rsid w:val="00AC51A3"/>
    <w:rsid w:val="00AE721D"/>
    <w:rsid w:val="00AF40FC"/>
    <w:rsid w:val="00AF7CF9"/>
    <w:rsid w:val="00B007B7"/>
    <w:rsid w:val="00B043F4"/>
    <w:rsid w:val="00B1386B"/>
    <w:rsid w:val="00B1531C"/>
    <w:rsid w:val="00B26DD6"/>
    <w:rsid w:val="00B34795"/>
    <w:rsid w:val="00B45AAD"/>
    <w:rsid w:val="00B47103"/>
    <w:rsid w:val="00B651EF"/>
    <w:rsid w:val="00B70E65"/>
    <w:rsid w:val="00B7632C"/>
    <w:rsid w:val="00BC25F6"/>
    <w:rsid w:val="00BC554A"/>
    <w:rsid w:val="00C144DF"/>
    <w:rsid w:val="00C15659"/>
    <w:rsid w:val="00C32FC8"/>
    <w:rsid w:val="00C4588E"/>
    <w:rsid w:val="00C70180"/>
    <w:rsid w:val="00C755F3"/>
    <w:rsid w:val="00C93598"/>
    <w:rsid w:val="00C94384"/>
    <w:rsid w:val="00C97640"/>
    <w:rsid w:val="00CA29A3"/>
    <w:rsid w:val="00CA75C3"/>
    <w:rsid w:val="00CB75F1"/>
    <w:rsid w:val="00CB769E"/>
    <w:rsid w:val="00CC3A61"/>
    <w:rsid w:val="00CD31BD"/>
    <w:rsid w:val="00CE2482"/>
    <w:rsid w:val="00CF226E"/>
    <w:rsid w:val="00D208F6"/>
    <w:rsid w:val="00D33839"/>
    <w:rsid w:val="00D40761"/>
    <w:rsid w:val="00D46536"/>
    <w:rsid w:val="00D5715C"/>
    <w:rsid w:val="00D64C89"/>
    <w:rsid w:val="00D73BB8"/>
    <w:rsid w:val="00D84F46"/>
    <w:rsid w:val="00DB44DD"/>
    <w:rsid w:val="00DB66E9"/>
    <w:rsid w:val="00DD3B00"/>
    <w:rsid w:val="00DE7CF8"/>
    <w:rsid w:val="00E109DA"/>
    <w:rsid w:val="00E30080"/>
    <w:rsid w:val="00E53562"/>
    <w:rsid w:val="00E666D2"/>
    <w:rsid w:val="00F47432"/>
    <w:rsid w:val="00F66202"/>
    <w:rsid w:val="00F673E5"/>
    <w:rsid w:val="00FD3C5B"/>
    <w:rsid w:val="00FD77B5"/>
    <w:rsid w:val="0149271B"/>
    <w:rsid w:val="02710CE9"/>
    <w:rsid w:val="02D80132"/>
    <w:rsid w:val="02FB0AA9"/>
    <w:rsid w:val="02FB1EF4"/>
    <w:rsid w:val="034C043E"/>
    <w:rsid w:val="044134E4"/>
    <w:rsid w:val="06082700"/>
    <w:rsid w:val="09A27D61"/>
    <w:rsid w:val="0E116BEA"/>
    <w:rsid w:val="0E2D1637"/>
    <w:rsid w:val="0F9E5390"/>
    <w:rsid w:val="104145F9"/>
    <w:rsid w:val="10B64C1C"/>
    <w:rsid w:val="10BA6CED"/>
    <w:rsid w:val="113C27FB"/>
    <w:rsid w:val="11AF1066"/>
    <w:rsid w:val="11CF6577"/>
    <w:rsid w:val="129F37E3"/>
    <w:rsid w:val="12E30368"/>
    <w:rsid w:val="12FC45DD"/>
    <w:rsid w:val="13495BED"/>
    <w:rsid w:val="155D552F"/>
    <w:rsid w:val="15703332"/>
    <w:rsid w:val="157D7686"/>
    <w:rsid w:val="15830AE2"/>
    <w:rsid w:val="15A07E8D"/>
    <w:rsid w:val="15BC6282"/>
    <w:rsid w:val="1648774C"/>
    <w:rsid w:val="16EB43B2"/>
    <w:rsid w:val="19061AA7"/>
    <w:rsid w:val="1B155261"/>
    <w:rsid w:val="1B4A7538"/>
    <w:rsid w:val="1BDB27A5"/>
    <w:rsid w:val="1CC874BD"/>
    <w:rsid w:val="1CFF0A9F"/>
    <w:rsid w:val="1DC74A1D"/>
    <w:rsid w:val="1E157011"/>
    <w:rsid w:val="1E8C459E"/>
    <w:rsid w:val="1E934307"/>
    <w:rsid w:val="1EDA1EFB"/>
    <w:rsid w:val="1F2B0346"/>
    <w:rsid w:val="1F431821"/>
    <w:rsid w:val="1F890C4B"/>
    <w:rsid w:val="1FDA3069"/>
    <w:rsid w:val="205B73C3"/>
    <w:rsid w:val="20BA3639"/>
    <w:rsid w:val="20D34487"/>
    <w:rsid w:val="20EB4820"/>
    <w:rsid w:val="215A3622"/>
    <w:rsid w:val="219416B8"/>
    <w:rsid w:val="21FF3D3B"/>
    <w:rsid w:val="2231339B"/>
    <w:rsid w:val="22514430"/>
    <w:rsid w:val="22D7095E"/>
    <w:rsid w:val="234B0952"/>
    <w:rsid w:val="23E23038"/>
    <w:rsid w:val="248E2E3A"/>
    <w:rsid w:val="24F21DAE"/>
    <w:rsid w:val="25432BC0"/>
    <w:rsid w:val="26451EEA"/>
    <w:rsid w:val="26704F2E"/>
    <w:rsid w:val="27DC3878"/>
    <w:rsid w:val="28C62F56"/>
    <w:rsid w:val="28DA203A"/>
    <w:rsid w:val="28F0407A"/>
    <w:rsid w:val="291A7D32"/>
    <w:rsid w:val="29655706"/>
    <w:rsid w:val="29837904"/>
    <w:rsid w:val="2B3E504B"/>
    <w:rsid w:val="2BF7A349"/>
    <w:rsid w:val="2D346E5C"/>
    <w:rsid w:val="2E664953"/>
    <w:rsid w:val="30EE110A"/>
    <w:rsid w:val="30FB7A19"/>
    <w:rsid w:val="310261A7"/>
    <w:rsid w:val="318D0B53"/>
    <w:rsid w:val="32A75185"/>
    <w:rsid w:val="33340B4D"/>
    <w:rsid w:val="335F41BA"/>
    <w:rsid w:val="33BA34B0"/>
    <w:rsid w:val="34367DA9"/>
    <w:rsid w:val="3477488D"/>
    <w:rsid w:val="349413EA"/>
    <w:rsid w:val="34C54BE3"/>
    <w:rsid w:val="36743C5D"/>
    <w:rsid w:val="367C4935"/>
    <w:rsid w:val="36CE34E8"/>
    <w:rsid w:val="37020770"/>
    <w:rsid w:val="37151804"/>
    <w:rsid w:val="37691899"/>
    <w:rsid w:val="37B838EA"/>
    <w:rsid w:val="3904514B"/>
    <w:rsid w:val="39FC282B"/>
    <w:rsid w:val="3A164E28"/>
    <w:rsid w:val="3A9F61E7"/>
    <w:rsid w:val="3B1064BD"/>
    <w:rsid w:val="3B2C33D8"/>
    <w:rsid w:val="3BE04637"/>
    <w:rsid w:val="3CFC3762"/>
    <w:rsid w:val="3D390470"/>
    <w:rsid w:val="3DCE50EF"/>
    <w:rsid w:val="3E1918E3"/>
    <w:rsid w:val="3E3759DF"/>
    <w:rsid w:val="3E98229E"/>
    <w:rsid w:val="3F894898"/>
    <w:rsid w:val="40E80A95"/>
    <w:rsid w:val="41131941"/>
    <w:rsid w:val="41C50CBF"/>
    <w:rsid w:val="42234900"/>
    <w:rsid w:val="42310D45"/>
    <w:rsid w:val="42914373"/>
    <w:rsid w:val="4297507F"/>
    <w:rsid w:val="42A44E8B"/>
    <w:rsid w:val="43495ACF"/>
    <w:rsid w:val="436C497E"/>
    <w:rsid w:val="43F54CF5"/>
    <w:rsid w:val="43FA21E7"/>
    <w:rsid w:val="448D6A38"/>
    <w:rsid w:val="46562959"/>
    <w:rsid w:val="467F690A"/>
    <w:rsid w:val="46B85F59"/>
    <w:rsid w:val="47EF50CB"/>
    <w:rsid w:val="48621071"/>
    <w:rsid w:val="492D7C31"/>
    <w:rsid w:val="49356007"/>
    <w:rsid w:val="498B48F2"/>
    <w:rsid w:val="499D0869"/>
    <w:rsid w:val="49A50688"/>
    <w:rsid w:val="49C134CC"/>
    <w:rsid w:val="4A396CAF"/>
    <w:rsid w:val="4AD245F0"/>
    <w:rsid w:val="4B573CAC"/>
    <w:rsid w:val="4B5C045F"/>
    <w:rsid w:val="4BE44EED"/>
    <w:rsid w:val="4C347AA3"/>
    <w:rsid w:val="4D782815"/>
    <w:rsid w:val="4D8F6A5D"/>
    <w:rsid w:val="4DBE4790"/>
    <w:rsid w:val="4DFD3F08"/>
    <w:rsid w:val="4EF549D4"/>
    <w:rsid w:val="4FFC17B4"/>
    <w:rsid w:val="504836AE"/>
    <w:rsid w:val="50717D0C"/>
    <w:rsid w:val="533A7549"/>
    <w:rsid w:val="53E87428"/>
    <w:rsid w:val="5447281C"/>
    <w:rsid w:val="54634E35"/>
    <w:rsid w:val="54A90D98"/>
    <w:rsid w:val="54F65EBA"/>
    <w:rsid w:val="55D27624"/>
    <w:rsid w:val="567A6E51"/>
    <w:rsid w:val="56F203B4"/>
    <w:rsid w:val="57FC55AA"/>
    <w:rsid w:val="580928E7"/>
    <w:rsid w:val="58551F7D"/>
    <w:rsid w:val="5AA412FE"/>
    <w:rsid w:val="5ABA7A19"/>
    <w:rsid w:val="5AC72F10"/>
    <w:rsid w:val="5B136F0D"/>
    <w:rsid w:val="5B56778E"/>
    <w:rsid w:val="5B840C5F"/>
    <w:rsid w:val="5BC44F00"/>
    <w:rsid w:val="5D217374"/>
    <w:rsid w:val="5DE81AA6"/>
    <w:rsid w:val="5DE943DE"/>
    <w:rsid w:val="5E2B51A2"/>
    <w:rsid w:val="5EB62375"/>
    <w:rsid w:val="5EF724E5"/>
    <w:rsid w:val="5F436DCC"/>
    <w:rsid w:val="5F5B667A"/>
    <w:rsid w:val="5F6067D6"/>
    <w:rsid w:val="5F7F4806"/>
    <w:rsid w:val="5FD125EC"/>
    <w:rsid w:val="603D2D4A"/>
    <w:rsid w:val="60D51B08"/>
    <w:rsid w:val="610552EA"/>
    <w:rsid w:val="61162C50"/>
    <w:rsid w:val="617203D0"/>
    <w:rsid w:val="62F7205C"/>
    <w:rsid w:val="634B16C2"/>
    <w:rsid w:val="638717D9"/>
    <w:rsid w:val="64981C38"/>
    <w:rsid w:val="64A14715"/>
    <w:rsid w:val="64AE2EEE"/>
    <w:rsid w:val="64F70EA9"/>
    <w:rsid w:val="6559389C"/>
    <w:rsid w:val="666B40A1"/>
    <w:rsid w:val="671B6AB8"/>
    <w:rsid w:val="67996221"/>
    <w:rsid w:val="67F60E2F"/>
    <w:rsid w:val="681E7F53"/>
    <w:rsid w:val="685E4F68"/>
    <w:rsid w:val="69610B03"/>
    <w:rsid w:val="69A14E77"/>
    <w:rsid w:val="6A7B2DC6"/>
    <w:rsid w:val="6B335388"/>
    <w:rsid w:val="6B59453E"/>
    <w:rsid w:val="6BA77EC0"/>
    <w:rsid w:val="6BE66EA4"/>
    <w:rsid w:val="6D5B777B"/>
    <w:rsid w:val="6D88336F"/>
    <w:rsid w:val="6E627A21"/>
    <w:rsid w:val="6E957640"/>
    <w:rsid w:val="6EA51312"/>
    <w:rsid w:val="6EE33674"/>
    <w:rsid w:val="6EE442D1"/>
    <w:rsid w:val="6FCA2EC9"/>
    <w:rsid w:val="708F2244"/>
    <w:rsid w:val="70BA3726"/>
    <w:rsid w:val="72EA0AEA"/>
    <w:rsid w:val="73767D80"/>
    <w:rsid w:val="73EB3D22"/>
    <w:rsid w:val="747948CE"/>
    <w:rsid w:val="75126D7A"/>
    <w:rsid w:val="75BA5477"/>
    <w:rsid w:val="76BFAF13"/>
    <w:rsid w:val="77537603"/>
    <w:rsid w:val="781F391F"/>
    <w:rsid w:val="78937CF7"/>
    <w:rsid w:val="78FBF684"/>
    <w:rsid w:val="79ED6971"/>
    <w:rsid w:val="79FE2D83"/>
    <w:rsid w:val="7A263419"/>
    <w:rsid w:val="7AA33536"/>
    <w:rsid w:val="7AE8472F"/>
    <w:rsid w:val="7B7D91F1"/>
    <w:rsid w:val="7BED0CD8"/>
    <w:rsid w:val="7BF88BF8"/>
    <w:rsid w:val="7BFE1E83"/>
    <w:rsid w:val="7CB7F70C"/>
    <w:rsid w:val="7D673C72"/>
    <w:rsid w:val="7D6FFF83"/>
    <w:rsid w:val="7D71438E"/>
    <w:rsid w:val="7DBF21A5"/>
    <w:rsid w:val="7DE93C59"/>
    <w:rsid w:val="7DFBF8B8"/>
    <w:rsid w:val="7E72183B"/>
    <w:rsid w:val="7F3F6140"/>
    <w:rsid w:val="B69FF366"/>
    <w:rsid w:val="B7BE0BB5"/>
    <w:rsid w:val="D15D4F91"/>
    <w:rsid w:val="D1D7919C"/>
    <w:rsid w:val="DE7FF3CC"/>
    <w:rsid w:val="F3FBBAEA"/>
    <w:rsid w:val="FEF185FD"/>
    <w:rsid w:val="FF9FEFB3"/>
    <w:rsid w:val="FFAC0321"/>
    <w:rsid w:val="FFBD4E78"/>
    <w:rsid w:val="FFFF4A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37"/>
    <w:qFormat/>
    <w:uiPriority w:val="99"/>
    <w:pPr>
      <w:keepNext/>
      <w:keepLines/>
      <w:spacing w:line="576" w:lineRule="auto"/>
      <w:outlineLvl w:val="0"/>
    </w:pPr>
    <w:rPr>
      <w:rFonts w:ascii="Calibri" w:hAnsi="Calibri" w:cs="Calibri"/>
      <w:b/>
      <w:bCs/>
      <w:kern w:val="44"/>
      <w:sz w:val="44"/>
      <w:szCs w:val="44"/>
    </w:rPr>
  </w:style>
  <w:style w:type="paragraph" w:styleId="2">
    <w:name w:val="heading 2"/>
    <w:basedOn w:val="1"/>
    <w:next w:val="3"/>
    <w:link w:val="38"/>
    <w:qFormat/>
    <w:uiPriority w:val="99"/>
    <w:pPr>
      <w:spacing w:line="216" w:lineRule="auto"/>
      <w:outlineLvl w:val="1"/>
    </w:pPr>
    <w:rPr>
      <w:rFonts w:ascii="宋体" w:cs="宋体"/>
      <w:sz w:val="28"/>
      <w:szCs w:val="28"/>
    </w:rPr>
  </w:style>
  <w:style w:type="paragraph" w:styleId="5">
    <w:name w:val="heading 3"/>
    <w:basedOn w:val="2"/>
    <w:next w:val="6"/>
    <w:link w:val="39"/>
    <w:qFormat/>
    <w:uiPriority w:val="99"/>
    <w:pPr>
      <w:numPr>
        <w:ilvl w:val="0"/>
        <w:numId w:val="1"/>
      </w:numPr>
      <w:outlineLvl w:val="2"/>
    </w:pPr>
  </w:style>
  <w:style w:type="paragraph" w:styleId="12">
    <w:name w:val="heading 4"/>
    <w:basedOn w:val="1"/>
    <w:next w:val="1"/>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99"/>
    <w:pPr>
      <w:ind w:firstLine="420"/>
    </w:pPr>
  </w:style>
  <w:style w:type="paragraph" w:styleId="6">
    <w:name w:val="Body Text"/>
    <w:basedOn w:val="5"/>
    <w:next w:val="7"/>
    <w:link w:val="40"/>
    <w:qFormat/>
    <w:uiPriority w:val="99"/>
  </w:style>
  <w:style w:type="paragraph" w:customStyle="1" w:styleId="7">
    <w:name w:val="样式 表格正文 + 两端对齐"/>
    <w:basedOn w:val="1"/>
    <w:next w:val="8"/>
    <w:qFormat/>
    <w:uiPriority w:val="99"/>
    <w:pPr>
      <w:spacing w:line="300" w:lineRule="auto"/>
    </w:pPr>
    <w:rPr>
      <w:sz w:val="24"/>
      <w:szCs w:val="24"/>
    </w:rPr>
  </w:style>
  <w:style w:type="paragraph" w:customStyle="1" w:styleId="8">
    <w:name w:val="正文1"/>
    <w:basedOn w:val="1"/>
    <w:next w:val="9"/>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9">
    <w:name w:val="自动更正"/>
    <w:next w:val="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0">
    <w:name w:val="xl39"/>
    <w:basedOn w:val="1"/>
    <w:next w:val="11"/>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11">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paragraph" w:styleId="13">
    <w:name w:val="Body Text Indent"/>
    <w:basedOn w:val="1"/>
    <w:next w:val="1"/>
    <w:link w:val="41"/>
    <w:qFormat/>
    <w:uiPriority w:val="99"/>
    <w:pPr>
      <w:adjustRightInd w:val="0"/>
      <w:spacing w:line="360" w:lineRule="auto"/>
      <w:ind w:firstLine="490"/>
      <w:jc w:val="left"/>
    </w:pPr>
    <w:rPr>
      <w:rFonts w:ascii="宋体" w:hAnsi="宋体" w:cs="宋体"/>
      <w:sz w:val="24"/>
      <w:szCs w:val="24"/>
    </w:rPr>
  </w:style>
  <w:style w:type="paragraph" w:styleId="14">
    <w:name w:val="toc 3"/>
    <w:basedOn w:val="1"/>
    <w:next w:val="1"/>
    <w:semiHidden/>
    <w:qFormat/>
    <w:uiPriority w:val="99"/>
    <w:pPr>
      <w:ind w:left="840" w:leftChars="400"/>
    </w:pPr>
  </w:style>
  <w:style w:type="paragraph" w:styleId="15">
    <w:name w:val="Plain Text"/>
    <w:basedOn w:val="1"/>
    <w:next w:val="1"/>
    <w:link w:val="42"/>
    <w:qFormat/>
    <w:uiPriority w:val="99"/>
    <w:rPr>
      <w:rFonts w:ascii="宋体" w:hAnsi="Courier New" w:cs="宋体"/>
    </w:rPr>
  </w:style>
  <w:style w:type="paragraph" w:styleId="16">
    <w:name w:val="Date"/>
    <w:basedOn w:val="1"/>
    <w:next w:val="1"/>
    <w:link w:val="43"/>
    <w:qFormat/>
    <w:uiPriority w:val="99"/>
    <w:pPr>
      <w:ind w:left="100" w:leftChars="2500"/>
    </w:pPr>
    <w:rPr>
      <w:rFonts w:ascii="宋体" w:hAnsi="宋体" w:cs="宋体"/>
      <w:color w:val="000000"/>
      <w:sz w:val="24"/>
      <w:szCs w:val="24"/>
    </w:rPr>
  </w:style>
  <w:style w:type="paragraph" w:styleId="17">
    <w:name w:val="Balloon Text"/>
    <w:basedOn w:val="1"/>
    <w:link w:val="44"/>
    <w:semiHidden/>
    <w:qFormat/>
    <w:uiPriority w:val="99"/>
    <w:rPr>
      <w:sz w:val="18"/>
      <w:szCs w:val="18"/>
    </w:rPr>
  </w:style>
  <w:style w:type="paragraph" w:styleId="18">
    <w:name w:val="footer"/>
    <w:basedOn w:val="1"/>
    <w:link w:val="45"/>
    <w:qFormat/>
    <w:uiPriority w:val="99"/>
    <w:pPr>
      <w:tabs>
        <w:tab w:val="center" w:pos="4153"/>
        <w:tab w:val="right" w:pos="8306"/>
      </w:tabs>
      <w:snapToGrid w:val="0"/>
      <w:jc w:val="left"/>
    </w:pPr>
    <w:rPr>
      <w:sz w:val="18"/>
      <w:szCs w:val="18"/>
    </w:rPr>
  </w:style>
  <w:style w:type="paragraph" w:styleId="19">
    <w:name w:val="header"/>
    <w:basedOn w:val="1"/>
    <w:link w:val="46"/>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20">
    <w:name w:val="toc 1"/>
    <w:basedOn w:val="1"/>
    <w:next w:val="1"/>
    <w:semiHidden/>
    <w:qFormat/>
    <w:uiPriority w:val="99"/>
  </w:style>
  <w:style w:type="paragraph" w:styleId="21">
    <w:name w:val="toc 6"/>
    <w:basedOn w:val="1"/>
    <w:next w:val="1"/>
    <w:qFormat/>
    <w:uiPriority w:val="0"/>
    <w:pPr>
      <w:ind w:left="2100" w:leftChars="1000"/>
    </w:pPr>
  </w:style>
  <w:style w:type="paragraph" w:styleId="22">
    <w:name w:val="toc 2"/>
    <w:basedOn w:val="1"/>
    <w:next w:val="1"/>
    <w:semiHidden/>
    <w:qFormat/>
    <w:uiPriority w:val="99"/>
    <w:pPr>
      <w:ind w:left="420" w:leftChars="200"/>
    </w:p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25">
    <w:name w:val="Body Text First Indent"/>
    <w:basedOn w:val="6"/>
    <w:next w:val="21"/>
    <w:link w:val="47"/>
    <w:qFormat/>
    <w:uiPriority w:val="99"/>
    <w:pPr>
      <w:ind w:firstLine="420" w:firstLineChars="100"/>
    </w:pPr>
  </w:style>
  <w:style w:type="paragraph" w:styleId="26">
    <w:name w:val="Body Text First Indent 2"/>
    <w:basedOn w:val="13"/>
    <w:next w:val="25"/>
    <w:qFormat/>
    <w:uiPriority w:val="0"/>
    <w:pPr>
      <w:ind w:firstLine="420"/>
    </w:pPr>
  </w:style>
  <w:style w:type="table" w:styleId="28">
    <w:name w:val="Table Grid"/>
    <w:basedOn w:val="27"/>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99"/>
    <w:rPr>
      <w:b/>
      <w:bCs/>
    </w:rPr>
  </w:style>
  <w:style w:type="character" w:styleId="31">
    <w:name w:val="page number"/>
    <w:basedOn w:val="29"/>
    <w:qFormat/>
    <w:uiPriority w:val="99"/>
  </w:style>
  <w:style w:type="character" w:styleId="32">
    <w:name w:val="Hyperlink"/>
    <w:basedOn w:val="29"/>
    <w:qFormat/>
    <w:uiPriority w:val="99"/>
    <w:rPr>
      <w:color w:val="0000FF"/>
      <w:u w:val="single"/>
    </w:rPr>
  </w:style>
  <w:style w:type="paragraph" w:customStyle="1" w:styleId="33">
    <w:name w:val="表格文字"/>
    <w:basedOn w:val="1"/>
    <w:next w:val="6"/>
    <w:qFormat/>
    <w:uiPriority w:val="0"/>
    <w:pPr>
      <w:adjustRightInd w:val="0"/>
      <w:spacing w:line="420" w:lineRule="atLeast"/>
      <w:textAlignment w:val="baseline"/>
    </w:pPr>
  </w:style>
  <w:style w:type="paragraph" w:customStyle="1" w:styleId="34">
    <w:name w:val="Body Text First Indent1"/>
    <w:basedOn w:val="6"/>
    <w:qFormat/>
    <w:uiPriority w:val="0"/>
    <w:pPr>
      <w:ind w:firstLine="420" w:firstLineChars="100"/>
    </w:pPr>
  </w:style>
  <w:style w:type="paragraph" w:customStyle="1" w:styleId="35">
    <w:name w:val="正文缩进1"/>
    <w:basedOn w:val="1"/>
    <w:qFormat/>
    <w:uiPriority w:val="0"/>
    <w:pPr>
      <w:ind w:firstLine="420" w:firstLineChars="200"/>
    </w:pPr>
  </w:style>
  <w:style w:type="paragraph" w:customStyle="1" w:styleId="36">
    <w:name w:val="正文（首行缩进2字符）"/>
    <w:basedOn w:val="1"/>
    <w:qFormat/>
    <w:uiPriority w:val="0"/>
    <w:pPr>
      <w:spacing w:line="360" w:lineRule="auto"/>
      <w:ind w:firstLine="480" w:firstLineChars="200"/>
    </w:pPr>
    <w:rPr>
      <w:sz w:val="24"/>
      <w:szCs w:val="20"/>
    </w:rPr>
  </w:style>
  <w:style w:type="character" w:customStyle="1" w:styleId="37">
    <w:name w:val="标题 1 字符"/>
    <w:basedOn w:val="29"/>
    <w:link w:val="4"/>
    <w:qFormat/>
    <w:locked/>
    <w:uiPriority w:val="99"/>
    <w:rPr>
      <w:b/>
      <w:bCs/>
      <w:kern w:val="44"/>
      <w:sz w:val="44"/>
      <w:szCs w:val="44"/>
    </w:rPr>
  </w:style>
  <w:style w:type="character" w:customStyle="1" w:styleId="38">
    <w:name w:val="标题 2 字符"/>
    <w:basedOn w:val="29"/>
    <w:link w:val="2"/>
    <w:qFormat/>
    <w:locked/>
    <w:uiPriority w:val="99"/>
    <w:rPr>
      <w:rFonts w:ascii="宋体" w:cs="宋体"/>
      <w:b/>
      <w:bCs/>
      <w:kern w:val="2"/>
      <w:sz w:val="28"/>
      <w:szCs w:val="28"/>
    </w:rPr>
  </w:style>
  <w:style w:type="character" w:customStyle="1" w:styleId="39">
    <w:name w:val="标题 3 字符"/>
    <w:basedOn w:val="29"/>
    <w:link w:val="5"/>
    <w:qFormat/>
    <w:locked/>
    <w:uiPriority w:val="99"/>
    <w:rPr>
      <w:rFonts w:ascii="宋体" w:cs="宋体"/>
      <w:b/>
      <w:bCs/>
      <w:kern w:val="2"/>
      <w:sz w:val="28"/>
      <w:szCs w:val="28"/>
    </w:rPr>
  </w:style>
  <w:style w:type="character" w:customStyle="1" w:styleId="40">
    <w:name w:val="正文文本 字符"/>
    <w:basedOn w:val="29"/>
    <w:link w:val="6"/>
    <w:semiHidden/>
    <w:qFormat/>
    <w:uiPriority w:val="99"/>
    <w:rPr>
      <w:rFonts w:ascii="Times New Roman" w:hAnsi="Times New Roman"/>
      <w:szCs w:val="21"/>
    </w:rPr>
  </w:style>
  <w:style w:type="character" w:customStyle="1" w:styleId="41">
    <w:name w:val="正文文本缩进 字符"/>
    <w:basedOn w:val="29"/>
    <w:link w:val="13"/>
    <w:semiHidden/>
    <w:qFormat/>
    <w:uiPriority w:val="99"/>
    <w:rPr>
      <w:rFonts w:ascii="Times New Roman" w:hAnsi="Times New Roman"/>
      <w:szCs w:val="21"/>
    </w:rPr>
  </w:style>
  <w:style w:type="character" w:customStyle="1" w:styleId="42">
    <w:name w:val="纯文本 字符"/>
    <w:basedOn w:val="29"/>
    <w:link w:val="15"/>
    <w:semiHidden/>
    <w:qFormat/>
    <w:uiPriority w:val="99"/>
    <w:rPr>
      <w:rFonts w:ascii="宋体" w:hAnsi="Courier New" w:cs="Courier New"/>
      <w:szCs w:val="21"/>
    </w:rPr>
  </w:style>
  <w:style w:type="character" w:customStyle="1" w:styleId="43">
    <w:name w:val="日期 字符"/>
    <w:basedOn w:val="29"/>
    <w:link w:val="16"/>
    <w:semiHidden/>
    <w:qFormat/>
    <w:uiPriority w:val="99"/>
    <w:rPr>
      <w:rFonts w:ascii="Times New Roman" w:hAnsi="Times New Roman"/>
      <w:szCs w:val="21"/>
    </w:rPr>
  </w:style>
  <w:style w:type="character" w:customStyle="1" w:styleId="44">
    <w:name w:val="批注框文本 字符"/>
    <w:basedOn w:val="29"/>
    <w:link w:val="17"/>
    <w:qFormat/>
    <w:locked/>
    <w:uiPriority w:val="99"/>
    <w:rPr>
      <w:kern w:val="2"/>
      <w:sz w:val="18"/>
      <w:szCs w:val="18"/>
    </w:rPr>
  </w:style>
  <w:style w:type="character" w:customStyle="1" w:styleId="45">
    <w:name w:val="页脚 字符"/>
    <w:basedOn w:val="29"/>
    <w:link w:val="18"/>
    <w:semiHidden/>
    <w:qFormat/>
    <w:uiPriority w:val="99"/>
    <w:rPr>
      <w:rFonts w:ascii="Times New Roman" w:hAnsi="Times New Roman"/>
      <w:sz w:val="18"/>
      <w:szCs w:val="18"/>
    </w:rPr>
  </w:style>
  <w:style w:type="character" w:customStyle="1" w:styleId="46">
    <w:name w:val="页眉 字符"/>
    <w:basedOn w:val="29"/>
    <w:link w:val="19"/>
    <w:semiHidden/>
    <w:qFormat/>
    <w:uiPriority w:val="99"/>
    <w:rPr>
      <w:rFonts w:ascii="Times New Roman" w:hAnsi="Times New Roman"/>
      <w:sz w:val="18"/>
      <w:szCs w:val="18"/>
    </w:rPr>
  </w:style>
  <w:style w:type="character" w:customStyle="1" w:styleId="47">
    <w:name w:val="正文文本首行缩进 字符"/>
    <w:basedOn w:val="40"/>
    <w:link w:val="25"/>
    <w:semiHidden/>
    <w:qFormat/>
    <w:uiPriority w:val="99"/>
    <w:rPr>
      <w:rFonts w:ascii="Times New Roman" w:hAnsi="Times New Roman"/>
      <w:szCs w:val="21"/>
    </w:rPr>
  </w:style>
  <w:style w:type="paragraph" w:customStyle="1" w:styleId="48">
    <w:name w:val="正文2"/>
    <w:basedOn w:val="1"/>
    <w:qFormat/>
    <w:uiPriority w:val="99"/>
    <w:pPr>
      <w:adjustRightInd w:val="0"/>
      <w:spacing w:before="156" w:line="360" w:lineRule="auto"/>
      <w:ind w:firstLine="510" w:firstLineChars="200"/>
    </w:pPr>
    <w:rPr>
      <w:sz w:val="24"/>
      <w:szCs w:val="24"/>
    </w:rPr>
  </w:style>
  <w:style w:type="paragraph" w:customStyle="1" w:styleId="49">
    <w:name w:val="List Paragraph1"/>
    <w:basedOn w:val="1"/>
    <w:qFormat/>
    <w:uiPriority w:val="99"/>
    <w:pPr>
      <w:widowControl/>
      <w:ind w:firstLine="420" w:firstLineChars="200"/>
      <w:jc w:val="left"/>
    </w:pPr>
    <w:rPr>
      <w:rFonts w:ascii="Calibri" w:hAnsi="Calibri" w:cs="Calibri"/>
    </w:rPr>
  </w:style>
  <w:style w:type="character" w:customStyle="1" w:styleId="50">
    <w:name w:val="style81"/>
    <w:qFormat/>
    <w:uiPriority w:val="99"/>
    <w:rPr>
      <w:sz w:val="20"/>
      <w:szCs w:val="20"/>
    </w:rPr>
  </w:style>
  <w:style w:type="paragraph" w:customStyle="1" w:styleId="51">
    <w:name w:val="列出段落1"/>
    <w:basedOn w:val="1"/>
    <w:qFormat/>
    <w:uiPriority w:val="99"/>
    <w:pPr>
      <w:ind w:firstLine="420"/>
      <w:jc w:val="left"/>
    </w:pPr>
  </w:style>
  <w:style w:type="paragraph" w:customStyle="1" w:styleId="52">
    <w:name w:val="表格"/>
    <w:basedOn w:val="1"/>
    <w:qFormat/>
    <w:uiPriority w:val="99"/>
    <w:pPr>
      <w:autoSpaceDE w:val="0"/>
      <w:autoSpaceDN w:val="0"/>
      <w:jc w:val="center"/>
      <w:textAlignment w:val="baseline"/>
    </w:pPr>
    <w:rPr>
      <w:color w:val="000000"/>
      <w:kern w:val="0"/>
    </w:rPr>
  </w:style>
  <w:style w:type="character" w:customStyle="1" w:styleId="53">
    <w:name w:val="02 Char"/>
    <w:link w:val="54"/>
    <w:qFormat/>
    <w:locked/>
    <w:uiPriority w:val="99"/>
    <w:rPr>
      <w:rFonts w:ascii="宋体" w:cs="宋体"/>
      <w:b/>
      <w:bCs/>
      <w:color w:val="FF0000"/>
      <w:kern w:val="2"/>
      <w:sz w:val="28"/>
      <w:szCs w:val="28"/>
    </w:rPr>
  </w:style>
  <w:style w:type="paragraph" w:customStyle="1" w:styleId="54">
    <w:name w:val="02"/>
    <w:basedOn w:val="2"/>
    <w:link w:val="53"/>
    <w:qFormat/>
    <w:uiPriority w:val="99"/>
    <w:pPr>
      <w:jc w:val="center"/>
    </w:pPr>
    <w:rPr>
      <w:color w:val="FF0000"/>
    </w:rPr>
  </w:style>
  <w:style w:type="character" w:customStyle="1" w:styleId="55">
    <w:name w:val="03 Char"/>
    <w:link w:val="56"/>
    <w:qFormat/>
    <w:locked/>
    <w:uiPriority w:val="99"/>
    <w:rPr>
      <w:rFonts w:ascii="宋体" w:cs="宋体"/>
      <w:b/>
      <w:bCs/>
      <w:kern w:val="2"/>
      <w:sz w:val="28"/>
      <w:szCs w:val="28"/>
    </w:rPr>
  </w:style>
  <w:style w:type="paragraph" w:customStyle="1" w:styleId="56">
    <w:name w:val="03"/>
    <w:basedOn w:val="5"/>
    <w:link w:val="55"/>
    <w:qFormat/>
    <w:uiPriority w:val="99"/>
    <w:pPr>
      <w:numPr>
        <w:ilvl w:val="0"/>
        <w:numId w:val="0"/>
      </w:numPr>
    </w:pPr>
  </w:style>
  <w:style w:type="character" w:customStyle="1" w:styleId="57">
    <w:name w:val="宋体小四 Char"/>
    <w:link w:val="58"/>
    <w:qFormat/>
    <w:locked/>
    <w:uiPriority w:val="99"/>
    <w:rPr>
      <w:rFonts w:ascii="宋体" w:eastAsia="宋体" w:cs="宋体"/>
      <w:kern w:val="2"/>
      <w:sz w:val="24"/>
      <w:szCs w:val="24"/>
    </w:rPr>
  </w:style>
  <w:style w:type="paragraph" w:customStyle="1" w:styleId="58">
    <w:name w:val="宋体小四"/>
    <w:basedOn w:val="1"/>
    <w:link w:val="57"/>
    <w:qFormat/>
    <w:uiPriority w:val="99"/>
    <w:pPr>
      <w:spacing w:line="360" w:lineRule="auto"/>
      <w:ind w:firstLine="480" w:firstLineChars="200"/>
    </w:pPr>
    <w:rPr>
      <w:rFonts w:ascii="宋体" w:hAnsi="宋体" w:cs="宋体"/>
      <w:sz w:val="24"/>
      <w:szCs w:val="24"/>
    </w:rPr>
  </w:style>
  <w:style w:type="character" w:customStyle="1" w:styleId="59">
    <w:name w:val="fontstyle01"/>
    <w:basedOn w:val="29"/>
    <w:qFormat/>
    <w:uiPriority w:val="99"/>
    <w:rPr>
      <w:rFonts w:ascii="宋体" w:eastAsia="宋体" w:cs="宋体"/>
      <w:color w:val="000000"/>
      <w:sz w:val="22"/>
      <w:szCs w:val="22"/>
    </w:rPr>
  </w:style>
  <w:style w:type="paragraph" w:customStyle="1" w:styleId="60">
    <w:name w:val="正文首行缩进2字符"/>
    <w:basedOn w:val="1"/>
    <w:qFormat/>
    <w:uiPriority w:val="99"/>
    <w:pPr>
      <w:spacing w:line="360" w:lineRule="auto"/>
      <w:ind w:firstLine="200" w:firstLineChars="200"/>
    </w:pPr>
  </w:style>
  <w:style w:type="paragraph" w:customStyle="1" w:styleId="61">
    <w:name w:val="居中表格内容标题"/>
    <w:basedOn w:val="62"/>
    <w:qFormat/>
    <w:uiPriority w:val="0"/>
    <w:pPr>
      <w:jc w:val="center"/>
    </w:pPr>
    <w:rPr>
      <w:b/>
    </w:rPr>
  </w:style>
  <w:style w:type="paragraph" w:customStyle="1" w:styleId="62">
    <w:name w:val="居中表格内容"/>
    <w:basedOn w:val="1"/>
    <w:next w:val="1"/>
    <w:qFormat/>
    <w:uiPriority w:val="0"/>
    <w:pPr>
      <w:jc w:val="left"/>
    </w:pPr>
    <w:rPr>
      <w:szCs w:val="28"/>
    </w:rPr>
  </w:style>
  <w:style w:type="paragraph" w:customStyle="1" w:styleId="63">
    <w:name w:val="Body text|1"/>
    <w:basedOn w:val="1"/>
    <w:qFormat/>
    <w:uiPriority w:val="0"/>
    <w:pPr>
      <w:spacing w:line="374" w:lineRule="auto"/>
      <w:ind w:firstLine="400"/>
    </w:pPr>
    <w:rPr>
      <w:rFonts w:ascii="宋体" w:hAnsi="宋体" w:cs="宋体"/>
      <w:sz w:val="30"/>
      <w:szCs w:val="30"/>
      <w:lang w:val="zh-TW" w:eastAsia="zh-TW" w:bidi="zh-TW"/>
    </w:rPr>
  </w:style>
  <w:style w:type="paragraph" w:customStyle="1" w:styleId="64">
    <w:name w:val="Body text|2"/>
    <w:basedOn w:val="1"/>
    <w:qFormat/>
    <w:uiPriority w:val="0"/>
    <w:pPr>
      <w:spacing w:line="360" w:lineRule="auto"/>
      <w:ind w:firstLine="660"/>
    </w:pPr>
    <w:rPr>
      <w:sz w:val="32"/>
      <w:szCs w:val="32"/>
      <w:lang w:val="zh-TW" w:eastAsia="zh-TW" w:bidi="zh-TW"/>
    </w:rPr>
  </w:style>
  <w:style w:type="character" w:customStyle="1" w:styleId="65">
    <w:name w:val="NormalCharacter"/>
    <w:semiHidden/>
    <w:qFormat/>
    <w:uiPriority w:val="0"/>
  </w:style>
  <w:style w:type="paragraph" w:customStyle="1" w:styleId="66">
    <w:name w:val="CM26"/>
    <w:basedOn w:val="1"/>
    <w:next w:val="1"/>
    <w:qFormat/>
    <w:uiPriority w:val="0"/>
    <w:pPr>
      <w:autoSpaceDE w:val="0"/>
      <w:autoSpaceDN w:val="0"/>
      <w:adjustRightInd w:val="0"/>
      <w:spacing w:line="400" w:lineRule="atLeast"/>
      <w:jc w:val="left"/>
    </w:pPr>
    <w:rPr>
      <w:rFonts w:ascii="宋体" w:hAnsi="宋体"/>
      <w:kern w:val="0"/>
      <w:sz w:val="24"/>
    </w:rPr>
  </w:style>
  <w:style w:type="paragraph" w:customStyle="1" w:styleId="67">
    <w:name w:val="xc正文"/>
    <w:basedOn w:val="1"/>
    <w:qFormat/>
    <w:uiPriority w:val="0"/>
    <w:pPr>
      <w:ind w:firstLine="200" w:firstLineChars="200"/>
    </w:pPr>
    <w:rPr>
      <w:szCs w:val="24"/>
    </w:rPr>
  </w:style>
  <w:style w:type="paragraph" w:customStyle="1" w:styleId="68">
    <w:name w:val="List Paragraph"/>
    <w:basedOn w:val="1"/>
    <w:next w:val="1"/>
    <w:qFormat/>
    <w:uiPriority w:val="1"/>
    <w:pPr>
      <w:ind w:firstLine="420" w:firstLineChars="200"/>
    </w:pPr>
    <w:rPr>
      <w:szCs w:val="24"/>
    </w:rPr>
  </w:style>
  <w:style w:type="character" w:customStyle="1" w:styleId="69">
    <w:name w:val="fontstyle21"/>
    <w:qFormat/>
    <w:uiPriority w:val="0"/>
    <w:rPr>
      <w:rFonts w:hint="default" w:ascii="TimesNewRomanPSMT" w:hAnsi="TimesNewRomanPSMT"/>
      <w:color w:val="000000"/>
      <w:sz w:val="32"/>
      <w:szCs w:val="32"/>
    </w:rPr>
  </w:style>
  <w:style w:type="paragraph" w:customStyle="1" w:styleId="70">
    <w:name w:val="_Style 16"/>
    <w:next w:val="1"/>
    <w:qFormat/>
    <w:uiPriority w:val="39"/>
    <w:pPr>
      <w:widowControl w:val="0"/>
      <w:tabs>
        <w:tab w:val="left" w:pos="540"/>
        <w:tab w:val="right" w:leader="dot" w:pos="8890"/>
      </w:tabs>
      <w:spacing w:beforeLines="15" w:afterLines="15" w:line="560" w:lineRule="exact"/>
    </w:pPr>
    <w:rPr>
      <w:rFonts w:ascii="Times New Roman" w:hAnsi="Times New Roman" w:eastAsia="黑体" w:cs="Times New Roman"/>
      <w:b/>
      <w:bCs/>
      <w:caps/>
      <w:kern w:val="2"/>
      <w:sz w:val="28"/>
      <w:szCs w:val="28"/>
      <w:lang w:val="en-US" w:eastAsia="zh-CN" w:bidi="ar-SA"/>
    </w:rPr>
  </w:style>
  <w:style w:type="paragraph" w:customStyle="1" w:styleId="71">
    <w:name w:val="_Style 76"/>
    <w:basedOn w:val="1"/>
    <w:next w:val="68"/>
    <w:qFormat/>
    <w:uiPriority w:val="34"/>
    <w:pPr>
      <w:ind w:firstLine="420" w:firstLineChars="200"/>
    </w:pPr>
    <w:rPr>
      <w:szCs w:val="24"/>
    </w:rPr>
  </w:style>
  <w:style w:type="paragraph" w:customStyle="1" w:styleId="72">
    <w:name w:val="纯文本1"/>
    <w:basedOn w:val="1"/>
    <w:qFormat/>
    <w:uiPriority w:val="0"/>
    <w:pPr>
      <w:ind w:firstLine="280" w:firstLineChars="100"/>
    </w:pPr>
    <w:rPr>
      <w:rFonts w:hAnsi="宋体" w:cs="Courier New"/>
    </w:rPr>
  </w:style>
  <w:style w:type="paragraph" w:customStyle="1" w:styleId="73">
    <w:name w:val="居中表名"/>
    <w:basedOn w:val="1"/>
    <w:next w:val="1"/>
    <w:qFormat/>
    <w:uiPriority w:val="0"/>
    <w:pPr>
      <w:jc w:val="center"/>
    </w:pPr>
    <w:rPr>
      <w:rFonts w:eastAsia="黑体"/>
      <w:b/>
      <w:szCs w:val="28"/>
    </w:rPr>
  </w:style>
  <w:style w:type="paragraph" w:customStyle="1" w:styleId="74">
    <w:name w:val="列表段落1"/>
    <w:basedOn w:val="1"/>
    <w:qFormat/>
    <w:uiPriority w:val="0"/>
    <w:pPr>
      <w:ind w:firstLine="420"/>
    </w:pPr>
  </w:style>
  <w:style w:type="paragraph" w:customStyle="1" w:styleId="75">
    <w:name w:val="[Normal]"/>
    <w:qFormat/>
    <w:uiPriority w:val="0"/>
    <w:rPr>
      <w:rFonts w:ascii="宋体" w:hAnsi="宋体" w:eastAsia="宋体" w:cs="Times New Roman"/>
      <w:sz w:val="24"/>
      <w:szCs w:val="22"/>
      <w:lang w:val="zh-CN" w:eastAsia="zh-CN" w:bidi="ar-SA"/>
    </w:rPr>
  </w:style>
  <w:style w:type="paragraph" w:customStyle="1" w:styleId="76">
    <w:name w:val="列出段落2"/>
    <w:basedOn w:val="1"/>
    <w:qFormat/>
    <w:uiPriority w:val="1"/>
    <w:pPr>
      <w:ind w:firstLine="420" w:firstLineChars="200"/>
    </w:pPr>
    <w:rPr>
      <w:szCs w:val="24"/>
    </w:rPr>
  </w:style>
  <w:style w:type="character" w:customStyle="1" w:styleId="77">
    <w:name w:val="font21"/>
    <w:qFormat/>
    <w:uiPriority w:val="0"/>
    <w:rPr>
      <w:rFonts w:hint="eastAsia" w:ascii="宋体" w:hAnsi="宋体" w:eastAsia="宋体" w:cs="宋体"/>
      <w:b/>
      <w:color w:val="FF0000"/>
      <w:sz w:val="24"/>
      <w:szCs w:val="24"/>
      <w:u w:val="none"/>
    </w:rPr>
  </w:style>
  <w:style w:type="paragraph" w:customStyle="1" w:styleId="78">
    <w:name w:val="样式6"/>
    <w:basedOn w:val="15"/>
    <w:qFormat/>
    <w:uiPriority w:val="0"/>
    <w:pPr>
      <w:adjustRightInd w:val="0"/>
      <w:spacing w:line="460" w:lineRule="exact"/>
      <w:outlineLvl w:val="2"/>
    </w:pPr>
    <w:rPr>
      <w:rFonts w:ascii="仿宋_GB2312" w:hAnsi="宋体" w:eastAsia="仿宋_GB2312" w:cs="Times New Roman"/>
      <w:b/>
      <w:bCs/>
      <w:sz w:val="24"/>
      <w:szCs w:val="24"/>
    </w:rPr>
  </w:style>
  <w:style w:type="paragraph" w:customStyle="1" w:styleId="79">
    <w:name w:val="我的正文"/>
    <w:basedOn w:val="1"/>
    <w:qFormat/>
    <w:uiPriority w:val="0"/>
    <w:pPr>
      <w:spacing w:line="360" w:lineRule="auto"/>
      <w:ind w:firstLine="200" w:firstLineChars="200"/>
    </w:pPr>
    <w:rPr>
      <w:sz w:val="24"/>
    </w:rPr>
  </w:style>
  <w:style w:type="paragraph" w:customStyle="1" w:styleId="80">
    <w:name w:val="No Spacing"/>
    <w:qFormat/>
    <w:uiPriority w:val="1"/>
    <w:pPr>
      <w:widowControl w:val="0"/>
      <w:ind w:firstLine="200" w:firstLineChars="200"/>
      <w:jc w:val="both"/>
    </w:pPr>
    <w:rPr>
      <w:rFonts w:ascii="等线" w:hAnsi="等线" w:eastAsia="仿宋"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51</Pages>
  <Words>4318</Words>
  <Characters>24617</Characters>
  <Lines>205</Lines>
  <Paragraphs>57</Paragraphs>
  <TotalTime>1</TotalTime>
  <ScaleCrop>false</ScaleCrop>
  <LinksUpToDate>false</LinksUpToDate>
  <CharactersWithSpaces>28878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2022-09-01T01:18:00Z</dcterms:created>
  <dc:creator>陈圣楠</dc:creator>
  <cp:lastModifiedBy>咩都唔识</cp:lastModifiedBy>
  <cp:lastPrinted>2022-05-25T11:39:00Z</cp:lastPrinted>
  <dcterms:modified xsi:type="dcterms:W3CDTF">2022-09-24T01:53:48Z</dcterms:modified>
  <dc:title>上虞区自然资源变更监测项目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91C37F3CF1F34690B49E2D1BB7FDA81B</vt:lpwstr>
  </property>
</Properties>
</file>