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cs="宋体"/>
          <w:bCs/>
          <w:color w:val="auto"/>
          <w:sz w:val="48"/>
          <w:szCs w:val="48"/>
          <w:highlight w:val="none"/>
        </w:rPr>
      </w:pPr>
      <w:bookmarkStart w:id="644" w:name="_GoBack"/>
      <w:bookmarkEnd w:id="644"/>
    </w:p>
    <w:p>
      <w:pPr>
        <w:rPr>
          <w:rFonts w:hint="eastAsia" w:ascii="宋体" w:hAnsi="宋体" w:cs="宋体"/>
          <w:color w:val="auto"/>
          <w:highlight w:val="none"/>
        </w:rPr>
      </w:pPr>
    </w:p>
    <w:p>
      <w:pPr>
        <w:jc w:val="center"/>
        <w:rPr>
          <w:rFonts w:hint="eastAsia"/>
          <w:b/>
          <w:bCs/>
          <w:color w:val="auto"/>
          <w:sz w:val="48"/>
          <w:szCs w:val="56"/>
          <w:highlight w:val="none"/>
        </w:rPr>
      </w:pPr>
      <w:r>
        <w:rPr>
          <w:rFonts w:hint="eastAsia"/>
          <w:b/>
          <w:bCs/>
          <w:color w:val="auto"/>
          <w:sz w:val="48"/>
          <w:szCs w:val="56"/>
          <w:highlight w:val="none"/>
        </w:rPr>
        <w:t>2022年高清虚拟抓拍卡口系统（第一期）到期改造及公共自行车服务系统视频监控（六期）项目</w:t>
      </w:r>
    </w:p>
    <w:p>
      <w:pPr>
        <w:rPr>
          <w:rFonts w:hint="eastAsia" w:ascii="宋体" w:hAnsi="宋体" w:cs="宋体"/>
          <w:color w:val="auto"/>
          <w:highlight w:val="none"/>
        </w:rPr>
      </w:pPr>
    </w:p>
    <w:p>
      <w:pPr>
        <w:spacing w:line="360" w:lineRule="auto"/>
        <w:rPr>
          <w:rFonts w:hint="eastAsia" w:ascii="宋体" w:hAnsi="宋体" w:cs="宋体"/>
          <w:b/>
          <w:color w:val="auto"/>
          <w:sz w:val="72"/>
          <w:szCs w:val="72"/>
          <w:highlight w:val="none"/>
        </w:rPr>
      </w:pPr>
    </w:p>
    <w:p>
      <w:pPr>
        <w:spacing w:line="360" w:lineRule="auto"/>
        <w:jc w:val="center"/>
        <w:rPr>
          <w:rFonts w:hint="eastAsia" w:ascii="宋体" w:hAnsi="宋体" w:cs="宋体"/>
          <w:b/>
          <w:color w:val="auto"/>
          <w:sz w:val="72"/>
          <w:szCs w:val="72"/>
          <w:highlight w:val="none"/>
        </w:rPr>
      </w:pPr>
    </w:p>
    <w:p>
      <w:pPr>
        <w:spacing w:line="360" w:lineRule="auto"/>
        <w:jc w:val="center"/>
        <w:rPr>
          <w:rFonts w:hint="eastAsia" w:ascii="宋体" w:hAnsi="宋体" w:cs="宋体"/>
          <w:b/>
          <w:color w:val="auto"/>
          <w:sz w:val="72"/>
          <w:szCs w:val="72"/>
          <w:highlight w:val="none"/>
        </w:rPr>
      </w:pPr>
      <w:r>
        <w:rPr>
          <w:rFonts w:hint="eastAsia" w:ascii="宋体" w:hAnsi="宋体" w:cs="宋体"/>
          <w:b/>
          <w:color w:val="auto"/>
          <w:sz w:val="72"/>
          <w:szCs w:val="72"/>
          <w:highlight w:val="none"/>
        </w:rPr>
        <w:t>招标文件</w:t>
      </w:r>
    </w:p>
    <w:p>
      <w:pPr>
        <w:spacing w:line="360" w:lineRule="auto"/>
        <w:jc w:val="center"/>
        <w:rPr>
          <w:rFonts w:hint="eastAsia" w:ascii="宋体" w:hAnsi="宋体" w:cs="宋体"/>
          <w:b/>
          <w:color w:val="auto"/>
          <w:sz w:val="24"/>
          <w:highlight w:val="none"/>
        </w:rPr>
      </w:pPr>
    </w:p>
    <w:p>
      <w:pPr>
        <w:spacing w:line="360" w:lineRule="auto"/>
        <w:jc w:val="center"/>
        <w:rPr>
          <w:rFonts w:hint="eastAsia" w:ascii="宋体" w:hAnsi="宋体" w:cs="宋体"/>
          <w:b/>
          <w:color w:val="auto"/>
          <w:sz w:val="24"/>
          <w:highlight w:val="none"/>
        </w:rPr>
      </w:pPr>
    </w:p>
    <w:p>
      <w:pPr>
        <w:snapToGrid w:val="0"/>
        <w:spacing w:line="360" w:lineRule="auto"/>
        <w:jc w:val="center"/>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招标编号：FS20220</w:t>
      </w:r>
      <w:r>
        <w:rPr>
          <w:rFonts w:hint="eastAsia" w:ascii="宋体" w:hAnsi="宋体" w:cs="宋体"/>
          <w:color w:val="auto"/>
          <w:sz w:val="30"/>
          <w:szCs w:val="30"/>
          <w:highlight w:val="none"/>
          <w:lang w:val="en-US" w:eastAsia="zh-CN"/>
        </w:rPr>
        <w:t>49</w:t>
      </w:r>
      <w:r>
        <w:rPr>
          <w:rFonts w:hint="eastAsia" w:ascii="宋体" w:hAnsi="宋体" w:cs="宋体"/>
          <w:color w:val="auto"/>
          <w:sz w:val="30"/>
          <w:szCs w:val="30"/>
          <w:highlight w:val="none"/>
        </w:rPr>
        <w:t xml:space="preserve"> </w:t>
      </w:r>
    </w:p>
    <w:p>
      <w:pPr>
        <w:snapToGrid w:val="0"/>
        <w:spacing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采购方式：公开招标</w:t>
      </w:r>
    </w:p>
    <w:p>
      <w:pPr>
        <w:spacing w:line="360" w:lineRule="auto"/>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pacing w:line="360" w:lineRule="auto"/>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pacing w:line="360" w:lineRule="auto"/>
        <w:jc w:val="center"/>
        <w:rPr>
          <w:rFonts w:hint="eastAsia" w:ascii="宋体" w:hAnsi="宋体" w:cs="宋体"/>
          <w:color w:val="auto"/>
          <w:sz w:val="24"/>
          <w:highlight w:val="none"/>
        </w:rPr>
      </w:pPr>
    </w:p>
    <w:p>
      <w:pPr>
        <w:snapToGrid w:val="0"/>
        <w:spacing w:line="360" w:lineRule="auto"/>
        <w:jc w:val="center"/>
        <w:rPr>
          <w:rFonts w:hint="eastAsia" w:ascii="宋体" w:hAnsi="宋体" w:cs="宋体"/>
          <w:color w:val="auto"/>
          <w:highlight w:val="none"/>
        </w:rPr>
      </w:pPr>
      <w:r>
        <w:rPr>
          <w:rFonts w:hint="eastAsia" w:ascii="宋体" w:hAnsi="宋体" w:cs="宋体"/>
          <w:color w:val="auto"/>
          <w:sz w:val="30"/>
          <w:highlight w:val="none"/>
        </w:rPr>
        <w:t>采购人：绍兴市公安局上虞区分局</w:t>
      </w:r>
    </w:p>
    <w:p>
      <w:pPr>
        <w:snapToGrid w:val="0"/>
        <w:spacing w:line="360" w:lineRule="auto"/>
        <w:jc w:val="center"/>
        <w:rPr>
          <w:rFonts w:hint="eastAsia" w:ascii="宋体" w:hAnsi="宋体" w:cs="宋体"/>
          <w:color w:val="auto"/>
          <w:sz w:val="30"/>
          <w:highlight w:val="none"/>
        </w:rPr>
      </w:pPr>
      <w:r>
        <w:rPr>
          <w:rFonts w:hint="eastAsia" w:ascii="宋体" w:hAnsi="宋体" w:cs="宋体"/>
          <w:color w:val="auto"/>
          <w:sz w:val="30"/>
          <w:highlight w:val="none"/>
        </w:rPr>
        <w:t>采购代理机构：浙江宇康工程管理咨询有限公司</w:t>
      </w:r>
    </w:p>
    <w:p>
      <w:pPr>
        <w:spacing w:line="360" w:lineRule="auto"/>
        <w:rPr>
          <w:rFonts w:hint="eastAsia" w:ascii="宋体" w:hAnsi="宋体" w:cs="宋体"/>
          <w:color w:val="auto"/>
          <w:sz w:val="24"/>
          <w:highlight w:val="none"/>
        </w:rPr>
      </w:pPr>
      <w:bookmarkStart w:id="0" w:name="_Hlt67893495"/>
      <w:bookmarkEnd w:id="0"/>
    </w:p>
    <w:p>
      <w:pPr>
        <w:spacing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pPr>
        <w:pStyle w:val="24"/>
        <w:tabs>
          <w:tab w:val="right" w:leader="dot" w:pos="9355"/>
        </w:tabs>
        <w:rPr>
          <w:color w:val="auto"/>
          <w:highlight w:val="none"/>
        </w:rPr>
      </w:pPr>
      <w:bookmarkStart w:id="1" w:name="_Hlt91233176"/>
      <w:bookmarkEnd w:id="1"/>
      <w:bookmarkStart w:id="2" w:name="_Toc91899869"/>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TOC \o "1-2" \h \u </w:instrText>
      </w:r>
      <w:r>
        <w:rPr>
          <w:rFonts w:hint="eastAsia" w:ascii="宋体" w:hAnsi="宋体" w:cs="宋体"/>
          <w:color w:val="auto"/>
          <w:sz w:val="24"/>
          <w:highlight w:val="none"/>
        </w:rPr>
        <w:fldChar w:fldCharType="separate"/>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_Toc10703 </w:instrText>
      </w:r>
      <w:r>
        <w:rPr>
          <w:rFonts w:hint="eastAsia" w:ascii="宋体" w:hAnsi="宋体" w:cs="宋体"/>
          <w:color w:val="auto"/>
          <w:highlight w:val="none"/>
        </w:rPr>
        <w:fldChar w:fldCharType="separate"/>
      </w:r>
      <w:r>
        <w:rPr>
          <w:rFonts w:hint="eastAsia"/>
          <w:color w:val="auto"/>
          <w:szCs w:val="32"/>
          <w:highlight w:val="none"/>
        </w:rPr>
        <w:t>第一部分 招标公告</w:t>
      </w:r>
      <w:r>
        <w:rPr>
          <w:color w:val="auto"/>
          <w:highlight w:val="none"/>
        </w:rPr>
        <w:tab/>
      </w:r>
      <w:r>
        <w:rPr>
          <w:color w:val="auto"/>
          <w:highlight w:val="none"/>
        </w:rPr>
        <w:fldChar w:fldCharType="begin"/>
      </w:r>
      <w:r>
        <w:rPr>
          <w:color w:val="auto"/>
          <w:highlight w:val="none"/>
        </w:rPr>
        <w:instrText xml:space="preserve"> PAGEREF _Toc10703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_Toc21298 </w:instrText>
      </w:r>
      <w:r>
        <w:rPr>
          <w:rFonts w:hint="eastAsia" w:ascii="宋体" w:hAnsi="宋体" w:cs="宋体"/>
          <w:color w:val="auto"/>
          <w:highlight w:val="none"/>
        </w:rPr>
        <w:fldChar w:fldCharType="separate"/>
      </w:r>
      <w:r>
        <w:rPr>
          <w:rFonts w:hint="eastAsia" w:ascii="宋体" w:hAnsi="宋体" w:cs="宋体"/>
          <w:color w:val="auto"/>
          <w:szCs w:val="20"/>
          <w:highlight w:val="none"/>
        </w:rPr>
        <w:t>第二部分   投标须知</w:t>
      </w:r>
      <w:r>
        <w:rPr>
          <w:color w:val="auto"/>
          <w:highlight w:val="none"/>
        </w:rPr>
        <w:tab/>
      </w:r>
      <w:r>
        <w:rPr>
          <w:color w:val="auto"/>
          <w:highlight w:val="none"/>
        </w:rPr>
        <w:fldChar w:fldCharType="begin"/>
      </w:r>
      <w:r>
        <w:rPr>
          <w:color w:val="auto"/>
          <w:highlight w:val="none"/>
        </w:rPr>
        <w:instrText xml:space="preserve"> PAGEREF _Toc21298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_Toc21806 </w:instrText>
      </w:r>
      <w:r>
        <w:rPr>
          <w:rFonts w:hint="eastAsia" w:ascii="宋体" w:hAnsi="宋体" w:cs="宋体"/>
          <w:color w:val="auto"/>
          <w:highlight w:val="none"/>
        </w:rPr>
        <w:fldChar w:fldCharType="separate"/>
      </w:r>
      <w:r>
        <w:rPr>
          <w:rFonts w:hint="eastAsia" w:ascii="宋体" w:hAnsi="宋体" w:cs="宋体"/>
          <w:snapToGrid w:val="0"/>
          <w:color w:val="auto"/>
          <w:kern w:val="0"/>
          <w:szCs w:val="30"/>
          <w:highlight w:val="none"/>
        </w:rPr>
        <w:t>前附表</w:t>
      </w:r>
      <w:r>
        <w:rPr>
          <w:color w:val="auto"/>
          <w:highlight w:val="none"/>
        </w:rPr>
        <w:tab/>
      </w:r>
      <w:r>
        <w:rPr>
          <w:color w:val="auto"/>
          <w:highlight w:val="none"/>
        </w:rPr>
        <w:fldChar w:fldCharType="begin"/>
      </w:r>
      <w:r>
        <w:rPr>
          <w:color w:val="auto"/>
          <w:highlight w:val="none"/>
        </w:rPr>
        <w:instrText xml:space="preserve"> PAGEREF _Toc21806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_Toc14459 </w:instrText>
      </w:r>
      <w:r>
        <w:rPr>
          <w:rFonts w:hint="eastAsia" w:ascii="宋体" w:hAnsi="宋体" w:cs="宋体"/>
          <w:color w:val="auto"/>
          <w:highlight w:val="none"/>
        </w:rPr>
        <w:fldChar w:fldCharType="separate"/>
      </w:r>
      <w:r>
        <w:rPr>
          <w:rFonts w:hint="eastAsia" w:ascii="宋体" w:hAnsi="宋体" w:cs="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_Toc14459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_Toc26564 </w:instrText>
      </w:r>
      <w:r>
        <w:rPr>
          <w:rFonts w:hint="eastAsia" w:ascii="宋体" w:hAnsi="宋体" w:cs="宋体"/>
          <w:color w:val="auto"/>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_Toc26564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_Toc20365 </w:instrText>
      </w:r>
      <w:r>
        <w:rPr>
          <w:rFonts w:hint="eastAsia" w:ascii="宋体" w:hAnsi="宋体" w:cs="宋体"/>
          <w:color w:val="auto"/>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_Toc20365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_Toc29620 </w:instrText>
      </w:r>
      <w:r>
        <w:rPr>
          <w:rFonts w:hint="eastAsia" w:ascii="宋体" w:hAnsi="宋体" w:cs="宋体"/>
          <w:color w:val="auto"/>
          <w:highlight w:val="none"/>
        </w:rPr>
        <w:fldChar w:fldCharType="separate"/>
      </w:r>
      <w:r>
        <w:rPr>
          <w:rFonts w:hint="eastAsia" w:ascii="宋体" w:hAnsi="宋体" w:cs="宋体"/>
          <w:color w:val="auto"/>
          <w:highlight w:val="none"/>
        </w:rPr>
        <w:t>四、投标文件的递交</w:t>
      </w:r>
      <w:r>
        <w:rPr>
          <w:color w:val="auto"/>
          <w:highlight w:val="none"/>
        </w:rPr>
        <w:tab/>
      </w:r>
      <w:r>
        <w:rPr>
          <w:color w:val="auto"/>
          <w:highlight w:val="none"/>
        </w:rPr>
        <w:fldChar w:fldCharType="begin"/>
      </w:r>
      <w:r>
        <w:rPr>
          <w:color w:val="auto"/>
          <w:highlight w:val="none"/>
        </w:rPr>
        <w:instrText xml:space="preserve"> PAGEREF _Toc29620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_Toc32614 </w:instrText>
      </w:r>
      <w:r>
        <w:rPr>
          <w:rFonts w:hint="eastAsia" w:ascii="宋体" w:hAnsi="宋体" w:cs="宋体"/>
          <w:color w:val="auto"/>
          <w:highlight w:val="none"/>
        </w:rPr>
        <w:fldChar w:fldCharType="separate"/>
      </w:r>
      <w:r>
        <w:rPr>
          <w:rFonts w:hint="eastAsia" w:ascii="宋体" w:hAnsi="宋体" w:cs="宋体"/>
          <w:color w:val="auto"/>
          <w:highlight w:val="none"/>
        </w:rPr>
        <w:t>五、开标</w:t>
      </w:r>
      <w:r>
        <w:rPr>
          <w:color w:val="auto"/>
          <w:highlight w:val="none"/>
        </w:rPr>
        <w:tab/>
      </w:r>
      <w:r>
        <w:rPr>
          <w:color w:val="auto"/>
          <w:highlight w:val="none"/>
        </w:rPr>
        <w:fldChar w:fldCharType="begin"/>
      </w:r>
      <w:r>
        <w:rPr>
          <w:color w:val="auto"/>
          <w:highlight w:val="none"/>
        </w:rPr>
        <w:instrText xml:space="preserve"> PAGEREF _Toc32614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_Toc5066 </w:instrText>
      </w:r>
      <w:r>
        <w:rPr>
          <w:rFonts w:hint="eastAsia" w:ascii="宋体" w:hAnsi="宋体" w:cs="宋体"/>
          <w:color w:val="auto"/>
          <w:highlight w:val="none"/>
        </w:rPr>
        <w:fldChar w:fldCharType="separate"/>
      </w:r>
      <w:r>
        <w:rPr>
          <w:rFonts w:hint="eastAsia" w:ascii="宋体" w:hAnsi="宋体" w:cs="宋体"/>
          <w:color w:val="auto"/>
          <w:highlight w:val="none"/>
        </w:rPr>
        <w:t>六、资格审查</w:t>
      </w:r>
      <w:r>
        <w:rPr>
          <w:color w:val="auto"/>
          <w:highlight w:val="none"/>
        </w:rPr>
        <w:tab/>
      </w:r>
      <w:r>
        <w:rPr>
          <w:color w:val="auto"/>
          <w:highlight w:val="none"/>
        </w:rPr>
        <w:fldChar w:fldCharType="begin"/>
      </w:r>
      <w:r>
        <w:rPr>
          <w:color w:val="auto"/>
          <w:highlight w:val="none"/>
        </w:rPr>
        <w:instrText xml:space="preserve"> PAGEREF _Toc5066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_Toc4192 </w:instrText>
      </w:r>
      <w:r>
        <w:rPr>
          <w:rFonts w:hint="eastAsia" w:ascii="宋体" w:hAnsi="宋体" w:cs="宋体"/>
          <w:color w:val="auto"/>
          <w:highlight w:val="none"/>
        </w:rPr>
        <w:fldChar w:fldCharType="separate"/>
      </w:r>
      <w:r>
        <w:rPr>
          <w:rFonts w:hint="eastAsia" w:ascii="宋体" w:hAnsi="宋体" w:cs="宋体"/>
          <w:color w:val="auto"/>
          <w:highlight w:val="none"/>
        </w:rPr>
        <w:t>七、评标</w:t>
      </w:r>
      <w:r>
        <w:rPr>
          <w:color w:val="auto"/>
          <w:highlight w:val="none"/>
        </w:rPr>
        <w:tab/>
      </w:r>
      <w:r>
        <w:rPr>
          <w:color w:val="auto"/>
          <w:highlight w:val="none"/>
        </w:rPr>
        <w:fldChar w:fldCharType="begin"/>
      </w:r>
      <w:r>
        <w:rPr>
          <w:color w:val="auto"/>
          <w:highlight w:val="none"/>
        </w:rPr>
        <w:instrText xml:space="preserve"> PAGEREF _Toc4192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_Toc3276 </w:instrText>
      </w:r>
      <w:r>
        <w:rPr>
          <w:rFonts w:hint="eastAsia" w:ascii="宋体" w:hAnsi="宋体" w:cs="宋体"/>
          <w:color w:val="auto"/>
          <w:highlight w:val="none"/>
        </w:rPr>
        <w:fldChar w:fldCharType="separate"/>
      </w:r>
      <w:r>
        <w:rPr>
          <w:rFonts w:hint="eastAsia" w:ascii="宋体" w:hAnsi="宋体" w:cs="宋体"/>
          <w:color w:val="auto"/>
          <w:highlight w:val="none"/>
        </w:rPr>
        <w:t>八、定 标</w:t>
      </w:r>
      <w:r>
        <w:rPr>
          <w:color w:val="auto"/>
          <w:highlight w:val="none"/>
        </w:rPr>
        <w:tab/>
      </w:r>
      <w:r>
        <w:rPr>
          <w:color w:val="auto"/>
          <w:highlight w:val="none"/>
        </w:rPr>
        <w:fldChar w:fldCharType="begin"/>
      </w:r>
      <w:r>
        <w:rPr>
          <w:color w:val="auto"/>
          <w:highlight w:val="none"/>
        </w:rPr>
        <w:instrText xml:space="preserve"> PAGEREF _Toc3276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_Toc8881 </w:instrText>
      </w:r>
      <w:r>
        <w:rPr>
          <w:rFonts w:hint="eastAsia" w:ascii="宋体" w:hAnsi="宋体" w:cs="宋体"/>
          <w:color w:val="auto"/>
          <w:highlight w:val="none"/>
        </w:rPr>
        <w:fldChar w:fldCharType="separate"/>
      </w:r>
      <w:r>
        <w:rPr>
          <w:rFonts w:hint="eastAsia" w:ascii="宋体" w:hAnsi="宋体" w:cs="宋体"/>
          <w:color w:val="auto"/>
          <w:highlight w:val="none"/>
        </w:rPr>
        <w:t>九、合同签订及其他</w:t>
      </w:r>
      <w:r>
        <w:rPr>
          <w:color w:val="auto"/>
          <w:highlight w:val="none"/>
        </w:rPr>
        <w:tab/>
      </w:r>
      <w:r>
        <w:rPr>
          <w:color w:val="auto"/>
          <w:highlight w:val="none"/>
        </w:rPr>
        <w:fldChar w:fldCharType="begin"/>
      </w:r>
      <w:r>
        <w:rPr>
          <w:color w:val="auto"/>
          <w:highlight w:val="none"/>
        </w:rPr>
        <w:instrText xml:space="preserve"> PAGEREF _Toc8881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_Toc23157 </w:instrText>
      </w:r>
      <w:r>
        <w:rPr>
          <w:rFonts w:hint="eastAsia" w:ascii="宋体" w:hAnsi="宋体" w:cs="宋体"/>
          <w:color w:val="auto"/>
          <w:highlight w:val="none"/>
        </w:rPr>
        <w:fldChar w:fldCharType="separate"/>
      </w:r>
      <w:r>
        <w:rPr>
          <w:rFonts w:hint="eastAsia" w:ascii="宋体" w:hAnsi="宋体" w:cs="宋体"/>
          <w:color w:val="auto"/>
          <w:highlight w:val="none"/>
        </w:rPr>
        <w:t>十、质疑与投诉</w:t>
      </w:r>
      <w:r>
        <w:rPr>
          <w:color w:val="auto"/>
          <w:highlight w:val="none"/>
        </w:rPr>
        <w:tab/>
      </w:r>
      <w:r>
        <w:rPr>
          <w:color w:val="auto"/>
          <w:highlight w:val="none"/>
        </w:rPr>
        <w:fldChar w:fldCharType="begin"/>
      </w:r>
      <w:r>
        <w:rPr>
          <w:color w:val="auto"/>
          <w:highlight w:val="none"/>
        </w:rPr>
        <w:instrText xml:space="preserve"> PAGEREF _Toc23157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_Toc13827 </w:instrText>
      </w:r>
      <w:r>
        <w:rPr>
          <w:rFonts w:hint="eastAsia" w:ascii="宋体" w:hAnsi="宋体" w:cs="宋体"/>
          <w:color w:val="auto"/>
          <w:highlight w:val="none"/>
        </w:rPr>
        <w:fldChar w:fldCharType="separate"/>
      </w:r>
      <w:r>
        <w:rPr>
          <w:rFonts w:hint="eastAsia" w:ascii="宋体" w:hAnsi="宋体" w:cs="宋体"/>
          <w:color w:val="auto"/>
          <w:szCs w:val="36"/>
          <w:highlight w:val="none"/>
        </w:rPr>
        <w:t>第三部分   评标办法及评分标准</w:t>
      </w:r>
      <w:r>
        <w:rPr>
          <w:color w:val="auto"/>
          <w:highlight w:val="none"/>
        </w:rPr>
        <w:tab/>
      </w:r>
      <w:r>
        <w:rPr>
          <w:color w:val="auto"/>
          <w:highlight w:val="none"/>
        </w:rPr>
        <w:fldChar w:fldCharType="begin"/>
      </w:r>
      <w:r>
        <w:rPr>
          <w:color w:val="auto"/>
          <w:highlight w:val="none"/>
        </w:rPr>
        <w:instrText xml:space="preserve"> PAGEREF _Toc13827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_Toc3386 </w:instrText>
      </w:r>
      <w:r>
        <w:rPr>
          <w:rFonts w:hint="eastAsia" w:ascii="宋体" w:hAnsi="宋体" w:cs="宋体"/>
          <w:color w:val="auto"/>
          <w:highlight w:val="none"/>
        </w:rPr>
        <w:fldChar w:fldCharType="separate"/>
      </w:r>
      <w:r>
        <w:rPr>
          <w:rFonts w:hint="eastAsia" w:hAnsi="宋体" w:cs="宋体"/>
          <w:bCs/>
          <w:color w:val="auto"/>
          <w:highlight w:val="none"/>
        </w:rPr>
        <w:t>第一章　评标办法</w:t>
      </w:r>
      <w:r>
        <w:rPr>
          <w:color w:val="auto"/>
          <w:highlight w:val="none"/>
        </w:rPr>
        <w:tab/>
      </w:r>
      <w:r>
        <w:rPr>
          <w:color w:val="auto"/>
          <w:highlight w:val="none"/>
        </w:rPr>
        <w:fldChar w:fldCharType="begin"/>
      </w:r>
      <w:r>
        <w:rPr>
          <w:color w:val="auto"/>
          <w:highlight w:val="none"/>
        </w:rPr>
        <w:instrText xml:space="preserve"> PAGEREF _Toc3386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_Toc12957 </w:instrText>
      </w:r>
      <w:r>
        <w:rPr>
          <w:rFonts w:hint="eastAsia" w:ascii="宋体" w:hAnsi="宋体" w:cs="宋体"/>
          <w:color w:val="auto"/>
          <w:highlight w:val="none"/>
        </w:rPr>
        <w:fldChar w:fldCharType="separate"/>
      </w:r>
      <w:r>
        <w:rPr>
          <w:rFonts w:hint="eastAsia" w:hAnsi="宋体" w:cs="宋体"/>
          <w:color w:val="auto"/>
          <w:highlight w:val="none"/>
        </w:rPr>
        <w:t>第二章　评分标准</w:t>
      </w:r>
      <w:r>
        <w:rPr>
          <w:color w:val="auto"/>
          <w:highlight w:val="none"/>
        </w:rPr>
        <w:tab/>
      </w:r>
      <w:r>
        <w:rPr>
          <w:color w:val="auto"/>
          <w:highlight w:val="none"/>
        </w:rPr>
        <w:fldChar w:fldCharType="begin"/>
      </w:r>
      <w:r>
        <w:rPr>
          <w:color w:val="auto"/>
          <w:highlight w:val="none"/>
        </w:rPr>
        <w:instrText xml:space="preserve"> PAGEREF _Toc12957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_Toc18251 </w:instrText>
      </w:r>
      <w:r>
        <w:rPr>
          <w:rFonts w:hint="eastAsia" w:ascii="宋体" w:hAnsi="宋体" w:cs="宋体"/>
          <w:color w:val="auto"/>
          <w:highlight w:val="none"/>
        </w:rPr>
        <w:fldChar w:fldCharType="separate"/>
      </w:r>
      <w:r>
        <w:rPr>
          <w:rFonts w:hint="eastAsia" w:ascii="宋体" w:hAnsi="宋体" w:cs="宋体"/>
          <w:color w:val="auto"/>
          <w:szCs w:val="36"/>
          <w:highlight w:val="none"/>
        </w:rPr>
        <w:t>第四部分   采购需求</w:t>
      </w:r>
      <w:r>
        <w:rPr>
          <w:color w:val="auto"/>
          <w:highlight w:val="none"/>
        </w:rPr>
        <w:tab/>
      </w:r>
      <w:r>
        <w:rPr>
          <w:color w:val="auto"/>
          <w:highlight w:val="none"/>
        </w:rPr>
        <w:fldChar w:fldCharType="begin"/>
      </w:r>
      <w:r>
        <w:rPr>
          <w:color w:val="auto"/>
          <w:highlight w:val="none"/>
        </w:rPr>
        <w:instrText xml:space="preserve"> PAGEREF _Toc18251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_Toc10481 </w:instrText>
      </w:r>
      <w:r>
        <w:rPr>
          <w:rFonts w:hint="eastAsia" w:ascii="宋体" w:hAnsi="宋体" w:cs="宋体"/>
          <w:color w:val="auto"/>
          <w:highlight w:val="none"/>
        </w:rPr>
        <w:fldChar w:fldCharType="separate"/>
      </w:r>
      <w:r>
        <w:rPr>
          <w:rFonts w:hint="default" w:hAnsi="宋体" w:cs="宋体"/>
          <w:color w:val="auto"/>
          <w:szCs w:val="28"/>
          <w:highlight w:val="none"/>
        </w:rPr>
        <w:t xml:space="preserve">第一章 </w:t>
      </w:r>
      <w:r>
        <w:rPr>
          <w:rFonts w:hint="eastAsia" w:hAnsi="宋体" w:cs="宋体"/>
          <w:color w:val="auto"/>
          <w:kern w:val="0"/>
          <w:szCs w:val="28"/>
          <w:highlight w:val="none"/>
        </w:rPr>
        <w:t>总则</w:t>
      </w:r>
      <w:r>
        <w:rPr>
          <w:color w:val="auto"/>
          <w:highlight w:val="none"/>
        </w:rPr>
        <w:tab/>
      </w:r>
      <w:r>
        <w:rPr>
          <w:color w:val="auto"/>
          <w:highlight w:val="none"/>
        </w:rPr>
        <w:fldChar w:fldCharType="begin"/>
      </w:r>
      <w:r>
        <w:rPr>
          <w:color w:val="auto"/>
          <w:highlight w:val="none"/>
        </w:rPr>
        <w:instrText xml:space="preserve"> PAGEREF _Toc10481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_Toc23139 </w:instrText>
      </w:r>
      <w:r>
        <w:rPr>
          <w:rFonts w:hint="eastAsia" w:ascii="宋体" w:hAnsi="宋体" w:cs="宋体"/>
          <w:color w:val="auto"/>
          <w:highlight w:val="none"/>
        </w:rPr>
        <w:fldChar w:fldCharType="separate"/>
      </w:r>
      <w:r>
        <w:rPr>
          <w:rFonts w:hint="default" w:hAnsi="宋体" w:cs="宋体"/>
          <w:color w:val="auto"/>
          <w:szCs w:val="28"/>
          <w:highlight w:val="none"/>
        </w:rPr>
        <w:t xml:space="preserve">第二章 </w:t>
      </w:r>
      <w:r>
        <w:rPr>
          <w:rFonts w:hint="eastAsia" w:hAnsi="宋体" w:cs="宋体"/>
          <w:color w:val="auto"/>
          <w:kern w:val="0"/>
          <w:szCs w:val="28"/>
          <w:highlight w:val="none"/>
        </w:rPr>
        <w:t>采购内容及要求</w:t>
      </w:r>
      <w:r>
        <w:rPr>
          <w:color w:val="auto"/>
          <w:highlight w:val="none"/>
        </w:rPr>
        <w:tab/>
      </w:r>
      <w:r>
        <w:rPr>
          <w:color w:val="auto"/>
          <w:highlight w:val="none"/>
        </w:rPr>
        <w:fldChar w:fldCharType="begin"/>
      </w:r>
      <w:r>
        <w:rPr>
          <w:color w:val="auto"/>
          <w:highlight w:val="none"/>
        </w:rPr>
        <w:instrText xml:space="preserve"> PAGEREF _Toc23139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_Toc21869 </w:instrText>
      </w:r>
      <w:r>
        <w:rPr>
          <w:rFonts w:hint="eastAsia" w:ascii="宋体" w:hAnsi="宋体" w:cs="宋体"/>
          <w:color w:val="auto"/>
          <w:highlight w:val="none"/>
        </w:rPr>
        <w:fldChar w:fldCharType="separate"/>
      </w:r>
      <w:r>
        <w:rPr>
          <w:rFonts w:hint="eastAsia" w:hAnsi="宋体" w:cs="宋体"/>
          <w:color w:val="auto"/>
          <w:kern w:val="0"/>
          <w:highlight w:val="none"/>
        </w:rPr>
        <w:t>第三章 点位清单</w:t>
      </w:r>
      <w:r>
        <w:rPr>
          <w:color w:val="auto"/>
          <w:highlight w:val="none"/>
        </w:rPr>
        <w:tab/>
      </w:r>
      <w:r>
        <w:rPr>
          <w:color w:val="auto"/>
          <w:highlight w:val="none"/>
        </w:rPr>
        <w:fldChar w:fldCharType="begin"/>
      </w:r>
      <w:r>
        <w:rPr>
          <w:color w:val="auto"/>
          <w:highlight w:val="none"/>
        </w:rPr>
        <w:instrText xml:space="preserve"> PAGEREF _Toc21869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_Toc30678 </w:instrText>
      </w:r>
      <w:r>
        <w:rPr>
          <w:rFonts w:hint="eastAsia" w:ascii="宋体" w:hAnsi="宋体" w:cs="宋体"/>
          <w:color w:val="auto"/>
          <w:highlight w:val="none"/>
        </w:rPr>
        <w:fldChar w:fldCharType="separate"/>
      </w:r>
      <w:r>
        <w:rPr>
          <w:rFonts w:hint="eastAsia" w:hAnsi="宋体" w:cs="宋体"/>
          <w:color w:val="auto"/>
          <w:kern w:val="0"/>
          <w:highlight w:val="none"/>
        </w:rPr>
        <w:t>第四章 其他要求</w:t>
      </w:r>
      <w:r>
        <w:rPr>
          <w:color w:val="auto"/>
          <w:highlight w:val="none"/>
        </w:rPr>
        <w:tab/>
      </w:r>
      <w:r>
        <w:rPr>
          <w:color w:val="auto"/>
          <w:highlight w:val="none"/>
        </w:rPr>
        <w:fldChar w:fldCharType="begin"/>
      </w:r>
      <w:r>
        <w:rPr>
          <w:color w:val="auto"/>
          <w:highlight w:val="none"/>
        </w:rPr>
        <w:instrText xml:space="preserve"> PAGEREF _Toc30678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_Toc2060 </w:instrText>
      </w:r>
      <w:r>
        <w:rPr>
          <w:rFonts w:hint="eastAsia" w:ascii="宋体" w:hAnsi="宋体" w:cs="宋体"/>
          <w:color w:val="auto"/>
          <w:highlight w:val="none"/>
        </w:rPr>
        <w:fldChar w:fldCharType="separate"/>
      </w:r>
      <w:r>
        <w:rPr>
          <w:rFonts w:hint="eastAsia" w:hAnsi="宋体" w:cs="宋体"/>
          <w:color w:val="auto"/>
          <w:kern w:val="0"/>
          <w:highlight w:val="none"/>
        </w:rPr>
        <w:t>第五章 付款方式及要求</w:t>
      </w:r>
      <w:r>
        <w:rPr>
          <w:color w:val="auto"/>
          <w:highlight w:val="none"/>
        </w:rPr>
        <w:tab/>
      </w:r>
      <w:r>
        <w:rPr>
          <w:color w:val="auto"/>
          <w:highlight w:val="none"/>
        </w:rPr>
        <w:fldChar w:fldCharType="begin"/>
      </w:r>
      <w:r>
        <w:rPr>
          <w:color w:val="auto"/>
          <w:highlight w:val="none"/>
        </w:rPr>
        <w:instrText xml:space="preserve"> PAGEREF _Toc2060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_Toc30662 </w:instrText>
      </w:r>
      <w:r>
        <w:rPr>
          <w:rFonts w:hint="eastAsia" w:ascii="宋体" w:hAnsi="宋体" w:cs="宋体"/>
          <w:color w:val="auto"/>
          <w:highlight w:val="none"/>
        </w:rPr>
        <w:fldChar w:fldCharType="separate"/>
      </w:r>
      <w:r>
        <w:rPr>
          <w:rFonts w:hint="eastAsia" w:ascii="宋体" w:hAnsi="宋体" w:cs="宋体"/>
          <w:color w:val="auto"/>
          <w:szCs w:val="36"/>
          <w:highlight w:val="none"/>
        </w:rPr>
        <w:t>第五部分 采购合同</w:t>
      </w:r>
      <w:r>
        <w:rPr>
          <w:color w:val="auto"/>
          <w:highlight w:val="none"/>
        </w:rPr>
        <w:tab/>
      </w:r>
      <w:r>
        <w:rPr>
          <w:color w:val="auto"/>
          <w:highlight w:val="none"/>
        </w:rPr>
        <w:fldChar w:fldCharType="begin"/>
      </w:r>
      <w:r>
        <w:rPr>
          <w:color w:val="auto"/>
          <w:highlight w:val="none"/>
        </w:rPr>
        <w:instrText xml:space="preserve"> PAGEREF _Toc30662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_Toc29562 </w:instrText>
      </w:r>
      <w:r>
        <w:rPr>
          <w:rFonts w:hint="eastAsia" w:ascii="宋体" w:hAnsi="宋体" w:cs="宋体"/>
          <w:color w:val="auto"/>
          <w:highlight w:val="none"/>
        </w:rPr>
        <w:fldChar w:fldCharType="separate"/>
      </w:r>
      <w:r>
        <w:rPr>
          <w:rFonts w:hint="eastAsia" w:ascii="宋体" w:hAnsi="宋体" w:cs="宋体"/>
          <w:color w:val="auto"/>
          <w:szCs w:val="36"/>
          <w:highlight w:val="none"/>
        </w:rPr>
        <w:t>第六部分 应提交的有关格式范例</w:t>
      </w:r>
      <w:r>
        <w:rPr>
          <w:color w:val="auto"/>
          <w:highlight w:val="none"/>
        </w:rPr>
        <w:tab/>
      </w:r>
      <w:r>
        <w:rPr>
          <w:color w:val="auto"/>
          <w:highlight w:val="none"/>
        </w:rPr>
        <w:fldChar w:fldCharType="begin"/>
      </w:r>
      <w:r>
        <w:rPr>
          <w:color w:val="auto"/>
          <w:highlight w:val="none"/>
        </w:rPr>
        <w:instrText xml:space="preserve"> PAGEREF _Toc29562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_Toc23530 </w:instrText>
      </w:r>
      <w:r>
        <w:rPr>
          <w:rFonts w:hint="eastAsia" w:ascii="宋体" w:hAnsi="宋体" w:cs="宋体"/>
          <w:color w:val="auto"/>
          <w:highlight w:val="none"/>
        </w:rPr>
        <w:fldChar w:fldCharType="separate"/>
      </w:r>
      <w:r>
        <w:rPr>
          <w:rFonts w:hint="eastAsia" w:hAnsi="宋体" w:cs="宋体"/>
          <w:color w:val="auto"/>
          <w:szCs w:val="30"/>
          <w:highlight w:val="none"/>
        </w:rPr>
        <w:t>附件一：法定代表人授权书</w:t>
      </w:r>
      <w:r>
        <w:rPr>
          <w:color w:val="auto"/>
          <w:highlight w:val="none"/>
        </w:rPr>
        <w:tab/>
      </w:r>
      <w:r>
        <w:rPr>
          <w:color w:val="auto"/>
          <w:highlight w:val="none"/>
        </w:rPr>
        <w:fldChar w:fldCharType="begin"/>
      </w:r>
      <w:r>
        <w:rPr>
          <w:color w:val="auto"/>
          <w:highlight w:val="none"/>
        </w:rPr>
        <w:instrText xml:space="preserve"> PAGEREF _Toc23530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ind w:firstLine="420" w:firstLineChars="200"/>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_Toc7012 </w:instrText>
      </w:r>
      <w:r>
        <w:rPr>
          <w:rFonts w:hint="eastAsia" w:ascii="宋体" w:hAnsi="宋体" w:cs="宋体"/>
          <w:color w:val="auto"/>
          <w:highlight w:val="none"/>
        </w:rPr>
        <w:fldChar w:fldCharType="separate"/>
      </w:r>
      <w:r>
        <w:rPr>
          <w:rFonts w:hint="eastAsia" w:ascii="宋体" w:hAnsi="宋体" w:cs="宋体"/>
          <w:color w:val="auto"/>
          <w:szCs w:val="30"/>
          <w:highlight w:val="none"/>
          <w:lang w:val="zh-CN"/>
        </w:rPr>
        <w:t>附件二：投 标 人 承 诺 函</w:t>
      </w:r>
      <w:r>
        <w:rPr>
          <w:color w:val="auto"/>
          <w:highlight w:val="none"/>
        </w:rPr>
        <w:tab/>
      </w:r>
      <w:r>
        <w:rPr>
          <w:color w:val="auto"/>
          <w:highlight w:val="none"/>
        </w:rPr>
        <w:fldChar w:fldCharType="begin"/>
      </w:r>
      <w:r>
        <w:rPr>
          <w:color w:val="auto"/>
          <w:highlight w:val="none"/>
        </w:rPr>
        <w:instrText xml:space="preserve"> PAGEREF _Toc7012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_Toc4163 </w:instrText>
      </w:r>
      <w:r>
        <w:rPr>
          <w:rFonts w:hint="eastAsia" w:ascii="宋体" w:hAnsi="宋体" w:cs="宋体"/>
          <w:color w:val="auto"/>
          <w:highlight w:val="none"/>
        </w:rPr>
        <w:fldChar w:fldCharType="separate"/>
      </w:r>
      <w:r>
        <w:rPr>
          <w:rFonts w:hint="eastAsia" w:ascii="宋体" w:hAnsi="宋体" w:eastAsia="宋体" w:cs="宋体"/>
          <w:color w:val="auto"/>
          <w:kern w:val="2"/>
          <w:szCs w:val="30"/>
          <w:highlight w:val="none"/>
          <w:lang w:val="zh-CN" w:eastAsia="zh-CN" w:bidi="ar-SA"/>
        </w:rPr>
        <w:t>附件</w:t>
      </w:r>
      <w:r>
        <w:rPr>
          <w:rFonts w:hint="eastAsia" w:hAnsi="宋体" w:eastAsia="宋体" w:cs="宋体"/>
          <w:color w:val="auto"/>
          <w:kern w:val="2"/>
          <w:szCs w:val="30"/>
          <w:highlight w:val="none"/>
          <w:lang w:val="en-US" w:eastAsia="zh-CN" w:bidi="ar-SA"/>
        </w:rPr>
        <w:t>三</w:t>
      </w:r>
      <w:r>
        <w:rPr>
          <w:rFonts w:hint="eastAsia" w:ascii="宋体" w:hAnsi="宋体" w:eastAsia="宋体" w:cs="宋体"/>
          <w:color w:val="auto"/>
          <w:kern w:val="2"/>
          <w:szCs w:val="30"/>
          <w:highlight w:val="none"/>
          <w:lang w:val="zh-CN" w:eastAsia="zh-CN" w:bidi="ar-SA"/>
        </w:rPr>
        <w:t>：</w:t>
      </w:r>
      <w:r>
        <w:rPr>
          <w:rFonts w:hint="eastAsia" w:ascii="宋体" w:hAnsi="宋体" w:eastAsia="宋体" w:cs="宋体"/>
          <w:color w:val="auto"/>
          <w:kern w:val="2"/>
          <w:szCs w:val="30"/>
          <w:highlight w:val="none"/>
          <w:lang w:val="en-US" w:eastAsia="zh-CN" w:bidi="ar-SA"/>
        </w:rPr>
        <w:t>联合体投标协议书</w:t>
      </w:r>
      <w:r>
        <w:rPr>
          <w:color w:val="auto"/>
          <w:highlight w:val="none"/>
        </w:rPr>
        <w:tab/>
      </w:r>
      <w:r>
        <w:rPr>
          <w:color w:val="auto"/>
          <w:highlight w:val="none"/>
        </w:rPr>
        <w:fldChar w:fldCharType="begin"/>
      </w:r>
      <w:r>
        <w:rPr>
          <w:color w:val="auto"/>
          <w:highlight w:val="none"/>
        </w:rPr>
        <w:instrText xml:space="preserve"> PAGEREF _Toc4163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_Toc32432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五</w:t>
      </w:r>
      <w:r>
        <w:rPr>
          <w:rFonts w:hint="eastAsia" w:hAnsi="宋体" w:cs="宋体"/>
          <w:color w:val="auto"/>
          <w:szCs w:val="30"/>
          <w:highlight w:val="none"/>
          <w:lang w:val="zh-CN"/>
        </w:rPr>
        <w:t>：中小企业声明函</w:t>
      </w:r>
      <w:r>
        <w:rPr>
          <w:color w:val="auto"/>
          <w:highlight w:val="none"/>
        </w:rPr>
        <w:tab/>
      </w:r>
      <w:r>
        <w:rPr>
          <w:color w:val="auto"/>
          <w:highlight w:val="none"/>
        </w:rPr>
        <w:fldChar w:fldCharType="begin"/>
      </w:r>
      <w:r>
        <w:rPr>
          <w:color w:val="auto"/>
          <w:highlight w:val="none"/>
        </w:rPr>
        <w:instrText xml:space="preserve"> PAGEREF _Toc32432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_Toc22398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六</w:t>
      </w:r>
      <w:r>
        <w:rPr>
          <w:rFonts w:hint="eastAsia" w:hAnsi="宋体" w:cs="宋体"/>
          <w:color w:val="auto"/>
          <w:szCs w:val="30"/>
          <w:highlight w:val="none"/>
          <w:lang w:val="zh-CN"/>
        </w:rPr>
        <w:t>：残疾人福利性单位声明函</w:t>
      </w:r>
      <w:r>
        <w:rPr>
          <w:color w:val="auto"/>
          <w:highlight w:val="none"/>
        </w:rPr>
        <w:tab/>
      </w:r>
      <w:r>
        <w:rPr>
          <w:color w:val="auto"/>
          <w:highlight w:val="none"/>
        </w:rPr>
        <w:fldChar w:fldCharType="begin"/>
      </w:r>
      <w:r>
        <w:rPr>
          <w:color w:val="auto"/>
          <w:highlight w:val="none"/>
        </w:rPr>
        <w:instrText xml:space="preserve"> PAGEREF _Toc22398 \h </w:instrText>
      </w:r>
      <w:r>
        <w:rPr>
          <w:color w:val="auto"/>
          <w:highlight w:val="none"/>
        </w:rPr>
        <w:fldChar w:fldCharType="separate"/>
      </w:r>
      <w:r>
        <w:rPr>
          <w:color w:val="auto"/>
          <w:highlight w:val="none"/>
        </w:rPr>
        <w:t>79</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_Toc32581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七</w:t>
      </w:r>
      <w:r>
        <w:rPr>
          <w:rFonts w:hint="eastAsia" w:hAnsi="宋体" w:cs="宋体"/>
          <w:color w:val="auto"/>
          <w:szCs w:val="30"/>
          <w:highlight w:val="none"/>
          <w:lang w:val="zh-CN"/>
        </w:rPr>
        <w:t>：监狱企业证明文件</w:t>
      </w:r>
      <w:r>
        <w:rPr>
          <w:color w:val="auto"/>
          <w:highlight w:val="none"/>
        </w:rPr>
        <w:tab/>
      </w:r>
      <w:r>
        <w:rPr>
          <w:color w:val="auto"/>
          <w:highlight w:val="none"/>
        </w:rPr>
        <w:fldChar w:fldCharType="begin"/>
      </w:r>
      <w:r>
        <w:rPr>
          <w:color w:val="auto"/>
          <w:highlight w:val="none"/>
        </w:rPr>
        <w:instrText xml:space="preserve"> PAGEREF _Toc32581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ind w:firstLine="420" w:firstLineChars="200"/>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_Toc22028 </w:instrText>
      </w:r>
      <w:r>
        <w:rPr>
          <w:rFonts w:hint="eastAsia" w:ascii="宋体" w:hAnsi="宋体" w:cs="宋体"/>
          <w:color w:val="auto"/>
          <w:highlight w:val="none"/>
        </w:rPr>
        <w:fldChar w:fldCharType="separate"/>
      </w:r>
      <w:r>
        <w:rPr>
          <w:rFonts w:hint="eastAsia" w:ascii="宋体" w:hAnsi="宋体" w:cs="宋体"/>
          <w:color w:val="auto"/>
          <w:szCs w:val="30"/>
          <w:highlight w:val="none"/>
          <w:lang w:val="zh-CN"/>
        </w:rPr>
        <w:t>附件</w:t>
      </w:r>
      <w:r>
        <w:rPr>
          <w:rFonts w:hint="eastAsia" w:ascii="宋体" w:hAnsi="宋体" w:cs="宋体"/>
          <w:color w:val="auto"/>
          <w:szCs w:val="30"/>
          <w:highlight w:val="none"/>
          <w:lang w:val="en-US" w:eastAsia="zh-CN"/>
        </w:rPr>
        <w:t>八</w:t>
      </w:r>
      <w:r>
        <w:rPr>
          <w:rFonts w:hint="eastAsia" w:ascii="宋体" w:hAnsi="宋体" w:cs="宋体"/>
          <w:color w:val="auto"/>
          <w:szCs w:val="30"/>
          <w:highlight w:val="none"/>
          <w:lang w:val="zh-CN"/>
        </w:rPr>
        <w:t>：评分对应表</w:t>
      </w:r>
      <w:r>
        <w:rPr>
          <w:color w:val="auto"/>
          <w:highlight w:val="none"/>
        </w:rPr>
        <w:tab/>
      </w:r>
      <w:r>
        <w:rPr>
          <w:color w:val="auto"/>
          <w:highlight w:val="none"/>
        </w:rPr>
        <w:fldChar w:fldCharType="begin"/>
      </w:r>
      <w:r>
        <w:rPr>
          <w:color w:val="auto"/>
          <w:highlight w:val="none"/>
        </w:rPr>
        <w:instrText xml:space="preserve"> PAGEREF _Toc22028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_Toc31060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九</w:t>
      </w:r>
      <w:r>
        <w:rPr>
          <w:rFonts w:hint="eastAsia" w:hAnsi="宋体" w:cs="宋体"/>
          <w:color w:val="auto"/>
          <w:szCs w:val="30"/>
          <w:highlight w:val="none"/>
          <w:lang w:val="zh-CN"/>
        </w:rPr>
        <w:t>：资信分自评表</w:t>
      </w:r>
      <w:r>
        <w:rPr>
          <w:color w:val="auto"/>
          <w:highlight w:val="none"/>
        </w:rPr>
        <w:tab/>
      </w:r>
      <w:r>
        <w:rPr>
          <w:color w:val="auto"/>
          <w:highlight w:val="none"/>
        </w:rPr>
        <w:fldChar w:fldCharType="begin"/>
      </w:r>
      <w:r>
        <w:rPr>
          <w:color w:val="auto"/>
          <w:highlight w:val="none"/>
        </w:rPr>
        <w:instrText xml:space="preserve"> PAGEREF _Toc31060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ind w:firstLine="420" w:firstLineChars="200"/>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_Toc8916 </w:instrText>
      </w:r>
      <w:r>
        <w:rPr>
          <w:rFonts w:hint="eastAsia" w:ascii="宋体" w:hAnsi="宋体" w:cs="宋体"/>
          <w:color w:val="auto"/>
          <w:highlight w:val="none"/>
        </w:rPr>
        <w:fldChar w:fldCharType="separate"/>
      </w:r>
      <w:r>
        <w:rPr>
          <w:rFonts w:hint="eastAsia" w:ascii="宋体" w:hAnsi="宋体" w:cs="宋体"/>
          <w:color w:val="auto"/>
          <w:szCs w:val="30"/>
          <w:highlight w:val="none"/>
          <w:lang w:val="zh-CN"/>
        </w:rPr>
        <w:t>附件</w:t>
      </w:r>
      <w:r>
        <w:rPr>
          <w:rFonts w:hint="eastAsia" w:ascii="宋体" w:hAnsi="宋体" w:cs="宋体"/>
          <w:color w:val="auto"/>
          <w:szCs w:val="30"/>
          <w:highlight w:val="none"/>
          <w:lang w:val="en-US" w:eastAsia="zh-CN"/>
        </w:rPr>
        <w:t>十</w:t>
      </w:r>
      <w:r>
        <w:rPr>
          <w:rFonts w:hint="eastAsia" w:ascii="宋体" w:hAnsi="宋体" w:cs="宋体"/>
          <w:color w:val="auto"/>
          <w:szCs w:val="30"/>
          <w:highlight w:val="none"/>
          <w:lang w:val="zh-CN"/>
        </w:rPr>
        <w:t>：投标项目明细清单</w:t>
      </w:r>
      <w:r>
        <w:rPr>
          <w:color w:val="auto"/>
          <w:highlight w:val="none"/>
        </w:rPr>
        <w:tab/>
      </w:r>
      <w:r>
        <w:rPr>
          <w:color w:val="auto"/>
          <w:highlight w:val="none"/>
        </w:rPr>
        <w:fldChar w:fldCharType="begin"/>
      </w:r>
      <w:r>
        <w:rPr>
          <w:color w:val="auto"/>
          <w:highlight w:val="none"/>
        </w:rPr>
        <w:instrText xml:space="preserve"> PAGEREF _Toc8916 \h </w:instrText>
      </w:r>
      <w:r>
        <w:rPr>
          <w:color w:val="auto"/>
          <w:highlight w:val="none"/>
        </w:rPr>
        <w:fldChar w:fldCharType="separate"/>
      </w:r>
      <w:r>
        <w:rPr>
          <w:color w:val="auto"/>
          <w:highlight w:val="none"/>
        </w:rPr>
        <w:t>84</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_Toc3511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十一</w:t>
      </w:r>
      <w:r>
        <w:rPr>
          <w:rFonts w:hint="eastAsia" w:hAnsi="宋体" w:cs="宋体"/>
          <w:color w:val="auto"/>
          <w:szCs w:val="30"/>
          <w:highlight w:val="none"/>
          <w:lang w:val="zh-CN"/>
        </w:rPr>
        <w:t>：技术响应及建议表</w:t>
      </w:r>
      <w:r>
        <w:rPr>
          <w:color w:val="auto"/>
          <w:highlight w:val="none"/>
        </w:rPr>
        <w:tab/>
      </w:r>
      <w:r>
        <w:rPr>
          <w:color w:val="auto"/>
          <w:highlight w:val="none"/>
        </w:rPr>
        <w:fldChar w:fldCharType="begin"/>
      </w:r>
      <w:r>
        <w:rPr>
          <w:color w:val="auto"/>
          <w:highlight w:val="none"/>
        </w:rPr>
        <w:instrText xml:space="preserve"> PAGEREF _Toc3511 \h </w:instrText>
      </w:r>
      <w:r>
        <w:rPr>
          <w:color w:val="auto"/>
          <w:highlight w:val="none"/>
        </w:rPr>
        <w:fldChar w:fldCharType="separate"/>
      </w:r>
      <w:r>
        <w:rPr>
          <w:color w:val="auto"/>
          <w:highlight w:val="none"/>
        </w:rPr>
        <w:t>85</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_Toc29334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十二</w:t>
      </w:r>
      <w:r>
        <w:rPr>
          <w:rFonts w:hint="eastAsia" w:hAnsi="宋体" w:cs="宋体"/>
          <w:color w:val="auto"/>
          <w:szCs w:val="30"/>
          <w:highlight w:val="none"/>
          <w:lang w:val="zh-CN"/>
        </w:rPr>
        <w:t>：商务响应表</w:t>
      </w:r>
      <w:r>
        <w:rPr>
          <w:color w:val="auto"/>
          <w:highlight w:val="none"/>
        </w:rPr>
        <w:tab/>
      </w:r>
      <w:r>
        <w:rPr>
          <w:color w:val="auto"/>
          <w:highlight w:val="none"/>
        </w:rPr>
        <w:fldChar w:fldCharType="begin"/>
      </w:r>
      <w:r>
        <w:rPr>
          <w:color w:val="auto"/>
          <w:highlight w:val="none"/>
        </w:rPr>
        <w:instrText xml:space="preserve"> PAGEREF _Toc29334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cs="宋体"/>
          <w:color w:val="auto"/>
          <w:highlight w:val="none"/>
        </w:rPr>
        <w:fldChar w:fldCharType="end"/>
      </w:r>
    </w:p>
    <w:p>
      <w:pPr>
        <w:pStyle w:val="24"/>
        <w:tabs>
          <w:tab w:val="right" w:leader="dot" w:pos="9355"/>
        </w:tabs>
        <w:ind w:firstLine="420" w:firstLineChars="200"/>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_Toc84 </w:instrText>
      </w:r>
      <w:r>
        <w:rPr>
          <w:rFonts w:hint="eastAsia" w:ascii="宋体" w:hAnsi="宋体" w:cs="宋体"/>
          <w:color w:val="auto"/>
          <w:highlight w:val="none"/>
        </w:rPr>
        <w:fldChar w:fldCharType="separate"/>
      </w:r>
      <w:r>
        <w:rPr>
          <w:rFonts w:hint="eastAsia" w:ascii="宋体" w:hAnsi="宋体" w:cs="宋体"/>
          <w:color w:val="auto"/>
          <w:szCs w:val="30"/>
          <w:highlight w:val="none"/>
          <w:lang w:val="zh-CN"/>
        </w:rPr>
        <w:t>附件</w:t>
      </w:r>
      <w:r>
        <w:rPr>
          <w:rFonts w:hint="eastAsia" w:ascii="宋体" w:hAnsi="宋体" w:cs="宋体"/>
          <w:color w:val="auto"/>
          <w:szCs w:val="30"/>
          <w:highlight w:val="none"/>
          <w:lang w:val="en-US" w:eastAsia="zh-CN"/>
        </w:rPr>
        <w:t>十三</w:t>
      </w:r>
      <w:r>
        <w:rPr>
          <w:rFonts w:hint="eastAsia" w:ascii="宋体" w:hAnsi="宋体" w:cs="宋体"/>
          <w:color w:val="auto"/>
          <w:szCs w:val="30"/>
          <w:highlight w:val="none"/>
          <w:lang w:val="zh-CN"/>
        </w:rPr>
        <w:t>：项目团队</w:t>
      </w:r>
      <w:r>
        <w:rPr>
          <w:color w:val="auto"/>
          <w:highlight w:val="none"/>
        </w:rPr>
        <w:tab/>
      </w:r>
      <w:r>
        <w:rPr>
          <w:color w:val="auto"/>
          <w:highlight w:val="none"/>
        </w:rPr>
        <w:fldChar w:fldCharType="begin"/>
      </w:r>
      <w:r>
        <w:rPr>
          <w:color w:val="auto"/>
          <w:highlight w:val="none"/>
        </w:rPr>
        <w:instrText xml:space="preserve"> PAGEREF _Toc84 \h </w:instrText>
      </w:r>
      <w:r>
        <w:rPr>
          <w:color w:val="auto"/>
          <w:highlight w:val="none"/>
        </w:rPr>
        <w:fldChar w:fldCharType="separate"/>
      </w:r>
      <w:r>
        <w:rPr>
          <w:color w:val="auto"/>
          <w:highlight w:val="none"/>
        </w:rPr>
        <w:t>87</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_Toc23348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w:t>
      </w:r>
      <w:r>
        <w:rPr>
          <w:rFonts w:hint="eastAsia" w:hAnsi="宋体" w:cs="宋体"/>
          <w:color w:val="auto"/>
          <w:szCs w:val="30"/>
          <w:highlight w:val="none"/>
          <w:lang w:val="en-US" w:eastAsia="zh-CN"/>
        </w:rPr>
        <w:t>十四</w:t>
      </w:r>
      <w:r>
        <w:rPr>
          <w:rFonts w:hint="eastAsia" w:hAnsi="宋体" w:cs="宋体"/>
          <w:color w:val="auto"/>
          <w:szCs w:val="30"/>
          <w:highlight w:val="none"/>
          <w:lang w:val="zh-CN"/>
        </w:rPr>
        <w:t>：投 标 函</w:t>
      </w:r>
      <w:r>
        <w:rPr>
          <w:color w:val="auto"/>
          <w:highlight w:val="none"/>
        </w:rPr>
        <w:tab/>
      </w:r>
      <w:r>
        <w:rPr>
          <w:color w:val="auto"/>
          <w:highlight w:val="none"/>
        </w:rPr>
        <w:fldChar w:fldCharType="begin"/>
      </w:r>
      <w:r>
        <w:rPr>
          <w:color w:val="auto"/>
          <w:highlight w:val="none"/>
        </w:rPr>
        <w:instrText xml:space="preserve"> PAGEREF _Toc23348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_Toc21174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附件十</w:t>
      </w:r>
      <w:r>
        <w:rPr>
          <w:rFonts w:hint="eastAsia" w:hAnsi="宋体" w:cs="宋体"/>
          <w:color w:val="auto"/>
          <w:szCs w:val="30"/>
          <w:highlight w:val="none"/>
          <w:lang w:val="en-US" w:eastAsia="zh-CN"/>
        </w:rPr>
        <w:t>五</w:t>
      </w:r>
      <w:r>
        <w:rPr>
          <w:rFonts w:hint="eastAsia" w:hAnsi="宋体" w:cs="宋体"/>
          <w:color w:val="auto"/>
          <w:szCs w:val="30"/>
          <w:highlight w:val="none"/>
          <w:lang w:val="zh-CN"/>
        </w:rPr>
        <w:t>：开标一览表</w:t>
      </w:r>
      <w:r>
        <w:rPr>
          <w:color w:val="auto"/>
          <w:highlight w:val="none"/>
        </w:rPr>
        <w:tab/>
      </w:r>
      <w:r>
        <w:rPr>
          <w:color w:val="auto"/>
          <w:highlight w:val="none"/>
        </w:rPr>
        <w:fldChar w:fldCharType="begin"/>
      </w:r>
      <w:r>
        <w:rPr>
          <w:color w:val="auto"/>
          <w:highlight w:val="none"/>
        </w:rPr>
        <w:instrText xml:space="preserve"> PAGEREF _Toc21174 \h </w:instrText>
      </w:r>
      <w:r>
        <w:rPr>
          <w:color w:val="auto"/>
          <w:highlight w:val="none"/>
        </w:rPr>
        <w:fldChar w:fldCharType="separate"/>
      </w:r>
      <w:r>
        <w:rPr>
          <w:color w:val="auto"/>
          <w:highlight w:val="none"/>
        </w:rPr>
        <w:t>90</w:t>
      </w:r>
      <w:r>
        <w:rPr>
          <w:color w:val="auto"/>
          <w:highlight w:val="none"/>
        </w:rPr>
        <w:fldChar w:fldCharType="end"/>
      </w:r>
      <w:r>
        <w:rPr>
          <w:rFonts w:hint="eastAsia" w:ascii="宋体" w:hAnsi="宋体" w:cs="宋体"/>
          <w:color w:val="auto"/>
          <w:highlight w:val="none"/>
        </w:rPr>
        <w:fldChar w:fldCharType="end"/>
      </w:r>
    </w:p>
    <w:p>
      <w:pPr>
        <w:pStyle w:val="29"/>
        <w:tabs>
          <w:tab w:val="right" w:leader="dot" w:pos="9355"/>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_Toc22143 </w:instrText>
      </w:r>
      <w:r>
        <w:rPr>
          <w:rFonts w:hint="eastAsia" w:ascii="宋体" w:hAnsi="宋体" w:cs="宋体"/>
          <w:color w:val="auto"/>
          <w:highlight w:val="none"/>
        </w:rPr>
        <w:fldChar w:fldCharType="separate"/>
      </w:r>
      <w:r>
        <w:rPr>
          <w:rFonts w:hint="eastAsia" w:hAnsi="宋体" w:cs="宋体"/>
          <w:color w:val="auto"/>
          <w:szCs w:val="30"/>
          <w:highlight w:val="none"/>
          <w:lang w:val="zh-CN"/>
        </w:rPr>
        <w:t>附件十</w:t>
      </w:r>
      <w:r>
        <w:rPr>
          <w:rFonts w:hint="eastAsia" w:hAnsi="宋体" w:cs="宋体"/>
          <w:color w:val="auto"/>
          <w:szCs w:val="30"/>
          <w:highlight w:val="none"/>
          <w:lang w:val="en-US" w:eastAsia="zh-CN"/>
        </w:rPr>
        <w:t>六</w:t>
      </w:r>
      <w:r>
        <w:rPr>
          <w:rFonts w:hint="eastAsia" w:hAnsi="宋体" w:cs="宋体"/>
          <w:color w:val="auto"/>
          <w:szCs w:val="30"/>
          <w:highlight w:val="none"/>
          <w:lang w:val="zh-CN"/>
        </w:rPr>
        <w:t>：投标报价明细表</w:t>
      </w:r>
      <w:r>
        <w:rPr>
          <w:color w:val="auto"/>
          <w:highlight w:val="none"/>
        </w:rPr>
        <w:tab/>
      </w:r>
      <w:r>
        <w:rPr>
          <w:color w:val="auto"/>
          <w:highlight w:val="none"/>
        </w:rPr>
        <w:fldChar w:fldCharType="begin"/>
      </w:r>
      <w:r>
        <w:rPr>
          <w:color w:val="auto"/>
          <w:highlight w:val="none"/>
        </w:rPr>
        <w:instrText xml:space="preserve"> PAGEREF _Toc22143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s="宋体"/>
          <w:color w:val="auto"/>
          <w:highlight w:val="none"/>
        </w:rPr>
        <w:fldChar w:fldCharType="end"/>
      </w:r>
    </w:p>
    <w:p>
      <w:pPr>
        <w:spacing w:line="360" w:lineRule="auto"/>
        <w:ind w:firstLine="480" w:firstLineChars="229"/>
        <w:jc w:val="center"/>
        <w:rPr>
          <w:rFonts w:hint="eastAsia" w:ascii="宋体" w:hAnsi="宋体" w:cs="宋体"/>
          <w:color w:val="auto"/>
          <w:highlight w:val="none"/>
        </w:rPr>
      </w:pPr>
      <w:r>
        <w:rPr>
          <w:rFonts w:hint="eastAsia" w:ascii="宋体" w:hAnsi="宋体" w:cs="宋体"/>
          <w:color w:val="auto"/>
          <w:highlight w:val="none"/>
        </w:rPr>
        <w:fldChar w:fldCharType="end"/>
      </w:r>
      <w:bookmarkEnd w:id="2"/>
      <w:bookmarkStart w:id="3" w:name="_Hlt74728647"/>
      <w:bookmarkEnd w:id="3"/>
      <w:bookmarkStart w:id="4" w:name="_Hlt74707423"/>
      <w:bookmarkEnd w:id="4"/>
      <w:bookmarkStart w:id="5" w:name="_Hlt74729822"/>
      <w:bookmarkEnd w:id="5"/>
      <w:bookmarkStart w:id="6" w:name="_Hlt74649545"/>
      <w:bookmarkEnd w:id="6"/>
      <w:bookmarkStart w:id="7" w:name="_Toc11315"/>
      <w:bookmarkStart w:id="8" w:name="_Toc26251"/>
      <w:bookmarkStart w:id="9" w:name="第二部分"/>
      <w:bookmarkStart w:id="10" w:name="_Toc91899870"/>
      <w:bookmarkStart w:id="11" w:name="_Toc91899871"/>
    </w:p>
    <w:p>
      <w:pPr>
        <w:spacing w:line="360" w:lineRule="auto"/>
        <w:ind w:firstLine="480" w:firstLineChars="229"/>
        <w:jc w:val="center"/>
        <w:rPr>
          <w:rFonts w:hint="eastAsia" w:ascii="宋体" w:hAnsi="宋体" w:cs="宋体"/>
          <w:b/>
          <w:color w:val="auto"/>
          <w:sz w:val="36"/>
          <w:szCs w:val="20"/>
          <w:highlight w:val="none"/>
        </w:rPr>
      </w:pPr>
      <w:r>
        <w:rPr>
          <w:rFonts w:hint="eastAsia" w:ascii="宋体" w:hAnsi="宋体" w:cs="宋体"/>
          <w:color w:val="auto"/>
          <w:highlight w:val="none"/>
        </w:rPr>
        <w:br w:type="page"/>
      </w:r>
      <w:bookmarkStart w:id="12" w:name="_Toc10703"/>
      <w:r>
        <w:rPr>
          <w:rStyle w:val="59"/>
          <w:rFonts w:hint="eastAsia"/>
          <w:color w:val="auto"/>
          <w:sz w:val="36"/>
          <w:szCs w:val="32"/>
          <w:highlight w:val="none"/>
        </w:rPr>
        <w:t>第一部分 招标公告</w:t>
      </w:r>
      <w:bookmarkEnd w:id="7"/>
      <w:bookmarkEnd w:id="8"/>
      <w:bookmarkEnd w:id="12"/>
    </w:p>
    <w:p>
      <w:pPr>
        <w:adjustRightInd w:val="0"/>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浙江宇康工程管理咨询有限公司关于</w:t>
      </w:r>
      <w:r>
        <w:rPr>
          <w:rFonts w:hint="eastAsia" w:ascii="宋体" w:hAnsi="宋体" w:cs="宋体"/>
          <w:color w:val="auto"/>
          <w:sz w:val="30"/>
          <w:highlight w:val="none"/>
        </w:rPr>
        <w:t>绍兴市公安局上虞区分局</w:t>
      </w:r>
      <w:r>
        <w:rPr>
          <w:rFonts w:hint="eastAsia" w:ascii="宋体" w:hAnsi="宋体" w:cs="宋体"/>
          <w:color w:val="auto"/>
          <w:sz w:val="28"/>
          <w:szCs w:val="28"/>
          <w:highlight w:val="none"/>
        </w:rPr>
        <w:t>2022年高清虚拟抓拍卡口系统（第一期）到期改造及公共自行车服务系统视频监控（六期）项目公开招标的公告</w:t>
      </w:r>
    </w:p>
    <w:p>
      <w:pPr>
        <w:adjustRightInd w:val="0"/>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公告日期：2022年</w:t>
      </w:r>
      <w:r>
        <w:rPr>
          <w:rFonts w:hint="eastAsia" w:ascii="宋体" w:hAnsi="宋体" w:cs="宋体"/>
          <w:color w:val="auto"/>
          <w:sz w:val="28"/>
          <w:szCs w:val="28"/>
          <w:highlight w:val="none"/>
          <w:lang w:val="en-US" w:eastAsia="zh-CN"/>
        </w:rPr>
        <w:t>8</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 xml:space="preserve">日 </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中华人民共和国政府采购法》等有关规定，浙江宇康工程管理咨询有限公司受绍兴市公安局上虞区分局委托，现就2022年高清虚拟抓拍卡口系统（第一期）到期改造及公共自行车服务系统视频监控（六期）项目进行公开招标，欢迎国内合格的供应商前来投标。</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一． 招标项目编号：FS20220</w:t>
      </w:r>
      <w:r>
        <w:rPr>
          <w:rFonts w:hint="eastAsia" w:ascii="宋体" w:hAnsi="宋体" w:cs="宋体"/>
          <w:color w:val="auto"/>
          <w:sz w:val="24"/>
          <w:highlight w:val="none"/>
          <w:lang w:val="en-US" w:eastAsia="zh-CN"/>
        </w:rPr>
        <w:t>49</w:t>
      </w:r>
      <w:r>
        <w:rPr>
          <w:rFonts w:hint="eastAsia" w:ascii="宋体" w:hAnsi="宋体" w:cs="宋体"/>
          <w:color w:val="auto"/>
          <w:sz w:val="24"/>
          <w:highlight w:val="none"/>
        </w:rPr>
        <w:t xml:space="preserve"> </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 采购组织类型：分散采购-分散委托中介</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 招标项目概况:</w:t>
      </w:r>
    </w:p>
    <w:tbl>
      <w:tblPr>
        <w:tblStyle w:val="37"/>
        <w:tblW w:w="10100" w:type="dxa"/>
        <w:jc w:val="center"/>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Layout w:type="fixed"/>
        <w:tblCellMar>
          <w:top w:w="0" w:type="dxa"/>
          <w:left w:w="108" w:type="dxa"/>
          <w:bottom w:w="0" w:type="dxa"/>
          <w:right w:w="108" w:type="dxa"/>
        </w:tblCellMar>
      </w:tblPr>
      <w:tblGrid>
        <w:gridCol w:w="645"/>
        <w:gridCol w:w="1666"/>
        <w:gridCol w:w="735"/>
        <w:gridCol w:w="780"/>
        <w:gridCol w:w="1125"/>
        <w:gridCol w:w="4035"/>
        <w:gridCol w:w="1114"/>
      </w:tblGrid>
      <w:tr>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977" w:hRule="atLeast"/>
          <w:jc w:val="center"/>
        </w:trPr>
        <w:tc>
          <w:tcPr>
            <w:tcW w:w="64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666"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73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数量</w:t>
            </w:r>
          </w:p>
        </w:tc>
        <w:tc>
          <w:tcPr>
            <w:tcW w:w="780"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单位</w:t>
            </w:r>
          </w:p>
        </w:tc>
        <w:tc>
          <w:tcPr>
            <w:tcW w:w="112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预算金额(万元)</w:t>
            </w:r>
          </w:p>
        </w:tc>
        <w:tc>
          <w:tcPr>
            <w:tcW w:w="403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标项基本概况介绍</w:t>
            </w:r>
          </w:p>
        </w:tc>
        <w:tc>
          <w:tcPr>
            <w:tcW w:w="1114"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最高限价(万元)</w:t>
            </w:r>
          </w:p>
        </w:tc>
      </w:tr>
      <w:tr>
        <w:tblPrEx>
          <w:tblCellMar>
            <w:top w:w="0" w:type="dxa"/>
            <w:left w:w="108" w:type="dxa"/>
            <w:bottom w:w="0" w:type="dxa"/>
            <w:right w:w="108" w:type="dxa"/>
          </w:tblCellMar>
        </w:tblPrEx>
        <w:trPr>
          <w:jc w:val="center"/>
        </w:trPr>
        <w:tc>
          <w:tcPr>
            <w:tcW w:w="64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666"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2022年高清虚拟抓拍卡口系统（第一期）到期改造及公共自行车服务系统视频监控（六期）项目</w:t>
            </w:r>
          </w:p>
        </w:tc>
        <w:tc>
          <w:tcPr>
            <w:tcW w:w="73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780"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w:t>
            </w:r>
          </w:p>
        </w:tc>
        <w:tc>
          <w:tcPr>
            <w:tcW w:w="1125"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750</w:t>
            </w:r>
          </w:p>
        </w:tc>
        <w:tc>
          <w:tcPr>
            <w:tcW w:w="4035" w:type="dxa"/>
            <w:noWrap w:val="0"/>
            <w:vAlign w:val="center"/>
          </w:tcPr>
          <w:p>
            <w:pPr>
              <w:adjustRightInd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2022年高清视频虚拟抓拍卡口系统（一期）到期改造及公共自行车服务系统视频监控（六期）项目，本项目采用政府购买租用服务方式，租用期三年，需改造建设点位201个，云存储平台搭建，验收前需出具第三方检测报告。</w:t>
            </w:r>
          </w:p>
        </w:tc>
        <w:tc>
          <w:tcPr>
            <w:tcW w:w="1114" w:type="dxa"/>
            <w:noWrap w:val="0"/>
            <w:vAlign w:val="center"/>
          </w:tcPr>
          <w:p>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750</w:t>
            </w:r>
          </w:p>
        </w:tc>
      </w:tr>
    </w:tbl>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四． 投标供应商资格要求:</w:t>
      </w:r>
    </w:p>
    <w:p>
      <w:pPr>
        <w:numPr>
          <w:ilvl w:val="0"/>
          <w:numId w:val="5"/>
        </w:numPr>
        <w:wordWrap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符合政府采购法第二十二条，且未被“信用中国”（www.creditchina.gov.cn）、中国政府采购网（www.ccgp.gov.cn）列入失信被执行人、重大税收违法案件当事人名单、政府采购严重违法失信行为记录名单。 </w:t>
      </w:r>
    </w:p>
    <w:p>
      <w:pPr>
        <w:numPr>
          <w:ilvl w:val="0"/>
          <w:numId w:val="5"/>
        </w:numPr>
        <w:wordWrap w:val="0"/>
        <w:adjustRightIn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落实政府采购政策需满足的资格要求：</w:t>
      </w:r>
      <w:r>
        <w:rPr>
          <w:rFonts w:hint="eastAsia" w:ascii="宋体" w:hAnsi="宋体" w:eastAsia="宋体" w:cs="宋体"/>
          <w:color w:val="auto"/>
          <w:sz w:val="24"/>
          <w:highlight w:val="none"/>
          <w:lang w:val="en-US" w:eastAsia="zh-CN"/>
        </w:rPr>
        <w:t>本项目预留了项目总预算金额80%以上专门面向中小微企业，预留份额通过下列措施进行：</w:t>
      </w:r>
    </w:p>
    <w:p>
      <w:pPr>
        <w:numPr>
          <w:ilvl w:val="0"/>
          <w:numId w:val="6"/>
        </w:numPr>
        <w:wordWrap w:val="0"/>
        <w:adjustRightInd w:val="0"/>
        <w:spacing w:line="360" w:lineRule="auto"/>
        <w:ind w:left="0" w:leftChars="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供应商可以以联合体形式参加采购活动，联合体中中小企业预留份额需约定项目总金额80%以上，采用联合体的需提供联合体协议书；</w:t>
      </w:r>
    </w:p>
    <w:p>
      <w:pPr>
        <w:numPr>
          <w:ilvl w:val="0"/>
          <w:numId w:val="6"/>
        </w:numPr>
        <w:wordWrap w:val="0"/>
        <w:adjustRightInd w:val="0"/>
        <w:spacing w:line="360" w:lineRule="auto"/>
        <w:ind w:left="0"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获得采购合同的供应商可以将采购项目中80%以上采购份额分包给一家或者多家中小企业，采用分包的需提供分包协议书。</w:t>
      </w:r>
    </w:p>
    <w:p>
      <w:pPr>
        <w:numPr>
          <w:ilvl w:val="0"/>
          <w:numId w:val="5"/>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本次招标</w:t>
      </w:r>
      <w:r>
        <w:rPr>
          <w:rFonts w:hint="eastAsia" w:ascii="宋体" w:hAnsi="宋体" w:cs="宋体"/>
          <w:color w:val="auto"/>
          <w:sz w:val="24"/>
          <w:highlight w:val="none"/>
          <w:u w:val="single"/>
        </w:rPr>
        <w:t>接受</w:t>
      </w:r>
      <w:r>
        <w:rPr>
          <w:rFonts w:hint="eastAsia" w:ascii="宋体" w:hAnsi="宋体" w:cs="宋体"/>
          <w:color w:val="auto"/>
          <w:sz w:val="24"/>
          <w:highlight w:val="none"/>
        </w:rPr>
        <w:t>联合体投标。</w:t>
      </w:r>
    </w:p>
    <w:p>
      <w:pPr>
        <w:numPr>
          <w:ilvl w:val="0"/>
          <w:numId w:val="5"/>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本次招标采用资格后审的审查方式，由采购人负责审查。</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五．投标获取采购文件</w:t>
      </w:r>
    </w:p>
    <w:p>
      <w:pPr>
        <w:numPr>
          <w:ilvl w:val="0"/>
          <w:numId w:val="4"/>
        </w:numPr>
        <w:adjustRightInd w:val="0"/>
        <w:spacing w:line="360" w:lineRule="auto"/>
        <w:ind w:firstLine="480" w:firstLineChars="200"/>
        <w:rPr>
          <w:rFonts w:hint="eastAsia" w:ascii="宋体" w:hAnsi="宋体" w:cs="宋体"/>
          <w:color w:val="auto"/>
          <w:sz w:val="24"/>
          <w:highlight w:val="none"/>
        </w:rPr>
      </w:pPr>
      <w:bookmarkStart w:id="13" w:name="报名开始时间1"/>
      <w:r>
        <w:rPr>
          <w:rFonts w:hint="eastAsia" w:ascii="宋体" w:hAnsi="宋体" w:cs="宋体"/>
          <w:color w:val="auto"/>
          <w:sz w:val="24"/>
          <w:highlight w:val="none"/>
        </w:rPr>
        <w:t>获取采购文件时间:2022年</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月</w:t>
      </w:r>
      <w:bookmarkEnd w:id="13"/>
      <w:r>
        <w:rPr>
          <w:rFonts w:hint="eastAsia" w:ascii="宋体" w:hAnsi="宋体" w:cs="宋体"/>
          <w:color w:val="auto"/>
          <w:sz w:val="24"/>
          <w:highlight w:val="none"/>
          <w:lang w:val="en-US" w:eastAsia="zh-CN"/>
        </w:rPr>
        <w:t>26</w:t>
      </w:r>
      <w:r>
        <w:rPr>
          <w:rFonts w:hint="eastAsia" w:ascii="宋体" w:hAnsi="宋体" w:cs="宋体"/>
          <w:color w:val="auto"/>
          <w:sz w:val="24"/>
          <w:highlight w:val="none"/>
        </w:rPr>
        <w:t>日上午9:30之前获取。</w:t>
      </w:r>
    </w:p>
    <w:p>
      <w:pPr>
        <w:numPr>
          <w:ilvl w:val="0"/>
          <w:numId w:val="4"/>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获取采购文件方式：供应商登陆政采云平台http://www.zcygov.cn/，在线申请获取采购文件（进入“项目采购”应用，在获取采购文件菜单中选择项目，申请获取采购文件）。</w:t>
      </w:r>
    </w:p>
    <w:p>
      <w:pPr>
        <w:numPr>
          <w:ilvl w:val="0"/>
          <w:numId w:val="4"/>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提示：</w:t>
      </w:r>
    </w:p>
    <w:p>
      <w:pPr>
        <w:numPr>
          <w:ilvl w:val="0"/>
          <w:numId w:val="7"/>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将拒绝接受未获取采购文件供应商的投标文件。</w:t>
      </w:r>
    </w:p>
    <w:p>
      <w:pPr>
        <w:numPr>
          <w:ilvl w:val="0"/>
          <w:numId w:val="7"/>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招标文件及更正补充公告请自行登录浙江政府采购网或绍兴市上虞区公共资源交易中心网站，在采购公告页面中下载。</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六、投标与开标注意事项：</w:t>
      </w:r>
    </w:p>
    <w:p>
      <w:pPr>
        <w:numPr>
          <w:ilvl w:val="0"/>
          <w:numId w:val="8"/>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本项目实行</w:t>
      </w:r>
      <w:r>
        <w:rPr>
          <w:rFonts w:hint="eastAsia" w:ascii="宋体" w:hAnsi="宋体" w:cs="宋体"/>
          <w:b/>
          <w:bCs/>
          <w:color w:val="auto"/>
          <w:sz w:val="24"/>
          <w:highlight w:val="none"/>
        </w:rPr>
        <w:t>网上投标</w:t>
      </w:r>
      <w:r>
        <w:rPr>
          <w:rFonts w:hint="eastAsia" w:ascii="宋体" w:hAnsi="宋体" w:cs="宋体"/>
          <w:color w:val="auto"/>
          <w:sz w:val="24"/>
          <w:highlight w:val="none"/>
        </w:rPr>
        <w:t>，采用电子投标文件，若供应商参与投标，自行承担投标一切费用。</w:t>
      </w:r>
    </w:p>
    <w:p>
      <w:pPr>
        <w:numPr>
          <w:ilvl w:val="0"/>
          <w:numId w:val="8"/>
        </w:numPr>
        <w:wordWrap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标前准备：各供应商应在开标前应确保成为浙江省政府采购网正式注册入库供应商，并完成CA数字证书办理。因未注册入库、未办理CA数字证书等原因造成无法投标或投标失败等后果由供应商自行承担。</w:t>
      </w:r>
    </w:p>
    <w:p>
      <w:pPr>
        <w:autoSpaceDE w:val="0"/>
        <w:autoSpaceDN w:val="0"/>
        <w:spacing w:line="360" w:lineRule="auto"/>
        <w:ind w:firstLine="480" w:firstLineChars="200"/>
        <w:textAlignment w:val="bottom"/>
        <w:rPr>
          <w:rFonts w:hint="eastAsia" w:ascii="宋体" w:hAnsi="宋体" w:cs="宋体"/>
          <w:color w:val="auto"/>
          <w:sz w:val="24"/>
          <w:szCs w:val="21"/>
          <w:highlight w:val="none"/>
        </w:rPr>
      </w:pPr>
      <w:r>
        <w:rPr>
          <w:rFonts w:hint="eastAsia" w:ascii="宋体" w:hAnsi="宋体" w:cs="宋体"/>
          <w:color w:val="auto"/>
          <w:sz w:val="24"/>
          <w:szCs w:val="21"/>
          <w:highlight w:val="none"/>
        </w:rPr>
        <w:t>供应商将政采云电子交易客户端下载、安装完成后，可通过账号密码或CA登录客户端进行投标文件制作。在使用政采云投标客户端时，建议使用WIN7及以上操作系统。</w:t>
      </w:r>
    </w:p>
    <w:p>
      <w:pPr>
        <w:autoSpaceDE w:val="0"/>
        <w:autoSpaceDN w:val="0"/>
        <w:spacing w:line="360" w:lineRule="auto"/>
        <w:ind w:firstLine="480" w:firstLineChars="200"/>
        <w:textAlignment w:val="bottom"/>
        <w:rPr>
          <w:rFonts w:hint="eastAsia" w:ascii="宋体" w:hAnsi="宋体" w:cs="宋体"/>
          <w:color w:val="auto"/>
          <w:sz w:val="24"/>
          <w:szCs w:val="21"/>
          <w:highlight w:val="none"/>
        </w:rPr>
      </w:pPr>
      <w:r>
        <w:rPr>
          <w:rFonts w:hint="eastAsia" w:ascii="宋体" w:hAnsi="宋体" w:cs="宋体"/>
          <w:color w:val="auto"/>
          <w:sz w:val="24"/>
          <w:szCs w:val="21"/>
          <w:highlight w:val="none"/>
        </w:rPr>
        <w:t>注：供应商先要申领CA，取得CA后需要在政采云平台进行绑定，CA相关操作可参考《CA管理学习专题》。完成CA数字证书办理在资料齐全的情况下预计7个工作日左右，建议供应商获取招标文件后立即办理。</w:t>
      </w:r>
    </w:p>
    <w:p>
      <w:pPr>
        <w:adjustRightInd w:val="0"/>
        <w:spacing w:line="360" w:lineRule="auto"/>
        <w:ind w:left="420" w:leftChars="200"/>
        <w:rPr>
          <w:rFonts w:hint="eastAsia" w:ascii="宋体" w:hAnsi="宋体" w:cs="宋体"/>
          <w:color w:val="auto"/>
          <w:sz w:val="24"/>
          <w:szCs w:val="21"/>
          <w:highlight w:val="none"/>
        </w:rPr>
      </w:pPr>
      <w:r>
        <w:rPr>
          <w:rFonts w:hint="eastAsia" w:ascii="宋体" w:hAnsi="宋体" w:cs="宋体"/>
          <w:color w:val="auto"/>
          <w:sz w:val="24"/>
          <w:szCs w:val="21"/>
          <w:highlight w:val="none"/>
        </w:rPr>
        <w:t>《CA管理学习专题》：</w:t>
      </w:r>
    </w:p>
    <w:p>
      <w:pPr>
        <w:adjustRightInd w:val="0"/>
        <w:spacing w:line="360" w:lineRule="auto"/>
        <w:ind w:left="420" w:leftChars="200"/>
        <w:rPr>
          <w:rFonts w:hint="eastAsia" w:ascii="宋体" w:hAnsi="宋体" w:cs="宋体"/>
          <w:color w:val="auto"/>
          <w:sz w:val="24"/>
          <w:szCs w:val="21"/>
          <w:highlight w:val="none"/>
        </w:rPr>
      </w:pPr>
      <w:r>
        <w:rPr>
          <w:rFonts w:hint="eastAsia" w:ascii="宋体" w:hAnsi="宋体" w:cs="宋体"/>
          <w:color w:val="auto"/>
          <w:sz w:val="24"/>
          <w:szCs w:val="21"/>
          <w:highlight w:val="none"/>
        </w:rPr>
        <w:t>https://edu.zcygov.cn/luban/ca?utm=web-government-front.380aac0a.0.0.fc2b6aa0b6e211ebbdb0dd007730dd44</w:t>
      </w:r>
    </w:p>
    <w:p>
      <w:pPr>
        <w:adjustRightInd w:val="0"/>
        <w:spacing w:line="360" w:lineRule="auto"/>
        <w:ind w:left="420" w:leftChars="200"/>
        <w:rPr>
          <w:rFonts w:hint="eastAsia" w:ascii="宋体" w:hAnsi="宋体" w:cs="宋体"/>
          <w:color w:val="auto"/>
          <w:sz w:val="24"/>
          <w:szCs w:val="21"/>
          <w:highlight w:val="none"/>
        </w:rPr>
      </w:pPr>
      <w:r>
        <w:rPr>
          <w:rFonts w:hint="eastAsia" w:ascii="宋体" w:hAnsi="宋体" w:cs="宋体"/>
          <w:color w:val="auto"/>
          <w:sz w:val="24"/>
          <w:szCs w:val="21"/>
          <w:highlight w:val="none"/>
        </w:rPr>
        <w:t>《CA驱动和申领流程》:</w:t>
      </w:r>
    </w:p>
    <w:p>
      <w:pPr>
        <w:adjustRightInd w:val="0"/>
        <w:spacing w:line="360" w:lineRule="auto"/>
        <w:ind w:left="420" w:leftChars="200"/>
        <w:rPr>
          <w:rFonts w:hint="eastAsia" w:ascii="宋体" w:hAnsi="宋体" w:cs="宋体"/>
          <w:color w:val="auto"/>
          <w:sz w:val="24"/>
          <w:highlight w:val="none"/>
        </w:rPr>
      </w:pPr>
      <w:r>
        <w:rPr>
          <w:rFonts w:hint="eastAsia" w:ascii="宋体" w:hAnsi="宋体" w:cs="宋体"/>
          <w:color w:val="auto"/>
          <w:sz w:val="24"/>
          <w:szCs w:val="21"/>
          <w:highlight w:val="none"/>
        </w:rPr>
        <w:fldChar w:fldCharType="begin"/>
      </w:r>
      <w:r>
        <w:rPr>
          <w:rFonts w:hint="eastAsia" w:ascii="宋体" w:hAnsi="宋体" w:cs="宋体"/>
          <w:color w:val="auto"/>
          <w:sz w:val="24"/>
          <w:szCs w:val="21"/>
          <w:highlight w:val="none"/>
        </w:rPr>
        <w:instrText xml:space="preserve"> HYPERLINK "http://zfcg.czt.zj.gov.cn/bidClientTemplate/2019-05-27/12945.html" </w:instrText>
      </w:r>
      <w:r>
        <w:rPr>
          <w:rFonts w:hint="eastAsia" w:ascii="宋体" w:hAnsi="宋体" w:cs="宋体"/>
          <w:color w:val="auto"/>
          <w:sz w:val="24"/>
          <w:szCs w:val="21"/>
          <w:highlight w:val="none"/>
        </w:rPr>
        <w:fldChar w:fldCharType="separate"/>
      </w:r>
      <w:r>
        <w:rPr>
          <w:rFonts w:hint="eastAsia" w:ascii="宋体" w:hAnsi="宋体" w:cs="宋体"/>
          <w:color w:val="auto"/>
          <w:sz w:val="24"/>
          <w:szCs w:val="21"/>
          <w:highlight w:val="none"/>
        </w:rPr>
        <w:t>http://zfcg.czt.zj.gov.cn/bidClientTemplate/2019-05-27/12945.html</w:t>
      </w:r>
      <w:r>
        <w:rPr>
          <w:rFonts w:hint="eastAsia" w:ascii="宋体" w:hAnsi="宋体" w:cs="宋体"/>
          <w:color w:val="auto"/>
          <w:sz w:val="24"/>
          <w:szCs w:val="21"/>
          <w:highlight w:val="none"/>
        </w:rPr>
        <w:fldChar w:fldCharType="end"/>
      </w:r>
    </w:p>
    <w:p>
      <w:pPr>
        <w:numPr>
          <w:ilvl w:val="0"/>
          <w:numId w:val="8"/>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投标文件制作：</w:t>
      </w:r>
    </w:p>
    <w:p>
      <w:pPr>
        <w:numPr>
          <w:ilvl w:val="0"/>
          <w:numId w:val="9"/>
        </w:num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应按照本项目招标文件和政采云平台的要求编制、加密并递交投标文件。供应商在使用系统进行投标的过程中遇到涉及平台使用的任何问题，可致电政采云平台技术支持热线咨询，联系方式：400-881-7190。</w:t>
      </w:r>
    </w:p>
    <w:p>
      <w:pPr>
        <w:numPr>
          <w:ilvl w:val="0"/>
          <w:numId w:val="9"/>
        </w:numPr>
        <w:wordWrap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投标人通过“政采云”平台电子投标工具制作投标文件。</w:t>
      </w:r>
    </w:p>
    <w:p>
      <w:pPr>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《电子投标工具》：</w:t>
      </w:r>
    </w:p>
    <w:p>
      <w:pPr>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HYPERLINK "http://zfcg.czt.zj.gov.cn/bidClientTemplate/2019-09-24/12975.html"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http://zfcg.czt.zj.gov.cn/bidClientTemplate/2019-09-24/12975.html</w:t>
      </w:r>
      <w:r>
        <w:rPr>
          <w:rFonts w:hint="eastAsia" w:ascii="宋体" w:hAnsi="宋体" w:cs="宋体"/>
          <w:color w:val="auto"/>
          <w:sz w:val="24"/>
          <w:highlight w:val="none"/>
        </w:rPr>
        <w:fldChar w:fldCharType="end"/>
      </w:r>
    </w:p>
    <w:p>
      <w:pPr>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《供应商-政府采购项目电子交易操作指南》：(需登录账号后查看)</w:t>
      </w:r>
    </w:p>
    <w:p>
      <w:pPr>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HYPERLINK "https://service.zcygov.cn/#/knowledges/tree?tag=AG1DtGwBFdiHxlNdhY0r"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https://service.zcygov.cn/#/knowledges/tree?tag=AG1DtGwBFdiHxlNdhY0r</w:t>
      </w:r>
      <w:r>
        <w:rPr>
          <w:rFonts w:hint="eastAsia" w:ascii="宋体" w:hAnsi="宋体" w:cs="宋体"/>
          <w:color w:val="auto"/>
          <w:sz w:val="24"/>
          <w:highlight w:val="none"/>
        </w:rPr>
        <w:fldChar w:fldCharType="end"/>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4.供应商在法定质疑期内应一次性提出针对同一采购程序环节的质疑。否则质疑将不予受理。</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5.投标人可指派授权代表递交备份文件，授权代表递交备份文件需携带法定代表人授权书原件，于投标截止时间前到达开标地点递交。</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6.特别提醒</w:t>
      </w:r>
    </w:p>
    <w:p>
      <w:pPr>
        <w:numPr>
          <w:ilvl w:val="0"/>
          <w:numId w:val="10"/>
        </w:numPr>
        <w:wordWrap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单位负责人为同一人或者存在直接控股、管理关系的不同供应商，不得参加同一合同项下的政府采购活动。</w:t>
      </w:r>
    </w:p>
    <w:p>
      <w:pPr>
        <w:numPr>
          <w:ilvl w:val="0"/>
          <w:numId w:val="10"/>
        </w:numPr>
        <w:wordWrap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除单一来源采购项目外，为采购项目提供整体设计、规范编制或者项目管理、监理、检测等服务的供应商，不得再参加该采购项目的其他采购活动。</w:t>
      </w:r>
    </w:p>
    <w:p>
      <w:pPr>
        <w:numPr>
          <w:ilvl w:val="0"/>
          <w:numId w:val="10"/>
        </w:numPr>
        <w:wordWrap w:val="0"/>
        <w:adjustRightInd w:val="0"/>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进入上虞区公共资源交易场所，需佩戴口罩、进行测温、查验绍兴场所码、行程码，并提供7天内有效核酸检测阴性证明，行程卡带星号人员应提供48小时内核酸检测阴性证明方可入内。“绍兴场所码”扫码结果异常或体温异常人员禁止进入上虞区公共资源交易场所。（具体防疫要求以开标时间截止之日的绍兴市上虞区最新防疫政策为准）。</w:t>
      </w:r>
    </w:p>
    <w:p>
      <w:pPr>
        <w:adjustRightInd w:val="0"/>
        <w:spacing w:line="360" w:lineRule="auto"/>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七、投标截止时间及要求：</w:t>
      </w:r>
      <w:r>
        <w:rPr>
          <w:rFonts w:hint="eastAsia" w:ascii="宋体" w:hAnsi="宋体" w:cs="宋体"/>
          <w:color w:val="auto"/>
          <w:sz w:val="24"/>
          <w:highlight w:val="none"/>
          <w:u w:val="single"/>
        </w:rPr>
        <w:t xml:space="preserve"> 2022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 上午</w:t>
      </w:r>
      <w:r>
        <w:rPr>
          <w:rFonts w:hint="eastAsia" w:ascii="宋体" w:hAnsi="宋体" w:cs="宋体"/>
          <w:color w:val="auto"/>
          <w:sz w:val="24"/>
          <w:highlight w:val="none"/>
          <w:u w:val="single"/>
        </w:rPr>
        <w:t xml:space="preserve"> 9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30 </w:t>
      </w:r>
      <w:r>
        <w:rPr>
          <w:rFonts w:hint="eastAsia" w:ascii="宋体" w:hAnsi="宋体" w:cs="宋体"/>
          <w:color w:val="auto"/>
          <w:sz w:val="24"/>
          <w:highlight w:val="none"/>
        </w:rPr>
        <w:t>分整</w:t>
      </w:r>
      <w:r>
        <w:rPr>
          <w:rFonts w:hint="eastAsia" w:ascii="宋体" w:hAnsi="宋体" w:cs="宋体"/>
          <w:bCs/>
          <w:color w:val="auto"/>
          <w:kern w:val="0"/>
          <w:sz w:val="24"/>
          <w:highlight w:val="none"/>
        </w:rPr>
        <w:t>之前将电子投标文件上传到“政采云”平台。</w:t>
      </w:r>
    </w:p>
    <w:p>
      <w:pPr>
        <w:adjustRightInd w:val="0"/>
        <w:spacing w:line="360" w:lineRule="auto"/>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八、开标时间及地点：</w:t>
      </w:r>
      <w:r>
        <w:rPr>
          <w:rFonts w:hint="eastAsia" w:ascii="宋体" w:hAnsi="宋体" w:cs="宋体"/>
          <w:color w:val="auto"/>
          <w:sz w:val="24"/>
          <w:highlight w:val="none"/>
          <w:u w:val="single"/>
        </w:rPr>
        <w:t xml:space="preserve"> 2022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 上午</w:t>
      </w:r>
      <w:r>
        <w:rPr>
          <w:rFonts w:hint="eastAsia" w:ascii="宋体" w:hAnsi="宋体" w:cs="宋体"/>
          <w:color w:val="auto"/>
          <w:sz w:val="24"/>
          <w:highlight w:val="none"/>
          <w:u w:val="single"/>
        </w:rPr>
        <w:t xml:space="preserve"> 9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30 </w:t>
      </w:r>
      <w:r>
        <w:rPr>
          <w:rFonts w:hint="eastAsia" w:ascii="宋体" w:hAnsi="宋体" w:cs="宋体"/>
          <w:color w:val="auto"/>
          <w:sz w:val="24"/>
          <w:highlight w:val="none"/>
        </w:rPr>
        <w:t>分</w:t>
      </w:r>
      <w:bookmarkStart w:id="14" w:name="B30_开标地点"/>
      <w:r>
        <w:rPr>
          <w:rFonts w:hint="eastAsia" w:ascii="宋体" w:hAnsi="宋体" w:cs="宋体"/>
          <w:color w:val="auto"/>
          <w:sz w:val="24"/>
          <w:highlight w:val="none"/>
        </w:rPr>
        <w:t>整在绍兴市上虞区公共资源交易中心三楼</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375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开标室开标。</w:t>
      </w:r>
      <w:bookmarkEnd w:id="14"/>
    </w:p>
    <w:p>
      <w:pPr>
        <w:pStyle w:val="17"/>
        <w:spacing w:line="360" w:lineRule="auto"/>
        <w:ind w:firstLine="480" w:firstLineChars="200"/>
        <w:rPr>
          <w:rFonts w:hint="eastAsia" w:hAnsi="宋体" w:cs="宋体"/>
          <w:bCs/>
          <w:strike/>
          <w:color w:val="auto"/>
          <w:kern w:val="0"/>
          <w:sz w:val="24"/>
          <w:szCs w:val="24"/>
          <w:highlight w:val="none"/>
        </w:rPr>
      </w:pPr>
      <w:r>
        <w:rPr>
          <w:rFonts w:hint="eastAsia" w:hAnsi="宋体" w:cs="宋体"/>
          <w:color w:val="auto"/>
          <w:sz w:val="24"/>
          <w:szCs w:val="24"/>
          <w:highlight w:val="none"/>
        </w:rPr>
        <w:t>开标时间后30分钟内（当日 10 : 00前）供应商可以登录“政采云”平台，用“项目采购-开标评标”功能进行解密投标文件。若供应商在规定时间内（当日10 : 00前）解密失败，则由采购代理机构工作人员上传投标人提供的备份文件。备份文件（后缀名为.bfbs）须存储在U盘中，与上传的电子投标文件一致，用信封进行密封并盖章，由授权代表在投标截止时间前递交至开标地点。若电子投标文件正常解锁，则U盘退还给供应商；若解锁失败，则由采购代理机构将U盘中的备份文件上传，该U盘将由采购代理机构保存。</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本次开标（不）提供现场视频。</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九．投标保证金：无</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十．公告期限：5个工作日</w:t>
      </w:r>
    </w:p>
    <w:p>
      <w:pPr>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十一．联系方式：</w:t>
      </w:r>
    </w:p>
    <w:p>
      <w:pPr>
        <w:spacing w:line="360" w:lineRule="auto"/>
        <w:ind w:firstLine="480" w:firstLineChars="200"/>
        <w:jc w:val="left"/>
        <w:rPr>
          <w:rFonts w:hint="eastAsia" w:ascii="宋体" w:hAnsi="宋体" w:cs="宋体"/>
          <w:color w:val="auto"/>
          <w:sz w:val="24"/>
          <w:szCs w:val="32"/>
          <w:highlight w:val="none"/>
        </w:rPr>
      </w:pPr>
      <w:bookmarkStart w:id="15" w:name="_Toc4180"/>
      <w:bookmarkStart w:id="16" w:name="_Toc25490"/>
      <w:bookmarkStart w:id="17" w:name="_Toc5571"/>
      <w:bookmarkStart w:id="18" w:name="_Toc14614"/>
      <w:bookmarkStart w:id="19" w:name="_Toc9619"/>
      <w:r>
        <w:rPr>
          <w:rFonts w:hint="eastAsia" w:ascii="宋体" w:hAnsi="宋体" w:cs="宋体"/>
          <w:color w:val="auto"/>
          <w:sz w:val="24"/>
          <w:szCs w:val="32"/>
          <w:highlight w:val="none"/>
        </w:rPr>
        <w:t>1、采购代理机构名称：浙江宇康工程管理咨询有限公司</w:t>
      </w:r>
      <w:bookmarkEnd w:id="15"/>
      <w:bookmarkEnd w:id="16"/>
      <w:bookmarkEnd w:id="17"/>
      <w:bookmarkEnd w:id="18"/>
      <w:bookmarkEnd w:id="19"/>
    </w:p>
    <w:p>
      <w:pPr>
        <w:spacing w:line="360" w:lineRule="auto"/>
        <w:ind w:firstLine="480" w:firstLineChars="200"/>
        <w:jc w:val="left"/>
        <w:rPr>
          <w:rFonts w:hint="eastAsia" w:ascii="宋体" w:hAnsi="宋体" w:eastAsia="宋体" w:cs="宋体"/>
          <w:color w:val="auto"/>
          <w:sz w:val="24"/>
          <w:szCs w:val="32"/>
          <w:highlight w:val="none"/>
        </w:rPr>
      </w:pPr>
      <w:bookmarkStart w:id="20" w:name="_Toc19336"/>
      <w:bookmarkStart w:id="21" w:name="_Toc13863"/>
      <w:bookmarkStart w:id="22" w:name="_Toc18284"/>
      <w:bookmarkStart w:id="23" w:name="_Toc1385"/>
      <w:bookmarkStart w:id="24" w:name="_Toc20089"/>
      <w:r>
        <w:rPr>
          <w:rFonts w:hint="eastAsia" w:ascii="宋体" w:hAnsi="宋体" w:eastAsia="宋体" w:cs="宋体"/>
          <w:color w:val="auto"/>
          <w:sz w:val="24"/>
          <w:szCs w:val="32"/>
          <w:highlight w:val="none"/>
        </w:rPr>
        <w:t>项目联系人（询问）：冯丹</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项目联系方式（询问）：13675739466</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质疑联系人：陈东豪</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质疑联系方式：15967562266</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地址：绍兴市上虞区江东北路588号百官广场30楼</w:t>
      </w:r>
    </w:p>
    <w:p>
      <w:pPr>
        <w:spacing w:line="360" w:lineRule="auto"/>
        <w:ind w:firstLine="480" w:firstLineChars="200"/>
        <w:jc w:val="left"/>
        <w:rPr>
          <w:rFonts w:hint="eastAsia" w:ascii="宋体" w:hAnsi="宋体" w:cs="宋体"/>
          <w:color w:val="auto"/>
          <w:sz w:val="24"/>
          <w:szCs w:val="32"/>
          <w:highlight w:val="none"/>
        </w:rPr>
      </w:pPr>
      <w:bookmarkStart w:id="25" w:name="_Toc6415"/>
      <w:bookmarkStart w:id="26" w:name="_Toc22295"/>
      <w:bookmarkStart w:id="27" w:name="_Toc7044"/>
      <w:bookmarkStart w:id="28" w:name="_Toc4771"/>
      <w:bookmarkStart w:id="29" w:name="_Toc14380"/>
      <w:r>
        <w:rPr>
          <w:rFonts w:hint="eastAsia" w:ascii="宋体" w:hAnsi="宋体" w:cs="宋体"/>
          <w:color w:val="auto"/>
          <w:sz w:val="24"/>
          <w:szCs w:val="32"/>
          <w:highlight w:val="none"/>
        </w:rPr>
        <w:t>2、采购人名称：</w:t>
      </w:r>
      <w:bookmarkEnd w:id="25"/>
      <w:bookmarkEnd w:id="26"/>
      <w:bookmarkEnd w:id="27"/>
      <w:bookmarkEnd w:id="28"/>
      <w:bookmarkEnd w:id="29"/>
      <w:r>
        <w:rPr>
          <w:rFonts w:hint="eastAsia" w:ascii="宋体" w:hAnsi="宋体" w:cs="宋体"/>
          <w:color w:val="auto"/>
          <w:sz w:val="24"/>
          <w:szCs w:val="32"/>
          <w:highlight w:val="none"/>
        </w:rPr>
        <w:t>绍兴市公安局上虞区分局</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项目联系人（询问）：朱梦佳</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项目联系方式（询问）：0575-82766082</w:t>
      </w:r>
    </w:p>
    <w:p>
      <w:pPr>
        <w:spacing w:line="360" w:lineRule="auto"/>
        <w:ind w:firstLine="480" w:firstLineChars="200"/>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质疑联系人：魏炯</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eastAsia="宋体" w:cs="宋体"/>
          <w:color w:val="auto"/>
          <w:sz w:val="24"/>
          <w:szCs w:val="32"/>
          <w:highlight w:val="none"/>
        </w:rPr>
        <w:t>质疑联系方式：0575-82766080</w:t>
      </w:r>
      <w:r>
        <w:rPr>
          <w:rFonts w:hint="eastAsia" w:ascii="宋体" w:hAnsi="宋体" w:cs="宋体"/>
          <w:color w:val="auto"/>
          <w:sz w:val="24"/>
          <w:szCs w:val="32"/>
          <w:highlight w:val="none"/>
        </w:rPr>
        <w:t xml:space="preserve"> </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地址：绍兴市上虞区百官街道王充路1117号</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3、同级政府采购监督管理部门名称：上虞区财政局政府采购监管科</w:t>
      </w:r>
      <w:bookmarkEnd w:id="20"/>
      <w:bookmarkEnd w:id="21"/>
      <w:bookmarkEnd w:id="22"/>
      <w:bookmarkEnd w:id="23"/>
      <w:bookmarkEnd w:id="24"/>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联系人：谷先生</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监督投诉电话：0575-82130212</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传真：0575-82154859</w:t>
      </w:r>
    </w:p>
    <w:p>
      <w:pPr>
        <w:spacing w:line="360" w:lineRule="auto"/>
        <w:ind w:firstLine="480" w:firstLineChars="200"/>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地址：绍兴市上虞区体育场路18号</w:t>
      </w:r>
    </w:p>
    <w:p>
      <w:pPr>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bookmarkStart w:id="30" w:name="_Toc24404"/>
      <w:bookmarkStart w:id="31" w:name="_Toc21298"/>
      <w:bookmarkStart w:id="32" w:name="_Toc17857"/>
      <w:r>
        <w:rPr>
          <w:rFonts w:hint="eastAsia" w:ascii="宋体" w:hAnsi="宋体" w:cs="宋体"/>
          <w:b/>
          <w:color w:val="auto"/>
          <w:sz w:val="36"/>
          <w:szCs w:val="20"/>
          <w:highlight w:val="none"/>
        </w:rPr>
        <w:t>第二部分</w:t>
      </w:r>
      <w:bookmarkEnd w:id="9"/>
      <w:r>
        <w:rPr>
          <w:rFonts w:hint="eastAsia" w:ascii="宋体" w:hAnsi="宋体" w:cs="宋体"/>
          <w:b/>
          <w:color w:val="auto"/>
          <w:sz w:val="36"/>
          <w:szCs w:val="20"/>
          <w:highlight w:val="none"/>
        </w:rPr>
        <w:t xml:space="preserve">   投标须知</w:t>
      </w:r>
      <w:bookmarkEnd w:id="10"/>
      <w:bookmarkEnd w:id="30"/>
      <w:bookmarkEnd w:id="31"/>
      <w:bookmarkEnd w:id="32"/>
    </w:p>
    <w:p>
      <w:pPr>
        <w:widowControl/>
        <w:adjustRightInd w:val="0"/>
        <w:snapToGrid w:val="0"/>
        <w:spacing w:line="360" w:lineRule="auto"/>
        <w:jc w:val="center"/>
        <w:outlineLvl w:val="1"/>
        <w:rPr>
          <w:rFonts w:hint="eastAsia" w:ascii="宋体" w:hAnsi="宋体" w:cs="宋体"/>
          <w:b/>
          <w:snapToGrid w:val="0"/>
          <w:color w:val="auto"/>
          <w:kern w:val="0"/>
          <w:sz w:val="32"/>
          <w:szCs w:val="32"/>
          <w:highlight w:val="none"/>
        </w:rPr>
      </w:pPr>
      <w:bookmarkStart w:id="33" w:name="_Toc12544"/>
      <w:bookmarkStart w:id="34" w:name="_Toc21806"/>
      <w:r>
        <w:rPr>
          <w:rFonts w:hint="eastAsia" w:ascii="宋体" w:hAnsi="宋体" w:cs="宋体"/>
          <w:b/>
          <w:snapToGrid w:val="0"/>
          <w:color w:val="auto"/>
          <w:kern w:val="0"/>
          <w:sz w:val="30"/>
          <w:szCs w:val="30"/>
          <w:highlight w:val="none"/>
        </w:rPr>
        <w:t>前附表</w:t>
      </w:r>
      <w:bookmarkEnd w:id="33"/>
      <w:bookmarkEnd w:id="34"/>
    </w:p>
    <w:tbl>
      <w:tblPr>
        <w:tblStyle w:val="37"/>
        <w:tblW w:w="913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800"/>
        <w:gridCol w:w="668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648" w:type="dxa"/>
            <w:noWrap w:val="0"/>
            <w:vAlign w:val="center"/>
          </w:tcPr>
          <w:p>
            <w:pPr>
              <w:snapToGrid w:val="0"/>
              <w:spacing w:line="360" w:lineRule="exact"/>
              <w:jc w:val="center"/>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序号</w:t>
            </w:r>
          </w:p>
        </w:tc>
        <w:tc>
          <w:tcPr>
            <w:tcW w:w="1800" w:type="dxa"/>
            <w:noWrap w:val="0"/>
            <w:vAlign w:val="center"/>
          </w:tcPr>
          <w:p>
            <w:pPr>
              <w:snapToGrid w:val="0"/>
              <w:spacing w:line="360" w:lineRule="exact"/>
              <w:jc w:val="center"/>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项目</w:t>
            </w:r>
          </w:p>
        </w:tc>
        <w:tc>
          <w:tcPr>
            <w:tcW w:w="6682" w:type="dxa"/>
            <w:noWrap w:val="0"/>
            <w:vAlign w:val="center"/>
          </w:tcPr>
          <w:p>
            <w:pPr>
              <w:snapToGrid w:val="0"/>
              <w:spacing w:line="360" w:lineRule="exact"/>
              <w:jc w:val="center"/>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项目名称</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2022年高清虚拟抓拍卡口系统（第一期）到期改造及公共自行车服务系统视频监控（六期）项目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项目实施时间</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自合同签订之日起至合同履行完毕。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p>
        </w:tc>
        <w:tc>
          <w:tcPr>
            <w:tcW w:w="1800" w:type="dxa"/>
            <w:noWrap w:val="0"/>
            <w:vAlign w:val="center"/>
          </w:tcPr>
          <w:p>
            <w:pPr>
              <w:snapToGrid w:val="0"/>
              <w:spacing w:line="360" w:lineRule="exact"/>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最高限价</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本项目最高限价人民币</w:t>
            </w:r>
            <w:r>
              <w:rPr>
                <w:rFonts w:hint="eastAsia" w:ascii="宋体" w:hAnsi="宋体" w:cs="宋体"/>
                <w:snapToGrid w:val="0"/>
                <w:color w:val="auto"/>
                <w:kern w:val="0"/>
                <w:szCs w:val="21"/>
                <w:highlight w:val="none"/>
                <w:u w:val="single"/>
              </w:rPr>
              <w:t xml:space="preserve">  750  </w:t>
            </w:r>
            <w:r>
              <w:rPr>
                <w:rFonts w:hint="eastAsia" w:ascii="宋体" w:hAnsi="宋体" w:cs="宋体"/>
                <w:snapToGrid w:val="0"/>
                <w:color w:val="auto"/>
                <w:kern w:val="0"/>
                <w:szCs w:val="21"/>
                <w:highlight w:val="none"/>
              </w:rPr>
              <w:t>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4</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资格审查方式</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资格审查是指开标后，采购人或采购代理机构将依据法律法规和招标文件的规定对投标人的资格进行审查。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5</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踏勘现场</w:t>
            </w:r>
          </w:p>
        </w:tc>
        <w:tc>
          <w:tcPr>
            <w:tcW w:w="6682" w:type="dxa"/>
            <w:noWrap w:val="0"/>
            <w:vAlign w:val="center"/>
          </w:tcPr>
          <w:p>
            <w:pPr>
              <w:snapToGrid w:val="0"/>
              <w:spacing w:line="360" w:lineRule="exact"/>
              <w:ind w:firstLine="422" w:firstLineChars="200"/>
              <w:rPr>
                <w:rFonts w:hint="eastAsia" w:ascii="宋体" w:hAnsi="宋体" w:cs="宋体"/>
                <w:snapToGrid w:val="0"/>
                <w:color w:val="auto"/>
                <w:kern w:val="0"/>
                <w:szCs w:val="21"/>
                <w:highlight w:val="none"/>
              </w:rPr>
            </w:pPr>
            <w:r>
              <w:rPr>
                <w:rFonts w:hint="eastAsia" w:ascii="宋体" w:hAnsi="宋体" w:cs="宋体"/>
                <w:b/>
                <w:snapToGrid w:val="0"/>
                <w:color w:val="auto"/>
                <w:kern w:val="0"/>
                <w:szCs w:val="21"/>
                <w:highlight w:val="none"/>
              </w:rPr>
              <w:t>本项目不组织现场踏勘。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6</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询问</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供应商对政府采购活动事项有疑问的，可以向采购机构提出询问，采购人或者招标代理机构应当在3个工作日内对供应商依法提出的询问作出答复，但答复的内容不得涉及商业秘密。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7</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招标文件的澄清与修改</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招标采购单位可以对已发出的招标文件进行必要澄清或者修改，澄清或者修改的内容可能影响投标文件编制的，应当在招标文件要求提交投标文件截止时间十五日前，在招标公告发布的媒体上发布更正公告，该澄清或者修改的内容为招标文件的组成部分。本项目招标文件和补充（答疑、澄清）、修改文件等请自行登录浙江政府采购网或绍兴市上虞区公共资源交易中心网站查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8</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投标文件组成</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投标人向采购人递交的投标文件由资格文件、商务技术文件、报价文件三部分组成。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9</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评标办法</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10</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投标文件递交地址及截止时间</w:t>
            </w:r>
          </w:p>
        </w:tc>
        <w:tc>
          <w:tcPr>
            <w:tcW w:w="6682" w:type="dxa"/>
            <w:noWrap w:val="0"/>
            <w:vAlign w:val="center"/>
          </w:tcPr>
          <w:p>
            <w:pPr>
              <w:snapToGrid w:val="0"/>
              <w:spacing w:line="360" w:lineRule="exact"/>
              <w:ind w:firstLine="420" w:firstLineChars="200"/>
              <w:rPr>
                <w:rFonts w:hint="eastAsia" w:ascii="宋体" w:hAnsi="宋体" w:cs="宋体"/>
                <w:color w:val="auto"/>
                <w:kern w:val="0"/>
                <w:szCs w:val="21"/>
                <w:highlight w:val="none"/>
              </w:rPr>
            </w:pPr>
            <w:r>
              <w:rPr>
                <w:rFonts w:hint="eastAsia" w:ascii="宋体" w:hAnsi="宋体" w:cs="宋体"/>
                <w:snapToGrid w:val="0"/>
                <w:color w:val="auto"/>
                <w:kern w:val="0"/>
                <w:szCs w:val="21"/>
                <w:highlight w:val="none"/>
              </w:rPr>
              <w:t>详见招标公告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开标时间、地点</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开标时间：</w:t>
            </w:r>
            <w:r>
              <w:rPr>
                <w:rFonts w:hint="eastAsia" w:ascii="宋体" w:hAnsi="宋体" w:cs="宋体"/>
                <w:color w:val="auto"/>
                <w:kern w:val="0"/>
                <w:szCs w:val="21"/>
                <w:highlight w:val="none"/>
              </w:rPr>
              <w:t>详见招标公告</w:t>
            </w:r>
          </w:p>
          <w:p>
            <w:pPr>
              <w:snapToGrid w:val="0"/>
              <w:spacing w:line="360" w:lineRule="exact"/>
              <w:ind w:firstLine="420" w:firstLineChars="200"/>
              <w:rPr>
                <w:rFonts w:hint="eastAsia" w:ascii="宋体" w:hAnsi="宋体" w:cs="宋体"/>
                <w:color w:val="auto"/>
                <w:kern w:val="0"/>
                <w:szCs w:val="21"/>
                <w:highlight w:val="none"/>
              </w:rPr>
            </w:pPr>
            <w:r>
              <w:rPr>
                <w:rFonts w:hint="eastAsia" w:ascii="宋体" w:hAnsi="宋体" w:cs="宋体"/>
                <w:snapToGrid w:val="0"/>
                <w:color w:val="auto"/>
                <w:kern w:val="0"/>
                <w:szCs w:val="21"/>
                <w:highlight w:val="none"/>
              </w:rPr>
              <w:t>开标地点：</w:t>
            </w:r>
            <w:r>
              <w:rPr>
                <w:rFonts w:hint="eastAsia" w:ascii="宋体" w:hAnsi="宋体" w:cs="宋体"/>
                <w:color w:val="auto"/>
                <w:kern w:val="0"/>
                <w:szCs w:val="21"/>
                <w:highlight w:val="none"/>
              </w:rPr>
              <w:t>详见招标公告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12</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投标有效期</w:t>
            </w:r>
          </w:p>
        </w:tc>
        <w:tc>
          <w:tcPr>
            <w:tcW w:w="6682" w:type="dxa"/>
            <w:noWrap w:val="0"/>
            <w:vAlign w:val="center"/>
          </w:tcPr>
          <w:p>
            <w:pPr>
              <w:snapToGrid w:val="0"/>
              <w:spacing w:line="360" w:lineRule="exact"/>
              <w:ind w:firstLine="420" w:firstLineChars="200"/>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投标有效期为从提交投标文件的截止之日起90天。投标人的投标文件中承诺的投标有效期少于招标文件中载明的投标有效期的，投标无效。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13</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履约保证金</w:t>
            </w:r>
          </w:p>
        </w:tc>
        <w:tc>
          <w:tcPr>
            <w:tcW w:w="6682" w:type="dxa"/>
            <w:noWrap w:val="0"/>
            <w:vAlign w:val="center"/>
          </w:tcPr>
          <w:p>
            <w:pPr>
              <w:pStyle w:val="17"/>
              <w:snapToGrid w:val="0"/>
              <w:spacing w:line="360" w:lineRule="exact"/>
              <w:ind w:firstLine="420" w:firstLineChars="200"/>
              <w:rPr>
                <w:rFonts w:hint="eastAsia" w:hAnsi="宋体" w:cs="宋体"/>
                <w:color w:val="auto"/>
                <w:kern w:val="0"/>
                <w:highlight w:val="none"/>
              </w:rPr>
            </w:pPr>
            <w:r>
              <w:rPr>
                <w:rFonts w:hint="eastAsia" w:hAnsi="宋体" w:cs="宋体"/>
                <w:snapToGrid w:val="0"/>
                <w:color w:val="auto"/>
                <w:kern w:val="0"/>
                <w:highlight w:val="none"/>
              </w:rPr>
              <w:t>中标单位在收到中标通知书后，需向采购人提供合同价的</w:t>
            </w:r>
            <w:r>
              <w:rPr>
                <w:rFonts w:hint="eastAsia" w:hAnsi="宋体" w:cs="宋体"/>
                <w:snapToGrid w:val="0"/>
                <w:color w:val="auto"/>
                <w:kern w:val="0"/>
                <w:highlight w:val="none"/>
                <w:lang w:val="en-US" w:eastAsia="zh-CN"/>
              </w:rPr>
              <w:t>1</w:t>
            </w:r>
            <w:r>
              <w:rPr>
                <w:rFonts w:hint="eastAsia" w:hAnsi="宋体" w:cs="宋体"/>
                <w:snapToGrid w:val="0"/>
                <w:color w:val="auto"/>
                <w:kern w:val="0"/>
                <w:highlight w:val="none"/>
              </w:rPr>
              <w:t>%作为履约保证金，验收合格后无息退还。</w:t>
            </w:r>
            <w:r>
              <w:rPr>
                <w:rFonts w:hint="eastAsia" w:hAnsi="宋体" w:cs="宋体"/>
                <w:color w:val="auto"/>
                <w:szCs w:val="24"/>
                <w:highlight w:val="none"/>
              </w:rPr>
              <w:t>（供应商应当以支票、汇票、本票或者金融机构、保险公司、担保机构出具的保函等非现金形式提交）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采购及中标公告发布媒体</w:t>
            </w:r>
          </w:p>
        </w:tc>
        <w:tc>
          <w:tcPr>
            <w:tcW w:w="6682" w:type="dxa"/>
            <w:noWrap w:val="0"/>
            <w:vAlign w:val="center"/>
          </w:tcPr>
          <w:p>
            <w:pPr>
              <w:pStyle w:val="17"/>
              <w:snapToGrid w:val="0"/>
              <w:spacing w:line="360" w:lineRule="exact"/>
              <w:ind w:firstLine="420" w:firstLineChars="200"/>
              <w:jc w:val="left"/>
              <w:rPr>
                <w:rFonts w:hint="eastAsia" w:hAnsi="宋体" w:cs="宋体"/>
                <w:color w:val="auto"/>
                <w:kern w:val="0"/>
                <w:highlight w:val="none"/>
              </w:rPr>
            </w:pPr>
            <w:r>
              <w:rPr>
                <w:rFonts w:hint="eastAsia" w:hAnsi="宋体" w:cs="宋体"/>
                <w:color w:val="auto"/>
                <w:kern w:val="0"/>
                <w:highlight w:val="none"/>
              </w:rPr>
              <w:t>浙江省政府采购网、 绍兴市上虞区公共资源交易中心网站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质疑</w:t>
            </w:r>
          </w:p>
        </w:tc>
        <w:tc>
          <w:tcPr>
            <w:tcW w:w="6682" w:type="dxa"/>
            <w:noWrap w:val="0"/>
            <w:vAlign w:val="center"/>
          </w:tcPr>
          <w:p>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根据《中华人民共和国政府采购法》第五十二条、《中华人民共和国政府采购法实施条例》第五十三条、《浙江省政府采购供应商质疑处理办法》的规定：</w:t>
            </w:r>
          </w:p>
          <w:p>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供应商认为采购文件使自己的权益受到损害的，可以在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在法定质疑期内应一次性提出针对同一采购程序环节的质疑。否则质疑将不予受理。</w:t>
            </w:r>
          </w:p>
          <w:p>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投标人如认为采购过程使自身的合法权益受到损害的，应于各采购程序环节结束之日起七个工作日内以书面形式向采购机构提出质疑；</w:t>
            </w:r>
          </w:p>
          <w:p>
            <w:pPr>
              <w:snapToGrid w:val="0"/>
              <w:spacing w:line="360" w:lineRule="exact"/>
              <w:ind w:firstLine="420" w:firstLineChars="200"/>
              <w:jc w:val="left"/>
              <w:rPr>
                <w:rFonts w:hint="eastAsia" w:ascii="宋体" w:hAnsi="宋体" w:cs="宋体"/>
                <w:snapToGrid w:val="0"/>
                <w:color w:val="auto"/>
                <w:kern w:val="0"/>
                <w:szCs w:val="21"/>
                <w:highlight w:val="none"/>
              </w:rPr>
            </w:pPr>
            <w:r>
              <w:rPr>
                <w:rFonts w:hint="eastAsia" w:ascii="宋体" w:hAnsi="宋体" w:cs="宋体"/>
                <w:color w:val="auto"/>
                <w:szCs w:val="21"/>
                <w:highlight w:val="none"/>
              </w:rPr>
              <w:t>投标人如认为中标结果使自身的合法权益受到损害的，应于中标或者成交结果公告期限届满之日起七个工作日内以书面形式向采购机构提出质疑</w:t>
            </w:r>
            <w:r>
              <w:rPr>
                <w:rFonts w:hint="eastAsia" w:ascii="宋体" w:hAnsi="宋体" w:cs="宋体"/>
                <w:snapToGrid w:val="0"/>
                <w:color w:val="auto"/>
                <w:kern w:val="0"/>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16</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投诉</w:t>
            </w:r>
          </w:p>
        </w:tc>
        <w:tc>
          <w:tcPr>
            <w:tcW w:w="6682" w:type="dxa"/>
            <w:noWrap w:val="0"/>
            <w:vAlign w:val="center"/>
          </w:tcPr>
          <w:p>
            <w:pPr>
              <w:snapToGrid w:val="0"/>
              <w:spacing w:line="360" w:lineRule="exact"/>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根据《政府采购法》第五十五条的规定，质疑供应商对采购人、招标代理机构的答复不满意或者采购人、招标代理机构未在规定的时间内作出答复的，可以在答复期满后十五个工作日内向同级政府采购监督管理部门投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17</w:t>
            </w:r>
          </w:p>
        </w:tc>
        <w:tc>
          <w:tcPr>
            <w:tcW w:w="1800"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特别说明</w:t>
            </w:r>
          </w:p>
        </w:tc>
        <w:tc>
          <w:tcPr>
            <w:tcW w:w="6682" w:type="dxa"/>
            <w:noWrap w:val="0"/>
            <w:vAlign w:val="center"/>
          </w:tcPr>
          <w:p>
            <w:pPr>
              <w:pStyle w:val="17"/>
              <w:snapToGrid w:val="0"/>
              <w:spacing w:line="360" w:lineRule="exact"/>
              <w:ind w:firstLine="420" w:firstLineChars="200"/>
              <w:jc w:val="left"/>
              <w:rPr>
                <w:rFonts w:hint="eastAsia" w:hAnsi="宋体" w:cs="宋体"/>
                <w:color w:val="auto"/>
                <w:kern w:val="0"/>
                <w:highlight w:val="none"/>
              </w:rPr>
            </w:pPr>
            <w:r>
              <w:rPr>
                <w:rFonts w:hint="eastAsia" w:hAnsi="宋体" w:cs="宋体"/>
                <w:color w:val="auto"/>
                <w:kern w:val="0"/>
                <w:highlight w:val="none"/>
              </w:rPr>
              <w:t>投标人应无条件的、认真仔细的阅读本招标文件及其澄清答疑、修改答复的补充文件，严格按照招标文件及补充文件的规定和要求编制投标文件。在编制投标文件过程中，应严格遵循实事求是、诚信投标的原则，针对招标文件中的采购需求、合同条款等各项内容进行确认，如有偏离，应如实填写响应偏离表。</w:t>
            </w:r>
          </w:p>
          <w:p>
            <w:pPr>
              <w:pStyle w:val="17"/>
              <w:snapToGrid w:val="0"/>
              <w:spacing w:line="360" w:lineRule="exact"/>
              <w:ind w:firstLine="420" w:firstLineChars="200"/>
              <w:jc w:val="left"/>
              <w:rPr>
                <w:rFonts w:hint="eastAsia" w:hAnsi="宋体" w:cs="宋体"/>
                <w:color w:val="auto"/>
                <w:kern w:val="0"/>
                <w:highlight w:val="none"/>
              </w:rPr>
            </w:pPr>
            <w:r>
              <w:rPr>
                <w:rFonts w:hint="eastAsia" w:hAnsi="宋体" w:cs="宋体"/>
                <w:color w:val="auto"/>
                <w:kern w:val="0"/>
                <w:highlight w:val="none"/>
              </w:rPr>
              <w:t>该项目中标公示期间，投标人不得通过非正当途径、更不得通过非正当手段获取法律法规规定评标委员会（包括其他相关人员）应当保密的相关内容。即便由此获得资料并作为向采购人或招标代理机构或监督管理部门提出异（质）疑或投诉或法院起诉的理由，均属于非法索取的依据。</w:t>
            </w:r>
          </w:p>
          <w:p>
            <w:pPr>
              <w:pStyle w:val="17"/>
              <w:snapToGrid w:val="0"/>
              <w:spacing w:line="360" w:lineRule="exact"/>
              <w:ind w:firstLine="420" w:firstLineChars="200"/>
              <w:jc w:val="left"/>
              <w:rPr>
                <w:rFonts w:hint="eastAsia" w:hAnsi="宋体" w:cs="宋体"/>
                <w:b/>
                <w:color w:val="auto"/>
                <w:kern w:val="0"/>
                <w:highlight w:val="none"/>
              </w:rPr>
            </w:pPr>
            <w:r>
              <w:rPr>
                <w:rFonts w:hint="eastAsia" w:hAnsi="宋体" w:cs="宋体"/>
                <w:color w:val="auto"/>
                <w:kern w:val="0"/>
                <w:highlight w:val="none"/>
              </w:rPr>
              <w:t>招标文件中凡标注“</w:t>
            </w:r>
            <w:r>
              <w:rPr>
                <w:rFonts w:hint="eastAsia" w:hAnsi="宋体" w:cs="宋体"/>
                <w:color w:val="auto"/>
                <w:highlight w:val="none"/>
              </w:rPr>
              <w:t>★</w:t>
            </w:r>
            <w:r>
              <w:rPr>
                <w:rFonts w:hint="eastAsia" w:hAnsi="宋体" w:cs="宋体"/>
                <w:color w:val="auto"/>
                <w:kern w:val="0"/>
                <w:highlight w:val="none"/>
              </w:rPr>
              <w:t>”的条款均为实质性要求，不响应的投标文件将作无效标处理。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18</w:t>
            </w:r>
          </w:p>
        </w:tc>
        <w:tc>
          <w:tcPr>
            <w:tcW w:w="1800" w:type="dxa"/>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政府采购节能环保产品</w:t>
            </w:r>
          </w:p>
        </w:tc>
        <w:tc>
          <w:tcPr>
            <w:tcW w:w="6682" w:type="dxa"/>
            <w:noWrap w:val="0"/>
            <w:vAlign w:val="center"/>
          </w:tcPr>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产品属于政府强制采购节能品目的（详见《关于印发节能产品政府采购品目清单的通知》财库〔2019〕19号），投标人须按上款要求提供节能产品认证证书或规定网站证书查询截图，否则将作为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19</w:t>
            </w:r>
          </w:p>
        </w:tc>
        <w:tc>
          <w:tcPr>
            <w:tcW w:w="1800" w:type="dxa"/>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支</w:t>
            </w:r>
          </w:p>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持</w:t>
            </w:r>
          </w:p>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中</w:t>
            </w:r>
          </w:p>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小</w:t>
            </w:r>
          </w:p>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企</w:t>
            </w:r>
          </w:p>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业</w:t>
            </w:r>
          </w:p>
          <w:p>
            <w:pPr>
              <w:snapToGrid w:val="0"/>
              <w:jc w:val="center"/>
              <w:rPr>
                <w:rFonts w:hint="eastAsia" w:ascii="宋体" w:hAnsi="宋体" w:cs="宋体"/>
                <w:color w:val="auto"/>
                <w:szCs w:val="21"/>
                <w:highlight w:val="none"/>
              </w:rPr>
            </w:pPr>
          </w:p>
        </w:tc>
        <w:tc>
          <w:tcPr>
            <w:tcW w:w="6682" w:type="dxa"/>
            <w:noWrap w:val="0"/>
            <w:vAlign w:val="center"/>
          </w:tcPr>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小微企业是指在中华人民共和国境内依法设立，依据国务院批准的中小企业划分标准确定的小型企业和微型企业，但与大企业的负责人为同一人，或者与大企业存在直接控股、管理关系的除外。</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符合中小企业划分标准的个体工商户，在政府采购活动中视同中小企业。</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在货物采购项目中，货物由小微企业制造，即货物由小微企业生产且使用该小微企业商号或者注册商标。供应商提供的货物既有中小企业制造货物，也有大型企业制造货物的，不享受中小企业扶持政策。</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在服务采购项目中，服务由小微企业承接，即提供服务的人员为小微企业依照《中华人民共和国劳动合同法》订立劳动合同的从业人员。</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联合体各方均为小型、微型企业的，联合体视同为小型、微型企业。</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符合上述条件的中小微型企业应按照招标文件附件的格式要求提供《中小企业声明函》。符合《关于促进残疾人就业政府采购政策的通知》（财库〔2017〕141号）规定的条件并提供《残疾人福利性单位声明函》（附件）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根据浙江省财政厅发布的《浙江省财政厅关于进一步加大政府采购支持中小企业力度 助力扎实稳住经济的通知》（浙财采监〔2022〕8号）规定，货物和服务项目中未预留份额专门面向中小企业采购的，以及预留份额项目中的非预留部分采购包，采购单位、采购代理机构应结合项目实际，对符合规定的小微企业报价原则上按最高优惠幅度20%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组成联合体或者接受分包的小微企业与联合体内其他企业、分包企业之间存在直接控股、管理关系的，不享受价格扣除优惠政策</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w:t>
            </w:r>
          </w:p>
        </w:tc>
        <w:tc>
          <w:tcPr>
            <w:tcW w:w="1800" w:type="dxa"/>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682" w:type="dxa"/>
            <w:noWrap w:val="0"/>
            <w:vAlign w:val="center"/>
          </w:tcPr>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本项目允许分包。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21</w:t>
            </w:r>
          </w:p>
        </w:tc>
        <w:tc>
          <w:tcPr>
            <w:tcW w:w="1800" w:type="dxa"/>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是否提供样品</w:t>
            </w:r>
          </w:p>
        </w:tc>
        <w:tc>
          <w:tcPr>
            <w:tcW w:w="6682" w:type="dxa"/>
            <w:noWrap w:val="0"/>
            <w:vAlign w:val="center"/>
          </w:tcPr>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本项目不需要样品。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22</w:t>
            </w:r>
          </w:p>
        </w:tc>
        <w:tc>
          <w:tcPr>
            <w:tcW w:w="1800" w:type="dxa"/>
            <w:tcBorders>
              <w:bottom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是否提供演示</w:t>
            </w:r>
          </w:p>
        </w:tc>
        <w:tc>
          <w:tcPr>
            <w:tcW w:w="6682" w:type="dxa"/>
            <w:tcBorders>
              <w:bottom w:val="single" w:color="auto" w:sz="4" w:space="0"/>
            </w:tcBorders>
            <w:noWrap w:val="0"/>
            <w:vAlign w:val="center"/>
          </w:tcPr>
          <w:p>
            <w:pPr>
              <w:ind w:firstLine="420" w:firstLineChars="200"/>
              <w:rPr>
                <w:rFonts w:hint="eastAsia" w:ascii="宋体" w:hAnsi="宋体" w:cs="宋体"/>
                <w:b/>
                <w:bCs/>
                <w:color w:val="auto"/>
                <w:highlight w:val="none"/>
              </w:rPr>
            </w:pPr>
            <w:r>
              <w:rPr>
                <w:rFonts w:hint="eastAsia" w:ascii="宋体" w:hAnsi="宋体" w:cs="宋体"/>
                <w:color w:val="auto"/>
                <w:highlight w:val="none"/>
              </w:rPr>
              <w:t>本项目</w:t>
            </w:r>
            <w:r>
              <w:rPr>
                <w:rFonts w:hint="eastAsia" w:ascii="宋体" w:hAnsi="宋体" w:cs="宋体"/>
                <w:color w:val="auto"/>
                <w:highlight w:val="none"/>
                <w:u w:val="single"/>
              </w:rPr>
              <w:t>不需要</w:t>
            </w:r>
            <w:r>
              <w:rPr>
                <w:rFonts w:hint="eastAsia" w:ascii="宋体" w:hAnsi="宋体" w:cs="宋体"/>
                <w:color w:val="auto"/>
                <w:highlight w:val="none"/>
              </w:rPr>
              <w:t>演示。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43" w:hRule="atLeast"/>
          <w:jc w:val="center"/>
        </w:trPr>
        <w:tc>
          <w:tcPr>
            <w:tcW w:w="648" w:type="dxa"/>
            <w:tcBorders>
              <w:bottom w:val="single" w:color="auto" w:sz="4" w:space="0"/>
            </w:tcBorders>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w:t>
            </w:r>
          </w:p>
        </w:tc>
        <w:tc>
          <w:tcPr>
            <w:tcW w:w="1800" w:type="dxa"/>
            <w:tcBorders>
              <w:top w:val="single" w:color="auto" w:sz="4" w:space="0"/>
              <w:bottom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投标人信用信息查询渠道及截止时点、信用信息查询记录和证据留存的具体方式、信用信息的使用规则</w:t>
            </w:r>
          </w:p>
        </w:tc>
        <w:tc>
          <w:tcPr>
            <w:tcW w:w="6682" w:type="dxa"/>
            <w:tcBorders>
              <w:top w:val="single" w:color="auto" w:sz="4" w:space="0"/>
              <w:bottom w:val="single" w:color="auto" w:sz="4" w:space="0"/>
            </w:tcBorders>
            <w:noWrap w:val="0"/>
            <w:vAlign w:val="center"/>
          </w:tcPr>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1、查询渠道：信用中国（网址：http://www.creditchina.gov.cn）、中国政府采购网(网址：http://www.ccgp.gov.cn）。</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2、截止时点：开标后评标前。</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3、信用信息查询记录和证据留存的具体方式：由采购组织机构在规定查询时间内打印信用信息查询记录并归入项目档案。</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tcBorders>
              <w:top w:val="single" w:color="auto" w:sz="4" w:space="0"/>
            </w:tcBorders>
            <w:noWrap w:val="0"/>
            <w:vAlign w:val="center"/>
          </w:tcPr>
          <w:p>
            <w:pPr>
              <w:snapToGrid w:val="0"/>
              <w:jc w:val="center"/>
              <w:rPr>
                <w:rFonts w:hint="eastAsia" w:ascii="宋体" w:hAnsi="宋体" w:cs="宋体"/>
                <w:i/>
                <w:iCs/>
                <w:snapToGrid w:val="0"/>
                <w:color w:val="auto"/>
                <w:kern w:val="0"/>
                <w:szCs w:val="21"/>
                <w:highlight w:val="none"/>
                <w:u w:val="single"/>
              </w:rPr>
            </w:pPr>
            <w:r>
              <w:rPr>
                <w:rFonts w:hint="eastAsia" w:ascii="宋体" w:hAnsi="宋体" w:cs="宋体"/>
                <w:color w:val="auto"/>
                <w:szCs w:val="21"/>
                <w:highlight w:val="none"/>
              </w:rPr>
              <w:t>24</w:t>
            </w:r>
          </w:p>
        </w:tc>
        <w:tc>
          <w:tcPr>
            <w:tcW w:w="1800" w:type="dxa"/>
            <w:tcBorders>
              <w:top w:val="single" w:color="auto" w:sz="4" w:space="0"/>
            </w:tcBorders>
            <w:noWrap w:val="0"/>
            <w:vAlign w:val="center"/>
          </w:tcPr>
          <w:p>
            <w:pPr>
              <w:snapToGrid w:val="0"/>
              <w:jc w:val="center"/>
              <w:rPr>
                <w:rFonts w:hint="eastAsia" w:ascii="宋体" w:hAnsi="宋体" w:cs="宋体"/>
                <w:i/>
                <w:iCs/>
                <w:color w:val="auto"/>
                <w:szCs w:val="21"/>
                <w:highlight w:val="none"/>
                <w:u w:val="single"/>
              </w:rPr>
            </w:pPr>
            <w:r>
              <w:rPr>
                <w:rFonts w:hint="eastAsia" w:ascii="宋体" w:hAnsi="宋体" w:cs="宋体"/>
                <w:color w:val="auto"/>
                <w:szCs w:val="21"/>
                <w:highlight w:val="none"/>
              </w:rPr>
              <w:t>金融支持</w:t>
            </w:r>
          </w:p>
        </w:tc>
        <w:tc>
          <w:tcPr>
            <w:tcW w:w="6682" w:type="dxa"/>
            <w:tcBorders>
              <w:top w:val="single" w:color="auto" w:sz="4" w:space="0"/>
            </w:tcBorders>
            <w:noWrap w:val="0"/>
            <w:vAlign w:val="top"/>
          </w:tcPr>
          <w:p>
            <w:pPr>
              <w:ind w:firstLine="420" w:firstLineChars="200"/>
              <w:rPr>
                <w:rFonts w:hint="eastAsia" w:ascii="宋体" w:hAnsi="宋体" w:cs="宋体"/>
                <w:i/>
                <w:iCs/>
                <w:color w:val="auto"/>
                <w:szCs w:val="21"/>
                <w:highlight w:val="none"/>
                <w:u w:val="single"/>
              </w:rPr>
            </w:pPr>
            <w:r>
              <w:rPr>
                <w:rFonts w:hint="eastAsia" w:ascii="宋体" w:hAnsi="宋体" w:cs="宋体"/>
                <w:color w:val="auto"/>
                <w:szCs w:val="21"/>
                <w:highlight w:val="none"/>
              </w:rPr>
              <w:t>为支持和促进中小企业发展，进一步发挥政府采购政策功能，浙江省财政厅出台浙财采监〔2020〕3 号文件，企业若有融资意向，可登陆政采云平台融资服务（https://jinrong.zcygov.cn/），查看相应融资政策文件及各相关银行服务方案。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tcBorders>
              <w:top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25</w:t>
            </w:r>
          </w:p>
        </w:tc>
        <w:tc>
          <w:tcPr>
            <w:tcW w:w="1800" w:type="dxa"/>
            <w:tcBorders>
              <w:top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商品包装和快递包装要求</w:t>
            </w:r>
          </w:p>
        </w:tc>
        <w:tc>
          <w:tcPr>
            <w:tcW w:w="6682" w:type="dxa"/>
            <w:tcBorders>
              <w:top w:val="single" w:color="auto" w:sz="4" w:space="0"/>
            </w:tcBorders>
            <w:noWrap w:val="0"/>
            <w:vAlign w:val="center"/>
          </w:tcPr>
          <w:p>
            <w:pPr>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tcBorders>
              <w:top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26</w:t>
            </w:r>
          </w:p>
        </w:tc>
        <w:tc>
          <w:tcPr>
            <w:tcW w:w="1800" w:type="dxa"/>
            <w:tcBorders>
              <w:top w:val="single" w:color="auto" w:sz="4" w:space="0"/>
            </w:tcBorders>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highlight w:val="none"/>
              </w:rPr>
              <w:t>招标代理服务费</w:t>
            </w:r>
          </w:p>
        </w:tc>
        <w:tc>
          <w:tcPr>
            <w:tcW w:w="6682" w:type="dxa"/>
            <w:tcBorders>
              <w:top w:val="single" w:color="auto" w:sz="4" w:space="0"/>
            </w:tcBorders>
            <w:noWrap w:val="0"/>
            <w:vAlign w:val="center"/>
          </w:tcPr>
          <w:p>
            <w:pPr>
              <w:ind w:firstLine="420" w:firstLineChars="200"/>
              <w:rPr>
                <w:rFonts w:hint="eastAsia" w:ascii="宋体" w:hAnsi="宋体" w:cs="宋体"/>
                <w:color w:val="auto"/>
                <w:highlight w:val="none"/>
              </w:rPr>
            </w:pPr>
            <w:r>
              <w:rPr>
                <w:rFonts w:hint="eastAsia" w:ascii="宋体" w:hAnsi="宋体" w:cs="宋体"/>
                <w:color w:val="auto"/>
                <w:highlight w:val="none"/>
              </w:rPr>
              <w:t>代理费用：成交供应商需向采购代理机构支付采购代理服务费，按下列计算方式</w:t>
            </w:r>
            <w:r>
              <w:rPr>
                <w:rFonts w:hint="eastAsia" w:ascii="宋体" w:hAnsi="宋体" w:cs="宋体"/>
                <w:snapToGrid w:val="0"/>
                <w:color w:val="auto"/>
                <w:kern w:val="0"/>
                <w:highlight w:val="none"/>
              </w:rPr>
              <w:t>差额定率累进法</w:t>
            </w:r>
            <w:r>
              <w:rPr>
                <w:rFonts w:hint="eastAsia" w:ascii="宋体" w:hAnsi="宋体" w:cs="宋体"/>
                <w:color w:val="auto"/>
                <w:highlight w:val="none"/>
              </w:rPr>
              <w:t>计取。</w:t>
            </w:r>
          </w:p>
          <w:tbl>
            <w:tblPr>
              <w:tblStyle w:val="37"/>
              <w:tblW w:w="6116" w:type="dxa"/>
              <w:jc w:val="center"/>
              <w:tblLayout w:type="fixed"/>
              <w:tblCellMar>
                <w:top w:w="0" w:type="dxa"/>
                <w:left w:w="10" w:type="dxa"/>
                <w:bottom w:w="0" w:type="dxa"/>
                <w:right w:w="10" w:type="dxa"/>
              </w:tblCellMar>
            </w:tblPr>
            <w:tblGrid>
              <w:gridCol w:w="3117"/>
              <w:gridCol w:w="1010"/>
              <w:gridCol w:w="1010"/>
              <w:gridCol w:w="979"/>
            </w:tblGrid>
            <w:tr>
              <w:tblPrEx>
                <w:tblCellMar>
                  <w:top w:w="0" w:type="dxa"/>
                  <w:left w:w="10" w:type="dxa"/>
                  <w:bottom w:w="0" w:type="dxa"/>
                  <w:right w:w="10" w:type="dxa"/>
                </w:tblCellMar>
              </w:tblPrEx>
              <w:trPr>
                <w:trHeight w:val="362" w:hRule="atLeast"/>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中标金额（万元）</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spacing w:before="100" w:after="100"/>
                    <w:jc w:val="center"/>
                    <w:rPr>
                      <w:rFonts w:hint="eastAsia" w:ascii="宋体" w:hAnsi="宋体" w:cs="宋体"/>
                      <w:color w:val="auto"/>
                      <w:highlight w:val="none"/>
                    </w:rPr>
                  </w:pPr>
                  <w:r>
                    <w:rPr>
                      <w:rFonts w:hint="eastAsia" w:ascii="宋体" w:hAnsi="宋体" w:cs="宋体"/>
                      <w:color w:val="auto"/>
                      <w:highlight w:val="none"/>
                    </w:rPr>
                    <w:t>货物招标</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服务招标</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工程招标</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100以下</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1.5％</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1.5％</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100—500</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1.1％</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0.8％</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0.7％</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500—1000</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0.8％</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0.45％</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0.55％</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1000—5000</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0.5％</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0.25％</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0.35％</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5000—10000</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0.25％</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0.1％</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0.2％</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10000—100000</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0.05％</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0.05％</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0.05％</w:t>
                  </w:r>
                </w:p>
              </w:tc>
            </w:tr>
            <w:tr>
              <w:tblPrEx>
                <w:tblCellMar>
                  <w:top w:w="0" w:type="dxa"/>
                  <w:left w:w="10" w:type="dxa"/>
                  <w:bottom w:w="0" w:type="dxa"/>
                  <w:right w:w="10" w:type="dxa"/>
                </w:tblCellMar>
              </w:tblPrEx>
              <w:trPr>
                <w:jc w:val="center"/>
              </w:trPr>
              <w:tc>
                <w:tcPr>
                  <w:tcW w:w="3117"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1000000以上</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0.01％</w:t>
                  </w:r>
                </w:p>
              </w:tc>
              <w:tc>
                <w:tcPr>
                  <w:tcW w:w="1010"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0.01％</w:t>
                  </w:r>
                </w:p>
              </w:tc>
              <w:tc>
                <w:tcPr>
                  <w:tcW w:w="979" w:type="dxa"/>
                  <w:tcBorders>
                    <w:top w:val="single" w:color="000000" w:sz="6" w:space="0"/>
                    <w:left w:val="single" w:color="000000" w:sz="6" w:space="0"/>
                    <w:bottom w:val="single" w:color="000000" w:sz="6" w:space="0"/>
                    <w:right w:val="single" w:color="000000" w:sz="6" w:space="0"/>
                  </w:tcBorders>
                  <w:shd w:val="clear" w:color="000000" w:fill="FFFFFF"/>
                  <w:noWrap w:val="0"/>
                  <w:tcMar>
                    <w:left w:w="0" w:type="dxa"/>
                    <w:right w:w="0" w:type="dxa"/>
                  </w:tcMar>
                  <w:vAlign w:val="center"/>
                </w:tcPr>
                <w:p>
                  <w:pPr>
                    <w:jc w:val="center"/>
                    <w:rPr>
                      <w:rFonts w:hint="eastAsia" w:ascii="宋体" w:hAnsi="宋体" w:cs="宋体"/>
                      <w:color w:val="auto"/>
                      <w:highlight w:val="none"/>
                    </w:rPr>
                  </w:pPr>
                  <w:r>
                    <w:rPr>
                      <w:rFonts w:hint="eastAsia" w:ascii="宋体" w:hAnsi="宋体" w:cs="宋体"/>
                      <w:color w:val="auto"/>
                      <w:highlight w:val="none"/>
                    </w:rPr>
                    <w:t>0.01％</w:t>
                  </w:r>
                </w:p>
              </w:tc>
            </w:tr>
          </w:tbl>
          <w:p>
            <w:pPr>
              <w:ind w:firstLine="420" w:firstLineChars="200"/>
              <w:rPr>
                <w:rFonts w:hint="eastAsia" w:ascii="宋体" w:hAnsi="宋体" w:cs="宋体"/>
                <w:b/>
                <w:bCs/>
                <w:color w:val="auto"/>
                <w:szCs w:val="21"/>
                <w:highlight w:val="none"/>
              </w:rPr>
            </w:pPr>
            <w:r>
              <w:rPr>
                <w:rFonts w:hint="eastAsia" w:ascii="宋体" w:hAnsi="宋体" w:cs="宋体"/>
                <w:color w:val="auto"/>
                <w:highlight w:val="none"/>
              </w:rPr>
              <w:t>结算方式及时间为：在领取成交通知书前由成交供应商一次性向采购代理机构付清。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noWrap w:val="0"/>
            <w:vAlign w:val="center"/>
          </w:tcPr>
          <w:p>
            <w:pPr>
              <w:snapToGrid w:val="0"/>
              <w:spacing w:line="360" w:lineRule="exact"/>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27</w:t>
            </w:r>
          </w:p>
        </w:tc>
        <w:tc>
          <w:tcPr>
            <w:tcW w:w="1800" w:type="dxa"/>
            <w:noWrap w:val="0"/>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682" w:type="dxa"/>
            <w:noWrap w:val="0"/>
            <w:vAlign w:val="center"/>
          </w:tcPr>
          <w:p>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本招标文件要求提供的身份证复印件皆需提供正反面，否则按不提供处理。</w:t>
            </w:r>
          </w:p>
        </w:tc>
      </w:tr>
    </w:tbl>
    <w:p>
      <w:pPr>
        <w:pStyle w:val="113"/>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注：以上内容如有变化将另行通知。如通知其中某一内容发生变化，其余未提及的将不作变动。</w:t>
      </w:r>
    </w:p>
    <w:p>
      <w:pPr>
        <w:snapToGrid w:val="0"/>
        <w:spacing w:line="360" w:lineRule="auto"/>
        <w:jc w:val="center"/>
        <w:outlineLvl w:val="1"/>
        <w:rPr>
          <w:rFonts w:hint="eastAsia" w:ascii="宋体" w:hAnsi="宋体" w:cs="宋体"/>
          <w:b/>
          <w:color w:val="auto"/>
          <w:sz w:val="32"/>
          <w:highlight w:val="none"/>
        </w:rPr>
      </w:pPr>
      <w:r>
        <w:rPr>
          <w:rFonts w:hint="eastAsia" w:ascii="宋体" w:hAnsi="宋体" w:cs="宋体"/>
          <w:b/>
          <w:color w:val="auto"/>
          <w:sz w:val="32"/>
          <w:szCs w:val="20"/>
          <w:highlight w:val="none"/>
        </w:rPr>
        <w:br w:type="page"/>
      </w:r>
      <w:bookmarkStart w:id="35" w:name="_Toc14459"/>
      <w:bookmarkStart w:id="36" w:name="_Toc14929"/>
      <w:bookmarkStart w:id="37" w:name="_Toc5308"/>
      <w:r>
        <w:rPr>
          <w:rFonts w:hint="eastAsia" w:ascii="宋体" w:hAnsi="宋体" w:cs="宋体"/>
          <w:b/>
          <w:color w:val="auto"/>
          <w:sz w:val="32"/>
          <w:highlight w:val="none"/>
        </w:rPr>
        <w:t>一、总则</w:t>
      </w:r>
      <w:bookmarkEnd w:id="11"/>
      <w:bookmarkEnd w:id="35"/>
      <w:bookmarkEnd w:id="36"/>
      <w:bookmarkEnd w:id="37"/>
    </w:p>
    <w:p>
      <w:pPr>
        <w:pStyle w:val="17"/>
        <w:numPr>
          <w:ilvl w:val="0"/>
          <w:numId w:val="11"/>
        </w:numPr>
        <w:spacing w:line="360" w:lineRule="auto"/>
        <w:ind w:firstLine="482" w:firstLineChars="200"/>
        <w:rPr>
          <w:rFonts w:hint="eastAsia" w:hAnsi="宋体" w:cs="宋体"/>
          <w:b/>
          <w:color w:val="auto"/>
          <w:sz w:val="24"/>
          <w:szCs w:val="24"/>
          <w:highlight w:val="none"/>
        </w:rPr>
      </w:pPr>
      <w:bookmarkStart w:id="38" w:name="_Hlt74730295"/>
      <w:bookmarkEnd w:id="38"/>
      <w:bookmarkStart w:id="39" w:name="_Hlt74714665"/>
      <w:bookmarkEnd w:id="39"/>
      <w:bookmarkStart w:id="40" w:name="_Toc91899872"/>
      <w:bookmarkStart w:id="41" w:name="_Hlt74730208"/>
      <w:bookmarkStart w:id="42" w:name="_Hlt74730112"/>
      <w:r>
        <w:rPr>
          <w:rFonts w:hint="eastAsia" w:hAnsi="宋体" w:cs="宋体"/>
          <w:b/>
          <w:color w:val="auto"/>
          <w:sz w:val="24"/>
          <w:szCs w:val="24"/>
          <w:highlight w:val="none"/>
        </w:rPr>
        <w:t>项目说明</w:t>
      </w:r>
      <w:bookmarkEnd w:id="40"/>
    </w:p>
    <w:p>
      <w:pPr>
        <w:pStyle w:val="113"/>
        <w:numPr>
          <w:ilvl w:val="0"/>
          <w:numId w:val="12"/>
        </w:numPr>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项目说明见前附表所述。投标人一旦参与本次招标活动，即被视为接受了本招标文件的所有内容，如有任何异议，均已在法定时间内提出。</w:t>
      </w:r>
    </w:p>
    <w:p>
      <w:pPr>
        <w:pStyle w:val="113"/>
        <w:numPr>
          <w:ilvl w:val="0"/>
          <w:numId w:val="12"/>
        </w:numPr>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宋体" w:hAnsi="宋体" w:cs="宋体"/>
          <w:color w:val="auto"/>
          <w:szCs w:val="24"/>
          <w:highlight w:val="none"/>
          <w:lang w:val="zh-CN"/>
        </w:rPr>
        <w:t>供应商</w:t>
      </w:r>
      <w:r>
        <w:rPr>
          <w:rFonts w:hint="eastAsia" w:ascii="宋体" w:hAnsi="宋体" w:cs="宋体"/>
          <w:color w:val="auto"/>
          <w:szCs w:val="24"/>
          <w:highlight w:val="none"/>
        </w:rPr>
        <w:t>应承担相应后果，</w:t>
      </w:r>
      <w:r>
        <w:rPr>
          <w:rFonts w:hint="eastAsia" w:ascii="宋体" w:hAnsi="宋体" w:cs="宋体"/>
          <w:color w:val="auto"/>
          <w:szCs w:val="24"/>
          <w:highlight w:val="none"/>
          <w:lang w:val="zh-CN"/>
        </w:rPr>
        <w:t>并负责赔偿。</w:t>
      </w:r>
      <w:r>
        <w:rPr>
          <w:rFonts w:hint="eastAsia" w:ascii="宋体" w:hAnsi="宋体" w:cs="宋体"/>
          <w:color w:val="auto"/>
          <w:szCs w:val="24"/>
          <w:highlight w:val="none"/>
        </w:rPr>
        <w:t>供应商为执行本项目合同而提供的技术资料等归采购人所有。</w:t>
      </w:r>
    </w:p>
    <w:p>
      <w:pPr>
        <w:snapToGrid w:val="0"/>
        <w:spacing w:line="440" w:lineRule="exact"/>
        <w:ind w:firstLine="480" w:firstLineChars="200"/>
        <w:jc w:val="left"/>
        <w:rPr>
          <w:rFonts w:hint="eastAsia" w:ascii="宋体" w:hAnsi="宋体" w:cs="宋体"/>
          <w:color w:val="auto"/>
          <w:sz w:val="24"/>
          <w:highlight w:val="none"/>
        </w:rPr>
      </w:pPr>
      <w:bookmarkStart w:id="43" w:name="_Toc91899873"/>
      <w:r>
        <w:rPr>
          <w:rFonts w:hint="eastAsia" w:ascii="宋体" w:hAnsi="宋体" w:cs="宋体"/>
          <w:color w:val="auto"/>
          <w:sz w:val="24"/>
          <w:highlight w:val="none"/>
        </w:rPr>
        <w:t>1.3本招标文件所称公章是指单位法定名称章或者冠以单位法定名称的电子公章。</w:t>
      </w:r>
    </w:p>
    <w:p>
      <w:pPr>
        <w:snapToGrid w:val="0"/>
        <w:spacing w:line="44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1.4公开招标数额标准以上的采购项目，投标截止后投标人不足3家或者通过资格审查或符合性审查的投标人不足3家的，除采购任务取消情形外，按照以下方式处理：</w:t>
      </w:r>
    </w:p>
    <w:p>
      <w:pPr>
        <w:pStyle w:val="113"/>
        <w:numPr>
          <w:ilvl w:val="0"/>
          <w:numId w:val="13"/>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招标文件存在不合理条款或者招标程序不符合规定的，采购人、采购代理机构改正后依法重新招标；</w:t>
      </w:r>
    </w:p>
    <w:p>
      <w:pPr>
        <w:pStyle w:val="113"/>
        <w:numPr>
          <w:ilvl w:val="0"/>
          <w:numId w:val="13"/>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招标文件没有不合理条款、招标程序符合规定，需要采用其他采购方式采购的，采购人应当依法报财政部门批准。</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采购方式</w:t>
      </w:r>
      <w:bookmarkEnd w:id="43"/>
    </w:p>
    <w:p>
      <w:pPr>
        <w:tabs>
          <w:tab w:val="left" w:pos="378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公开招标。</w:t>
      </w:r>
      <w:bookmarkEnd w:id="41"/>
      <w:bookmarkEnd w:id="42"/>
      <w:bookmarkStart w:id="44" w:name="_Hlt68516771"/>
      <w:bookmarkEnd w:id="44"/>
      <w:bookmarkStart w:id="45" w:name="_Hlt74388212"/>
      <w:bookmarkEnd w:id="45"/>
    </w:p>
    <w:p>
      <w:pPr>
        <w:pStyle w:val="17"/>
        <w:numPr>
          <w:ilvl w:val="0"/>
          <w:numId w:val="11"/>
        </w:numPr>
        <w:spacing w:line="360" w:lineRule="auto"/>
        <w:ind w:firstLine="482" w:firstLineChars="200"/>
        <w:rPr>
          <w:rFonts w:hint="eastAsia" w:hAnsi="宋体" w:cs="宋体"/>
          <w:b/>
          <w:color w:val="auto"/>
          <w:sz w:val="24"/>
          <w:szCs w:val="24"/>
          <w:highlight w:val="none"/>
        </w:rPr>
      </w:pPr>
      <w:bookmarkStart w:id="46" w:name="_Toc91899877"/>
      <w:bookmarkStart w:id="47" w:name="_Hlt74730303"/>
      <w:r>
        <w:rPr>
          <w:rFonts w:hint="eastAsia" w:hAnsi="宋体" w:cs="宋体"/>
          <w:b/>
          <w:color w:val="auto"/>
          <w:sz w:val="24"/>
          <w:szCs w:val="24"/>
          <w:highlight w:val="none"/>
        </w:rPr>
        <w:t>投标费用</w:t>
      </w:r>
      <w:bookmarkEnd w:id="46"/>
    </w:p>
    <w:bookmarkEnd w:id="47"/>
    <w:p>
      <w:pPr>
        <w:autoSpaceDE w:val="0"/>
        <w:autoSpaceDN w:val="0"/>
        <w:spacing w:line="360" w:lineRule="auto"/>
        <w:ind w:firstLine="523" w:firstLineChars="218"/>
        <w:rPr>
          <w:rFonts w:hint="eastAsia" w:ascii="宋体" w:hAnsi="宋体" w:cs="宋体"/>
          <w:color w:val="auto"/>
          <w:sz w:val="24"/>
          <w:highlight w:val="none"/>
          <w:lang w:val="zh-CN"/>
        </w:rPr>
      </w:pPr>
      <w:r>
        <w:rPr>
          <w:rFonts w:hint="eastAsia" w:ascii="宋体" w:hAnsi="宋体" w:cs="宋体"/>
          <w:color w:val="auto"/>
          <w:sz w:val="24"/>
          <w:highlight w:val="none"/>
        </w:rPr>
        <w:t>投标人需自行承担涉及投标的一切费用（招标文件有其他相反规定除外）。</w:t>
      </w:r>
    </w:p>
    <w:p>
      <w:pPr>
        <w:spacing w:line="360" w:lineRule="auto"/>
        <w:jc w:val="center"/>
        <w:rPr>
          <w:rFonts w:hint="eastAsia" w:ascii="宋体" w:hAnsi="宋体" w:cs="宋体"/>
          <w:b/>
          <w:color w:val="auto"/>
          <w:sz w:val="24"/>
          <w:highlight w:val="none"/>
        </w:rPr>
      </w:pPr>
      <w:bookmarkStart w:id="48" w:name="_Hlt68057669"/>
      <w:bookmarkEnd w:id="48"/>
      <w:bookmarkStart w:id="49" w:name="_Hlt74707468"/>
      <w:bookmarkEnd w:id="49"/>
      <w:bookmarkStart w:id="50" w:name="_Hlt74729768"/>
      <w:bookmarkEnd w:id="50"/>
      <w:bookmarkStart w:id="51" w:name="_Hlt68072990"/>
      <w:bookmarkEnd w:id="51"/>
      <w:bookmarkStart w:id="52" w:name="_Hlt75236290"/>
      <w:bookmarkEnd w:id="52"/>
      <w:bookmarkStart w:id="53" w:name="_Toc91899879"/>
    </w:p>
    <w:p>
      <w:pPr>
        <w:snapToGrid w:val="0"/>
        <w:spacing w:line="360" w:lineRule="auto"/>
        <w:jc w:val="center"/>
        <w:outlineLvl w:val="1"/>
        <w:rPr>
          <w:rFonts w:hint="eastAsia" w:ascii="宋体" w:hAnsi="宋体" w:cs="宋体"/>
          <w:b/>
          <w:color w:val="auto"/>
          <w:sz w:val="32"/>
          <w:highlight w:val="none"/>
        </w:rPr>
      </w:pPr>
      <w:bookmarkStart w:id="54" w:name="_Toc28925"/>
      <w:bookmarkStart w:id="55" w:name="_Toc31960"/>
      <w:bookmarkStart w:id="56" w:name="_Toc26564"/>
      <w:r>
        <w:rPr>
          <w:rFonts w:hint="eastAsia" w:ascii="宋体" w:hAnsi="宋体" w:cs="宋体"/>
          <w:b/>
          <w:color w:val="auto"/>
          <w:sz w:val="32"/>
          <w:highlight w:val="none"/>
        </w:rPr>
        <w:t>二、招标文件</w:t>
      </w:r>
      <w:bookmarkEnd w:id="53"/>
      <w:bookmarkEnd w:id="54"/>
      <w:bookmarkEnd w:id="55"/>
      <w:bookmarkEnd w:id="56"/>
    </w:p>
    <w:p>
      <w:pPr>
        <w:pStyle w:val="17"/>
        <w:numPr>
          <w:ilvl w:val="0"/>
          <w:numId w:val="11"/>
        </w:numPr>
        <w:spacing w:line="360" w:lineRule="auto"/>
        <w:ind w:firstLine="482" w:firstLineChars="200"/>
        <w:rPr>
          <w:rFonts w:hint="eastAsia" w:hAnsi="宋体" w:cs="宋体"/>
          <w:b/>
          <w:color w:val="auto"/>
          <w:sz w:val="24"/>
          <w:szCs w:val="24"/>
          <w:highlight w:val="none"/>
        </w:rPr>
      </w:pPr>
      <w:bookmarkStart w:id="57" w:name="_Toc91899880"/>
      <w:bookmarkStart w:id="58" w:name="_Hlt74730307"/>
      <w:r>
        <w:rPr>
          <w:rFonts w:hint="eastAsia" w:hAnsi="宋体" w:cs="宋体"/>
          <w:b/>
          <w:color w:val="auto"/>
          <w:sz w:val="24"/>
          <w:szCs w:val="24"/>
          <w:highlight w:val="none"/>
        </w:rPr>
        <w:t>招标文件的构成</w:t>
      </w:r>
      <w:bookmarkEnd w:id="57"/>
    </w:p>
    <w:bookmarkEnd w:id="58"/>
    <w:p>
      <w:pPr>
        <w:pStyle w:val="113"/>
        <w:numPr>
          <w:ilvl w:val="0"/>
          <w:numId w:val="1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招标文件包括下列文件及附件</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第一部分 招标公告</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第二部分 投标须知</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第三部分 评标办法及评分标准</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第四部分 采购需求</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第五部分 采购合同的一般和特殊条款</w:t>
      </w:r>
    </w:p>
    <w:p>
      <w:pPr>
        <w:pStyle w:val="113"/>
        <w:numPr>
          <w:ilvl w:val="0"/>
          <w:numId w:val="1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第六部分 应提交的有关格式范例</w:t>
      </w:r>
    </w:p>
    <w:p>
      <w:pPr>
        <w:pStyle w:val="113"/>
        <w:numPr>
          <w:ilvl w:val="0"/>
          <w:numId w:val="1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投标人应认真审阅招标文件中所有的内容，包括编制和提交采购响应文件须知、评标办法及评分标准、项目技术规范和服务要求、采购合同的一般和特殊条款、应提交的有关格式范例等。</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招标文件的解释</w:t>
      </w:r>
    </w:p>
    <w:p>
      <w:pPr>
        <w:pStyle w:val="113"/>
        <w:numPr>
          <w:ilvl w:val="0"/>
          <w:numId w:val="16"/>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已获取招标文件的潜在投标人，若有问题需要澄清，应于投标截止时间前，以书面形式向采购代理机构提出，采购代理机构与采购人研究后，对认为有必要回答的问题，将通过招标公告发布网站通知所有招标文件收受人。</w:t>
      </w:r>
    </w:p>
    <w:p>
      <w:pPr>
        <w:pStyle w:val="113"/>
        <w:numPr>
          <w:ilvl w:val="0"/>
          <w:numId w:val="16"/>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采购代理机构如对已发出的招标文件进行必要澄清或者修改的，将在发布招标公告的网站上发布更正公告，同时视情况延长投标截止时间和开标时间。该澄清或者修改的内容为招标文件的组成部分。</w:t>
      </w:r>
    </w:p>
    <w:p>
      <w:pPr>
        <w:pStyle w:val="113"/>
        <w:numPr>
          <w:ilvl w:val="0"/>
          <w:numId w:val="16"/>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不论采购代理机构向投标人发送的资料文件，还是投标人提出的问题，均采用书面形式。</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招标文件的修改、澄清</w:t>
      </w:r>
    </w:p>
    <w:p>
      <w:pPr>
        <w:pStyle w:val="113"/>
        <w:numPr>
          <w:ilvl w:val="0"/>
          <w:numId w:val="17"/>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从招标文件发出至投标截止时间前，采购代理机构可能会以补充通知的方式修改招标文件。补充通知作为招标文件的组成部分，各潜在投标人应自行在公告发布网站查看。若有必要，采购代理机构将酌情延长递交投标文件的截止日期。</w:t>
      </w:r>
    </w:p>
    <w:p>
      <w:pPr>
        <w:pStyle w:val="113"/>
        <w:numPr>
          <w:ilvl w:val="0"/>
          <w:numId w:val="17"/>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对投标文件中含义不明、表述不一致或有明显计算错误等内容，评标委员会将对投标人进行询标，并要求投标人作电子澄清（询标由专家在政采云系统上发起询标函，投标人在澄清处在规定时间内进行答复）；投标人的电子澄清，应由法定代表人进行电子签章（也可由法定代表人或授权代表签字扫描后上传），作为投标文件的补充部分，但澄清的内容不得改变投标文件的实质性内容。</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投标报价</w:t>
      </w:r>
    </w:p>
    <w:p>
      <w:pPr>
        <w:pStyle w:val="113"/>
        <w:numPr>
          <w:ilvl w:val="0"/>
          <w:numId w:val="18"/>
        </w:numPr>
        <w:spacing w:before="0"/>
        <w:ind w:firstLine="482"/>
        <w:rPr>
          <w:rFonts w:hint="eastAsia" w:ascii="宋体" w:hAnsi="宋体" w:cs="宋体"/>
          <w:b/>
          <w:bCs/>
          <w:color w:val="auto"/>
          <w:szCs w:val="24"/>
          <w:highlight w:val="none"/>
        </w:rPr>
      </w:pPr>
      <w:r>
        <w:rPr>
          <w:rFonts w:hint="eastAsia" w:ascii="宋体" w:hAnsi="宋体" w:cs="宋体"/>
          <w:b/>
          <w:bCs/>
          <w:color w:val="auto"/>
          <w:szCs w:val="24"/>
          <w:highlight w:val="none"/>
        </w:rPr>
        <w:t>本项目是“交钥匙”工程，即将所提供的软、硬件产品按采购人的要求安装，调试完毕，保证采购人能够正常部署系统。投标报价应包含项目所需全部货物、服务，不得缺漏，是履行合同的最终价格，包括但不限于设备租</w:t>
      </w:r>
      <w:r>
        <w:rPr>
          <w:rFonts w:hint="eastAsia" w:ascii="宋体" w:hAnsi="宋体" w:cs="宋体"/>
          <w:b/>
          <w:bCs/>
          <w:color w:val="auto"/>
          <w:szCs w:val="24"/>
          <w:highlight w:val="none"/>
          <w:lang w:val="en-US" w:eastAsia="zh-CN"/>
        </w:rPr>
        <w:t>用</w:t>
      </w:r>
      <w:r>
        <w:rPr>
          <w:rFonts w:hint="eastAsia" w:ascii="宋体" w:hAnsi="宋体" w:cs="宋体"/>
          <w:b/>
          <w:bCs/>
          <w:color w:val="auto"/>
          <w:szCs w:val="24"/>
          <w:highlight w:val="none"/>
        </w:rPr>
        <w:t>费（含设备、配件、管线、备品备件等）、软件费（含设计、开发、集成、测试、维护、升级等）、实施部署费、安装费、调试费、运杂费、技术培训费、售后服务费、人工费用、培训、税金、招标代理费等一切为本项目而产生的所有费用。投标人在编写投标人案时应充分考虑各种风险因素，凡投标人漏项、漏报均认为已包含在报价中，结算时不再增加</w:t>
      </w:r>
      <w:r>
        <w:rPr>
          <w:rFonts w:hint="eastAsia" w:ascii="宋体" w:hAnsi="宋体" w:cs="宋体"/>
          <w:b/>
          <w:bCs/>
          <w:color w:val="auto"/>
          <w:highlight w:val="none"/>
        </w:rPr>
        <w:t>。</w:t>
      </w:r>
    </w:p>
    <w:p>
      <w:pPr>
        <w:pStyle w:val="113"/>
        <w:numPr>
          <w:ilvl w:val="0"/>
          <w:numId w:val="1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其它费用处理</w:t>
      </w:r>
    </w:p>
    <w:p>
      <w:pPr>
        <w:pStyle w:val="113"/>
        <w:tabs>
          <w:tab w:val="left" w:pos="0"/>
        </w:tabs>
        <w:spacing w:before="0"/>
        <w:ind w:left="420" w:leftChars="200" w:firstLine="0" w:firstLineChars="0"/>
        <w:rPr>
          <w:rFonts w:hint="eastAsia" w:ascii="宋体" w:hAnsi="宋体" w:cs="宋体"/>
          <w:color w:val="auto"/>
          <w:szCs w:val="24"/>
          <w:highlight w:val="none"/>
        </w:rPr>
      </w:pPr>
      <w:r>
        <w:rPr>
          <w:rFonts w:hint="eastAsia" w:ascii="宋体" w:hAnsi="宋体" w:cs="宋体"/>
          <w:color w:val="auto"/>
          <w:szCs w:val="24"/>
          <w:highlight w:val="none"/>
        </w:rPr>
        <w:t>招标文件未列明，而投标人认为必需的费用也需列入报价。</w:t>
      </w:r>
    </w:p>
    <w:p>
      <w:pPr>
        <w:pStyle w:val="113"/>
        <w:numPr>
          <w:ilvl w:val="0"/>
          <w:numId w:val="1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投标货币</w:t>
      </w:r>
    </w:p>
    <w:p>
      <w:pPr>
        <w:pStyle w:val="113"/>
        <w:snapToGrid w:val="0"/>
        <w:spacing w:before="0" w:line="50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投标文件中价格全部采用人民币报价。报价应是唯一的， 采购代理机构将不接受有选择的报价。</w:t>
      </w:r>
    </w:p>
    <w:p>
      <w:pPr>
        <w:pStyle w:val="12"/>
        <w:snapToGrid w:val="0"/>
        <w:ind w:firstLine="480" w:firstLineChars="200"/>
        <w:rPr>
          <w:rFonts w:hint="eastAsia" w:hAnsi="宋体" w:cs="宋体"/>
          <w:color w:val="auto"/>
          <w:szCs w:val="24"/>
          <w:highlight w:val="none"/>
        </w:rPr>
      </w:pPr>
    </w:p>
    <w:p>
      <w:pPr>
        <w:snapToGrid w:val="0"/>
        <w:spacing w:line="360" w:lineRule="auto"/>
        <w:jc w:val="center"/>
        <w:outlineLvl w:val="1"/>
        <w:rPr>
          <w:rFonts w:hint="eastAsia" w:ascii="宋体" w:hAnsi="宋体" w:cs="宋体"/>
          <w:b/>
          <w:color w:val="auto"/>
          <w:sz w:val="32"/>
          <w:highlight w:val="none"/>
        </w:rPr>
      </w:pPr>
      <w:bookmarkStart w:id="59" w:name="_Hlt75236011"/>
      <w:bookmarkEnd w:id="59"/>
      <w:bookmarkStart w:id="60" w:name="_Toc20365"/>
      <w:bookmarkStart w:id="61" w:name="_Toc16227"/>
      <w:bookmarkStart w:id="62" w:name="_Toc91899884"/>
      <w:bookmarkStart w:id="63" w:name="_Toc3642"/>
      <w:r>
        <w:rPr>
          <w:rFonts w:hint="eastAsia" w:ascii="宋体" w:hAnsi="宋体" w:cs="宋体"/>
          <w:b/>
          <w:color w:val="auto"/>
          <w:sz w:val="32"/>
          <w:highlight w:val="none"/>
        </w:rPr>
        <w:t>三、投标文件的编制</w:t>
      </w:r>
      <w:bookmarkEnd w:id="60"/>
      <w:bookmarkEnd w:id="61"/>
      <w:bookmarkEnd w:id="62"/>
      <w:bookmarkEnd w:id="63"/>
    </w:p>
    <w:p>
      <w:pPr>
        <w:pStyle w:val="17"/>
        <w:numPr>
          <w:ilvl w:val="0"/>
          <w:numId w:val="11"/>
        </w:numPr>
        <w:spacing w:line="360" w:lineRule="auto"/>
        <w:ind w:firstLine="482" w:firstLineChars="200"/>
        <w:rPr>
          <w:rFonts w:hint="eastAsia" w:hAnsi="宋体" w:cs="宋体"/>
          <w:b/>
          <w:color w:val="auto"/>
          <w:sz w:val="24"/>
          <w:szCs w:val="24"/>
          <w:highlight w:val="none"/>
        </w:rPr>
      </w:pPr>
      <w:bookmarkStart w:id="64" w:name="_Toc86216991"/>
      <w:bookmarkStart w:id="65" w:name="_Toc91899892"/>
      <w:r>
        <w:rPr>
          <w:rFonts w:hint="eastAsia" w:hAnsi="宋体" w:cs="宋体"/>
          <w:b/>
          <w:color w:val="auto"/>
          <w:sz w:val="24"/>
          <w:szCs w:val="24"/>
          <w:highlight w:val="none"/>
        </w:rPr>
        <w:t>投标文件的语言</w:t>
      </w:r>
    </w:p>
    <w:p>
      <w:pPr>
        <w:pStyle w:val="113"/>
        <w:tabs>
          <w:tab w:val="left" w:pos="0"/>
        </w:tabs>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rPr>
        <w:t>投标文件及投标人与采购有关的来往通知、函件和文件均应使用中文。</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投标文件的组成</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投标文件应当包括以下主要内容：资格文件、商务技术文件、报价文件。</w:t>
      </w:r>
    </w:p>
    <w:p>
      <w:pPr>
        <w:pStyle w:val="113"/>
        <w:numPr>
          <w:ilvl w:val="0"/>
          <w:numId w:val="19"/>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资格文件包括以下内容：</w:t>
      </w:r>
    </w:p>
    <w:p>
      <w:pPr>
        <w:pStyle w:val="113"/>
        <w:numPr>
          <w:ilvl w:val="0"/>
          <w:numId w:val="2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法定代表人授权书（格式见附件）；如法定代表人直接参加投标并对相应文件签字的（签字是指线下签字扫描后上传或者线上进行电子签章），只需提供其身份证复印件，否则则应提供授权代表身份证复印件；</w:t>
      </w:r>
    </w:p>
    <w:p>
      <w:pPr>
        <w:pStyle w:val="113"/>
        <w:numPr>
          <w:ilvl w:val="0"/>
          <w:numId w:val="2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pPr>
        <w:pStyle w:val="113"/>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113"/>
        <w:numPr>
          <w:ilvl w:val="0"/>
          <w:numId w:val="2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具有履行合同所必需的产品和专业技术能力的承诺函；</w:t>
      </w:r>
    </w:p>
    <w:p>
      <w:pPr>
        <w:pStyle w:val="113"/>
        <w:numPr>
          <w:ilvl w:val="0"/>
          <w:numId w:val="20"/>
        </w:numPr>
        <w:spacing w:before="0"/>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投标人承诺函（格式见附件）；</w:t>
      </w:r>
    </w:p>
    <w:p>
      <w:pPr>
        <w:pStyle w:val="113"/>
        <w:numPr>
          <w:ilvl w:val="0"/>
          <w:numId w:val="20"/>
        </w:numPr>
        <w:spacing w:before="0"/>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中小企业声明函（格式见附件）；</w:t>
      </w:r>
    </w:p>
    <w:p>
      <w:pPr>
        <w:pStyle w:val="113"/>
        <w:numPr>
          <w:ilvl w:val="0"/>
          <w:numId w:val="20"/>
        </w:numPr>
        <w:spacing w:before="0"/>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联合体协议书</w:t>
      </w:r>
      <w:r>
        <w:rPr>
          <w:rFonts w:hint="eastAsia" w:ascii="宋体" w:hAnsi="宋体" w:eastAsia="宋体" w:cs="宋体"/>
          <w:color w:val="auto"/>
          <w:szCs w:val="24"/>
          <w:highlight w:val="none"/>
        </w:rPr>
        <w:t>(如有)（格式见附件）</w:t>
      </w:r>
      <w:r>
        <w:rPr>
          <w:rFonts w:hint="eastAsia" w:ascii="宋体" w:hAnsi="宋体" w:eastAsia="宋体" w:cs="宋体"/>
          <w:color w:val="auto"/>
          <w:szCs w:val="24"/>
          <w:highlight w:val="none"/>
          <w:lang w:eastAsia="zh-CN"/>
        </w:rPr>
        <w:t>；</w:t>
      </w:r>
    </w:p>
    <w:p>
      <w:pPr>
        <w:pStyle w:val="113"/>
        <w:numPr>
          <w:ilvl w:val="0"/>
          <w:numId w:val="20"/>
        </w:numPr>
        <w:spacing w:before="0"/>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分包协议书</w:t>
      </w:r>
      <w:r>
        <w:rPr>
          <w:rFonts w:hint="eastAsia" w:ascii="宋体" w:hAnsi="宋体" w:eastAsia="宋体" w:cs="宋体"/>
          <w:color w:val="auto"/>
          <w:szCs w:val="24"/>
          <w:highlight w:val="none"/>
        </w:rPr>
        <w:t>(如有)（格式见附件）</w:t>
      </w:r>
      <w:r>
        <w:rPr>
          <w:rFonts w:hint="eastAsia" w:ascii="宋体" w:hAnsi="宋体" w:eastAsia="宋体" w:cs="宋体"/>
          <w:color w:val="auto"/>
          <w:szCs w:val="24"/>
          <w:highlight w:val="none"/>
          <w:lang w:eastAsia="zh-CN"/>
        </w:rPr>
        <w:t>；</w:t>
      </w:r>
    </w:p>
    <w:p>
      <w:pPr>
        <w:pStyle w:val="113"/>
        <w:numPr>
          <w:ilvl w:val="0"/>
          <w:numId w:val="20"/>
        </w:numPr>
        <w:spacing w:before="0"/>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残疾人福利性单位声明函(如有)（格式见附件）；</w:t>
      </w:r>
    </w:p>
    <w:p>
      <w:pPr>
        <w:pStyle w:val="113"/>
        <w:numPr>
          <w:ilvl w:val="0"/>
          <w:numId w:val="20"/>
        </w:numPr>
        <w:spacing w:before="0"/>
        <w:ind w:firstLine="480"/>
        <w:rPr>
          <w:rFonts w:hint="eastAsia" w:ascii="宋体" w:hAnsi="宋体" w:cs="宋体"/>
          <w:color w:val="auto"/>
          <w:szCs w:val="24"/>
          <w:highlight w:val="none"/>
        </w:rPr>
      </w:pPr>
      <w:r>
        <w:rPr>
          <w:rFonts w:hint="eastAsia" w:ascii="宋体" w:hAnsi="宋体" w:eastAsia="宋体" w:cs="宋体"/>
          <w:color w:val="auto"/>
          <w:szCs w:val="24"/>
          <w:highlight w:val="none"/>
          <w:lang w:eastAsia="zh-CN"/>
        </w:rPr>
        <w:t>监狱企业证明文件(如有)（格式见附件）</w:t>
      </w:r>
      <w:r>
        <w:rPr>
          <w:rFonts w:hint="eastAsia" w:ascii="宋体" w:hAnsi="宋体" w:cs="宋体"/>
          <w:color w:val="auto"/>
          <w:szCs w:val="24"/>
          <w:highlight w:val="none"/>
        </w:rPr>
        <w:t>。</w:t>
      </w:r>
    </w:p>
    <w:p>
      <w:pPr>
        <w:pStyle w:val="113"/>
        <w:numPr>
          <w:ilvl w:val="0"/>
          <w:numId w:val="19"/>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商务技术文件，本次招标需要投标人提供以下项所列的技术文件：</w:t>
      </w:r>
    </w:p>
    <w:p>
      <w:pPr>
        <w:pStyle w:val="113"/>
        <w:numPr>
          <w:ilvl w:val="0"/>
          <w:numId w:val="21"/>
        </w:numPr>
        <w:spacing w:before="0"/>
        <w:ind w:firstLine="480"/>
        <w:rPr>
          <w:rFonts w:hint="eastAsia" w:ascii="宋体" w:hAnsi="宋体" w:cs="宋体"/>
          <w:color w:val="auto"/>
          <w:szCs w:val="24"/>
          <w:highlight w:val="none"/>
        </w:rPr>
      </w:pPr>
      <w:bookmarkStart w:id="66" w:name="_Hlk59815072"/>
      <w:r>
        <w:rPr>
          <w:rFonts w:hint="eastAsia" w:ascii="宋体" w:hAnsi="宋体" w:cs="宋体"/>
          <w:color w:val="auto"/>
          <w:szCs w:val="24"/>
          <w:highlight w:val="none"/>
        </w:rPr>
        <w:t>评分对应表（格式见附件，主要用于评委对应评分内容）</w:t>
      </w:r>
    </w:p>
    <w:bookmarkEnd w:id="66"/>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投标人商务技术文件中资信分自评表（格式见附件）；</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投标项目明细清单（含货物、服务等）（格式见附件）；</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技术响应及建议表（格式见附件）；</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技术参数证明材料；</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技术方案深化设计；</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网络拓扑；</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光缆链路；</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施工组织方案；</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工程进度安排；</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人员配置；</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售后服务方案；</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投标人业绩；</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认证证书；</w:t>
      </w:r>
    </w:p>
    <w:p>
      <w:pPr>
        <w:pStyle w:val="113"/>
        <w:numPr>
          <w:ilvl w:val="0"/>
          <w:numId w:val="21"/>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投标人认为需要的其他文件资料。</w:t>
      </w:r>
    </w:p>
    <w:p>
      <w:pPr>
        <w:pStyle w:val="113"/>
        <w:spacing w:before="0"/>
        <w:ind w:left="420" w:leftChars="200" w:firstLine="0" w:firstLineChars="0"/>
        <w:rPr>
          <w:rFonts w:hint="eastAsia" w:ascii="宋体" w:hAnsi="宋体" w:cs="宋体"/>
          <w:color w:val="auto"/>
          <w:szCs w:val="24"/>
          <w:highlight w:val="none"/>
        </w:rPr>
      </w:pPr>
      <w:r>
        <w:rPr>
          <w:rFonts w:hint="eastAsia" w:ascii="宋体" w:hAnsi="宋体" w:cs="宋体"/>
          <w:color w:val="auto"/>
          <w:szCs w:val="24"/>
          <w:highlight w:val="none"/>
        </w:rPr>
        <w:t>注：以上内容应与评标办法中内容具有一致性。</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如果本项目涉及硬件设备采购，还需提供相关设备完整配置方案（设备名称、品牌、规格型号、数量、主要技术参数等），提供主要投标产品的技术参数证明材料（如官网截图、产品彩页、原厂技术说明等），明确表示该项指标所涉及的软硬件是标准配置还是选择配置。</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在投标文件中应对项目技术规范和服务要求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投标。</w:t>
      </w:r>
      <w:r>
        <w:rPr>
          <w:rFonts w:hint="eastAsia" w:ascii="宋体" w:hAnsi="宋体" w:cs="宋体"/>
          <w:b/>
          <w:bCs/>
          <w:color w:val="auto"/>
          <w:szCs w:val="24"/>
          <w:highlight w:val="none"/>
        </w:rPr>
        <w:t>采购代理机构将把这一情况报送采购监管部门。实质性指标、关键性指标和重要指标需提供证明材料，如技术偏离表中仅复制粘贴而未说明或提供证明材料的，其产生的影响直至被认定为未实质性响应的后果将由供应商自行承担。</w:t>
      </w:r>
    </w:p>
    <w:p>
      <w:pPr>
        <w:pStyle w:val="113"/>
        <w:numPr>
          <w:ilvl w:val="0"/>
          <w:numId w:val="19"/>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报价文件包括以下内容：</w:t>
      </w:r>
    </w:p>
    <w:p>
      <w:pPr>
        <w:pStyle w:val="113"/>
        <w:numPr>
          <w:ilvl w:val="0"/>
          <w:numId w:val="22"/>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投标函（格式见附件）；</w:t>
      </w:r>
    </w:p>
    <w:p>
      <w:pPr>
        <w:pStyle w:val="113"/>
        <w:numPr>
          <w:ilvl w:val="0"/>
          <w:numId w:val="22"/>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开标一览表（格式见附件）；</w:t>
      </w:r>
    </w:p>
    <w:p>
      <w:pPr>
        <w:pStyle w:val="113"/>
        <w:numPr>
          <w:ilvl w:val="0"/>
          <w:numId w:val="22"/>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投标报价明细表（格式见附件）。</w:t>
      </w:r>
    </w:p>
    <w:p>
      <w:pPr>
        <w:pStyle w:val="17"/>
        <w:numPr>
          <w:ilvl w:val="0"/>
          <w:numId w:val="11"/>
        </w:numPr>
        <w:spacing w:line="360" w:lineRule="auto"/>
        <w:ind w:firstLine="482" w:firstLineChars="200"/>
        <w:rPr>
          <w:rFonts w:hint="eastAsia" w:hAnsi="宋体" w:cs="宋体"/>
          <w:b/>
          <w:color w:val="auto"/>
          <w:sz w:val="24"/>
          <w:szCs w:val="24"/>
          <w:highlight w:val="none"/>
        </w:rPr>
      </w:pPr>
      <w:bookmarkStart w:id="67" w:name="_Toc91899887"/>
      <w:r>
        <w:rPr>
          <w:rFonts w:hint="eastAsia" w:hAnsi="宋体" w:cs="宋体"/>
          <w:b/>
          <w:color w:val="auto"/>
          <w:sz w:val="24"/>
          <w:szCs w:val="24"/>
          <w:highlight w:val="none"/>
        </w:rPr>
        <w:t>投标有效期</w:t>
      </w:r>
    </w:p>
    <w:p>
      <w:pPr>
        <w:pStyle w:val="113"/>
        <w:numPr>
          <w:ilvl w:val="0"/>
          <w:numId w:val="23"/>
        </w:numPr>
        <w:spacing w:before="0"/>
        <w:ind w:firstLine="480"/>
        <w:rPr>
          <w:rFonts w:hint="eastAsia" w:ascii="宋体" w:hAnsi="宋体" w:cs="宋体"/>
          <w:color w:val="auto"/>
          <w:szCs w:val="24"/>
          <w:highlight w:val="none"/>
        </w:rPr>
      </w:pPr>
      <w:r>
        <w:rPr>
          <w:rFonts w:hint="eastAsia" w:ascii="宋体" w:hAnsi="宋体" w:cs="宋体"/>
          <w:color w:val="auto"/>
          <w:highlight w:val="none"/>
        </w:rPr>
        <w:t>投标文件未在投标截止时间前完成传输的或者未按时解密的，视为放弃投标；投标文件解密失败后未提供备份文件或者备份文件也出现异常情况无法进行评审的，亦视为放弃投标。</w:t>
      </w:r>
    </w:p>
    <w:p>
      <w:pPr>
        <w:pStyle w:val="113"/>
        <w:numPr>
          <w:ilvl w:val="0"/>
          <w:numId w:val="23"/>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投标文件上传后，自投标截止日期起，在前附表所列的投标有效期内有效。</w:t>
      </w:r>
    </w:p>
    <w:p>
      <w:pPr>
        <w:pStyle w:val="113"/>
        <w:numPr>
          <w:ilvl w:val="0"/>
          <w:numId w:val="23"/>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在原定投标有效期满之前，如果出现特殊情况，采购代理机构可以以书面形式通知投标人延长投标有效期。</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投标人如有下列情况之一者列入不良行为记录：</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投标人在投标有效期内撤回投标的；</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中标人或中标候选人放弃中标或中标候选人资格的；</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擅自修改或拒绝接受已经确认的条款；</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中标人未按规定与采购人签订合同；</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未按规定提供履约保证金；</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投标人采取提供虚假资料等不正当手段的；</w:t>
      </w:r>
    </w:p>
    <w:p>
      <w:pPr>
        <w:pStyle w:val="113"/>
        <w:numPr>
          <w:ilvl w:val="0"/>
          <w:numId w:val="24"/>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投标人在投标过程中串通投标的。</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投标文件的编制和签署</w:t>
      </w:r>
    </w:p>
    <w:bookmarkEnd w:id="67"/>
    <w:p>
      <w:pPr>
        <w:pStyle w:val="113"/>
        <w:numPr>
          <w:ilvl w:val="0"/>
          <w:numId w:val="25"/>
        </w:numPr>
        <w:spacing w:before="0"/>
        <w:ind w:firstLine="480"/>
        <w:rPr>
          <w:rFonts w:hint="eastAsia" w:ascii="宋体" w:hAnsi="宋体" w:cs="宋体"/>
          <w:color w:val="auto"/>
          <w:szCs w:val="24"/>
          <w:highlight w:val="none"/>
        </w:rPr>
      </w:pPr>
      <w:r>
        <w:rPr>
          <w:rFonts w:hint="eastAsia" w:ascii="宋体" w:hAnsi="宋体" w:cs="宋体"/>
          <w:color w:val="auto"/>
          <w:highlight w:val="none"/>
        </w:rPr>
        <w:t>按招标文件9.1条、9.2条、9.3条要求提供的各种文件，投标文件分为资格文件、商务技术文件和报价文件三部分。</w:t>
      </w:r>
    </w:p>
    <w:p>
      <w:pPr>
        <w:pStyle w:val="113"/>
        <w:numPr>
          <w:ilvl w:val="0"/>
          <w:numId w:val="2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投标文件须按附件格式要求进行电子签章，投标人应写全称。（电子投标文件中所须加盖公章部分均应采用电子签章）</w:t>
      </w:r>
    </w:p>
    <w:p>
      <w:pPr>
        <w:pStyle w:val="113"/>
        <w:numPr>
          <w:ilvl w:val="0"/>
          <w:numId w:val="2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全套投标文件应无涂改和行间插字，除非这些删改是根据采购代理机构要求进行，或者是投标人造成的必须修改的错误。所修改处应由法定代表人或其授权代表签字盖章予以确认。</w:t>
      </w:r>
    </w:p>
    <w:p>
      <w:pPr>
        <w:pStyle w:val="113"/>
        <w:numPr>
          <w:ilvl w:val="0"/>
          <w:numId w:val="25"/>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由于字迹模糊或表达不清引起的后果由投标人负责。</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 xml:space="preserve"> 投标文件的形式</w:t>
      </w:r>
    </w:p>
    <w:p>
      <w:pPr>
        <w:autoSpaceDE w:val="0"/>
        <w:autoSpaceDN w:val="0"/>
        <w:spacing w:line="360" w:lineRule="auto"/>
        <w:ind w:firstLine="480" w:firstLineChars="200"/>
        <w:textAlignment w:val="bottom"/>
        <w:rPr>
          <w:rFonts w:hint="eastAsia" w:ascii="宋体" w:hAnsi="宋体" w:cs="宋体"/>
          <w:color w:val="auto"/>
          <w:sz w:val="24"/>
          <w:highlight w:val="none"/>
        </w:rPr>
      </w:pPr>
      <w:r>
        <w:rPr>
          <w:rFonts w:hint="eastAsia" w:ascii="宋体" w:hAnsi="宋体" w:cs="宋体"/>
          <w:color w:val="auto"/>
          <w:sz w:val="24"/>
          <w:szCs w:val="21"/>
          <w:highlight w:val="none"/>
        </w:rPr>
        <w:t>投标文件为电子投标文件，电子投标文件按“政采云供应商项目采购-电子招投标操作指南”及本招标文件要求制作、加密传输。</w:t>
      </w:r>
      <w:r>
        <w:rPr>
          <w:rFonts w:hint="eastAsia" w:ascii="宋体" w:hAnsi="宋体" w:cs="宋体"/>
          <w:color w:val="auto"/>
          <w:sz w:val="24"/>
          <w:highlight w:val="none"/>
        </w:rPr>
        <w:t xml:space="preserve"> </w:t>
      </w:r>
    </w:p>
    <w:p>
      <w:pPr>
        <w:spacing w:line="360" w:lineRule="auto"/>
        <w:jc w:val="center"/>
        <w:rPr>
          <w:rFonts w:hint="eastAsia" w:ascii="宋体" w:hAnsi="宋体" w:cs="宋体"/>
          <w:b/>
          <w:color w:val="auto"/>
          <w:sz w:val="24"/>
          <w:highlight w:val="none"/>
        </w:rPr>
      </w:pPr>
    </w:p>
    <w:p>
      <w:pPr>
        <w:snapToGrid w:val="0"/>
        <w:spacing w:line="360" w:lineRule="auto"/>
        <w:jc w:val="center"/>
        <w:outlineLvl w:val="1"/>
        <w:rPr>
          <w:rFonts w:hint="eastAsia" w:ascii="宋体" w:hAnsi="宋体" w:cs="宋体"/>
          <w:b/>
          <w:color w:val="auto"/>
          <w:sz w:val="32"/>
          <w:highlight w:val="none"/>
        </w:rPr>
      </w:pPr>
      <w:bookmarkStart w:id="68" w:name="_Toc5347"/>
      <w:bookmarkStart w:id="69" w:name="_Toc4449"/>
      <w:bookmarkStart w:id="70" w:name="_Toc29620"/>
      <w:r>
        <w:rPr>
          <w:rFonts w:hint="eastAsia" w:ascii="宋体" w:hAnsi="宋体" w:cs="宋体"/>
          <w:b/>
          <w:color w:val="auto"/>
          <w:sz w:val="32"/>
          <w:highlight w:val="none"/>
        </w:rPr>
        <w:t>四、投标文件的递交</w:t>
      </w:r>
      <w:bookmarkEnd w:id="64"/>
      <w:bookmarkEnd w:id="68"/>
      <w:bookmarkEnd w:id="69"/>
      <w:bookmarkEnd w:id="70"/>
    </w:p>
    <w:bookmarkEnd w:id="65"/>
    <w:p>
      <w:pPr>
        <w:pStyle w:val="17"/>
        <w:numPr>
          <w:ilvl w:val="0"/>
          <w:numId w:val="11"/>
        </w:numPr>
        <w:spacing w:line="360" w:lineRule="auto"/>
        <w:ind w:firstLine="482" w:firstLineChars="200"/>
        <w:rPr>
          <w:rFonts w:hint="eastAsia" w:hAnsi="宋体" w:cs="宋体"/>
          <w:b/>
          <w:color w:val="auto"/>
          <w:sz w:val="24"/>
          <w:szCs w:val="24"/>
          <w:highlight w:val="none"/>
        </w:rPr>
      </w:pPr>
      <w:bookmarkStart w:id="71" w:name="_Toc164416483"/>
      <w:bookmarkStart w:id="72" w:name="第三部分"/>
      <w:r>
        <w:rPr>
          <w:rFonts w:hint="eastAsia" w:hAnsi="宋体" w:cs="宋体"/>
          <w:b/>
          <w:color w:val="auto"/>
          <w:sz w:val="24"/>
          <w:szCs w:val="24"/>
          <w:highlight w:val="none"/>
        </w:rPr>
        <w:t>投标截止期</w:t>
      </w:r>
    </w:p>
    <w:p>
      <w:pPr>
        <w:pStyle w:val="113"/>
        <w:numPr>
          <w:ilvl w:val="0"/>
          <w:numId w:val="26"/>
        </w:numPr>
        <w:spacing w:before="0"/>
        <w:ind w:firstLine="480"/>
        <w:rPr>
          <w:rFonts w:hint="eastAsia" w:ascii="宋体" w:hAnsi="宋体" w:cs="宋体"/>
          <w:color w:val="auto"/>
          <w:szCs w:val="24"/>
          <w:highlight w:val="none"/>
        </w:rPr>
      </w:pPr>
      <w:r>
        <w:rPr>
          <w:rFonts w:hint="eastAsia" w:ascii="宋体" w:hAnsi="宋体" w:cs="宋体"/>
          <w:color w:val="auto"/>
          <w:highlight w:val="none"/>
        </w:rPr>
        <w:t>投标文件必须在规定的投标截止时间前在政采云系统内完成传输，以纸质、电报、电话、传真形式的投标概不接受。为应对投标文件解密失败等异常情况，投标人可指派授权代表在投标截止时间之前到达开标地点提交备份文件。</w:t>
      </w:r>
    </w:p>
    <w:p>
      <w:pPr>
        <w:pStyle w:val="113"/>
        <w:numPr>
          <w:ilvl w:val="0"/>
          <w:numId w:val="26"/>
        </w:numPr>
        <w:spacing w:before="0"/>
        <w:ind w:firstLine="480"/>
        <w:rPr>
          <w:rFonts w:hint="eastAsia" w:ascii="宋体" w:hAnsi="宋体" w:cs="宋体"/>
          <w:color w:val="auto"/>
          <w:highlight w:val="none"/>
        </w:rPr>
      </w:pPr>
      <w:r>
        <w:rPr>
          <w:rFonts w:hint="eastAsia" w:ascii="宋体" w:hAnsi="宋体" w:cs="宋体"/>
          <w:color w:val="auto"/>
          <w:highlight w:val="none"/>
        </w:rPr>
        <w:t>采购人因故推迟投标截止时间，将以公告形式通知。在这种情况下，采购人和投标人的权利和义务将受到新的截止时间的约束。</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投标文件的修改、撤销</w:t>
      </w:r>
    </w:p>
    <w:p>
      <w:pPr>
        <w:pStyle w:val="17"/>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360" w:lineRule="auto"/>
        <w:jc w:val="center"/>
        <w:rPr>
          <w:rFonts w:hint="eastAsia" w:ascii="宋体" w:hAnsi="宋体" w:cs="宋体"/>
          <w:b/>
          <w:color w:val="auto"/>
          <w:sz w:val="24"/>
          <w:highlight w:val="none"/>
        </w:rPr>
      </w:pPr>
      <w:bookmarkStart w:id="73" w:name="_Toc91899897"/>
    </w:p>
    <w:p>
      <w:pPr>
        <w:snapToGrid w:val="0"/>
        <w:spacing w:line="360" w:lineRule="auto"/>
        <w:jc w:val="center"/>
        <w:outlineLvl w:val="1"/>
        <w:rPr>
          <w:rFonts w:hint="eastAsia" w:ascii="宋体" w:hAnsi="宋体" w:cs="宋体"/>
          <w:b/>
          <w:color w:val="auto"/>
          <w:sz w:val="32"/>
          <w:highlight w:val="none"/>
        </w:rPr>
      </w:pPr>
      <w:bookmarkStart w:id="74" w:name="_Toc32614"/>
      <w:bookmarkStart w:id="75" w:name="_Toc28609"/>
      <w:bookmarkStart w:id="76" w:name="_Toc16236"/>
      <w:r>
        <w:rPr>
          <w:rFonts w:hint="eastAsia" w:ascii="宋体" w:hAnsi="宋体" w:cs="宋体"/>
          <w:b/>
          <w:color w:val="auto"/>
          <w:sz w:val="32"/>
          <w:highlight w:val="none"/>
        </w:rPr>
        <w:t>五、开标</w:t>
      </w:r>
      <w:bookmarkEnd w:id="73"/>
      <w:bookmarkEnd w:id="74"/>
      <w:bookmarkEnd w:id="75"/>
      <w:bookmarkEnd w:id="76"/>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开标</w:t>
      </w:r>
    </w:p>
    <w:p>
      <w:pPr>
        <w:pStyle w:val="17"/>
        <w:numPr>
          <w:ilvl w:val="0"/>
          <w:numId w:val="27"/>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在投标截止时间前按规定提交投标文件的投标人在三家（含）以上的，由采购人或采购代理机构组织进行开标。</w:t>
      </w:r>
    </w:p>
    <w:p>
      <w:pPr>
        <w:pStyle w:val="17"/>
        <w:numPr>
          <w:ilvl w:val="0"/>
          <w:numId w:val="27"/>
        </w:numPr>
        <w:spacing w:line="360" w:lineRule="auto"/>
        <w:ind w:firstLine="482" w:firstLineChars="200"/>
        <w:rPr>
          <w:rFonts w:hint="eastAsia" w:hAnsi="宋体" w:cs="宋体"/>
          <w:color w:val="auto"/>
          <w:sz w:val="24"/>
          <w:szCs w:val="24"/>
          <w:highlight w:val="none"/>
        </w:rPr>
      </w:pPr>
      <w:r>
        <w:rPr>
          <w:rFonts w:hint="eastAsia" w:hAnsi="宋体" w:cs="宋体"/>
          <w:b/>
          <w:bCs/>
          <w:color w:val="auto"/>
          <w:sz w:val="24"/>
          <w:highlight w:val="none"/>
        </w:rPr>
        <w:t>投标人登录政采云平台，用“项目采购-开标评标”功能对电子投标文件进行在线解密。在线解密电子投标文件时间为开标时间起30分钟内。若电子投标文件解密失败，则由采购代理机构工作人员上传投标人提供的备份文件。</w:t>
      </w:r>
      <w:r>
        <w:rPr>
          <w:rFonts w:hint="eastAsia" w:hAnsi="宋体" w:cs="宋体"/>
          <w:color w:val="auto"/>
          <w:sz w:val="24"/>
          <w:szCs w:val="24"/>
          <w:highlight w:val="none"/>
        </w:rPr>
        <w:t>备份文件（后缀名为.bfbs）须存储在U盘中，与上传的电子投标文件一致，用信封进行密封并盖章，由授权代表在投标截止时间前递交至开标地点。</w:t>
      </w:r>
    </w:p>
    <w:p>
      <w:pPr>
        <w:pStyle w:val="17"/>
        <w:numPr>
          <w:ilvl w:val="0"/>
          <w:numId w:val="27"/>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采购人按招标文件规定的时间、地点公开开标。开标仪式由采购人或采购代理机构主持及有关人员参加。</w:t>
      </w:r>
    </w:p>
    <w:p>
      <w:pPr>
        <w:pStyle w:val="113"/>
        <w:numPr>
          <w:ilvl w:val="0"/>
          <w:numId w:val="27"/>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本项目为电子投标项目，投标人一般不需要参加现场投标和开标，若投标人需要指派授权代表递交备份文件，则授权代表应随身携带法定代表人授权书原件于投标截止时间前到达开标地点递交备份文件。</w:t>
      </w:r>
      <w:r>
        <w:rPr>
          <w:rFonts w:hint="eastAsia" w:ascii="宋体" w:hAnsi="宋体" w:cs="宋体"/>
          <w:color w:val="auto"/>
          <w:highlight w:val="none"/>
        </w:rPr>
        <w:t xml:space="preserve"> 若电子投标文件正常解锁，则U盘退还给供应商；若解锁失败，则由采购代理机构将U盘中的备份文件上传，该U盘将由采购代理机构保存。</w:t>
      </w:r>
    </w:p>
    <w:p>
      <w:pPr>
        <w:pStyle w:val="113"/>
        <w:numPr>
          <w:ilvl w:val="0"/>
          <w:numId w:val="27"/>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jc w:val="center"/>
        <w:rPr>
          <w:rFonts w:hint="eastAsia" w:ascii="宋体" w:hAnsi="宋体" w:cs="宋体"/>
          <w:b/>
          <w:color w:val="auto"/>
          <w:sz w:val="24"/>
          <w:highlight w:val="none"/>
        </w:rPr>
      </w:pPr>
    </w:p>
    <w:p>
      <w:pPr>
        <w:snapToGrid w:val="0"/>
        <w:spacing w:line="360" w:lineRule="auto"/>
        <w:jc w:val="center"/>
        <w:outlineLvl w:val="1"/>
        <w:rPr>
          <w:rFonts w:hint="eastAsia" w:ascii="宋体" w:hAnsi="宋体" w:cs="宋体"/>
          <w:b/>
          <w:color w:val="auto"/>
          <w:sz w:val="32"/>
          <w:highlight w:val="none"/>
        </w:rPr>
      </w:pPr>
      <w:bookmarkStart w:id="77" w:name="_Toc29638"/>
      <w:bookmarkStart w:id="78" w:name="_Toc30584"/>
      <w:bookmarkStart w:id="79" w:name="_Toc5066"/>
      <w:r>
        <w:rPr>
          <w:rFonts w:hint="eastAsia" w:ascii="宋体" w:hAnsi="宋体" w:cs="宋体"/>
          <w:b/>
          <w:color w:val="auto"/>
          <w:sz w:val="32"/>
          <w:highlight w:val="none"/>
        </w:rPr>
        <w:t>六、资格审查</w:t>
      </w:r>
      <w:bookmarkEnd w:id="77"/>
      <w:bookmarkEnd w:id="78"/>
      <w:bookmarkEnd w:id="79"/>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资格审查</w:t>
      </w:r>
    </w:p>
    <w:p>
      <w:pPr>
        <w:pStyle w:val="113"/>
        <w:numPr>
          <w:ilvl w:val="0"/>
          <w:numId w:val="28"/>
        </w:numPr>
        <w:spacing w:before="0"/>
        <w:ind w:firstLine="480"/>
        <w:rPr>
          <w:rFonts w:hint="eastAsia" w:ascii="宋体" w:hAnsi="宋体" w:cs="宋体"/>
          <w:color w:val="auto"/>
          <w:szCs w:val="24"/>
          <w:highlight w:val="none"/>
        </w:rPr>
      </w:pPr>
      <w:bookmarkStart w:id="80" w:name="_Hlt75236101"/>
      <w:bookmarkEnd w:id="80"/>
      <w:bookmarkStart w:id="81" w:name="_Toc91899902"/>
      <w:r>
        <w:rPr>
          <w:rFonts w:hint="eastAsia" w:ascii="宋体" w:hAnsi="宋体" w:cs="宋体"/>
          <w:color w:val="auto"/>
          <w:szCs w:val="24"/>
          <w:highlight w:val="none"/>
        </w:rPr>
        <w:t>开标后，采购人或采购代理机构将依法对投标人的资格进行审查；</w:t>
      </w:r>
    </w:p>
    <w:p>
      <w:pPr>
        <w:pStyle w:val="113"/>
        <w:numPr>
          <w:ilvl w:val="0"/>
          <w:numId w:val="2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采购人或采购代理机构依据法律法规和招标文件的规定，对投标人的基本资格条件、特定资格条件进行审查。</w:t>
      </w:r>
    </w:p>
    <w:p>
      <w:pPr>
        <w:pStyle w:val="113"/>
        <w:numPr>
          <w:ilvl w:val="0"/>
          <w:numId w:val="28"/>
        </w:numPr>
        <w:wordWrap w:val="0"/>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采购人或采购代理机构将通过“信用中国”网站(www.creditchina.gov.cn)、中国政府采购网(</w:t>
      </w: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"http://www.ccgp.gov.cn" </w:instrText>
      </w:r>
      <w:r>
        <w:rPr>
          <w:rFonts w:hint="eastAsia" w:ascii="宋体" w:hAnsi="宋体" w:cs="宋体"/>
          <w:color w:val="auto"/>
          <w:szCs w:val="24"/>
          <w:highlight w:val="none"/>
        </w:rPr>
        <w:fldChar w:fldCharType="separate"/>
      </w:r>
      <w:r>
        <w:rPr>
          <w:rFonts w:hint="eastAsia" w:ascii="宋体" w:hAnsi="宋体" w:cs="宋体"/>
          <w:color w:val="auto"/>
          <w:szCs w:val="24"/>
          <w:highlight w:val="none"/>
        </w:rPr>
        <w:t>www.ccgp.gov.cn</w:t>
      </w:r>
      <w:r>
        <w:rPr>
          <w:rFonts w:hint="eastAsia" w:ascii="宋体" w:hAnsi="宋体" w:cs="宋体"/>
          <w:color w:val="auto"/>
          <w:szCs w:val="24"/>
          <w:highlight w:val="none"/>
        </w:rPr>
        <w:fldChar w:fldCharType="end"/>
      </w:r>
      <w:r>
        <w:rPr>
          <w:rFonts w:hint="eastAsia" w:ascii="宋体" w:hAnsi="宋体" w:cs="宋体"/>
          <w:color w:val="auto"/>
          <w:szCs w:val="24"/>
          <w:highlight w:val="none"/>
        </w:rPr>
        <w:t>)渠道查询投标人开标后评标前的信用记录，经查询投标人列入失信被执行人名单、重大税收违法案件当事人名单、政府采购严重违法失信行为记录名单的，其投标无效；</w:t>
      </w:r>
    </w:p>
    <w:p>
      <w:pPr>
        <w:pStyle w:val="113"/>
        <w:numPr>
          <w:ilvl w:val="0"/>
          <w:numId w:val="2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采购人或采购代理机构出具《投标人资格审查意见表》，投标人未按照招标文件要求提供与基本资格条件、特定资格条件相应的有效资格证明材料的，视为投标人不具备招标文件中规定的资格要求，其投标无效。</w:t>
      </w:r>
    </w:p>
    <w:p>
      <w:pPr>
        <w:spacing w:line="360" w:lineRule="auto"/>
        <w:jc w:val="center"/>
        <w:rPr>
          <w:rFonts w:hint="eastAsia" w:ascii="宋体" w:hAnsi="宋体" w:cs="宋体"/>
          <w:b/>
          <w:color w:val="auto"/>
          <w:sz w:val="24"/>
          <w:highlight w:val="none"/>
        </w:rPr>
      </w:pPr>
    </w:p>
    <w:p>
      <w:pPr>
        <w:snapToGrid w:val="0"/>
        <w:spacing w:line="360" w:lineRule="auto"/>
        <w:jc w:val="center"/>
        <w:outlineLvl w:val="1"/>
        <w:rPr>
          <w:rFonts w:hint="eastAsia" w:ascii="宋体" w:hAnsi="宋体" w:cs="宋体"/>
          <w:b/>
          <w:color w:val="auto"/>
          <w:sz w:val="32"/>
          <w:highlight w:val="none"/>
        </w:rPr>
      </w:pPr>
      <w:bookmarkStart w:id="82" w:name="_Toc30140"/>
      <w:bookmarkStart w:id="83" w:name="_Toc4192"/>
      <w:bookmarkStart w:id="84" w:name="_Toc3789"/>
      <w:r>
        <w:rPr>
          <w:rFonts w:hint="eastAsia" w:ascii="宋体" w:hAnsi="宋体" w:cs="宋体"/>
          <w:b/>
          <w:color w:val="auto"/>
          <w:sz w:val="32"/>
          <w:highlight w:val="none"/>
        </w:rPr>
        <w:t>七、评标</w:t>
      </w:r>
      <w:bookmarkEnd w:id="81"/>
      <w:bookmarkEnd w:id="82"/>
      <w:bookmarkEnd w:id="83"/>
      <w:bookmarkEnd w:id="84"/>
    </w:p>
    <w:p>
      <w:pPr>
        <w:pStyle w:val="17"/>
        <w:numPr>
          <w:ilvl w:val="0"/>
          <w:numId w:val="11"/>
        </w:numPr>
        <w:spacing w:line="360" w:lineRule="auto"/>
        <w:ind w:firstLine="482" w:firstLineChars="200"/>
        <w:rPr>
          <w:rFonts w:hint="eastAsia" w:hAnsi="宋体" w:cs="宋体"/>
          <w:b/>
          <w:color w:val="auto"/>
          <w:sz w:val="24"/>
          <w:szCs w:val="24"/>
          <w:highlight w:val="none"/>
        </w:rPr>
      </w:pPr>
      <w:bookmarkStart w:id="85" w:name="_Toc91899903"/>
      <w:r>
        <w:rPr>
          <w:rFonts w:hint="eastAsia" w:hAnsi="宋体" w:cs="宋体"/>
          <w:b/>
          <w:color w:val="auto"/>
          <w:sz w:val="24"/>
          <w:szCs w:val="24"/>
          <w:highlight w:val="none"/>
        </w:rPr>
        <w:t>评标原则</w:t>
      </w:r>
    </w:p>
    <w:p>
      <w:pPr>
        <w:pStyle w:val="113"/>
        <w:numPr>
          <w:ilvl w:val="0"/>
          <w:numId w:val="29"/>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竞争优选；</w:t>
      </w:r>
    </w:p>
    <w:p>
      <w:pPr>
        <w:pStyle w:val="113"/>
        <w:numPr>
          <w:ilvl w:val="0"/>
          <w:numId w:val="29"/>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lang w:val="zh-CN"/>
        </w:rPr>
        <w:t>坚持公开</w:t>
      </w:r>
      <w:r>
        <w:rPr>
          <w:rFonts w:hint="eastAsia" w:ascii="宋体" w:hAnsi="宋体" w:cs="宋体"/>
          <w:color w:val="auto"/>
          <w:szCs w:val="24"/>
          <w:highlight w:val="none"/>
        </w:rPr>
        <w:t>、公平、公正、科学合理</w:t>
      </w:r>
      <w:r>
        <w:rPr>
          <w:rFonts w:hint="eastAsia" w:ascii="宋体" w:hAnsi="宋体" w:cs="宋体"/>
          <w:color w:val="auto"/>
          <w:szCs w:val="24"/>
          <w:highlight w:val="none"/>
          <w:lang w:val="zh-CN"/>
        </w:rPr>
        <w:t>的原则；</w:t>
      </w:r>
    </w:p>
    <w:p>
      <w:pPr>
        <w:pStyle w:val="113"/>
        <w:numPr>
          <w:ilvl w:val="0"/>
          <w:numId w:val="29"/>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rPr>
        <w:t>价格合理，方案、产品先进可行；</w:t>
      </w:r>
    </w:p>
    <w:p>
      <w:pPr>
        <w:pStyle w:val="113"/>
        <w:numPr>
          <w:ilvl w:val="0"/>
          <w:numId w:val="29"/>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反对不正当竞争。</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评标组织</w:t>
      </w:r>
    </w:p>
    <w:p>
      <w:pPr>
        <w:pStyle w:val="113"/>
        <w:numPr>
          <w:ilvl w:val="0"/>
          <w:numId w:val="30"/>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评标委员会由采购人代表和评审专家组成，成员人数应当为5人以上单数，其中评审专家不得少于成员总数的三分之二；</w:t>
      </w:r>
    </w:p>
    <w:p>
      <w:pPr>
        <w:pStyle w:val="113"/>
        <w:numPr>
          <w:ilvl w:val="0"/>
          <w:numId w:val="30"/>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评标工作由评标委员会负责，并推选产生的组长主持。</w:t>
      </w:r>
    </w:p>
    <w:p>
      <w:pPr>
        <w:pStyle w:val="113"/>
        <w:numPr>
          <w:ilvl w:val="0"/>
          <w:numId w:val="30"/>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本次评标为在线评标。</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评标办法</w:t>
      </w:r>
    </w:p>
    <w:p>
      <w:pPr>
        <w:spacing w:line="360" w:lineRule="auto"/>
        <w:ind w:firstLine="467" w:firstLineChars="194"/>
        <w:rPr>
          <w:rFonts w:hint="eastAsia" w:ascii="宋体" w:hAnsi="宋体" w:cs="宋体"/>
          <w:b/>
          <w:color w:val="auto"/>
          <w:kern w:val="0"/>
          <w:sz w:val="24"/>
          <w:szCs w:val="20"/>
          <w:highlight w:val="none"/>
        </w:rPr>
      </w:pPr>
      <w:r>
        <w:rPr>
          <w:rFonts w:hint="eastAsia" w:ascii="宋体" w:hAnsi="宋体" w:cs="宋体"/>
          <w:b/>
          <w:color w:val="auto"/>
          <w:kern w:val="0"/>
          <w:sz w:val="24"/>
          <w:szCs w:val="20"/>
          <w:highlight w:val="none"/>
        </w:rPr>
        <w:t>本项目评标办法是综合评分法，具体评标内容及评分标准等详见招标文件第三部分。</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投标文件符合性审查</w:t>
      </w:r>
    </w:p>
    <w:p>
      <w:pPr>
        <w:pStyle w:val="113"/>
        <w:numPr>
          <w:ilvl w:val="0"/>
          <w:numId w:val="31"/>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投标文件符合性审查：评标委员会依据招标文件的规定，从投标文件的有效性、完整性和对招标文件的响应程度进行审查，以确定是否对招标文件的要求作出实质性响应。</w:t>
      </w:r>
    </w:p>
    <w:p>
      <w:pPr>
        <w:pStyle w:val="113"/>
        <w:numPr>
          <w:ilvl w:val="0"/>
          <w:numId w:val="31"/>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实质性响应的投标应该是与招标文件要求的主要条款相符，没有重大偏离或保留的投标。所谓重大偏离或保留是指影响合同的内容、项目建设质量，或者在实质上与招标文件不一致，而且限制了合同中采购人的权利或投标人的义务，纠正这些偏离或保留将会对其他实质性响应要求的投标人的竞争地位产生不公正的影响。评标委员会决定投标文件的响应性只根据投标文件本身的内容，而不寻求外部证据。</w:t>
      </w:r>
    </w:p>
    <w:p>
      <w:pPr>
        <w:pStyle w:val="113"/>
        <w:numPr>
          <w:ilvl w:val="0"/>
          <w:numId w:val="31"/>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 xml:space="preserve">如果投标文件没有实质上响应招标文件的要求，评标委员会将判定无效投标，投标人不得通过修改或撤销不合要求的偏离或保留而使其投标成为实质性响应的投标。 </w:t>
      </w:r>
    </w:p>
    <w:p>
      <w:pPr>
        <w:pStyle w:val="113"/>
        <w:numPr>
          <w:ilvl w:val="0"/>
          <w:numId w:val="31"/>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即按《评分标准》确定的标准，以经审查合格的投标文件进行资信、技术和商务评估，并综合进行比较与评价，根据《浙江省政府采购活动现场组织管理办法》的通知（浙财采监{2015}13号）规定，“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修正原则</w:t>
      </w:r>
    </w:p>
    <w:p>
      <w:pPr>
        <w:pStyle w:val="113"/>
        <w:spacing w:before="0"/>
        <w:ind w:left="420" w:leftChars="200" w:firstLine="0" w:firstLineChars="0"/>
        <w:rPr>
          <w:rFonts w:hint="eastAsia" w:ascii="宋体" w:hAnsi="宋体" w:cs="宋体"/>
          <w:color w:val="auto"/>
          <w:szCs w:val="24"/>
          <w:highlight w:val="none"/>
          <w:lang w:val="zh-CN"/>
        </w:rPr>
      </w:pPr>
      <w:r>
        <w:rPr>
          <w:rFonts w:hint="eastAsia" w:ascii="宋体" w:hAnsi="宋体" w:cs="宋体"/>
          <w:color w:val="auto"/>
          <w:szCs w:val="24"/>
          <w:highlight w:val="none"/>
          <w:lang w:val="zh-CN"/>
        </w:rPr>
        <w:t>投标文件报价出现前后不一致的，按照下列规定修正：</w:t>
      </w:r>
    </w:p>
    <w:p>
      <w:pPr>
        <w:pStyle w:val="113"/>
        <w:numPr>
          <w:ilvl w:val="0"/>
          <w:numId w:val="32"/>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投标文件中投标（开标）一览表内容与投标文件中相应内容不一致的，以投标（开标）一览表为准；</w:t>
      </w:r>
    </w:p>
    <w:p>
      <w:pPr>
        <w:pStyle w:val="113"/>
        <w:numPr>
          <w:ilvl w:val="0"/>
          <w:numId w:val="32"/>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大写金额和小写金额不一致的，以大写金额为准；</w:t>
      </w:r>
    </w:p>
    <w:p>
      <w:pPr>
        <w:pStyle w:val="113"/>
        <w:numPr>
          <w:ilvl w:val="0"/>
          <w:numId w:val="32"/>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单价金额小数点或者百分比有明显错位的，以投标（开标）一览表的总价为准，并修改单价；</w:t>
      </w:r>
    </w:p>
    <w:p>
      <w:pPr>
        <w:pStyle w:val="113"/>
        <w:numPr>
          <w:ilvl w:val="0"/>
          <w:numId w:val="32"/>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总价金额与按单价汇总金额不一致的，以单价金额计算结果为准。</w:t>
      </w:r>
    </w:p>
    <w:p>
      <w:pPr>
        <w:pStyle w:val="113"/>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同时出现两种以上不一致的，按照前款规定的顺序修正。修正后的报价按照财政部公布第87号令 《政府采购产品和服务招标投标管理办法》第五十一条第二款的规定经投标人确认后产生约束力，投标人不确认的，其投标无效。</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投标文件的澄清</w:t>
      </w:r>
    </w:p>
    <w:p>
      <w:pPr>
        <w:pStyle w:val="113"/>
        <w:numPr>
          <w:ilvl w:val="0"/>
          <w:numId w:val="33"/>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评审中因投标文件含义不明、表述不一致或有明显计算错误等内容需要供应商作出澄清、说明或者补正的，评标委员会和供应商应当通过政采云平台交换数据电文，给予供应商提交澄清说明或补正的时间不少于半小时，供应商已经明确表示澄清说明或补正完毕的除外。</w:t>
      </w:r>
    </w:p>
    <w:p>
      <w:pPr>
        <w:pStyle w:val="113"/>
        <w:numPr>
          <w:ilvl w:val="0"/>
          <w:numId w:val="33"/>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供应商通过政采云平台交换的数据电文必须进行电子签章。</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无效投标</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经过审查，凡不符合有关规定，不响应招标文件的实质性条款，存在以下重大偏离之一的，经评标委员会认定，将因未通过资格性或符合性审查而被作为无效投标处理：</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未按照招标文件规定要求签署、盖章的；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 xml:space="preserve">《法定代表人授权书》填写不全、错误、未加盖投标人公章（公章和签字或盖章缺一不可）； </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个体工商户的身份证明与营业执照不一致的；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投标文件中的投标函未加盖投标人的企业公章或填写不全的；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报价一经涂改，未在涂改处加盖投标单位公章或者未经法定代表人或其授权代表签字或盖章的；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因未按规定的格式填写，内容不全或主要实质性内容字迹模糊辨认不清，经评标委员会认定为无法评审的；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出现同一标的物或本次招标产品(服务)内的主要产品(重要组成部分)出现技术、商务描述不一致或前后描述不一致，经评标委员会认定后为无法评审的；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投标详细配置清单响应表不真实填写或弄虚作假的；改变招标文件提供的清单中的计量单位、工程数量；</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对招标产品技术规格未详细应答，致使其技术文件无法评审的；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投标文件有采购人不能接受的条件；</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投标报价超过预算金额或最高限价的；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投标文件“商务技术文件资料”部分中出现《开标一览表》或《投标报价明细表》相关内容的；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评标委员会认定有重大偏差或实质性不响应招标文件要求的，即“★”的关键性指标及技术参数要求负偏离或缺漏；</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color w:val="auto"/>
          <w:sz w:val="24"/>
          <w:szCs w:val="21"/>
          <w:highlight w:val="none"/>
        </w:rPr>
        <w:t>员工工资标准低于绍兴市最低工资标准的；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投标人拒绝按招标文件规定的修正原则对投标文件进行修改的；</w:t>
      </w:r>
    </w:p>
    <w:p>
      <w:pPr>
        <w:numPr>
          <w:ilvl w:val="0"/>
          <w:numId w:val="34"/>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有下列情形之一的，视为投标人串通投标，其投标无效：</w:t>
      </w:r>
    </w:p>
    <w:p>
      <w:pPr>
        <w:numPr>
          <w:ilvl w:val="0"/>
          <w:numId w:val="35"/>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不同投标人的投标文件由同一单位或者个人编制；</w:t>
      </w:r>
    </w:p>
    <w:p>
      <w:pPr>
        <w:numPr>
          <w:ilvl w:val="0"/>
          <w:numId w:val="35"/>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不同投标人委托同一单位或者个人办理投标事宜；</w:t>
      </w:r>
    </w:p>
    <w:p>
      <w:pPr>
        <w:numPr>
          <w:ilvl w:val="0"/>
          <w:numId w:val="35"/>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不同投标人的投标文件载明的项目管理成员或者联系人员为同一人；</w:t>
      </w:r>
    </w:p>
    <w:p>
      <w:pPr>
        <w:numPr>
          <w:ilvl w:val="0"/>
          <w:numId w:val="35"/>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不同投标人的投标文件异常一致或者投标报价呈规律性差异；</w:t>
      </w:r>
    </w:p>
    <w:p>
      <w:pPr>
        <w:numPr>
          <w:ilvl w:val="0"/>
          <w:numId w:val="35"/>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不同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废标</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根据《中华人民共和国政府采购法》第三十六条之规定，在采购中，出现下列情形之一的，应予废标：</w:t>
      </w:r>
    </w:p>
    <w:p>
      <w:pPr>
        <w:pStyle w:val="113"/>
        <w:numPr>
          <w:ilvl w:val="0"/>
          <w:numId w:val="36"/>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符合专业条件的供应商或者对招标文件作实质响应的供应商不足3家的；</w:t>
      </w:r>
    </w:p>
    <w:p>
      <w:pPr>
        <w:pStyle w:val="113"/>
        <w:numPr>
          <w:ilvl w:val="0"/>
          <w:numId w:val="36"/>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出现影响采购公正的违法、违规行为的；</w:t>
      </w:r>
    </w:p>
    <w:p>
      <w:pPr>
        <w:pStyle w:val="113"/>
        <w:numPr>
          <w:ilvl w:val="0"/>
          <w:numId w:val="36"/>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投标人的报价均超过了采购预算，采购人不能支付的；</w:t>
      </w:r>
    </w:p>
    <w:p>
      <w:pPr>
        <w:pStyle w:val="113"/>
        <w:numPr>
          <w:ilvl w:val="0"/>
          <w:numId w:val="36"/>
        </w:numPr>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lang w:val="zh-CN"/>
        </w:rPr>
        <w:t>因重大变故，采购任务取消的。</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废标后，采购代理机构应当将废标理由通知所有投标人。</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bCs/>
          <w:color w:val="auto"/>
          <w:sz w:val="24"/>
          <w:szCs w:val="24"/>
          <w:highlight w:val="none"/>
          <w:lang w:val="zh-CN"/>
        </w:rPr>
        <w:t>中止电子交易活动和</w:t>
      </w:r>
      <w:r>
        <w:rPr>
          <w:rFonts w:hint="eastAsia" w:hAnsi="宋体" w:cs="宋体"/>
          <w:b/>
          <w:color w:val="auto"/>
          <w:sz w:val="24"/>
          <w:szCs w:val="24"/>
          <w:highlight w:val="none"/>
        </w:rPr>
        <w:t>重新组织采购</w:t>
      </w:r>
    </w:p>
    <w:p>
      <w:pPr>
        <w:pStyle w:val="113"/>
        <w:tabs>
          <w:tab w:val="left" w:pos="0"/>
        </w:tabs>
        <w:spacing w:before="0"/>
        <w:ind w:firstLine="480"/>
        <w:rPr>
          <w:rFonts w:hint="eastAsia" w:ascii="宋体" w:hAnsi="宋体" w:cs="宋体"/>
          <w:color w:val="auto"/>
          <w:szCs w:val="24"/>
          <w:highlight w:val="none"/>
          <w:lang w:val="zh-CN"/>
        </w:rPr>
      </w:pPr>
      <w:r>
        <w:rPr>
          <w:rFonts w:hint="eastAsia" w:ascii="宋体" w:hAnsi="宋体" w:cs="宋体"/>
          <w:color w:val="auto"/>
          <w:szCs w:val="24"/>
          <w:highlight w:val="none"/>
        </w:rPr>
        <w:t>26.1</w:t>
      </w:r>
      <w:r>
        <w:rPr>
          <w:rFonts w:hint="eastAsia" w:ascii="宋体" w:hAnsi="宋体" w:cs="宋体"/>
          <w:color w:val="auto"/>
          <w:szCs w:val="24"/>
          <w:highlight w:val="none"/>
          <w:lang w:val="zh-CN"/>
        </w:rPr>
        <w:t>采购过程中出现以下情形，导致电子交易平台无法正常运行，或者无法保证电子交易的公平、公正和安全时，采购组织机构可中止电子交易活动：</w:t>
      </w:r>
    </w:p>
    <w:p>
      <w:pPr>
        <w:numPr>
          <w:ilvl w:val="0"/>
          <w:numId w:val="37"/>
        </w:numPr>
        <w:tabs>
          <w:tab w:val="left" w:pos="0"/>
        </w:tabs>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 xml:space="preserve">电子交易平台发生故障而无法登录访问的； </w:t>
      </w:r>
    </w:p>
    <w:p>
      <w:pPr>
        <w:numPr>
          <w:ilvl w:val="0"/>
          <w:numId w:val="37"/>
        </w:numPr>
        <w:tabs>
          <w:tab w:val="left" w:pos="0"/>
        </w:tabs>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电子交易平台应用或数据库出现错误，不能进行正常操作的；</w:t>
      </w:r>
    </w:p>
    <w:p>
      <w:pPr>
        <w:numPr>
          <w:ilvl w:val="0"/>
          <w:numId w:val="37"/>
        </w:numPr>
        <w:tabs>
          <w:tab w:val="left" w:pos="0"/>
        </w:tabs>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电子交易平台发现严重安全漏洞，有潜在泄密危险的；</w:t>
      </w:r>
    </w:p>
    <w:p>
      <w:pPr>
        <w:numPr>
          <w:ilvl w:val="0"/>
          <w:numId w:val="37"/>
        </w:numPr>
        <w:tabs>
          <w:tab w:val="left" w:pos="0"/>
        </w:tabs>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 xml:space="preserve">病毒发作导致不能进行正常操作的； </w:t>
      </w:r>
    </w:p>
    <w:p>
      <w:pPr>
        <w:numPr>
          <w:ilvl w:val="0"/>
          <w:numId w:val="37"/>
        </w:numPr>
        <w:tabs>
          <w:tab w:val="left" w:pos="0"/>
        </w:tabs>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其他无法保证电子交易的公平、公正和安全的情况。</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26.2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17"/>
        <w:numPr>
          <w:ilvl w:val="0"/>
          <w:numId w:val="11"/>
        </w:numPr>
        <w:spacing w:line="360" w:lineRule="auto"/>
        <w:ind w:firstLine="482" w:firstLineChars="200"/>
        <w:rPr>
          <w:rFonts w:hint="eastAsia" w:hAnsi="宋体" w:cs="宋体"/>
          <w:b/>
          <w:color w:val="auto"/>
          <w:sz w:val="24"/>
          <w:szCs w:val="24"/>
          <w:highlight w:val="none"/>
        </w:rPr>
      </w:pPr>
      <w:r>
        <w:rPr>
          <w:rFonts w:hint="eastAsia" w:hAnsi="宋体" w:cs="宋体"/>
          <w:b/>
          <w:color w:val="auto"/>
          <w:sz w:val="24"/>
          <w:szCs w:val="24"/>
          <w:highlight w:val="none"/>
        </w:rPr>
        <w:t>保密及其它注意事项</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评标是招标工作的重要环节，评标工作由评标委员会独立进行。评标委员会将遵照评标原则，公正、平等地对待所有投标人；</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在开标、投标期间，投标人不得向评委询问评标情况，不得进行旨在影响评标结果的活动。采购人不得在中标人确定前，与投标人就投标价格、投标人案等实质性内容进行谈判；</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为保证定标的公正性，在评标过程中，评委不得与投标人私下交换意见。在招标工作结束后，凡与评标情况有接触的任何人，不得也不应将评标情况扩散出评委人员之外；</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投标人相互之间，或与采购人相互不得串通投标，不得排挤其他投标人的公平竞争，损害采购人或者其他投标人的合法权益；</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评标委员会不向投标人解释未中标的原因；</w:t>
      </w:r>
    </w:p>
    <w:p>
      <w:pPr>
        <w:pStyle w:val="113"/>
        <w:numPr>
          <w:ilvl w:val="0"/>
          <w:numId w:val="38"/>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特别说明：政采云公司如对电子化开标及评审程序有调整的，按调整后的程序操作。</w:t>
      </w:r>
    </w:p>
    <w:p>
      <w:pPr>
        <w:spacing w:line="360" w:lineRule="auto"/>
        <w:jc w:val="center"/>
        <w:rPr>
          <w:rFonts w:hint="eastAsia" w:ascii="宋体" w:hAnsi="宋体" w:cs="宋体"/>
          <w:b/>
          <w:color w:val="auto"/>
          <w:sz w:val="24"/>
          <w:highlight w:val="none"/>
        </w:rPr>
      </w:pPr>
    </w:p>
    <w:p>
      <w:pPr>
        <w:snapToGrid w:val="0"/>
        <w:spacing w:line="360" w:lineRule="auto"/>
        <w:jc w:val="center"/>
        <w:outlineLvl w:val="1"/>
        <w:rPr>
          <w:rFonts w:hint="eastAsia" w:ascii="宋体" w:hAnsi="宋体" w:cs="宋体"/>
          <w:b/>
          <w:color w:val="auto"/>
          <w:sz w:val="32"/>
          <w:highlight w:val="none"/>
        </w:rPr>
      </w:pPr>
      <w:bookmarkStart w:id="86" w:name="_Toc17278"/>
      <w:bookmarkStart w:id="87" w:name="_Toc5901"/>
      <w:bookmarkStart w:id="88" w:name="_Toc3276"/>
      <w:r>
        <w:rPr>
          <w:rFonts w:hint="eastAsia" w:ascii="宋体" w:hAnsi="宋体" w:cs="宋体"/>
          <w:b/>
          <w:color w:val="auto"/>
          <w:sz w:val="32"/>
          <w:highlight w:val="none"/>
        </w:rPr>
        <w:t>八、定 标</w:t>
      </w:r>
      <w:bookmarkEnd w:id="86"/>
      <w:bookmarkEnd w:id="87"/>
      <w:bookmarkEnd w:id="88"/>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28.1项目由评标委员会根据第三章《评标办法与评分标准》规定提出中标候选人排序。</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28.2采购代理机构应当在评标结束后2个工作日内将评标报告送采购人。</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28.3采购人应当自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28.4采购人或者采购代理机构应当自中标人确定之日起2个工作日内，在发布招标公告的网站上公告中标结果，公告期限为1个工作日。在公告中标结果的同时，采购人或者采购代理机构应当向中标人发出中标通知书。</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28.5中标人应携带介绍信自行前往采购代理机构领取中标通知书。</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28.6中标通知书发出后，采购人不得违法改变中标结果，中标人无正当理由不得放弃中标。</w:t>
      </w:r>
    </w:p>
    <w:p>
      <w:pPr>
        <w:pStyle w:val="113"/>
        <w:tabs>
          <w:tab w:val="left" w:pos="0"/>
        </w:tabs>
        <w:spacing w:before="0"/>
        <w:ind w:firstLine="480"/>
        <w:rPr>
          <w:rFonts w:hint="eastAsia" w:ascii="宋体" w:hAnsi="宋体" w:cs="宋体"/>
          <w:color w:val="auto"/>
          <w:szCs w:val="24"/>
          <w:highlight w:val="none"/>
        </w:rPr>
      </w:pPr>
    </w:p>
    <w:p>
      <w:pPr>
        <w:snapToGrid w:val="0"/>
        <w:spacing w:line="360" w:lineRule="auto"/>
        <w:jc w:val="center"/>
        <w:outlineLvl w:val="1"/>
        <w:rPr>
          <w:rFonts w:hint="eastAsia" w:ascii="宋体" w:hAnsi="宋体" w:cs="宋体"/>
          <w:b/>
          <w:color w:val="auto"/>
          <w:sz w:val="32"/>
          <w:highlight w:val="none"/>
        </w:rPr>
      </w:pPr>
      <w:bookmarkStart w:id="89" w:name="_Toc8881"/>
      <w:bookmarkStart w:id="90" w:name="_Toc9785"/>
      <w:bookmarkStart w:id="91" w:name="_Toc11652"/>
      <w:r>
        <w:rPr>
          <w:rFonts w:hint="eastAsia" w:ascii="宋体" w:hAnsi="宋体" w:cs="宋体"/>
          <w:b/>
          <w:color w:val="auto"/>
          <w:sz w:val="32"/>
          <w:highlight w:val="none"/>
        </w:rPr>
        <w:t>九、合同签订及其他</w:t>
      </w:r>
      <w:bookmarkEnd w:id="89"/>
      <w:bookmarkEnd w:id="90"/>
      <w:bookmarkEnd w:id="91"/>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29.1 采购人应当自中标通知书发出之日起30日内，按照招标文件和中标人投标文件的规定，与中标人签订书面合同。所签订的合同不得对招标文件确定的事项和中标人投标文件作实质性修改。</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29.2 中标或者成交供应商拒绝与采购人签订合同的，采购人可以按照评审报告推荐的中标或者成交候选人名单排序，确定下一候选人为中标或者成交供应商，也可以重新开展政府采购活动。</w:t>
      </w:r>
    </w:p>
    <w:p>
      <w:pPr>
        <w:pStyle w:val="17"/>
        <w:spacing w:line="360" w:lineRule="auto"/>
        <w:ind w:left="420" w:leftChars="200"/>
        <w:rPr>
          <w:rFonts w:hint="eastAsia" w:hAnsi="宋体" w:cs="宋体"/>
          <w:b/>
          <w:color w:val="auto"/>
          <w:sz w:val="24"/>
          <w:szCs w:val="24"/>
          <w:highlight w:val="none"/>
        </w:rPr>
      </w:pPr>
      <w:r>
        <w:rPr>
          <w:rFonts w:hint="eastAsia" w:hAnsi="宋体" w:cs="宋体"/>
          <w:b/>
          <w:color w:val="auto"/>
          <w:sz w:val="24"/>
          <w:szCs w:val="24"/>
          <w:highlight w:val="none"/>
        </w:rPr>
        <w:t>30.履约保证金</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采购合同条款要求中标供应商提交履约保证金的，供应商应当以支票、汇票、本票或者金融机构、保险公司、担保机构出具的保函等非现金形式提交。</w:t>
      </w:r>
    </w:p>
    <w:p>
      <w:pPr>
        <w:pStyle w:val="17"/>
        <w:spacing w:line="360" w:lineRule="auto"/>
        <w:ind w:left="420" w:leftChars="200"/>
        <w:rPr>
          <w:rFonts w:hint="eastAsia" w:hAnsi="宋体" w:cs="宋体"/>
          <w:b/>
          <w:color w:val="auto"/>
          <w:sz w:val="24"/>
          <w:szCs w:val="24"/>
          <w:highlight w:val="none"/>
        </w:rPr>
      </w:pPr>
      <w:r>
        <w:rPr>
          <w:rFonts w:hint="eastAsia" w:hAnsi="宋体" w:cs="宋体"/>
          <w:b/>
          <w:color w:val="auto"/>
          <w:sz w:val="24"/>
          <w:szCs w:val="24"/>
          <w:highlight w:val="none"/>
        </w:rPr>
        <w:t>31.验收</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31.2采购人应当及时对采购项目进行验收，采购人可以邀请参加本项目的其他投标人或者第三方机构参与验收，参与验收的投标人或者第三方机构的意见作为验收书的参考资料一并存档。</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31.3采购人负责加强对中标人的履约管理，并按照采购合同约定，及时向中标人支付采购资金。对于中标人违反采购合同约定的行为，采购人应当及时处理，依法追究其违约责任。</w:t>
      </w:r>
    </w:p>
    <w:p>
      <w:pPr>
        <w:pStyle w:val="17"/>
        <w:spacing w:line="360" w:lineRule="auto"/>
        <w:ind w:left="420" w:leftChars="200"/>
        <w:rPr>
          <w:rFonts w:hint="eastAsia" w:hAnsi="宋体" w:cs="宋体"/>
          <w:b/>
          <w:color w:val="auto"/>
          <w:sz w:val="24"/>
          <w:szCs w:val="24"/>
          <w:highlight w:val="none"/>
        </w:rPr>
      </w:pPr>
      <w:r>
        <w:rPr>
          <w:rFonts w:hint="eastAsia" w:hAnsi="宋体" w:cs="宋体"/>
          <w:b/>
          <w:color w:val="auto"/>
          <w:sz w:val="24"/>
          <w:szCs w:val="24"/>
          <w:highlight w:val="none"/>
        </w:rPr>
        <w:t>32.货款结算方式</w:t>
      </w:r>
    </w:p>
    <w:p>
      <w:pPr>
        <w:tabs>
          <w:tab w:val="left" w:pos="0"/>
        </w:tabs>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付款方式：采购人与中标人依照招标文件规定的付款方式进行项目款项的支付。</w:t>
      </w:r>
    </w:p>
    <w:p>
      <w:pPr>
        <w:pStyle w:val="17"/>
        <w:spacing w:line="360" w:lineRule="auto"/>
        <w:ind w:left="420" w:leftChars="200"/>
        <w:rPr>
          <w:rFonts w:hint="eastAsia" w:hAnsi="宋体" w:cs="宋体"/>
          <w:b/>
          <w:color w:val="auto"/>
          <w:sz w:val="24"/>
          <w:szCs w:val="24"/>
          <w:highlight w:val="none"/>
        </w:rPr>
      </w:pPr>
      <w:r>
        <w:rPr>
          <w:rFonts w:hint="eastAsia" w:hAnsi="宋体" w:cs="宋体"/>
          <w:b/>
          <w:color w:val="auto"/>
          <w:sz w:val="24"/>
          <w:szCs w:val="24"/>
          <w:highlight w:val="none"/>
        </w:rPr>
        <w:t>33.售后服务考核</w:t>
      </w:r>
    </w:p>
    <w:p>
      <w:pPr>
        <w:tabs>
          <w:tab w:val="left" w:pos="0"/>
        </w:tabs>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采购代理机构将配合政府采购监管部门不定期对合同的履约情况进行检查，发现弄虚作假，偷工减料，以次充好，达不到国家、行业有关标准和技术文件规定的，一经查实，由政府采购监督管理部门给予相应处罚。</w:t>
      </w:r>
    </w:p>
    <w:p>
      <w:pPr>
        <w:spacing w:line="360" w:lineRule="auto"/>
        <w:jc w:val="center"/>
        <w:rPr>
          <w:rFonts w:hint="eastAsia" w:ascii="宋体" w:hAnsi="宋体" w:cs="宋体"/>
          <w:b/>
          <w:color w:val="auto"/>
          <w:sz w:val="24"/>
          <w:highlight w:val="none"/>
        </w:rPr>
      </w:pPr>
    </w:p>
    <w:p>
      <w:pPr>
        <w:snapToGrid w:val="0"/>
        <w:spacing w:line="360" w:lineRule="auto"/>
        <w:jc w:val="center"/>
        <w:outlineLvl w:val="1"/>
        <w:rPr>
          <w:rFonts w:hint="eastAsia" w:ascii="宋体" w:hAnsi="宋体" w:cs="宋体"/>
          <w:b/>
          <w:color w:val="auto"/>
          <w:sz w:val="32"/>
          <w:highlight w:val="none"/>
        </w:rPr>
      </w:pPr>
      <w:bookmarkStart w:id="92" w:name="_Toc23157"/>
      <w:bookmarkStart w:id="93" w:name="_Toc20138"/>
      <w:bookmarkStart w:id="94" w:name="_Toc1333"/>
      <w:r>
        <w:rPr>
          <w:rFonts w:hint="eastAsia" w:ascii="宋体" w:hAnsi="宋体" w:cs="宋体"/>
          <w:b/>
          <w:color w:val="auto"/>
          <w:sz w:val="32"/>
          <w:highlight w:val="none"/>
        </w:rPr>
        <w:t>十、质疑与投诉</w:t>
      </w:r>
      <w:bookmarkEnd w:id="92"/>
      <w:bookmarkEnd w:id="93"/>
      <w:bookmarkEnd w:id="94"/>
    </w:p>
    <w:p>
      <w:pPr>
        <w:tabs>
          <w:tab w:val="left" w:pos="0"/>
        </w:tabs>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根据《政府采购质疑和投诉办法》(中华人民共和国财政部令第94号)的规定，政府采购供应商可以依法提起质疑和投诉。</w:t>
      </w:r>
    </w:p>
    <w:p>
      <w:pPr>
        <w:pStyle w:val="17"/>
        <w:spacing w:line="360" w:lineRule="auto"/>
        <w:ind w:left="420" w:leftChars="200"/>
        <w:rPr>
          <w:rFonts w:hint="eastAsia" w:hAnsi="宋体" w:cs="宋体"/>
          <w:b/>
          <w:color w:val="auto"/>
          <w:sz w:val="24"/>
          <w:szCs w:val="24"/>
          <w:highlight w:val="none"/>
          <w:lang w:val="zh-CN"/>
        </w:rPr>
      </w:pPr>
      <w:r>
        <w:rPr>
          <w:rFonts w:hint="eastAsia" w:hAnsi="宋体" w:cs="宋体"/>
          <w:b/>
          <w:color w:val="auto"/>
          <w:sz w:val="24"/>
          <w:szCs w:val="24"/>
          <w:highlight w:val="none"/>
        </w:rPr>
        <w:t>34.</w:t>
      </w:r>
      <w:r>
        <w:rPr>
          <w:rFonts w:hint="eastAsia" w:hAnsi="宋体" w:cs="宋体"/>
          <w:b/>
          <w:color w:val="auto"/>
          <w:sz w:val="24"/>
          <w:szCs w:val="24"/>
          <w:highlight w:val="none"/>
          <w:lang w:val="zh-CN"/>
        </w:rPr>
        <w:t>供应商询问</w:t>
      </w:r>
    </w:p>
    <w:p>
      <w:pPr>
        <w:pStyle w:val="17"/>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供应商对政府采购活动事项有疑问的，可以向采购代理机构提出询问，采购代理机构将对供应商依法提出的询问作出答复，但答复的内容不得涉及商业秘密。</w:t>
      </w:r>
    </w:p>
    <w:p>
      <w:pPr>
        <w:pStyle w:val="17"/>
        <w:spacing w:line="360" w:lineRule="auto"/>
        <w:ind w:left="420" w:leftChars="200"/>
        <w:rPr>
          <w:rFonts w:hint="eastAsia" w:hAnsi="宋体" w:cs="宋体"/>
          <w:b/>
          <w:color w:val="auto"/>
          <w:sz w:val="24"/>
          <w:szCs w:val="24"/>
          <w:highlight w:val="none"/>
          <w:lang w:val="zh-CN"/>
        </w:rPr>
      </w:pPr>
      <w:r>
        <w:rPr>
          <w:rFonts w:hint="eastAsia" w:hAnsi="宋体" w:cs="宋体"/>
          <w:b/>
          <w:color w:val="auto"/>
          <w:sz w:val="24"/>
          <w:szCs w:val="24"/>
          <w:highlight w:val="none"/>
        </w:rPr>
        <w:t>35.</w:t>
      </w:r>
      <w:r>
        <w:rPr>
          <w:rFonts w:hint="eastAsia" w:hAnsi="宋体" w:cs="宋体"/>
          <w:b/>
          <w:color w:val="auto"/>
          <w:sz w:val="24"/>
          <w:szCs w:val="24"/>
          <w:highlight w:val="none"/>
          <w:lang w:val="zh-CN"/>
        </w:rPr>
        <w:t>供应商质疑</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35.1供应商认为采购文件、采购过程和成交结果使自己的权益受到损害的，可以在知道或者应知其权益受到损害之日起七个工作日内，以书面形式向采购代理机构提出质疑，否则，采购代理机构不予受理：</w:t>
      </w:r>
    </w:p>
    <w:p>
      <w:pPr>
        <w:pStyle w:val="17"/>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hAnsi="宋体" w:cs="宋体"/>
          <w:b/>
          <w:color w:val="auto"/>
          <w:sz w:val="24"/>
          <w:highlight w:val="none"/>
        </w:rPr>
        <w:t>供应商在法定质疑期内应一次性提出针对同一采购程序环节的质疑，否则质疑将不予受理。</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35.2供应商提交的质疑书需一式三份，由法定代表人签字（或盖章）并加盖单位公章，质疑书至少应包括下列主要内容：</w:t>
      </w:r>
    </w:p>
    <w:p>
      <w:pPr>
        <w:pStyle w:val="17"/>
        <w:numPr>
          <w:ilvl w:val="0"/>
          <w:numId w:val="39"/>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质疑人的名称、地址、邮政编码、联系人、联系电话，以及被质疑人名称及联系方式；</w:t>
      </w:r>
    </w:p>
    <w:p>
      <w:pPr>
        <w:pStyle w:val="17"/>
        <w:numPr>
          <w:ilvl w:val="0"/>
          <w:numId w:val="39"/>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被质疑采购项目名称、编号及采购内容；</w:t>
      </w:r>
    </w:p>
    <w:p>
      <w:pPr>
        <w:pStyle w:val="17"/>
        <w:numPr>
          <w:ilvl w:val="0"/>
          <w:numId w:val="39"/>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具体的质疑事项及事实依据；</w:t>
      </w:r>
    </w:p>
    <w:p>
      <w:pPr>
        <w:pStyle w:val="17"/>
        <w:numPr>
          <w:ilvl w:val="0"/>
          <w:numId w:val="39"/>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认为自己合法权益受到损害或可能受到损害的相关证据材料；</w:t>
      </w:r>
    </w:p>
    <w:p>
      <w:pPr>
        <w:pStyle w:val="17"/>
        <w:numPr>
          <w:ilvl w:val="0"/>
          <w:numId w:val="39"/>
        </w:numPr>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提出质疑的日期。</w:t>
      </w:r>
    </w:p>
    <w:p>
      <w:pPr>
        <w:pStyle w:val="17"/>
        <w:spacing w:line="360" w:lineRule="auto"/>
        <w:ind w:firstLine="482" w:firstLineChars="200"/>
        <w:rPr>
          <w:rFonts w:hint="eastAsia" w:hAnsi="宋体" w:cs="宋体"/>
          <w:b/>
          <w:color w:val="auto"/>
          <w:sz w:val="24"/>
          <w:highlight w:val="none"/>
        </w:rPr>
      </w:pPr>
      <w:r>
        <w:rPr>
          <w:rFonts w:hint="eastAsia" w:hAnsi="宋体" w:cs="宋体"/>
          <w:b/>
          <w:color w:val="auto"/>
          <w:sz w:val="24"/>
          <w:highlight w:val="none"/>
        </w:rPr>
        <w:t>未按上述内容填写的质疑书将不予受理。</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35.3采购代理机构应当在收到供应商的书面质疑后七个工作日内作出答复，并以书面形式通知质疑供应商和其他与质疑处理结果有利害关系的政府采购当事人，但答复的内容不得涉及商业秘密。</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35.4询问或者质疑事项可能影响采购结果的，采购人应当暂停签订合同，已经签订合同的，应当中止履行合同。</w:t>
      </w:r>
    </w:p>
    <w:p>
      <w:pPr>
        <w:pStyle w:val="17"/>
        <w:spacing w:line="360" w:lineRule="auto"/>
        <w:ind w:firstLine="482" w:firstLineChars="200"/>
        <w:rPr>
          <w:rFonts w:hint="eastAsia" w:hAnsi="宋体" w:cs="宋体"/>
          <w:b/>
          <w:color w:val="auto"/>
          <w:sz w:val="24"/>
          <w:szCs w:val="24"/>
          <w:highlight w:val="none"/>
          <w:lang w:val="zh-CN"/>
        </w:rPr>
      </w:pPr>
      <w:r>
        <w:rPr>
          <w:rFonts w:hint="eastAsia" w:hAnsi="宋体" w:cs="宋体"/>
          <w:b/>
          <w:color w:val="auto"/>
          <w:sz w:val="24"/>
          <w:szCs w:val="24"/>
          <w:highlight w:val="none"/>
        </w:rPr>
        <w:t>36</w:t>
      </w:r>
      <w:r>
        <w:rPr>
          <w:rFonts w:hint="eastAsia" w:hAnsi="宋体" w:cs="宋体"/>
          <w:b/>
          <w:color w:val="auto"/>
          <w:sz w:val="24"/>
          <w:szCs w:val="24"/>
          <w:highlight w:val="none"/>
          <w:lang w:val="zh-CN"/>
        </w:rPr>
        <w:t>供应商投诉</w:t>
      </w:r>
    </w:p>
    <w:p>
      <w:pPr>
        <w:pStyle w:val="113"/>
        <w:tabs>
          <w:tab w:val="left" w:pos="0"/>
        </w:tabs>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36.1供应商质疑、投诉应当有明确的请求和必要的证明材料，供应商投诉的事项不得超出已质疑事项的范围，不符合上述要求的投诉将不予受理。</w:t>
      </w:r>
    </w:p>
    <w:p>
      <w:pPr>
        <w:pStyle w:val="113"/>
        <w:tabs>
          <w:tab w:val="left" w:pos="0"/>
        </w:tabs>
        <w:spacing w:before="0"/>
        <w:ind w:firstLine="480"/>
        <w:rPr>
          <w:rFonts w:hint="eastAsia" w:ascii="宋体" w:hAnsi="宋体" w:cs="宋体"/>
          <w:b/>
          <w:color w:val="auto"/>
          <w:highlight w:val="none"/>
        </w:rPr>
      </w:pPr>
      <w:r>
        <w:rPr>
          <w:rFonts w:hint="eastAsia" w:ascii="宋体" w:hAnsi="宋体" w:cs="宋体"/>
          <w:color w:val="auto"/>
          <w:szCs w:val="24"/>
          <w:highlight w:val="none"/>
        </w:rPr>
        <w:t>36.2质疑供应商对采购代理机构的答复不满意或者采购代理机构未在规定的时间内作出答复的，可以在答复期满后十五个工作日内向同级政府采购监督管理部门提出投诉。</w:t>
      </w:r>
    </w:p>
    <w:bookmarkEnd w:id="85"/>
    <w:p>
      <w:pPr>
        <w:pStyle w:val="175"/>
        <w:rPr>
          <w:rFonts w:hint="eastAsia" w:cs="宋体"/>
          <w:color w:val="auto"/>
          <w:highlight w:val="none"/>
        </w:rPr>
      </w:pPr>
    </w:p>
    <w:p>
      <w:pPr>
        <w:pStyle w:val="175"/>
        <w:rPr>
          <w:rFonts w:hint="eastAsia" w:cs="宋体"/>
          <w:color w:val="auto"/>
          <w:highlight w:val="none"/>
        </w:rPr>
      </w:pPr>
    </w:p>
    <w:p>
      <w:pPr>
        <w:pStyle w:val="175"/>
        <w:rPr>
          <w:rFonts w:hint="eastAsia" w:cs="宋体"/>
          <w:color w:val="auto"/>
          <w:highlight w:val="none"/>
        </w:rPr>
      </w:pPr>
    </w:p>
    <w:p>
      <w:pPr>
        <w:pStyle w:val="175"/>
        <w:rPr>
          <w:rFonts w:hint="eastAsia" w:cs="宋体"/>
          <w:color w:val="auto"/>
          <w:highlight w:val="none"/>
        </w:rPr>
      </w:pPr>
    </w:p>
    <w:p>
      <w:pPr>
        <w:pStyle w:val="175"/>
        <w:rPr>
          <w:rFonts w:hint="eastAsia" w:cs="宋体"/>
          <w:color w:val="auto"/>
          <w:highlight w:val="none"/>
        </w:rPr>
      </w:pPr>
    </w:p>
    <w:p>
      <w:pPr>
        <w:spacing w:after="161" w:afterLines="50" w:line="360" w:lineRule="auto"/>
        <w:jc w:val="center"/>
        <w:outlineLvl w:val="0"/>
        <w:rPr>
          <w:rFonts w:hint="eastAsia" w:ascii="宋体" w:hAnsi="宋体" w:cs="宋体"/>
          <w:b/>
          <w:color w:val="auto"/>
          <w:sz w:val="36"/>
          <w:szCs w:val="36"/>
          <w:highlight w:val="none"/>
        </w:rPr>
      </w:pPr>
      <w:bookmarkStart w:id="95" w:name="_Toc20777"/>
      <w:bookmarkStart w:id="96" w:name="_Toc9989"/>
      <w:r>
        <w:rPr>
          <w:rFonts w:hint="eastAsia" w:ascii="宋体" w:hAnsi="宋体" w:cs="宋体"/>
          <w:b/>
          <w:color w:val="auto"/>
          <w:sz w:val="36"/>
          <w:szCs w:val="36"/>
          <w:highlight w:val="none"/>
        </w:rPr>
        <w:br w:type="page"/>
      </w:r>
      <w:bookmarkStart w:id="97" w:name="_Toc13827"/>
      <w:r>
        <w:rPr>
          <w:rFonts w:hint="eastAsia" w:ascii="宋体" w:hAnsi="宋体" w:cs="宋体"/>
          <w:b/>
          <w:color w:val="auto"/>
          <w:sz w:val="36"/>
          <w:szCs w:val="36"/>
          <w:highlight w:val="none"/>
        </w:rPr>
        <w:t xml:space="preserve">第三部分   </w:t>
      </w:r>
      <w:bookmarkEnd w:id="71"/>
      <w:bookmarkEnd w:id="72"/>
      <w:bookmarkStart w:id="98" w:name="_Toc184312124"/>
      <w:bookmarkEnd w:id="98"/>
      <w:bookmarkStart w:id="99" w:name="_Toc184314476"/>
      <w:bookmarkEnd w:id="99"/>
      <w:bookmarkStart w:id="100" w:name="_Toc184314455"/>
      <w:bookmarkEnd w:id="100"/>
      <w:bookmarkStart w:id="101" w:name="_Toc184310295"/>
      <w:bookmarkEnd w:id="101"/>
      <w:bookmarkStart w:id="102" w:name="_Toc184308070"/>
      <w:bookmarkEnd w:id="102"/>
      <w:bookmarkStart w:id="103" w:name="_Toc184313277"/>
      <w:bookmarkEnd w:id="103"/>
      <w:bookmarkStart w:id="104" w:name="_Toc184314459"/>
      <w:bookmarkEnd w:id="104"/>
      <w:bookmarkStart w:id="105" w:name="_Toc184310328"/>
      <w:bookmarkEnd w:id="105"/>
      <w:bookmarkStart w:id="106" w:name="_Toc184312079"/>
      <w:bookmarkEnd w:id="106"/>
      <w:bookmarkStart w:id="107" w:name="_Toc184308088"/>
      <w:bookmarkEnd w:id="107"/>
      <w:bookmarkStart w:id="108" w:name="_Toc184313254"/>
      <w:bookmarkEnd w:id="108"/>
      <w:bookmarkStart w:id="109" w:name="_Toc184312068"/>
      <w:bookmarkEnd w:id="109"/>
      <w:bookmarkStart w:id="110" w:name="_Toc184308063"/>
      <w:bookmarkEnd w:id="110"/>
      <w:bookmarkStart w:id="111" w:name="_Toc184313300"/>
      <w:bookmarkEnd w:id="111"/>
      <w:bookmarkStart w:id="112" w:name="_Toc184313256"/>
      <w:bookmarkEnd w:id="112"/>
      <w:bookmarkStart w:id="113" w:name="_Toc184312089"/>
      <w:bookmarkEnd w:id="113"/>
      <w:bookmarkStart w:id="114" w:name="_Toc184312090"/>
      <w:bookmarkEnd w:id="114"/>
      <w:bookmarkStart w:id="115" w:name="_Toc184310286"/>
      <w:bookmarkEnd w:id="115"/>
      <w:bookmarkStart w:id="116" w:name="_Toc184308064"/>
      <w:bookmarkEnd w:id="116"/>
      <w:bookmarkStart w:id="117" w:name="_Toc184310275"/>
      <w:bookmarkEnd w:id="117"/>
      <w:bookmarkStart w:id="118" w:name="_Toc184310278"/>
      <w:bookmarkEnd w:id="118"/>
      <w:bookmarkStart w:id="119" w:name="_Toc184308083"/>
      <w:bookmarkEnd w:id="119"/>
      <w:bookmarkStart w:id="120" w:name="_Toc184314438"/>
      <w:bookmarkEnd w:id="120"/>
      <w:bookmarkStart w:id="121" w:name="_Toc184310331"/>
      <w:bookmarkEnd w:id="121"/>
      <w:bookmarkStart w:id="122" w:name="_Toc184314465"/>
      <w:bookmarkEnd w:id="122"/>
      <w:bookmarkStart w:id="123" w:name="_Toc184310318"/>
      <w:bookmarkEnd w:id="123"/>
      <w:bookmarkStart w:id="124" w:name="_Toc184310330"/>
      <w:bookmarkEnd w:id="124"/>
      <w:bookmarkStart w:id="125" w:name="_Toc184312114"/>
      <w:bookmarkEnd w:id="125"/>
      <w:bookmarkStart w:id="126" w:name="_Toc184310287"/>
      <w:bookmarkEnd w:id="126"/>
      <w:bookmarkStart w:id="127" w:name="_Toc184314468"/>
      <w:bookmarkEnd w:id="127"/>
      <w:bookmarkStart w:id="128" w:name="_Toc184308039"/>
      <w:bookmarkEnd w:id="128"/>
      <w:bookmarkStart w:id="129" w:name="_Toc184312099"/>
      <w:bookmarkEnd w:id="129"/>
      <w:bookmarkStart w:id="130" w:name="_Toc184312116"/>
      <w:bookmarkEnd w:id="130"/>
      <w:bookmarkStart w:id="131" w:name="_Toc184310300"/>
      <w:bookmarkEnd w:id="131"/>
      <w:bookmarkStart w:id="132" w:name="_Toc184314422"/>
      <w:bookmarkEnd w:id="132"/>
      <w:bookmarkStart w:id="133" w:name="_Toc184310326"/>
      <w:bookmarkEnd w:id="133"/>
      <w:bookmarkStart w:id="134" w:name="_Toc184308057"/>
      <w:bookmarkEnd w:id="134"/>
      <w:bookmarkStart w:id="135" w:name="_Toc184313290"/>
      <w:bookmarkEnd w:id="135"/>
      <w:bookmarkStart w:id="136" w:name="_Toc184308051"/>
      <w:bookmarkEnd w:id="136"/>
      <w:bookmarkStart w:id="137" w:name="_Toc184310296"/>
      <w:bookmarkEnd w:id="137"/>
      <w:bookmarkStart w:id="138" w:name="_Toc184310290"/>
      <w:bookmarkEnd w:id="138"/>
      <w:bookmarkStart w:id="139" w:name="_Toc184313286"/>
      <w:bookmarkEnd w:id="139"/>
      <w:bookmarkStart w:id="140" w:name="_Toc184310309"/>
      <w:bookmarkEnd w:id="140"/>
      <w:bookmarkStart w:id="141" w:name="_Toc184313284"/>
      <w:bookmarkEnd w:id="141"/>
      <w:bookmarkStart w:id="142" w:name="_Toc184310314"/>
      <w:bookmarkEnd w:id="142"/>
      <w:bookmarkStart w:id="143" w:name="_Toc184310333"/>
      <w:bookmarkEnd w:id="143"/>
      <w:bookmarkStart w:id="144" w:name="_Toc184308098"/>
      <w:bookmarkEnd w:id="144"/>
      <w:bookmarkStart w:id="145" w:name="_Toc184314453"/>
      <w:bookmarkEnd w:id="145"/>
      <w:bookmarkStart w:id="146" w:name="_Toc184312088"/>
      <w:bookmarkEnd w:id="146"/>
      <w:bookmarkStart w:id="147" w:name="_Toc184314442"/>
      <w:bookmarkEnd w:id="147"/>
      <w:bookmarkStart w:id="148" w:name="_Toc184312083"/>
      <w:bookmarkEnd w:id="148"/>
      <w:bookmarkStart w:id="149" w:name="_Toc184314458"/>
      <w:bookmarkEnd w:id="149"/>
      <w:bookmarkStart w:id="150" w:name="_Toc184313249"/>
      <w:bookmarkEnd w:id="150"/>
      <w:bookmarkStart w:id="151" w:name="_Toc184310316"/>
      <w:bookmarkEnd w:id="151"/>
      <w:bookmarkStart w:id="152" w:name="_Toc184313305"/>
      <w:bookmarkEnd w:id="152"/>
      <w:bookmarkStart w:id="153" w:name="_Toc184314434"/>
      <w:bookmarkEnd w:id="153"/>
      <w:bookmarkStart w:id="154" w:name="_Toc184312111"/>
      <w:bookmarkEnd w:id="154"/>
      <w:bookmarkStart w:id="155" w:name="_Toc184310339"/>
      <w:bookmarkEnd w:id="155"/>
      <w:bookmarkStart w:id="156" w:name="_Toc184313294"/>
      <w:bookmarkEnd w:id="156"/>
      <w:bookmarkStart w:id="157" w:name="_Toc184308104"/>
      <w:bookmarkEnd w:id="157"/>
      <w:bookmarkStart w:id="158" w:name="_Toc184312127"/>
      <w:bookmarkEnd w:id="158"/>
      <w:bookmarkStart w:id="159" w:name="_Toc184312121"/>
      <w:bookmarkEnd w:id="159"/>
      <w:bookmarkStart w:id="160" w:name="_Toc184312134"/>
      <w:bookmarkEnd w:id="160"/>
      <w:bookmarkStart w:id="161" w:name="_Toc184312107"/>
      <w:bookmarkEnd w:id="161"/>
      <w:bookmarkStart w:id="162" w:name="_Toc184310337"/>
      <w:bookmarkEnd w:id="162"/>
      <w:bookmarkStart w:id="163" w:name="_Toc184308069"/>
      <w:bookmarkEnd w:id="163"/>
      <w:bookmarkStart w:id="164" w:name="_Toc184314457"/>
      <w:bookmarkEnd w:id="164"/>
      <w:bookmarkStart w:id="165" w:name="_Toc184314445"/>
      <w:bookmarkEnd w:id="165"/>
      <w:bookmarkStart w:id="166" w:name="_Toc184310311"/>
      <w:bookmarkEnd w:id="166"/>
      <w:bookmarkStart w:id="167" w:name="_Toc184314477"/>
      <w:bookmarkEnd w:id="167"/>
      <w:bookmarkStart w:id="168" w:name="_Toc184314464"/>
      <w:bookmarkEnd w:id="168"/>
      <w:bookmarkStart w:id="169" w:name="_Toc184308052"/>
      <w:bookmarkEnd w:id="169"/>
      <w:bookmarkStart w:id="170" w:name="_Toc184310306"/>
      <w:bookmarkEnd w:id="170"/>
      <w:bookmarkStart w:id="171" w:name="_Toc184313270"/>
      <w:bookmarkEnd w:id="171"/>
      <w:bookmarkStart w:id="172" w:name="_Toc184312098"/>
      <w:bookmarkEnd w:id="172"/>
      <w:bookmarkStart w:id="173" w:name="_Toc184313247"/>
      <w:bookmarkEnd w:id="173"/>
      <w:bookmarkStart w:id="174" w:name="_Toc184314424"/>
      <w:bookmarkEnd w:id="174"/>
      <w:bookmarkStart w:id="175" w:name="_Toc184313303"/>
      <w:bookmarkEnd w:id="175"/>
      <w:bookmarkStart w:id="176" w:name="_Toc184312080"/>
      <w:bookmarkEnd w:id="176"/>
      <w:bookmarkStart w:id="177" w:name="_Toc184314417"/>
      <w:bookmarkEnd w:id="177"/>
      <w:bookmarkStart w:id="178" w:name="_Toc184314439"/>
      <w:bookmarkEnd w:id="178"/>
      <w:bookmarkStart w:id="179" w:name="_Toc184314479"/>
      <w:bookmarkEnd w:id="179"/>
      <w:bookmarkStart w:id="180" w:name="_Toc184310301"/>
      <w:bookmarkEnd w:id="180"/>
      <w:bookmarkStart w:id="181" w:name="_Toc184314429"/>
      <w:bookmarkEnd w:id="181"/>
      <w:bookmarkStart w:id="182" w:name="_Toc184314426"/>
      <w:bookmarkEnd w:id="182"/>
      <w:bookmarkStart w:id="183" w:name="_Toc184313288"/>
      <w:bookmarkEnd w:id="183"/>
      <w:bookmarkStart w:id="184" w:name="_Toc184310279"/>
      <w:bookmarkEnd w:id="184"/>
      <w:bookmarkStart w:id="185" w:name="_Toc184308053"/>
      <w:bookmarkEnd w:id="185"/>
      <w:bookmarkStart w:id="186" w:name="_Toc184312073"/>
      <w:bookmarkEnd w:id="186"/>
      <w:bookmarkStart w:id="187" w:name="_Toc184308106"/>
      <w:bookmarkEnd w:id="187"/>
      <w:bookmarkStart w:id="188" w:name="_Toc184310288"/>
      <w:bookmarkEnd w:id="188"/>
      <w:bookmarkStart w:id="189" w:name="_Toc184312132"/>
      <w:bookmarkEnd w:id="189"/>
      <w:bookmarkStart w:id="190" w:name="_Toc184313260"/>
      <w:bookmarkEnd w:id="190"/>
      <w:bookmarkStart w:id="191" w:name="_Toc184308055"/>
      <w:bookmarkEnd w:id="191"/>
      <w:bookmarkStart w:id="192" w:name="_Toc184310327"/>
      <w:bookmarkEnd w:id="192"/>
      <w:bookmarkStart w:id="193" w:name="_Toc184313306"/>
      <w:bookmarkEnd w:id="193"/>
      <w:bookmarkStart w:id="194" w:name="_Toc184312113"/>
      <w:bookmarkEnd w:id="194"/>
      <w:bookmarkStart w:id="195" w:name="_Toc184312112"/>
      <w:bookmarkEnd w:id="195"/>
      <w:bookmarkStart w:id="196" w:name="_Toc184310319"/>
      <w:bookmarkEnd w:id="196"/>
      <w:bookmarkStart w:id="197" w:name="_Toc184313293"/>
      <w:bookmarkEnd w:id="197"/>
      <w:bookmarkStart w:id="198" w:name="_Toc184312139"/>
      <w:bookmarkEnd w:id="198"/>
      <w:bookmarkStart w:id="199" w:name="_Toc184312076"/>
      <w:bookmarkEnd w:id="199"/>
      <w:bookmarkStart w:id="200" w:name="_Toc184312105"/>
      <w:bookmarkEnd w:id="200"/>
      <w:bookmarkStart w:id="201" w:name="_Toc184313310"/>
      <w:bookmarkEnd w:id="201"/>
      <w:bookmarkStart w:id="202" w:name="_Toc184313278"/>
      <w:bookmarkEnd w:id="202"/>
      <w:bookmarkStart w:id="203" w:name="_Toc184312123"/>
      <w:bookmarkEnd w:id="203"/>
      <w:bookmarkStart w:id="204" w:name="_Toc184310312"/>
      <w:bookmarkEnd w:id="204"/>
      <w:bookmarkStart w:id="205" w:name="_Toc184308066"/>
      <w:bookmarkEnd w:id="205"/>
      <w:bookmarkStart w:id="206" w:name="_Toc184313273"/>
      <w:bookmarkEnd w:id="206"/>
      <w:bookmarkStart w:id="207" w:name="_Toc184314460"/>
      <w:bookmarkEnd w:id="207"/>
      <w:bookmarkStart w:id="208" w:name="_Toc184313268"/>
      <w:bookmarkEnd w:id="208"/>
      <w:bookmarkStart w:id="209" w:name="_Toc184312072"/>
      <w:bookmarkEnd w:id="209"/>
      <w:bookmarkStart w:id="210" w:name="_Toc184314430"/>
      <w:bookmarkEnd w:id="210"/>
      <w:bookmarkStart w:id="211" w:name="_Toc184308108"/>
      <w:bookmarkEnd w:id="211"/>
      <w:bookmarkStart w:id="212" w:name="_Toc184312074"/>
      <w:bookmarkEnd w:id="212"/>
      <w:bookmarkStart w:id="213" w:name="_Toc184314411"/>
      <w:bookmarkEnd w:id="213"/>
      <w:bookmarkStart w:id="214" w:name="_Toc184310273"/>
      <w:bookmarkEnd w:id="214"/>
      <w:bookmarkStart w:id="215" w:name="_Toc184314441"/>
      <w:bookmarkEnd w:id="215"/>
      <w:bookmarkStart w:id="216" w:name="_Toc184308091"/>
      <w:bookmarkEnd w:id="216"/>
      <w:bookmarkStart w:id="217" w:name="_Toc184312082"/>
      <w:bookmarkEnd w:id="217"/>
      <w:bookmarkStart w:id="218" w:name="_Toc184313248"/>
      <w:bookmarkEnd w:id="218"/>
      <w:bookmarkStart w:id="219" w:name="_Toc184314423"/>
      <w:bookmarkEnd w:id="219"/>
      <w:bookmarkStart w:id="220" w:name="_Toc184310284"/>
      <w:bookmarkEnd w:id="220"/>
      <w:bookmarkStart w:id="221" w:name="_Toc184313280"/>
      <w:bookmarkEnd w:id="221"/>
      <w:bookmarkStart w:id="222" w:name="_Toc184312092"/>
      <w:bookmarkEnd w:id="222"/>
      <w:bookmarkStart w:id="223" w:name="_Toc184308045"/>
      <w:bookmarkEnd w:id="223"/>
      <w:bookmarkStart w:id="224" w:name="_Toc184308076"/>
      <w:bookmarkEnd w:id="224"/>
      <w:bookmarkStart w:id="225" w:name="_Toc184313245"/>
      <w:bookmarkEnd w:id="225"/>
      <w:bookmarkStart w:id="226" w:name="_Toc184313285"/>
      <w:bookmarkEnd w:id="226"/>
      <w:bookmarkStart w:id="227" w:name="_Toc184308082"/>
      <w:bookmarkEnd w:id="227"/>
      <w:bookmarkStart w:id="228" w:name="_Toc184312091"/>
      <w:bookmarkEnd w:id="228"/>
      <w:bookmarkStart w:id="229" w:name="_Toc184310276"/>
      <w:bookmarkEnd w:id="229"/>
      <w:bookmarkStart w:id="230" w:name="_Toc184312096"/>
      <w:bookmarkEnd w:id="230"/>
      <w:bookmarkStart w:id="231" w:name="_Toc184313264"/>
      <w:bookmarkEnd w:id="231"/>
      <w:bookmarkStart w:id="232" w:name="_Toc184313246"/>
      <w:bookmarkEnd w:id="232"/>
      <w:bookmarkStart w:id="233" w:name="_Toc184312102"/>
      <w:bookmarkEnd w:id="233"/>
      <w:bookmarkStart w:id="234" w:name="_Toc184312129"/>
      <w:bookmarkEnd w:id="234"/>
      <w:bookmarkStart w:id="235" w:name="_Toc184310313"/>
      <w:bookmarkEnd w:id="235"/>
      <w:bookmarkStart w:id="236" w:name="_Toc184312117"/>
      <w:bookmarkEnd w:id="236"/>
      <w:bookmarkStart w:id="237" w:name="_Toc184314412"/>
      <w:bookmarkEnd w:id="237"/>
      <w:bookmarkStart w:id="238" w:name="_Toc184308080"/>
      <w:bookmarkEnd w:id="238"/>
      <w:bookmarkStart w:id="239" w:name="_Toc184312106"/>
      <w:bookmarkEnd w:id="239"/>
      <w:bookmarkStart w:id="240" w:name="_Toc184312077"/>
      <w:bookmarkEnd w:id="240"/>
      <w:bookmarkStart w:id="241" w:name="_Toc184313238"/>
      <w:bookmarkEnd w:id="241"/>
      <w:bookmarkStart w:id="242" w:name="_Toc184313255"/>
      <w:bookmarkEnd w:id="242"/>
      <w:bookmarkStart w:id="243" w:name="_Toc184314452"/>
      <w:bookmarkEnd w:id="243"/>
      <w:bookmarkStart w:id="244" w:name="_Toc184310334"/>
      <w:bookmarkEnd w:id="244"/>
      <w:bookmarkStart w:id="245" w:name="_Toc184312138"/>
      <w:bookmarkEnd w:id="245"/>
      <w:bookmarkStart w:id="246" w:name="_Toc184313296"/>
      <w:bookmarkEnd w:id="246"/>
      <w:bookmarkStart w:id="247" w:name="_Toc184313262"/>
      <w:bookmarkEnd w:id="247"/>
      <w:bookmarkStart w:id="248" w:name="_Toc184308072"/>
      <w:bookmarkEnd w:id="248"/>
      <w:bookmarkStart w:id="249" w:name="_Toc184313241"/>
      <w:bookmarkEnd w:id="249"/>
      <w:bookmarkStart w:id="250" w:name="_Toc184310303"/>
      <w:bookmarkEnd w:id="250"/>
      <w:bookmarkStart w:id="251" w:name="_Toc184312122"/>
      <w:bookmarkEnd w:id="251"/>
      <w:bookmarkStart w:id="252" w:name="_Toc184310292"/>
      <w:bookmarkEnd w:id="252"/>
      <w:bookmarkStart w:id="253" w:name="_Toc184314461"/>
      <w:bookmarkEnd w:id="253"/>
      <w:bookmarkStart w:id="254" w:name="_Toc184308097"/>
      <w:bookmarkEnd w:id="254"/>
      <w:bookmarkStart w:id="255" w:name="_Toc184314473"/>
      <w:bookmarkEnd w:id="255"/>
      <w:bookmarkStart w:id="256" w:name="_Toc184310317"/>
      <w:bookmarkEnd w:id="256"/>
      <w:bookmarkStart w:id="257" w:name="_Toc184314428"/>
      <w:bookmarkEnd w:id="257"/>
      <w:bookmarkStart w:id="258" w:name="_Toc184313250"/>
      <w:bookmarkEnd w:id="258"/>
      <w:bookmarkStart w:id="259" w:name="_Toc184314469"/>
      <w:bookmarkEnd w:id="259"/>
      <w:bookmarkStart w:id="260" w:name="_Toc184313258"/>
      <w:bookmarkEnd w:id="260"/>
      <w:bookmarkStart w:id="261" w:name="_Toc184313274"/>
      <w:bookmarkEnd w:id="261"/>
      <w:bookmarkStart w:id="262" w:name="_Toc184310324"/>
      <w:bookmarkEnd w:id="262"/>
      <w:bookmarkStart w:id="263" w:name="_Toc184308056"/>
      <w:bookmarkEnd w:id="263"/>
      <w:bookmarkStart w:id="264" w:name="_Toc184308040"/>
      <w:bookmarkEnd w:id="264"/>
      <w:bookmarkStart w:id="265" w:name="_Toc184308086"/>
      <w:bookmarkEnd w:id="265"/>
      <w:bookmarkStart w:id="266" w:name="_Toc184312086"/>
      <w:bookmarkEnd w:id="266"/>
      <w:bookmarkStart w:id="267" w:name="_Toc184310322"/>
      <w:bookmarkEnd w:id="267"/>
      <w:bookmarkStart w:id="268" w:name="_Toc184314410"/>
      <w:bookmarkEnd w:id="268"/>
      <w:bookmarkStart w:id="269" w:name="_Toc184314437"/>
      <w:bookmarkEnd w:id="269"/>
      <w:bookmarkStart w:id="270" w:name="_Toc184313257"/>
      <w:bookmarkEnd w:id="270"/>
      <w:bookmarkStart w:id="271" w:name="_Toc184314414"/>
      <w:bookmarkEnd w:id="271"/>
      <w:bookmarkStart w:id="272" w:name="_Toc184314454"/>
      <w:bookmarkEnd w:id="272"/>
      <w:bookmarkStart w:id="273" w:name="_Toc184312095"/>
      <w:bookmarkEnd w:id="273"/>
      <w:bookmarkStart w:id="274" w:name="_Toc184312137"/>
      <w:bookmarkEnd w:id="274"/>
      <w:bookmarkStart w:id="275" w:name="_Toc184312130"/>
      <w:bookmarkEnd w:id="275"/>
      <w:bookmarkStart w:id="276" w:name="_Toc184314413"/>
      <w:bookmarkEnd w:id="276"/>
      <w:bookmarkStart w:id="277" w:name="_Toc184308093"/>
      <w:bookmarkEnd w:id="277"/>
      <w:bookmarkStart w:id="278" w:name="_Toc184313243"/>
      <w:bookmarkEnd w:id="278"/>
      <w:bookmarkStart w:id="279" w:name="_Toc184308100"/>
      <w:bookmarkEnd w:id="279"/>
      <w:bookmarkStart w:id="280" w:name="_Toc184308073"/>
      <w:bookmarkEnd w:id="280"/>
      <w:bookmarkStart w:id="281" w:name="_Toc184310297"/>
      <w:bookmarkEnd w:id="281"/>
      <w:bookmarkStart w:id="282" w:name="_Toc184314480"/>
      <w:bookmarkEnd w:id="282"/>
      <w:bookmarkStart w:id="283" w:name="_Toc184310280"/>
      <w:bookmarkEnd w:id="283"/>
      <w:bookmarkStart w:id="284" w:name="_Toc184313307"/>
      <w:bookmarkEnd w:id="284"/>
      <w:bookmarkStart w:id="285" w:name="_Toc184308094"/>
      <w:bookmarkEnd w:id="285"/>
      <w:bookmarkStart w:id="286" w:name="_Toc184313251"/>
      <w:bookmarkEnd w:id="286"/>
      <w:bookmarkStart w:id="287" w:name="_Toc184312070"/>
      <w:bookmarkEnd w:id="287"/>
      <w:bookmarkStart w:id="288" w:name="_Toc184308095"/>
      <w:bookmarkEnd w:id="288"/>
      <w:bookmarkStart w:id="289" w:name="_Toc184310302"/>
      <w:bookmarkEnd w:id="289"/>
      <w:bookmarkStart w:id="290" w:name="_Toc184310274"/>
      <w:bookmarkEnd w:id="290"/>
      <w:bookmarkStart w:id="291" w:name="_Toc184313261"/>
      <w:bookmarkEnd w:id="291"/>
      <w:bookmarkStart w:id="292" w:name="_Toc184310336"/>
      <w:bookmarkEnd w:id="292"/>
      <w:bookmarkStart w:id="293" w:name="_Toc184310343"/>
      <w:bookmarkEnd w:id="293"/>
      <w:bookmarkStart w:id="294" w:name="_Toc184314436"/>
      <w:bookmarkEnd w:id="294"/>
      <w:bookmarkStart w:id="295" w:name="_Toc184314472"/>
      <w:bookmarkEnd w:id="295"/>
      <w:bookmarkStart w:id="296" w:name="_Toc184312104"/>
      <w:bookmarkEnd w:id="296"/>
      <w:bookmarkStart w:id="297" w:name="_Toc184312069"/>
      <w:bookmarkEnd w:id="297"/>
      <w:bookmarkStart w:id="298" w:name="_Toc184313271"/>
      <w:bookmarkEnd w:id="298"/>
      <w:bookmarkStart w:id="299" w:name="_Toc184310293"/>
      <w:bookmarkEnd w:id="299"/>
      <w:bookmarkStart w:id="300" w:name="_Toc184314475"/>
      <w:bookmarkEnd w:id="300"/>
      <w:bookmarkStart w:id="301" w:name="_Toc184312109"/>
      <w:bookmarkEnd w:id="301"/>
      <w:bookmarkStart w:id="302" w:name="_Toc184312081"/>
      <w:bookmarkEnd w:id="302"/>
      <w:bookmarkStart w:id="303" w:name="_Toc184313291"/>
      <w:bookmarkEnd w:id="303"/>
      <w:bookmarkStart w:id="304" w:name="_Toc184308046"/>
      <w:bookmarkEnd w:id="304"/>
      <w:bookmarkStart w:id="305" w:name="_Toc184310282"/>
      <w:bookmarkEnd w:id="305"/>
      <w:bookmarkStart w:id="306" w:name="_Toc184314443"/>
      <w:bookmarkEnd w:id="306"/>
      <w:bookmarkStart w:id="307" w:name="_Toc184313279"/>
      <w:bookmarkEnd w:id="307"/>
      <w:bookmarkStart w:id="308" w:name="_Toc184308077"/>
      <w:bookmarkEnd w:id="308"/>
      <w:bookmarkStart w:id="309" w:name="_Toc184313282"/>
      <w:bookmarkEnd w:id="309"/>
      <w:bookmarkStart w:id="310" w:name="_Toc184308090"/>
      <w:bookmarkEnd w:id="310"/>
      <w:bookmarkStart w:id="311" w:name="_Toc184312085"/>
      <w:bookmarkEnd w:id="311"/>
      <w:bookmarkStart w:id="312" w:name="_Toc184312115"/>
      <w:bookmarkEnd w:id="312"/>
      <w:bookmarkStart w:id="313" w:name="_Toc184310338"/>
      <w:bookmarkEnd w:id="313"/>
      <w:bookmarkStart w:id="314" w:name="_Toc184314471"/>
      <w:bookmarkEnd w:id="314"/>
      <w:bookmarkStart w:id="315" w:name="_Toc184313244"/>
      <w:bookmarkEnd w:id="315"/>
      <w:bookmarkStart w:id="316" w:name="_Toc184310325"/>
      <w:bookmarkEnd w:id="316"/>
      <w:bookmarkStart w:id="317" w:name="_Toc184312067"/>
      <w:bookmarkEnd w:id="317"/>
      <w:bookmarkStart w:id="318" w:name="_Toc184308062"/>
      <w:bookmarkEnd w:id="318"/>
      <w:bookmarkStart w:id="319" w:name="_Toc184308043"/>
      <w:bookmarkEnd w:id="319"/>
      <w:bookmarkStart w:id="320" w:name="_Toc184314449"/>
      <w:bookmarkEnd w:id="320"/>
      <w:bookmarkStart w:id="321" w:name="_Toc184310298"/>
      <w:bookmarkEnd w:id="321"/>
      <w:bookmarkStart w:id="322" w:name="_Toc184310281"/>
      <w:bookmarkEnd w:id="322"/>
      <w:bookmarkStart w:id="323" w:name="_Toc184308042"/>
      <w:bookmarkEnd w:id="323"/>
      <w:bookmarkStart w:id="324" w:name="_Toc184308067"/>
      <w:bookmarkEnd w:id="324"/>
      <w:bookmarkStart w:id="325" w:name="_Toc184314419"/>
      <w:bookmarkEnd w:id="325"/>
      <w:bookmarkStart w:id="326" w:name="_Toc184313259"/>
      <w:bookmarkEnd w:id="326"/>
      <w:bookmarkStart w:id="327" w:name="_Toc184308089"/>
      <w:bookmarkEnd w:id="327"/>
      <w:bookmarkStart w:id="328" w:name="_Toc184313266"/>
      <w:bookmarkEnd w:id="328"/>
      <w:bookmarkStart w:id="329" w:name="_Toc184314444"/>
      <w:bookmarkEnd w:id="329"/>
      <w:bookmarkStart w:id="330" w:name="_Toc184310291"/>
      <w:bookmarkEnd w:id="330"/>
      <w:bookmarkStart w:id="331" w:name="_Toc184312125"/>
      <w:bookmarkEnd w:id="331"/>
      <w:bookmarkStart w:id="332" w:name="_Toc184308107"/>
      <w:bookmarkEnd w:id="332"/>
      <w:bookmarkStart w:id="333" w:name="_Toc184308036"/>
      <w:bookmarkEnd w:id="333"/>
      <w:bookmarkStart w:id="334" w:name="_Toc184314466"/>
      <w:bookmarkEnd w:id="334"/>
      <w:bookmarkStart w:id="335" w:name="_Toc184308078"/>
      <w:bookmarkEnd w:id="335"/>
      <w:bookmarkStart w:id="336" w:name="_Toc184312071"/>
      <w:bookmarkEnd w:id="336"/>
      <w:bookmarkStart w:id="337" w:name="_Toc184314431"/>
      <w:bookmarkEnd w:id="337"/>
      <w:bookmarkStart w:id="338" w:name="_Toc184313252"/>
      <w:bookmarkEnd w:id="338"/>
      <w:bookmarkStart w:id="339" w:name="_Toc184308074"/>
      <w:bookmarkEnd w:id="339"/>
      <w:bookmarkStart w:id="340" w:name="_Toc184313299"/>
      <w:bookmarkEnd w:id="340"/>
      <w:bookmarkStart w:id="341" w:name="_Toc184310299"/>
      <w:bookmarkEnd w:id="341"/>
      <w:bookmarkStart w:id="342" w:name="_Toc184308059"/>
      <w:bookmarkEnd w:id="342"/>
      <w:bookmarkStart w:id="343" w:name="_Toc184314478"/>
      <w:bookmarkEnd w:id="343"/>
      <w:bookmarkStart w:id="344" w:name="_Toc184314474"/>
      <w:bookmarkEnd w:id="344"/>
      <w:bookmarkStart w:id="345" w:name="_Toc184314420"/>
      <w:bookmarkEnd w:id="345"/>
      <w:bookmarkStart w:id="346" w:name="_Toc184310272"/>
      <w:bookmarkEnd w:id="346"/>
      <w:bookmarkStart w:id="347" w:name="_Toc184313275"/>
      <w:bookmarkEnd w:id="347"/>
      <w:bookmarkStart w:id="348" w:name="_Toc184310304"/>
      <w:bookmarkEnd w:id="348"/>
      <w:bookmarkStart w:id="349" w:name="_Toc184312126"/>
      <w:bookmarkEnd w:id="349"/>
      <w:bookmarkStart w:id="350" w:name="_Toc184313267"/>
      <w:bookmarkEnd w:id="350"/>
      <w:bookmarkStart w:id="351" w:name="_Toc184308065"/>
      <w:bookmarkEnd w:id="351"/>
      <w:bookmarkStart w:id="352" w:name="_Toc184308061"/>
      <w:bookmarkEnd w:id="352"/>
      <w:bookmarkStart w:id="353" w:name="_Toc184312093"/>
      <w:bookmarkEnd w:id="353"/>
      <w:bookmarkStart w:id="354" w:name="_Toc184314416"/>
      <w:bookmarkEnd w:id="354"/>
      <w:bookmarkStart w:id="355" w:name="_Toc184314433"/>
      <w:bookmarkEnd w:id="355"/>
      <w:bookmarkStart w:id="356" w:name="_Toc184312078"/>
      <w:bookmarkEnd w:id="356"/>
      <w:bookmarkStart w:id="357" w:name="_Toc184310342"/>
      <w:bookmarkEnd w:id="357"/>
      <w:bookmarkStart w:id="358" w:name="_Toc184308049"/>
      <w:bookmarkEnd w:id="358"/>
      <w:bookmarkStart w:id="359" w:name="_Toc184313269"/>
      <w:bookmarkEnd w:id="359"/>
      <w:bookmarkStart w:id="360" w:name="_Toc184313302"/>
      <w:bookmarkEnd w:id="360"/>
      <w:bookmarkStart w:id="361" w:name="_Toc184308075"/>
      <w:bookmarkEnd w:id="361"/>
      <w:bookmarkStart w:id="362" w:name="_Toc184313297"/>
      <w:bookmarkEnd w:id="362"/>
      <w:bookmarkStart w:id="363" w:name="_Toc184314450"/>
      <w:bookmarkEnd w:id="363"/>
      <w:bookmarkStart w:id="364" w:name="_Toc184313298"/>
      <w:bookmarkEnd w:id="364"/>
      <w:bookmarkStart w:id="365" w:name="_Toc184313281"/>
      <w:bookmarkEnd w:id="365"/>
      <w:bookmarkStart w:id="366" w:name="_Toc184312110"/>
      <w:bookmarkEnd w:id="366"/>
      <w:bookmarkStart w:id="367" w:name="_Toc184308071"/>
      <w:bookmarkEnd w:id="367"/>
      <w:bookmarkStart w:id="368" w:name="_Toc184312119"/>
      <w:bookmarkEnd w:id="368"/>
      <w:bookmarkStart w:id="369" w:name="_Toc184314470"/>
      <w:bookmarkEnd w:id="369"/>
      <w:bookmarkStart w:id="370" w:name="_Toc184312136"/>
      <w:bookmarkEnd w:id="370"/>
      <w:bookmarkStart w:id="371" w:name="_Toc184308096"/>
      <w:bookmarkEnd w:id="371"/>
      <w:bookmarkStart w:id="372" w:name="_Toc184310277"/>
      <w:bookmarkEnd w:id="372"/>
      <w:bookmarkStart w:id="373" w:name="_Toc184308047"/>
      <w:bookmarkEnd w:id="373"/>
      <w:bookmarkStart w:id="374" w:name="_Toc184308099"/>
      <w:bookmarkEnd w:id="374"/>
      <w:bookmarkStart w:id="375" w:name="_Toc184308101"/>
      <w:bookmarkEnd w:id="375"/>
      <w:bookmarkStart w:id="376" w:name="_Toc184312101"/>
      <w:bookmarkEnd w:id="376"/>
      <w:bookmarkStart w:id="377" w:name="_Toc184312100"/>
      <w:bookmarkEnd w:id="377"/>
      <w:bookmarkStart w:id="378" w:name="_Toc184313263"/>
      <w:bookmarkEnd w:id="378"/>
      <w:bookmarkStart w:id="379" w:name="_Toc184310321"/>
      <w:bookmarkEnd w:id="379"/>
      <w:bookmarkStart w:id="380" w:name="_Toc184308038"/>
      <w:bookmarkEnd w:id="380"/>
      <w:bookmarkStart w:id="381" w:name="_Toc184308050"/>
      <w:bookmarkEnd w:id="381"/>
      <w:bookmarkStart w:id="382" w:name="_Toc184308079"/>
      <w:bookmarkEnd w:id="382"/>
      <w:bookmarkStart w:id="383" w:name="_Toc184313301"/>
      <w:bookmarkEnd w:id="383"/>
      <w:bookmarkStart w:id="384" w:name="_Toc184308092"/>
      <w:bookmarkEnd w:id="384"/>
      <w:bookmarkStart w:id="385" w:name="_Toc184314463"/>
      <w:bookmarkEnd w:id="385"/>
      <w:bookmarkStart w:id="386" w:name="_Toc184308105"/>
      <w:bookmarkEnd w:id="386"/>
      <w:bookmarkStart w:id="387" w:name="_Toc184308048"/>
      <w:bookmarkEnd w:id="387"/>
      <w:bookmarkStart w:id="388" w:name="_Toc184313289"/>
      <w:bookmarkEnd w:id="388"/>
      <w:bookmarkStart w:id="389" w:name="_Toc184310294"/>
      <w:bookmarkEnd w:id="389"/>
      <w:bookmarkStart w:id="390" w:name="_Toc184314415"/>
      <w:bookmarkEnd w:id="390"/>
      <w:bookmarkStart w:id="391" w:name="_Toc184314435"/>
      <w:bookmarkEnd w:id="391"/>
      <w:bookmarkStart w:id="392" w:name="_Toc184314447"/>
      <w:bookmarkEnd w:id="392"/>
      <w:bookmarkStart w:id="393" w:name="_Toc184308068"/>
      <w:bookmarkEnd w:id="393"/>
      <w:bookmarkStart w:id="394" w:name="_Toc184308102"/>
      <w:bookmarkEnd w:id="394"/>
      <w:bookmarkStart w:id="395" w:name="_Toc184310341"/>
      <w:bookmarkEnd w:id="395"/>
      <w:bookmarkStart w:id="396" w:name="_Toc184314432"/>
      <w:bookmarkEnd w:id="396"/>
      <w:bookmarkStart w:id="397" w:name="_Toc184314421"/>
      <w:bookmarkEnd w:id="397"/>
      <w:bookmarkStart w:id="398" w:name="_Toc184313265"/>
      <w:bookmarkEnd w:id="398"/>
      <w:bookmarkStart w:id="399" w:name="_Toc184313240"/>
      <w:bookmarkEnd w:id="399"/>
      <w:bookmarkStart w:id="400" w:name="_Toc184314482"/>
      <w:bookmarkEnd w:id="400"/>
      <w:bookmarkStart w:id="401" w:name="_Toc184313239"/>
      <w:bookmarkEnd w:id="401"/>
      <w:bookmarkStart w:id="402" w:name="_Toc184314418"/>
      <w:bookmarkEnd w:id="402"/>
      <w:bookmarkStart w:id="403" w:name="_Toc184313253"/>
      <w:bookmarkEnd w:id="403"/>
      <w:bookmarkStart w:id="404" w:name="_Toc184308058"/>
      <w:bookmarkEnd w:id="404"/>
      <w:bookmarkStart w:id="405" w:name="_Toc184308054"/>
      <w:bookmarkEnd w:id="405"/>
      <w:bookmarkStart w:id="406" w:name="_Toc184308084"/>
      <w:bookmarkEnd w:id="406"/>
      <w:bookmarkStart w:id="407" w:name="_Toc184310305"/>
      <w:bookmarkEnd w:id="407"/>
      <w:bookmarkStart w:id="408" w:name="_Toc184312120"/>
      <w:bookmarkEnd w:id="408"/>
      <w:bookmarkStart w:id="409" w:name="_Toc184313242"/>
      <w:bookmarkEnd w:id="409"/>
      <w:bookmarkStart w:id="410" w:name="_Toc184313287"/>
      <w:bookmarkEnd w:id="410"/>
      <w:bookmarkStart w:id="411" w:name="_Toc184312075"/>
      <w:bookmarkEnd w:id="411"/>
      <w:bookmarkStart w:id="412" w:name="_Toc184308081"/>
      <w:bookmarkEnd w:id="412"/>
      <w:bookmarkStart w:id="413" w:name="_Toc184312108"/>
      <w:bookmarkEnd w:id="413"/>
      <w:bookmarkStart w:id="414" w:name="_Toc184313309"/>
      <w:bookmarkEnd w:id="414"/>
      <w:bookmarkStart w:id="415" w:name="_Toc184310344"/>
      <w:bookmarkEnd w:id="415"/>
      <w:bookmarkStart w:id="416" w:name="_Toc184314481"/>
      <w:bookmarkEnd w:id="416"/>
      <w:bookmarkStart w:id="417" w:name="_Toc184310332"/>
      <w:bookmarkEnd w:id="417"/>
      <w:bookmarkStart w:id="418" w:name="_Toc184313276"/>
      <w:bookmarkEnd w:id="418"/>
      <w:bookmarkStart w:id="419" w:name="_Toc184313308"/>
      <w:bookmarkEnd w:id="419"/>
      <w:bookmarkStart w:id="420" w:name="_Toc184312097"/>
      <w:bookmarkEnd w:id="420"/>
      <w:bookmarkStart w:id="421" w:name="_Toc184314462"/>
      <w:bookmarkEnd w:id="421"/>
      <w:bookmarkStart w:id="422" w:name="_Toc184314451"/>
      <w:bookmarkEnd w:id="422"/>
      <w:bookmarkStart w:id="423" w:name="_Toc184310329"/>
      <w:bookmarkEnd w:id="423"/>
      <w:bookmarkStart w:id="424" w:name="_Toc184308103"/>
      <w:bookmarkEnd w:id="424"/>
      <w:bookmarkStart w:id="425" w:name="_Toc184312087"/>
      <w:bookmarkEnd w:id="425"/>
      <w:bookmarkStart w:id="426" w:name="_Toc184314467"/>
      <w:bookmarkEnd w:id="426"/>
      <w:bookmarkStart w:id="427" w:name="_Toc184310307"/>
      <w:bookmarkEnd w:id="427"/>
      <w:bookmarkStart w:id="428" w:name="_Toc184313295"/>
      <w:bookmarkEnd w:id="428"/>
      <w:bookmarkStart w:id="429" w:name="_Toc184310283"/>
      <w:bookmarkEnd w:id="429"/>
      <w:bookmarkStart w:id="430" w:name="_Toc184313272"/>
      <w:bookmarkEnd w:id="430"/>
      <w:bookmarkStart w:id="431" w:name="_Toc184308037"/>
      <w:bookmarkEnd w:id="431"/>
      <w:bookmarkStart w:id="432" w:name="_Toc184313283"/>
      <w:bookmarkEnd w:id="432"/>
      <w:bookmarkStart w:id="433" w:name="_Toc184312131"/>
      <w:bookmarkEnd w:id="433"/>
      <w:bookmarkStart w:id="434" w:name="_Toc184312094"/>
      <w:bookmarkEnd w:id="434"/>
      <w:bookmarkStart w:id="435" w:name="_Toc184310320"/>
      <w:bookmarkEnd w:id="435"/>
      <w:bookmarkStart w:id="436" w:name="_Toc184308044"/>
      <w:bookmarkEnd w:id="436"/>
      <w:bookmarkStart w:id="437" w:name="_Toc184310285"/>
      <w:bookmarkEnd w:id="437"/>
      <w:bookmarkStart w:id="438" w:name="_Toc184313304"/>
      <w:bookmarkEnd w:id="438"/>
      <w:bookmarkStart w:id="439" w:name="_Toc184312118"/>
      <w:bookmarkEnd w:id="439"/>
      <w:bookmarkStart w:id="440" w:name="_Toc184312133"/>
      <w:bookmarkEnd w:id="440"/>
      <w:bookmarkStart w:id="441" w:name="_Toc184310335"/>
      <w:bookmarkEnd w:id="441"/>
      <w:bookmarkStart w:id="442" w:name="_Toc184310315"/>
      <w:bookmarkEnd w:id="442"/>
      <w:bookmarkStart w:id="443" w:name="_Toc184312084"/>
      <w:bookmarkEnd w:id="443"/>
      <w:bookmarkStart w:id="444" w:name="_Toc184308087"/>
      <w:bookmarkEnd w:id="444"/>
      <w:bookmarkStart w:id="445" w:name="_Toc184314425"/>
      <w:bookmarkEnd w:id="445"/>
      <w:bookmarkStart w:id="446" w:name="_Toc184314456"/>
      <w:bookmarkEnd w:id="446"/>
      <w:bookmarkStart w:id="447" w:name="_Toc184314448"/>
      <w:bookmarkEnd w:id="447"/>
      <w:bookmarkStart w:id="448" w:name="_Toc184308041"/>
      <w:bookmarkEnd w:id="448"/>
      <w:bookmarkStart w:id="449" w:name="_Toc184310340"/>
      <w:bookmarkEnd w:id="449"/>
      <w:bookmarkStart w:id="450" w:name="_Toc184314427"/>
      <w:bookmarkEnd w:id="450"/>
      <w:bookmarkStart w:id="451" w:name="_Toc184310289"/>
      <w:bookmarkEnd w:id="451"/>
      <w:bookmarkStart w:id="452" w:name="_Toc184310308"/>
      <w:bookmarkEnd w:id="452"/>
      <w:bookmarkStart w:id="453" w:name="_Toc184313292"/>
      <w:bookmarkEnd w:id="453"/>
      <w:bookmarkStart w:id="454" w:name="_Toc184312103"/>
      <w:bookmarkEnd w:id="454"/>
      <w:bookmarkStart w:id="455" w:name="_Toc184308060"/>
      <w:bookmarkEnd w:id="455"/>
      <w:bookmarkStart w:id="456" w:name="_Toc184314446"/>
      <w:bookmarkEnd w:id="456"/>
      <w:bookmarkStart w:id="457" w:name="_Toc184312128"/>
      <w:bookmarkEnd w:id="457"/>
      <w:bookmarkStart w:id="458" w:name="_Toc184308085"/>
      <w:bookmarkEnd w:id="458"/>
      <w:bookmarkStart w:id="459" w:name="_Toc184312135"/>
      <w:bookmarkEnd w:id="459"/>
      <w:bookmarkStart w:id="460" w:name="_Toc184314440"/>
      <w:bookmarkEnd w:id="460"/>
      <w:bookmarkStart w:id="461" w:name="_Toc184310310"/>
      <w:bookmarkEnd w:id="461"/>
      <w:bookmarkStart w:id="462" w:name="_Toc184310323"/>
      <w:bookmarkEnd w:id="462"/>
      <w:bookmarkStart w:id="463" w:name="第四部分"/>
      <w:r>
        <w:rPr>
          <w:rFonts w:hint="eastAsia" w:ascii="宋体" w:hAnsi="宋体" w:cs="宋体"/>
          <w:b/>
          <w:color w:val="auto"/>
          <w:sz w:val="36"/>
          <w:szCs w:val="36"/>
          <w:highlight w:val="none"/>
        </w:rPr>
        <w:t>评标办法及评分标准</w:t>
      </w:r>
      <w:bookmarkEnd w:id="95"/>
      <w:bookmarkEnd w:id="96"/>
      <w:bookmarkEnd w:id="97"/>
    </w:p>
    <w:p>
      <w:pPr>
        <w:pStyle w:val="2"/>
        <w:spacing w:line="360" w:lineRule="auto"/>
        <w:jc w:val="center"/>
        <w:rPr>
          <w:rFonts w:hint="eastAsia" w:hAnsi="宋体" w:cs="宋体"/>
          <w:bCs/>
          <w:color w:val="auto"/>
          <w:highlight w:val="none"/>
        </w:rPr>
      </w:pPr>
      <w:bookmarkStart w:id="464" w:name="_Toc3386"/>
      <w:bookmarkStart w:id="465" w:name="_Toc30529"/>
      <w:bookmarkStart w:id="466" w:name="_Toc1764"/>
      <w:r>
        <w:rPr>
          <w:rFonts w:hint="eastAsia" w:hAnsi="宋体" w:cs="宋体"/>
          <w:bCs/>
          <w:color w:val="auto"/>
          <w:highlight w:val="none"/>
        </w:rPr>
        <w:t>第一章　评标办法</w:t>
      </w:r>
      <w:bookmarkEnd w:id="464"/>
      <w:bookmarkEnd w:id="465"/>
      <w:bookmarkEnd w:id="466"/>
    </w:p>
    <w:p>
      <w:p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一、本次招标将按下列第</w:t>
      </w:r>
      <w:r>
        <w:rPr>
          <w:rFonts w:hint="eastAsia" w:ascii="宋体" w:hAnsi="宋体" w:cs="宋体"/>
          <w:b/>
          <w:bCs/>
          <w:color w:val="auto"/>
          <w:sz w:val="24"/>
          <w:szCs w:val="21"/>
          <w:highlight w:val="none"/>
          <w:u w:val="single"/>
        </w:rPr>
        <w:t>　1　</w:t>
      </w:r>
      <w:r>
        <w:rPr>
          <w:rFonts w:hint="eastAsia" w:ascii="宋体" w:hAnsi="宋体" w:cs="宋体"/>
          <w:b/>
          <w:bCs/>
          <w:color w:val="auto"/>
          <w:sz w:val="24"/>
          <w:szCs w:val="21"/>
          <w:highlight w:val="none"/>
        </w:rPr>
        <w:t>种评标办法进行评标：</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1、综合评分法。即在最大限度地满足招标文件实质性要求的前提下，按照《评分标准》规定的评分因素对各投标人的投标文件进行综合评审，以技术分、资信分、商务分总得分最高的投标人作为中标候选人。如最高总得分相同的，以报价低者作为中标候选人。如最高总得分且报价相同的，以技术指标优者作为中标候选人；无法确定技术指标优劣的，则抽签确定中标候选人。</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注：本次评标采用百分制计分，计算时四舍五入保留到小数点后两位。</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2、最低评标价法。即在全部满足招标文件实质性要求的前提下，以评审后最低评标价的投标人作为中标候选人。如最低报价相同的，以技术指标优者作为中标候选人；无法确定技术指标优劣的，则抽签确定中标候选人。</w:t>
      </w:r>
    </w:p>
    <w:p>
      <w:pPr>
        <w:spacing w:line="360" w:lineRule="auto"/>
        <w:ind w:firstLine="480" w:firstLineChars="200"/>
        <w:rPr>
          <w:rFonts w:hint="eastAsia" w:ascii="宋体" w:hAnsi="宋体" w:cs="宋体"/>
          <w:color w:val="auto"/>
          <w:sz w:val="24"/>
          <w:szCs w:val="21"/>
          <w:highlight w:val="none"/>
        </w:rPr>
      </w:pPr>
    </w:p>
    <w:p>
      <w:pPr>
        <w:pStyle w:val="2"/>
        <w:spacing w:line="360" w:lineRule="auto"/>
        <w:jc w:val="center"/>
        <w:rPr>
          <w:rFonts w:hint="eastAsia" w:hAnsi="宋体" w:cs="宋体"/>
          <w:color w:val="auto"/>
          <w:highlight w:val="none"/>
        </w:rPr>
      </w:pPr>
      <w:bookmarkStart w:id="467" w:name="_Toc22799"/>
      <w:bookmarkStart w:id="468" w:name="_Toc12957"/>
      <w:r>
        <w:rPr>
          <w:rFonts w:hint="eastAsia" w:hAnsi="宋体" w:cs="宋体"/>
          <w:color w:val="auto"/>
          <w:highlight w:val="none"/>
        </w:rPr>
        <w:t>第二章　评分标准</w:t>
      </w:r>
      <w:bookmarkEnd w:id="467"/>
      <w:bookmarkEnd w:id="468"/>
    </w:p>
    <w:p>
      <w:p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一、报价文件评分标准（</w:t>
      </w:r>
      <w:r>
        <w:rPr>
          <w:rFonts w:ascii="宋体" w:hAnsi="宋体" w:cs="宋体"/>
          <w:b/>
          <w:bCs/>
          <w:color w:val="auto"/>
          <w:sz w:val="24"/>
          <w:szCs w:val="21"/>
          <w:highlight w:val="none"/>
        </w:rPr>
        <w:t>60</w:t>
      </w:r>
      <w:r>
        <w:rPr>
          <w:rFonts w:hint="eastAsia" w:ascii="宋体" w:hAnsi="宋体" w:cs="宋体"/>
          <w:b/>
          <w:bCs/>
          <w:color w:val="auto"/>
          <w:sz w:val="24"/>
          <w:szCs w:val="21"/>
          <w:highlight w:val="none"/>
        </w:rPr>
        <w:t>分）</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报价文件主要是对投标人的有效报价进行评议，其评分标准及分值设置规则如下：</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1、本次招标最高限价规定如下：</w:t>
      </w:r>
    </w:p>
    <w:p>
      <w:pPr>
        <w:spacing w:line="360" w:lineRule="auto"/>
        <w:ind w:firstLine="480" w:firstLineChars="200"/>
        <w:rPr>
          <w:rFonts w:hint="eastAsia" w:ascii="宋体" w:hAnsi="宋体" w:cs="宋体"/>
          <w:b/>
          <w:color w:val="auto"/>
          <w:sz w:val="24"/>
          <w:szCs w:val="21"/>
          <w:highlight w:val="none"/>
        </w:rPr>
      </w:pPr>
      <w:r>
        <w:rPr>
          <w:rFonts w:hint="eastAsia" w:ascii="宋体" w:hAnsi="宋体" w:cs="宋体"/>
          <w:color w:val="auto"/>
          <w:sz w:val="24"/>
          <w:szCs w:val="21"/>
          <w:highlight w:val="none"/>
        </w:rPr>
        <w:t>本项目投标报价的最高限价</w:t>
      </w:r>
      <w:r>
        <w:rPr>
          <w:rFonts w:hint="eastAsia" w:ascii="宋体" w:hAnsi="宋体" w:cs="宋体"/>
          <w:b/>
          <w:color w:val="auto"/>
          <w:sz w:val="24"/>
          <w:szCs w:val="21"/>
          <w:highlight w:val="none"/>
        </w:rPr>
        <w:t>为人民币</w:t>
      </w:r>
      <w:r>
        <w:rPr>
          <w:rFonts w:hint="eastAsia" w:ascii="宋体" w:hAnsi="宋体" w:cs="宋体"/>
          <w:b/>
          <w:color w:val="auto"/>
          <w:sz w:val="24"/>
          <w:szCs w:val="21"/>
          <w:highlight w:val="none"/>
          <w:u w:val="single"/>
        </w:rPr>
        <w:t xml:space="preserve">柒佰伍拾万 </w:t>
      </w:r>
      <w:r>
        <w:rPr>
          <w:rFonts w:hint="eastAsia" w:ascii="宋体" w:hAnsi="宋体" w:cs="宋体"/>
          <w:b/>
          <w:color w:val="auto"/>
          <w:sz w:val="24"/>
          <w:szCs w:val="21"/>
          <w:highlight w:val="none"/>
        </w:rPr>
        <w:fldChar w:fldCharType="begin"/>
      </w:r>
      <w:r>
        <w:rPr>
          <w:rFonts w:hint="eastAsia" w:ascii="宋体" w:hAnsi="宋体" w:cs="宋体"/>
          <w:b/>
          <w:color w:val="auto"/>
          <w:sz w:val="24"/>
          <w:szCs w:val="21"/>
          <w:highlight w:val="none"/>
        </w:rPr>
        <w:instrText xml:space="preserve"> = 1750000 \* CHINESENUM4 \* MERGEFORMAT </w:instrText>
      </w:r>
      <w:r>
        <w:rPr>
          <w:rFonts w:hint="eastAsia" w:ascii="宋体" w:hAnsi="宋体" w:cs="宋体"/>
          <w:b/>
          <w:color w:val="auto"/>
          <w:sz w:val="24"/>
          <w:szCs w:val="21"/>
          <w:highlight w:val="none"/>
        </w:rPr>
        <w:fldChar w:fldCharType="separate"/>
      </w:r>
      <w:r>
        <w:rPr>
          <w:rFonts w:hint="eastAsia" w:ascii="宋体" w:hAnsi="宋体" w:cs="宋体"/>
          <w:b/>
          <w:color w:val="auto"/>
          <w:sz w:val="24"/>
          <w:szCs w:val="21"/>
          <w:highlight w:val="none"/>
        </w:rPr>
        <w:t>元整</w:t>
      </w:r>
      <w:r>
        <w:rPr>
          <w:rFonts w:hint="eastAsia" w:ascii="宋体" w:hAnsi="宋体" w:cs="宋体"/>
          <w:b/>
          <w:color w:val="auto"/>
          <w:sz w:val="24"/>
          <w:szCs w:val="21"/>
          <w:highlight w:val="none"/>
        </w:rPr>
        <w:fldChar w:fldCharType="end"/>
      </w:r>
      <w:r>
        <w:rPr>
          <w:rFonts w:hint="eastAsia" w:ascii="宋体" w:hAnsi="宋体" w:cs="宋体"/>
          <w:b/>
          <w:color w:val="auto"/>
          <w:sz w:val="24"/>
          <w:szCs w:val="21"/>
          <w:highlight w:val="none"/>
        </w:rPr>
        <w:t>（小写</w:t>
      </w:r>
      <w:r>
        <w:rPr>
          <w:rFonts w:hint="eastAsia" w:ascii="宋体" w:hAnsi="宋体" w:cs="宋体"/>
          <w:b/>
          <w:color w:val="auto"/>
          <w:sz w:val="24"/>
          <w:szCs w:val="21"/>
          <w:highlight w:val="none"/>
          <w:u w:val="single"/>
        </w:rPr>
        <w:t xml:space="preserve">  7500000.00  </w:t>
      </w:r>
      <w:r>
        <w:rPr>
          <w:rFonts w:hint="eastAsia" w:ascii="宋体" w:hAnsi="宋体" w:cs="宋体"/>
          <w:b/>
          <w:color w:val="auto"/>
          <w:sz w:val="24"/>
          <w:szCs w:val="21"/>
          <w:highlight w:val="none"/>
        </w:rPr>
        <w:t>元）</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2、投标人的报价在最高限价内的，为有效报价。</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3、本次评标设有最佳报价。最佳报价确定方式：根据所有入围投标人有效报价中的最低报价作为最佳报价。</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4、最佳报价者的报价分为满分，其他投标人的有效报价与最佳报价相比，按下列方法计算其报价分：</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投标价格分=(最佳报价/投标报价)*价格权值*100。</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5、当投标（开标）一览表与投标报价明细表报价不一致时，以投标（开标）一览表为准，报价明细表报价予以修正并由授权代表签字确认，拒绝修正或确认的，则做无效标处理。</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6、投标文件只允许有一个报价，投标报价应按招标文件中相关附表格式填报，该投标报价应与明细报价汇总相等，且不允许出现报价优惠、赠送等字样（明细出现“0”元，视同赠送），如出现则做</w:t>
      </w:r>
      <w:r>
        <w:rPr>
          <w:rFonts w:hint="eastAsia" w:ascii="宋体" w:hAnsi="宋体" w:cs="宋体"/>
          <w:b/>
          <w:bCs/>
          <w:color w:val="auto"/>
          <w:sz w:val="24"/>
          <w:szCs w:val="21"/>
          <w:highlight w:val="none"/>
        </w:rPr>
        <w:t>无效投标</w:t>
      </w:r>
      <w:r>
        <w:rPr>
          <w:rFonts w:hint="eastAsia" w:ascii="宋体" w:hAnsi="宋体" w:cs="宋体"/>
          <w:color w:val="auto"/>
          <w:sz w:val="24"/>
          <w:szCs w:val="21"/>
          <w:highlight w:val="none"/>
        </w:rPr>
        <w:t>处理。</w:t>
      </w:r>
    </w:p>
    <w:p>
      <w:pPr>
        <w:autoSpaceDE w:val="0"/>
        <w:autoSpaceDN w:val="0"/>
        <w:spacing w:line="360" w:lineRule="auto"/>
        <w:ind w:firstLine="482"/>
        <w:rPr>
          <w:rFonts w:hint="eastAsia" w:ascii="宋体" w:hAnsi="宋体" w:cs="宋体"/>
          <w:color w:val="auto"/>
          <w:sz w:val="24"/>
          <w:highlight w:val="none"/>
        </w:rPr>
      </w:pPr>
      <w:r>
        <w:rPr>
          <w:rFonts w:hint="eastAsia" w:ascii="宋体" w:hAnsi="宋体" w:cs="宋体"/>
          <w:color w:val="auto"/>
          <w:sz w:val="24"/>
          <w:szCs w:val="21"/>
          <w:highlight w:val="none"/>
        </w:rPr>
        <w:t>7、</w:t>
      </w:r>
      <w:r>
        <w:rPr>
          <w:rFonts w:hint="eastAsia" w:ascii="宋体" w:hAnsi="宋体" w:cs="宋体"/>
          <w:b/>
          <w:color w:val="auto"/>
          <w:sz w:val="24"/>
          <w:highlight w:val="none"/>
        </w:rPr>
        <w:t>投标价格的合理性</w:t>
      </w:r>
      <w:r>
        <w:rPr>
          <w:rFonts w:hint="eastAsia" w:ascii="宋体" w:hAnsi="宋体" w:cs="宋体"/>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证明材料需包含货物本身成本、人工费用、运输、税收、技术经济指标等说明；合理时间是指在半小时内。若投标人拟低价投标的（至少可以最高限价为参照），可事先作好书面说明或提供相关证明材料以备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szCs w:val="21"/>
          <w:highlight w:val="none"/>
        </w:rPr>
        <w:t>8、</w:t>
      </w:r>
      <w:r>
        <w:rPr>
          <w:rFonts w:hint="eastAsia" w:ascii="宋体" w:hAnsi="宋体" w:cs="宋体"/>
          <w:color w:val="auto"/>
          <w:sz w:val="24"/>
          <w:highlight w:val="none"/>
        </w:rPr>
        <w:t>价格扣除：小微企业是指在中华人民共和国境内依法设立，依据国务院批准的中小企业划分标准确定的小型企业和微型企业，但与大企业的负责人为同一人，或者与大企业存在直接控股、管理关系的除外。</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在货物采购项目中，货物由小微企业制造，即货物由小微企业生产且使用该小微企业商号或者注册商标。供应商提供的货物既有中小企业制造货物，也有大型企业制造货物的，不享受中小企业扶持政策。</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在服务采购项目中，服务由小微企业承接，即提供服务的人员为小微企业依照《中华人民共和国劳动合同法》订立劳动合同的从业人员。</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联合体各方均为小型、微型企业的，联合体视同为小型、微型企业。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上述条件的中小微型企业应按照招标文件附件的格式要求提供《中小企业声明函》。符合《关于促进残疾人就业政府采购政策的通知》（财库〔2017〕141号）规定的条件并提供《残疾人福利性单位声明函》（附件）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根据浙江省财政厅发布的《浙江省财政厅关于进一步加大政府采购支持中小企业力度 助力扎实稳住经济的通知》（浙财采监〔2022〕8号）规定，货物和服务项目中未预留份额专门面向中小企业采购的，以及预留份额项目中的非预留部分采购包，采购单位、采购代理机构应结合项目实际，对符合规定的小微企业报价原则上按最高优惠幅度20%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中标价及合同价仍以其投标报价为准）</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组成联合体或者接受分包的小微企业与联合体内其他企业、分包企业之间存在直接控股、管理关系的，不享受价格扣除优惠政策。联合体各方均为小型、微型企业的，联合体视同为小型、微型企业。</w:t>
      </w:r>
    </w:p>
    <w:p>
      <w:pPr>
        <w:pStyle w:val="12"/>
        <w:rPr>
          <w:rFonts w:hint="eastAsia" w:hAnsi="宋体" w:cs="宋体"/>
          <w:color w:val="auto"/>
          <w:highlight w:val="none"/>
        </w:rPr>
      </w:pPr>
    </w:p>
    <w:p>
      <w:pPr>
        <w:numPr>
          <w:ilvl w:val="0"/>
          <w:numId w:val="40"/>
        </w:numP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商务技术文件评标内容及标准（</w:t>
      </w:r>
      <w:r>
        <w:rPr>
          <w:rFonts w:ascii="宋体" w:hAnsi="宋体" w:cs="宋体"/>
          <w:b/>
          <w:bCs/>
          <w:color w:val="auto"/>
          <w:sz w:val="24"/>
          <w:szCs w:val="21"/>
          <w:highlight w:val="none"/>
        </w:rPr>
        <w:t>40</w:t>
      </w:r>
      <w:r>
        <w:rPr>
          <w:rFonts w:hint="eastAsia" w:ascii="宋体" w:hAnsi="宋体" w:cs="宋体"/>
          <w:b/>
          <w:bCs/>
          <w:color w:val="auto"/>
          <w:sz w:val="24"/>
          <w:szCs w:val="21"/>
          <w:highlight w:val="none"/>
        </w:rPr>
        <w:t>分）</w:t>
      </w:r>
    </w:p>
    <w:tbl>
      <w:tblPr>
        <w:tblStyle w:val="37"/>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336"/>
        <w:gridCol w:w="6057"/>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216" w:type="dxa"/>
            <w:noWrap w:val="0"/>
            <w:vAlign w:val="center"/>
          </w:tcPr>
          <w:p>
            <w:pPr>
              <w:adjustRightInd w:val="0"/>
              <w:spacing w:before="161" w:beforeLines="50" w:line="24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评分项目</w:t>
            </w:r>
          </w:p>
        </w:tc>
        <w:tc>
          <w:tcPr>
            <w:tcW w:w="7393" w:type="dxa"/>
            <w:gridSpan w:val="2"/>
            <w:noWrap w:val="0"/>
            <w:vAlign w:val="center"/>
          </w:tcPr>
          <w:p>
            <w:pPr>
              <w:adjustRightInd w:val="0"/>
              <w:spacing w:before="161" w:beforeLines="50"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评标要点及说明</w:t>
            </w:r>
          </w:p>
        </w:tc>
        <w:tc>
          <w:tcPr>
            <w:tcW w:w="909" w:type="dxa"/>
            <w:noWrap w:val="0"/>
            <w:vAlign w:val="center"/>
          </w:tcPr>
          <w:p>
            <w:pPr>
              <w:widowControl/>
              <w:jc w:val="center"/>
              <w:rPr>
                <w:rFonts w:hint="eastAsia" w:ascii="宋体" w:hAnsi="宋体" w:cs="宋体"/>
                <w:b/>
                <w:bCs/>
                <w:color w:val="auto"/>
                <w:sz w:val="24"/>
                <w:highlight w:val="none"/>
              </w:rPr>
            </w:pPr>
            <w:r>
              <w:rPr>
                <w:rFonts w:hint="eastAsia" w:ascii="宋体" w:hAnsi="宋体" w:cs="宋体"/>
                <w:b/>
                <w:bCs/>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216" w:type="dxa"/>
            <w:vMerge w:val="restart"/>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技术</w:t>
            </w:r>
          </w:p>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32</w:t>
            </w:r>
            <w:r>
              <w:rPr>
                <w:rFonts w:hint="eastAsia" w:ascii="宋体" w:hAnsi="宋体" w:cs="宋体"/>
                <w:color w:val="auto"/>
                <w:sz w:val="24"/>
                <w:highlight w:val="none"/>
              </w:rPr>
              <w:t>分）</w:t>
            </w:r>
          </w:p>
        </w:tc>
        <w:tc>
          <w:tcPr>
            <w:tcW w:w="1336"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重要性参数</w:t>
            </w:r>
          </w:p>
        </w:tc>
        <w:tc>
          <w:tcPr>
            <w:tcW w:w="6057" w:type="dxa"/>
            <w:noWrap w:val="0"/>
            <w:vAlign w:val="center"/>
          </w:tcPr>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评委根据投标产品的重要性技术参数与招标文件“采购清单及要求”的偏离情况进行打分，“▲”为重要性指标及技术参数要求，每满足一项得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分，最高得</w:t>
            </w:r>
            <w:r>
              <w:rPr>
                <w:rFonts w:hint="eastAsia" w:ascii="宋体" w:hAnsi="宋体" w:cs="宋体"/>
                <w:color w:val="auto"/>
                <w:sz w:val="24"/>
                <w:highlight w:val="none"/>
                <w:lang w:val="en-US" w:eastAsia="zh-CN"/>
              </w:rPr>
              <w:t>12</w:t>
            </w:r>
            <w:r>
              <w:rPr>
                <w:rFonts w:hint="eastAsia" w:ascii="宋体" w:hAnsi="宋体" w:cs="宋体"/>
                <w:color w:val="auto"/>
                <w:sz w:val="24"/>
                <w:highlight w:val="none"/>
              </w:rPr>
              <w:t>分。注：技术要求及参数需在“技术响应及建议表”中逐条列出，以上指标需提供相关佐证材料（</w:t>
            </w:r>
            <w:r>
              <w:rPr>
                <w:rFonts w:hint="eastAsia" w:ascii="宋体" w:hAnsi="宋体" w:cs="宋体"/>
                <w:color w:val="auto"/>
                <w:sz w:val="24"/>
                <w:highlight w:val="none"/>
                <w:lang w:val="en-US" w:eastAsia="zh-CN"/>
              </w:rPr>
              <w:t>提供第三方</w:t>
            </w:r>
            <w:r>
              <w:rPr>
                <w:rFonts w:hint="eastAsia" w:ascii="宋体" w:hAnsi="宋体" w:cs="宋体"/>
                <w:color w:val="auto"/>
                <w:sz w:val="24"/>
                <w:highlight w:val="none"/>
                <w:lang w:bidi="ar"/>
              </w:rPr>
              <w:t>权威检测机构出具的具有CNAS标志</w:t>
            </w:r>
            <w:r>
              <w:rPr>
                <w:rFonts w:hint="eastAsia" w:ascii="宋体" w:hAnsi="宋体" w:cs="宋体"/>
                <w:color w:val="auto"/>
                <w:sz w:val="24"/>
                <w:highlight w:val="none"/>
                <w:lang w:val="en-US" w:eastAsia="zh-CN" w:bidi="ar"/>
              </w:rPr>
              <w:t>的</w:t>
            </w:r>
            <w:r>
              <w:rPr>
                <w:rFonts w:hint="eastAsia" w:ascii="宋体" w:hAnsi="宋体" w:cs="宋体"/>
                <w:color w:val="auto"/>
                <w:sz w:val="24"/>
                <w:highlight w:val="none"/>
                <w:lang w:bidi="ar"/>
              </w:rPr>
              <w:t>检测报告</w:t>
            </w:r>
            <w:r>
              <w:rPr>
                <w:rFonts w:hint="eastAsia" w:ascii="宋体" w:hAnsi="宋体" w:cs="宋体"/>
                <w:color w:val="auto"/>
                <w:sz w:val="24"/>
                <w:highlight w:val="none"/>
                <w:lang w:eastAsia="zh-CN" w:bidi="ar"/>
              </w:rPr>
              <w:t>，</w:t>
            </w:r>
            <w:r>
              <w:rPr>
                <w:rFonts w:hint="eastAsia" w:ascii="宋体" w:hAnsi="宋体" w:cs="宋体"/>
                <w:color w:val="auto"/>
                <w:sz w:val="24"/>
                <w:highlight w:val="none"/>
              </w:rPr>
              <w:t>参数需在检测报告内着重标注</w:t>
            </w:r>
            <w:r>
              <w:rPr>
                <w:rFonts w:hint="eastAsia" w:ascii="宋体" w:hAnsi="宋体" w:cs="宋体"/>
                <w:color w:val="auto"/>
                <w:sz w:val="24"/>
                <w:highlight w:val="none"/>
                <w:lang w:val="en-US" w:eastAsia="zh-CN"/>
              </w:rPr>
              <w:t>并</w:t>
            </w:r>
            <w:r>
              <w:rPr>
                <w:rFonts w:hint="eastAsia" w:ascii="宋体" w:hAnsi="宋体" w:cs="宋体"/>
                <w:color w:val="auto"/>
                <w:sz w:val="24"/>
                <w:highlight w:val="none"/>
              </w:rPr>
              <w:t>标明页码）复印件并加盖公章，表内响应内容为空头或仅拷贝粘贴响应均不得分。</w:t>
            </w:r>
          </w:p>
        </w:tc>
        <w:tc>
          <w:tcPr>
            <w:tcW w:w="909"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一般性参数</w:t>
            </w:r>
          </w:p>
        </w:tc>
        <w:tc>
          <w:tcPr>
            <w:tcW w:w="6057" w:type="dxa"/>
            <w:noWrap w:val="0"/>
            <w:vAlign w:val="center"/>
          </w:tcPr>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评委根据投标产品的一般性技术参数与招标文件“采购清单及要求”的偏离情况进行打分，非关键性指标</w:t>
            </w:r>
            <w:r>
              <w:rPr>
                <w:rFonts w:hint="eastAsia" w:ascii="宋体" w:hAnsi="宋体" w:cs="宋体"/>
                <w:color w:val="auto"/>
                <w:sz w:val="24"/>
                <w:highlight w:val="none"/>
                <w:lang w:eastAsia="zh-CN"/>
              </w:rPr>
              <w:t>，</w:t>
            </w:r>
            <w:r>
              <w:rPr>
                <w:rFonts w:hint="eastAsia" w:ascii="宋体" w:hAnsi="宋体" w:cs="宋体"/>
                <w:color w:val="auto"/>
                <w:sz w:val="24"/>
                <w:highlight w:val="none"/>
              </w:rPr>
              <w:t>技术参数要求条款响应得分=（供应商满足技术参数要求条款的数量÷技术参数要求条款的总数量）×</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分。（如遇到小数情况，保留</w:t>
            </w:r>
            <w:r>
              <w:rPr>
                <w:rFonts w:hint="eastAsia" w:ascii="宋体" w:hAnsi="宋体" w:cs="宋体"/>
                <w:color w:val="auto"/>
                <w:sz w:val="24"/>
                <w:highlight w:val="none"/>
                <w:lang w:val="en-US" w:eastAsia="zh-CN"/>
              </w:rPr>
              <w:t>两</w:t>
            </w:r>
            <w:r>
              <w:rPr>
                <w:rFonts w:hint="eastAsia" w:ascii="宋体" w:hAnsi="宋体" w:cs="宋体"/>
                <w:color w:val="auto"/>
                <w:sz w:val="24"/>
                <w:highlight w:val="none"/>
              </w:rPr>
              <w:t>位小数）。</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bidi="ar"/>
              </w:rPr>
              <w:t>技术要求及参数需在“技术响应及建议表”中逐条列出，以上</w:t>
            </w:r>
            <w:r>
              <w:rPr>
                <w:rFonts w:hint="eastAsia" w:ascii="宋体" w:hAnsi="宋体" w:cs="宋体"/>
                <w:b/>
                <w:bCs/>
                <w:color w:val="auto"/>
                <w:sz w:val="24"/>
                <w:highlight w:val="none"/>
                <w:lang w:bidi="ar"/>
              </w:rPr>
              <w:t>设备指标</w:t>
            </w:r>
            <w:r>
              <w:rPr>
                <w:rFonts w:hint="eastAsia" w:ascii="宋体" w:hAnsi="宋体" w:cs="宋体"/>
                <w:color w:val="auto"/>
                <w:sz w:val="24"/>
                <w:highlight w:val="none"/>
                <w:lang w:bidi="ar"/>
              </w:rPr>
              <w:t>（材料、软件、服务等非设备除外）需提供相关佐证材料</w:t>
            </w:r>
            <w:r>
              <w:rPr>
                <w:rFonts w:hint="eastAsia" w:ascii="宋体" w:hAnsi="宋体" w:cs="宋体"/>
                <w:color w:val="auto"/>
                <w:sz w:val="24"/>
                <w:highlight w:val="none"/>
              </w:rPr>
              <w:t>（如检测报告或官网截图或产品彩页或原厂技术说明等</w:t>
            </w:r>
            <w:r>
              <w:rPr>
                <w:rFonts w:hint="eastAsia" w:ascii="宋体" w:hAnsi="宋体" w:cs="宋体"/>
                <w:color w:val="auto"/>
                <w:sz w:val="24"/>
                <w:highlight w:val="none"/>
                <w:lang w:bidi="ar"/>
              </w:rPr>
              <w:t>，</w:t>
            </w:r>
            <w:r>
              <w:rPr>
                <w:rFonts w:hint="eastAsia" w:ascii="宋体" w:hAnsi="宋体" w:cs="宋体"/>
                <w:b/>
                <w:bCs/>
                <w:color w:val="auto"/>
                <w:sz w:val="24"/>
                <w:highlight w:val="none"/>
                <w:lang w:bidi="ar"/>
              </w:rPr>
              <w:t>表内响应内容为空头或仅拷贝粘贴响应均不得分。</w:t>
            </w:r>
          </w:p>
        </w:tc>
        <w:tc>
          <w:tcPr>
            <w:tcW w:w="909" w:type="dxa"/>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Style w:val="86"/>
                <w:rFonts w:ascii="宋体" w:hAnsi="宋体" w:cs="宋体"/>
                <w:color w:val="auto"/>
                <w:highlight w:val="none"/>
              </w:rPr>
            </w:pPr>
            <w:r>
              <w:rPr>
                <w:rStyle w:val="86"/>
                <w:rFonts w:hint="eastAsia" w:ascii="宋体" w:hAnsi="宋体" w:cs="宋体"/>
                <w:color w:val="auto"/>
                <w:highlight w:val="none"/>
              </w:rPr>
              <w:t>技术方案深化设计</w:t>
            </w:r>
          </w:p>
        </w:tc>
        <w:tc>
          <w:tcPr>
            <w:tcW w:w="6057" w:type="dxa"/>
            <w:noWrap w:val="0"/>
            <w:vAlign w:val="center"/>
          </w:tcPr>
          <w:p>
            <w:pPr>
              <w:spacing w:line="360"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评委根据投标人自行现场勘察及结合招标文件所提供点位分布、安装示意图情况，根据堪点情况对点位的建设并提出具有详细可行有更好的建设意见和建议，根据投标人提供部分施工点位图纸的规范性、准确性和完整性进行综合打分。</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lang w:val="zh-CN"/>
              </w:rPr>
            </w:pPr>
            <w:r>
              <w:rPr>
                <w:rStyle w:val="86"/>
                <w:rFonts w:hint="eastAsia" w:ascii="宋体" w:hAnsi="宋体" w:cs="宋体"/>
                <w:color w:val="auto"/>
                <w:highlight w:val="none"/>
              </w:rPr>
              <w:t>网络拓扑</w:t>
            </w:r>
          </w:p>
        </w:tc>
        <w:tc>
          <w:tcPr>
            <w:tcW w:w="6057" w:type="dxa"/>
            <w:noWrap w:val="0"/>
            <w:vAlign w:val="center"/>
          </w:tcPr>
          <w:p>
            <w:pPr>
              <w:spacing w:line="360" w:lineRule="auto"/>
              <w:ind w:firstLine="480" w:firstLineChars="200"/>
              <w:jc w:val="left"/>
              <w:rPr>
                <w:rFonts w:hint="eastAsia" w:ascii="宋体" w:hAnsi="宋体" w:cs="宋体"/>
                <w:color w:val="auto"/>
                <w:sz w:val="24"/>
                <w:highlight w:val="none"/>
              </w:rPr>
            </w:pPr>
            <w:r>
              <w:rPr>
                <w:rStyle w:val="86"/>
                <w:rFonts w:hint="eastAsia" w:ascii="宋体" w:hAnsi="宋体" w:cs="宋体"/>
                <w:color w:val="auto"/>
                <w:highlight w:val="none"/>
              </w:rPr>
              <w:t>评委根据投标人提供的网络拓扑的关键设备及运维情况进行打分，需提供自有证明或运营商合作意向书复印件并加盖投标人公章，没有不得分。</w:t>
            </w:r>
          </w:p>
        </w:tc>
        <w:tc>
          <w:tcPr>
            <w:tcW w:w="909" w:type="dxa"/>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rPr>
            </w:pPr>
            <w:r>
              <w:rPr>
                <w:rStyle w:val="86"/>
                <w:rFonts w:hint="eastAsia" w:ascii="宋体" w:hAnsi="宋体" w:cs="宋体"/>
                <w:color w:val="auto"/>
                <w:highlight w:val="none"/>
              </w:rPr>
              <w:t>光缆链路</w:t>
            </w:r>
          </w:p>
        </w:tc>
        <w:tc>
          <w:tcPr>
            <w:tcW w:w="6057" w:type="dxa"/>
            <w:noWrap w:val="0"/>
            <w:vAlign w:val="center"/>
          </w:tcPr>
          <w:p>
            <w:pPr>
              <w:spacing w:line="360"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评委根据投标人具有的光缆链路情况进行打分，需提供自有证明或运营商合作意向书复印件并加盖投标人公章，没有光缆链路不得分。</w:t>
            </w:r>
          </w:p>
        </w:tc>
        <w:tc>
          <w:tcPr>
            <w:tcW w:w="909"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施工组织方案</w:t>
            </w:r>
          </w:p>
        </w:tc>
        <w:tc>
          <w:tcPr>
            <w:tcW w:w="6057" w:type="dxa"/>
            <w:noWrap w:val="0"/>
            <w:vAlign w:val="center"/>
          </w:tcPr>
          <w:p>
            <w:pPr>
              <w:spacing w:line="360" w:lineRule="auto"/>
              <w:ind w:firstLine="480" w:firstLineChars="200"/>
              <w:jc w:val="left"/>
              <w:rPr>
                <w:rStyle w:val="86"/>
                <w:rFonts w:ascii="宋体" w:hAnsi="宋体" w:cs="宋体"/>
                <w:color w:val="auto"/>
                <w:highlight w:val="none"/>
              </w:rPr>
            </w:pPr>
            <w:r>
              <w:rPr>
                <w:rStyle w:val="86"/>
                <w:rFonts w:hint="eastAsia" w:ascii="宋体" w:hAnsi="宋体" w:cs="宋体"/>
                <w:color w:val="auto"/>
                <w:highlight w:val="none"/>
              </w:rPr>
              <w:t>评委根据投标人提供的施工技术方案、 施工质量目标、施工保证措施、 施工组织及安全保证措施等方案的完整性和科学性进行打分</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工程进度安排</w:t>
            </w:r>
          </w:p>
        </w:tc>
        <w:tc>
          <w:tcPr>
            <w:tcW w:w="6057" w:type="dxa"/>
            <w:noWrap w:val="0"/>
            <w:vAlign w:val="center"/>
          </w:tcPr>
          <w:p>
            <w:pPr>
              <w:spacing w:line="360" w:lineRule="auto"/>
              <w:ind w:firstLine="480" w:firstLineChars="200"/>
              <w:jc w:val="left"/>
              <w:rPr>
                <w:rStyle w:val="86"/>
                <w:rFonts w:ascii="宋体" w:hAnsi="宋体" w:cs="宋体"/>
                <w:color w:val="auto"/>
                <w:highlight w:val="none"/>
              </w:rPr>
            </w:pPr>
            <w:r>
              <w:rPr>
                <w:rStyle w:val="86"/>
                <w:rFonts w:hint="eastAsia" w:ascii="宋体" w:hAnsi="宋体" w:cs="宋体"/>
                <w:color w:val="auto"/>
                <w:highlight w:val="none"/>
              </w:rPr>
              <w:t>投标人根据工程工期要求合理安排施工进度，提供详细的施工总进度计划，并作出进度承诺，并能够作出相关承诺能提前完工等情况进行打分</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人员配置</w:t>
            </w:r>
          </w:p>
        </w:tc>
        <w:tc>
          <w:tcPr>
            <w:tcW w:w="6057" w:type="dxa"/>
            <w:noWrap w:val="0"/>
            <w:vAlign w:val="center"/>
          </w:tcPr>
          <w:p>
            <w:pPr>
              <w:spacing w:line="360"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投标人提供一名项目负责人、一名技术负责人和项目管理团队、施工团队及管理体系，根据经验、水平、能力等评委进行综合打分（须提供证书复印件和近半年社保证明复印件并加盖投标人公章）</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vMerge w:val="restart"/>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售后服务方案</w:t>
            </w:r>
          </w:p>
        </w:tc>
        <w:tc>
          <w:tcPr>
            <w:tcW w:w="6057" w:type="dxa"/>
            <w:noWrap w:val="0"/>
            <w:vAlign w:val="center"/>
          </w:tcPr>
          <w:p>
            <w:pPr>
              <w:spacing w:line="360" w:lineRule="auto"/>
              <w:ind w:firstLine="480" w:firstLineChars="200"/>
              <w:jc w:val="left"/>
              <w:rPr>
                <w:rStyle w:val="86"/>
                <w:rFonts w:hint="eastAsia" w:ascii="宋体" w:hAnsi="宋体" w:cs="宋体"/>
                <w:color w:val="auto"/>
                <w:highlight w:val="none"/>
              </w:rPr>
            </w:pPr>
            <w:r>
              <w:rPr>
                <w:rFonts w:hint="eastAsia" w:ascii="宋体" w:hAnsi="宋体" w:cs="宋体"/>
                <w:color w:val="auto"/>
                <w:sz w:val="24"/>
                <w:highlight w:val="none"/>
              </w:rPr>
              <w:t>评委根据投标人针对本项目的售后服务方案进行打分，包括维护期限承诺、质保期限承诺、售后项目组成员职责分工、质量管理体系的建设等。</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atLeast"/>
          <w:jc w:val="center"/>
        </w:trPr>
        <w:tc>
          <w:tcPr>
            <w:tcW w:w="1216" w:type="dxa"/>
            <w:vMerge w:val="continue"/>
            <w:noWrap w:val="0"/>
            <w:vAlign w:val="center"/>
          </w:tcPr>
          <w:p>
            <w:pPr>
              <w:spacing w:line="360" w:lineRule="auto"/>
              <w:jc w:val="center"/>
              <w:rPr>
                <w:rFonts w:hint="eastAsia" w:ascii="宋体" w:hAnsi="宋体" w:cs="宋体"/>
                <w:color w:val="auto"/>
                <w:sz w:val="24"/>
                <w:highlight w:val="none"/>
              </w:rPr>
            </w:pPr>
          </w:p>
        </w:tc>
        <w:tc>
          <w:tcPr>
            <w:tcW w:w="1336" w:type="dxa"/>
            <w:vMerge w:val="continue"/>
            <w:noWrap w:val="0"/>
            <w:vAlign w:val="center"/>
          </w:tcPr>
          <w:p>
            <w:pPr>
              <w:spacing w:line="360" w:lineRule="auto"/>
              <w:jc w:val="center"/>
              <w:rPr>
                <w:rFonts w:hint="eastAsia" w:ascii="宋体" w:hAnsi="宋体" w:cs="宋体"/>
                <w:color w:val="auto"/>
                <w:sz w:val="24"/>
                <w:highlight w:val="none"/>
              </w:rPr>
            </w:pPr>
          </w:p>
        </w:tc>
        <w:tc>
          <w:tcPr>
            <w:tcW w:w="6057" w:type="dxa"/>
            <w:noWrap w:val="0"/>
            <w:vAlign w:val="center"/>
          </w:tcPr>
          <w:p>
            <w:pPr>
              <w:spacing w:line="360" w:lineRule="auto"/>
              <w:ind w:firstLine="480" w:firstLineChars="200"/>
              <w:jc w:val="left"/>
              <w:rPr>
                <w:rStyle w:val="86"/>
                <w:rFonts w:hint="eastAsia" w:ascii="宋体" w:hAnsi="宋体" w:cs="宋体"/>
                <w:color w:val="auto"/>
                <w:highlight w:val="none"/>
              </w:rPr>
            </w:pPr>
            <w:r>
              <w:rPr>
                <w:rFonts w:hint="eastAsia" w:ascii="宋体" w:hAnsi="宋体" w:cs="宋体"/>
                <w:color w:val="auto"/>
                <w:sz w:val="24"/>
                <w:highlight w:val="none"/>
              </w:rPr>
              <w:t>投标人提供的售后维护机构和人员等情况，是否具有较强的本地化服务能力，在本地是否拥有常驻服务和技术支持机构（非本地投标人在绍兴是否有分公司或办事处或第三方协作单位作为常驻服务和技术支持机构）以及较强的专业技术队伍，能提供快速的售后服务响应，需提供营业执照（协作单位的另提供合作协议）。</w:t>
            </w:r>
          </w:p>
        </w:tc>
        <w:tc>
          <w:tcPr>
            <w:tcW w:w="909" w:type="dxa"/>
            <w:noWrap w:val="0"/>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216" w:type="dxa"/>
            <w:vMerge w:val="restart"/>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商务</w:t>
            </w:r>
          </w:p>
          <w:p>
            <w:pPr>
              <w:widowControl/>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分）</w:t>
            </w:r>
          </w:p>
        </w:tc>
        <w:tc>
          <w:tcPr>
            <w:tcW w:w="1336" w:type="dxa"/>
            <w:vMerge w:val="restart"/>
            <w:noWrap w:val="0"/>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资信</w:t>
            </w:r>
          </w:p>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分）</w:t>
            </w:r>
          </w:p>
        </w:tc>
        <w:tc>
          <w:tcPr>
            <w:tcW w:w="6057" w:type="dxa"/>
            <w:noWrap w:val="0"/>
            <w:vAlign w:val="center"/>
          </w:tcPr>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投标人业绩</w:t>
            </w:r>
            <w:r>
              <w:rPr>
                <w:rFonts w:hint="eastAsia" w:ascii="宋体" w:hAnsi="宋体" w:cs="宋体"/>
                <w:b/>
                <w:color w:val="auto"/>
                <w:sz w:val="24"/>
                <w:highlight w:val="none"/>
              </w:rPr>
              <w:t>（具体详见商务要求表）</w:t>
            </w:r>
          </w:p>
        </w:tc>
        <w:tc>
          <w:tcPr>
            <w:tcW w:w="909" w:type="dxa"/>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216" w:type="dxa"/>
            <w:vMerge w:val="continue"/>
            <w:noWrap w:val="0"/>
            <w:vAlign w:val="center"/>
          </w:tcPr>
          <w:p>
            <w:pPr>
              <w:widowControl/>
              <w:spacing w:line="360" w:lineRule="auto"/>
              <w:jc w:val="left"/>
              <w:rPr>
                <w:rFonts w:hint="eastAsia" w:ascii="宋体" w:hAnsi="宋体" w:cs="宋体"/>
                <w:color w:val="auto"/>
                <w:sz w:val="24"/>
                <w:highlight w:val="none"/>
              </w:rPr>
            </w:pPr>
          </w:p>
        </w:tc>
        <w:tc>
          <w:tcPr>
            <w:tcW w:w="1336" w:type="dxa"/>
            <w:vMerge w:val="continue"/>
            <w:noWrap w:val="0"/>
            <w:vAlign w:val="center"/>
          </w:tcPr>
          <w:p>
            <w:pPr>
              <w:spacing w:line="360" w:lineRule="auto"/>
              <w:jc w:val="center"/>
              <w:rPr>
                <w:rFonts w:hint="eastAsia" w:ascii="宋体" w:hAnsi="宋体" w:cs="宋体"/>
                <w:color w:val="auto"/>
                <w:sz w:val="24"/>
                <w:highlight w:val="none"/>
              </w:rPr>
            </w:pPr>
          </w:p>
        </w:tc>
        <w:tc>
          <w:tcPr>
            <w:tcW w:w="6057" w:type="dxa"/>
            <w:noWrap w:val="0"/>
            <w:vAlign w:val="center"/>
          </w:tcPr>
          <w:p>
            <w:pPr>
              <w:spacing w:line="360" w:lineRule="auto"/>
              <w:ind w:firstLine="480" w:firstLineChars="200"/>
              <w:jc w:val="left"/>
              <w:rPr>
                <w:rFonts w:hint="eastAsia" w:ascii="宋体" w:hAnsi="宋体" w:cs="宋体"/>
                <w:color w:val="auto"/>
                <w:sz w:val="24"/>
                <w:highlight w:val="none"/>
                <w:lang w:val="zh-TW"/>
              </w:rPr>
            </w:pPr>
            <w:r>
              <w:rPr>
                <w:rFonts w:hint="eastAsia" w:ascii="宋体" w:hAnsi="宋体" w:cs="宋体"/>
                <w:color w:val="auto"/>
                <w:sz w:val="24"/>
                <w:highlight w:val="none"/>
              </w:rPr>
              <w:t>认证证书</w:t>
            </w:r>
            <w:r>
              <w:rPr>
                <w:rFonts w:hint="eastAsia" w:ascii="宋体" w:hAnsi="宋体" w:cs="宋体"/>
                <w:b/>
                <w:color w:val="auto"/>
                <w:sz w:val="24"/>
                <w:highlight w:val="none"/>
              </w:rPr>
              <w:t>（具体详见商务要求表）</w:t>
            </w:r>
          </w:p>
        </w:tc>
        <w:tc>
          <w:tcPr>
            <w:tcW w:w="909" w:type="dxa"/>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3</w:t>
            </w:r>
          </w:p>
        </w:tc>
      </w:tr>
    </w:tbl>
    <w:p>
      <w:pPr>
        <w:pStyle w:val="2"/>
        <w:rPr>
          <w:rFonts w:hint="eastAsia"/>
          <w:color w:val="auto"/>
          <w:highlight w:val="none"/>
        </w:rPr>
      </w:pPr>
    </w:p>
    <w:p>
      <w:pPr>
        <w:numPr>
          <w:ilvl w:val="0"/>
          <w:numId w:val="41"/>
        </w:numPr>
        <w:spacing w:line="360" w:lineRule="auto"/>
        <w:ind w:firstLine="482" w:firstLineChars="200"/>
        <w:rPr>
          <w:rFonts w:hint="eastAsia" w:ascii="宋体" w:hAnsi="宋体" w:cs="宋体"/>
          <w:color w:val="auto"/>
          <w:sz w:val="24"/>
          <w:szCs w:val="21"/>
          <w:highlight w:val="none"/>
        </w:rPr>
      </w:pPr>
      <w:r>
        <w:rPr>
          <w:rFonts w:hint="eastAsia" w:ascii="宋体" w:hAnsi="宋体" w:cs="宋体"/>
          <w:b/>
          <w:bCs/>
          <w:color w:val="auto"/>
          <w:sz w:val="24"/>
          <w:szCs w:val="21"/>
          <w:highlight w:val="none"/>
        </w:rPr>
        <w:t>商务要求表</w:t>
      </w:r>
      <w:r>
        <w:rPr>
          <w:rFonts w:hint="eastAsia" w:ascii="宋体" w:hAnsi="宋体" w:cs="宋体"/>
          <w:color w:val="auto"/>
          <w:sz w:val="24"/>
          <w:szCs w:val="21"/>
          <w:highlight w:val="none"/>
        </w:rPr>
        <w:t>（对应评分标准）</w:t>
      </w:r>
    </w:p>
    <w:tbl>
      <w:tblPr>
        <w:tblStyle w:val="37"/>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200"/>
        <w:gridCol w:w="6804"/>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Merge w:val="restart"/>
            <w:tcBorders>
              <w:left w:val="single" w:color="auto" w:sz="4" w:space="0"/>
              <w:right w:val="single" w:color="auto" w:sz="4" w:space="0"/>
            </w:tcBorders>
            <w:noWrap w:val="0"/>
            <w:vAlign w:val="center"/>
          </w:tcPr>
          <w:p>
            <w:pPr>
              <w:widowControl/>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资信</w:t>
            </w:r>
          </w:p>
        </w:tc>
        <w:tc>
          <w:tcPr>
            <w:tcW w:w="1200"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Tahoma" w:hAnsi="Tahoma" w:cs="宋体"/>
                <w:color w:val="auto"/>
                <w:sz w:val="24"/>
                <w:highlight w:val="none"/>
              </w:rPr>
            </w:pPr>
            <w:r>
              <w:rPr>
                <w:rStyle w:val="86"/>
                <w:rFonts w:hint="eastAsia" w:cs="宋体"/>
                <w:color w:val="auto"/>
                <w:highlight w:val="none"/>
              </w:rPr>
              <w:t>投标人业绩</w:t>
            </w:r>
          </w:p>
        </w:tc>
        <w:tc>
          <w:tcPr>
            <w:tcW w:w="6804"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投标人自2019年1月1日以来（以合同签订时间为准）完成过类似项目的，每提供一个得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分，本项最高得</w:t>
            </w:r>
            <w:r>
              <w:rPr>
                <w:rFonts w:ascii="宋体" w:hAnsi="宋体" w:cs="宋体"/>
                <w:color w:val="auto"/>
                <w:sz w:val="24"/>
                <w:highlight w:val="none"/>
              </w:rPr>
              <w:t>5</w:t>
            </w:r>
            <w:r>
              <w:rPr>
                <w:rFonts w:hint="eastAsia" w:ascii="宋体" w:hAnsi="宋体" w:cs="宋体"/>
                <w:color w:val="auto"/>
                <w:sz w:val="24"/>
                <w:highlight w:val="none"/>
              </w:rPr>
              <w:t>分。提供合同和中标通知书扫描件加盖公章。</w:t>
            </w:r>
          </w:p>
        </w:tc>
        <w:tc>
          <w:tcPr>
            <w:tcW w:w="6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Merge w:val="continue"/>
            <w:tcBorders>
              <w:left w:val="single" w:color="auto" w:sz="4" w:space="0"/>
              <w:right w:val="single" w:color="auto" w:sz="4" w:space="0"/>
            </w:tcBorders>
            <w:noWrap w:val="0"/>
            <w:vAlign w:val="center"/>
          </w:tcPr>
          <w:p>
            <w:pPr>
              <w:widowControl/>
              <w:spacing w:line="360" w:lineRule="auto"/>
              <w:jc w:val="center"/>
              <w:rPr>
                <w:rFonts w:hint="eastAsia" w:ascii="宋体" w:hAnsi="宋体" w:cs="宋体"/>
                <w:color w:val="auto"/>
                <w:sz w:val="24"/>
                <w:highlight w:val="none"/>
              </w:rPr>
            </w:pPr>
          </w:p>
        </w:tc>
        <w:tc>
          <w:tcPr>
            <w:tcW w:w="1200" w:type="dxa"/>
            <w:tcBorders>
              <w:left w:val="single" w:color="auto" w:sz="4" w:space="0"/>
              <w:right w:val="single" w:color="auto" w:sz="4" w:space="0"/>
            </w:tcBorders>
            <w:noWrap w:val="0"/>
            <w:vAlign w:val="center"/>
          </w:tcPr>
          <w:p>
            <w:pPr>
              <w:spacing w:line="360" w:lineRule="auto"/>
              <w:jc w:val="center"/>
              <w:rPr>
                <w:rStyle w:val="86"/>
                <w:rFonts w:cs="宋体"/>
                <w:color w:val="auto"/>
                <w:highlight w:val="none"/>
              </w:rPr>
            </w:pPr>
            <w:r>
              <w:rPr>
                <w:rStyle w:val="86"/>
                <w:rFonts w:hint="eastAsia" w:cs="宋体"/>
                <w:color w:val="auto"/>
                <w:highlight w:val="none"/>
              </w:rPr>
              <w:t>认证证书</w:t>
            </w:r>
          </w:p>
        </w:tc>
        <w:tc>
          <w:tcPr>
            <w:tcW w:w="6804"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投标人具有在有效期内的信息安全管理体系认证证书、质量管理体系认证证书的每拥有一项得</w:t>
            </w:r>
            <w:r>
              <w:rPr>
                <w:rFonts w:ascii="宋体" w:hAnsi="宋体" w:cs="宋体"/>
                <w:color w:val="auto"/>
                <w:sz w:val="24"/>
                <w:highlight w:val="none"/>
              </w:rPr>
              <w:t>1.5</w:t>
            </w:r>
            <w:r>
              <w:rPr>
                <w:rFonts w:hint="eastAsia" w:ascii="宋体" w:hAnsi="宋体" w:cs="宋体"/>
                <w:color w:val="auto"/>
                <w:sz w:val="24"/>
                <w:highlight w:val="none"/>
              </w:rPr>
              <w:t>分，最高得3分，需提供认证证书扫描件并加盖投标人公章。</w:t>
            </w:r>
          </w:p>
        </w:tc>
        <w:tc>
          <w:tcPr>
            <w:tcW w:w="6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highlight w:val="none"/>
              </w:rPr>
            </w:pPr>
            <w:r>
              <w:rPr>
                <w:rFonts w:ascii="宋体" w:hAnsi="宋体" w:cs="宋体"/>
                <w:color w:val="auto"/>
                <w:sz w:val="24"/>
                <w:highlight w:val="none"/>
              </w:rPr>
              <w:t>3</w:t>
            </w:r>
          </w:p>
        </w:tc>
      </w:tr>
    </w:tbl>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注：</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1、评标委员会各成员应当独立对每个投标人的投标文件进行评价，并汇总每个投标人的得分。资信分为客观分，也需独立进行评价并核对分值，最终分值需一致。</w:t>
      </w:r>
    </w:p>
    <w:p>
      <w:pPr>
        <w:spacing w:line="360" w:lineRule="auto"/>
        <w:ind w:firstLine="480" w:firstLineChars="200"/>
        <w:rPr>
          <w:rFonts w:hint="eastAsia" w:ascii="宋体" w:hAnsi="宋体" w:cs="宋体"/>
          <w:color w:val="auto"/>
          <w:sz w:val="24"/>
          <w:szCs w:val="21"/>
          <w:highlight w:val="none"/>
        </w:rPr>
      </w:pPr>
      <w:r>
        <w:rPr>
          <w:rFonts w:hint="eastAsia" w:ascii="宋体" w:hAnsi="宋体" w:cs="宋体"/>
          <w:color w:val="auto"/>
          <w:sz w:val="24"/>
          <w:szCs w:val="21"/>
          <w:highlight w:val="none"/>
        </w:rPr>
        <w:t>2、所有文件、合同、证书、资质等需要真实有效。中标人在中标后签订合同时需提供以上证明文件原件，若发现资料作假的取消中标资格。</w:t>
      </w:r>
    </w:p>
    <w:p>
      <w:pPr>
        <w:spacing w:line="360" w:lineRule="auto"/>
        <w:ind w:firstLine="480" w:firstLineChars="200"/>
        <w:rPr>
          <w:rFonts w:hint="eastAsia" w:ascii="宋体" w:hAnsi="宋体" w:cs="宋体"/>
          <w:color w:val="auto"/>
          <w:sz w:val="24"/>
          <w:highlight w:val="none"/>
        </w:rPr>
      </w:pPr>
    </w:p>
    <w:p>
      <w:pPr>
        <w:spacing w:after="161" w:afterLines="50" w:line="360" w:lineRule="auto"/>
        <w:jc w:val="center"/>
        <w:outlineLvl w:val="0"/>
        <w:rPr>
          <w:rFonts w:hint="eastAsia" w:ascii="宋体" w:hAnsi="宋体" w:cs="宋体"/>
          <w:b/>
          <w:color w:val="auto"/>
          <w:sz w:val="36"/>
          <w:szCs w:val="36"/>
          <w:highlight w:val="none"/>
        </w:rPr>
      </w:pPr>
      <w:r>
        <w:rPr>
          <w:rFonts w:hint="eastAsia" w:ascii="宋体" w:hAnsi="宋体" w:cs="宋体"/>
          <w:color w:val="auto"/>
          <w:sz w:val="24"/>
          <w:highlight w:val="none"/>
        </w:rPr>
        <w:br w:type="page"/>
      </w:r>
      <w:bookmarkStart w:id="469" w:name="_Toc28223"/>
      <w:bookmarkStart w:id="470" w:name="_Toc18251"/>
      <w:bookmarkStart w:id="471" w:name="_Toc8598"/>
      <w:r>
        <w:rPr>
          <w:rFonts w:hint="eastAsia" w:ascii="宋体" w:hAnsi="宋体" w:cs="宋体"/>
          <w:b/>
          <w:color w:val="auto"/>
          <w:sz w:val="36"/>
          <w:szCs w:val="36"/>
          <w:highlight w:val="none"/>
        </w:rPr>
        <w:t>第四部分   采购需求</w:t>
      </w:r>
      <w:bookmarkEnd w:id="469"/>
      <w:bookmarkEnd w:id="470"/>
      <w:bookmarkEnd w:id="471"/>
    </w:p>
    <w:bookmarkEnd w:id="463"/>
    <w:p>
      <w:pPr>
        <w:pStyle w:val="2"/>
        <w:numPr>
          <w:ilvl w:val="0"/>
          <w:numId w:val="42"/>
        </w:numPr>
        <w:spacing w:line="360" w:lineRule="auto"/>
        <w:jc w:val="center"/>
        <w:rPr>
          <w:rFonts w:hint="eastAsia" w:hAnsi="宋体" w:cs="宋体"/>
          <w:color w:val="auto"/>
          <w:szCs w:val="28"/>
          <w:highlight w:val="none"/>
        </w:rPr>
      </w:pPr>
      <w:bookmarkStart w:id="472" w:name="_Toc10481"/>
      <w:bookmarkStart w:id="473" w:name="_Toc32668"/>
      <w:bookmarkStart w:id="474" w:name="_Toc4614"/>
      <w:bookmarkStart w:id="475" w:name="_Toc23719"/>
      <w:r>
        <w:rPr>
          <w:rFonts w:hint="eastAsia" w:hAnsi="宋体" w:cs="宋体"/>
          <w:color w:val="auto"/>
          <w:kern w:val="0"/>
          <w:szCs w:val="28"/>
          <w:highlight w:val="none"/>
        </w:rPr>
        <w:t>总则</w:t>
      </w:r>
      <w:bookmarkEnd w:id="472"/>
      <w:bookmarkEnd w:id="473"/>
      <w:bookmarkEnd w:id="474"/>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章技术规范及要求提出了功能、性能、设计等方面的最低限度的技术要求，但未对所有技术细节作规定，也未充分引述有关规范和标准的相关条款，故投标供应商有责任根据所提供产品的实际情况对设备进行更科学合理的优化设计及实施方案，并对所提供产品的工艺、安全性、先进性负责，符合技术规格书的要求。</w:t>
      </w:r>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所有设备的技术指标应符合国内已经制定的国家及行业技术标准，如果没有相关国内标准，也可参照相关国际技术标准执行。</w:t>
      </w:r>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投标人必须对全部招标内容进行投标，不允许只对其中部分内容进行投标，谢绝联合投标。</w:t>
      </w:r>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投标产品如与采购要求有细微偏差，采购人将有权要求投标人调整偏差，并不改变投标价格。</w:t>
      </w:r>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投标人须对招标文件中的各个条款一一给予实质性响应，不能仅复制粘贴本采购内容。</w:t>
      </w:r>
    </w:p>
    <w:p>
      <w:pPr>
        <w:numPr>
          <w:ilvl w:val="0"/>
          <w:numId w:val="43"/>
        </w:num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须保证所提供材料产品为厂家原装正品，符合国家有关规定。投标人须保证所提供产品具有合法的版权或使用权，本项目采购的产品，如在本项目范围内使用过程中出现版权或使用权纠纷，应由中标人负责，采购人不承担责任。</w:t>
      </w:r>
    </w:p>
    <w:p>
      <w:pPr>
        <w:pStyle w:val="2"/>
        <w:spacing w:line="360" w:lineRule="auto"/>
        <w:rPr>
          <w:rFonts w:hint="eastAsia" w:hAnsi="宋体" w:cs="宋体"/>
          <w:color w:val="auto"/>
          <w:sz w:val="24"/>
          <w:highlight w:val="none"/>
        </w:rPr>
      </w:pPr>
    </w:p>
    <w:p>
      <w:pPr>
        <w:rPr>
          <w:rFonts w:hint="eastAsia" w:ascii="宋体" w:hAnsi="宋体" w:cs="宋体"/>
          <w:color w:val="auto"/>
          <w:highlight w:val="none"/>
        </w:rPr>
      </w:pPr>
    </w:p>
    <w:p>
      <w:pPr>
        <w:pStyle w:val="2"/>
        <w:numPr>
          <w:ilvl w:val="0"/>
          <w:numId w:val="42"/>
        </w:numPr>
        <w:spacing w:line="360" w:lineRule="auto"/>
        <w:jc w:val="center"/>
        <w:rPr>
          <w:rFonts w:hint="eastAsia" w:hAnsi="宋体" w:cs="宋体"/>
          <w:color w:val="auto"/>
          <w:szCs w:val="28"/>
          <w:highlight w:val="none"/>
        </w:rPr>
      </w:pPr>
      <w:bookmarkStart w:id="476" w:name="_Toc31514"/>
      <w:bookmarkStart w:id="477" w:name="_Toc31336"/>
      <w:bookmarkStart w:id="478" w:name="_Toc23139"/>
      <w:r>
        <w:rPr>
          <w:rFonts w:hint="eastAsia" w:hAnsi="宋体" w:cs="宋体"/>
          <w:color w:val="auto"/>
          <w:kern w:val="0"/>
          <w:szCs w:val="28"/>
          <w:highlight w:val="none"/>
        </w:rPr>
        <w:t>采购内容及要求</w:t>
      </w:r>
      <w:bookmarkEnd w:id="476"/>
      <w:bookmarkEnd w:id="477"/>
      <w:bookmarkEnd w:id="478"/>
    </w:p>
    <w:p>
      <w:pPr>
        <w:numPr>
          <w:ilvl w:val="0"/>
          <w:numId w:val="44"/>
        </w:numPr>
        <w:autoSpaceDE w:val="0"/>
        <w:autoSpaceDN w:val="0"/>
        <w:adjustRightInd w:val="0"/>
        <w:spacing w:line="600" w:lineRule="auto"/>
        <w:ind w:firstLine="482"/>
        <w:jc w:val="left"/>
        <w:rPr>
          <w:rFonts w:hint="eastAsia" w:ascii="宋体" w:hAnsi="宋体" w:cs="宋体"/>
          <w:b/>
          <w:bCs/>
          <w:color w:val="auto"/>
          <w:sz w:val="24"/>
          <w:highlight w:val="none"/>
        </w:rPr>
      </w:pPr>
      <w:bookmarkStart w:id="479" w:name="_Toc70744519"/>
      <w:bookmarkStart w:id="480" w:name="_Toc272"/>
      <w:bookmarkStart w:id="481" w:name="_Toc25591"/>
      <w:r>
        <w:rPr>
          <w:rFonts w:hint="eastAsia" w:ascii="宋体" w:hAnsi="宋体" w:cs="宋体"/>
          <w:b/>
          <w:bCs/>
          <w:color w:val="auto"/>
          <w:sz w:val="24"/>
          <w:highlight w:val="none"/>
        </w:rPr>
        <w:t>项目概况</w:t>
      </w:r>
    </w:p>
    <w:p>
      <w:pPr>
        <w:numPr>
          <w:ilvl w:val="0"/>
          <w:numId w:val="45"/>
        </w:num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项目背景</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随着监控图像联网规模的迅速扩大和应用的日益广泛深入，已建视频监控系统已无法满足公安实战应用需求，对有效提升公安机关核心战斗力已经形成一定制约，亟待解决的短板弱项。</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（1）前端建设有不足</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点位布局、设备选型的科学性和安装位置、覆盖角度的合理性有待提升，存在同一位置多设备堆积冗余等现象，无法发挥应有的效能。点位建设还没完全与城市发展变化保持同步。</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（2）新型违法检测能力不足</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现在新型违法的现象层出不穷，在我们周围随处可见。比如车窗站人、开车打电话、不系安全带、夜间行驶打开遮阳板等。如果无法快速检测出这些新型违法行为，将给我们综合管控带来很大的困扰。</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（3）新能源车快速普及</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近几年国家有关部门相继公布了多项政策来推广和监管新能源车，未来机动车社会发展的趋势肯定是新能源车，所以对新能源车辆的识别和监管也尤为重要。这对传统卡口前端识别带来了新型挑战。。</w:t>
      </w:r>
    </w:p>
    <w:p>
      <w:pPr>
        <w:numPr>
          <w:ilvl w:val="0"/>
          <w:numId w:val="45"/>
        </w:num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设计原则</w:t>
      </w:r>
    </w:p>
    <w:p>
      <w:pPr>
        <w:pStyle w:val="129"/>
        <w:ind w:firstLine="480"/>
        <w:rPr>
          <w:color w:val="auto"/>
          <w:highlight w:val="none"/>
        </w:rPr>
      </w:pPr>
      <w:r>
        <w:rPr>
          <w:rFonts w:hint="eastAsia"/>
          <w:color w:val="auto"/>
          <w:highlight w:val="none"/>
        </w:rPr>
        <w:t>视频</w:t>
      </w:r>
      <w:r>
        <w:rPr>
          <w:color w:val="auto"/>
          <w:highlight w:val="none"/>
        </w:rPr>
        <w:t>前端</w:t>
      </w:r>
      <w:r>
        <w:rPr>
          <w:rFonts w:hint="eastAsia"/>
          <w:color w:val="auto"/>
          <w:highlight w:val="none"/>
        </w:rPr>
        <w:t>的</w:t>
      </w:r>
      <w:r>
        <w:rPr>
          <w:color w:val="auto"/>
          <w:highlight w:val="none"/>
        </w:rPr>
        <w:t>建设</w:t>
      </w:r>
      <w:r>
        <w:rPr>
          <w:rFonts w:hint="eastAsia"/>
          <w:color w:val="auto"/>
          <w:highlight w:val="none"/>
        </w:rPr>
        <w:t>以立体防控</w:t>
      </w:r>
      <w:r>
        <w:rPr>
          <w:color w:val="auto"/>
          <w:highlight w:val="none"/>
        </w:rPr>
        <w:t>、</w:t>
      </w:r>
      <w:r>
        <w:rPr>
          <w:rFonts w:hint="eastAsia"/>
          <w:color w:val="auto"/>
          <w:highlight w:val="none"/>
        </w:rPr>
        <w:t>业务协同</w:t>
      </w:r>
      <w:r>
        <w:rPr>
          <w:color w:val="auto"/>
          <w:highlight w:val="none"/>
        </w:rPr>
        <w:t>、</w:t>
      </w:r>
      <w:r>
        <w:rPr>
          <w:rFonts w:hint="eastAsia"/>
          <w:color w:val="auto"/>
          <w:highlight w:val="none"/>
        </w:rPr>
        <w:t>技术</w:t>
      </w:r>
      <w:r>
        <w:rPr>
          <w:color w:val="auto"/>
          <w:highlight w:val="none"/>
        </w:rPr>
        <w:t>融合、</w:t>
      </w:r>
      <w:r>
        <w:rPr>
          <w:rFonts w:hint="eastAsia"/>
          <w:color w:val="auto"/>
          <w:highlight w:val="none"/>
        </w:rPr>
        <w:t>合理利旧为建设原则，</w:t>
      </w:r>
      <w:r>
        <w:rPr>
          <w:color w:val="auto"/>
          <w:highlight w:val="none"/>
        </w:rPr>
        <w:t>确保</w:t>
      </w:r>
      <w:r>
        <w:rPr>
          <w:rFonts w:hint="eastAsia"/>
          <w:color w:val="auto"/>
          <w:highlight w:val="none"/>
        </w:rPr>
        <w:t>前端监控点位布建和</w:t>
      </w:r>
      <w:r>
        <w:rPr>
          <w:color w:val="auto"/>
          <w:highlight w:val="none"/>
        </w:rPr>
        <w:t>设计满足</w:t>
      </w:r>
      <w:r>
        <w:rPr>
          <w:rFonts w:hint="eastAsia"/>
          <w:color w:val="auto"/>
          <w:highlight w:val="none"/>
        </w:rPr>
        <w:t>平安城市及</w:t>
      </w:r>
      <w:r>
        <w:rPr>
          <w:color w:val="auto"/>
          <w:highlight w:val="none"/>
        </w:rPr>
        <w:t>雪亮工程建设的全局需求，体现城市管理的数字化、自动化和智能化的领先水平</w:t>
      </w:r>
      <w:r>
        <w:rPr>
          <w:rFonts w:hint="eastAsia"/>
          <w:color w:val="auto"/>
          <w:highlight w:val="none"/>
        </w:rPr>
        <w:t>。</w:t>
      </w:r>
    </w:p>
    <w:p>
      <w:pPr>
        <w:pStyle w:val="129"/>
        <w:ind w:firstLine="480"/>
        <w:rPr>
          <w:color w:val="auto"/>
          <w:highlight w:val="none"/>
        </w:rPr>
      </w:pPr>
      <w:r>
        <w:rPr>
          <w:rFonts w:hint="eastAsia"/>
          <w:color w:val="auto"/>
          <w:highlight w:val="none"/>
        </w:rPr>
        <w:t>（1）立体防控</w:t>
      </w:r>
    </w:p>
    <w:p>
      <w:pPr>
        <w:pStyle w:val="129"/>
        <w:ind w:firstLine="480"/>
        <w:rPr>
          <w:color w:val="auto"/>
          <w:highlight w:val="none"/>
        </w:rPr>
      </w:pPr>
      <w:r>
        <w:rPr>
          <w:rFonts w:hint="eastAsia"/>
          <w:color w:val="auto"/>
          <w:highlight w:val="none"/>
        </w:rPr>
        <w:t>在</w:t>
      </w:r>
      <w:r>
        <w:rPr>
          <w:color w:val="auto"/>
          <w:highlight w:val="none"/>
        </w:rPr>
        <w:t>建设视频</w:t>
      </w:r>
      <w:r>
        <w:rPr>
          <w:rFonts w:hint="eastAsia"/>
          <w:color w:val="auto"/>
          <w:highlight w:val="none"/>
        </w:rPr>
        <w:t>监控</w:t>
      </w:r>
      <w:r>
        <w:rPr>
          <w:color w:val="auto"/>
          <w:highlight w:val="none"/>
        </w:rPr>
        <w:t>系统时，应充分考虑</w:t>
      </w:r>
      <w:r>
        <w:rPr>
          <w:rFonts w:hint="eastAsia"/>
          <w:color w:val="auto"/>
          <w:highlight w:val="none"/>
        </w:rPr>
        <w:t>防控</w:t>
      </w:r>
      <w:r>
        <w:rPr>
          <w:color w:val="auto"/>
          <w:highlight w:val="none"/>
        </w:rPr>
        <w:t>区域内治安状况、地形地貌等特点，并结合公共安全重点区域、重点单位分布等因素，按照多层</w:t>
      </w:r>
      <w:r>
        <w:rPr>
          <w:rFonts w:hint="eastAsia"/>
          <w:color w:val="auto"/>
          <w:highlight w:val="none"/>
        </w:rPr>
        <w:t>合围</w:t>
      </w:r>
      <w:r>
        <w:rPr>
          <w:color w:val="auto"/>
          <w:highlight w:val="none"/>
        </w:rPr>
        <w:t>、网格化分割、重要部位防范的要求部署摄像机，形成网格化、多层次立体</w:t>
      </w:r>
      <w:r>
        <w:rPr>
          <w:rFonts w:hint="eastAsia"/>
          <w:color w:val="auto"/>
          <w:highlight w:val="none"/>
        </w:rPr>
        <w:t>智能化</w:t>
      </w:r>
      <w:r>
        <w:rPr>
          <w:color w:val="auto"/>
          <w:highlight w:val="none"/>
        </w:rPr>
        <w:t>的视频监控前端布防</w:t>
      </w:r>
      <w:r>
        <w:rPr>
          <w:rFonts w:hint="eastAsia"/>
          <w:color w:val="auto"/>
          <w:highlight w:val="none"/>
        </w:rPr>
        <w:t>结构。</w:t>
      </w:r>
    </w:p>
    <w:p>
      <w:pPr>
        <w:pStyle w:val="129"/>
        <w:ind w:firstLine="480"/>
        <w:rPr>
          <w:color w:val="auto"/>
          <w:highlight w:val="none"/>
        </w:rPr>
      </w:pPr>
      <w:r>
        <w:rPr>
          <w:rFonts w:hint="eastAsia"/>
          <w:color w:val="auto"/>
          <w:highlight w:val="none"/>
        </w:rPr>
        <w:t>（2）业务协同</w:t>
      </w:r>
    </w:p>
    <w:p>
      <w:pPr>
        <w:pStyle w:val="129"/>
        <w:ind w:firstLine="480"/>
        <w:rPr>
          <w:color w:val="auto"/>
          <w:highlight w:val="none"/>
        </w:rPr>
      </w:pPr>
      <w:r>
        <w:rPr>
          <w:rFonts w:hint="eastAsia"/>
          <w:color w:val="auto"/>
          <w:highlight w:val="none"/>
        </w:rPr>
        <w:t>根据治安防控、社会维稳、打击犯罪、城市管理等业务</w:t>
      </w:r>
      <w:r>
        <w:rPr>
          <w:color w:val="auto"/>
          <w:highlight w:val="none"/>
        </w:rPr>
        <w:t>对视频图像信息</w:t>
      </w:r>
      <w:r>
        <w:rPr>
          <w:rFonts w:hint="eastAsia"/>
          <w:color w:val="auto"/>
          <w:highlight w:val="none"/>
        </w:rPr>
        <w:t>的</w:t>
      </w:r>
      <w:r>
        <w:rPr>
          <w:color w:val="auto"/>
          <w:highlight w:val="none"/>
        </w:rPr>
        <w:t>应用要求</w:t>
      </w:r>
      <w:r>
        <w:rPr>
          <w:rFonts w:hint="eastAsia"/>
          <w:color w:val="auto"/>
          <w:highlight w:val="none"/>
        </w:rPr>
        <w:t>，</w:t>
      </w:r>
      <w:r>
        <w:rPr>
          <w:color w:val="auto"/>
          <w:highlight w:val="none"/>
        </w:rPr>
        <w:t>统一规划、合理分配各监控点的视频图像信息采集任务，实现监控区域宏观态势、目标轨迹、目标细节等类型信息之间的相互补充、相互印证，兼顾不同业务应用</w:t>
      </w:r>
      <w:r>
        <w:rPr>
          <w:rFonts w:hint="eastAsia"/>
          <w:color w:val="auto"/>
          <w:highlight w:val="none"/>
        </w:rPr>
        <w:t>要求。</w:t>
      </w:r>
    </w:p>
    <w:p>
      <w:pPr>
        <w:pStyle w:val="129"/>
        <w:ind w:firstLine="480"/>
        <w:rPr>
          <w:color w:val="auto"/>
          <w:highlight w:val="none"/>
        </w:rPr>
      </w:pPr>
      <w:r>
        <w:rPr>
          <w:rFonts w:hint="eastAsia"/>
          <w:color w:val="auto"/>
          <w:highlight w:val="none"/>
        </w:rPr>
        <w:t>（3）技术融合</w:t>
      </w:r>
    </w:p>
    <w:p>
      <w:pPr>
        <w:pStyle w:val="129"/>
        <w:ind w:firstLine="480"/>
        <w:rPr>
          <w:color w:val="auto"/>
          <w:highlight w:val="none"/>
        </w:rPr>
      </w:pPr>
      <w:r>
        <w:rPr>
          <w:rFonts w:hint="eastAsia"/>
          <w:color w:val="auto"/>
          <w:highlight w:val="none"/>
        </w:rPr>
        <w:t>从视频</w:t>
      </w:r>
      <w:r>
        <w:rPr>
          <w:color w:val="auto"/>
          <w:highlight w:val="none"/>
        </w:rPr>
        <w:t>图像信息的采集要求出发，根据不同</w:t>
      </w:r>
      <w:r>
        <w:rPr>
          <w:rFonts w:hint="eastAsia"/>
          <w:color w:val="auto"/>
          <w:highlight w:val="none"/>
        </w:rPr>
        <w:t>类型</w:t>
      </w:r>
      <w:r>
        <w:rPr>
          <w:color w:val="auto"/>
          <w:highlight w:val="none"/>
        </w:rPr>
        <w:t>摄像机的功能和性能特点选择图像采集设备。综合运用卡口静态图像抓拍、动态视频获取等采集方式采集视频图像信息。综合采用具备视频结构化解析、目标识别、轨迹跟踪</w:t>
      </w:r>
      <w:r>
        <w:rPr>
          <w:rFonts w:hint="eastAsia"/>
          <w:color w:val="auto"/>
          <w:highlight w:val="none"/>
        </w:rPr>
        <w:t>、异常行为分析</w:t>
      </w:r>
      <w:r>
        <w:rPr>
          <w:color w:val="auto"/>
          <w:highlight w:val="none"/>
        </w:rPr>
        <w:t>等不同功能的前端图像采集设备和其他类型信息的采集设备</w:t>
      </w:r>
      <w:r>
        <w:rPr>
          <w:rFonts w:hint="eastAsia"/>
          <w:color w:val="auto"/>
          <w:highlight w:val="none"/>
        </w:rPr>
        <w:t>，</w:t>
      </w:r>
      <w:r>
        <w:rPr>
          <w:color w:val="auto"/>
          <w:highlight w:val="none"/>
        </w:rPr>
        <w:t>形成</w:t>
      </w:r>
      <w:r>
        <w:rPr>
          <w:rFonts w:hint="eastAsia"/>
          <w:color w:val="auto"/>
          <w:highlight w:val="none"/>
        </w:rPr>
        <w:t>多技术</w:t>
      </w:r>
      <w:r>
        <w:rPr>
          <w:color w:val="auto"/>
          <w:highlight w:val="none"/>
        </w:rPr>
        <w:t>、多手段融合</w:t>
      </w:r>
      <w:r>
        <w:rPr>
          <w:rFonts w:hint="eastAsia"/>
          <w:color w:val="auto"/>
          <w:highlight w:val="none"/>
        </w:rPr>
        <w:t>的</w:t>
      </w:r>
      <w:r>
        <w:rPr>
          <w:color w:val="auto"/>
          <w:highlight w:val="none"/>
        </w:rPr>
        <w:t>信息采集方式</w:t>
      </w:r>
      <w:r>
        <w:rPr>
          <w:rFonts w:hint="eastAsia"/>
          <w:color w:val="auto"/>
          <w:highlight w:val="none"/>
        </w:rPr>
        <w:t>。</w:t>
      </w:r>
    </w:p>
    <w:p>
      <w:pPr>
        <w:pStyle w:val="129"/>
        <w:ind w:firstLine="480"/>
        <w:rPr>
          <w:color w:val="auto"/>
          <w:highlight w:val="none"/>
        </w:rPr>
      </w:pPr>
      <w:r>
        <w:rPr>
          <w:rFonts w:hint="eastAsia"/>
          <w:color w:val="auto"/>
          <w:highlight w:val="none"/>
        </w:rPr>
        <w:t>（4）合理利旧</w:t>
      </w:r>
    </w:p>
    <w:p>
      <w:pPr>
        <w:pStyle w:val="129"/>
        <w:ind w:firstLine="480"/>
        <w:rPr>
          <w:rFonts w:hint="eastAsia"/>
          <w:color w:val="auto"/>
          <w:highlight w:val="none"/>
        </w:rPr>
      </w:pPr>
      <w:r>
        <w:rPr>
          <w:color w:val="auto"/>
          <w:highlight w:val="none"/>
        </w:rPr>
        <w:t>以政府为主导，有关部门支持配合，按照统一规划、统一标准原则，结合实际情况进行整合</w:t>
      </w:r>
      <w:r>
        <w:rPr>
          <w:rFonts w:hint="eastAsia"/>
          <w:color w:val="auto"/>
          <w:highlight w:val="none"/>
        </w:rPr>
        <w:t>、改造</w:t>
      </w:r>
      <w:r>
        <w:rPr>
          <w:color w:val="auto"/>
          <w:highlight w:val="none"/>
        </w:rPr>
        <w:t>，实现资源共享，</w:t>
      </w:r>
      <w:r>
        <w:rPr>
          <w:rFonts w:hint="eastAsia"/>
          <w:color w:val="auto"/>
          <w:highlight w:val="none"/>
        </w:rPr>
        <w:t>最大程度的利用现有资源，</w:t>
      </w:r>
      <w:r>
        <w:rPr>
          <w:color w:val="auto"/>
          <w:highlight w:val="none"/>
        </w:rPr>
        <w:t>避免</w:t>
      </w:r>
      <w:r>
        <w:rPr>
          <w:rFonts w:hint="eastAsia"/>
          <w:color w:val="auto"/>
          <w:highlight w:val="none"/>
        </w:rPr>
        <w:t>建设工程中出现</w:t>
      </w:r>
      <w:r>
        <w:rPr>
          <w:color w:val="auto"/>
          <w:highlight w:val="none"/>
        </w:rPr>
        <w:t>重复建设和资源浪费</w:t>
      </w:r>
      <w:r>
        <w:rPr>
          <w:rFonts w:hint="eastAsia"/>
          <w:color w:val="auto"/>
          <w:highlight w:val="none"/>
        </w:rPr>
        <w:t>的现象。</w:t>
      </w:r>
    </w:p>
    <w:p>
      <w:pPr>
        <w:numPr>
          <w:ilvl w:val="0"/>
          <w:numId w:val="45"/>
        </w:numPr>
        <w:spacing w:line="360" w:lineRule="auto"/>
        <w:ind w:firstLine="482" w:firstLineChars="200"/>
        <w:rPr>
          <w:rFonts w:hint="eastAsia" w:ascii="宋体" w:hAnsi="宋体" w:cs="宋体"/>
          <w:b/>
          <w:color w:val="auto"/>
          <w:sz w:val="24"/>
          <w:highlight w:val="none"/>
        </w:rPr>
      </w:pPr>
      <w:bookmarkStart w:id="482" w:name="_Toc103536215"/>
      <w:r>
        <w:rPr>
          <w:rFonts w:hint="eastAsia" w:ascii="宋体" w:hAnsi="宋体" w:cs="宋体"/>
          <w:b/>
          <w:color w:val="auto"/>
          <w:sz w:val="24"/>
          <w:highlight w:val="none"/>
        </w:rPr>
        <w:t>建设内容</w:t>
      </w:r>
      <w:bookmarkEnd w:id="482"/>
    </w:p>
    <w:p>
      <w:pPr>
        <w:pStyle w:val="129"/>
        <w:ind w:firstLine="480"/>
        <w:rPr>
          <w:color w:val="auto"/>
          <w:highlight w:val="none"/>
        </w:rPr>
      </w:pPr>
      <w:r>
        <w:rPr>
          <w:rFonts w:hint="eastAsia"/>
          <w:color w:val="auto"/>
          <w:highlight w:val="none"/>
        </w:rPr>
        <w:t>（1）针对现有前端点位，结合</w:t>
      </w:r>
      <w:r>
        <w:rPr>
          <w:color w:val="auto"/>
          <w:highlight w:val="none"/>
        </w:rPr>
        <w:t>公共安全重点区域、重点单位分布等因素</w:t>
      </w:r>
      <w:r>
        <w:rPr>
          <w:rFonts w:hint="eastAsia"/>
          <w:color w:val="auto"/>
          <w:highlight w:val="none"/>
        </w:rPr>
        <w:t>，</w:t>
      </w:r>
      <w:r>
        <w:rPr>
          <w:color w:val="auto"/>
          <w:highlight w:val="none"/>
        </w:rPr>
        <w:t>按照多层</w:t>
      </w:r>
      <w:r>
        <w:rPr>
          <w:rFonts w:hint="eastAsia"/>
          <w:color w:val="auto"/>
          <w:highlight w:val="none"/>
        </w:rPr>
        <w:t>合围</w:t>
      </w:r>
      <w:r>
        <w:rPr>
          <w:color w:val="auto"/>
          <w:highlight w:val="none"/>
        </w:rPr>
        <w:t>、网格化分割、重要部位防范的要求部署</w:t>
      </w:r>
      <w:r>
        <w:rPr>
          <w:rFonts w:hint="eastAsia"/>
          <w:color w:val="auto"/>
          <w:highlight w:val="none"/>
        </w:rPr>
        <w:t>人车卡口</w:t>
      </w:r>
      <w:r>
        <w:rPr>
          <w:color w:val="auto"/>
          <w:highlight w:val="none"/>
        </w:rPr>
        <w:t>摄像机</w:t>
      </w:r>
      <w:r>
        <w:rPr>
          <w:rFonts w:hint="eastAsia"/>
          <w:color w:val="auto"/>
          <w:highlight w:val="none"/>
        </w:rPr>
        <w:t>、全彩网络摄像机</w:t>
      </w:r>
      <w:r>
        <w:rPr>
          <w:color w:val="auto"/>
          <w:highlight w:val="none"/>
        </w:rPr>
        <w:t>，形成网格化、多层次立体</w:t>
      </w:r>
      <w:r>
        <w:rPr>
          <w:rFonts w:hint="eastAsia"/>
          <w:color w:val="auto"/>
          <w:highlight w:val="none"/>
        </w:rPr>
        <w:t>智能化</w:t>
      </w:r>
      <w:r>
        <w:rPr>
          <w:color w:val="auto"/>
          <w:highlight w:val="none"/>
        </w:rPr>
        <w:t>的视频监控前端布防</w:t>
      </w:r>
      <w:r>
        <w:rPr>
          <w:rFonts w:hint="eastAsia"/>
          <w:color w:val="auto"/>
          <w:highlight w:val="none"/>
        </w:rPr>
        <w:t>结构。</w:t>
      </w:r>
    </w:p>
    <w:p>
      <w:pPr>
        <w:pStyle w:val="129"/>
        <w:ind w:firstLine="480"/>
        <w:rPr>
          <w:rFonts w:hint="eastAsia"/>
          <w:color w:val="auto"/>
          <w:highlight w:val="none"/>
        </w:rPr>
      </w:pPr>
      <w:r>
        <w:rPr>
          <w:rFonts w:hint="eastAsia"/>
          <w:color w:val="auto"/>
          <w:highlight w:val="none"/>
        </w:rPr>
        <w:t>（2）新增前端点位的同时需要增加视频存储空间，结合公安后端存储现状，对后端云存储进行扩容。</w:t>
      </w:r>
    </w:p>
    <w:p>
      <w:pPr>
        <w:spacing w:line="360" w:lineRule="auto"/>
        <w:ind w:left="420" w:leftChars="200"/>
        <w:rPr>
          <w:rFonts w:hint="eastAsia" w:ascii="宋体" w:hAnsi="宋体" w:cs="宋体"/>
          <w:b/>
          <w:color w:val="auto"/>
          <w:sz w:val="24"/>
          <w:highlight w:val="none"/>
        </w:rPr>
      </w:pPr>
      <w:r>
        <w:rPr>
          <w:rFonts w:hint="eastAsia" w:ascii="宋体" w:hAnsi="宋体" w:cs="宋体"/>
          <w:b/>
          <w:color w:val="auto"/>
          <w:sz w:val="24"/>
          <w:highlight w:val="none"/>
        </w:rPr>
        <w:t>二、前端系统设计要求</w:t>
      </w:r>
    </w:p>
    <w:p>
      <w:pPr>
        <w:pStyle w:val="129"/>
        <w:ind w:firstLine="482"/>
        <w:rPr>
          <w:rFonts w:hint="eastAsia" w:ascii="宋体" w:hAnsi="宋体"/>
          <w:b/>
          <w:bCs/>
          <w:color w:val="auto"/>
          <w:szCs w:val="24"/>
          <w:highlight w:val="none"/>
        </w:rPr>
      </w:pPr>
      <w:r>
        <w:rPr>
          <w:rFonts w:hint="eastAsia" w:ascii="宋体" w:hAnsi="宋体"/>
          <w:b/>
          <w:bCs/>
          <w:color w:val="auto"/>
          <w:szCs w:val="24"/>
          <w:highlight w:val="none"/>
        </w:rPr>
        <w:t>1.前端系统设计目标</w:t>
      </w:r>
    </w:p>
    <w:p>
      <w:pPr>
        <w:pStyle w:val="129"/>
        <w:ind w:firstLine="480"/>
        <w:rPr>
          <w:rFonts w:hint="eastAsia" w:ascii="宋体" w:hAnsi="宋体"/>
          <w:color w:val="auto"/>
          <w:szCs w:val="24"/>
          <w:highlight w:val="none"/>
        </w:rPr>
      </w:pPr>
      <w:r>
        <w:rPr>
          <w:rFonts w:hint="eastAsia" w:ascii="宋体" w:hAnsi="宋体"/>
          <w:color w:val="auto"/>
          <w:szCs w:val="24"/>
          <w:highlight w:val="none"/>
        </w:rPr>
        <w:t>目标检测、图像采集处理由卡口抓拍单元加补光灯组成。</w:t>
      </w:r>
    </w:p>
    <w:p>
      <w:pPr>
        <w:pStyle w:val="129"/>
        <w:ind w:firstLine="480"/>
        <w:rPr>
          <w:rFonts w:hint="eastAsia" w:ascii="宋体" w:hAnsi="宋体"/>
          <w:color w:val="auto"/>
          <w:szCs w:val="24"/>
          <w:highlight w:val="none"/>
        </w:rPr>
      </w:pPr>
      <w:r>
        <w:rPr>
          <w:rFonts w:hint="eastAsia" w:ascii="宋体" w:hAnsi="宋体"/>
          <w:color w:val="auto"/>
          <w:szCs w:val="24"/>
          <w:highlight w:val="none"/>
        </w:rPr>
        <w:t>卡口抓拍单元选用的车辆人脸采用高清嵌入式一体化架构设计，集高清视频采集、高清视频处理等核心功能于一体。900万像素高清抓拍相机有效像素达到4096×2160，所拍摄的图片能清晰的分辨车型、车辆颜色、人员脸部特征等，车牌识别率能否保证取决于车牌在照片中所占像素的多少，本系统所采用的号牌识别算法能够在车牌横向像素点不小于120时保证号牌识别的准确率95%以上。</w:t>
      </w:r>
    </w:p>
    <w:p>
      <w:pPr>
        <w:pStyle w:val="129"/>
        <w:ind w:firstLine="480"/>
        <w:rPr>
          <w:rFonts w:hint="eastAsia" w:ascii="宋体" w:hAnsi="宋体"/>
          <w:color w:val="auto"/>
          <w:szCs w:val="24"/>
          <w:highlight w:val="none"/>
        </w:rPr>
      </w:pPr>
      <w:r>
        <w:rPr>
          <w:rFonts w:hint="eastAsia" w:ascii="宋体" w:hAnsi="宋体"/>
          <w:color w:val="auto"/>
          <w:szCs w:val="24"/>
          <w:highlight w:val="none"/>
        </w:rPr>
        <w:t>卡口抓拍单元集成视频检测功能，采用视频检测算法完成机动车的目标检测及抓拍，同时输出高清照片和车牌识别数据，具备强光（逆、顺）抑制功能，减弱白天日光对卡口抓拍单元和夜间机动车大灯对卡口抓拍单元拍照的影响，从所拍照片上能清晰呈现机动车正面全貌和车牌特征。</w:t>
      </w:r>
    </w:p>
    <w:p>
      <w:pPr>
        <w:pStyle w:val="129"/>
        <w:ind w:firstLine="480"/>
        <w:rPr>
          <w:rFonts w:hint="eastAsia" w:ascii="宋体" w:hAnsi="宋体"/>
          <w:color w:val="auto"/>
          <w:szCs w:val="24"/>
          <w:highlight w:val="none"/>
        </w:rPr>
      </w:pPr>
      <w:r>
        <w:rPr>
          <w:rFonts w:hint="eastAsia" w:ascii="宋体" w:hAnsi="宋体"/>
          <w:color w:val="auto"/>
          <w:szCs w:val="24"/>
          <w:highlight w:val="none"/>
        </w:rPr>
        <w:t>卡口抓拍单元与补光灯安装在同一根立杆挑臂上，减少立杆数量和投资费用，减少后期设备污物清理难度。</w:t>
      </w:r>
    </w:p>
    <w:p>
      <w:pPr>
        <w:pStyle w:val="129"/>
        <w:numPr>
          <w:ilvl w:val="0"/>
          <w:numId w:val="46"/>
        </w:numPr>
        <w:ind w:firstLine="482"/>
        <w:rPr>
          <w:rFonts w:hint="eastAsia" w:ascii="宋体" w:hAnsi="宋体"/>
          <w:b/>
          <w:bCs/>
          <w:color w:val="auto"/>
          <w:szCs w:val="24"/>
          <w:highlight w:val="none"/>
        </w:rPr>
      </w:pPr>
      <w:r>
        <w:rPr>
          <w:rFonts w:hint="eastAsia" w:ascii="宋体" w:hAnsi="宋体"/>
          <w:b/>
          <w:bCs/>
          <w:color w:val="auto"/>
          <w:szCs w:val="24"/>
          <w:highlight w:val="none"/>
        </w:rPr>
        <w:t>前端系统设计功能</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系统功能及性能规划严格按照公安部颁标准《道路车辆智能监测记录系统通用技术条件》（GA/T 497-2016）中的有关规定执行，并合理应用科技进步成果提升整体系统性能，同时根据公安交警部门的具体业务应用需求，对数据进行深度挖掘，实现具有行业针对性的业务功能扩展。具体功能设计如下：</w:t>
      </w:r>
    </w:p>
    <w:p>
      <w:pPr>
        <w:pStyle w:val="5"/>
        <w:numPr>
          <w:ilvl w:val="0"/>
          <w:numId w:val="0"/>
        </w:numPr>
        <w:spacing w:line="360" w:lineRule="auto"/>
        <w:ind w:left="555"/>
        <w:rPr>
          <w:rFonts w:hint="eastAsia" w:hAnsi="宋体" w:cs="宋体"/>
          <w:color w:val="auto"/>
          <w:sz w:val="24"/>
          <w:szCs w:val="24"/>
          <w:highlight w:val="none"/>
        </w:rPr>
      </w:pPr>
      <w:bookmarkStart w:id="483" w:name="_Toc438737010"/>
      <w:bookmarkStart w:id="484" w:name="_Toc438461919"/>
      <w:bookmarkStart w:id="485" w:name="_Toc517255801"/>
      <w:bookmarkStart w:id="486" w:name="_Toc103536230"/>
      <w:bookmarkStart w:id="487" w:name="_Toc493601422"/>
      <w:r>
        <w:rPr>
          <w:rFonts w:hint="eastAsia" w:hAnsi="宋体" w:cs="宋体"/>
          <w:color w:val="auto"/>
          <w:sz w:val="24"/>
          <w:szCs w:val="24"/>
          <w:highlight w:val="none"/>
        </w:rPr>
        <w:t>2.2.1车辆捕获功能</w:t>
      </w:r>
      <w:bookmarkEnd w:id="483"/>
      <w:bookmarkEnd w:id="484"/>
      <w:bookmarkEnd w:id="485"/>
      <w:bookmarkEnd w:id="486"/>
      <w:bookmarkEnd w:id="487"/>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通过视频检测方式实现车辆捕获功能，能对所有经过车辆进行捕获，除了能够捕获在车道上正常行驶的车辆外，还具备捕获跨线行驶及逆向行驶车辆的功能。在正常车速（5km/h～200km/h）范围内的监控区域规范行驶的车辆图像捕获准确率达99%以上。</w:t>
      </w:r>
    </w:p>
    <w:p>
      <w:pPr>
        <w:pStyle w:val="5"/>
        <w:numPr>
          <w:ilvl w:val="0"/>
          <w:numId w:val="0"/>
        </w:numPr>
        <w:spacing w:line="360" w:lineRule="auto"/>
        <w:ind w:left="555"/>
        <w:rPr>
          <w:rFonts w:hint="eastAsia" w:hAnsi="宋体" w:cs="宋体"/>
          <w:color w:val="auto"/>
          <w:sz w:val="24"/>
          <w:szCs w:val="24"/>
          <w:highlight w:val="none"/>
        </w:rPr>
      </w:pPr>
      <w:bookmarkStart w:id="488" w:name="_Toc103536231"/>
      <w:bookmarkStart w:id="489" w:name="_Toc438461920"/>
      <w:bookmarkStart w:id="490" w:name="_Toc517255802"/>
      <w:bookmarkStart w:id="491" w:name="_Toc438737011"/>
      <w:bookmarkStart w:id="492" w:name="_Toc493601423"/>
      <w:r>
        <w:rPr>
          <w:rFonts w:hint="eastAsia" w:hAnsi="宋体" w:cs="宋体"/>
          <w:color w:val="auto"/>
          <w:sz w:val="24"/>
          <w:szCs w:val="24"/>
          <w:highlight w:val="none"/>
        </w:rPr>
        <w:t>2.2.2车辆图像记录功能</w:t>
      </w:r>
      <w:bookmarkEnd w:id="488"/>
      <w:bookmarkEnd w:id="489"/>
      <w:bookmarkEnd w:id="490"/>
      <w:bookmarkEnd w:id="491"/>
      <w:bookmarkEnd w:id="492"/>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能够准确捕获、记录通行车辆信息。记录的车辆信息除包含图像信息外，还包括文本信息，如日期、时间（精确到毫秒）、地点、方向、号牌号码、号牌颜色、车身颜色等。车辆信息写入关联数据库，并将相关文本信息叠加到图片上。</w:t>
      </w:r>
    </w:p>
    <w:p>
      <w:pPr>
        <w:pStyle w:val="5"/>
        <w:numPr>
          <w:ilvl w:val="0"/>
          <w:numId w:val="0"/>
        </w:numPr>
        <w:spacing w:line="360" w:lineRule="auto"/>
        <w:ind w:left="555"/>
        <w:rPr>
          <w:rFonts w:hint="eastAsia" w:hAnsi="宋体" w:cs="宋体"/>
          <w:color w:val="auto"/>
          <w:sz w:val="24"/>
          <w:szCs w:val="24"/>
          <w:highlight w:val="none"/>
        </w:rPr>
      </w:pPr>
      <w:bookmarkStart w:id="493" w:name="_Toc438737013"/>
      <w:bookmarkStart w:id="494" w:name="_Toc438461922"/>
      <w:bookmarkStart w:id="495" w:name="_Toc493601425"/>
      <w:bookmarkStart w:id="496" w:name="_Toc103536232"/>
      <w:bookmarkStart w:id="497" w:name="_Toc517255804"/>
      <w:r>
        <w:rPr>
          <w:rFonts w:hint="eastAsia" w:hAnsi="宋体" w:cs="宋体"/>
          <w:color w:val="auto"/>
          <w:sz w:val="24"/>
          <w:szCs w:val="24"/>
          <w:highlight w:val="none"/>
        </w:rPr>
        <w:t>2.2.3行人捕获</w:t>
      </w:r>
      <w:bookmarkEnd w:id="493"/>
      <w:bookmarkEnd w:id="494"/>
      <w:bookmarkEnd w:id="495"/>
      <w:bookmarkEnd w:id="496"/>
      <w:bookmarkEnd w:id="497"/>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系统通过视频检测方式实现行人，能对所有经过监控区域的行人目标进行捕获，全天行人捕获率达到90%以上。</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记录的行人信息除包含图像信息外，还包括文本信息，如日期、时间（精确到毫秒）、地点、方向等。行人信息写入关联数据库，并将相关文本信息叠加到图片上。</w:t>
      </w:r>
    </w:p>
    <w:p>
      <w:pPr>
        <w:pStyle w:val="5"/>
        <w:numPr>
          <w:ilvl w:val="0"/>
          <w:numId w:val="0"/>
        </w:numPr>
        <w:spacing w:line="360" w:lineRule="auto"/>
        <w:ind w:left="555"/>
        <w:rPr>
          <w:rFonts w:hint="eastAsia" w:hAnsi="宋体" w:cs="宋体"/>
          <w:color w:val="auto"/>
          <w:sz w:val="24"/>
          <w:szCs w:val="24"/>
          <w:highlight w:val="none"/>
        </w:rPr>
      </w:pPr>
      <w:bookmarkStart w:id="498" w:name="_Toc103536233"/>
      <w:r>
        <w:rPr>
          <w:rFonts w:hint="eastAsia" w:hAnsi="宋体" w:cs="宋体"/>
          <w:color w:val="auto"/>
          <w:sz w:val="24"/>
          <w:szCs w:val="24"/>
          <w:highlight w:val="none"/>
        </w:rPr>
        <w:t>2.2.4人脸抓拍</w:t>
      </w:r>
      <w:bookmarkEnd w:id="498"/>
    </w:p>
    <w:p>
      <w:pPr>
        <w:pStyle w:val="129"/>
        <w:ind w:firstLine="480"/>
        <w:rPr>
          <w:rFonts w:hint="eastAsia" w:ascii="宋体" w:hAnsi="宋体"/>
          <w:color w:val="auto"/>
          <w:szCs w:val="24"/>
          <w:highlight w:val="none"/>
        </w:rPr>
      </w:pPr>
      <w:r>
        <w:rPr>
          <w:rFonts w:hint="eastAsia" w:ascii="宋体" w:hAnsi="宋体"/>
          <w:color w:val="auto"/>
          <w:szCs w:val="24"/>
          <w:highlight w:val="none"/>
          <w:shd w:val="clear" w:color="auto" w:fill="FFFFFF"/>
        </w:rPr>
        <w:t>支持白天用白光爆闪，晚上用内置灯加红外爆闪同步补光。抓拍图片可看清前排司乘人员人脸，并可用于后端人脸比对。</w:t>
      </w:r>
    </w:p>
    <w:p>
      <w:pPr>
        <w:pStyle w:val="5"/>
        <w:numPr>
          <w:ilvl w:val="0"/>
          <w:numId w:val="0"/>
        </w:numPr>
        <w:spacing w:line="360" w:lineRule="auto"/>
        <w:ind w:left="555"/>
        <w:rPr>
          <w:rFonts w:hint="eastAsia" w:hAnsi="宋体" w:cs="宋体"/>
          <w:color w:val="auto"/>
          <w:sz w:val="24"/>
          <w:szCs w:val="24"/>
          <w:highlight w:val="none"/>
        </w:rPr>
      </w:pPr>
      <w:bookmarkStart w:id="499" w:name="_Toc493601426"/>
      <w:bookmarkStart w:id="500" w:name="_Toc517255805"/>
      <w:bookmarkStart w:id="501" w:name="_Toc103536234"/>
      <w:bookmarkStart w:id="502" w:name="_Toc438737014"/>
      <w:bookmarkStart w:id="503" w:name="_Toc438461923"/>
      <w:r>
        <w:rPr>
          <w:rFonts w:hint="eastAsia" w:hAnsi="宋体" w:cs="宋体"/>
          <w:color w:val="auto"/>
          <w:sz w:val="24"/>
          <w:szCs w:val="24"/>
          <w:highlight w:val="none"/>
        </w:rPr>
        <w:t>2.2.5智能补光功能</w:t>
      </w:r>
      <w:bookmarkEnd w:id="499"/>
      <w:bookmarkEnd w:id="500"/>
      <w:bookmarkEnd w:id="501"/>
      <w:bookmarkEnd w:id="502"/>
      <w:bookmarkEnd w:id="503"/>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综合考虑了车辆前挡风玻璃对光线的反射特性、贴膜情况、环境光线照射情况，采用了特殊的滤光镜头、专门的成像控制策略和补光方式，同时安排了合理的设备布设方式，使得系统全天候对各类车型都能有效解决前挡风玻璃反光和强光直射等问题，确保车身、车牌都清晰可辨。</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采用补光灯和摄像机成像控制模块之间的反馈控制技术，满足夜间拍摄要求。采用强光抑制技术，避免强逆光、强顺光环境下对拍摄造成的影响。</w:t>
      </w:r>
    </w:p>
    <w:p>
      <w:pPr>
        <w:pStyle w:val="5"/>
        <w:numPr>
          <w:ilvl w:val="0"/>
          <w:numId w:val="0"/>
        </w:numPr>
        <w:spacing w:line="360" w:lineRule="auto"/>
        <w:ind w:left="555"/>
        <w:rPr>
          <w:rFonts w:hint="eastAsia" w:hAnsi="宋体" w:cs="宋体"/>
          <w:color w:val="auto"/>
          <w:sz w:val="24"/>
          <w:szCs w:val="24"/>
          <w:highlight w:val="none"/>
        </w:rPr>
      </w:pPr>
      <w:bookmarkStart w:id="504" w:name="_Toc438461924"/>
      <w:bookmarkStart w:id="505" w:name="_Toc493601427"/>
      <w:bookmarkStart w:id="506" w:name="_Toc103536235"/>
      <w:bookmarkStart w:id="507" w:name="_Toc517255806"/>
      <w:bookmarkStart w:id="508" w:name="_Toc438737015"/>
      <w:r>
        <w:rPr>
          <w:rFonts w:hint="eastAsia" w:hAnsi="宋体" w:cs="宋体"/>
          <w:color w:val="auto"/>
          <w:sz w:val="24"/>
          <w:szCs w:val="24"/>
          <w:highlight w:val="none"/>
        </w:rPr>
        <w:t>2.2.6车辆牌照自动识别功能</w:t>
      </w:r>
      <w:bookmarkEnd w:id="504"/>
      <w:bookmarkEnd w:id="505"/>
      <w:bookmarkEnd w:id="506"/>
      <w:bookmarkEnd w:id="507"/>
      <w:bookmarkEnd w:id="508"/>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系统可自动对车辆牌照进行识别，包括车牌号码、车牌颜色的识别。</w:t>
      </w:r>
    </w:p>
    <w:p>
      <w:pPr>
        <w:spacing w:line="360" w:lineRule="auto"/>
        <w:ind w:firstLine="482"/>
        <w:rPr>
          <w:rFonts w:hint="eastAsia" w:ascii="宋体" w:hAnsi="宋体" w:cs="宋体"/>
          <w:b/>
          <w:color w:val="auto"/>
          <w:sz w:val="24"/>
          <w:highlight w:val="none"/>
        </w:rPr>
      </w:pPr>
      <w:r>
        <w:rPr>
          <w:rFonts w:hint="eastAsia" w:ascii="宋体" w:hAnsi="宋体" w:cs="宋体"/>
          <w:b/>
          <w:color w:val="auto"/>
          <w:sz w:val="24"/>
          <w:highlight w:val="none"/>
        </w:rPr>
        <w:t>1）车牌号码自动识别</w:t>
      </w:r>
    </w:p>
    <w:p>
      <w:pPr>
        <w:pStyle w:val="129"/>
        <w:ind w:firstLine="480"/>
        <w:rPr>
          <w:rFonts w:hint="eastAsia" w:ascii="宋体" w:hAnsi="宋体"/>
          <w:color w:val="auto"/>
          <w:szCs w:val="24"/>
          <w:highlight w:val="none"/>
        </w:rPr>
      </w:pPr>
      <w:r>
        <w:rPr>
          <w:rFonts w:hint="eastAsia" w:ascii="宋体" w:hAnsi="宋体"/>
          <w:color w:val="auto"/>
          <w:szCs w:val="24"/>
          <w:highlight w:val="none"/>
        </w:rPr>
        <w:t>系统具备对符合“GA36-2014”标准的民用车牌、警用车牌、使领馆车牌的号牌自动识别能力，并且具备对2012式军车号牌、2012式武警部队号牌的自动识别能力，所能识别的字符包括：</w:t>
      </w:r>
    </w:p>
    <w:p>
      <w:pPr>
        <w:pStyle w:val="129"/>
        <w:ind w:firstLine="480"/>
        <w:rPr>
          <w:rFonts w:hint="eastAsia" w:ascii="宋体" w:hAnsi="宋体"/>
          <w:color w:val="auto"/>
          <w:szCs w:val="24"/>
          <w:highlight w:val="none"/>
        </w:rPr>
      </w:pPr>
    </w:p>
    <w:p>
      <w:pPr>
        <w:pStyle w:val="153"/>
        <w:spacing w:line="360" w:lineRule="auto"/>
        <w:ind w:firstLine="360"/>
        <w:rPr>
          <w:rFonts w:hint="eastAsia" w:ascii="宋体" w:hAnsi="宋体" w:cs="宋体"/>
          <w:color w:val="auto"/>
          <w:sz w:val="24"/>
          <w:highlight w:val="none"/>
        </w:rPr>
      </w:pPr>
      <w:bookmarkStart w:id="509" w:name="_Toc493600827"/>
      <w:bookmarkStart w:id="510" w:name="_Toc493753823"/>
      <w:r>
        <w:rPr>
          <w:rFonts w:hint="eastAsia" w:ascii="宋体" w:hAnsi="宋体" w:cs="宋体"/>
          <w:color w:val="auto"/>
          <w:sz w:val="24"/>
          <w:highlight w:val="none"/>
        </w:rPr>
        <w:t>车辆号牌识别字符</w:t>
      </w:r>
      <w:bookmarkEnd w:id="509"/>
      <w:bookmarkEnd w:id="510"/>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15" w:type="pct"/>
            <w:shd w:val="clear" w:color="auto" w:fill="D0CECE"/>
            <w:noWrap/>
            <w:vAlign w:val="center"/>
          </w:tcPr>
          <w:p>
            <w:pPr>
              <w:jc w:val="center"/>
              <w:rPr>
                <w:rFonts w:hint="eastAsia"/>
                <w:color w:val="auto"/>
                <w:sz w:val="24"/>
                <w:szCs w:val="32"/>
                <w:highlight w:val="none"/>
              </w:rPr>
            </w:pPr>
            <w:r>
              <w:rPr>
                <w:rFonts w:hint="eastAsia"/>
                <w:color w:val="auto"/>
                <w:sz w:val="24"/>
                <w:szCs w:val="32"/>
                <w:highlight w:val="none"/>
              </w:rPr>
              <w:t>字符种类</w:t>
            </w:r>
          </w:p>
        </w:tc>
        <w:tc>
          <w:tcPr>
            <w:tcW w:w="3785" w:type="pct"/>
            <w:shd w:val="clear" w:color="auto" w:fill="D0CECE"/>
            <w:noWrap/>
            <w:vAlign w:val="center"/>
          </w:tcPr>
          <w:p>
            <w:pPr>
              <w:jc w:val="center"/>
              <w:rPr>
                <w:rFonts w:hint="eastAsia"/>
                <w:color w:val="auto"/>
                <w:sz w:val="24"/>
                <w:szCs w:val="32"/>
                <w:highlight w:val="none"/>
              </w:rPr>
            </w:pPr>
            <w:r>
              <w:rPr>
                <w:rFonts w:hint="eastAsia"/>
                <w:color w:val="auto"/>
                <w:sz w:val="24"/>
                <w:szCs w:val="32"/>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阿拉伯数字</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“0～9”十个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英文字母</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“A～Z”二十六个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省、自治区、直辖市简称用汉字</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京、津、晋、冀、蒙、辽、吉、黑、沪、苏、浙、皖、闽、赣、鲁、豫、鄂、湘、粤、桂、琼、川、贵、云、藏、陕、甘、青、宁、新、渝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专用号牌简称用汉字</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领、使、警、学、挂、港、澳、试、超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12式武警号牌字符</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WJ样式的字母、省份简称汉字、警种字母（X、B、T、S、H、J、D）、数字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121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12式军车号牌字符</w:t>
            </w:r>
          </w:p>
        </w:tc>
        <w:tc>
          <w:tcPr>
            <w:tcW w:w="3785" w:type="pct"/>
            <w:noWrap w:val="0"/>
            <w:vAlign w:val="center"/>
          </w:tcPr>
          <w:p>
            <w:pPr>
              <w:widowControl/>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各军区/各军兵种部拼音缩写字母、各军区/各军兵种部下辖各部属机构拼音缩写字母、数字</w:t>
            </w:r>
          </w:p>
        </w:tc>
      </w:tr>
    </w:tbl>
    <w:p>
      <w:pPr>
        <w:spacing w:line="360" w:lineRule="auto"/>
        <w:ind w:firstLine="482"/>
        <w:rPr>
          <w:rFonts w:hint="eastAsia" w:ascii="宋体" w:hAnsi="宋体" w:cs="宋体"/>
          <w:b/>
          <w:color w:val="auto"/>
          <w:sz w:val="24"/>
          <w:highlight w:val="none"/>
        </w:rPr>
      </w:pPr>
      <w:r>
        <w:rPr>
          <w:rFonts w:hint="eastAsia" w:ascii="宋体" w:hAnsi="宋体" w:cs="宋体"/>
          <w:b/>
          <w:color w:val="auto"/>
          <w:sz w:val="24"/>
          <w:highlight w:val="none"/>
        </w:rPr>
        <w:t>2）车牌颜色自动识别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系统能识别黑、白、蓝、黄、绿五种车牌颜色。</w:t>
      </w:r>
    </w:p>
    <w:p>
      <w:pPr>
        <w:spacing w:line="360" w:lineRule="auto"/>
        <w:ind w:firstLine="482"/>
        <w:rPr>
          <w:rFonts w:hint="eastAsia" w:ascii="宋体" w:hAnsi="宋体" w:cs="宋体"/>
          <w:b/>
          <w:color w:val="auto"/>
          <w:sz w:val="24"/>
          <w:highlight w:val="none"/>
        </w:rPr>
      </w:pPr>
      <w:r>
        <w:rPr>
          <w:rFonts w:hint="eastAsia" w:ascii="宋体" w:hAnsi="宋体" w:cs="宋体"/>
          <w:b/>
          <w:color w:val="auto"/>
          <w:sz w:val="24"/>
          <w:highlight w:val="none"/>
        </w:rPr>
        <w:t>3）系统识别的车牌类型部分示例</w:t>
      </w:r>
    </w:p>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object>
          <v:shape id="_x0000_i1025" o:spt="75" type="#_x0000_t75" style="height:195.45pt;width:384.7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pStyle w:val="10"/>
        <w:rPr>
          <w:rFonts w:hint="eastAsia" w:ascii="宋体" w:hAnsi="宋体" w:cs="宋体"/>
          <w:color w:val="auto"/>
          <w:sz w:val="24"/>
          <w:szCs w:val="24"/>
          <w:highlight w:val="none"/>
        </w:rPr>
      </w:pPr>
      <w:bookmarkStart w:id="511" w:name="_Toc493600772"/>
      <w:bookmarkStart w:id="512" w:name="_Toc493753868"/>
      <w:r>
        <w:rPr>
          <w:rFonts w:hint="eastAsia" w:ascii="宋体" w:hAnsi="宋体" w:cs="宋体"/>
          <w:color w:val="auto"/>
          <w:sz w:val="24"/>
          <w:szCs w:val="24"/>
          <w:highlight w:val="none"/>
        </w:rPr>
        <w:t>系统识别车牌类型示例</w:t>
      </w:r>
      <w:bookmarkEnd w:id="511"/>
      <w:bookmarkEnd w:id="512"/>
    </w:p>
    <w:p>
      <w:pPr>
        <w:spacing w:line="360" w:lineRule="auto"/>
        <w:ind w:firstLine="482"/>
        <w:rPr>
          <w:rFonts w:hint="eastAsia" w:ascii="宋体" w:hAnsi="宋体" w:cs="宋体"/>
          <w:b/>
          <w:color w:val="auto"/>
          <w:sz w:val="24"/>
          <w:highlight w:val="none"/>
        </w:rPr>
      </w:pPr>
      <w:r>
        <w:rPr>
          <w:rFonts w:hint="eastAsia" w:ascii="宋体" w:hAnsi="宋体" w:cs="宋体"/>
          <w:b/>
          <w:color w:val="auto"/>
          <w:sz w:val="24"/>
          <w:highlight w:val="none"/>
        </w:rPr>
        <w:t>4）前端识别技术</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车辆牌照自动识别算法（车牌识别、车牌颜色识别）集成在卡口抓拍单元中，识别结果由卡口抓拍单元直接输出。</w:t>
      </w:r>
    </w:p>
    <w:p>
      <w:pPr>
        <w:pStyle w:val="5"/>
        <w:numPr>
          <w:ilvl w:val="0"/>
          <w:numId w:val="0"/>
        </w:numPr>
        <w:spacing w:line="360" w:lineRule="auto"/>
        <w:ind w:left="555"/>
        <w:rPr>
          <w:rFonts w:hint="eastAsia" w:hAnsi="宋体" w:cs="宋体"/>
          <w:color w:val="auto"/>
          <w:sz w:val="24"/>
          <w:szCs w:val="24"/>
          <w:highlight w:val="none"/>
        </w:rPr>
      </w:pPr>
      <w:bookmarkStart w:id="513" w:name="_Toc438737016"/>
      <w:bookmarkStart w:id="514" w:name="_Toc493601428"/>
      <w:bookmarkStart w:id="515" w:name="_Toc517255807"/>
      <w:bookmarkStart w:id="516" w:name="_Toc438461925"/>
      <w:bookmarkStart w:id="517" w:name="_Toc103536236"/>
      <w:r>
        <w:rPr>
          <w:rFonts w:hint="eastAsia" w:hAnsi="宋体" w:cs="宋体"/>
          <w:color w:val="auto"/>
          <w:sz w:val="24"/>
          <w:szCs w:val="24"/>
          <w:highlight w:val="none"/>
        </w:rPr>
        <w:t>2.2.7车身颜色识别功能</w:t>
      </w:r>
      <w:bookmarkEnd w:id="513"/>
      <w:bookmarkEnd w:id="514"/>
      <w:bookmarkEnd w:id="515"/>
      <w:bookmarkEnd w:id="516"/>
      <w:bookmarkEnd w:id="517"/>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系统可自动对车身深浅和颜色进行识别，可供用户根据车身颜色来查询通行车辆，为公安交通管理和刑侦案件侦破提供了科技新手段。</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系统可自动区分出车辆为深色车辆还是浅色车辆；并识别出11种常见车身颜色，11种颜色包括：白，灰(银)，黄、粉、红、绿、蓝、棕、黑、紫、青。</w:t>
      </w:r>
    </w:p>
    <w:p>
      <w:pPr>
        <w:pStyle w:val="5"/>
        <w:numPr>
          <w:ilvl w:val="0"/>
          <w:numId w:val="0"/>
        </w:numPr>
        <w:spacing w:line="360" w:lineRule="auto"/>
        <w:ind w:left="555"/>
        <w:rPr>
          <w:rFonts w:hint="eastAsia" w:hAnsi="宋体" w:cs="宋体"/>
          <w:color w:val="auto"/>
          <w:sz w:val="24"/>
          <w:szCs w:val="24"/>
          <w:highlight w:val="none"/>
        </w:rPr>
      </w:pPr>
      <w:bookmarkStart w:id="518" w:name="_Toc438737017"/>
      <w:bookmarkStart w:id="519" w:name="_Toc438461926"/>
      <w:bookmarkStart w:id="520" w:name="_Toc493601429"/>
      <w:bookmarkStart w:id="521" w:name="_Toc103536237"/>
      <w:bookmarkStart w:id="522" w:name="_Toc517255808"/>
      <w:r>
        <w:rPr>
          <w:rFonts w:hint="eastAsia" w:hAnsi="宋体" w:cs="宋体"/>
          <w:color w:val="auto"/>
          <w:sz w:val="24"/>
          <w:szCs w:val="24"/>
          <w:highlight w:val="none"/>
        </w:rPr>
        <w:t>2.2.8车型判别功能</w:t>
      </w:r>
      <w:bookmarkEnd w:id="518"/>
      <w:bookmarkEnd w:id="519"/>
      <w:bookmarkEnd w:id="520"/>
      <w:bookmarkEnd w:id="521"/>
      <w:bookmarkEnd w:id="522"/>
    </w:p>
    <w:p>
      <w:pPr>
        <w:spacing w:line="360" w:lineRule="auto"/>
        <w:ind w:firstLine="480"/>
        <w:rPr>
          <w:rFonts w:hint="eastAsia" w:ascii="宋体" w:hAnsi="宋体" w:cs="宋体"/>
          <w:color w:val="auto"/>
          <w:sz w:val="24"/>
          <w:highlight w:val="none"/>
        </w:rPr>
      </w:pPr>
      <w:bookmarkStart w:id="523" w:name="_Toc438737018"/>
      <w:bookmarkStart w:id="524" w:name="_Toc438461927"/>
      <w:r>
        <w:rPr>
          <w:rFonts w:hint="eastAsia" w:ascii="宋体" w:hAnsi="宋体" w:cs="宋体"/>
          <w:color w:val="auto"/>
          <w:sz w:val="24"/>
          <w:highlight w:val="none"/>
        </w:rPr>
        <w:t>系统采用车牌颜色和视频检测技术结合的方法对车辆类型进行判别，可对13种车型进行识别（SUV、MVP、两厢轿车、三厢轿车、轿跑、小型轿车、微型轿车、面包车、皮卡车、小型货车(包括微卡、轻卡及中卡)、大型货车、小型客车、大型客车）。</w:t>
      </w:r>
    </w:p>
    <w:p>
      <w:pPr>
        <w:pStyle w:val="5"/>
        <w:numPr>
          <w:ilvl w:val="0"/>
          <w:numId w:val="0"/>
        </w:numPr>
        <w:spacing w:line="360" w:lineRule="auto"/>
        <w:ind w:left="555"/>
        <w:rPr>
          <w:rFonts w:hint="eastAsia" w:hAnsi="宋体" w:cs="宋体"/>
          <w:color w:val="auto"/>
          <w:sz w:val="24"/>
          <w:szCs w:val="24"/>
          <w:highlight w:val="none"/>
        </w:rPr>
      </w:pPr>
      <w:bookmarkStart w:id="525" w:name="_Toc493601430"/>
      <w:bookmarkStart w:id="526" w:name="_Toc103536238"/>
      <w:bookmarkStart w:id="527" w:name="_Toc517255809"/>
      <w:r>
        <w:rPr>
          <w:rFonts w:hint="eastAsia" w:hAnsi="宋体" w:cs="宋体"/>
          <w:color w:val="auto"/>
          <w:sz w:val="24"/>
          <w:szCs w:val="24"/>
          <w:highlight w:val="none"/>
        </w:rPr>
        <w:t>2.2.9车标识别功能</w:t>
      </w:r>
      <w:bookmarkEnd w:id="523"/>
      <w:bookmarkEnd w:id="524"/>
      <w:bookmarkEnd w:id="525"/>
      <w:bookmarkEnd w:id="526"/>
      <w:bookmarkEnd w:id="527"/>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系统采用视频检测技术对车标进行识别，可对250种车标进行识别，可供用户根据车标来查询通行车辆，为公安交通管理和刑侦案件侦破提供了科技新手段。</w:t>
      </w:r>
    </w:p>
    <w:p>
      <w:pPr>
        <w:pStyle w:val="5"/>
        <w:numPr>
          <w:ilvl w:val="0"/>
          <w:numId w:val="0"/>
        </w:numPr>
        <w:spacing w:line="360" w:lineRule="auto"/>
        <w:ind w:left="555"/>
        <w:rPr>
          <w:rFonts w:hint="eastAsia" w:hAnsi="宋体" w:cs="宋体"/>
          <w:color w:val="auto"/>
          <w:sz w:val="24"/>
          <w:szCs w:val="24"/>
          <w:highlight w:val="none"/>
        </w:rPr>
      </w:pPr>
      <w:bookmarkStart w:id="528" w:name="_Toc493601431"/>
      <w:bookmarkStart w:id="529" w:name="_Toc103536239"/>
      <w:bookmarkStart w:id="530" w:name="_Toc517255810"/>
      <w:bookmarkStart w:id="531" w:name="_Toc438737019"/>
      <w:bookmarkStart w:id="532" w:name="_Toc438461928"/>
      <w:r>
        <w:rPr>
          <w:rFonts w:hint="eastAsia" w:hAnsi="宋体" w:cs="宋体"/>
          <w:color w:val="auto"/>
          <w:sz w:val="24"/>
          <w:szCs w:val="24"/>
          <w:highlight w:val="none"/>
        </w:rPr>
        <w:t>2.2.10车辆子品牌识别功能</w:t>
      </w:r>
      <w:bookmarkEnd w:id="528"/>
      <w:bookmarkEnd w:id="529"/>
      <w:bookmarkEnd w:id="530"/>
      <w:bookmarkEnd w:id="531"/>
      <w:bookmarkEnd w:id="532"/>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系统采用视频检测技术对车辆子品牌进行识别，可对3000种车辆子品牌进行识别，可供用户根据车辆子品牌来查询通行车辆，为公安交通管理和刑侦案件侦破提供了科技支撑。</w:t>
      </w:r>
    </w:p>
    <w:p>
      <w:pPr>
        <w:pStyle w:val="5"/>
        <w:numPr>
          <w:ilvl w:val="0"/>
          <w:numId w:val="0"/>
        </w:numPr>
        <w:spacing w:line="360" w:lineRule="auto"/>
        <w:ind w:left="555"/>
        <w:rPr>
          <w:rFonts w:hint="eastAsia" w:hAnsi="宋体" w:cs="宋体"/>
          <w:color w:val="auto"/>
          <w:sz w:val="24"/>
          <w:szCs w:val="24"/>
          <w:highlight w:val="none"/>
        </w:rPr>
      </w:pPr>
      <w:bookmarkStart w:id="533" w:name="_Toc103536240"/>
      <w:bookmarkStart w:id="534" w:name="_Toc438737021"/>
      <w:bookmarkStart w:id="535" w:name="_Toc517255812"/>
      <w:bookmarkStart w:id="536" w:name="_Toc438461930"/>
      <w:bookmarkStart w:id="537" w:name="_Toc493601433"/>
      <w:r>
        <w:rPr>
          <w:rFonts w:hint="eastAsia" w:hAnsi="宋体" w:cs="宋体"/>
          <w:color w:val="auto"/>
          <w:sz w:val="24"/>
          <w:szCs w:val="24"/>
          <w:highlight w:val="none"/>
        </w:rPr>
        <w:t>2.2.11数据断点续传功能</w:t>
      </w:r>
      <w:bookmarkEnd w:id="533"/>
      <w:bookmarkEnd w:id="534"/>
      <w:bookmarkEnd w:id="535"/>
      <w:bookmarkEnd w:id="536"/>
      <w:bookmarkEnd w:id="537"/>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支持断点续传功能。网络传输通道故障时，终端服务器能在一定时间内临时缓存完整的数据信息，当通信恢复以后，临时存储的数据能自动续传，补录到中心管理平台集中存储。续传策略有两种：历史数据优先上传、最新数据优先上传。</w:t>
      </w:r>
    </w:p>
    <w:p>
      <w:pPr>
        <w:pStyle w:val="5"/>
        <w:numPr>
          <w:ilvl w:val="0"/>
          <w:numId w:val="0"/>
        </w:numPr>
        <w:spacing w:line="360" w:lineRule="auto"/>
        <w:ind w:left="555"/>
        <w:rPr>
          <w:rFonts w:hint="eastAsia" w:hAnsi="宋体" w:cs="宋体"/>
          <w:color w:val="auto"/>
          <w:sz w:val="24"/>
          <w:szCs w:val="24"/>
          <w:highlight w:val="none"/>
        </w:rPr>
      </w:pPr>
      <w:bookmarkStart w:id="538" w:name="_Toc517255813"/>
      <w:bookmarkStart w:id="539" w:name="_Toc493601434"/>
      <w:bookmarkStart w:id="540" w:name="_Toc438737022"/>
      <w:bookmarkStart w:id="541" w:name="_Toc103536241"/>
      <w:bookmarkStart w:id="542" w:name="_Toc438461931"/>
      <w:r>
        <w:rPr>
          <w:rFonts w:hint="eastAsia" w:hAnsi="宋体" w:cs="宋体"/>
          <w:color w:val="auto"/>
          <w:sz w:val="24"/>
          <w:szCs w:val="24"/>
          <w:highlight w:val="none"/>
        </w:rPr>
        <w:t>2.2.12图像防篡改功能</w:t>
      </w:r>
      <w:bookmarkEnd w:id="538"/>
      <w:bookmarkEnd w:id="539"/>
      <w:bookmarkEnd w:id="540"/>
      <w:bookmarkEnd w:id="541"/>
      <w:bookmarkEnd w:id="542"/>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系统记录的原始图像信息具备防篡改功能，避免在传输、存储、处理等过程中被人为篡改。</w:t>
      </w:r>
    </w:p>
    <w:p>
      <w:pPr>
        <w:pStyle w:val="5"/>
        <w:numPr>
          <w:ilvl w:val="0"/>
          <w:numId w:val="0"/>
        </w:numPr>
        <w:spacing w:line="360" w:lineRule="auto"/>
        <w:ind w:left="555"/>
        <w:rPr>
          <w:rFonts w:hint="eastAsia" w:hAnsi="宋体" w:cs="宋体"/>
          <w:color w:val="auto"/>
          <w:sz w:val="24"/>
          <w:szCs w:val="24"/>
          <w:highlight w:val="none"/>
        </w:rPr>
      </w:pPr>
      <w:bookmarkStart w:id="543" w:name="_Toc438737023"/>
      <w:bookmarkStart w:id="544" w:name="_Toc517255814"/>
      <w:bookmarkStart w:id="545" w:name="_Toc493601435"/>
      <w:bookmarkStart w:id="546" w:name="_Toc438461932"/>
      <w:bookmarkStart w:id="547" w:name="_Toc103536242"/>
      <w:r>
        <w:rPr>
          <w:rFonts w:hint="eastAsia" w:hAnsi="宋体" w:cs="宋体"/>
          <w:color w:val="auto"/>
          <w:sz w:val="24"/>
          <w:szCs w:val="24"/>
          <w:highlight w:val="none"/>
        </w:rPr>
        <w:t>2.2.13网络远程维护功能</w:t>
      </w:r>
      <w:bookmarkEnd w:id="543"/>
      <w:bookmarkEnd w:id="544"/>
      <w:bookmarkEnd w:id="545"/>
      <w:bookmarkEnd w:id="546"/>
      <w:bookmarkEnd w:id="547"/>
    </w:p>
    <w:p>
      <w:pPr>
        <w:pStyle w:val="129"/>
        <w:ind w:firstLine="480"/>
        <w:rPr>
          <w:rFonts w:hint="eastAsia" w:ascii="宋体" w:hAnsi="宋体"/>
          <w:color w:val="auto"/>
          <w:szCs w:val="24"/>
          <w:highlight w:val="none"/>
        </w:rPr>
      </w:pPr>
      <w:r>
        <w:rPr>
          <w:rFonts w:hint="eastAsia" w:ascii="宋体" w:hAnsi="宋体"/>
          <w:color w:val="auto"/>
          <w:szCs w:val="24"/>
          <w:highlight w:val="none"/>
        </w:rPr>
        <w:t>卡口前端子系统预留了时间校正接口、参数设置接口、运行情况的诊断接口和恢复接口，可对前端设备进行设置、调试及维护。管理员可以实时查看前端设备的运行状态。可通过网络实现远程维护、远程设置和远程升级等功能。</w:t>
      </w:r>
    </w:p>
    <w:p>
      <w:pPr>
        <w:spacing w:line="360" w:lineRule="auto"/>
        <w:ind w:left="630"/>
        <w:rPr>
          <w:rFonts w:hint="eastAsia" w:ascii="宋体" w:hAnsi="宋体" w:cs="宋体"/>
          <w:b/>
          <w:color w:val="auto"/>
          <w:sz w:val="24"/>
          <w:highlight w:val="none"/>
        </w:rPr>
      </w:pPr>
      <w:r>
        <w:rPr>
          <w:rFonts w:hint="eastAsia" w:ascii="宋体" w:hAnsi="宋体" w:cs="宋体"/>
          <w:b/>
          <w:color w:val="auto"/>
          <w:sz w:val="24"/>
          <w:highlight w:val="none"/>
        </w:rPr>
        <w:t>三、云存储设计要求</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1.云存储设计设计目标</w:t>
      </w:r>
    </w:p>
    <w:p>
      <w:pPr>
        <w:pStyle w:val="129"/>
        <w:ind w:firstLine="480"/>
        <w:rPr>
          <w:rFonts w:hint="eastAsia"/>
          <w:color w:val="auto"/>
          <w:highlight w:val="none"/>
        </w:rPr>
      </w:pPr>
      <w:r>
        <w:rPr>
          <w:rFonts w:hint="eastAsia"/>
          <w:color w:val="auto"/>
          <w:highlight w:val="none"/>
        </w:rPr>
        <w:t>视频云存储系统设计的核心目标其一是视频和图片数据在存储方面能够很好的满足用户需求；其二是为用户应用数据提供高效、稳定、快速的服务；其三是系统可以实现便捷、可靠的统一管理及运维。</w:t>
      </w:r>
    </w:p>
    <w:p>
      <w:pPr>
        <w:pStyle w:val="129"/>
        <w:ind w:firstLine="480"/>
        <w:rPr>
          <w:rFonts w:hint="eastAsia"/>
          <w:color w:val="auto"/>
          <w:highlight w:val="none"/>
        </w:rPr>
      </w:pPr>
      <w:r>
        <w:rPr>
          <w:rFonts w:hint="eastAsia"/>
          <w:color w:val="auto"/>
          <w:highlight w:val="none"/>
        </w:rPr>
        <w:t>（1）数据存储</w:t>
      </w:r>
    </w:p>
    <w:p>
      <w:pPr>
        <w:pStyle w:val="129"/>
        <w:ind w:firstLine="480"/>
        <w:rPr>
          <w:rFonts w:hint="eastAsia"/>
          <w:color w:val="auto"/>
          <w:highlight w:val="none"/>
        </w:rPr>
      </w:pPr>
      <w:r>
        <w:rPr>
          <w:rFonts w:hint="eastAsia"/>
          <w:color w:val="auto"/>
          <w:highlight w:val="none"/>
        </w:rPr>
        <w:t>视频云存储系统实现百PB级的海量存储，突破传统的SAN或NAS在容量和性能的扩展上存在的瓶颈，实现性能与容量的线性扩展，满足用户对高性能、高可用性的需求。</w:t>
      </w:r>
    </w:p>
    <w:p>
      <w:pPr>
        <w:pStyle w:val="129"/>
        <w:ind w:firstLine="480"/>
        <w:rPr>
          <w:rFonts w:hint="eastAsia"/>
          <w:color w:val="auto"/>
          <w:highlight w:val="none"/>
        </w:rPr>
      </w:pPr>
      <w:r>
        <w:rPr>
          <w:rFonts w:hint="eastAsia"/>
          <w:color w:val="auto"/>
          <w:highlight w:val="none"/>
        </w:rPr>
        <w:t>视频云存储系统通过集群智能化部署设计，不同于传统视频存储的部署模式，系统性能全面提升，而且不再存在单机故障及性能瓶颈应用，从而实现高效实用的存储系统。</w:t>
      </w:r>
    </w:p>
    <w:p>
      <w:pPr>
        <w:pStyle w:val="129"/>
        <w:ind w:firstLine="480"/>
        <w:rPr>
          <w:rFonts w:hint="eastAsia"/>
          <w:color w:val="auto"/>
          <w:highlight w:val="none"/>
        </w:rPr>
      </w:pPr>
      <w:r>
        <w:rPr>
          <w:rFonts w:hint="eastAsia"/>
          <w:color w:val="auto"/>
          <w:highlight w:val="none"/>
        </w:rPr>
        <w:t>（2）应用服务</w:t>
      </w:r>
    </w:p>
    <w:p>
      <w:pPr>
        <w:pStyle w:val="129"/>
        <w:ind w:firstLine="480"/>
        <w:rPr>
          <w:rFonts w:hint="eastAsia"/>
          <w:color w:val="auto"/>
          <w:highlight w:val="none"/>
        </w:rPr>
      </w:pPr>
      <w:r>
        <w:rPr>
          <w:rFonts w:hint="eastAsia"/>
          <w:color w:val="auto"/>
          <w:highlight w:val="none"/>
        </w:rPr>
        <w:t>视频云存储系统是一套贴合用户需求而设计视频云存储系统，其先天的基因中就融入了面向应用的特质，在不断发展的趋势下这种面向应用的特质会不断地为用户提供高效、灵活、可靠的专业级存储服务。</w:t>
      </w:r>
    </w:p>
    <w:p>
      <w:pPr>
        <w:pStyle w:val="129"/>
        <w:ind w:firstLine="480"/>
        <w:rPr>
          <w:rFonts w:hint="eastAsia"/>
          <w:color w:val="auto"/>
          <w:highlight w:val="none"/>
        </w:rPr>
      </w:pPr>
      <w:r>
        <w:rPr>
          <w:rFonts w:hint="eastAsia"/>
          <w:color w:val="auto"/>
          <w:highlight w:val="none"/>
        </w:rPr>
        <w:t>（3）统一管理及运维</w:t>
      </w:r>
    </w:p>
    <w:p>
      <w:pPr>
        <w:pStyle w:val="129"/>
        <w:ind w:firstLine="480"/>
        <w:rPr>
          <w:rFonts w:hint="eastAsia"/>
          <w:color w:val="auto"/>
          <w:highlight w:val="none"/>
        </w:rPr>
      </w:pPr>
      <w:r>
        <w:rPr>
          <w:rFonts w:hint="eastAsia"/>
          <w:color w:val="auto"/>
          <w:highlight w:val="none"/>
        </w:rPr>
        <w:t>视频云存储系统具有高效灵活的空间管理能力，通过全系统分层集群的设计将系统的管理资源进行整合，并根据负载均衡算法提供全高效并发处理机制，提高了系统的整体性能。</w:t>
      </w:r>
    </w:p>
    <w:p>
      <w:pPr>
        <w:pStyle w:val="129"/>
        <w:ind w:firstLine="480"/>
        <w:rPr>
          <w:rFonts w:ascii="宋体" w:hAnsi="宋体"/>
          <w:bCs/>
          <w:color w:val="auto"/>
          <w:highlight w:val="none"/>
        </w:rPr>
      </w:pPr>
      <w:r>
        <w:rPr>
          <w:rFonts w:hint="eastAsia"/>
          <w:color w:val="auto"/>
          <w:highlight w:val="none"/>
        </w:rPr>
        <w:t>视频云存储系统内的设备和资源的运行情况进行统一监控，以标准的SNMP协议与运维服务器进行数据交互，能够非常便捷的实现系统整体运维。</w:t>
      </w:r>
    </w:p>
    <w:p>
      <w:pPr>
        <w:numPr>
          <w:ilvl w:val="0"/>
          <w:numId w:val="47"/>
        </w:num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云存储系统功能</w:t>
      </w:r>
    </w:p>
    <w:p>
      <w:pPr>
        <w:pStyle w:val="129"/>
        <w:ind w:firstLine="480"/>
        <w:rPr>
          <w:color w:val="auto"/>
          <w:highlight w:val="none"/>
        </w:rPr>
      </w:pPr>
      <w:bookmarkStart w:id="548" w:name="_Toc532133520"/>
      <w:bookmarkStart w:id="549" w:name="_Toc103536252"/>
      <w:bookmarkStart w:id="550" w:name="_Toc78389940"/>
      <w:bookmarkStart w:id="551" w:name="_Toc43313691"/>
      <w:bookmarkStart w:id="552" w:name="_Toc88231032"/>
      <w:bookmarkStart w:id="553" w:name="_Toc72226470"/>
      <w:r>
        <w:rPr>
          <w:rFonts w:hint="eastAsia"/>
          <w:color w:val="auto"/>
          <w:highlight w:val="none"/>
        </w:rPr>
        <w:t>（1）视频存储</w:t>
      </w:r>
      <w:bookmarkEnd w:id="548"/>
      <w:bookmarkEnd w:id="549"/>
      <w:bookmarkEnd w:id="550"/>
      <w:bookmarkEnd w:id="551"/>
      <w:bookmarkEnd w:id="552"/>
      <w:bookmarkEnd w:id="553"/>
    </w:p>
    <w:p>
      <w:pPr>
        <w:pStyle w:val="129"/>
        <w:ind w:firstLine="480"/>
        <w:rPr>
          <w:color w:val="auto"/>
          <w:highlight w:val="none"/>
        </w:rPr>
      </w:pPr>
      <w:r>
        <w:rPr>
          <w:rFonts w:hint="eastAsia"/>
          <w:color w:val="auto"/>
          <w:highlight w:val="none"/>
        </w:rPr>
        <w:t>录像计划管理：关联平台配置好的录像计划，并将录像计划同步到各个存储节点。</w:t>
      </w:r>
    </w:p>
    <w:p>
      <w:pPr>
        <w:pStyle w:val="129"/>
        <w:ind w:firstLine="480"/>
        <w:rPr>
          <w:color w:val="auto"/>
          <w:highlight w:val="none"/>
        </w:rPr>
      </w:pPr>
      <w:r>
        <w:rPr>
          <w:rFonts w:hint="eastAsia"/>
          <w:color w:val="auto"/>
          <w:highlight w:val="none"/>
        </w:rPr>
        <w:t>录像计划执行：根据配置要求确定通道和存储地址，负责将录像数据向下层模块的写入操作。</w:t>
      </w:r>
    </w:p>
    <w:p>
      <w:pPr>
        <w:pStyle w:val="129"/>
        <w:ind w:firstLine="480"/>
        <w:rPr>
          <w:color w:val="auto"/>
          <w:highlight w:val="none"/>
        </w:rPr>
      </w:pPr>
      <w:r>
        <w:rPr>
          <w:rFonts w:hint="eastAsia"/>
          <w:color w:val="auto"/>
          <w:highlight w:val="none"/>
        </w:rPr>
        <w:t>视频录像：系统可以按照用户制定的计划保存前端设备采集的录像数据，录像类型、录像头由用户指定，存储开启相关的资源。</w:t>
      </w:r>
    </w:p>
    <w:p>
      <w:pPr>
        <w:pStyle w:val="129"/>
        <w:ind w:firstLine="480"/>
        <w:rPr>
          <w:color w:val="auto"/>
          <w:highlight w:val="none"/>
        </w:rPr>
      </w:pPr>
      <w:r>
        <w:rPr>
          <w:rFonts w:hint="eastAsia"/>
          <w:color w:val="auto"/>
          <w:highlight w:val="none"/>
        </w:rPr>
        <w:t>移动侦测录像：根据设定移动侦测区域自动执行相应的录像任务</w:t>
      </w:r>
    </w:p>
    <w:p>
      <w:pPr>
        <w:pStyle w:val="129"/>
        <w:ind w:firstLine="480"/>
        <w:rPr>
          <w:color w:val="auto"/>
          <w:highlight w:val="none"/>
        </w:rPr>
      </w:pPr>
      <w:r>
        <w:rPr>
          <w:rFonts w:hint="eastAsia"/>
          <w:color w:val="auto"/>
          <w:highlight w:val="none"/>
        </w:rPr>
        <w:t>事件录像：根据具体事件执行录像任务，优先级高于定时和移动侦测录像</w:t>
      </w:r>
    </w:p>
    <w:p>
      <w:pPr>
        <w:pStyle w:val="129"/>
        <w:ind w:firstLine="480"/>
        <w:rPr>
          <w:color w:val="auto"/>
          <w:highlight w:val="none"/>
        </w:rPr>
      </w:pPr>
      <w:r>
        <w:rPr>
          <w:rFonts w:hint="eastAsia"/>
          <w:color w:val="auto"/>
          <w:highlight w:val="none"/>
        </w:rPr>
        <w:t>视频检索：用户可以按监控点编号、录像类型、时间组合、锁定、标注等条件查询录像数据。</w:t>
      </w:r>
    </w:p>
    <w:p>
      <w:pPr>
        <w:pStyle w:val="129"/>
        <w:ind w:firstLine="480"/>
        <w:rPr>
          <w:color w:val="auto"/>
          <w:highlight w:val="none"/>
        </w:rPr>
      </w:pPr>
      <w:r>
        <w:rPr>
          <w:rFonts w:hint="eastAsia"/>
          <w:color w:val="auto"/>
          <w:highlight w:val="none"/>
        </w:rPr>
        <w:t>视频回放：支持根据监控点编号以及时间段、录像类型对录像数据进行快放、慢放、倒序回放、I帧回放。</w:t>
      </w:r>
    </w:p>
    <w:p>
      <w:pPr>
        <w:pStyle w:val="129"/>
        <w:ind w:firstLine="480"/>
        <w:rPr>
          <w:color w:val="auto"/>
          <w:highlight w:val="none"/>
        </w:rPr>
      </w:pPr>
      <w:r>
        <w:rPr>
          <w:rFonts w:hint="eastAsia"/>
          <w:color w:val="auto"/>
          <w:highlight w:val="none"/>
        </w:rPr>
        <w:t>视频下载：支持根据监控点编号以及时间段对录像数据进行下载。</w:t>
      </w:r>
    </w:p>
    <w:p>
      <w:pPr>
        <w:pStyle w:val="129"/>
        <w:ind w:firstLine="480"/>
        <w:rPr>
          <w:color w:val="auto"/>
          <w:highlight w:val="none"/>
        </w:rPr>
      </w:pPr>
      <w:r>
        <w:rPr>
          <w:rFonts w:hint="eastAsia"/>
          <w:color w:val="auto"/>
          <w:highlight w:val="none"/>
        </w:rPr>
        <w:t>视频锁定：支持指定的录像片段进行锁定，锁定后的数据不被循环覆盖掉。</w:t>
      </w:r>
    </w:p>
    <w:p>
      <w:pPr>
        <w:pStyle w:val="129"/>
        <w:ind w:firstLine="480"/>
        <w:rPr>
          <w:color w:val="auto"/>
          <w:highlight w:val="none"/>
        </w:rPr>
      </w:pPr>
      <w:bookmarkStart w:id="554" w:name="_Toc72226471"/>
      <w:bookmarkStart w:id="555" w:name="_Toc532133521"/>
      <w:bookmarkStart w:id="556" w:name="_Toc88231033"/>
      <w:bookmarkStart w:id="557" w:name="_Toc78389941"/>
      <w:bookmarkStart w:id="558" w:name="_Toc43313692"/>
      <w:bookmarkStart w:id="559" w:name="_Toc103536253"/>
      <w:r>
        <w:rPr>
          <w:rFonts w:hint="eastAsia"/>
          <w:color w:val="auto"/>
          <w:highlight w:val="none"/>
        </w:rPr>
        <w:t>（2）图片存储</w:t>
      </w:r>
      <w:bookmarkEnd w:id="554"/>
      <w:bookmarkEnd w:id="555"/>
      <w:bookmarkEnd w:id="556"/>
      <w:bookmarkEnd w:id="557"/>
      <w:bookmarkEnd w:id="558"/>
      <w:bookmarkEnd w:id="559"/>
    </w:p>
    <w:p>
      <w:pPr>
        <w:pStyle w:val="129"/>
        <w:ind w:firstLine="480"/>
        <w:rPr>
          <w:color w:val="auto"/>
          <w:highlight w:val="none"/>
        </w:rPr>
      </w:pPr>
      <w:r>
        <w:rPr>
          <w:rFonts w:hint="eastAsia"/>
          <w:color w:val="auto"/>
          <w:highlight w:val="none"/>
        </w:rPr>
        <w:t>图片存储：支持图片从卡警服务器、图片服务器等直存云存储。支持图片从抓拍机直存云存储。</w:t>
      </w:r>
    </w:p>
    <w:p>
      <w:pPr>
        <w:pStyle w:val="129"/>
        <w:ind w:firstLine="480"/>
        <w:rPr>
          <w:color w:val="auto"/>
          <w:highlight w:val="none"/>
        </w:rPr>
      </w:pPr>
      <w:r>
        <w:rPr>
          <w:rFonts w:hint="eastAsia"/>
          <w:color w:val="auto"/>
          <w:highlight w:val="none"/>
        </w:rPr>
        <w:t>图片预览：支持根据URL进行图片预览。支持多种图片压缩方式预览:百分比压缩、大小压缩、宽高压缩。</w:t>
      </w:r>
    </w:p>
    <w:p>
      <w:pPr>
        <w:pStyle w:val="129"/>
        <w:ind w:firstLine="480"/>
        <w:rPr>
          <w:color w:val="auto"/>
          <w:highlight w:val="none"/>
        </w:rPr>
      </w:pPr>
      <w:r>
        <w:rPr>
          <w:rFonts w:hint="eastAsia"/>
          <w:color w:val="auto"/>
          <w:highlight w:val="none"/>
        </w:rPr>
        <w:t>即存即取：支持缓存加速，图片获取速度提升，实现图片即存、即取、即分析的业务需求</w:t>
      </w:r>
    </w:p>
    <w:p>
      <w:pPr>
        <w:pStyle w:val="129"/>
        <w:ind w:firstLine="480"/>
        <w:rPr>
          <w:color w:val="auto"/>
          <w:highlight w:val="none"/>
        </w:rPr>
      </w:pPr>
      <w:r>
        <w:rPr>
          <w:rFonts w:hint="eastAsia"/>
          <w:color w:val="auto"/>
          <w:highlight w:val="none"/>
        </w:rPr>
        <w:t>图片下载：支持根据URL进行指定图片下载。支持根据监控点编号以及时间段对图片批量下载。图片下载时支持多种图片压缩方式:百分比压缩、大小压缩、宽高压缩。</w:t>
      </w:r>
    </w:p>
    <w:p>
      <w:pPr>
        <w:pStyle w:val="129"/>
        <w:ind w:firstLine="480"/>
        <w:rPr>
          <w:color w:val="auto"/>
          <w:highlight w:val="none"/>
        </w:rPr>
      </w:pPr>
      <w:r>
        <w:rPr>
          <w:rFonts w:hint="eastAsia"/>
          <w:color w:val="auto"/>
          <w:highlight w:val="none"/>
        </w:rPr>
        <w:t>图片锁定：支持指定URL的图片进行锁定，锁定后的数据不被循环覆盖。支持根据监控点编号以及时间段对图片批量锁定。支持已锁定的图片锁定时长到期自动解锁。</w:t>
      </w:r>
    </w:p>
    <w:p>
      <w:pPr>
        <w:pStyle w:val="129"/>
        <w:ind w:firstLine="480"/>
        <w:rPr>
          <w:color w:val="auto"/>
          <w:highlight w:val="none"/>
          <w:lang w:val="zh-CN"/>
        </w:rPr>
      </w:pPr>
      <w:bookmarkStart w:id="560" w:name="_Toc88231034"/>
      <w:bookmarkStart w:id="561" w:name="_Toc103536254"/>
      <w:bookmarkStart w:id="562" w:name="_Toc72226472"/>
      <w:bookmarkStart w:id="563" w:name="_Toc43313693"/>
      <w:bookmarkStart w:id="564" w:name="_Toc78389942"/>
      <w:bookmarkStart w:id="565" w:name="_Toc532133523"/>
      <w:r>
        <w:rPr>
          <w:rFonts w:hint="eastAsia"/>
          <w:color w:val="auto"/>
          <w:highlight w:val="none"/>
        </w:rPr>
        <w:t>（3）系统管理</w:t>
      </w:r>
      <w:bookmarkEnd w:id="560"/>
      <w:bookmarkEnd w:id="561"/>
      <w:bookmarkEnd w:id="562"/>
      <w:bookmarkEnd w:id="563"/>
      <w:bookmarkEnd w:id="564"/>
      <w:bookmarkEnd w:id="565"/>
    </w:p>
    <w:p>
      <w:pPr>
        <w:pStyle w:val="129"/>
        <w:ind w:firstLine="480"/>
        <w:rPr>
          <w:color w:val="auto"/>
          <w:highlight w:val="none"/>
        </w:rPr>
      </w:pPr>
      <w:r>
        <w:rPr>
          <w:rFonts w:hint="eastAsia"/>
          <w:color w:val="auto"/>
          <w:highlight w:val="none"/>
        </w:rPr>
        <w:t>集群管理：集群采用快速索引管理，能根据用户的各种查询条件（监控点编号、录像类型、时间段等）进行快速定位。集群采用虚拟IP技术，对外提供统一的入口IP形式，将集群的访问在集群中根据各种算法进行分摊，降低单个节点的访问压力。</w:t>
      </w:r>
    </w:p>
    <w:p>
      <w:pPr>
        <w:pStyle w:val="129"/>
        <w:ind w:firstLine="480"/>
        <w:rPr>
          <w:color w:val="auto"/>
          <w:highlight w:val="none"/>
        </w:rPr>
      </w:pPr>
      <w:r>
        <w:rPr>
          <w:rFonts w:hint="eastAsia"/>
          <w:color w:val="auto"/>
          <w:highlight w:val="none"/>
        </w:rPr>
        <w:t>负载均衡管理：后端存储节点压力进行实时监控，当单台存储节点压力过大时能根据智能算法将业务平滑迁移至其他存储节点，达到整个集群间负载均衡目的。通过实时的数据录像情况调整和分配系统内存储资源空间，提高系统存储空间利用率。</w:t>
      </w:r>
    </w:p>
    <w:p>
      <w:pPr>
        <w:pStyle w:val="129"/>
        <w:ind w:firstLine="480"/>
        <w:rPr>
          <w:color w:val="auto"/>
          <w:highlight w:val="none"/>
        </w:rPr>
      </w:pPr>
      <w:r>
        <w:rPr>
          <w:rFonts w:hint="eastAsia"/>
          <w:color w:val="auto"/>
          <w:highlight w:val="none"/>
        </w:rPr>
        <w:t>虚拟化管理：支持对存储设备统一管理，将存储容量虚拟化为资源池提供存储容量。</w:t>
      </w:r>
    </w:p>
    <w:p>
      <w:pPr>
        <w:pStyle w:val="129"/>
        <w:ind w:firstLine="480"/>
        <w:rPr>
          <w:color w:val="auto"/>
          <w:highlight w:val="none"/>
        </w:rPr>
      </w:pPr>
      <w:r>
        <w:rPr>
          <w:rFonts w:hint="eastAsia"/>
          <w:color w:val="auto"/>
          <w:highlight w:val="none"/>
        </w:rPr>
        <w:t>支持资源池容量灵活分配，可灵活调整资源池容量容量大小。支持按数据类型划分资源池，可划分视频、图片、文件、通用资源池。支持资源池容量周期管理，支持按时间、空间进行数据容量循环覆盖。</w:t>
      </w:r>
    </w:p>
    <w:p>
      <w:pPr>
        <w:pStyle w:val="129"/>
        <w:ind w:firstLine="480"/>
        <w:rPr>
          <w:color w:val="auto"/>
          <w:highlight w:val="none"/>
        </w:rPr>
      </w:pPr>
      <w:r>
        <w:rPr>
          <w:rFonts w:hint="eastAsia"/>
          <w:color w:val="auto"/>
          <w:highlight w:val="none"/>
        </w:rPr>
        <w:t>分散存储管理：将前端数据通过特定算法，平滑分散至各个存储节点，从而降低大量回放对单台存储节点的压力。</w:t>
      </w:r>
    </w:p>
    <w:p>
      <w:pPr>
        <w:pStyle w:val="129"/>
        <w:ind w:firstLine="480"/>
        <w:rPr>
          <w:color w:val="auto"/>
          <w:highlight w:val="none"/>
        </w:rPr>
      </w:pPr>
      <w:r>
        <w:rPr>
          <w:rFonts w:hint="eastAsia"/>
          <w:color w:val="auto"/>
          <w:highlight w:val="none"/>
        </w:rPr>
        <w:t>混合存储管理：支持视频、图片、文件、智能流混合存储。</w:t>
      </w:r>
    </w:p>
    <w:p>
      <w:pPr>
        <w:pStyle w:val="129"/>
        <w:ind w:firstLine="480"/>
        <w:rPr>
          <w:color w:val="auto"/>
          <w:highlight w:val="none"/>
        </w:rPr>
      </w:pPr>
      <w:r>
        <w:rPr>
          <w:rFonts w:hint="eastAsia"/>
          <w:color w:val="auto"/>
          <w:highlight w:val="none"/>
        </w:rPr>
        <w:t>在线扩展：支持系统在线扩展提升系统规模、性能、容量能力</w:t>
      </w:r>
    </w:p>
    <w:p>
      <w:pPr>
        <w:pStyle w:val="129"/>
        <w:ind w:firstLine="480"/>
        <w:rPr>
          <w:color w:val="auto"/>
          <w:highlight w:val="none"/>
        </w:rPr>
      </w:pPr>
      <w:r>
        <w:rPr>
          <w:rFonts w:hint="eastAsia"/>
          <w:color w:val="auto"/>
          <w:highlight w:val="none"/>
        </w:rPr>
        <w:t>权限管理：支持多级用户管理，对用户和资源池进行绑定，对用户的行为权限进行限定。</w:t>
      </w:r>
    </w:p>
    <w:p>
      <w:pPr>
        <w:pStyle w:val="129"/>
        <w:ind w:firstLine="480"/>
        <w:rPr>
          <w:color w:val="auto"/>
          <w:highlight w:val="none"/>
        </w:rPr>
      </w:pPr>
      <w:r>
        <w:rPr>
          <w:rFonts w:hint="eastAsia"/>
          <w:color w:val="auto"/>
          <w:highlight w:val="none"/>
        </w:rPr>
        <w:t>支持交互协议采用摘要验证和加密机制，确保网络交互协议的安全。</w:t>
      </w:r>
    </w:p>
    <w:p>
      <w:pPr>
        <w:pStyle w:val="129"/>
        <w:ind w:firstLine="480"/>
        <w:rPr>
          <w:color w:val="auto"/>
          <w:highlight w:val="none"/>
        </w:rPr>
      </w:pPr>
      <w:bookmarkStart w:id="566" w:name="_Toc532133524"/>
      <w:bookmarkStart w:id="567" w:name="_Toc88231035"/>
      <w:bookmarkStart w:id="568" w:name="_Toc43313694"/>
      <w:bookmarkStart w:id="569" w:name="_Toc78389943"/>
      <w:bookmarkStart w:id="570" w:name="_Toc72226473"/>
      <w:bookmarkStart w:id="571" w:name="_Toc103536255"/>
      <w:r>
        <w:rPr>
          <w:rFonts w:hint="eastAsia"/>
          <w:color w:val="auto"/>
          <w:highlight w:val="none"/>
        </w:rPr>
        <w:t>（4）安全管理</w:t>
      </w:r>
      <w:bookmarkEnd w:id="566"/>
      <w:bookmarkEnd w:id="567"/>
      <w:bookmarkEnd w:id="568"/>
      <w:bookmarkEnd w:id="569"/>
      <w:bookmarkEnd w:id="570"/>
      <w:bookmarkEnd w:id="571"/>
    </w:p>
    <w:p>
      <w:pPr>
        <w:pStyle w:val="129"/>
        <w:ind w:firstLine="480"/>
        <w:rPr>
          <w:color w:val="auto"/>
          <w:highlight w:val="none"/>
        </w:rPr>
      </w:pPr>
      <w:r>
        <w:rPr>
          <w:rFonts w:hint="eastAsia"/>
          <w:color w:val="auto"/>
          <w:highlight w:val="none"/>
        </w:rPr>
        <w:t>业务安全保护：支持存储设备故障，业务可自动进行切换业务持续性。</w:t>
      </w:r>
    </w:p>
    <w:p>
      <w:pPr>
        <w:pStyle w:val="129"/>
        <w:ind w:firstLine="480"/>
        <w:rPr>
          <w:color w:val="auto"/>
          <w:highlight w:val="none"/>
        </w:rPr>
      </w:pPr>
      <w:r>
        <w:rPr>
          <w:rFonts w:hint="eastAsia"/>
          <w:color w:val="auto"/>
          <w:highlight w:val="none"/>
        </w:rPr>
        <w:t>录像安全保护：支持N+M级别下，条带中M个以上的块单元损坏，剩余数据依然可读，录像依旧可以进行回放。</w:t>
      </w:r>
    </w:p>
    <w:p>
      <w:pPr>
        <w:pStyle w:val="129"/>
        <w:ind w:firstLine="480"/>
        <w:rPr>
          <w:color w:val="auto"/>
          <w:highlight w:val="none"/>
        </w:rPr>
      </w:pPr>
      <w:r>
        <w:rPr>
          <w:rFonts w:hint="eastAsia"/>
          <w:color w:val="auto"/>
          <w:highlight w:val="none"/>
        </w:rPr>
        <w:t>智能重构：支持设置数据级别，按优先级顺序进行数据重构。</w:t>
      </w:r>
    </w:p>
    <w:p>
      <w:pPr>
        <w:pStyle w:val="129"/>
        <w:ind w:firstLine="480"/>
        <w:rPr>
          <w:color w:val="auto"/>
          <w:highlight w:val="none"/>
        </w:rPr>
      </w:pPr>
      <w:r>
        <w:rPr>
          <w:rFonts w:hint="eastAsia"/>
          <w:color w:val="auto"/>
          <w:highlight w:val="none"/>
        </w:rPr>
        <w:t>纠删码保护：支持Erasure Code算法，支持N+M级别数据保障机制。</w:t>
      </w:r>
    </w:p>
    <w:p>
      <w:pPr>
        <w:pStyle w:val="129"/>
        <w:ind w:firstLine="480"/>
        <w:rPr>
          <w:color w:val="auto"/>
          <w:highlight w:val="none"/>
        </w:rPr>
      </w:pPr>
      <w:r>
        <w:rPr>
          <w:rFonts w:hint="eastAsia"/>
          <w:color w:val="auto"/>
          <w:highlight w:val="none"/>
        </w:rPr>
        <w:t>数据安全保护：支持N+M级别下，条带中M个以内的块单元故障数据可恢复。</w:t>
      </w:r>
    </w:p>
    <w:p>
      <w:pPr>
        <w:pStyle w:val="129"/>
        <w:ind w:firstLine="480"/>
        <w:rPr>
          <w:color w:val="auto"/>
          <w:highlight w:val="none"/>
        </w:rPr>
      </w:pPr>
      <w:r>
        <w:rPr>
          <w:rFonts w:hint="eastAsia"/>
          <w:color w:val="auto"/>
          <w:highlight w:val="none"/>
        </w:rPr>
        <w:t>支持多硬盘故障数据可以恢复，读写不中断。</w:t>
      </w:r>
    </w:p>
    <w:p>
      <w:pPr>
        <w:pStyle w:val="129"/>
        <w:ind w:firstLine="480"/>
        <w:rPr>
          <w:color w:val="auto"/>
          <w:highlight w:val="none"/>
        </w:rPr>
      </w:pPr>
      <w:r>
        <w:rPr>
          <w:rFonts w:hint="eastAsia"/>
          <w:color w:val="auto"/>
          <w:highlight w:val="none"/>
        </w:rPr>
        <w:t>支持多设备故障数据可以恢复，读写不中断。</w:t>
      </w:r>
    </w:p>
    <w:p>
      <w:pPr>
        <w:pStyle w:val="2"/>
        <w:numPr>
          <w:ilvl w:val="0"/>
          <w:numId w:val="47"/>
        </w:numPr>
        <w:spacing w:line="360" w:lineRule="auto"/>
        <w:rPr>
          <w:color w:val="auto"/>
          <w:highlight w:val="none"/>
        </w:rPr>
        <w:sectPr>
          <w:headerReference r:id="rId3" w:type="default"/>
          <w:footerReference r:id="rId4" w:type="default"/>
          <w:pgSz w:w="11906" w:h="16838"/>
          <w:pgMar w:top="1440" w:right="1134" w:bottom="1440" w:left="1417" w:header="851" w:footer="992" w:gutter="0"/>
          <w:cols w:space="720" w:num="1"/>
          <w:docGrid w:type="lines" w:linePitch="322" w:charSpace="0"/>
        </w:sectPr>
      </w:pPr>
    </w:p>
    <w:p>
      <w:pPr>
        <w:spacing w:line="360" w:lineRule="auto"/>
        <w:ind w:firstLine="480" w:firstLineChars="200"/>
        <w:rPr>
          <w:rFonts w:ascii="宋体" w:hAnsi="宋体" w:cs="宋体"/>
          <w:bCs/>
          <w:color w:val="auto"/>
          <w:sz w:val="24"/>
          <w:highlight w:val="none"/>
        </w:rPr>
      </w:pPr>
    </w:p>
    <w:p>
      <w:pPr>
        <w:numPr>
          <w:ilvl w:val="0"/>
          <w:numId w:val="48"/>
        </w:numPr>
        <w:autoSpaceDE w:val="0"/>
        <w:autoSpaceDN w:val="0"/>
        <w:adjustRightInd w:val="0"/>
        <w:spacing w:line="600" w:lineRule="auto"/>
        <w:ind w:left="630"/>
        <w:jc w:val="left"/>
        <w:rPr>
          <w:rFonts w:hint="eastAsia" w:ascii="宋体" w:hAnsi="宋体" w:cs="宋体"/>
          <w:b/>
          <w:bCs/>
          <w:color w:val="auto"/>
          <w:sz w:val="24"/>
          <w:highlight w:val="none"/>
        </w:rPr>
      </w:pPr>
      <w:r>
        <w:rPr>
          <w:rFonts w:hint="eastAsia" w:ascii="宋体" w:hAnsi="宋体" w:cs="宋体"/>
          <w:b/>
          <w:bCs/>
          <w:color w:val="auto"/>
          <w:sz w:val="24"/>
          <w:highlight w:val="none"/>
        </w:rPr>
        <w:t>采购清单及要求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1、一般要求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成交供应商须保证提供货物为全新的、先进的、成熟的、完整的和安全可靠的，且货物的技术经济性能符合本部分第一章规定的要求。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成交供应商应提供详细供货清单，清单中依次说明型号、数量、产地、生产厂家等内容。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除有特别注明外，所列数量均为一套（台）所需。对于属于整套货物运行和施工所必需的部件，即使在本部分第一章中未列出或数目不足，成交供应商仍须在执行合同时补足。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成交供应商应提供所有安装和检修所需专用工具和消耗材料等，并提供详细供货清单。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提供随机备品备件和　1　年运行所需的备品备件，并在谈判文件中给出具体清单。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提供所供货物中的进口件清单。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成交供应商提供的技术资料清单见本部分第三章。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2、供货范围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2.1货物范围（详见下表）：</w:t>
      </w:r>
    </w:p>
    <w:tbl>
      <w:tblPr>
        <w:tblStyle w:val="37"/>
        <w:tblW w:w="13962" w:type="dxa"/>
        <w:tblInd w:w="108" w:type="dxa"/>
        <w:tblLayout w:type="autofit"/>
        <w:tblCellMar>
          <w:top w:w="0" w:type="dxa"/>
          <w:left w:w="108" w:type="dxa"/>
          <w:bottom w:w="0" w:type="dxa"/>
          <w:right w:w="108" w:type="dxa"/>
        </w:tblCellMar>
      </w:tblPr>
      <w:tblGrid>
        <w:gridCol w:w="514"/>
        <w:gridCol w:w="1613"/>
        <w:gridCol w:w="1121"/>
        <w:gridCol w:w="8539"/>
        <w:gridCol w:w="1110"/>
        <w:gridCol w:w="1065"/>
      </w:tblGrid>
      <w:tr>
        <w:tblPrEx>
          <w:tblCellMar>
            <w:top w:w="0" w:type="dxa"/>
            <w:left w:w="108" w:type="dxa"/>
            <w:bottom w:w="0" w:type="dxa"/>
            <w:right w:w="108" w:type="dxa"/>
          </w:tblCellMar>
        </w:tblPrEx>
        <w:trPr>
          <w:trHeight w:val="435" w:hRule="atLeast"/>
        </w:trPr>
        <w:tc>
          <w:tcPr>
            <w:tcW w:w="51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序号</w:t>
            </w:r>
          </w:p>
        </w:tc>
        <w:tc>
          <w:tcPr>
            <w:tcW w:w="1613"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设备名称</w:t>
            </w:r>
          </w:p>
        </w:tc>
        <w:tc>
          <w:tcPr>
            <w:tcW w:w="1121"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品牌参照或相当于</w:t>
            </w:r>
          </w:p>
        </w:tc>
        <w:tc>
          <w:tcPr>
            <w:tcW w:w="8539"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规格参数（重要性参数6项，一般性参数1</w:t>
            </w:r>
            <w:r>
              <w:rPr>
                <w:rFonts w:hint="eastAsia" w:ascii="宋体" w:hAnsi="宋体" w:cs="宋体"/>
                <w:b/>
                <w:bCs/>
                <w:color w:val="auto"/>
                <w:kern w:val="0"/>
                <w:sz w:val="18"/>
                <w:szCs w:val="18"/>
                <w:highlight w:val="none"/>
                <w:lang w:val="en-US" w:eastAsia="zh-CN"/>
              </w:rPr>
              <w:t>0</w:t>
            </w:r>
            <w:r>
              <w:rPr>
                <w:rFonts w:hint="eastAsia" w:ascii="宋体" w:hAnsi="宋体" w:cs="宋体"/>
                <w:b/>
                <w:bCs/>
                <w:color w:val="auto"/>
                <w:kern w:val="0"/>
                <w:sz w:val="18"/>
                <w:szCs w:val="18"/>
                <w:highlight w:val="none"/>
                <w:lang w:val="en-US" w:eastAsia="zh-CN"/>
              </w:rPr>
              <w:t>1</w:t>
            </w:r>
            <w:r>
              <w:rPr>
                <w:rFonts w:hint="eastAsia" w:ascii="宋体" w:hAnsi="宋体" w:cs="宋体"/>
                <w:b/>
                <w:bCs/>
                <w:color w:val="auto"/>
                <w:kern w:val="0"/>
                <w:sz w:val="18"/>
                <w:szCs w:val="18"/>
                <w:highlight w:val="none"/>
              </w:rPr>
              <w:t>项）</w:t>
            </w:r>
          </w:p>
        </w:tc>
        <w:tc>
          <w:tcPr>
            <w:tcW w:w="111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065"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数量</w:t>
            </w:r>
          </w:p>
        </w:tc>
      </w:tr>
      <w:tr>
        <w:tblPrEx>
          <w:tblCellMar>
            <w:top w:w="0" w:type="dxa"/>
            <w:left w:w="108" w:type="dxa"/>
            <w:bottom w:w="0" w:type="dxa"/>
            <w:right w:w="108" w:type="dxa"/>
          </w:tblCellMar>
        </w:tblPrEx>
        <w:trPr>
          <w:trHeight w:val="1248" w:hRule="atLeast"/>
        </w:trPr>
        <w:tc>
          <w:tcPr>
            <w:tcW w:w="51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613"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400万全彩筒型网络摄像机（含电源）</w:t>
            </w:r>
          </w:p>
        </w:tc>
        <w:tc>
          <w:tcPr>
            <w:tcW w:w="1121"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single" w:color="auto" w:sz="4" w:space="0"/>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400万 1/2.7" CMOS 全彩广角网络摄像机</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全彩级高灵敏度感器，F1.0超大光圈镜头，为智能应用提供更清晰的视频流输入，全面提升智能业务处理的准确度</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最低照度: 彩色：0.0005 Lux@（F1.0，AGC ON），0 Lux with Light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宽动态: 120 dB</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景深范围: 3.6 m~∞</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焦距&amp;视场角: 不大于4mm，水平视场角：180° ± 10°，垂直视场角：47.4°</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防补光过曝: 支持</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补光灯类型: 柔光灯</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补光距离: 最远可达30 m</w:t>
            </w:r>
          </w:p>
          <w:p>
            <w:pPr>
              <w:widowControl/>
              <w:numPr>
                <w:ilvl w:val="0"/>
                <w:numId w:val="49"/>
              </w:numPr>
              <w:ind w:left="0" w:leftChars="0" w:firstLine="400" w:firstLineChars="0"/>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▲最大图像尺寸: 3840 × 1080（提供第三方权威机构出具的具备CNAS认证标识的检测报告扫描件加盖公章。）</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视频压缩标准: 主码流：H.265/H.264</w:t>
            </w:r>
          </w:p>
        </w:tc>
        <w:tc>
          <w:tcPr>
            <w:tcW w:w="111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151</w:t>
            </w:r>
          </w:p>
        </w:tc>
      </w:tr>
      <w:tr>
        <w:tblPrEx>
          <w:tblCellMar>
            <w:top w:w="0" w:type="dxa"/>
            <w:left w:w="108" w:type="dxa"/>
            <w:bottom w:w="0" w:type="dxa"/>
            <w:right w:w="108" w:type="dxa"/>
          </w:tblCellMar>
        </w:tblPrEx>
        <w:trPr>
          <w:trHeight w:val="804"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全景补光灯</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亿嘉、</w:t>
            </w:r>
            <w:r>
              <w:rPr>
                <w:rFonts w:hint="eastAsia" w:ascii="宋体" w:hAnsi="宋体" w:cs="宋体"/>
                <w:color w:val="auto"/>
                <w:kern w:val="0"/>
                <w:sz w:val="18"/>
                <w:szCs w:val="18"/>
                <w:highlight w:val="none"/>
                <w:lang w:val="en-US" w:eastAsia="zh-CN"/>
              </w:rPr>
              <w:t>城铭</w:t>
            </w:r>
            <w:r>
              <w:rPr>
                <w:rFonts w:hint="eastAsia" w:ascii="宋体" w:hAnsi="宋体" w:cs="宋体"/>
                <w:color w:val="auto"/>
                <w:kern w:val="0"/>
                <w:sz w:val="18"/>
                <w:szCs w:val="18"/>
                <w:highlight w:val="none"/>
              </w:rPr>
              <w:t>、希士顿</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暖光灯珠光源，28颗原装LED，色温：3500K~4500K，光通量：3950L，平均功率≤40W，工作温度：-30℃~80℃，配防眩目蜂窝灯罩</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盏</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抱箍支架</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挑臂上固定监控及灯光等设备用</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302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监控安装</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补光灯安装及夜间效果调试</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标牌</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辅助材料</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空开、插线板、弱电线缆、杆件开孔等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780"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8</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900万人脸车辆卡口</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支持900万覆盖两车道，卡口混合车道应用，支持全结构化的机动车、非机动车和行人的抓拍和分析。支持闪光灯和LED频闪灯同步补光；</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使用闪光灯补光时，抓拍图片可看清司乘人员人脸；</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包含摄像机（内置偏振镜）、高清镜头、室外防护罩、风扇、内置补光灯、电源适配器、相机内置防雷模块、安装万向节等</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像素：900W</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分辨率：最大支持4096*2160</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帧率：25fps</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图像传感器：GMOS传感器</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镜头：50mm镜头</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照度：彩色:0.01Lux  黑色:0.008Lux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视频压缩标准：H.265/H.264/MJPEG</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图像输出格式：JPEG</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输出：电平量信号</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通讯接口：3个RS-485接口,1个RS-232接口；2个RJ45 10M/100M/1000M自适应以太网口</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触发输入：1个触发/报警输入</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触发输出：7路输出接口，可作为补光灯同步输出控制；</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自动光圈镜头：支持</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工作电压：100VAC～240VAC；；频率：48Hz～52Hz；</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功耗：20W MAX</w:t>
            </w:r>
          </w:p>
          <w:p>
            <w:pPr>
              <w:widowControl/>
              <w:numPr>
                <w:ilvl w:val="0"/>
                <w:numId w:val="49"/>
              </w:numPr>
              <w:ind w:left="0" w:leftChars="0" w:firstLine="400" w:firstLineChars="0"/>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▲支持智能识别功能：机动车违章检测：机动车超速、压线、逆行、禁止大货车等违法行为</w:t>
            </w:r>
            <w:r>
              <w:rPr>
                <w:rFonts w:hint="eastAsia" w:ascii="宋体" w:hAnsi="宋体" w:eastAsia="宋体" w:cs="宋体"/>
                <w:b/>
                <w:bCs/>
                <w:color w:val="auto"/>
                <w:kern w:val="0"/>
                <w:sz w:val="18"/>
                <w:szCs w:val="18"/>
                <w:highlight w:val="none"/>
              </w:rPr>
              <w:t>（提供第三方权威机构出具的具备CNAS认证标识的检测报告扫描件加盖公章。）</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b/>
                <w:bCs/>
                <w:color w:val="auto"/>
                <w:kern w:val="0"/>
                <w:sz w:val="18"/>
                <w:szCs w:val="18"/>
                <w:highlight w:val="none"/>
              </w:rPr>
              <w:t>▲非机动车管控：非机动车载人、不戴头盔、逆行、占用机动车道等违法行为</w:t>
            </w:r>
            <w:r>
              <w:rPr>
                <w:rFonts w:hint="eastAsia" w:ascii="宋体" w:hAnsi="宋体" w:eastAsia="宋体" w:cs="宋体"/>
                <w:b/>
                <w:bCs/>
                <w:color w:val="auto"/>
                <w:kern w:val="0"/>
                <w:sz w:val="18"/>
                <w:szCs w:val="18"/>
                <w:highlight w:val="none"/>
              </w:rPr>
              <w:t>（提供第三方权威机构出具的具备CNAS认证标识的检测报告扫描件加盖公章。）</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161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9</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LED频闪灯</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亿嘉、</w:t>
            </w:r>
            <w:r>
              <w:rPr>
                <w:rFonts w:hint="eastAsia" w:ascii="宋体" w:hAnsi="宋体" w:cs="宋体"/>
                <w:color w:val="auto"/>
                <w:kern w:val="0"/>
                <w:sz w:val="18"/>
                <w:szCs w:val="18"/>
                <w:highlight w:val="none"/>
                <w:lang w:val="en-US" w:eastAsia="zh-CN"/>
              </w:rPr>
              <w:t>城铭</w:t>
            </w:r>
            <w:r>
              <w:rPr>
                <w:rFonts w:hint="eastAsia" w:ascii="宋体" w:hAnsi="宋体" w:cs="宋体"/>
                <w:color w:val="auto"/>
                <w:kern w:val="0"/>
                <w:sz w:val="18"/>
                <w:szCs w:val="18"/>
                <w:highlight w:val="none"/>
              </w:rPr>
              <w:t>、希士顿</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光源：16颗原装进口CREE 5W大功率LED灯珠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色温：5700K-6500K</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工作电压：AC100V-2640V(50Hz)</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平均功率：12W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爆闪功率：70W</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光通量：≥3000LM</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建议拍摄距离：15-25米</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建议车道数：1车道</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闪光类型：频闪+爆闪</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触发方式：电平量或开关量。</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环境温度：-40℃ - +80℃</w:t>
            </w:r>
          </w:p>
          <w:p>
            <w:pPr>
              <w:widowControl/>
              <w:numPr>
                <w:ilvl w:val="0"/>
                <w:numId w:val="49"/>
              </w:numPr>
              <w:ind w:left="0" w:leftChars="0" w:firstLine="400" w:firstLineChars="0"/>
              <w:jc w:val="left"/>
              <w:rPr>
                <w:rFonts w:hint="eastAsia" w:ascii="宋体" w:hAnsi="宋体" w:eastAsia="宋体" w:cs="宋体"/>
                <w:b w:val="0"/>
                <w:bCs w:val="0"/>
                <w:color w:val="auto"/>
                <w:kern w:val="0"/>
                <w:sz w:val="18"/>
                <w:szCs w:val="18"/>
                <w:highlight w:val="none"/>
                <w:lang w:eastAsia="zh-CN"/>
              </w:rPr>
            </w:pPr>
            <w:r>
              <w:rPr>
                <w:rFonts w:hint="eastAsia" w:ascii="宋体" w:hAnsi="宋体" w:eastAsia="宋体" w:cs="宋体"/>
                <w:b w:val="0"/>
                <w:bCs w:val="0"/>
                <w:color w:val="auto"/>
                <w:kern w:val="0"/>
                <w:sz w:val="18"/>
                <w:szCs w:val="18"/>
                <w:highlight w:val="none"/>
              </w:rPr>
              <w:t>频闪亮度：支持频闪频率0~150Hz自动倍频，频闪亮度相机可调（提供第三方权威机构出具的具备CNAS认证标识的检测报告扫描件加盖公章。）</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密封等级：IP67，室内外通用</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工作寿命：≥30000小时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盏</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326</w:t>
            </w:r>
          </w:p>
        </w:tc>
      </w:tr>
      <w:tr>
        <w:tblPrEx>
          <w:tblCellMar>
            <w:top w:w="0" w:type="dxa"/>
            <w:left w:w="108" w:type="dxa"/>
            <w:bottom w:w="0" w:type="dxa"/>
            <w:right w:w="108" w:type="dxa"/>
          </w:tblCellMar>
        </w:tblPrEx>
        <w:trPr>
          <w:trHeight w:val="40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环保爆闪灯</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亿嘉、</w:t>
            </w:r>
            <w:r>
              <w:rPr>
                <w:rFonts w:hint="eastAsia" w:ascii="宋体" w:hAnsi="宋体" w:cs="宋体"/>
                <w:color w:val="auto"/>
                <w:kern w:val="0"/>
                <w:sz w:val="18"/>
                <w:szCs w:val="18"/>
                <w:highlight w:val="none"/>
                <w:lang w:val="en-US" w:eastAsia="zh-CN"/>
              </w:rPr>
              <w:t>城铭</w:t>
            </w:r>
            <w:r>
              <w:rPr>
                <w:rFonts w:hint="eastAsia" w:ascii="宋体" w:hAnsi="宋体" w:cs="宋体"/>
                <w:color w:val="auto"/>
                <w:kern w:val="0"/>
                <w:sz w:val="18"/>
                <w:szCs w:val="18"/>
                <w:highlight w:val="none"/>
              </w:rPr>
              <w:t>、希士顿</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暖光LED频闪、暖光LED爆闪、白光氙气爆闪、红外氙气爆闪四种工作模式；</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原装24颗CREE进口灯珠,单颗5W；</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LED色温：4000K±200K；</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LED发光角度：10度；</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爆闪色温（K）：6500±200K；</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爆闪输出能量（J）:200J；</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回电时间（ms）：40ms，满足相机2张连拍需求；</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触发方式：支持开关量/电平量；</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支持频闪频率20、25、30、50、60、75、90、100、120、125、150Hz 11档可选；</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防护等级：IP67及以上；工作温度：-40℃~80℃；闪光灯寿命 ≥1000万次；</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支持爆闪闪光亮度白天晚上可分开调节,共1-35档可调；</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支持日夜红白切换补光，白天白光补光，晚上红外补光；</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具有补光灯实际功率的显示功能；</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具有相机触发次数及补光灯白天/晚上闪光分别计数功能；具有频闪时间统计功能；</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具有补光灯实际功率的显示功能；</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补光灯具备符合GA/T1202-2014《交通技术监控成像补光装置通用技术规范》标准。</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盏</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106</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11</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抱箍支架</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挑臂上固定监控及灯光等设备用</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593</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12</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治安卡口杆（含基础）</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立杆高度6.5m，挑臂按需制作，表面热镀锌定制，正八角型结构，杆臂厚度不小于8mm，底部对角尺寸不小于280mm，顶部对角尺寸不小于220mm，挑臂厚度不小于5mm。基坑开挖规格1.2m*1.2m*1.5m，C25混凝土浇筑。杆体在40米/秒的风速条件下，不应发生明显抖动、严重歪斜或永久性变形，杆体需牢固、美观。</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13</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卡口杆件旧件拆除</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19</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14</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接地极</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镀锌角铁；接地线等，接地电阻≤10</w:t>
            </w:r>
            <w:r>
              <w:rPr>
                <w:rFonts w:ascii="Calibri" w:hAnsi="Calibri" w:cs="Calibri"/>
                <w:color w:val="auto"/>
                <w:kern w:val="0"/>
                <w:sz w:val="18"/>
                <w:szCs w:val="18"/>
                <w:highlight w:val="none"/>
              </w:rPr>
              <w:t>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15</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监控机箱</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450*350*250，不锈钢制作</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16</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杆件保养及旧设备拆除</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109</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1</w:t>
            </w:r>
            <w:r>
              <w:rPr>
                <w:rFonts w:hint="eastAsia" w:ascii="宋体" w:hAnsi="宋体" w:cs="宋体"/>
                <w:color w:val="auto"/>
                <w:kern w:val="0"/>
                <w:sz w:val="18"/>
                <w:szCs w:val="18"/>
                <w:highlight w:val="none"/>
                <w:lang w:val="en-US" w:eastAsia="zh-CN"/>
              </w:rPr>
              <w:t>7</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卡口电源接入</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电力改造</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18</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电源防雷器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只</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151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1</w:t>
            </w:r>
            <w:r>
              <w:rPr>
                <w:rFonts w:hint="eastAsia" w:ascii="宋体" w:hAnsi="宋体" w:cs="宋体"/>
                <w:color w:val="auto"/>
                <w:kern w:val="0"/>
                <w:sz w:val="18"/>
                <w:szCs w:val="18"/>
                <w:highlight w:val="none"/>
                <w:lang w:val="en-US" w:eastAsia="zh-CN"/>
              </w:rPr>
              <w:t>9</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人脸卡口及监控安装</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161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20</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补光灯安装及抓拍效果调试</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432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标牌</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161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22</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辅助材料</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空开、插线板、弱电线缆、杆件开孔等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161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23</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400万全彩筒型网络摄像机（含电源）</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400万 1/2.7" CMOS 全彩广角网络摄像机</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全彩级高灵敏度感器，F1.0超大光圈镜头，为智能应用提供更清晰的视频流输入，全面提升智能业务处理的准确度</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最低照度: 彩色：0.0005 Lux@（F1.0，AGC ON），0 Lux with Light</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宽动态: 120 dB</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景深范围: 3.6 m~∞</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焦距&amp;视场角: 不大于4mm，水平视场角：180° ± 10°，垂直视场角：47.4°</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防补光过曝: 支持</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补光灯类型: 柔光灯</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补光距离: 最远可达30 m</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b/>
                <w:bCs/>
                <w:color w:val="auto"/>
                <w:kern w:val="0"/>
                <w:sz w:val="18"/>
                <w:szCs w:val="18"/>
                <w:highlight w:val="none"/>
                <w:lang w:eastAsia="zh-CN"/>
              </w:rPr>
            </w:pPr>
            <w:r>
              <w:rPr>
                <w:rFonts w:hint="eastAsia" w:ascii="宋体" w:hAnsi="宋体" w:cs="宋体"/>
                <w:b/>
                <w:bCs/>
                <w:color w:val="auto"/>
                <w:kern w:val="0"/>
                <w:sz w:val="18"/>
                <w:szCs w:val="18"/>
                <w:highlight w:val="none"/>
              </w:rPr>
              <w:t>▲最大图像尺寸: 3840 × 1080</w:t>
            </w:r>
            <w:r>
              <w:rPr>
                <w:rFonts w:hint="eastAsia" w:ascii="宋体" w:hAnsi="宋体" w:eastAsia="宋体" w:cs="宋体"/>
                <w:b/>
                <w:bCs/>
                <w:color w:val="auto"/>
                <w:kern w:val="0"/>
                <w:sz w:val="18"/>
                <w:szCs w:val="18"/>
                <w:highlight w:val="none"/>
              </w:rPr>
              <w:t>（提供第三方权威机构出具的具备CNAS认证标识的检测报告扫描件加盖公章。）</w:t>
            </w:r>
            <w:r>
              <w:rPr>
                <w:rFonts w:hint="eastAsia" w:ascii="宋体" w:hAnsi="宋体" w:eastAsia="宋体" w:cs="宋体"/>
                <w:b/>
                <w:bCs/>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视频压缩标准: 主码流：H.265/H.264</w:t>
            </w:r>
            <w:r>
              <w:rPr>
                <w:rFonts w:hint="eastAsia" w:ascii="宋体" w:hAnsi="宋体" w:cs="宋体"/>
                <w:color w:val="auto"/>
                <w:kern w:val="0"/>
                <w:sz w:val="18"/>
                <w:szCs w:val="18"/>
                <w:highlight w:val="none"/>
                <w:lang w:eastAsia="zh-CN"/>
              </w:rPr>
              <w:t>。</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24</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人脸抓拍</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400万 星光级1/1.8" CMOS AI多摄泛智能网络摄像机</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支持智能资源模式切换</w:t>
            </w:r>
            <w:r>
              <w:rPr>
                <w:rFonts w:hint="eastAsia" w:ascii="宋体" w:hAnsi="宋体" w:cs="宋体"/>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▲人脸抓拍模式：a)支持对运动人脸进行检测、跟踪、抓拍、评分、筛选，输出最优的人脸；b)支持人脸去误报、快速抓拍人脸；c)支持快速抓拍和最佳抓拍两种模式；d)最多同时检测60张人脸；e)支持人脸去重</w:t>
            </w:r>
            <w:r>
              <w:rPr>
                <w:rFonts w:hint="eastAsia" w:ascii="宋体" w:hAnsi="宋体" w:eastAsia="宋体" w:cs="宋体"/>
                <w:b/>
                <w:bCs/>
                <w:color w:val="auto"/>
                <w:kern w:val="0"/>
                <w:sz w:val="18"/>
                <w:szCs w:val="18"/>
                <w:highlight w:val="none"/>
              </w:rPr>
              <w:t>（提供第三方权威机构出具的具备CNAS认证标识的检测报告扫描件加盖公章。）</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传感器类型: 通道1：1/1.8" Progressive Scan CMOS；通道2：1/1.8" Progressive Scan CMOS</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最低照度: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通道1：彩色：0.0005 Lux @（F1.2，AGC ON），0 Lux with Light；黑白：0.0001 Lux @（F1.2，AGC ON），0 Lux with IR</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通道2：彩色：0.0003 Lux @（F1.0，AGC ON），0 Lux with Light；黑白：0.0001 Lux @（F1.0，AGC ON），0 Lux with IR</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宽动态: 120 dB</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焦距&amp;视场角: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通道1：8~32 mm：水平视场角：42.5°~15.2°，垂直视场角：23.4°~8.7°，对角视场角：49.7°~17.3° </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通道2：4mm：水平视场角：95.2°，垂直视场角：50.6°，对角视场角：114.7°</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补光灯类型: 混合补光（支持白光模式和混光模式），750 nm + 暖白光</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补光距离: 通道1：普通监控：80 m，人脸抓拍/识别：15 m；通道2：普通监控：30 m</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最大图像尺寸: 通道1：2688 x 1520；通道2：2688 x 1520</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视频压缩标准: H.265/H.264/MJPEG</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网络存储: 支持Micro SD(即TF卡)/Micro SDHC/Micro SDXC卡（最大256 GB）断网本地存储及断网续传，NAS（NFS，SMB/CIFS均支持），配合海康黑卡支持SD卡加密及SD卡状态检测</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25</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全景补光灯</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亿嘉、</w:t>
            </w:r>
            <w:r>
              <w:rPr>
                <w:rFonts w:hint="eastAsia" w:ascii="宋体" w:hAnsi="宋体" w:cs="宋体"/>
                <w:color w:val="auto"/>
                <w:kern w:val="0"/>
                <w:sz w:val="18"/>
                <w:szCs w:val="18"/>
                <w:highlight w:val="none"/>
                <w:lang w:val="en-US" w:eastAsia="zh-CN"/>
              </w:rPr>
              <w:t>城铭</w:t>
            </w:r>
            <w:r>
              <w:rPr>
                <w:rFonts w:hint="eastAsia" w:ascii="宋体" w:hAnsi="宋体" w:cs="宋体"/>
                <w:color w:val="auto"/>
                <w:kern w:val="0"/>
                <w:sz w:val="18"/>
                <w:szCs w:val="18"/>
                <w:highlight w:val="none"/>
              </w:rPr>
              <w:t>、希士顿</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暖光灯珠光源，28颗原装LED，色温：3500K~4500K，光通量：3950L，平均功率≤40W，工作温度：-30℃~80℃，配防眩目蜂窝灯罩</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盏</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80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监控杆</w:t>
            </w:r>
          </w:p>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（含基础）</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立杆高度3.5-4.5m，挑臂按需制作，表面热镀锌定制，正八角型结构，杆臂厚度不小于4mm，底部对角尺寸不小于200mm，顶部对角尺寸不小于160mm，挑臂厚度不小于3mm。基坑开挖规格0.8m*0.8m*1m，C25混凝土浇筑。杆体在40米/秒的风速条件下，不应发生明显抖动、严重歪斜或永久性变形，杆体需牢固、美观。</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电源接入</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电力电缆含敷设</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接地极</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镀锌角铁；接地线等，接地电阻≤10</w:t>
            </w:r>
            <w:r>
              <w:rPr>
                <w:rFonts w:ascii="Calibri" w:hAnsi="Calibri" w:cs="Calibri"/>
                <w:color w:val="auto"/>
                <w:kern w:val="0"/>
                <w:sz w:val="18"/>
                <w:szCs w:val="18"/>
                <w:highlight w:val="none"/>
              </w:rPr>
              <w:t>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监控机箱</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450*350*250，不锈钢制作</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30</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电源防雷器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只</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31</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监控安装</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80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32</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补光灯安装及夜间效果调试</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80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33</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标牌</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80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34</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辅助材料</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ind w:firstLine="360" w:firstLineChars="20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空开、插线板、弱电线缆、鸭嘴支架等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Calibri" w:hAnsi="Calibri" w:cs="Calibri"/>
                <w:color w:val="auto"/>
                <w:kern w:val="0"/>
                <w:sz w:val="18"/>
                <w:szCs w:val="18"/>
                <w:highlight w:val="none"/>
              </w:rPr>
            </w:pPr>
            <w:r>
              <w:rPr>
                <w:rFonts w:ascii="Calibri" w:hAnsi="Calibri" w:cs="Calibri"/>
                <w:color w:val="auto"/>
                <w:kern w:val="0"/>
                <w:sz w:val="18"/>
                <w:szCs w:val="18"/>
                <w:highlight w:val="none"/>
              </w:rPr>
              <w:t>40</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35</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交换机</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华三、华为、锐捷</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48个10/100/1000Base-T自适应以太网端口，4个万兆SFP+口，交换容量336Gbps</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36</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交换机</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华三、华为、锐捷</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24个10/100/1000Base-T自适应以太网端口，4个万兆SFP+口，交换容量336Gbps</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37</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视频云存储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48盘位磁盘阵列，单设备配置双64位多核处理器，32GB（可扩展至256GB），6个千兆网口，1个IPMI管理接口，48块6T企业级IoT硬盘；</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网络raid +1，+2，+3，+4；</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支持视音频、图片、直接写入，支持视频高速预览、回放、下载，支持云内容灾备份，支持一体化运维，支持GB/T28181-2011、Onvif、RTSP、H265、SVAC等标准视频协议。</w:t>
            </w:r>
            <w:r>
              <w:rPr>
                <w:rFonts w:hint="eastAsia" w:ascii="宋体" w:hAnsi="宋体" w:eastAsia="宋体" w:cs="宋体"/>
                <w:b w:val="0"/>
                <w:bCs w:val="0"/>
                <w:color w:val="auto"/>
                <w:kern w:val="0"/>
                <w:sz w:val="18"/>
                <w:szCs w:val="18"/>
                <w:highlight w:val="none"/>
              </w:rPr>
              <w:t>（提供第三方权威机构出具的具备CNAS认证标识的检测报告扫描件加盖公章。）</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38</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云存储管理节点</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eastAsia="宋体" w:cs="宋体"/>
                <w:b w:val="0"/>
                <w:bCs w:val="0"/>
                <w:color w:val="auto"/>
                <w:kern w:val="0"/>
                <w:sz w:val="18"/>
                <w:szCs w:val="18"/>
                <w:highlight w:val="none"/>
                <w:lang w:eastAsia="zh-CN"/>
              </w:rPr>
            </w:pPr>
            <w:r>
              <w:rPr>
                <w:rFonts w:hint="eastAsia" w:ascii="宋体" w:hAnsi="宋体" w:cs="宋体"/>
                <w:b w:val="0"/>
                <w:bCs w:val="0"/>
                <w:color w:val="auto"/>
                <w:kern w:val="0"/>
                <w:sz w:val="18"/>
                <w:szCs w:val="18"/>
                <w:highlight w:val="none"/>
              </w:rPr>
              <w:t>2U机架式服务器</w:t>
            </w:r>
            <w:r>
              <w:rPr>
                <w:rFonts w:hint="eastAsia" w:ascii="宋体" w:hAnsi="宋体" w:cs="宋体"/>
                <w:b w:val="0"/>
                <w:bCs w:val="0"/>
                <w:color w:val="auto"/>
                <w:kern w:val="0"/>
                <w:sz w:val="18"/>
                <w:szCs w:val="18"/>
                <w:highlight w:val="none"/>
                <w:lang w:eastAsia="zh-CN"/>
              </w:rPr>
              <w:t>；</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处理器：64位多核处理器（核数≧16）</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内存：DDR4，标配32GB内存，最大可扩展至256GB</w:t>
            </w:r>
            <w:r>
              <w:rPr>
                <w:rFonts w:hint="eastAsia" w:ascii="宋体" w:hAnsi="宋体" w:eastAsia="宋体" w:cs="宋体"/>
                <w:b w:val="0"/>
                <w:bCs w:val="0"/>
                <w:color w:val="auto"/>
                <w:kern w:val="0"/>
                <w:sz w:val="18"/>
                <w:szCs w:val="18"/>
                <w:highlight w:val="none"/>
              </w:rPr>
              <w:t>（提供第三方权威机构出具的具备CNAS认证标识的检测报告扫描件加盖公章。）</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内置SSD硬盘：标配2个热插拔960GB SSD硬盘</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网口：2个千兆网口，可扩展万兆口；</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其它接口：1个RJ-45网络接口、4个USB 3.0接口，2个2.0接口，1个VGA接口</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电源：高效能550W铂金1+1冗余电源</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尺寸：430mm（宽）x88mm（高）x 660mm（深）</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重量：最大17千克</w:t>
            </w:r>
          </w:p>
          <w:p>
            <w:pPr>
              <w:widowControl/>
              <w:numPr>
                <w:ilvl w:val="0"/>
                <w:numId w:val="49"/>
              </w:numPr>
              <w:ind w:left="0" w:leftChars="0" w:firstLine="400" w:firstLineChars="0"/>
              <w:jc w:val="left"/>
              <w:rPr>
                <w:rFonts w:hint="eastAsia" w:ascii="宋体" w:hAnsi="宋体" w:cs="宋体"/>
                <w:b w:val="0"/>
                <w:bCs w:val="0"/>
                <w:color w:val="auto"/>
                <w:kern w:val="0"/>
                <w:sz w:val="18"/>
                <w:szCs w:val="18"/>
                <w:highlight w:val="none"/>
              </w:rPr>
            </w:pPr>
            <w:r>
              <w:rPr>
                <w:rFonts w:hint="eastAsia" w:ascii="宋体" w:hAnsi="宋体" w:cs="宋体"/>
                <w:b w:val="0"/>
                <w:bCs w:val="0"/>
                <w:color w:val="auto"/>
                <w:kern w:val="0"/>
                <w:sz w:val="18"/>
                <w:szCs w:val="18"/>
                <w:highlight w:val="none"/>
              </w:rPr>
              <w:t>操作系统：CentOS7 64位</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39</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云存储软件</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视频云存储软件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40</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图片云存储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4U36盘位磁盘阵列；单设备配置双64位多核处理器，32GB（可扩展至256GB），36块6T企业级SATA磁盘;网络raid +1，+2，+3，+4；6个千兆网口，1个IPMI管理接口；</w:t>
            </w:r>
          </w:p>
          <w:p>
            <w:pPr>
              <w:widowControl/>
              <w:numPr>
                <w:ilvl w:val="0"/>
                <w:numId w:val="49"/>
              </w:numPr>
              <w:ind w:left="0" w:leftChars="0" w:firstLine="400" w:firstLineChars="0"/>
              <w:jc w:val="left"/>
              <w:rPr>
                <w:rFonts w:hint="eastAsia" w:ascii="宋体" w:hAnsi="宋体" w:cs="宋体"/>
                <w:color w:val="auto"/>
                <w:kern w:val="0"/>
                <w:sz w:val="18"/>
                <w:szCs w:val="18"/>
                <w:highlight w:val="none"/>
              </w:rPr>
            </w:pPr>
            <w:r>
              <w:rPr>
                <w:rFonts w:hint="eastAsia" w:ascii="宋体" w:hAnsi="宋体" w:cs="宋体"/>
                <w:b/>
                <w:bCs/>
                <w:color w:val="auto"/>
                <w:kern w:val="0"/>
                <w:sz w:val="18"/>
                <w:szCs w:val="18"/>
                <w:highlight w:val="none"/>
              </w:rPr>
              <w:t>▲支持视音频、图片、直接写入，支持视频高速预览、回放、下载，支持云内容灾备份，支持一体化运维，支持GB/T28181-2011、Onvif、RTSP、H265、SVAC等标准视频协议。</w:t>
            </w:r>
            <w:r>
              <w:rPr>
                <w:rFonts w:hint="eastAsia" w:ascii="宋体" w:hAnsi="宋体" w:eastAsia="宋体" w:cs="宋体"/>
                <w:b/>
                <w:bCs/>
                <w:color w:val="auto"/>
                <w:kern w:val="0"/>
                <w:sz w:val="18"/>
                <w:szCs w:val="18"/>
                <w:highlight w:val="none"/>
              </w:rPr>
              <w:t>（提供第三方权威机构出具的具备CNAS认证标识的检测报告扫描件加盖公章。）</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41</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Infovision PVIA 公安视频图像信息应用平台(DN)</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w:t>
            </w:r>
            <w:r>
              <w:rPr>
                <w:rFonts w:hint="eastAsia" w:ascii="微软雅黑" w:hAnsi="微软雅黑" w:eastAsia="微软雅黑" w:cs="宋体"/>
                <w:color w:val="auto"/>
                <w:kern w:val="0"/>
                <w:sz w:val="16"/>
                <w:szCs w:val="16"/>
                <w:highlight w:val="none"/>
              </w:rPr>
              <w:t>50路视频/卡口</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路</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392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42</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数据接入服务器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4210×2/64G DDR4/600G 10K  SAS×4(RAID_1)/SAS_HBA/1GbE×2+10GbE×2/550W(1+1)/2U/16DIMM</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43</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平台转流服务器</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海康威视、大华、宇视</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4210×1/32G DDR4/1.2T 10K  SAS×2(RAID_1)/SAS_HBA/1GbE×2/550W(1+1)/2U/16DIMM</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44</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机柜</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1000*600*2000</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个</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45</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辅助材料</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网线、电源线、插线板等</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46</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安装、调试费</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后端所有设备的安装与调试</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r>
      <w:tr>
        <w:tblPrEx>
          <w:tblCellMar>
            <w:top w:w="0" w:type="dxa"/>
            <w:left w:w="108" w:type="dxa"/>
            <w:bottom w:w="0" w:type="dxa"/>
            <w:right w:w="108" w:type="dxa"/>
          </w:tblCellMar>
        </w:tblPrEx>
        <w:trPr>
          <w:trHeight w:val="498" w:hRule="atLeast"/>
        </w:trPr>
        <w:tc>
          <w:tcPr>
            <w:tcW w:w="514"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47</w:t>
            </w:r>
          </w:p>
        </w:tc>
        <w:tc>
          <w:tcPr>
            <w:tcW w:w="1613"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专线链路租费</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条/三年</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191</w:t>
            </w:r>
          </w:p>
        </w:tc>
      </w:tr>
      <w:tr>
        <w:tblPrEx>
          <w:tblCellMar>
            <w:top w:w="0" w:type="dxa"/>
            <w:left w:w="108" w:type="dxa"/>
            <w:bottom w:w="0" w:type="dxa"/>
            <w:right w:w="108" w:type="dxa"/>
          </w:tblCellMar>
        </w:tblPrEx>
        <w:trPr>
          <w:trHeight w:val="498" w:hRule="atLeast"/>
        </w:trPr>
        <w:tc>
          <w:tcPr>
            <w:tcW w:w="514" w:type="dxa"/>
            <w:vMerge w:val="restart"/>
            <w:tcBorders>
              <w:top w:val="nil"/>
              <w:left w:val="single" w:color="auto" w:sz="4" w:space="0"/>
              <w:bottom w:val="single" w:color="000000"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48</w:t>
            </w:r>
          </w:p>
        </w:tc>
        <w:tc>
          <w:tcPr>
            <w:tcW w:w="1613" w:type="dxa"/>
            <w:vMerge w:val="restart"/>
            <w:tcBorders>
              <w:top w:val="nil"/>
              <w:left w:val="single" w:color="auto" w:sz="4" w:space="0"/>
              <w:bottom w:val="single" w:color="000000"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工业用电费</w:t>
            </w: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前端点位用电</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点/三年</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352</w:t>
            </w:r>
          </w:p>
        </w:tc>
      </w:tr>
      <w:tr>
        <w:tblPrEx>
          <w:tblCellMar>
            <w:top w:w="0" w:type="dxa"/>
            <w:left w:w="108" w:type="dxa"/>
            <w:bottom w:w="0" w:type="dxa"/>
            <w:right w:w="108" w:type="dxa"/>
          </w:tblCellMar>
        </w:tblPrEx>
        <w:trPr>
          <w:trHeight w:val="498" w:hRule="atLeast"/>
        </w:trPr>
        <w:tc>
          <w:tcPr>
            <w:tcW w:w="514"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color w:val="auto"/>
                <w:kern w:val="0"/>
                <w:sz w:val="18"/>
                <w:szCs w:val="18"/>
                <w:highlight w:val="none"/>
              </w:rPr>
            </w:pPr>
          </w:p>
        </w:tc>
        <w:tc>
          <w:tcPr>
            <w:tcW w:w="1613"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color w:val="auto"/>
                <w:kern w:val="0"/>
                <w:sz w:val="18"/>
                <w:szCs w:val="18"/>
                <w:highlight w:val="none"/>
              </w:rPr>
            </w:pPr>
          </w:p>
        </w:tc>
        <w:tc>
          <w:tcPr>
            <w:tcW w:w="1121"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中心机房用电</w:t>
            </w:r>
          </w:p>
        </w:tc>
        <w:tc>
          <w:tcPr>
            <w:tcW w:w="111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年</w:t>
            </w:r>
          </w:p>
        </w:tc>
        <w:tc>
          <w:tcPr>
            <w:tcW w:w="1065"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r>
      <w:tr>
        <w:tblPrEx>
          <w:tblCellMar>
            <w:top w:w="0" w:type="dxa"/>
            <w:left w:w="108" w:type="dxa"/>
            <w:bottom w:w="0" w:type="dxa"/>
            <w:right w:w="108" w:type="dxa"/>
          </w:tblCellMar>
        </w:tblPrEx>
        <w:trPr>
          <w:trHeight w:val="498" w:hRule="atLeast"/>
        </w:trPr>
        <w:tc>
          <w:tcPr>
            <w:tcW w:w="51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49</w:t>
            </w:r>
          </w:p>
        </w:tc>
        <w:tc>
          <w:tcPr>
            <w:tcW w:w="161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维护费</w:t>
            </w:r>
          </w:p>
        </w:tc>
        <w:tc>
          <w:tcPr>
            <w:tcW w:w="112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三年</w:t>
            </w:r>
          </w:p>
        </w:tc>
        <w:tc>
          <w:tcPr>
            <w:tcW w:w="106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352</w:t>
            </w:r>
          </w:p>
        </w:tc>
      </w:tr>
      <w:tr>
        <w:tblPrEx>
          <w:tblCellMar>
            <w:top w:w="0" w:type="dxa"/>
            <w:left w:w="108" w:type="dxa"/>
            <w:bottom w:w="0" w:type="dxa"/>
            <w:right w:w="108" w:type="dxa"/>
          </w:tblCellMar>
        </w:tblPrEx>
        <w:trPr>
          <w:trHeight w:val="498" w:hRule="atLeast"/>
        </w:trPr>
        <w:tc>
          <w:tcPr>
            <w:tcW w:w="51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50</w:t>
            </w:r>
          </w:p>
        </w:tc>
        <w:tc>
          <w:tcPr>
            <w:tcW w:w="1613"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第三方检测费</w:t>
            </w:r>
          </w:p>
        </w:tc>
        <w:tc>
          <w:tcPr>
            <w:tcW w:w="112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国产</w:t>
            </w:r>
          </w:p>
        </w:tc>
        <w:tc>
          <w:tcPr>
            <w:tcW w:w="853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定制</w:t>
            </w:r>
          </w:p>
        </w:tc>
        <w:tc>
          <w:tcPr>
            <w:tcW w:w="111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只</w:t>
            </w:r>
          </w:p>
        </w:tc>
        <w:tc>
          <w:tcPr>
            <w:tcW w:w="106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392</w:t>
            </w:r>
          </w:p>
        </w:tc>
      </w:tr>
    </w:tbl>
    <w:p>
      <w:pPr>
        <w:pStyle w:val="142"/>
        <w:rPr>
          <w:rFonts w:hint="eastAsia" w:cs="宋体"/>
          <w:b/>
          <w:bCs/>
          <w:color w:val="auto"/>
          <w:kern w:val="0"/>
          <w:sz w:val="24"/>
          <w:szCs w:val="68"/>
          <w:highlight w:val="none"/>
        </w:rPr>
        <w:sectPr>
          <w:pgSz w:w="16838" w:h="11906" w:orient="landscape"/>
          <w:pgMar w:top="1417" w:right="1440" w:bottom="1134" w:left="1440" w:header="851" w:footer="992" w:gutter="0"/>
          <w:cols w:space="720" w:num="1"/>
          <w:docGrid w:type="lines" w:linePitch="322" w:charSpace="0"/>
        </w:sectPr>
      </w:pPr>
    </w:p>
    <w:p>
      <w:pPr>
        <w:pStyle w:val="142"/>
        <w:ind w:left="0" w:leftChars="0" w:firstLine="0" w:firstLineChars="0"/>
        <w:rPr>
          <w:rFonts w:hint="eastAsia" w:cs="宋体"/>
          <w:b/>
          <w:bCs/>
          <w:color w:val="auto"/>
          <w:kern w:val="0"/>
          <w:sz w:val="24"/>
          <w:szCs w:val="68"/>
          <w:highlight w:val="none"/>
        </w:rPr>
      </w:pPr>
      <w:r>
        <w:rPr>
          <w:rFonts w:hint="eastAsia" w:cs="宋体"/>
          <w:b/>
          <w:bCs/>
          <w:color w:val="auto"/>
          <w:kern w:val="0"/>
          <w:sz w:val="24"/>
          <w:szCs w:val="68"/>
          <w:highlight w:val="none"/>
        </w:rPr>
        <w:t>注：</w:t>
      </w:r>
    </w:p>
    <w:p>
      <w:pPr>
        <w:pStyle w:val="142"/>
        <w:numPr>
          <w:ilvl w:val="0"/>
          <w:numId w:val="50"/>
        </w:numPr>
        <w:ind w:firstLine="482" w:firstLineChars="200"/>
        <w:rPr>
          <w:rFonts w:hint="eastAsia" w:cs="宋体"/>
          <w:b/>
          <w:bCs/>
          <w:color w:val="auto"/>
          <w:kern w:val="0"/>
          <w:sz w:val="24"/>
          <w:szCs w:val="68"/>
          <w:highlight w:val="none"/>
        </w:rPr>
      </w:pPr>
      <w:r>
        <w:rPr>
          <w:rFonts w:hint="eastAsia" w:cs="宋体"/>
          <w:b/>
          <w:bCs/>
          <w:color w:val="auto"/>
          <w:kern w:val="0"/>
          <w:sz w:val="24"/>
          <w:szCs w:val="68"/>
          <w:highlight w:val="none"/>
        </w:rPr>
        <w:t>在本章中，为了方便起见，可能会采取按某种品牌货物的规格和型号予以表述，但并不因此限制或者拒绝投标人以其他能满足本项目技术需求且性能与所明确品牌相当或更优的货物参加投标，如投标的货物优于采购要求，请在偏离表内具体表述正偏离内容及理由。</w:t>
      </w:r>
    </w:p>
    <w:p>
      <w:pPr>
        <w:pStyle w:val="142"/>
        <w:numPr>
          <w:ilvl w:val="0"/>
          <w:numId w:val="50"/>
        </w:numPr>
        <w:ind w:firstLine="482" w:firstLineChars="200"/>
        <w:rPr>
          <w:rFonts w:hint="eastAsia" w:cs="宋体"/>
          <w:b/>
          <w:bCs/>
          <w:color w:val="auto"/>
          <w:kern w:val="0"/>
          <w:sz w:val="24"/>
          <w:szCs w:val="68"/>
          <w:highlight w:val="none"/>
        </w:rPr>
      </w:pPr>
      <w:r>
        <w:rPr>
          <w:rFonts w:hint="eastAsia" w:cs="宋体"/>
          <w:b/>
          <w:bCs/>
          <w:color w:val="auto"/>
          <w:kern w:val="0"/>
          <w:sz w:val="24"/>
          <w:szCs w:val="68"/>
          <w:highlight w:val="none"/>
        </w:rPr>
        <w:t>招标文件的配置要求仅是本项目的关键技术要求，不作为完整的配置要求。投标人需对整体项目的可行性负责，如在项目实施过程中出现无法实施或者缺少相关设备不能满足用户需求的情况投标人应免费提供相关设备，同时提供设备的品牌档次需用户认可。</w:t>
      </w:r>
    </w:p>
    <w:p>
      <w:pPr>
        <w:pStyle w:val="142"/>
        <w:numPr>
          <w:ilvl w:val="0"/>
          <w:numId w:val="50"/>
        </w:numPr>
        <w:ind w:firstLine="482" w:firstLineChars="200"/>
        <w:rPr>
          <w:rFonts w:hint="eastAsia" w:cs="宋体"/>
          <w:b/>
          <w:bCs/>
          <w:color w:val="auto"/>
          <w:kern w:val="0"/>
          <w:sz w:val="24"/>
          <w:szCs w:val="68"/>
          <w:highlight w:val="none"/>
        </w:rPr>
      </w:pPr>
      <w:r>
        <w:rPr>
          <w:rFonts w:hint="eastAsia" w:cs="宋体"/>
          <w:b/>
          <w:bCs/>
          <w:color w:val="auto"/>
          <w:kern w:val="0"/>
          <w:sz w:val="24"/>
          <w:szCs w:val="68"/>
          <w:highlight w:val="none"/>
        </w:rPr>
        <w:t>采购人不组织现场勘察，如要现场勘察，由投标人自行组织踏看，相关自行承担其费用，应充分了解项目位置、情况、道路、储存空间、装卸限制、相关专业队伍的配合与衔接及任何其他（包括且不限于：临时设施、脚手架及现场运输设备、现场因政府部门规定而造成的各种限制条件等）足以影响承包价的情况，任何忽视或误解项目而导致的索赔或工期延长申请将不获得批准。</w:t>
      </w:r>
    </w:p>
    <w:p>
      <w:pPr>
        <w:pStyle w:val="142"/>
        <w:numPr>
          <w:ilvl w:val="0"/>
          <w:numId w:val="50"/>
        </w:numPr>
        <w:ind w:firstLine="482" w:firstLineChars="200"/>
        <w:rPr>
          <w:rFonts w:hint="eastAsia" w:cs="宋体"/>
          <w:b/>
          <w:bCs/>
          <w:color w:val="auto"/>
          <w:kern w:val="0"/>
          <w:sz w:val="24"/>
          <w:szCs w:val="68"/>
          <w:highlight w:val="none"/>
        </w:rPr>
      </w:pPr>
      <w:r>
        <w:rPr>
          <w:rFonts w:hint="eastAsia" w:ascii="宋体" w:hAnsi="Times New Roman" w:eastAsia="宋体" w:cs="Times New Roman"/>
          <w:b/>
          <w:bCs/>
          <w:color w:val="auto"/>
          <w:kern w:val="0"/>
          <w:sz w:val="24"/>
          <w:highlight w:val="none"/>
        </w:rPr>
        <w:t>本项目为服务项目，所涉及的前端设备、杆件及后端</w:t>
      </w:r>
      <w:r>
        <w:rPr>
          <w:rFonts w:hint="eastAsia" w:hAnsi="Times New Roman" w:eastAsia="宋体" w:cs="Times New Roman"/>
          <w:b/>
          <w:bCs/>
          <w:color w:val="auto"/>
          <w:kern w:val="0"/>
          <w:sz w:val="24"/>
          <w:highlight w:val="none"/>
          <w:lang w:val="en-US" w:eastAsia="zh-CN"/>
        </w:rPr>
        <w:t>等</w:t>
      </w:r>
      <w:r>
        <w:rPr>
          <w:rFonts w:hint="eastAsia" w:ascii="宋体" w:hAnsi="Times New Roman" w:eastAsia="宋体" w:cs="Times New Roman"/>
          <w:b/>
          <w:bCs/>
          <w:color w:val="auto"/>
          <w:kern w:val="0"/>
          <w:sz w:val="24"/>
          <w:highlight w:val="none"/>
        </w:rPr>
        <w:t>相关设备，所有权归供应商所有，</w:t>
      </w:r>
      <w:r>
        <w:rPr>
          <w:rFonts w:hint="eastAsia" w:hAnsi="Times New Roman" w:eastAsia="宋体" w:cs="Times New Roman"/>
          <w:b/>
          <w:bCs/>
          <w:color w:val="auto"/>
          <w:kern w:val="0"/>
          <w:sz w:val="24"/>
          <w:highlight w:val="none"/>
          <w:lang w:val="en-US" w:eastAsia="zh-CN"/>
        </w:rPr>
        <w:t>采购</w:t>
      </w:r>
      <w:r>
        <w:rPr>
          <w:rFonts w:hint="eastAsia" w:ascii="宋体" w:hAnsi="Times New Roman" w:eastAsia="宋体" w:cs="Times New Roman"/>
          <w:b/>
          <w:bCs/>
          <w:color w:val="auto"/>
          <w:kern w:val="0"/>
          <w:sz w:val="24"/>
          <w:highlight w:val="none"/>
        </w:rPr>
        <w:t>方拥有长期使用权，如遇到相关政策调整，按相应政策实施</w:t>
      </w:r>
      <w:r>
        <w:rPr>
          <w:rFonts w:hint="eastAsia" w:ascii="宋体" w:hAnsi="Times New Roman" w:eastAsia="宋体" w:cs="Times New Roman"/>
          <w:b/>
          <w:bCs/>
          <w:color w:val="auto"/>
          <w:kern w:val="0"/>
          <w:sz w:val="24"/>
          <w:highlight w:val="none"/>
          <w:lang w:eastAsia="zh-CN"/>
        </w:rPr>
        <w:t>。</w:t>
      </w:r>
    </w:p>
    <w:p>
      <w:pPr>
        <w:pStyle w:val="142"/>
        <w:numPr>
          <w:ilvl w:val="0"/>
          <w:numId w:val="50"/>
        </w:numPr>
        <w:ind w:firstLine="482" w:firstLineChars="200"/>
        <w:rPr>
          <w:rFonts w:hint="eastAsia" w:cs="宋体"/>
          <w:b/>
          <w:bCs/>
          <w:color w:val="auto"/>
          <w:kern w:val="0"/>
          <w:sz w:val="24"/>
          <w:szCs w:val="68"/>
          <w:highlight w:val="none"/>
        </w:rPr>
      </w:pPr>
      <w:r>
        <w:rPr>
          <w:rFonts w:hint="eastAsia" w:ascii="宋体" w:hAnsi="宋体" w:cs="宋体"/>
          <w:b/>
          <w:bCs/>
          <w:color w:val="auto"/>
          <w:kern w:val="0"/>
          <w:sz w:val="24"/>
          <w:szCs w:val="68"/>
          <w:highlight w:val="none"/>
        </w:rPr>
        <w:t>在项目实施过程中及售后，对关键设备起到维护维保能力，</w:t>
      </w:r>
      <w:r>
        <w:rPr>
          <w:rFonts w:hint="eastAsia" w:ascii="宋体" w:hAnsi="宋体" w:cs="宋体"/>
          <w:b/>
          <w:bCs/>
          <w:color w:val="auto"/>
          <w:kern w:val="0"/>
          <w:sz w:val="24"/>
          <w:szCs w:val="68"/>
          <w:highlight w:val="none"/>
          <w:lang w:val="en-US" w:eastAsia="zh-CN"/>
        </w:rPr>
        <w:t>要求</w:t>
      </w:r>
      <w:r>
        <w:rPr>
          <w:rFonts w:hint="eastAsia" w:ascii="宋体" w:hAnsi="宋体" w:cs="宋体"/>
          <w:b/>
          <w:bCs/>
          <w:color w:val="auto"/>
          <w:kern w:val="0"/>
          <w:sz w:val="24"/>
          <w:szCs w:val="68"/>
          <w:highlight w:val="none"/>
        </w:rPr>
        <w:t>设备厂商在项目所在地派驻有相关工作经验，长期驻点技术人员1名；</w:t>
      </w:r>
      <w:r>
        <w:rPr>
          <w:rFonts w:hint="eastAsia" w:ascii="宋体" w:hAnsi="宋体" w:cs="宋体"/>
          <w:b/>
          <w:bCs/>
          <w:color w:val="auto"/>
          <w:kern w:val="0"/>
          <w:sz w:val="24"/>
          <w:szCs w:val="68"/>
          <w:highlight w:val="none"/>
          <w:lang w:val="en-US" w:eastAsia="zh-CN"/>
        </w:rPr>
        <w:t>做好前端监控，后端存储及系统平台的</w:t>
      </w:r>
      <w:r>
        <w:rPr>
          <w:rFonts w:hint="eastAsia" w:ascii="宋体" w:hAnsi="宋体" w:cs="宋体"/>
          <w:b/>
          <w:bCs/>
          <w:color w:val="auto"/>
          <w:kern w:val="0"/>
          <w:sz w:val="24"/>
          <w:szCs w:val="68"/>
          <w:highlight w:val="none"/>
        </w:rPr>
        <w:t>维护、调试、故障排查等</w:t>
      </w:r>
      <w:r>
        <w:rPr>
          <w:rFonts w:hint="eastAsia" w:cs="宋体"/>
          <w:b/>
          <w:bCs/>
          <w:color w:val="auto"/>
          <w:kern w:val="0"/>
          <w:sz w:val="24"/>
          <w:szCs w:val="68"/>
          <w:highlight w:val="none"/>
          <w:lang w:val="en-US" w:eastAsia="zh-CN"/>
        </w:rPr>
        <w:t>工作。（</w:t>
      </w:r>
      <w:r>
        <w:rPr>
          <w:rFonts w:hint="eastAsia" w:ascii="宋体" w:hAnsi="宋体" w:cs="宋体"/>
          <w:b/>
          <w:bCs/>
          <w:color w:val="auto"/>
          <w:kern w:val="0"/>
          <w:sz w:val="24"/>
          <w:szCs w:val="68"/>
          <w:highlight w:val="none"/>
        </w:rPr>
        <w:t>提供社保证明、相关证书</w:t>
      </w:r>
      <w:r>
        <w:rPr>
          <w:rFonts w:hint="eastAsia" w:cs="宋体"/>
          <w:b/>
          <w:bCs/>
          <w:color w:val="auto"/>
          <w:kern w:val="0"/>
          <w:sz w:val="24"/>
          <w:szCs w:val="68"/>
          <w:highlight w:val="none"/>
          <w:lang w:val="en-US" w:eastAsia="zh-CN"/>
        </w:rPr>
        <w:t>）</w:t>
      </w:r>
    </w:p>
    <w:p>
      <w:pPr>
        <w:pStyle w:val="142"/>
        <w:rPr>
          <w:rFonts w:hint="eastAsia" w:cs="宋体"/>
          <w:b/>
          <w:bCs/>
          <w:color w:val="auto"/>
          <w:kern w:val="0"/>
          <w:sz w:val="24"/>
          <w:szCs w:val="68"/>
          <w:highlight w:val="none"/>
        </w:rPr>
      </w:pPr>
    </w:p>
    <w:p>
      <w:pPr>
        <w:pStyle w:val="2"/>
        <w:numPr>
          <w:ilvl w:val="0"/>
          <w:numId w:val="51"/>
        </w:numPr>
        <w:spacing w:line="360" w:lineRule="auto"/>
        <w:jc w:val="center"/>
        <w:rPr>
          <w:rFonts w:hint="eastAsia" w:hAnsi="宋体" w:cs="宋体"/>
          <w:color w:val="auto"/>
          <w:kern w:val="0"/>
          <w:highlight w:val="none"/>
        </w:rPr>
      </w:pPr>
      <w:bookmarkStart w:id="572" w:name="_Toc21869"/>
      <w:r>
        <w:rPr>
          <w:rFonts w:hint="eastAsia" w:hAnsi="宋体" w:cs="宋体"/>
          <w:color w:val="auto"/>
          <w:kern w:val="0"/>
          <w:highlight w:val="none"/>
        </w:rPr>
        <w:t>点位清单</w:t>
      </w:r>
      <w:bookmarkEnd w:id="572"/>
    </w:p>
    <w:p>
      <w:pPr>
        <w:pStyle w:val="142"/>
        <w:ind w:left="420" w:leftChars="200" w:firstLine="0"/>
        <w:rPr>
          <w:rFonts w:hint="eastAsia" w:cs="宋体"/>
          <w:b/>
          <w:bCs/>
          <w:color w:val="auto"/>
          <w:kern w:val="0"/>
          <w:sz w:val="24"/>
          <w:szCs w:val="68"/>
          <w:highlight w:val="none"/>
        </w:rPr>
      </w:pPr>
      <w:r>
        <w:rPr>
          <w:rFonts w:hint="eastAsia" w:cs="宋体"/>
          <w:b/>
          <w:bCs/>
          <w:color w:val="auto"/>
          <w:kern w:val="0"/>
          <w:sz w:val="24"/>
          <w:szCs w:val="68"/>
          <w:highlight w:val="none"/>
        </w:rPr>
        <w:t>一、高清虚拟抓拍卡口点位清单</w:t>
      </w:r>
    </w:p>
    <w:tbl>
      <w:tblPr>
        <w:tblStyle w:val="37"/>
        <w:tblW w:w="9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0"/>
        <w:gridCol w:w="2103"/>
        <w:gridCol w:w="2394"/>
        <w:gridCol w:w="1444"/>
        <w:gridCol w:w="825"/>
        <w:gridCol w:w="870"/>
        <w:gridCol w:w="67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600" w:type="dxa"/>
            <w:shd w:val="clear" w:color="auto" w:fill="auto"/>
            <w:noWrap/>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序号</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老名称</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新名称</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改造方式</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抓拍机</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频闪灯</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全景</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全景补光灯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8101路东铁路涵洞朝北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路东铁路涵洞朝北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8102路东铁路涵洞全景朝南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路东铁路涵洞全景朝南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8103人民路金家岙东向西</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与8309重复，移位至四环南湖辅道，杆件拆除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8104人民路金家岙西向东</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与8311重复，移位至四环南湖辅道，杆件拆除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8105四环石狮至南湖路段东向西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四环南湖朝西辅道</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8106四环石狮至南湖路段东向西全景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四环南湖朝西全景</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8107四环石狮至南湖路段西向东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四环南湖朝东辅道</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8108四环石狮至南湖路段西向东全景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四环南湖朝东全景</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8109天天加油站往九浸畈</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天天加油站往九浸畈朝南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天天加油站往九浸畈全景朝北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8110陈黑线徐岭水库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陈黑线徐岭水库</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陈黑线徐岭水库全景</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8111江东路五甲渡塘路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百沥塘五甲渡西朝东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百沥塘五甲渡西全景朝西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8112联盟路与假山路岔口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联盟路与假山路朝南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联盟路与假山路全景朝北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8113江东路与文化路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江东路与文化路朝西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江东路与文化路全景朝西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装低</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8114江东路与体育场路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江东路与体育场路朝西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江东路与体育场路全景朝西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装低</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8115解放街电信门口南向北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解放街电信门口朝南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解放街电信门口全景朝南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8116解放街电信门口北向南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解放街电信门口朝北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解放街电信门口全景朝北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8117滨江豪园东门</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滨江豪园东门朝南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滨江豪园东门全景朝北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8118龙山路交通银行门口附近东向西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龙山路交通银行朝东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龙山路交通银行全景朝西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8119龙山路交通银行门口附近西向东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龙山路交通银行朝西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龙山路交通银行全景朝东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8120江山路湿地公园门口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江山路湿地公园门口朝南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江山路湿地公园门口全景朝北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8121文化广场龙山铁路桥洞</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文化广场铁路桥洞朝西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文化广场铁路桥洞全景朝东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装低</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8122半山路妇保院门口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半山路妇保院门口朝西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半山路妇保院门口全景朝东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8123江东路横街入口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江东路横街朝西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江东路横街全景朝西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8124凤山路横街入口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凤山路横街朝西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凤山路横街全景朝东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8125百丰公路同心桥</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百丰公路同心桥朝北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百丰公路同心桥全景朝南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8126百丰公路潘窑进口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百丰公路潘窑辅道朝南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百丰公路潘窑辅道全景朝北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8127张杰中学附近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张杰中学门口朝东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张杰中学门口全景朝西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8128潘家陡驿亭方向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潘家陡驿亭方向朝北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潘家陡驿亭方向全景朝南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8129通明朱巷交界</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朱巷往丰惠交界朝东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朱巷往丰惠交界全景朝西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8130春晖立交桥南向南向北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春晖立交桥南向朝南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8131春晖立交桥南向南向北全景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春晖立交桥南向全景朝北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8132春晖立交桥南向北向南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春晖立交桥南向朝北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8133春晖立交桥南向北向南全景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春晖立交桥南向全景朝南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57</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8134上三高速蒿坝入口上高速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上三高速蒿坝入口上高速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58</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8135上三高速蒿坝入口下高速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上三高速蒿坝入口下高速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59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8136绍诸高速入口上高速</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丰惠至驿亭1</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名称待定</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丰惠至驿亭1全景</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8137绍诸高速入口下高速</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丰惠至驿亭2</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名称待定</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丰惠至驿亭2全景</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8138一〇四国道火车站入口东向西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一〇四国道火车站朝东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一〇四国道火车站全景朝东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8139一〇四国道火车站入口西向东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一〇四国道火车站朝西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一〇四国道火车站全景朝西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8140彩虹桥转曹娥庙塘路入口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彩虹桥转曹娥庙塘路朝北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彩虹桥转曹娥庙塘路全景朝南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69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8141朱山公路小堡附近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朱山公路小堡朝北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朱山公路小堡全景朝南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8142运河东路人民路桥下</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运河东路人民路桥下朝北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运河东路人民路桥下全景朝南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8143江西路通四环匝道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江西路通四环匝道朝南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江西路通四环匝道全景朝北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8144英松宾馆桥洞</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英松宾馆桥洞朝北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英松宾馆桥洞全景朝南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8145梁巷铁路桥洞</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梁巷铁路桥洞朝北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梁巷铁路桥洞全景朝南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79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8146三环联谊路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三环联谊路朝西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三环联谊路全景朝东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8147三环通江路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三环通江路朝西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三环通江路全景朝东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8148五星路舜景秀水苑前东向西车道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五星路舜景秀水苑朝东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8149五星路舜景秀水苑前东向西车道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五星路舜景秀水苑全景朝东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8150五星路舜景秀水苑前西向东车道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五星路舜景秀水苑朝西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8151五星路舜景秀水苑前西向东车道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五星路舜景秀水苑全景朝西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8152人民西路东向西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人民大道曹娥卫生院朝西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8153人民西路东向西全景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人民大道曹娥卫生院全景朝西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8154人民西路西向东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人民大道曹娥卫生院朝东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8155人民西路西向东全景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人民大道曹娥卫生院全景朝东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8156一〇四国道新沙线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一〇四国道新沙线朝南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一〇四国道新沙线全景朝北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8157江西路文锦路朝南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江西路文锦路朝南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江西路文锦路全景朝北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8158江西路德济路朝北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江西路德济路朝南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江西路德济路全景朝南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8159渡江路舜秀铁路涵洞</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渡江路舜秀铁路涵洞朝南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渡江路舜秀铁路涵洞全景朝北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99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8160外蒿庄村桥头</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外蒿庄村桥头朝东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外蒿庄村桥头全景朝西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101</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8161上三高速东关入口西上高速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8161上三高速东关入口西上高速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102</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8162上三高速东关入口西上高速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8162上三高速东关入口西上高速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103</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8163上三高速东关入口西下高速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8163上三高速东关入口西下高速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104</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8164上三高速东关入口东上高速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8164上三高速东关入口东上高速</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8165五长线长塘广陵村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五长线长塘广陵村朝东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五长线长塘广陵村全景朝西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8166五长公路担山村口南向北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五长公路担山村口朝北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五长公路担山村口全景朝南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109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8167东达路中间桥上双向两车道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东达路中间桥上朝北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东达路中间桥上全景朝北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8168东塘破塘下双向两车道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东塘破塘下朝北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东塘破塘下全景朝南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8169***东侧道路双向两车道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东关小学西侧朝北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东关小学西侧全景朝南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8170长塘桃园至镇政府路段双向两车道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长塘镇政府路西口朝西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长塘镇政府路西口全景朝东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8171岭南白龙潭村大桥头</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岭南白龙潭村大桥头朝南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岭南白龙潭村大桥头全景朝南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119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8172泾肖公路杜浦塘路岔口南向北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泾肖公路杜浦塘路岔口朝南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泾肖公路杜浦塘路岔口全景朝北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8173泾肖公路杜浦塘路岔口北向南（增）</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泾肖公路杜浦塘路岔口朝北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泾肖公路杜浦塘路岔口全景朝南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8174驿亭孝丰村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驿亭孝丰村朝南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驿亭孝丰村全景朝北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8175一〇四国道泾口东向西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一〇四国道泾口朝西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8176一〇四国道泾口东向西全景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一〇四国道泾口全景朝西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装低</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8177一〇四国道泾口西向东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一〇四国道泾口朝东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8178一〇四国道泾口西向东全景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一〇四国道泾口全景朝东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装低</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129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8179谢塘镇政府门口东向西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谢塘镇政府门口朝东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谢塘镇政府门口全景朝西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8180谢塘镇政府门口西向东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谢塘镇政府门口朝西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谢塘镇政府门口全景朝东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8181东关前村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东关前国道前村入口朝北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东关前国道前村入口全景朝南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8182永和与梁弄交界处东向西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永和与梁弄交界朝西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8183永和与梁弄交界处东向西全景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永和与梁弄交界全景朝西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8184永和与梁弄交界处西向东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永和与梁弄交界朝东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8185永和与梁弄交界处西向东全景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永和与梁弄交界全景朝东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139</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8186夹塘与余姚交界处</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夹塘与余姚交界朝东</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140</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夹塘与余姚交界全景朝西</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8187老百悬线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丰惠老百悬线南门朝北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丰惠老百悬线南门全景朝南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8188丰三路鸿运家园东向西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丰三路鸿运家园朝西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丰三路鸿运家园全景朝西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8189丰三路鸿运家园西向东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丰三路鸿运家园朝东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丰三路鸿运家园全景朝东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8190丰惠***东侧</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丰惠***东侧朝北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丰惠***东侧全景朝南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149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8191丰惠郑家堡桥头</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丰惠郑家堡桥头朝南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丰惠郑家堡桥头全景朝北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8192项家桥</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永和项家桥朝西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永和项家桥全景朝东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8193朱巷集镇</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朱巷集镇朝北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朱巷集镇全景朝南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8194丰永线黄浦桥</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丰永线黄浦桥朝东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丰永线黄浦桥全景朝西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8195管梁公路下管***门口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下管***门口朝西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下管***门口全景朝东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159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8196百悬线陈黑线交叉口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百悬线陈黑线朝东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百悬线陈黑线全景朝东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8197丰章公路舜山木业路口南向北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丰章公路舜山木业路口朝南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丰章公路舜山木业路口全景朝北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8198丰章公路舜山木业路口北向南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丰章公路舜山木业路口朝北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丰章公路舜山木业路口全景朝南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8199五甲渡大桥五甲渡大桥</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五甲渡大桥北首朝南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五甲渡大桥北首全景朝北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167</w:t>
            </w:r>
          </w:p>
        </w:tc>
        <w:tc>
          <w:tcPr>
            <w:tcW w:w="2103"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8200曹娥江塘路崧厦滨海交界</w:t>
            </w:r>
          </w:p>
        </w:tc>
        <w:tc>
          <w:tcPr>
            <w:tcW w:w="239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百沥塘崧厦滨海交界朝南</w:t>
            </w:r>
          </w:p>
        </w:tc>
        <w:tc>
          <w:tcPr>
            <w:tcW w:w="144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百沥塘崧厦滨海交界全景朝南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169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8201崧谢公路新下湖村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崧谢公路新下湖村朝东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崧谢公路新下湖村全景朝西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8202崧舜路崧厦***南面</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崧舜路崧厦***南面朝西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崧舜路崧厦***南面全景朝东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8203百红路号前</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老百红路236号前朝东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老百红路237号前全景朝西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8204崧沥老路联塘幼儿园西侧</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崧沥老路联塘幼儿园朝南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崧沥老路联塘幼儿园全景朝北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8205崧厦教堂前（交警加装）</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崧厦教堂前朝南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崧厦教堂前全景朝北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179</w:t>
            </w:r>
          </w:p>
        </w:tc>
        <w:tc>
          <w:tcPr>
            <w:tcW w:w="2103"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8206三友村口</w:t>
            </w:r>
          </w:p>
        </w:tc>
        <w:tc>
          <w:tcPr>
            <w:tcW w:w="2394"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三友村口朝西</w:t>
            </w:r>
          </w:p>
        </w:tc>
        <w:tc>
          <w:tcPr>
            <w:tcW w:w="1444"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更换设备</w:t>
            </w:r>
          </w:p>
        </w:tc>
        <w:tc>
          <w:tcPr>
            <w:tcW w:w="825"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2</w:t>
            </w:r>
          </w:p>
        </w:tc>
        <w:tc>
          <w:tcPr>
            <w:tcW w:w="870"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2</w:t>
            </w:r>
          </w:p>
        </w:tc>
        <w:tc>
          <w:tcPr>
            <w:tcW w:w="675"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c>
          <w:tcPr>
            <w:tcW w:w="780"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180</w:t>
            </w:r>
          </w:p>
        </w:tc>
        <w:tc>
          <w:tcPr>
            <w:tcW w:w="2103" w:type="dxa"/>
            <w:noWrap w:val="0"/>
            <w:tcMar>
              <w:top w:w="15" w:type="dxa"/>
              <w:left w:w="15" w:type="dxa"/>
              <w:right w:w="15" w:type="dxa"/>
            </w:tcMar>
            <w:vAlign w:val="center"/>
          </w:tcPr>
          <w:p>
            <w:pPr>
              <w:pStyle w:val="177"/>
              <w:jc w:val="center"/>
              <w:rPr>
                <w:rFonts w:hint="eastAsia"/>
                <w:b/>
                <w:color w:val="auto"/>
                <w:highlight w:val="none"/>
              </w:rPr>
            </w:pPr>
          </w:p>
        </w:tc>
        <w:tc>
          <w:tcPr>
            <w:tcW w:w="2394" w:type="dxa"/>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三友村口全景朝西</w:t>
            </w:r>
          </w:p>
        </w:tc>
        <w:tc>
          <w:tcPr>
            <w:tcW w:w="1444" w:type="dxa"/>
            <w:noWrap w:val="0"/>
            <w:tcMar>
              <w:top w:w="15" w:type="dxa"/>
              <w:left w:w="15" w:type="dxa"/>
              <w:right w:w="15" w:type="dxa"/>
            </w:tcMar>
            <w:vAlign w:val="center"/>
          </w:tcPr>
          <w:p>
            <w:pPr>
              <w:pStyle w:val="177"/>
              <w:jc w:val="center"/>
              <w:rPr>
                <w:rFonts w:hint="eastAsia"/>
                <w:b/>
                <w:color w:val="auto"/>
                <w:highlight w:val="none"/>
              </w:rPr>
            </w:pPr>
          </w:p>
        </w:tc>
        <w:tc>
          <w:tcPr>
            <w:tcW w:w="825" w:type="dxa"/>
            <w:noWrap w:val="0"/>
            <w:tcMar>
              <w:top w:w="15" w:type="dxa"/>
              <w:left w:w="15" w:type="dxa"/>
              <w:right w:w="15" w:type="dxa"/>
            </w:tcMar>
            <w:vAlign w:val="center"/>
          </w:tcPr>
          <w:p>
            <w:pPr>
              <w:pStyle w:val="177"/>
              <w:jc w:val="center"/>
              <w:rPr>
                <w:rFonts w:hint="eastAsia"/>
                <w:b/>
                <w:color w:val="auto"/>
                <w:highlight w:val="none"/>
              </w:rPr>
            </w:pPr>
          </w:p>
        </w:tc>
        <w:tc>
          <w:tcPr>
            <w:tcW w:w="870" w:type="dxa"/>
            <w:noWrap w:val="0"/>
            <w:tcMar>
              <w:top w:w="15" w:type="dxa"/>
              <w:left w:w="15" w:type="dxa"/>
              <w:right w:w="15" w:type="dxa"/>
            </w:tcMar>
            <w:vAlign w:val="center"/>
          </w:tcPr>
          <w:p>
            <w:pPr>
              <w:pStyle w:val="177"/>
              <w:jc w:val="center"/>
              <w:rPr>
                <w:rFonts w:hint="eastAsia"/>
                <w:b/>
                <w:color w:val="auto"/>
                <w:highlight w:val="none"/>
              </w:rPr>
            </w:pPr>
          </w:p>
        </w:tc>
        <w:tc>
          <w:tcPr>
            <w:tcW w:w="675" w:type="dxa"/>
            <w:noWrap w:val="0"/>
            <w:tcMar>
              <w:top w:w="15" w:type="dxa"/>
              <w:left w:w="15" w:type="dxa"/>
              <w:right w:w="15" w:type="dxa"/>
            </w:tcMar>
            <w:vAlign w:val="center"/>
          </w:tcPr>
          <w:p>
            <w:pPr>
              <w:pStyle w:val="177"/>
              <w:jc w:val="center"/>
              <w:rPr>
                <w:rFonts w:hint="eastAsia"/>
                <w:b/>
                <w:color w:val="auto"/>
                <w:highlight w:val="none"/>
              </w:rPr>
            </w:pPr>
          </w:p>
        </w:tc>
        <w:tc>
          <w:tcPr>
            <w:tcW w:w="780" w:type="dxa"/>
            <w:noWrap w:val="0"/>
            <w:tcMar>
              <w:top w:w="15" w:type="dxa"/>
              <w:left w:w="15" w:type="dxa"/>
              <w:right w:w="15" w:type="dxa"/>
            </w:tcMar>
            <w:vAlign w:val="center"/>
          </w:tcPr>
          <w:p>
            <w:pPr>
              <w:pStyle w:val="177"/>
              <w:jc w:val="center"/>
              <w:rPr>
                <w:rFonts w:hint="eastAsia"/>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8207老百崧线施家堰村口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老百崧线施家堰村口朝东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老百崧线施家堰村口全景朝西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8208百崧公路华镇路口西向东向西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百崧公路华镇路西口朝东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百崧公路华镇路西口全景朝西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8209百崧公路华镇路口西向西向东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百崧公路华镇路西口朝西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百崧公路华镇路西口全景朝东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187</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8210百沥公路崧厦与滨海交界东向西</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百沥公路滨海交界东向西</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重复建设，拆除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188</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8211百沥公路崧厦与滨海交界西向东</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百沥公路滨海交界西向东</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重复建设，拆除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189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8212长海公路崧厦与滨海交界南向北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长海公路边沥线朝南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8213长海公路崧厦与滨海交界南向北全景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长海公路边沥线全景朝南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8214长海公路崧厦与滨海交界北向南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长海公路边沥线朝北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8215长海公路崧厦与滨海交界北向南全景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长海公路边沥线全景朝北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193</w:t>
            </w:r>
          </w:p>
        </w:tc>
        <w:tc>
          <w:tcPr>
            <w:tcW w:w="2103"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8216西上线霞樟村</w:t>
            </w:r>
          </w:p>
        </w:tc>
        <w:tc>
          <w:tcPr>
            <w:tcW w:w="239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西上线霞樟村朝西</w:t>
            </w:r>
          </w:p>
        </w:tc>
        <w:tc>
          <w:tcPr>
            <w:tcW w:w="144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194</w:t>
            </w:r>
          </w:p>
        </w:tc>
        <w:tc>
          <w:tcPr>
            <w:tcW w:w="2103"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西上线霞樟村全景朝东</w:t>
            </w:r>
          </w:p>
        </w:tc>
        <w:tc>
          <w:tcPr>
            <w:tcW w:w="1444"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195</w:t>
            </w:r>
          </w:p>
        </w:tc>
        <w:tc>
          <w:tcPr>
            <w:tcW w:w="2103"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8217西下线达郭村</w:t>
            </w:r>
          </w:p>
        </w:tc>
        <w:tc>
          <w:tcPr>
            <w:tcW w:w="239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西下线达郭村朝西</w:t>
            </w:r>
          </w:p>
        </w:tc>
        <w:tc>
          <w:tcPr>
            <w:tcW w:w="144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196</w:t>
            </w:r>
          </w:p>
        </w:tc>
        <w:tc>
          <w:tcPr>
            <w:tcW w:w="2103"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b/>
                <w:color w:val="auto"/>
                <w:highlight w:val="none"/>
              </w:rPr>
            </w:pPr>
            <w:r>
              <w:rPr>
                <w:rFonts w:hint="eastAsia"/>
                <w:b/>
                <w:color w:val="auto"/>
                <w:highlight w:val="none"/>
              </w:rPr>
              <w:t>西下线达郭村全景朝东</w:t>
            </w:r>
          </w:p>
        </w:tc>
        <w:tc>
          <w:tcPr>
            <w:tcW w:w="1444"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8218百官路东新辉照明桥头北向南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路东华侨电声桥头朝北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路东华侨电声桥头全景朝南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199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8219百官路东新辉照明桥头北向南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路东华侨电声桥头朝南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路东华侨电声桥头全景朝北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8220一零四国道转上浦闸</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上浦闸塘路北口朝北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上浦闸塘路北口全景朝北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8221上浦闸至章镇塘路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玩昆线上浦大桥东首朝东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移位，更换杆件</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玩昆线上浦大桥东首全景朝西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8222一零四国道上浦闸入口以南南向北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一零四国道上浦闸南口朝南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8223一零四国道上浦闸入口以南南向北全景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一零四国道上浦闸南口全景朝南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8224一零四国道上浦闸入口以南北向南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一零四国道上浦闸南口朝北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8225一零四国道上浦闸入口以南北向南全景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一零四国道上浦闸南口全景朝北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209</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8226上三高速章镇入口上高速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210</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8227上三高速章镇入口下高速</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8228一零四国道三界交界南向北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一零四国道三界交界朝南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8229一零四国道三界交界南向北全景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一零四国道三界交界全景朝南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8230一零四国道三界交界北向南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一零四国道三界交界朝北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8231一零四国道三界交界北向南全景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一零四国道三界交界全景朝北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8232章镇大桥东侧</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章镇大桥东侧朝西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章镇大桥东侧全景朝东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8233章镇南大桥东塘路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章镇南大桥塘路东口朝东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章镇南大桥塘路东口全景朝西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219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8234岭南廉树下</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岭南廉树下朝西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岭南廉树下全景朝东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221</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8235赵巷桥村口</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赵巷桥村口</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8236越谢公路冯柯山村路口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越谢公路冯柯山村朝西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越谢公路冯柯山村全景朝东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8237越女像进口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越女像进口朝南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越女像进口全景朝北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8238工业园区紫金路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工业园区紫金路朝东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工业园区紫金路全景朝西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8239三二九国道倪梁村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三二九国道倪梁村朝北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229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三二九国道倪梁村全景朝南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8240进港公路冯柯山村路口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进港公路冯柯山村路口朝东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进港公路冯柯山村路口全景朝西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8241黄潘公路百丰线入口南向北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黄潘公路百丰线入口朝北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8242黄潘公路百丰线入口东全景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黄潘公路百丰线入口全景朝南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8243黄潘公路百丰线入口北向南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黄潘公路百丰线入口朝南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8244黄潘公路百丰线入口西全景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黄潘公路百丰线入口全景朝北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8245杭甬高速五夫入口南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杭甬高速牟山副朝南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杭甬高速牟山副朝北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杭甬高速牟山副全景朝南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239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8246杭甬高速五夫入口北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杭甬高速牟山主朝西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杭甬高速牟山主全景朝西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241</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8247五五公路与牟山交界</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五五公路与牟山交界</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拆除，重复建设</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8248驿亭五洲村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驿亭五洲村朝北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驿亭五洲村全景朝南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8249马慢桥东向西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百驿公路马慢桥朝东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百驿公路马慢桥全景朝西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8250马慢桥西向东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百驿公路马慢桥朝西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百驿公路马慢桥全景朝东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8251横塘街白马湖方向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横塘街白马湖方向朝西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249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横塘街白马湖方向全景朝西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8252横塘街鲁溪闸方向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横塘街鲁溪闸方向朝北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横塘街鲁溪闸方向全景朝北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8253滨海大道上虞绍兴交界东向西车道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滨海大道绍兴交界朝东1</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8254滨海大道上虞绍兴交界东向西车道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滨海大道绍兴交界朝东2</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滨海大道绍兴交界朝东辅道</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8255滨海大道上虞绍兴交界东向西全景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8256滨海大道上虞绍兴交界西向东车道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滨海大道绍兴交界朝西1</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8257滨海大道上虞绍兴交界西向东车道</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滨海大道绍兴交界朝西2</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滨海大道绍兴交界朝西辅道</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259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8258滨海大道上虞绍兴交界西向东全景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滨海大道绍兴交界全景朝西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8259跃进闸</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边沥线跃进闸朝东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边沥线跃进闸朝东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8260新区***旁三岔口南向北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新区消防旁北口朝南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8261新区***旁三岔口南向北全景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新区消防旁北口全景朝南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8262新区***旁三岔口北向南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新区消防旁南口朝北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8263新区***旁三岔口北向南全景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新区消防旁南口全景朝北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8264新区***旁三岔口西向南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新区消防旁东口朝西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8265新区***旁三岔口西向南全景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新区消防旁东口全景朝西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8266边防***门口东向西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原边防所门口朝东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269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8267边防***门口东向西全景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原边防所门口全景朝东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8268边防***门口西向东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原边防所门口朝西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8269边防***门口西向东全景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原边防所门口全景朝西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8270白云宾馆门口东向西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白云宾馆门口朝东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8271白云宾馆门口东向西全景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白云宾馆门口全景朝东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8272白云宾馆门口西向东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白云宾馆门口朝西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8273白云宾馆门口西向东全景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白云宾馆门口全景朝西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8274纬十一路与进港公路岔口进港公路东面东向西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纬十一与进港公路东口朝西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8275纬十一路与进港公路岔口进港公路东面东向西全景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纬十一与进港公路东口全景朝西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8276纬十一路与进港公路岔口进港公路东面西向东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纬十一与进港公路东口朝东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279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8277纬十一路与进港公路岔口进港公路东面西向东全景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纬十一与进港公路东口全景朝东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8278纬十一路与进港公路岔口进港公路西面东向西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纬十一与进港公路西口朝东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纬十一与进港公路西口全景朝东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8279纬十一路与进港公路岔口进港公路西面西向东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纬十一与进港公路西口朝西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纬十一与进港公路西口全景朝西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8280进港公路兴海村入口</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进港公路兴海村入口朝北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进港公路兴海村入口全景朝北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8281谢塘晋生村</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谢塘晋生村朝西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谢塘晋生村全景朝东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8282越谢公路小庙桥头</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越谢公路小庙桥头朝北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更换设备</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289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越谢公路小庙桥头全景朝南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290</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8285人民西路卡口西</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8285人民西路卡口西</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291</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8286人民西路卡口西</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8286人民西路卡口西</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292</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8287人民西路卡口全景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8287人民西路卡口全景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293</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8288人民西路卡口全景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8288人民西路卡口全景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294</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8289人民西路卡口东</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8289人民西路卡口东</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295</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8290人民西路卡口东</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8290人民西路卡口东</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296</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8291人民西路卡口全景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8291人民西路卡口全景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297</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8292人民西路卡口全景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8292人民西路卡口全景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8294蒿坝卡口南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8294蒿坝卡口南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299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8295蒿坝卡口全景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8296蒿坝卡口全景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8297蒿坝卡口北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8298蒿坝卡口北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8299蒿坝卡口全景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8300蒿坝卡口全景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8301舜耕大道檀宫卡口西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8301舜耕大道檀宫卡口西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8302舜耕大道檀宫卡口西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8303舜耕大道檀宫卡口全景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8304舜耕大道檀宫卡口全景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309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8305舜耕大道檀宫卡口东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8306舜耕大道檀宫卡口东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8307舜耕大道檀宫卡口全景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8308舜耕大道檀宫卡口全景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8309人民东路卡口东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8309人民东路卡口东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8310人民东路卡口东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8311人民东路卡口全景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8312人民东路卡口全景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8313人民东路卡口西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8314人民东路卡口西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319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8317小越镇卡口西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8317小越镇卡口西</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8318小越镇卡口西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8319小越镇卡口全景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8320小越镇卡口全景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8321小越镇卡口东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8322小越镇卡口东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8323小越镇卡口全景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8324小越镇卡口全景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8325上浦卡口南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8325上浦卡口南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8326上浦卡口南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329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8327上浦卡口南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8328上浦卡口全景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8329上浦卡口全景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8330上浦卡口北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8331上浦卡口北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8332上浦卡口北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8333上浦卡口全景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8334上浦卡口全景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337</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8335章镇板桥卡口南全景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8335章镇板桥卡口南全景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拆除</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338</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8336章镇板桥卡口南</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8336章镇板桥卡口南</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339</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8337章镇板桥卡口南</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8337章镇板桥卡口南</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340</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8338章镇板桥卡口全景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8338章镇板桥卡口全景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341</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8339章镇板桥卡口全景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8339章镇板桥卡口全景</w:t>
            </w: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342</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8340章镇板桥卡口北</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343</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8341章镇板桥卡口北</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344</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8342章镇板桥卡口北</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345</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8343章镇板桥卡口全景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346</w:t>
            </w:r>
          </w:p>
        </w:tc>
        <w:tc>
          <w:tcPr>
            <w:tcW w:w="2103" w:type="dxa"/>
            <w:shd w:val="clear" w:color="auto" w:fill="FFFF00"/>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8344章镇板桥卡口全景</w:t>
            </w:r>
          </w:p>
        </w:tc>
        <w:tc>
          <w:tcPr>
            <w:tcW w:w="239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00"/>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8345新戴家村卡口南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8345新戴家村卡口南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8346新戴家村卡口南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349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8347新戴家村卡口全景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8348新戴家村卡口全景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8349新戴家村卡口北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8350新戴家村卡口北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8351新戴家村卡口全景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8352新戴家村卡口全景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8353勤联村卡口北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8353勤联村卡口北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8354勤联村卡口北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8355勤联村卡口全景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8356勤联村卡口南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359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8357勤联村卡口南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8358勤联村卡口全景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8359华镇卡口北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8359华镇卡口北</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8360华镇卡口北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363</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8361华镇卡口全景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364</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8362华镇卡口南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365</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8363华镇卡口南</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366</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8364华镇卡口全景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367</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8365三立铜业卡口东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8365三立铜业卡口东</w:t>
            </w: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虚拟卡口</w:t>
            </w: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4</w:t>
            </w: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368</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8366三立铜业卡口东</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369</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8367三立铜业卡口全景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370</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8368三立铜业卡口西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371</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8369三立铜业卡口西</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00" w:type="dxa"/>
            <w:shd w:val="clear" w:color="auto" w:fill="auto"/>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372</w:t>
            </w:r>
          </w:p>
        </w:tc>
        <w:tc>
          <w:tcPr>
            <w:tcW w:w="2103" w:type="dxa"/>
            <w:shd w:val="clear" w:color="auto" w:fill="FFFFFF"/>
            <w:noWrap w:val="0"/>
            <w:tcMar>
              <w:top w:w="15" w:type="dxa"/>
              <w:left w:w="15" w:type="dxa"/>
              <w:right w:w="15" w:type="dxa"/>
            </w:tcMar>
            <w:vAlign w:val="center"/>
          </w:tcPr>
          <w:p>
            <w:pPr>
              <w:pStyle w:val="177"/>
              <w:jc w:val="center"/>
              <w:rPr>
                <w:rFonts w:hint="eastAsia"/>
                <w:color w:val="auto"/>
                <w:highlight w:val="none"/>
              </w:rPr>
            </w:pPr>
            <w:r>
              <w:rPr>
                <w:rFonts w:hint="eastAsia"/>
                <w:color w:val="auto"/>
                <w:highlight w:val="none"/>
              </w:rPr>
              <w:t>8370三立铜业卡口全景</w:t>
            </w:r>
          </w:p>
        </w:tc>
        <w:tc>
          <w:tcPr>
            <w:tcW w:w="239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1444"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2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87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675"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c>
          <w:tcPr>
            <w:tcW w:w="780" w:type="dxa"/>
            <w:shd w:val="clear" w:color="auto" w:fill="FFFFFF"/>
            <w:noWrap w:val="0"/>
            <w:tcMar>
              <w:top w:w="15" w:type="dxa"/>
              <w:left w:w="15" w:type="dxa"/>
              <w:right w:w="15" w:type="dxa"/>
            </w:tcMar>
            <w:vAlign w:val="center"/>
          </w:tcPr>
          <w:p>
            <w:pPr>
              <w:pStyle w:val="177"/>
              <w:jc w:val="center"/>
              <w:rPr>
                <w:rFonts w:hint="eastAsia"/>
                <w:color w:val="auto"/>
                <w:highlight w:val="none"/>
              </w:rPr>
            </w:pPr>
          </w:p>
        </w:tc>
      </w:tr>
    </w:tbl>
    <w:p>
      <w:pPr>
        <w:pStyle w:val="3"/>
        <w:rPr>
          <w:rFonts w:hint="eastAsia" w:ascii="宋体" w:hAnsi="宋体" w:cs="宋体"/>
          <w:b/>
          <w:bCs/>
          <w:color w:val="auto"/>
          <w:kern w:val="0"/>
          <w:sz w:val="24"/>
          <w:szCs w:val="68"/>
          <w:highlight w:val="none"/>
        </w:rPr>
      </w:pPr>
    </w:p>
    <w:p>
      <w:pPr>
        <w:pStyle w:val="3"/>
        <w:ind w:left="630" w:firstLine="0"/>
        <w:rPr>
          <w:rFonts w:hint="eastAsia" w:ascii="宋体" w:hAnsi="宋体" w:cs="宋体"/>
          <w:b/>
          <w:bCs/>
          <w:color w:val="auto"/>
          <w:kern w:val="0"/>
          <w:sz w:val="24"/>
          <w:szCs w:val="68"/>
          <w:highlight w:val="none"/>
        </w:rPr>
      </w:pPr>
      <w:r>
        <w:rPr>
          <w:rFonts w:hint="eastAsia" w:ascii="宋体" w:hAnsi="宋体" w:cs="宋体"/>
          <w:b/>
          <w:bCs/>
          <w:color w:val="auto"/>
          <w:kern w:val="0"/>
          <w:sz w:val="24"/>
          <w:szCs w:val="68"/>
          <w:highlight w:val="none"/>
        </w:rPr>
        <w:t>二、公共自行车六期监控点位清单</w:t>
      </w:r>
    </w:p>
    <w:tbl>
      <w:tblPr>
        <w:tblStyle w:val="37"/>
        <w:tblW w:w="9586" w:type="dxa"/>
        <w:tblInd w:w="-34" w:type="dxa"/>
        <w:tblLayout w:type="fixed"/>
        <w:tblCellMar>
          <w:top w:w="0" w:type="dxa"/>
          <w:left w:w="108" w:type="dxa"/>
          <w:bottom w:w="0" w:type="dxa"/>
          <w:right w:w="108" w:type="dxa"/>
        </w:tblCellMar>
      </w:tblPr>
      <w:tblGrid>
        <w:gridCol w:w="702"/>
        <w:gridCol w:w="1940"/>
        <w:gridCol w:w="4259"/>
        <w:gridCol w:w="1335"/>
        <w:gridCol w:w="1350"/>
      </w:tblGrid>
      <w:tr>
        <w:tblPrEx>
          <w:tblCellMar>
            <w:top w:w="0" w:type="dxa"/>
            <w:left w:w="108" w:type="dxa"/>
            <w:bottom w:w="0" w:type="dxa"/>
            <w:right w:w="108" w:type="dxa"/>
          </w:tblCellMar>
        </w:tblPrEx>
        <w:trPr>
          <w:trHeight w:val="525" w:hRule="atLeast"/>
        </w:trPr>
        <w:tc>
          <w:tcPr>
            <w:tcW w:w="70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highlight w:val="none"/>
              </w:rPr>
            </w:pPr>
            <w:r>
              <w:rPr>
                <w:rFonts w:hint="eastAsia" w:ascii="宋体" w:hAnsi="宋体" w:cs="宋体"/>
                <w:color w:val="auto"/>
                <w:kern w:val="0"/>
                <w:highlight w:val="none"/>
              </w:rPr>
              <w:t>序号</w:t>
            </w:r>
          </w:p>
        </w:tc>
        <w:tc>
          <w:tcPr>
            <w:tcW w:w="194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highlight w:val="none"/>
              </w:rPr>
            </w:pPr>
            <w:r>
              <w:rPr>
                <w:rFonts w:hint="eastAsia" w:ascii="宋体" w:hAnsi="宋体" w:cs="宋体"/>
                <w:color w:val="auto"/>
                <w:kern w:val="0"/>
                <w:highlight w:val="none"/>
              </w:rPr>
              <w:t>站点名称</w:t>
            </w:r>
          </w:p>
        </w:tc>
        <w:tc>
          <w:tcPr>
            <w:tcW w:w="42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highlight w:val="none"/>
              </w:rPr>
            </w:pPr>
            <w:r>
              <w:rPr>
                <w:rFonts w:hint="eastAsia" w:ascii="宋体" w:hAnsi="宋体" w:cs="宋体"/>
                <w:color w:val="auto"/>
                <w:kern w:val="0"/>
                <w:highlight w:val="none"/>
              </w:rPr>
              <w:t>地址</w:t>
            </w:r>
          </w:p>
        </w:tc>
        <w:tc>
          <w:tcPr>
            <w:tcW w:w="133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highlight w:val="none"/>
              </w:rPr>
            </w:pPr>
            <w:r>
              <w:rPr>
                <w:rFonts w:hint="eastAsia" w:ascii="宋体" w:hAnsi="宋体" w:cs="宋体"/>
                <w:color w:val="auto"/>
                <w:kern w:val="0"/>
                <w:highlight w:val="none"/>
              </w:rPr>
              <w:t>片区</w:t>
            </w:r>
          </w:p>
        </w:tc>
        <w:tc>
          <w:tcPr>
            <w:tcW w:w="135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highlight w:val="none"/>
              </w:rPr>
            </w:pPr>
            <w:r>
              <w:rPr>
                <w:rFonts w:hint="eastAsia" w:ascii="宋体" w:hAnsi="宋体" w:cs="宋体"/>
                <w:color w:val="auto"/>
                <w:kern w:val="0"/>
                <w:highlight w:val="none"/>
              </w:rPr>
              <w:t>摄像机数量</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祥生明玥府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江环路明玥府北大门西侧人行道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天丰新城北</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江环路天丰新城北门对面人行道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前丰新村西</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峰山南路西门北侧人行道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头甲公寓西</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称山路头甲公寓西门南侧人行道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四季名苑</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江华路小区北出口对面人行道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6</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职教中心南</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江华路黄金海岸对面人行道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7</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香格里拉东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香格里拉东门南侧人行道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8</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万金大厦东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观山路铂樾府东门北侧人行道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9</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财富广场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称山路阿周味道门口人行道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10</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城北煌中煌</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财富广场煌中煌入口处东侧人行道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11</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永利大厦</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永利大厦中国银行对面人行道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12</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人民医院东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保驾山路人民医院东门对面人行道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13</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城市之星</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滨江城市之星南门西侧人行道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14</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永铭大厦西</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华维路好角旺酒店出口南侧人行道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15</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恒利菜市场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凤鸣路新世纪花园西南角人行道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16</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新恒利幼儿园</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凤鸣路家和商务宾馆对面人行道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17</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保利大国璟</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保利大国璟南门东侧人行道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18</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金昌上樾府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还珠路金昌上樾府南门东侧人行道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19</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金宸府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市民大道亚厦金宸府北门西侧人行道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城东</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20</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城东小学</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市民大道城东小学西门南侧人行道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城东</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21</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百官***</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市民大道百官***大门南侧人行道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城东</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22</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南都花园2</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外环南路南都花园西南角人行道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23</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张杰中学</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张杰中学南大门对面人行道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24</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金渔湾</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环山路金渔湾新村16幢前人行道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25</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文化新村</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体育场路文化新村36幢北面人行道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26</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阳光大厦</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凤山路农批市场西侧人行道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27</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体育场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体育场路体育场南门西侧人行道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28</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文化南区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文化路文化新村16幢前人行道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29</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滨江豪园2</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横街路滨江豪园北门东侧人行道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30</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老站菜场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凤山路与龙山路交叉口东南角人行道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31</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龙山观邸</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龙山观邸西北门</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32</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清泰苑</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多宝路清泰苑东门北侧人行道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33</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新中医院</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新中医院周边具体待定</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城南</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34</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万悦城</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五星东路万悦城入口处人行道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35</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文惠苑2</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聚英路文惠苑北门对面人行道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36</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宝华家天下</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鸿雁路宝华家天下西门对面人行道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37</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俪晶湾广场</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复兴路俪晶湾广场南侧人行道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38</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滨江越珑府</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嘉和路越珑府西门北侧人行道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39</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浙大网新未来郡</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兴业支路未来郡入口西侧人行道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r>
        <w:tblPrEx>
          <w:tblCellMar>
            <w:top w:w="0" w:type="dxa"/>
            <w:left w:w="108" w:type="dxa"/>
            <w:bottom w:w="0" w:type="dxa"/>
            <w:right w:w="108" w:type="dxa"/>
          </w:tblCellMar>
        </w:tblPrEx>
        <w:trPr>
          <w:trHeight w:val="498" w:hRule="atLeast"/>
        </w:trPr>
        <w:tc>
          <w:tcPr>
            <w:tcW w:w="702"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40</w:t>
            </w:r>
          </w:p>
        </w:tc>
        <w:tc>
          <w:tcPr>
            <w:tcW w:w="194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西郊花园西</w:t>
            </w:r>
          </w:p>
        </w:tc>
        <w:tc>
          <w:tcPr>
            <w:tcW w:w="4259"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西郊花园西门对面人行道</w:t>
            </w:r>
          </w:p>
        </w:tc>
        <w:tc>
          <w:tcPr>
            <w:tcW w:w="1335"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城西</w:t>
            </w:r>
          </w:p>
        </w:tc>
        <w:tc>
          <w:tcPr>
            <w:tcW w:w="135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r>
    </w:tbl>
    <w:p>
      <w:pPr>
        <w:pStyle w:val="3"/>
        <w:ind w:left="420" w:leftChars="200" w:firstLine="0"/>
        <w:rPr>
          <w:rFonts w:hint="eastAsia" w:ascii="宋体" w:hAnsi="宋体" w:cs="宋体"/>
          <w:b/>
          <w:bCs/>
          <w:color w:val="auto"/>
          <w:kern w:val="0"/>
          <w:sz w:val="24"/>
          <w:szCs w:val="68"/>
          <w:highlight w:val="none"/>
        </w:rPr>
      </w:pPr>
    </w:p>
    <w:p>
      <w:pPr>
        <w:pStyle w:val="2"/>
        <w:numPr>
          <w:ilvl w:val="0"/>
          <w:numId w:val="51"/>
        </w:numPr>
        <w:spacing w:line="360" w:lineRule="auto"/>
        <w:jc w:val="center"/>
        <w:rPr>
          <w:rFonts w:hint="eastAsia" w:hAnsi="宋体" w:cs="宋体"/>
          <w:color w:val="auto"/>
          <w:kern w:val="0"/>
          <w:highlight w:val="none"/>
        </w:rPr>
      </w:pPr>
      <w:bookmarkStart w:id="573" w:name="_Toc30678"/>
      <w:r>
        <w:rPr>
          <w:rFonts w:hint="eastAsia" w:hAnsi="宋体" w:cs="宋体"/>
          <w:color w:val="auto"/>
          <w:kern w:val="0"/>
          <w:highlight w:val="none"/>
        </w:rPr>
        <w:t>其他要求</w:t>
      </w:r>
      <w:bookmarkEnd w:id="573"/>
    </w:p>
    <w:p>
      <w:pPr>
        <w:numPr>
          <w:ilvl w:val="0"/>
          <w:numId w:val="52"/>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售后服务要求</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rPr>
        <w:t>服务期限</w:t>
      </w:r>
      <w:r>
        <w:rPr>
          <w:rFonts w:hint="eastAsia" w:ascii="宋体" w:hAnsi="宋体" w:cs="宋体"/>
          <w:color w:val="auto"/>
          <w:kern w:val="0"/>
          <w:sz w:val="24"/>
          <w:szCs w:val="68"/>
          <w:highlight w:val="none"/>
          <w:lang w:val="zh-CN"/>
        </w:rPr>
        <w:t>：合同签订后</w:t>
      </w:r>
      <w:r>
        <w:rPr>
          <w:rFonts w:ascii="宋体" w:hAnsi="宋体" w:cs="宋体"/>
          <w:color w:val="auto"/>
          <w:kern w:val="0"/>
          <w:sz w:val="24"/>
          <w:szCs w:val="68"/>
          <w:highlight w:val="none"/>
        </w:rPr>
        <w:t>80</w:t>
      </w:r>
      <w:r>
        <w:rPr>
          <w:rFonts w:hint="eastAsia" w:ascii="宋体" w:hAnsi="宋体" w:cs="宋体"/>
          <w:color w:val="auto"/>
          <w:kern w:val="0"/>
          <w:sz w:val="24"/>
          <w:szCs w:val="68"/>
          <w:highlight w:val="none"/>
          <w:lang w:val="zh-CN"/>
        </w:rPr>
        <w:t>天内完成项目建设，试运行30天后，</w:t>
      </w:r>
      <w:r>
        <w:rPr>
          <w:rStyle w:val="86"/>
          <w:rFonts w:hint="eastAsia" w:ascii="宋体" w:hAnsi="宋体" w:cs="宋体"/>
          <w:color w:val="auto"/>
          <w:szCs w:val="68"/>
          <w:highlight w:val="none"/>
        </w:rPr>
        <w:t>租用期限自系统验收合格签订租</w:t>
      </w:r>
      <w:r>
        <w:rPr>
          <w:rStyle w:val="86"/>
          <w:rFonts w:hint="eastAsia" w:ascii="宋体" w:hAnsi="宋体" w:cs="宋体"/>
          <w:color w:val="auto"/>
          <w:szCs w:val="68"/>
          <w:highlight w:val="none"/>
          <w:lang w:val="en-US"/>
        </w:rPr>
        <w:t>用</w:t>
      </w:r>
      <w:r>
        <w:rPr>
          <w:rStyle w:val="86"/>
          <w:rFonts w:hint="eastAsia" w:ascii="宋体" w:hAnsi="宋体" w:cs="宋体"/>
          <w:color w:val="auto"/>
          <w:szCs w:val="68"/>
          <w:highlight w:val="none"/>
        </w:rPr>
        <w:t>合同之日算起</w:t>
      </w:r>
      <w:r>
        <w:rPr>
          <w:rFonts w:hint="eastAsia" w:ascii="宋体" w:hAnsi="宋体" w:cs="宋体"/>
          <w:color w:val="auto"/>
          <w:kern w:val="0"/>
          <w:sz w:val="24"/>
          <w:szCs w:val="68"/>
          <w:highlight w:val="none"/>
          <w:lang w:val="zh-CN"/>
        </w:rPr>
        <w:t>，</w:t>
      </w:r>
      <w:r>
        <w:rPr>
          <w:rFonts w:hint="eastAsia" w:ascii="宋体" w:hAnsi="宋体" w:cs="宋体"/>
          <w:color w:val="auto"/>
          <w:kern w:val="0"/>
          <w:sz w:val="24"/>
          <w:szCs w:val="68"/>
          <w:highlight w:val="none"/>
        </w:rPr>
        <w:t>项目租用期为三年</w:t>
      </w:r>
      <w:r>
        <w:rPr>
          <w:rFonts w:hint="eastAsia" w:ascii="宋体" w:hAnsi="宋体" w:cs="宋体"/>
          <w:color w:val="auto"/>
          <w:kern w:val="0"/>
          <w:sz w:val="24"/>
          <w:szCs w:val="68"/>
          <w:highlight w:val="none"/>
          <w:lang w:val="zh-CN"/>
        </w:rPr>
        <w:t>。</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投标人应制订项目详细的实施方案，施工进度表必须每周上报</w:t>
      </w:r>
      <w:r>
        <w:rPr>
          <w:rFonts w:hint="eastAsia" w:ascii="宋体" w:hAnsi="宋体" w:cs="宋体"/>
          <w:color w:val="auto"/>
          <w:kern w:val="0"/>
          <w:sz w:val="24"/>
          <w:szCs w:val="68"/>
          <w:highlight w:val="none"/>
        </w:rPr>
        <w:t>采购人</w:t>
      </w:r>
      <w:r>
        <w:rPr>
          <w:rFonts w:hint="eastAsia" w:ascii="宋体" w:hAnsi="宋体" w:cs="宋体"/>
          <w:color w:val="auto"/>
          <w:kern w:val="0"/>
          <w:sz w:val="24"/>
          <w:szCs w:val="68"/>
          <w:highlight w:val="none"/>
          <w:lang w:val="zh-CN"/>
        </w:rPr>
        <w:t>，确保项目按时完成。</w:t>
      </w:r>
    </w:p>
    <w:bookmarkEnd w:id="479"/>
    <w:bookmarkEnd w:id="480"/>
    <w:bookmarkEnd w:id="481"/>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bookmarkStart w:id="574" w:name="_Toc22618"/>
      <w:r>
        <w:rPr>
          <w:rFonts w:hint="eastAsia" w:ascii="宋体" w:hAnsi="宋体" w:cs="宋体"/>
          <w:color w:val="auto"/>
          <w:kern w:val="0"/>
          <w:sz w:val="24"/>
          <w:szCs w:val="68"/>
          <w:highlight w:val="none"/>
          <w:lang w:val="zh-CN"/>
        </w:rPr>
        <w:t>中标人在供货时提供的所有设备、部件均应是原装部件，原包原盒，非OEM的产品，不得以拆封件、拆机件交货。</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采购人在中标人送货后对本项目进行检查验收，如果发现数量不足或有质量、技术等问题，中标人应负责根据合同及使用单位的要求采取补足或更换等处理措施，并承担由此发生的一切损失和费用。验收合格后，采购人在验收单上签字并加盖单位公章。</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中标人将所供货物的产品序列号、保修卡、合格证、测验报告、产品说明书等信息逐一进行登记，经核对无误后加盖中标人公章，交采购人保管备查。</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乙方应在货物发运前对其进行满足运输距离、防潮、防震、防锈和防破损装卸等要求包装，以保证货物安全运达甲方指定地点，对提供的设备必须按招标文件要求。</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采购人在中标人送货后需进行初步检查验收，如果发现数量不足或有质量、技术等问题，中标人应负责根据合同及采购要求采取补足或更换等处理措施，并承担由此发生的一切损失和费用。</w:t>
      </w:r>
    </w:p>
    <w:p>
      <w:pPr>
        <w:numPr>
          <w:ilvl w:val="0"/>
          <w:numId w:val="53"/>
        </w:numPr>
        <w:autoSpaceDE w:val="0"/>
        <w:autoSpaceDN w:val="0"/>
        <w:adjustRightInd w:val="0"/>
        <w:spacing w:line="360" w:lineRule="auto"/>
        <w:ind w:firstLine="480" w:firstLineChars="200"/>
        <w:jc w:val="left"/>
        <w:rPr>
          <w:rFonts w:hint="eastAsia" w:ascii="宋体" w:hAnsi="宋体" w:cs="宋体"/>
          <w:color w:val="auto"/>
          <w:kern w:val="0"/>
          <w:sz w:val="24"/>
          <w:szCs w:val="68"/>
          <w:highlight w:val="none"/>
          <w:lang w:val="zh-CN"/>
        </w:rPr>
      </w:pPr>
      <w:r>
        <w:rPr>
          <w:rFonts w:hint="eastAsia" w:ascii="宋体" w:hAnsi="宋体" w:cs="宋体"/>
          <w:color w:val="auto"/>
          <w:kern w:val="0"/>
          <w:sz w:val="24"/>
          <w:szCs w:val="68"/>
          <w:highlight w:val="none"/>
          <w:lang w:val="zh-CN"/>
        </w:rPr>
        <w:t>采购单位保留在合同签订后对中标的软件和货物进行试用、测试的权利，如果测试发现与标书要求或投标文件不一致、软件缺失或中标单位有意拖延测试，则被视为欺诈行为，将取消其中标资格。开标后发现投标单位有欺诈行为，当即作为无效投标处理，且投标单位需承担一切后果与责任。</w:t>
      </w:r>
    </w:p>
    <w:p>
      <w:pPr>
        <w:numPr>
          <w:ilvl w:val="0"/>
          <w:numId w:val="52"/>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bookmarkStart w:id="575" w:name="_Toc515018649"/>
      <w:r>
        <w:rPr>
          <w:rFonts w:hint="eastAsia" w:ascii="宋体" w:hAnsi="宋体" w:cs="宋体"/>
          <w:b/>
          <w:bCs/>
          <w:color w:val="auto"/>
          <w:sz w:val="24"/>
          <w:highlight w:val="none"/>
          <w:lang w:val="zh-CN"/>
        </w:rPr>
        <w:t>安装</w:t>
      </w:r>
      <w:bookmarkEnd w:id="575"/>
      <w:r>
        <w:rPr>
          <w:rFonts w:hint="eastAsia" w:ascii="宋体" w:hAnsi="宋体" w:cs="宋体"/>
          <w:b/>
          <w:bCs/>
          <w:color w:val="auto"/>
          <w:sz w:val="24"/>
          <w:highlight w:val="none"/>
          <w:lang w:val="zh-CN"/>
        </w:rPr>
        <w:t>、</w:t>
      </w:r>
      <w:r>
        <w:rPr>
          <w:rFonts w:hint="eastAsia" w:ascii="宋体" w:hAnsi="宋体" w:cs="宋体"/>
          <w:b/>
          <w:bCs/>
          <w:color w:val="auto"/>
          <w:sz w:val="24"/>
          <w:highlight w:val="none"/>
        </w:rPr>
        <w:t>调试要求</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中标人负责货物安装、调试并承担相关费用。</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中标人需向采购人提交安装、调试方案，经采购人同意后执行。</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货物安装、调试应符合国家的相关规定，中标人应服从采购人的管理和检查，中标人应指派具有丰富工作经验且有相似规模项目管理经验的工作人员作为负责人，负责安装、调试工作，中标人指派的其他现场人员和货物应按计划进场。采购人享有要求中标人变更现场人员的权利。</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中标人应做到文明施工，保持现场清洁，强化安全责任，服从采购人管理，杜绝一切事故的发生，确保安全。因中标人原因导致的所有事故均由中标人承担一切责任。  </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中标人施工全部结束后，应及时做好设备说明书、保修卡、软件等资料与安装各单位的交接手续，并对相关技术人员或管理人员进行操作培训。</w:t>
      </w:r>
    </w:p>
    <w:p>
      <w:pPr>
        <w:numPr>
          <w:ilvl w:val="0"/>
          <w:numId w:val="54"/>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合同签订后5个工作日内，中标人应提供不少于1名驻场技术人员，在常规工作日提供驻场服务，直至项目完成最终验收。若驻场人员无故缺席，采购人享有要求中标人及时安排驻场人员就位的权利，若多次无故缺席或拒不提供驻场服务的，在验收完成后采购人有权扣除履约保证金。</w:t>
      </w:r>
    </w:p>
    <w:p>
      <w:pPr>
        <w:numPr>
          <w:ilvl w:val="0"/>
          <w:numId w:val="52"/>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lang w:val="en-US" w:eastAsia="zh-CN"/>
        </w:rPr>
        <w:t>工程要求</w:t>
      </w:r>
    </w:p>
    <w:p>
      <w:pPr>
        <w:numPr>
          <w:ilvl w:val="0"/>
          <w:numId w:val="55"/>
        </w:num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本工程施工管线需采取全地埋施工工艺。</w:t>
      </w:r>
    </w:p>
    <w:p>
      <w:pPr>
        <w:numPr>
          <w:ilvl w:val="0"/>
          <w:numId w:val="55"/>
        </w:numPr>
        <w:spacing w:line="360" w:lineRule="auto"/>
        <w:ind w:firstLine="482" w:firstLineChars="200"/>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rPr>
        <w:t>提供实施本项目必须的自有光纤网络证明文件，没有自有光纤网络的需提供自建光纤网络或租</w:t>
      </w:r>
      <w:r>
        <w:rPr>
          <w:rFonts w:hint="eastAsia" w:ascii="宋体" w:hAnsi="宋体" w:eastAsia="宋体" w:cs="宋体"/>
          <w:b/>
          <w:bCs/>
          <w:color w:val="auto"/>
          <w:sz w:val="24"/>
          <w:highlight w:val="none"/>
          <w:lang w:val="en-US" w:eastAsia="zh-CN"/>
        </w:rPr>
        <w:t>用</w:t>
      </w:r>
      <w:r>
        <w:rPr>
          <w:rFonts w:hint="eastAsia" w:ascii="宋体" w:hAnsi="宋体" w:eastAsia="宋体" w:cs="宋体"/>
          <w:b/>
          <w:bCs/>
          <w:color w:val="auto"/>
          <w:sz w:val="24"/>
          <w:highlight w:val="none"/>
        </w:rPr>
        <w:t>光纤网络的承诺书。</w:t>
      </w:r>
      <w:r>
        <w:rPr>
          <w:rFonts w:hint="eastAsia" w:ascii="宋体" w:hAnsi="宋体" w:eastAsia="宋体" w:cs="宋体"/>
          <w:b/>
          <w:bCs/>
          <w:color w:val="auto"/>
          <w:sz w:val="24"/>
          <w:highlight w:val="none"/>
          <w:lang w:val="en-US" w:eastAsia="zh-CN"/>
        </w:rPr>
        <w:t>前</w:t>
      </w:r>
      <w:r>
        <w:rPr>
          <w:rFonts w:hint="eastAsia" w:ascii="宋体" w:hAnsi="宋体" w:eastAsia="宋体" w:cs="宋体"/>
          <w:b/>
          <w:bCs/>
          <w:color w:val="auto"/>
          <w:sz w:val="24"/>
          <w:highlight w:val="none"/>
        </w:rPr>
        <w:t>端设备</w:t>
      </w:r>
      <w:r>
        <w:rPr>
          <w:rFonts w:hint="eastAsia" w:ascii="宋体" w:hAnsi="宋体" w:eastAsia="宋体" w:cs="宋体"/>
          <w:b/>
          <w:bCs/>
          <w:color w:val="auto"/>
          <w:sz w:val="24"/>
          <w:highlight w:val="none"/>
          <w:lang w:val="en-US" w:eastAsia="zh-CN"/>
        </w:rPr>
        <w:t>链路与后端存贮禁止跨网存贮。</w:t>
      </w:r>
    </w:p>
    <w:p>
      <w:pPr>
        <w:numPr>
          <w:ilvl w:val="0"/>
          <w:numId w:val="52"/>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验收</w:t>
      </w:r>
      <w:r>
        <w:rPr>
          <w:rFonts w:hint="eastAsia" w:ascii="宋体" w:hAnsi="宋体" w:cs="宋体"/>
          <w:b/>
          <w:bCs/>
          <w:color w:val="auto"/>
          <w:sz w:val="24"/>
          <w:highlight w:val="none"/>
        </w:rPr>
        <w:t>要求</w:t>
      </w:r>
    </w:p>
    <w:p>
      <w:pPr>
        <w:numPr>
          <w:ilvl w:val="0"/>
          <w:numId w:val="56"/>
        </w:numPr>
        <w:spacing w:line="348" w:lineRule="auto"/>
        <w:ind w:firstLine="480" w:firstLineChars="200"/>
        <w:jc w:val="left"/>
        <w:rPr>
          <w:rStyle w:val="86"/>
          <w:rFonts w:hint="eastAsia" w:ascii="宋体" w:hAnsi="宋体" w:cs="宋体"/>
          <w:color w:val="auto"/>
          <w:highlight w:val="none"/>
        </w:rPr>
      </w:pPr>
      <w:bookmarkStart w:id="576" w:name="_Toc17342"/>
      <w:bookmarkStart w:id="577" w:name="_Toc14908813"/>
      <w:bookmarkStart w:id="578" w:name="_Toc514333569"/>
      <w:r>
        <w:rPr>
          <w:rStyle w:val="86"/>
          <w:rFonts w:hint="eastAsia" w:ascii="宋体" w:hAnsi="宋体" w:cs="宋体"/>
          <w:color w:val="auto"/>
          <w:highlight w:val="none"/>
        </w:rPr>
        <w:t>甲方对乙方提交的货物依据招标文件上的技术规格要求和国家有关质量标准进行现场验收。</w:t>
      </w:r>
    </w:p>
    <w:p>
      <w:pPr>
        <w:numPr>
          <w:ilvl w:val="0"/>
          <w:numId w:val="56"/>
        </w:numPr>
        <w:spacing w:line="348"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乙方交货前应对产品作出全面检查和对验收文件进行整理，并列出清单，作为甲方收货验收和使用的技术条件依据，检验的结果应随货物交甲方。</w:t>
      </w:r>
    </w:p>
    <w:p>
      <w:pPr>
        <w:numPr>
          <w:ilvl w:val="0"/>
          <w:numId w:val="56"/>
        </w:numPr>
        <w:spacing w:line="348"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甲方对乙方提供的货物在使用前进行调试时，乙方需负责安装并培训甲方的使用操作人员和维修人员，并协助甲方一起调试（免费提供所需的耗材、备件），直到符合技术要求，甲方才做最终验收。</w:t>
      </w:r>
    </w:p>
    <w:p>
      <w:pPr>
        <w:numPr>
          <w:ilvl w:val="0"/>
          <w:numId w:val="56"/>
        </w:numPr>
        <w:spacing w:line="348" w:lineRule="auto"/>
        <w:ind w:firstLine="480" w:firstLineChars="200"/>
        <w:jc w:val="left"/>
        <w:rPr>
          <w:rStyle w:val="86"/>
          <w:rFonts w:hint="eastAsia" w:ascii="宋体" w:hAnsi="宋体" w:cs="宋体"/>
          <w:color w:val="auto"/>
          <w:highlight w:val="none"/>
        </w:rPr>
      </w:pPr>
      <w:r>
        <w:rPr>
          <w:rStyle w:val="86"/>
          <w:rFonts w:hint="eastAsia" w:ascii="宋体" w:hAnsi="宋体" w:cs="宋体"/>
          <w:color w:val="auto"/>
          <w:highlight w:val="none"/>
        </w:rPr>
        <w:t>甲方有权邀请专业第三方机构参与验收，并由其出具相关报告，如相关结果未达到本项目要求或国家质量标准，中标人需立即调整或更换相应设施设备，由此产生的一切损失由中标人承担。</w:t>
      </w:r>
    </w:p>
    <w:p>
      <w:pPr>
        <w:numPr>
          <w:ilvl w:val="0"/>
          <w:numId w:val="56"/>
        </w:numPr>
        <w:spacing w:line="348" w:lineRule="auto"/>
        <w:ind w:firstLine="480" w:firstLineChars="200"/>
        <w:jc w:val="left"/>
        <w:rPr>
          <w:rStyle w:val="86"/>
          <w:rFonts w:ascii="宋体" w:hAnsi="宋体" w:cs="宋体"/>
          <w:color w:val="auto"/>
          <w:highlight w:val="none"/>
        </w:rPr>
      </w:pPr>
      <w:r>
        <w:rPr>
          <w:rStyle w:val="86"/>
          <w:rFonts w:hint="eastAsia" w:ascii="宋体" w:hAnsi="宋体" w:cs="宋体"/>
          <w:color w:val="auto"/>
          <w:highlight w:val="none"/>
        </w:rPr>
        <w:t>验收时乙方需在现场，验收完毕后作出验收结果报告</w:t>
      </w:r>
    </w:p>
    <w:p>
      <w:pPr>
        <w:pStyle w:val="2"/>
        <w:rPr>
          <w:rFonts w:hint="eastAsia"/>
          <w:color w:val="auto"/>
          <w:highlight w:val="none"/>
        </w:rPr>
      </w:pPr>
    </w:p>
    <w:bookmarkEnd w:id="576"/>
    <w:bookmarkEnd w:id="577"/>
    <w:bookmarkEnd w:id="578"/>
    <w:p>
      <w:pPr>
        <w:pStyle w:val="2"/>
        <w:numPr>
          <w:ilvl w:val="0"/>
          <w:numId w:val="51"/>
        </w:numPr>
        <w:spacing w:line="360" w:lineRule="auto"/>
        <w:jc w:val="center"/>
        <w:rPr>
          <w:rFonts w:hint="eastAsia" w:hAnsi="宋体" w:cs="宋体"/>
          <w:color w:val="auto"/>
          <w:kern w:val="0"/>
          <w:highlight w:val="none"/>
        </w:rPr>
      </w:pPr>
      <w:bookmarkStart w:id="579" w:name="_Toc2060"/>
      <w:r>
        <w:rPr>
          <w:rFonts w:hint="eastAsia" w:hAnsi="宋体" w:cs="宋体"/>
          <w:color w:val="auto"/>
          <w:kern w:val="0"/>
          <w:highlight w:val="none"/>
        </w:rPr>
        <w:t>付款方式及要求</w:t>
      </w:r>
      <w:bookmarkEnd w:id="579"/>
    </w:p>
    <w:p>
      <w:pPr>
        <w:numPr>
          <w:ilvl w:val="0"/>
          <w:numId w:val="57"/>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付款方式</w:t>
      </w:r>
    </w:p>
    <w:p>
      <w:pPr>
        <w:numPr>
          <w:ilvl w:val="0"/>
          <w:numId w:val="58"/>
        </w:numPr>
        <w:spacing w:line="360" w:lineRule="auto"/>
        <w:ind w:firstLine="480" w:firstLineChars="200"/>
        <w:jc w:val="left"/>
        <w:rPr>
          <w:rStyle w:val="86"/>
          <w:rFonts w:hint="eastAsia" w:ascii="宋体" w:hAnsi="宋体" w:cs="宋体"/>
          <w:color w:val="auto"/>
          <w:szCs w:val="68"/>
          <w:highlight w:val="none"/>
        </w:rPr>
      </w:pPr>
      <w:r>
        <w:rPr>
          <w:rStyle w:val="86"/>
          <w:rFonts w:hint="eastAsia" w:ascii="宋体" w:hAnsi="宋体" w:cs="宋体"/>
          <w:color w:val="auto"/>
          <w:szCs w:val="68"/>
          <w:highlight w:val="none"/>
        </w:rPr>
        <w:t>本项目为租</w:t>
      </w:r>
      <w:r>
        <w:rPr>
          <w:rStyle w:val="86"/>
          <w:rFonts w:hint="eastAsia" w:ascii="宋体" w:hAnsi="宋体" w:cs="宋体"/>
          <w:color w:val="auto"/>
          <w:szCs w:val="68"/>
          <w:highlight w:val="none"/>
          <w:lang w:val="en-US"/>
        </w:rPr>
        <w:t>用</w:t>
      </w:r>
      <w:r>
        <w:rPr>
          <w:rStyle w:val="86"/>
          <w:rFonts w:hint="eastAsia" w:ascii="宋体" w:hAnsi="宋体" w:cs="宋体"/>
          <w:color w:val="auto"/>
          <w:szCs w:val="68"/>
          <w:highlight w:val="none"/>
        </w:rPr>
        <w:t>服务项目，租期三年。中标价包含所有费用，本项目竣工验收时需提供第三方检测报告。</w:t>
      </w:r>
    </w:p>
    <w:p>
      <w:pPr>
        <w:numPr>
          <w:ilvl w:val="0"/>
          <w:numId w:val="58"/>
        </w:numPr>
        <w:spacing w:line="360" w:lineRule="auto"/>
        <w:ind w:firstLine="480" w:firstLineChars="200"/>
        <w:jc w:val="left"/>
        <w:rPr>
          <w:rStyle w:val="86"/>
          <w:rFonts w:hint="eastAsia" w:ascii="宋体" w:hAnsi="宋体" w:cs="宋体"/>
          <w:color w:val="auto"/>
          <w:szCs w:val="68"/>
          <w:highlight w:val="none"/>
        </w:rPr>
      </w:pPr>
      <w:r>
        <w:rPr>
          <w:rStyle w:val="86"/>
          <w:rFonts w:hint="eastAsia" w:ascii="宋体" w:hAnsi="宋体" w:cs="宋体"/>
          <w:color w:val="auto"/>
          <w:szCs w:val="68"/>
          <w:highlight w:val="none"/>
        </w:rPr>
        <w:t>签订合同前缴纳合同金额的</w:t>
      </w:r>
      <w:r>
        <w:rPr>
          <w:rStyle w:val="86"/>
          <w:rFonts w:ascii="宋体" w:hAnsi="宋体" w:cs="宋体"/>
          <w:color w:val="auto"/>
          <w:szCs w:val="68"/>
          <w:highlight w:val="none"/>
        </w:rPr>
        <w:t>1</w:t>
      </w:r>
      <w:r>
        <w:rPr>
          <w:rStyle w:val="86"/>
          <w:rFonts w:hint="eastAsia" w:ascii="宋体" w:hAnsi="宋体" w:cs="宋体"/>
          <w:color w:val="auto"/>
          <w:szCs w:val="68"/>
          <w:highlight w:val="none"/>
        </w:rPr>
        <w:t>%作为履约保证金，在项目验收后退还。</w:t>
      </w:r>
    </w:p>
    <w:p>
      <w:pPr>
        <w:numPr>
          <w:ilvl w:val="0"/>
          <w:numId w:val="58"/>
        </w:numPr>
        <w:spacing w:line="360" w:lineRule="auto"/>
        <w:ind w:firstLine="480" w:firstLineChars="200"/>
        <w:jc w:val="left"/>
        <w:rPr>
          <w:rStyle w:val="86"/>
          <w:rFonts w:hint="eastAsia" w:ascii="宋体" w:hAnsi="宋体" w:cs="宋体"/>
          <w:color w:val="auto"/>
          <w:szCs w:val="68"/>
          <w:highlight w:val="none"/>
        </w:rPr>
      </w:pPr>
      <w:r>
        <w:rPr>
          <w:rStyle w:val="86"/>
          <w:rFonts w:hint="eastAsia" w:ascii="宋体" w:hAnsi="宋体" w:cs="宋体"/>
          <w:color w:val="auto"/>
          <w:szCs w:val="68"/>
          <w:highlight w:val="none"/>
        </w:rPr>
        <w:t>租</w:t>
      </w:r>
      <w:r>
        <w:rPr>
          <w:rStyle w:val="86"/>
          <w:rFonts w:hint="eastAsia" w:ascii="宋体" w:hAnsi="宋体" w:cs="宋体"/>
          <w:color w:val="auto"/>
          <w:szCs w:val="68"/>
          <w:highlight w:val="none"/>
          <w:lang w:val="en-US"/>
        </w:rPr>
        <w:t>用</w:t>
      </w:r>
      <w:r>
        <w:rPr>
          <w:rStyle w:val="86"/>
          <w:rFonts w:hint="eastAsia" w:ascii="宋体" w:hAnsi="宋体" w:cs="宋体"/>
          <w:color w:val="auto"/>
          <w:szCs w:val="68"/>
          <w:highlight w:val="none"/>
        </w:rPr>
        <w:t>费按年支付，自系统验收合格之日算起，对系统运行质量、服务质量进行考核后，15个工作日内支付支付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的40%；一年服务期满后15个工作日内支付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的25%；二年服务期满后15个工作日内支付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的25%；三年期服务期满后经考核合格一个月内支付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的10%。</w:t>
      </w:r>
    </w:p>
    <w:p>
      <w:pPr>
        <w:numPr>
          <w:ilvl w:val="0"/>
          <w:numId w:val="57"/>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付款要求</w:t>
      </w:r>
    </w:p>
    <w:p>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中标人在收款之前，应向采购人提供发票，采购人凭发票付款。如中标人未按约定提供发票的，采购人有权拒绝付款，直至收到中标人提交的相应发票为止，在此情况下，采购人不承担逾期付款违约责任。</w:t>
      </w:r>
    </w:p>
    <w:p>
      <w:pPr>
        <w:numPr>
          <w:ilvl w:val="0"/>
          <w:numId w:val="59"/>
        </w:numPr>
        <w:spacing w:line="360" w:lineRule="auto"/>
        <w:ind w:firstLine="723" w:firstLineChars="200"/>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bookmarkStart w:id="580" w:name="_Toc30662"/>
      <w:r>
        <w:rPr>
          <w:rFonts w:hint="eastAsia" w:ascii="宋体" w:hAnsi="宋体" w:cs="宋体"/>
          <w:b/>
          <w:color w:val="auto"/>
          <w:sz w:val="36"/>
          <w:szCs w:val="36"/>
          <w:highlight w:val="none"/>
        </w:rPr>
        <w:t>采购合同</w:t>
      </w:r>
      <w:bookmarkEnd w:id="475"/>
      <w:bookmarkEnd w:id="574"/>
      <w:bookmarkEnd w:id="580"/>
    </w:p>
    <w:p>
      <w:pPr>
        <w:spacing w:line="360" w:lineRule="auto"/>
        <w:jc w:val="left"/>
        <w:rPr>
          <w:rFonts w:hint="eastAsia" w:ascii="宋体" w:hAnsi="宋体" w:cs="宋体"/>
          <w:color w:val="auto"/>
          <w:sz w:val="24"/>
          <w:highlight w:val="none"/>
        </w:rPr>
      </w:pPr>
      <w:bookmarkStart w:id="581" w:name="第五部分"/>
      <w:bookmarkStart w:id="582" w:name="_Toc86217003"/>
    </w:p>
    <w:p>
      <w:pPr>
        <w:spacing w:line="360" w:lineRule="auto"/>
        <w:ind w:firstLine="480" w:firstLineChars="200"/>
        <w:jc w:val="left"/>
        <w:rPr>
          <w:rFonts w:hint="eastAsia" w:ascii="宋体" w:hAnsi="宋体" w:cs="宋体"/>
          <w:color w:val="auto"/>
          <w:kern w:val="0"/>
          <w:sz w:val="24"/>
          <w:highlight w:val="none"/>
        </w:rPr>
      </w:pPr>
      <w:bookmarkStart w:id="583" w:name="_Toc27831"/>
      <w:bookmarkStart w:id="584" w:name="_Toc26203"/>
      <w:r>
        <w:rPr>
          <w:rFonts w:hint="eastAsia" w:ascii="宋体" w:hAnsi="宋体" w:cs="宋体"/>
          <w:color w:val="auto"/>
          <w:kern w:val="0"/>
          <w:sz w:val="24"/>
          <w:highlight w:val="none"/>
        </w:rPr>
        <w:t>合同编号：（2022）第</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号</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签订日期：2022年</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日</w:t>
      </w:r>
    </w:p>
    <w:p>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rPr>
        <w:t>采购单位：</w:t>
      </w:r>
      <w:r>
        <w:rPr>
          <w:rFonts w:hint="eastAsia" w:ascii="宋体" w:hAnsi="宋体" w:cs="宋体"/>
          <w:color w:val="auto"/>
          <w:sz w:val="24"/>
          <w:highlight w:val="none"/>
          <w:u w:val="single"/>
        </w:rPr>
        <w:t>　　　　　　　　　　　　　　　　　　　　　　　　　</w:t>
      </w:r>
      <w:r>
        <w:rPr>
          <w:rFonts w:hint="eastAsia" w:ascii="宋体" w:hAnsi="宋体" w:cs="宋体"/>
          <w:color w:val="auto"/>
          <w:sz w:val="24"/>
          <w:highlight w:val="none"/>
        </w:rPr>
        <w:t>（甲方）</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中标单位：</w:t>
      </w:r>
      <w:r>
        <w:rPr>
          <w:rFonts w:hint="eastAsia" w:ascii="宋体" w:hAnsi="宋体" w:cs="宋体"/>
          <w:color w:val="auto"/>
          <w:sz w:val="24"/>
          <w:highlight w:val="none"/>
          <w:u w:val="single"/>
        </w:rPr>
        <w:t>　　　　　　　　　　　　　　　　　　　　　　　　　</w:t>
      </w:r>
      <w:r>
        <w:rPr>
          <w:rFonts w:hint="eastAsia" w:ascii="宋体" w:hAnsi="宋体" w:cs="宋体"/>
          <w:color w:val="auto"/>
          <w:sz w:val="24"/>
          <w:highlight w:val="none"/>
        </w:rPr>
        <w:t>（乙方）</w:t>
      </w:r>
    </w:p>
    <w:p>
      <w:pPr>
        <w:spacing w:line="360" w:lineRule="auto"/>
        <w:ind w:firstLine="480" w:firstLineChars="200"/>
        <w:jc w:val="left"/>
        <w:rPr>
          <w:rFonts w:hint="eastAsia" w:ascii="宋体" w:hAnsi="宋体" w:cs="宋体"/>
          <w:color w:val="auto"/>
          <w:highlight w:val="none"/>
        </w:rPr>
      </w:pPr>
      <w:r>
        <w:rPr>
          <w:rFonts w:hint="eastAsia" w:ascii="宋体" w:hAnsi="宋体" w:cs="宋体"/>
          <w:color w:val="auto"/>
          <w:sz w:val="24"/>
          <w:highlight w:val="none"/>
        </w:rPr>
        <w:t>1  根据《中华人民共和国民法典》、《中华人民共和国政府采购法》，关于成交确认书采购编号为FS20220</w:t>
      </w:r>
      <w:r>
        <w:rPr>
          <w:rFonts w:hint="eastAsia" w:ascii="宋体" w:hAnsi="宋体" w:cs="宋体"/>
          <w:color w:val="auto"/>
          <w:sz w:val="24"/>
          <w:highlight w:val="none"/>
          <w:lang w:val="en-US" w:eastAsia="zh-CN"/>
        </w:rPr>
        <w:t>49</w:t>
      </w:r>
      <w:r>
        <w:rPr>
          <w:rFonts w:hint="eastAsia" w:ascii="宋体" w:hAnsi="宋体" w:cs="宋体"/>
          <w:color w:val="auto"/>
          <w:sz w:val="24"/>
          <w:highlight w:val="none"/>
        </w:rPr>
        <w:t xml:space="preserve"> 的项目结果，签订本合同。</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　产品规格、数量及价格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40"/>
        <w:gridCol w:w="1440"/>
        <w:gridCol w:w="900"/>
        <w:gridCol w:w="900"/>
        <w:gridCol w:w="9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90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序号</w:t>
            </w:r>
          </w:p>
        </w:tc>
        <w:tc>
          <w:tcPr>
            <w:tcW w:w="144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货物名称</w:t>
            </w:r>
          </w:p>
        </w:tc>
        <w:tc>
          <w:tcPr>
            <w:tcW w:w="144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规格、型号</w:t>
            </w:r>
          </w:p>
        </w:tc>
        <w:tc>
          <w:tcPr>
            <w:tcW w:w="90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单位</w:t>
            </w:r>
          </w:p>
        </w:tc>
        <w:tc>
          <w:tcPr>
            <w:tcW w:w="90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单价</w:t>
            </w:r>
          </w:p>
        </w:tc>
        <w:tc>
          <w:tcPr>
            <w:tcW w:w="90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数量</w:t>
            </w:r>
          </w:p>
        </w:tc>
        <w:tc>
          <w:tcPr>
            <w:tcW w:w="1620" w:type="dxa"/>
            <w:noWrap w:val="0"/>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62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62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62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44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90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c>
          <w:tcPr>
            <w:tcW w:w="1620" w:type="dxa"/>
            <w:tcBorders>
              <w:bottom w:val="single" w:color="auto" w:sz="4" w:space="0"/>
            </w:tcBorders>
            <w:noWrap w:val="0"/>
            <w:vAlign w:val="center"/>
          </w:tcPr>
          <w:p>
            <w:pPr>
              <w:spacing w:line="360" w:lineRule="auto"/>
              <w:jc w:val="left"/>
              <w:rPr>
                <w:rFonts w:hint="eastAsia"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2340" w:type="dxa"/>
            <w:gridSpan w:val="2"/>
            <w:noWrap w:val="0"/>
            <w:vAlign w:val="center"/>
          </w:tcPr>
          <w:p>
            <w:pPr>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合计金额</w:t>
            </w:r>
          </w:p>
        </w:tc>
        <w:tc>
          <w:tcPr>
            <w:tcW w:w="5760" w:type="dxa"/>
            <w:gridSpan w:val="5"/>
            <w:noWrap w:val="0"/>
            <w:vAlign w:val="center"/>
          </w:tcPr>
          <w:p>
            <w:pPr>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highlight w:val="none"/>
              </w:rPr>
              <w:t>　　　　元（大写：　　　　　　　　　　　　　　）</w:t>
            </w:r>
          </w:p>
        </w:tc>
      </w:tr>
    </w:tbl>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3　货物质量标准和保证，包装，装运标记、条件和通知，保险责任，运输，伴随服务，合同的变更、修改和终止，及争端解决方式等，按招标文件采购需求和中标人的投标文件的规定执行。</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4　交货期限及地点</w:t>
      </w:r>
    </w:p>
    <w:p>
      <w:pPr>
        <w:snapToGrid w:val="0"/>
        <w:spacing w:line="360" w:lineRule="auto"/>
        <w:ind w:firstLine="482"/>
        <w:rPr>
          <w:rFonts w:hint="eastAsia" w:ascii="宋体" w:hAnsi="宋体" w:cs="宋体"/>
          <w:color w:val="auto"/>
          <w:kern w:val="0"/>
          <w:sz w:val="24"/>
          <w:highlight w:val="none"/>
          <w:u w:val="single"/>
        </w:rPr>
      </w:pPr>
      <w:r>
        <w:rPr>
          <w:rFonts w:hint="eastAsia" w:ascii="宋体" w:hAnsi="宋体" w:cs="宋体"/>
          <w:color w:val="auto"/>
          <w:kern w:val="0"/>
          <w:sz w:val="24"/>
          <w:highlight w:val="none"/>
        </w:rPr>
        <w:t>4.1　交货期限：</w:t>
      </w:r>
      <w:r>
        <w:rPr>
          <w:rFonts w:hint="eastAsia" w:ascii="宋体" w:hAnsi="宋体" w:cs="宋体"/>
          <w:color w:val="auto"/>
          <w:kern w:val="0"/>
          <w:sz w:val="24"/>
          <w:highlight w:val="none"/>
          <w:u w:val="single"/>
        </w:rPr>
        <w:t>　　　　　　　　　　　　　　　　　　　　　　　　</w:t>
      </w:r>
    </w:p>
    <w:p>
      <w:pPr>
        <w:snapToGrid w:val="0"/>
        <w:spacing w:line="360" w:lineRule="auto"/>
        <w:ind w:firstLine="482"/>
        <w:rPr>
          <w:rFonts w:hint="eastAsia" w:ascii="宋体" w:hAnsi="宋体" w:cs="宋体"/>
          <w:color w:val="auto"/>
          <w:kern w:val="0"/>
          <w:sz w:val="24"/>
          <w:highlight w:val="none"/>
          <w:u w:val="single"/>
        </w:rPr>
      </w:pPr>
      <w:r>
        <w:rPr>
          <w:rFonts w:hint="eastAsia" w:ascii="宋体" w:hAnsi="宋体" w:cs="宋体"/>
          <w:color w:val="auto"/>
          <w:kern w:val="0"/>
          <w:sz w:val="24"/>
          <w:highlight w:val="none"/>
        </w:rPr>
        <w:t>4.2　交货地点：</w:t>
      </w:r>
      <w:r>
        <w:rPr>
          <w:rFonts w:hint="eastAsia" w:ascii="宋体" w:hAnsi="宋体" w:cs="宋体"/>
          <w:color w:val="auto"/>
          <w:kern w:val="0"/>
          <w:sz w:val="24"/>
          <w:highlight w:val="none"/>
          <w:u w:val="single"/>
        </w:rPr>
        <w:t>　　　　　　　　　　　　　　　　　　　　　　　　</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4.3　其他约定：如买方根据项目进展的实际情况，需提前交货的，则提前15天通知卖方交货，卖方必须按买方要求将货物送达指定地点；如需延期交货的，且延期时间在90天内的，由卖方负责保管货物并另收保管费。</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5　质量保证期限及要求</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5.1　卖方提供的货物必须符合招标文件及中标人投标文件中规定的规格型号和技术性能。</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5.2　质保期（即保修期）自</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之日起计算，共计为</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个月。</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5.3　在质保期内，如非因买方人为原因而出现质量问题的，由卖方负责负责包修、包换或者包退，并承担修理、调换或者退货的实际费用；如因买方使用不当造成故障的，由卖方负责包修、包换或者包退，实际费用由双方另行协商确定。</w:t>
      </w:r>
    </w:p>
    <w:p>
      <w:pPr>
        <w:snapToGrid w:val="0"/>
        <w:spacing w:line="360" w:lineRule="auto"/>
        <w:ind w:firstLine="482"/>
        <w:rPr>
          <w:rFonts w:hint="eastAsia" w:ascii="宋体" w:hAnsi="宋体" w:cs="宋体"/>
          <w:color w:val="auto"/>
          <w:kern w:val="0"/>
          <w:sz w:val="24"/>
          <w:highlight w:val="none"/>
          <w:u w:val="single"/>
        </w:rPr>
      </w:pPr>
      <w:r>
        <w:rPr>
          <w:rFonts w:hint="eastAsia" w:ascii="宋体" w:hAnsi="宋体" w:cs="宋体"/>
          <w:color w:val="auto"/>
          <w:kern w:val="0"/>
          <w:sz w:val="24"/>
          <w:highlight w:val="none"/>
        </w:rPr>
        <w:t>5.4　其他约定：</w:t>
      </w:r>
      <w:r>
        <w:rPr>
          <w:rFonts w:hint="eastAsia" w:ascii="宋体" w:hAnsi="宋体" w:cs="宋体"/>
          <w:color w:val="auto"/>
          <w:kern w:val="0"/>
          <w:sz w:val="24"/>
          <w:highlight w:val="none"/>
          <w:u w:val="single"/>
        </w:rPr>
        <w:t>　　　  　　 　（如有）　　  　　　　　　　　　　</w:t>
      </w:r>
      <w:r>
        <w:rPr>
          <w:rFonts w:hint="eastAsia" w:ascii="宋体" w:hAnsi="宋体" w:cs="宋体"/>
          <w:color w:val="auto"/>
          <w:kern w:val="0"/>
          <w:sz w:val="24"/>
          <w:highlight w:val="none"/>
        </w:rPr>
        <w:t>。</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　售后服务及要求</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　根据招标文件第四部分及投标时的承诺，卖方将为买方提供下列售后服务：</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6.1.1　安装和调试服务：卖方将在合同签订后</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天向买方提供安装、调试方案及相关资料，并按有关标准在</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完成安装、调试工作。</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6.1.2　维修服务：</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6.1.3　技术服务：</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6.1.3.1　卖方应随货物向买方提交产品使用说明书、产品合格证、保修卡及相关的配件和技术资料。</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6.1.3.2　其他：</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。（如有）</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6.1.4　培训服务：</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。（如有）</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6.2　安装、调试或培训的所需的费用由卖方承担，但双方在招标文件或中标的投标文件中另有约定的，按其约定执行。</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6.3　卖方应对其所提供的货物及其内在的安装质量负全部责任。</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7　验收方法</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7.1　验收标准按招标文件及卖方提供的货物验收标准、安全技术规范执行。</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7.2　货物到达项目现场后</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天内，或安装、调试结束后</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天内，由买方会同卖方及相关专业部门等单位共同参与验收。</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8　付款方式</w:t>
      </w:r>
    </w:p>
    <w:p>
      <w:pPr>
        <w:snapToGrid w:val="0"/>
        <w:spacing w:line="360" w:lineRule="auto"/>
        <w:ind w:firstLine="482"/>
        <w:rPr>
          <w:rFonts w:ascii="宋体" w:hAnsi="宋体" w:cs="宋体"/>
          <w:color w:val="auto"/>
          <w:kern w:val="0"/>
          <w:sz w:val="24"/>
          <w:highlight w:val="none"/>
        </w:rPr>
      </w:pPr>
      <w:r>
        <w:rPr>
          <w:rFonts w:hint="eastAsia" w:ascii="宋体" w:hAnsi="宋体" w:cs="宋体"/>
          <w:color w:val="auto"/>
          <w:kern w:val="0"/>
          <w:sz w:val="24"/>
          <w:highlight w:val="none"/>
        </w:rPr>
        <w:t>8.1　本项目采取的付款方式为：本项目为租</w:t>
      </w:r>
      <w:r>
        <w:rPr>
          <w:rFonts w:hint="eastAsia" w:ascii="宋体" w:hAnsi="宋体" w:cs="宋体"/>
          <w:color w:val="auto"/>
          <w:kern w:val="0"/>
          <w:sz w:val="24"/>
          <w:highlight w:val="none"/>
          <w:lang w:val="en-US" w:eastAsia="zh-CN"/>
        </w:rPr>
        <w:t>用</w:t>
      </w:r>
      <w:r>
        <w:rPr>
          <w:rFonts w:hint="eastAsia" w:ascii="宋体" w:hAnsi="宋体" w:cs="宋体"/>
          <w:color w:val="auto"/>
          <w:kern w:val="0"/>
          <w:sz w:val="24"/>
          <w:highlight w:val="none"/>
        </w:rPr>
        <w:t>服务项目，租期三年。中标价包含所有费用，本项目竣工验收时需提供第三方检测报告。</w:t>
      </w:r>
    </w:p>
    <w:p>
      <w:pPr>
        <w:snapToGrid w:val="0"/>
        <w:spacing w:line="360" w:lineRule="auto"/>
        <w:ind w:firstLine="482"/>
        <w:rPr>
          <w:rFonts w:hint="eastAsia" w:ascii="宋体" w:hAnsi="宋体" w:cs="宋体"/>
          <w:color w:val="auto"/>
          <w:kern w:val="0"/>
          <w:sz w:val="24"/>
          <w:highlight w:val="none"/>
        </w:rPr>
      </w:pPr>
      <w:r>
        <w:rPr>
          <w:rStyle w:val="86"/>
          <w:rFonts w:hint="eastAsia" w:ascii="宋体" w:hAnsi="宋体" w:cs="宋体"/>
          <w:color w:val="auto"/>
          <w:szCs w:val="68"/>
          <w:highlight w:val="none"/>
        </w:rPr>
        <w:t>租</w:t>
      </w:r>
      <w:r>
        <w:rPr>
          <w:rStyle w:val="86"/>
          <w:rFonts w:hint="eastAsia" w:ascii="宋体" w:hAnsi="宋体" w:cs="宋体"/>
          <w:color w:val="auto"/>
          <w:szCs w:val="68"/>
          <w:highlight w:val="none"/>
          <w:lang w:val="en-US"/>
        </w:rPr>
        <w:t>用</w:t>
      </w:r>
      <w:r>
        <w:rPr>
          <w:rStyle w:val="86"/>
          <w:rFonts w:hint="eastAsia" w:ascii="宋体" w:hAnsi="宋体" w:cs="宋体"/>
          <w:color w:val="auto"/>
          <w:szCs w:val="68"/>
          <w:highlight w:val="none"/>
        </w:rPr>
        <w:t>费按年支付，自系统验收合格之日算起，对系统运行质量、服务质量进行考核后，15个工作日内支付支付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的40%；一年服务期满后15个工作日内支付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的25%；二年服务期满后15个工作日内支付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的25%；三年期服务期满后经考核合格一个月内支付</w:t>
      </w:r>
      <w:r>
        <w:rPr>
          <w:rStyle w:val="86"/>
          <w:rFonts w:hint="eastAsia" w:ascii="宋体" w:hAnsi="宋体" w:cs="宋体"/>
          <w:color w:val="auto"/>
          <w:szCs w:val="68"/>
          <w:highlight w:val="none"/>
          <w:lang w:val="en-US"/>
        </w:rPr>
        <w:t>合同</w:t>
      </w:r>
      <w:r>
        <w:rPr>
          <w:rStyle w:val="86"/>
          <w:rFonts w:hint="eastAsia" w:ascii="宋体" w:hAnsi="宋体" w:cs="宋体"/>
          <w:color w:val="auto"/>
          <w:szCs w:val="68"/>
          <w:highlight w:val="none"/>
        </w:rPr>
        <w:t>总</w:t>
      </w:r>
      <w:r>
        <w:rPr>
          <w:rStyle w:val="86"/>
          <w:rFonts w:hint="eastAsia" w:ascii="宋体" w:hAnsi="宋体" w:cs="宋体"/>
          <w:color w:val="auto"/>
          <w:szCs w:val="68"/>
          <w:highlight w:val="none"/>
          <w:lang w:val="en-US"/>
        </w:rPr>
        <w:t>价</w:t>
      </w:r>
      <w:r>
        <w:rPr>
          <w:rStyle w:val="86"/>
          <w:rFonts w:hint="eastAsia" w:ascii="宋体" w:hAnsi="宋体" w:cs="宋体"/>
          <w:color w:val="auto"/>
          <w:szCs w:val="68"/>
          <w:highlight w:val="none"/>
        </w:rPr>
        <w:t>的10%</w:t>
      </w:r>
      <w:r>
        <w:rPr>
          <w:rFonts w:hint="eastAsia" w:ascii="宋体" w:hAnsi="宋体" w:cs="宋体"/>
          <w:color w:val="auto"/>
          <w:kern w:val="0"/>
          <w:sz w:val="24"/>
          <w:highlight w:val="none"/>
        </w:rPr>
        <w:t>。</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9　履约保证金</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9.1　在签订合同时，卖方需向买方交纳合同总价</w:t>
      </w:r>
      <w:r>
        <w:rPr>
          <w:rFonts w:hint="eastAsia" w:ascii="宋体" w:hAnsi="宋体" w:cs="宋体"/>
          <w:color w:val="auto"/>
          <w:kern w:val="0"/>
          <w:sz w:val="24"/>
          <w:highlight w:val="none"/>
          <w:u w:val="single"/>
        </w:rPr>
        <w:t>　</w:t>
      </w:r>
      <w:r>
        <w:rPr>
          <w:rFonts w:ascii="宋体" w:hAnsi="宋体" w:cs="宋体"/>
          <w:color w:val="auto"/>
          <w:kern w:val="0"/>
          <w:sz w:val="24"/>
          <w:highlight w:val="none"/>
          <w:u w:val="single"/>
        </w:rPr>
        <w:t>1</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%的履约保证金。</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9.2　买方接受卖方按招标文件规定，即以</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方式提交的履约保证金。</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9.3　买方将按招标文件规定在项目验收后向卖方无息退还履约保证金。</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　违约责任</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10.1　买方无正当理由拒收货物的，卖方有要求买方赔偿的权利。</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10.2　买方无正当理由拒绝支付货款或者延期支付货款的，由买方按应付货款支付每天万分之</w:t>
      </w:r>
      <w:r>
        <w:rPr>
          <w:rFonts w:hint="eastAsia" w:ascii="宋体" w:hAnsi="宋体" w:cs="宋体"/>
          <w:color w:val="auto"/>
          <w:kern w:val="0"/>
          <w:sz w:val="24"/>
          <w:highlight w:val="none"/>
          <w:u w:val="single"/>
        </w:rPr>
        <w:t>　一　</w:t>
      </w:r>
      <w:r>
        <w:rPr>
          <w:rFonts w:hint="eastAsia" w:ascii="宋体" w:hAnsi="宋体" w:cs="宋体"/>
          <w:color w:val="auto"/>
          <w:kern w:val="0"/>
          <w:sz w:val="24"/>
          <w:highlight w:val="none"/>
        </w:rPr>
        <w:t>的延期违约金。</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10.3　卖方所交付货物品种、型号、规格、数量、质量不符合合同规定标准的，买方有权拒绝接收，不予退还履约保证金，并有要求卖方赔偿的权利。</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10.4　卖方未能及时交货或其它非买方原因引起验收交货延迟的，由卖方支付迟交货物合同价每天万分之</w:t>
      </w:r>
      <w:r>
        <w:rPr>
          <w:rFonts w:hint="eastAsia" w:ascii="宋体" w:hAnsi="宋体" w:cs="宋体"/>
          <w:color w:val="auto"/>
          <w:kern w:val="0"/>
          <w:sz w:val="24"/>
          <w:highlight w:val="none"/>
          <w:u w:val="single"/>
        </w:rPr>
        <w:t>　一　</w:t>
      </w:r>
      <w:r>
        <w:rPr>
          <w:rFonts w:hint="eastAsia" w:ascii="宋体" w:hAnsi="宋体" w:cs="宋体"/>
          <w:color w:val="auto"/>
          <w:kern w:val="0"/>
          <w:sz w:val="24"/>
          <w:highlight w:val="none"/>
        </w:rPr>
        <w:t>的误期赔偿费。</w:t>
      </w:r>
    </w:p>
    <w:p>
      <w:pPr>
        <w:snapToGrid w:val="0"/>
        <w:spacing w:line="360" w:lineRule="auto"/>
        <w:ind w:firstLine="482"/>
        <w:rPr>
          <w:rFonts w:hint="eastAsia" w:ascii="宋体" w:hAnsi="宋体" w:cs="宋体"/>
          <w:color w:val="auto"/>
          <w:kern w:val="0"/>
          <w:sz w:val="24"/>
          <w:highlight w:val="none"/>
        </w:rPr>
      </w:pPr>
      <w:r>
        <w:rPr>
          <w:rFonts w:hint="eastAsia" w:ascii="宋体" w:hAnsi="宋体" w:cs="宋体"/>
          <w:color w:val="auto"/>
          <w:kern w:val="0"/>
          <w:sz w:val="24"/>
          <w:highlight w:val="none"/>
        </w:rPr>
        <w:t>10.5　其他：</w:t>
      </w:r>
      <w:r>
        <w:rPr>
          <w:rFonts w:hint="eastAsia" w:ascii="宋体" w:hAnsi="宋体" w:cs="宋体"/>
          <w:color w:val="auto"/>
          <w:kern w:val="0"/>
          <w:sz w:val="24"/>
          <w:highlight w:val="none"/>
          <w:u w:val="single"/>
        </w:rPr>
        <w:t>　　　  　　　（如有）　　  　　　　　　　　　　</w:t>
      </w:r>
      <w:r>
        <w:rPr>
          <w:rFonts w:hint="eastAsia" w:ascii="宋体" w:hAnsi="宋体" w:cs="宋体"/>
          <w:color w:val="auto"/>
          <w:kern w:val="0"/>
          <w:sz w:val="24"/>
          <w:highlight w:val="none"/>
        </w:rPr>
        <w:t>。</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　售后服务及要求</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11.1　售后服务期限：</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11.2　售后服务方式及响应时间：</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11.3　售后服务期限内收费：</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 xml:space="preserve">。 </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11.4　其他：</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w:t>
      </w:r>
    </w:p>
    <w:p>
      <w:pPr>
        <w:spacing w:line="360" w:lineRule="auto"/>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12　</w:t>
      </w:r>
      <w:r>
        <w:rPr>
          <w:rFonts w:hint="eastAsia" w:ascii="宋体" w:hAnsi="宋体" w:cs="宋体"/>
          <w:b/>
          <w:bCs/>
          <w:color w:val="auto"/>
          <w:kern w:val="0"/>
          <w:sz w:val="24"/>
          <w:highlight w:val="none"/>
          <w:lang w:val="en-US" w:eastAsia="zh-CN"/>
        </w:rPr>
        <w:t>设备产品使用权：本项目所涉及的前端设备、杆件及后端相关设备，所有权归乙方所有，甲方拥有长期使用权，如遇到相关政策调整，按相应政策实施。</w:t>
      </w:r>
    </w:p>
    <w:p>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ascii="宋体" w:hAnsi="宋体" w:cs="宋体"/>
          <w:color w:val="auto"/>
          <w:kern w:val="0"/>
          <w:sz w:val="24"/>
          <w:highlight w:val="none"/>
        </w:rPr>
        <w:t xml:space="preserve">3  </w:t>
      </w:r>
      <w:r>
        <w:rPr>
          <w:rFonts w:hint="eastAsia" w:ascii="宋体" w:hAnsi="宋体" w:cs="宋体"/>
          <w:color w:val="auto"/>
          <w:kern w:val="0"/>
          <w:sz w:val="24"/>
          <w:highlight w:val="none"/>
        </w:rPr>
        <w:t>本合同依法签订，即具有法律效力。双方必须全面履行，不得单方擅自变更或解除。因故需要变更或解除合同，应双方协商，依法另立协议。</w:t>
      </w:r>
    </w:p>
    <w:p>
      <w:pPr>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1</w:t>
      </w:r>
      <w:r>
        <w:rPr>
          <w:rFonts w:ascii="宋体" w:hAnsi="宋体" w:cs="宋体"/>
          <w:b/>
          <w:color w:val="auto"/>
          <w:kern w:val="0"/>
          <w:sz w:val="24"/>
          <w:highlight w:val="none"/>
        </w:rPr>
        <w:t>4</w:t>
      </w:r>
      <w:r>
        <w:rPr>
          <w:rFonts w:hint="eastAsia" w:ascii="宋体" w:hAnsi="宋体" w:cs="宋体"/>
          <w:b/>
          <w:color w:val="auto"/>
          <w:kern w:val="0"/>
          <w:sz w:val="24"/>
          <w:highlight w:val="none"/>
        </w:rPr>
        <w:t>　本合同一式</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份，其中正本两份，采购人和中标人各执一份，并由采购人在30日内做好政采云平台网上合同创建及备案。</w:t>
      </w:r>
    </w:p>
    <w:tbl>
      <w:tblPr>
        <w:tblStyle w:val="37"/>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2472"/>
        <w:gridCol w:w="171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供方单位</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（盖章）</w:t>
            </w: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需方单位</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代表签名</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代表签名</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地址</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地址</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开户银行</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开户银行</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1521"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帐号</w:t>
            </w:r>
          </w:p>
        </w:tc>
        <w:tc>
          <w:tcPr>
            <w:tcW w:w="2472"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c>
          <w:tcPr>
            <w:tcW w:w="1712" w:type="dxa"/>
            <w:noWrap w:val="0"/>
            <w:vAlign w:val="center"/>
          </w:tcPr>
          <w:p>
            <w:pPr>
              <w:snapToGrid w:val="0"/>
              <w:spacing w:line="36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帐号</w:t>
            </w:r>
          </w:p>
        </w:tc>
        <w:tc>
          <w:tcPr>
            <w:tcW w:w="2853" w:type="dxa"/>
            <w:noWrap w:val="0"/>
            <w:vAlign w:val="center"/>
          </w:tcPr>
          <w:p>
            <w:pPr>
              <w:snapToGrid w:val="0"/>
              <w:spacing w:line="360" w:lineRule="auto"/>
              <w:jc w:val="center"/>
              <w:rPr>
                <w:rFonts w:hint="eastAsia" w:ascii="宋体" w:hAnsi="宋体" w:cs="宋体"/>
                <w:snapToGrid w:val="0"/>
                <w:color w:val="auto"/>
                <w:kern w:val="0"/>
                <w:szCs w:val="21"/>
                <w:highlight w:val="none"/>
              </w:rPr>
            </w:pPr>
          </w:p>
        </w:tc>
      </w:tr>
    </w:tbl>
    <w:p>
      <w:p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bookmarkStart w:id="585" w:name="_Toc29562"/>
      <w:r>
        <w:rPr>
          <w:rFonts w:hint="eastAsia" w:ascii="宋体" w:hAnsi="宋体" w:cs="宋体"/>
          <w:b/>
          <w:color w:val="auto"/>
          <w:sz w:val="36"/>
          <w:szCs w:val="36"/>
          <w:highlight w:val="none"/>
        </w:rPr>
        <w:t>第六部分</w:t>
      </w:r>
      <w:bookmarkEnd w:id="581"/>
      <w:r>
        <w:rPr>
          <w:rFonts w:hint="eastAsia" w:ascii="宋体" w:hAnsi="宋体" w:cs="宋体"/>
          <w:b/>
          <w:color w:val="auto"/>
          <w:sz w:val="36"/>
          <w:szCs w:val="36"/>
          <w:highlight w:val="none"/>
        </w:rPr>
        <w:t xml:space="preserve"> </w:t>
      </w:r>
      <w:bookmarkEnd w:id="582"/>
      <w:r>
        <w:rPr>
          <w:rFonts w:hint="eastAsia" w:ascii="宋体" w:hAnsi="宋体" w:cs="宋体"/>
          <w:b/>
          <w:color w:val="auto"/>
          <w:sz w:val="36"/>
          <w:szCs w:val="36"/>
          <w:highlight w:val="none"/>
        </w:rPr>
        <w:t>应提交的有关格式范例</w:t>
      </w:r>
      <w:bookmarkEnd w:id="583"/>
      <w:bookmarkEnd w:id="584"/>
      <w:bookmarkEnd w:id="585"/>
    </w:p>
    <w:p>
      <w:pPr>
        <w:pStyle w:val="175"/>
        <w:rPr>
          <w:rFonts w:hint="eastAsia" w:cs="宋体"/>
          <w:color w:val="auto"/>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投标人按照以下格式编制投标文件，并将资格文件、商务技术文件、报价文件分别上传，并与招标文件的评分要点准确设置关联点。</w:t>
      </w:r>
    </w:p>
    <w:p>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此格式内容仅为参考模板，具体内容投标人应根据招标文件要求进行调整。未按以下格式编制投标文件或因格式不规范、页码不清等原因引发的一切后果由投标人自行承担。</w:t>
      </w:r>
    </w:p>
    <w:p>
      <w:pPr>
        <w:bidi w:val="0"/>
        <w:jc w:val="center"/>
        <w:rPr>
          <w:rFonts w:hint="eastAsia"/>
          <w:b/>
          <w:bCs/>
          <w:color w:val="auto"/>
          <w:sz w:val="36"/>
          <w:szCs w:val="36"/>
          <w:highlight w:val="none"/>
        </w:rPr>
      </w:pPr>
      <w:r>
        <w:rPr>
          <w:rFonts w:hint="eastAsia" w:ascii="宋体" w:hAnsi="宋体" w:cs="宋体"/>
          <w:b/>
          <w:color w:val="auto"/>
          <w:highlight w:val="none"/>
        </w:rPr>
        <w:br w:type="page"/>
      </w:r>
      <w:bookmarkStart w:id="586" w:name="_Toc22947"/>
      <w:bookmarkStart w:id="587" w:name="_Toc6521"/>
      <w:bookmarkStart w:id="588" w:name="_Toc1738"/>
      <w:bookmarkStart w:id="589" w:name="_Toc2320"/>
      <w:bookmarkStart w:id="590" w:name="_Toc12973"/>
      <w:bookmarkStart w:id="591" w:name="_Toc20722"/>
      <w:bookmarkStart w:id="592" w:name="_Toc7487"/>
      <w:r>
        <w:rPr>
          <w:rFonts w:hint="eastAsia"/>
          <w:b/>
          <w:bCs/>
          <w:color w:val="auto"/>
          <w:sz w:val="36"/>
          <w:szCs w:val="36"/>
          <w:highlight w:val="none"/>
        </w:rPr>
        <w:t>资格文件部分</w:t>
      </w:r>
      <w:bookmarkEnd w:id="586"/>
      <w:bookmarkEnd w:id="587"/>
      <w:bookmarkEnd w:id="588"/>
      <w:bookmarkEnd w:id="589"/>
      <w:bookmarkEnd w:id="590"/>
      <w:bookmarkEnd w:id="591"/>
      <w:bookmarkEnd w:id="592"/>
    </w:p>
    <w:p>
      <w:pPr>
        <w:bidi w:val="0"/>
        <w:jc w:val="center"/>
        <w:rPr>
          <w:rFonts w:hint="eastAsia"/>
          <w:b/>
          <w:bCs/>
          <w:color w:val="auto"/>
          <w:sz w:val="36"/>
          <w:szCs w:val="36"/>
          <w:highlight w:val="none"/>
        </w:rPr>
      </w:pPr>
    </w:p>
    <w:p>
      <w:pPr>
        <w:bidi w:val="0"/>
        <w:jc w:val="center"/>
        <w:rPr>
          <w:rFonts w:hint="eastAsia"/>
          <w:b/>
          <w:bCs/>
          <w:color w:val="auto"/>
          <w:sz w:val="36"/>
          <w:szCs w:val="36"/>
          <w:highlight w:val="none"/>
        </w:rPr>
      </w:pPr>
      <w:bookmarkStart w:id="593" w:name="_Toc31534"/>
      <w:bookmarkStart w:id="594" w:name="_Toc32683"/>
      <w:bookmarkStart w:id="595" w:name="_Toc25414"/>
      <w:bookmarkStart w:id="596" w:name="_Toc14497"/>
      <w:bookmarkStart w:id="597" w:name="_Toc21135"/>
      <w:bookmarkStart w:id="598" w:name="_Toc6888"/>
      <w:bookmarkStart w:id="599" w:name="_Toc14423"/>
      <w:bookmarkStart w:id="600" w:name="_Toc13782"/>
      <w:r>
        <w:rPr>
          <w:rFonts w:hint="eastAsia"/>
          <w:b/>
          <w:bCs/>
          <w:color w:val="auto"/>
          <w:sz w:val="36"/>
          <w:szCs w:val="36"/>
          <w:highlight w:val="none"/>
        </w:rPr>
        <w:t>目录</w:t>
      </w:r>
      <w:bookmarkEnd w:id="593"/>
      <w:bookmarkEnd w:id="594"/>
      <w:bookmarkEnd w:id="595"/>
      <w:bookmarkEnd w:id="596"/>
      <w:bookmarkEnd w:id="597"/>
      <w:bookmarkEnd w:id="598"/>
      <w:bookmarkEnd w:id="599"/>
      <w:bookmarkEnd w:id="600"/>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法定代表人授权书（格式见附件）；如法定代表人直接参加投标并对相应文件签字的（签字是指线下签字扫描后上传或者线上进行电子签章），只需提供其身份证复印件，否则则应提供授权代表身份证复印件；</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pPr>
        <w:pStyle w:val="113"/>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具有履行合同所必需的产品和专业技术能力的承诺函；</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投标人承诺函（格式见附件）；</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中小企业声明函（格式见附件）；</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联合体协议书</w:t>
      </w:r>
      <w:r>
        <w:rPr>
          <w:rFonts w:hint="eastAsia" w:ascii="宋体" w:hAnsi="宋体" w:eastAsia="宋体" w:cs="宋体"/>
          <w:color w:val="auto"/>
          <w:szCs w:val="24"/>
          <w:highlight w:val="none"/>
        </w:rPr>
        <w:t>(如有)（格式见附件）</w:t>
      </w:r>
      <w:r>
        <w:rPr>
          <w:rFonts w:hint="eastAsia" w:ascii="宋体" w:hAnsi="宋体" w:cs="宋体"/>
          <w:color w:val="auto"/>
          <w:szCs w:val="24"/>
          <w:highlight w:val="none"/>
        </w:rPr>
        <w:t>；</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分包协议书</w:t>
      </w:r>
      <w:r>
        <w:rPr>
          <w:rFonts w:hint="eastAsia" w:ascii="宋体" w:hAnsi="宋体" w:eastAsia="宋体" w:cs="宋体"/>
          <w:color w:val="auto"/>
          <w:szCs w:val="24"/>
          <w:highlight w:val="none"/>
        </w:rPr>
        <w:t>(如有)（格式见附件）</w:t>
      </w:r>
      <w:r>
        <w:rPr>
          <w:rFonts w:hint="eastAsia" w:ascii="宋体" w:hAnsi="宋体" w:cs="宋体"/>
          <w:color w:val="auto"/>
          <w:szCs w:val="24"/>
          <w:highlight w:val="none"/>
        </w:rPr>
        <w:t>；</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残疾人福利性单位声明函(如有)（格式见附件）；</w:t>
      </w:r>
    </w:p>
    <w:p>
      <w:pPr>
        <w:pStyle w:val="113"/>
        <w:numPr>
          <w:ilvl w:val="0"/>
          <w:numId w:val="60"/>
        </w:numPr>
        <w:spacing w:before="0"/>
        <w:ind w:firstLine="480"/>
        <w:rPr>
          <w:rFonts w:hint="eastAsia" w:ascii="宋体" w:hAnsi="宋体" w:cs="宋体"/>
          <w:color w:val="auto"/>
          <w:szCs w:val="24"/>
          <w:highlight w:val="none"/>
        </w:rPr>
      </w:pPr>
      <w:r>
        <w:rPr>
          <w:rFonts w:hint="eastAsia" w:ascii="宋体" w:hAnsi="宋体" w:cs="宋体"/>
          <w:color w:val="auto"/>
          <w:szCs w:val="24"/>
          <w:highlight w:val="none"/>
        </w:rPr>
        <w:t>监狱企业证明文件(如有)（格式见附件）。</w:t>
      </w:r>
    </w:p>
    <w:p>
      <w:pPr>
        <w:pStyle w:val="13"/>
        <w:ind w:firstLine="486"/>
        <w:rPr>
          <w:rFonts w:hint="eastAsia" w:ascii="宋体" w:hAnsi="宋体" w:cs="宋体"/>
          <w:color w:val="auto"/>
          <w:highlight w:val="none"/>
        </w:rPr>
      </w:pPr>
    </w:p>
    <w:p>
      <w:pPr>
        <w:pStyle w:val="2"/>
        <w:jc w:val="center"/>
        <w:rPr>
          <w:rFonts w:hint="eastAsia" w:hAnsi="宋体" w:cs="宋体"/>
          <w:color w:val="auto"/>
          <w:sz w:val="30"/>
          <w:szCs w:val="30"/>
          <w:highlight w:val="none"/>
        </w:rPr>
      </w:pPr>
      <w:bookmarkStart w:id="601" w:name="_Toc24699"/>
      <w:bookmarkStart w:id="602" w:name="_Toc1084"/>
      <w:r>
        <w:rPr>
          <w:rFonts w:hint="eastAsia" w:hAnsi="宋体" w:cs="宋体"/>
          <w:color w:val="auto"/>
          <w:sz w:val="30"/>
          <w:szCs w:val="30"/>
          <w:highlight w:val="none"/>
        </w:rPr>
        <w:br w:type="page"/>
      </w:r>
      <w:bookmarkStart w:id="603" w:name="_Toc23530"/>
      <w:r>
        <w:rPr>
          <w:rFonts w:hint="eastAsia" w:hAnsi="宋体" w:cs="宋体"/>
          <w:color w:val="auto"/>
          <w:sz w:val="30"/>
          <w:szCs w:val="30"/>
          <w:highlight w:val="none"/>
        </w:rPr>
        <w:t>附件一：法定代表人授权书</w:t>
      </w:r>
      <w:bookmarkEnd w:id="601"/>
      <w:bookmarkEnd w:id="602"/>
      <w:bookmarkEnd w:id="603"/>
    </w:p>
    <w:p>
      <w:pPr>
        <w:pStyle w:val="3"/>
        <w:spacing w:line="360" w:lineRule="auto"/>
        <w:rPr>
          <w:rFonts w:hint="eastAsia" w:ascii="宋体" w:hAnsi="宋体" w:cs="宋体"/>
          <w:color w:val="auto"/>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绍兴市公安局上虞区分局</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浙江宇康工程管理咨询有限公司</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 xml:space="preserve">  （投标人全称） </w:t>
      </w:r>
      <w:r>
        <w:rPr>
          <w:rFonts w:hint="eastAsia" w:ascii="宋体" w:hAnsi="宋体" w:cs="宋体"/>
          <w:color w:val="auto"/>
          <w:sz w:val="24"/>
          <w:highlight w:val="none"/>
        </w:rPr>
        <w:t>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授权</w:t>
      </w:r>
      <w:r>
        <w:rPr>
          <w:rFonts w:hint="eastAsia" w:ascii="宋体" w:hAnsi="宋体" w:cs="宋体"/>
          <w:color w:val="auto"/>
          <w:sz w:val="24"/>
          <w:highlight w:val="none"/>
          <w:u w:val="single"/>
        </w:rPr>
        <w:t>（授权代表名称）</w:t>
      </w:r>
      <w:r>
        <w:rPr>
          <w:rFonts w:hint="eastAsia" w:ascii="宋体" w:hAnsi="宋体" w:cs="宋体"/>
          <w:color w:val="auto"/>
          <w:sz w:val="24"/>
          <w:highlight w:val="none"/>
        </w:rPr>
        <w:t>为授权代表，参加贵处组织的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w:t>
      </w:r>
      <w:r>
        <w:rPr>
          <w:rFonts w:hint="eastAsia" w:ascii="宋体" w:hAnsi="宋体" w:cs="宋体"/>
          <w:color w:val="auto"/>
          <w:sz w:val="24"/>
          <w:highlight w:val="none"/>
          <w:u w:val="single"/>
        </w:rPr>
        <w:t>（括号内填写招标编号）</w:t>
      </w:r>
      <w:r>
        <w:rPr>
          <w:rFonts w:hint="eastAsia" w:ascii="宋体" w:hAnsi="宋体" w:cs="宋体"/>
          <w:color w:val="auto"/>
          <w:sz w:val="24"/>
          <w:highlight w:val="none"/>
        </w:rPr>
        <w:t>，授权处理招投标活动中的一切事宜。</w:t>
      </w:r>
    </w:p>
    <w:p>
      <w:pPr>
        <w:spacing w:line="360" w:lineRule="auto"/>
        <w:ind w:firstLine="480" w:firstLineChars="200"/>
        <w:rPr>
          <w:rFonts w:hint="eastAsia" w:ascii="宋体" w:hAnsi="宋体" w:cs="宋体"/>
          <w:color w:val="auto"/>
          <w:sz w:val="24"/>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法定代表人签字：</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投标人全称：（盖章）</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日期：</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附：</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授权代表姓名：</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职务：</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详细通讯地址：</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传真：</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电话：</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邮政编码：</w:t>
      </w:r>
    </w:p>
    <w:p>
      <w:pPr>
        <w:pStyle w:val="17"/>
        <w:snapToGrid w:val="0"/>
        <w:spacing w:line="360" w:lineRule="auto"/>
        <w:rPr>
          <w:rFonts w:hint="eastAsia" w:hAnsi="宋体" w:cs="宋体"/>
          <w:color w:val="auto"/>
          <w:sz w:val="24"/>
          <w:highlight w:val="none"/>
        </w:rPr>
      </w:pPr>
    </w:p>
    <w:p>
      <w:pPr>
        <w:pStyle w:val="17"/>
        <w:snapToGrid w:val="0"/>
        <w:spacing w:line="360" w:lineRule="auto"/>
        <w:rPr>
          <w:rFonts w:hint="eastAsia" w:hAnsi="宋体" w:cs="宋体"/>
          <w:color w:val="auto"/>
          <w:sz w:val="24"/>
          <w:highlight w:val="none"/>
        </w:rPr>
      </w:pPr>
    </w:p>
    <w:p>
      <w:pPr>
        <w:pStyle w:val="17"/>
        <w:snapToGrid w:val="0"/>
        <w:spacing w:line="360" w:lineRule="auto"/>
        <w:rPr>
          <w:rFonts w:hint="eastAsia" w:hAnsi="宋体" w:cs="宋体"/>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附：授权代表身份证复印件（正反面）</w:t>
      </w:r>
    </w:p>
    <w:p>
      <w:pPr>
        <w:spacing w:line="360" w:lineRule="auto"/>
        <w:rPr>
          <w:rFonts w:hint="eastAsia" w:ascii="宋体" w:hAnsi="宋体" w:cs="宋体"/>
          <w:b/>
          <w:color w:val="auto"/>
          <w:sz w:val="24"/>
          <w:highlight w:val="none"/>
        </w:rPr>
      </w:pPr>
    </w:p>
    <w:p>
      <w:pPr>
        <w:pStyle w:val="13"/>
        <w:ind w:firstLine="486"/>
        <w:rPr>
          <w:rFonts w:hint="eastAsia" w:ascii="宋体" w:hAnsi="宋体" w:cs="宋体"/>
          <w:color w:val="auto"/>
          <w:highlight w:val="none"/>
        </w:rPr>
      </w:pPr>
    </w:p>
    <w:p>
      <w:pPr>
        <w:snapToGrid w:val="0"/>
        <w:spacing w:before="50" w:after="161" w:afterLines="50"/>
        <w:jc w:val="center"/>
        <w:outlineLvl w:val="0"/>
        <w:rPr>
          <w:rFonts w:hint="eastAsia" w:ascii="宋体" w:hAnsi="宋体" w:cs="宋体"/>
          <w:b/>
          <w:color w:val="auto"/>
          <w:sz w:val="30"/>
          <w:szCs w:val="30"/>
          <w:highlight w:val="none"/>
        </w:rPr>
      </w:pPr>
      <w:r>
        <w:rPr>
          <w:rFonts w:hint="eastAsia" w:ascii="宋体" w:hAnsi="宋体" w:cs="宋体"/>
          <w:b/>
          <w:bCs/>
          <w:color w:val="auto"/>
          <w:sz w:val="24"/>
          <w:highlight w:val="none"/>
        </w:rPr>
        <w:br w:type="page"/>
      </w:r>
      <w:bookmarkStart w:id="604" w:name="_Toc7998"/>
      <w:bookmarkStart w:id="605" w:name="_Toc7012"/>
      <w:r>
        <w:rPr>
          <w:rFonts w:hint="eastAsia" w:ascii="宋体" w:hAnsi="宋体" w:cs="宋体"/>
          <w:b/>
          <w:color w:val="auto"/>
          <w:sz w:val="30"/>
          <w:szCs w:val="30"/>
          <w:highlight w:val="none"/>
          <w:lang w:val="zh-CN"/>
        </w:rPr>
        <w:t>附件二：</w:t>
      </w:r>
      <w:bookmarkEnd w:id="604"/>
      <w:r>
        <w:rPr>
          <w:rFonts w:hint="eastAsia" w:ascii="宋体" w:hAnsi="宋体" w:cs="宋体"/>
          <w:b/>
          <w:color w:val="auto"/>
          <w:sz w:val="30"/>
          <w:szCs w:val="30"/>
          <w:highlight w:val="none"/>
          <w:lang w:val="zh-CN"/>
        </w:rPr>
        <w:t>投 标 人 承 诺 函</w:t>
      </w:r>
      <w:bookmarkEnd w:id="605"/>
    </w:p>
    <w:p>
      <w:pPr>
        <w:spacing w:line="360" w:lineRule="auto"/>
        <w:ind w:firstLine="420" w:firstLineChars="200"/>
        <w:rPr>
          <w:rFonts w:hint="eastAsia" w:ascii="宋体" w:hAnsi="宋体" w:cs="宋体"/>
          <w:color w:val="auto"/>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绍兴市公安局上虞区分局</w:t>
      </w:r>
      <w:r>
        <w:rPr>
          <w:rFonts w:hint="eastAsia" w:ascii="宋体" w:hAnsi="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u w:val="single"/>
        </w:rPr>
        <w:t>浙江宇康工程管理咨询有限公司</w:t>
      </w:r>
      <w:r>
        <w:rPr>
          <w:rFonts w:hint="eastAsia" w:ascii="宋体" w:hAnsi="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系中华人民共和国合法企业，经营地址</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的法定代表人，我方愿意参加贵方组织的</w:t>
      </w:r>
      <w:r>
        <w:rPr>
          <w:rFonts w:hint="eastAsia" w:ascii="宋体" w:hAnsi="宋体" w:eastAsia="宋体" w:cs="宋体"/>
          <w:color w:val="auto"/>
          <w:sz w:val="24"/>
          <w:highlight w:val="none"/>
          <w:u w:val="single"/>
        </w:rPr>
        <w:t>（招标项目名称）（编号为）</w:t>
      </w:r>
      <w:r>
        <w:rPr>
          <w:rFonts w:hint="eastAsia" w:ascii="宋体" w:hAnsi="宋体" w:eastAsia="宋体" w:cs="宋体"/>
          <w:color w:val="auto"/>
          <w:sz w:val="24"/>
          <w:highlight w:val="none"/>
        </w:rPr>
        <w:t>的投标，为此，我方就本次投标有关事项郑重</w:t>
      </w:r>
      <w:r>
        <w:rPr>
          <w:rFonts w:hint="eastAsia" w:ascii="宋体" w:hAnsi="宋体" w:eastAsia="宋体" w:cs="宋体"/>
          <w:color w:val="auto"/>
          <w:sz w:val="24"/>
          <w:highlight w:val="none"/>
          <w:lang w:eastAsia="zh-CN"/>
        </w:rPr>
        <w:t>承诺</w:t>
      </w:r>
      <w:r>
        <w:rPr>
          <w:rFonts w:hint="eastAsia" w:ascii="宋体" w:hAnsi="宋体" w:eastAsia="宋体" w:cs="宋体"/>
          <w:color w:val="auto"/>
          <w:sz w:val="24"/>
          <w:highlight w:val="none"/>
        </w:rPr>
        <w:t>如下：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1、我方已详细审查全部招标文件，同意招标文件的各项要求。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2、我方向贵方提交的所有投标文件、资料都是准确的和真实的。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3、若中标，我方将按招标文件规定履行合同责任和义务。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4、我方不是采购人的附属机构；在获知本项目采购信息后，与采购人聘请的为此项目提供咨询服务的公司及其附属机构没有任何联系。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5、投标文件自开标日起有效期为90天。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6、我方参与本项目前3年内的经营活动中没有重大违法记录；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7、我方通过“信用中国”网站（www.creditchina.gov.cn）、中国政府采购网（www.ccgp.gov.cn）查询，未被列入失信被执行人、重大税收违法案件当事人名单、政府采购严重违法失信行为记录名单。</w:t>
      </w:r>
    </w:p>
    <w:p>
      <w:pPr>
        <w:pStyle w:val="113"/>
        <w:numPr>
          <w:ilvl w:val="0"/>
          <w:numId w:val="0"/>
        </w:numPr>
        <w:spacing w:before="0"/>
        <w:ind w:firstLine="480" w:firstLineChars="200"/>
        <w:jc w:val="left"/>
        <w:rPr>
          <w:rFonts w:hint="eastAsia" w:ascii="宋体" w:hAnsi="宋体" w:cs="宋体"/>
          <w:color w:val="auto"/>
          <w:szCs w:val="24"/>
          <w:highlight w:val="none"/>
          <w:lang w:val="en-US" w:eastAsia="zh-CN"/>
        </w:rPr>
      </w:pPr>
      <w:r>
        <w:rPr>
          <w:rFonts w:hint="eastAsia" w:ascii="宋体" w:hAnsi="宋体" w:eastAsia="宋体" w:cs="宋体"/>
          <w:color w:val="auto"/>
          <w:sz w:val="24"/>
          <w:highlight w:val="none"/>
        </w:rPr>
        <w:t>8、</w:t>
      </w:r>
      <w:r>
        <w:rPr>
          <w:rFonts w:hint="eastAsia" w:ascii="宋体" w:hAnsi="宋体" w:cs="宋体"/>
          <w:color w:val="auto"/>
          <w:szCs w:val="24"/>
          <w:highlight w:val="none"/>
          <w:lang w:val="en-US" w:eastAsia="zh-CN"/>
        </w:rPr>
        <w:t>具有良好的商业信誉和健全的财务会计制度；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9、具有依法缴纳税收和社会保障资金的良好记录</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rPr>
        <w:t>以上事项如有虚假或隐瞒，我方愿意承担一切后果，并不再寻求任何旨在减轻或免除法律责任的辩解。</w:t>
      </w:r>
    </w:p>
    <w:p>
      <w:pPr>
        <w:spacing w:line="360" w:lineRule="auto"/>
        <w:ind w:firstLine="480" w:firstLineChars="200"/>
        <w:rPr>
          <w:rFonts w:hint="eastAsia" w:ascii="宋体" w:hAnsi="宋体" w:eastAsia="宋体" w:cs="宋体"/>
          <w:color w:val="auto"/>
          <w:sz w:val="24"/>
          <w:highlight w:val="none"/>
        </w:rPr>
      </w:pPr>
    </w:p>
    <w:p>
      <w:pPr>
        <w:pStyle w:val="13"/>
        <w:rPr>
          <w:rFonts w:hint="eastAsia" w:ascii="宋体" w:hAnsi="宋体" w:eastAsia="宋体" w:cs="宋体"/>
          <w:color w:val="auto"/>
          <w:highlight w:val="none"/>
        </w:rPr>
      </w:pPr>
    </w:p>
    <w:p>
      <w:pPr>
        <w:spacing w:line="360" w:lineRule="auto"/>
        <w:ind w:leftChars="18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法定代表人签名（或签名章）：                       </w:t>
      </w:r>
    </w:p>
    <w:p>
      <w:pPr>
        <w:spacing w:line="360" w:lineRule="auto"/>
        <w:ind w:leftChars="18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pPr>
        <w:spacing w:line="360" w:lineRule="auto"/>
        <w:ind w:leftChars="1800" w:firstLine="480" w:firstLineChars="200"/>
        <w:rPr>
          <w:rFonts w:hint="eastAsia" w:ascii="宋体" w:hAnsi="宋体" w:cs="宋体"/>
          <w:color w:val="auto"/>
          <w:sz w:val="28"/>
          <w:szCs w:val="28"/>
          <w:highlight w:val="none"/>
        </w:rPr>
      </w:pPr>
      <w:r>
        <w:rPr>
          <w:rFonts w:hint="eastAsia" w:ascii="宋体" w:hAnsi="宋体" w:eastAsia="宋体" w:cs="宋体"/>
          <w:color w:val="auto"/>
          <w:sz w:val="24"/>
          <w:highlight w:val="none"/>
        </w:rPr>
        <w:t>投标人全称（公章）：</w:t>
      </w:r>
    </w:p>
    <w:p>
      <w:pPr>
        <w:pStyle w:val="13"/>
        <w:ind w:firstLine="566"/>
        <w:rPr>
          <w:rFonts w:hint="eastAsia" w:ascii="宋体" w:hAnsi="宋体" w:cs="宋体"/>
          <w:color w:val="auto"/>
          <w:sz w:val="28"/>
          <w:szCs w:val="28"/>
          <w:highlight w:val="none"/>
        </w:rPr>
      </w:pPr>
    </w:p>
    <w:p>
      <w:pPr>
        <w:pStyle w:val="2"/>
        <w:spacing w:line="240" w:lineRule="auto"/>
        <w:jc w:val="center"/>
        <w:rPr>
          <w:rFonts w:hint="eastAsia" w:ascii="宋体" w:hAnsi="宋体" w:eastAsia="宋体" w:cs="宋体"/>
          <w:b/>
          <w:color w:val="auto"/>
          <w:kern w:val="2"/>
          <w:sz w:val="30"/>
          <w:szCs w:val="30"/>
          <w:highlight w:val="none"/>
          <w:lang w:val="en-US" w:eastAsia="zh-CN" w:bidi="ar-SA"/>
        </w:rPr>
      </w:pPr>
      <w:bookmarkStart w:id="606" w:name="_Toc360"/>
      <w:r>
        <w:rPr>
          <w:rFonts w:hint="eastAsia" w:hAnsi="宋体" w:cs="宋体"/>
          <w:color w:val="auto"/>
          <w:sz w:val="30"/>
          <w:szCs w:val="30"/>
          <w:highlight w:val="none"/>
          <w:lang w:val="zh-CN"/>
        </w:rPr>
        <w:br w:type="page"/>
      </w:r>
      <w:bookmarkStart w:id="607" w:name="_Toc4163"/>
      <w:r>
        <w:rPr>
          <w:rFonts w:hint="eastAsia" w:ascii="宋体" w:hAnsi="宋体" w:eastAsia="宋体" w:cs="宋体"/>
          <w:b/>
          <w:color w:val="auto"/>
          <w:kern w:val="2"/>
          <w:sz w:val="30"/>
          <w:szCs w:val="30"/>
          <w:highlight w:val="none"/>
          <w:lang w:val="zh-CN" w:eastAsia="zh-CN" w:bidi="ar-SA"/>
        </w:rPr>
        <w:t>附件</w:t>
      </w:r>
      <w:r>
        <w:rPr>
          <w:rFonts w:hint="eastAsia" w:hAnsi="宋体" w:eastAsia="宋体" w:cs="宋体"/>
          <w:b/>
          <w:color w:val="auto"/>
          <w:kern w:val="2"/>
          <w:sz w:val="30"/>
          <w:szCs w:val="30"/>
          <w:highlight w:val="none"/>
          <w:lang w:val="en-US" w:eastAsia="zh-CN" w:bidi="ar-SA"/>
        </w:rPr>
        <w:t>三</w:t>
      </w:r>
      <w:r>
        <w:rPr>
          <w:rFonts w:hint="eastAsia" w:ascii="宋体" w:hAnsi="宋体" w:eastAsia="宋体" w:cs="宋体"/>
          <w:b/>
          <w:color w:val="auto"/>
          <w:kern w:val="2"/>
          <w:sz w:val="30"/>
          <w:szCs w:val="30"/>
          <w:highlight w:val="none"/>
          <w:lang w:val="zh-CN" w:eastAsia="zh-CN" w:bidi="ar-SA"/>
        </w:rPr>
        <w:t>：</w:t>
      </w:r>
      <w:r>
        <w:rPr>
          <w:rFonts w:hint="eastAsia" w:ascii="宋体" w:hAnsi="宋体" w:eastAsia="宋体" w:cs="宋体"/>
          <w:b/>
          <w:color w:val="auto"/>
          <w:kern w:val="2"/>
          <w:sz w:val="30"/>
          <w:szCs w:val="30"/>
          <w:highlight w:val="none"/>
          <w:lang w:val="en-US" w:eastAsia="zh-CN" w:bidi="ar-SA"/>
        </w:rPr>
        <w:t>联合体投标协议书</w:t>
      </w:r>
      <w:bookmarkEnd w:id="607"/>
    </w:p>
    <w:p>
      <w:pPr>
        <w:bidi w:val="0"/>
        <w:jc w:val="center"/>
        <w:rPr>
          <w:rFonts w:hint="eastAsia"/>
          <w:color w:val="auto"/>
          <w:sz w:val="24"/>
          <w:szCs w:val="32"/>
          <w:highlight w:val="none"/>
        </w:rPr>
      </w:pPr>
      <w:r>
        <w:rPr>
          <w:rFonts w:hint="eastAsia"/>
          <w:color w:val="auto"/>
          <w:sz w:val="24"/>
          <w:szCs w:val="32"/>
          <w:highlight w:val="none"/>
        </w:rPr>
        <w:t>【无</w:t>
      </w:r>
      <w:r>
        <w:rPr>
          <w:rFonts w:hint="eastAsia"/>
          <w:color w:val="auto"/>
          <w:sz w:val="24"/>
          <w:szCs w:val="32"/>
          <w:highlight w:val="none"/>
          <w:lang w:val="en-US" w:eastAsia="zh-CN"/>
        </w:rPr>
        <w:t>联合体</w:t>
      </w:r>
      <w:r>
        <w:rPr>
          <w:rFonts w:hint="eastAsia"/>
          <w:color w:val="auto"/>
          <w:sz w:val="24"/>
          <w:szCs w:val="32"/>
          <w:highlight w:val="none"/>
        </w:rPr>
        <w:t>协议的无需填写、递交】</w:t>
      </w:r>
    </w:p>
    <w:p>
      <w:pPr>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绍兴市公安局上虞区分局</w:t>
      </w:r>
      <w:r>
        <w:rPr>
          <w:rFonts w:hint="eastAsia" w:ascii="宋体" w:hAnsi="宋体" w:eastAsia="宋体" w:cs="宋体"/>
          <w:color w:val="auto"/>
          <w:sz w:val="24"/>
          <w:szCs w:val="24"/>
          <w:highlight w:val="none"/>
        </w:rPr>
        <w:t>：</w:t>
      </w:r>
    </w:p>
    <w:p>
      <w:pPr>
        <w:pStyle w:val="33"/>
        <w:shd w:val="clear" w:color="000000" w:fill="FFFFFF"/>
        <w:spacing w:beforeAutospacing="0" w:afterAutospacing="0" w:line="240" w:lineRule="auto"/>
        <w:ind w:firstLine="5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浙江宇康工程管理咨询有限公司</w:t>
      </w:r>
      <w:r>
        <w:rPr>
          <w:rFonts w:hint="eastAsia" w:ascii="宋体" w:hAnsi="宋体" w:eastAsia="宋体" w:cs="宋体"/>
          <w:color w:val="auto"/>
          <w:sz w:val="24"/>
          <w:szCs w:val="24"/>
          <w:highlight w:val="none"/>
        </w:rPr>
        <w:t>：</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ind w:firstLine="525"/>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公司与</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 xml:space="preserve">公司自愿组成联合体，参加 </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项目投标。</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现就有关事宜订立协议如下：</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ind w:firstLine="21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为联合体主办人，</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为联合体成员；</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2. 联合体内部有关事项规定如下：</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（1）联合体由主办人负责与招标方联系。</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（2）投标工作由联合体主办人负责，由双方组成的投标小组具体实施；联合体主办人代表联合体办理投标事宜，联合体主办人在投标文件中的所有承诺均代表了联合体各成员。</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（3）联合体将严格按照招标文件的各项要求，递交投标文件，切实执行一切合同文件，共同承担合同规定的一切义务和责任，同时按照内部职责的划分（双方签署施工协议），承担自身所负的责任和风险。</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（4）如中标，联合体内部将遵守以下规定：</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a</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联合体主办人和成员共同与业主签订合同书，并就中标项目向业主负责有连带的和各自的</w:t>
      </w:r>
      <w:r>
        <w:rPr>
          <w:rFonts w:hint="eastAsia" w:ascii="宋体" w:hAnsi="宋体" w:eastAsia="宋体" w:cs="宋体"/>
          <w:color w:val="auto"/>
          <w:sz w:val="24"/>
          <w:szCs w:val="24"/>
          <w:highlight w:val="none"/>
          <w:u w:val="single"/>
          <w:shd w:val="clear" w:color="auto" w:fill="FFFFFF"/>
        </w:rPr>
        <w:fldChar w:fldCharType="begin"/>
      </w:r>
      <w:r>
        <w:rPr>
          <w:rFonts w:hint="eastAsia" w:ascii="宋体" w:hAnsi="宋体" w:eastAsia="宋体" w:cs="宋体"/>
          <w:color w:val="auto"/>
          <w:sz w:val="24"/>
          <w:szCs w:val="24"/>
          <w:highlight w:val="none"/>
          <w:u w:val="single"/>
          <w:shd w:val="clear" w:color="auto" w:fill="FFFFFF"/>
        </w:rPr>
        <w:instrText xml:space="preserve"> HYPERLINK "http://www.chinalawedu.com/" </w:instrText>
      </w:r>
      <w:r>
        <w:rPr>
          <w:rFonts w:hint="eastAsia" w:ascii="宋体" w:hAnsi="宋体" w:eastAsia="宋体" w:cs="宋体"/>
          <w:color w:val="auto"/>
          <w:sz w:val="24"/>
          <w:szCs w:val="24"/>
          <w:highlight w:val="none"/>
          <w:u w:val="single"/>
          <w:shd w:val="clear" w:color="auto" w:fill="FFFFFF"/>
        </w:rPr>
        <w:fldChar w:fldCharType="separate"/>
      </w:r>
      <w:r>
        <w:rPr>
          <w:rFonts w:hint="eastAsia" w:ascii="宋体" w:hAnsi="宋体" w:eastAsia="宋体" w:cs="宋体"/>
          <w:color w:val="auto"/>
          <w:sz w:val="24"/>
          <w:szCs w:val="24"/>
          <w:highlight w:val="none"/>
          <w:u w:val="single"/>
          <w:shd w:val="clear" w:color="auto" w:fill="FFFFFF"/>
        </w:rPr>
        <w:t>法律</w:t>
      </w:r>
      <w:r>
        <w:rPr>
          <w:rFonts w:hint="eastAsia" w:ascii="宋体" w:hAnsi="宋体" w:eastAsia="宋体" w:cs="宋体"/>
          <w:color w:val="auto"/>
          <w:sz w:val="24"/>
          <w:szCs w:val="24"/>
          <w:highlight w:val="none"/>
          <w:shd w:val="clear" w:color="auto" w:fill="FFFFFF"/>
        </w:rPr>
        <w:t>责任；</w:t>
      </w:r>
      <w:r>
        <w:rPr>
          <w:rFonts w:hint="eastAsia" w:ascii="宋体" w:hAnsi="宋体" w:eastAsia="宋体" w:cs="宋体"/>
          <w:color w:val="auto"/>
          <w:sz w:val="24"/>
          <w:szCs w:val="24"/>
          <w:highlight w:val="none"/>
          <w:shd w:val="clear" w:color="auto" w:fill="FFFFFF"/>
        </w:rPr>
        <w:fldChar w:fldCharType="end"/>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b</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联合体主办人代表联合体成员承担责任和接受业主的指令、指示和通知并且在整个合同实施过程中的全部事宜；</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shd w:val="clear" w:color="auto" w:fill="FFFFFF"/>
        </w:rPr>
        <w:t>（5） 联合体主办人和成员在中标后</w:t>
      </w:r>
      <w:r>
        <w:rPr>
          <w:rFonts w:hint="eastAsia" w:ascii="宋体" w:hAnsi="宋体" w:eastAsia="宋体" w:cs="宋体"/>
          <w:color w:val="auto"/>
          <w:sz w:val="24"/>
          <w:szCs w:val="24"/>
          <w:highlight w:val="none"/>
          <w:shd w:val="clear" w:color="auto" w:fill="FFFFFF"/>
          <w:lang w:val="en-US" w:eastAsia="zh-CN"/>
        </w:rPr>
        <w:t>项目</w:t>
      </w:r>
      <w:r>
        <w:rPr>
          <w:rFonts w:hint="eastAsia" w:ascii="宋体" w:hAnsi="宋体" w:eastAsia="宋体" w:cs="宋体"/>
          <w:color w:val="auto"/>
          <w:sz w:val="24"/>
          <w:szCs w:val="24"/>
          <w:highlight w:val="none"/>
          <w:shd w:val="clear" w:color="auto" w:fill="FFFFFF"/>
        </w:rPr>
        <w:t>实施过程中</w:t>
      </w:r>
      <w:r>
        <w:rPr>
          <w:rFonts w:hint="eastAsia" w:ascii="宋体" w:hAnsi="宋体" w:eastAsia="宋体" w:cs="宋体"/>
          <w:color w:val="auto"/>
          <w:sz w:val="24"/>
          <w:szCs w:val="24"/>
          <w:highlight w:val="none"/>
        </w:rPr>
        <w:t>承接业务划分</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a</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作为</w:t>
      </w:r>
      <w:r>
        <w:rPr>
          <w:rFonts w:hint="eastAsia" w:ascii="宋体" w:hAnsi="宋体" w:eastAsia="宋体" w:cs="宋体"/>
          <w:color w:val="auto"/>
          <w:sz w:val="24"/>
          <w:szCs w:val="24"/>
          <w:highlight w:val="none"/>
          <w:shd w:val="clear" w:color="auto" w:fill="FFFFFF"/>
        </w:rPr>
        <w:t>联合体主办人</w:t>
      </w:r>
      <w:r>
        <w:rPr>
          <w:rFonts w:hint="eastAsia" w:ascii="宋体" w:hAnsi="宋体" w:eastAsia="宋体" w:cs="宋体"/>
          <w:color w:val="auto"/>
          <w:sz w:val="24"/>
          <w:szCs w:val="24"/>
          <w:highlight w:val="none"/>
        </w:rPr>
        <w:t>，负责本项目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工作，占本次投标总金额比重为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shd w:val="clear" w:color="auto" w:fill="FFFFFF"/>
        </w:rPr>
        <w:t>b</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作为</w:t>
      </w:r>
      <w:r>
        <w:rPr>
          <w:rFonts w:hint="eastAsia" w:ascii="宋体" w:hAnsi="宋体" w:eastAsia="宋体" w:cs="宋体"/>
          <w:color w:val="auto"/>
          <w:sz w:val="24"/>
          <w:szCs w:val="24"/>
          <w:highlight w:val="none"/>
          <w:shd w:val="clear" w:color="auto" w:fill="FFFFFF"/>
        </w:rPr>
        <w:t>联合体</w:t>
      </w:r>
      <w:r>
        <w:rPr>
          <w:rFonts w:hint="eastAsia" w:ascii="宋体" w:hAnsi="宋体" w:eastAsia="宋体" w:cs="宋体"/>
          <w:color w:val="auto"/>
          <w:sz w:val="24"/>
          <w:szCs w:val="24"/>
          <w:highlight w:val="none"/>
          <w:shd w:val="clear" w:color="auto" w:fill="FFFFFF"/>
          <w:lang w:val="en-US" w:eastAsia="zh-CN"/>
        </w:rPr>
        <w:t>成员</w:t>
      </w:r>
      <w:r>
        <w:rPr>
          <w:rFonts w:hint="eastAsia" w:ascii="宋体" w:hAnsi="宋体" w:eastAsia="宋体" w:cs="宋体"/>
          <w:color w:val="auto"/>
          <w:sz w:val="24"/>
          <w:szCs w:val="24"/>
          <w:highlight w:val="none"/>
        </w:rPr>
        <w:t>，负责本项目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工作，占本次投标总金额比重为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pStyle w:val="33"/>
        <w:keepNext w:val="0"/>
        <w:keepLines w:val="0"/>
        <w:pageBreakBefore w:val="0"/>
        <w:shd w:val="clear" w:color="000000" w:fill="FFFFFF"/>
        <w:kinsoku/>
        <w:wordWrap/>
        <w:overflowPunct/>
        <w:topLinePunct w:val="0"/>
        <w:autoSpaceDE/>
        <w:autoSpaceDN/>
        <w:bidi w:val="0"/>
        <w:adjustRightInd/>
        <w:snapToGrid/>
        <w:spacing w:beforeAutospacing="0" w:afterAutospacing="0" w:line="312" w:lineRule="auto"/>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3.</w:t>
      </w:r>
      <w:r>
        <w:rPr>
          <w:rFonts w:hint="eastAsia" w:ascii="宋体" w:hAnsi="宋体" w:eastAsia="宋体" w:cs="宋体"/>
          <w:color w:val="auto"/>
          <w:sz w:val="24"/>
          <w:szCs w:val="24"/>
          <w:highlight w:val="none"/>
        </w:rPr>
        <w:t>本协议书自签署之日起生效，合同履行完毕后自动失效</w:t>
      </w:r>
      <w:r>
        <w:rPr>
          <w:rFonts w:hint="eastAsia" w:ascii="宋体" w:hAnsi="宋体" w:eastAsia="宋体" w:cs="宋体"/>
          <w:color w:val="auto"/>
          <w:sz w:val="24"/>
          <w:szCs w:val="24"/>
          <w:highlight w:val="none"/>
          <w:shd w:val="clear" w:color="auto" w:fill="FFFFFF"/>
        </w:rPr>
        <w:t>。</w:t>
      </w:r>
    </w:p>
    <w:p>
      <w:pPr>
        <w:pStyle w:val="33"/>
        <w:shd w:val="clear" w:color="000000" w:fill="FFFFFF"/>
        <w:spacing w:beforeAutospacing="0" w:afterAutospacing="0" w:line="240" w:lineRule="auto"/>
        <w:rPr>
          <w:rFonts w:hint="eastAsia" w:ascii="宋体" w:hAnsi="宋体" w:eastAsia="宋体" w:cs="宋体"/>
          <w:color w:val="auto"/>
          <w:sz w:val="24"/>
          <w:szCs w:val="24"/>
          <w:highlight w:val="none"/>
          <w:shd w:val="clear" w:color="auto" w:fill="FFFFFF"/>
        </w:rPr>
      </w:pPr>
    </w:p>
    <w:p>
      <w:pPr>
        <w:pStyle w:val="33"/>
        <w:shd w:val="clear" w:color="000000" w:fill="FFFFFF"/>
        <w:spacing w:beforeAutospacing="0" w:afterAutospacing="0" w:line="240" w:lineRule="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联合体主办人名称：（盖章）                         联合体</w:t>
      </w:r>
      <w:r>
        <w:rPr>
          <w:rFonts w:hint="eastAsia" w:ascii="宋体" w:hAnsi="宋体" w:eastAsia="宋体" w:cs="宋体"/>
          <w:color w:val="auto"/>
          <w:sz w:val="24"/>
          <w:szCs w:val="24"/>
          <w:highlight w:val="none"/>
          <w:shd w:val="clear" w:color="auto" w:fill="FFFFFF"/>
          <w:lang w:val="en-US" w:eastAsia="zh-CN"/>
        </w:rPr>
        <w:t>成员</w:t>
      </w:r>
      <w:r>
        <w:rPr>
          <w:rFonts w:hint="eastAsia" w:ascii="宋体" w:hAnsi="宋体" w:eastAsia="宋体" w:cs="宋体"/>
          <w:color w:val="auto"/>
          <w:sz w:val="24"/>
          <w:szCs w:val="24"/>
          <w:highlight w:val="none"/>
          <w:shd w:val="clear" w:color="auto" w:fill="FFFFFF"/>
        </w:rPr>
        <w:t xml:space="preserve">名称：（盖章）                          </w:t>
      </w:r>
    </w:p>
    <w:p>
      <w:pPr>
        <w:spacing w:line="240" w:lineRule="auto"/>
        <w:jc w:val="center"/>
        <w:rPr>
          <w:rFonts w:ascii="宋体" w:hAnsi="宋体" w:cs="宋体"/>
          <w:b/>
          <w:bCs/>
          <w:color w:val="auto"/>
          <w:sz w:val="32"/>
          <w:szCs w:val="32"/>
          <w:highlight w:val="none"/>
        </w:rPr>
      </w:pPr>
      <w:r>
        <w:rPr>
          <w:rFonts w:hint="eastAsia" w:ascii="宋体" w:hAnsi="宋体" w:eastAsia="宋体" w:cs="宋体"/>
          <w:color w:val="auto"/>
          <w:sz w:val="24"/>
          <w:szCs w:val="24"/>
          <w:highlight w:val="none"/>
          <w:shd w:val="clear" w:color="auto" w:fill="FFFFFF"/>
        </w:rPr>
        <w:t xml:space="preserve">法定代表人（签字或盖章）：                         </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法定代表人（签字或盖章）：</w:t>
      </w:r>
      <w:r>
        <w:rPr>
          <w:rFonts w:hint="eastAsia" w:ascii="宋体" w:hAnsi="宋体" w:eastAsia="宋体" w:cs="宋体"/>
          <w:color w:val="auto"/>
          <w:sz w:val="24"/>
          <w:szCs w:val="24"/>
          <w:highlight w:val="none"/>
          <w:lang w:val="zh-CN"/>
        </w:rPr>
        <w:br w:type="page"/>
      </w:r>
      <w:r>
        <w:rPr>
          <w:rFonts w:hint="eastAsia" w:ascii="宋体" w:hAnsi="宋体" w:eastAsia="宋体" w:cs="宋体"/>
          <w:b/>
          <w:color w:val="auto"/>
          <w:sz w:val="30"/>
          <w:szCs w:val="30"/>
          <w:highlight w:val="none"/>
          <w:lang w:val="zh-CN" w:eastAsia="zh-CN"/>
        </w:rPr>
        <w:t>附件</w:t>
      </w:r>
      <w:r>
        <w:rPr>
          <w:rFonts w:hint="eastAsia" w:ascii="宋体" w:hAnsi="宋体" w:eastAsia="宋体" w:cs="宋体"/>
          <w:b/>
          <w:color w:val="auto"/>
          <w:sz w:val="30"/>
          <w:szCs w:val="30"/>
          <w:highlight w:val="none"/>
          <w:lang w:val="en-US" w:eastAsia="zh-CN"/>
        </w:rPr>
        <w:t>四</w:t>
      </w:r>
      <w:r>
        <w:rPr>
          <w:rFonts w:hint="eastAsia" w:ascii="宋体" w:hAnsi="宋体" w:eastAsia="宋体" w:cs="宋体"/>
          <w:b/>
          <w:color w:val="auto"/>
          <w:sz w:val="30"/>
          <w:szCs w:val="30"/>
          <w:highlight w:val="none"/>
          <w:lang w:val="zh-CN" w:eastAsia="zh-CN"/>
        </w:rPr>
        <w:t>：</w:t>
      </w:r>
      <w:r>
        <w:rPr>
          <w:rFonts w:hint="eastAsia" w:ascii="宋体" w:hAnsi="宋体" w:eastAsia="宋体" w:cs="宋体"/>
          <w:b/>
          <w:color w:val="auto"/>
          <w:sz w:val="30"/>
          <w:szCs w:val="30"/>
          <w:highlight w:val="none"/>
          <w:lang w:val="en-US" w:eastAsia="zh-CN"/>
        </w:rPr>
        <w:t>分包协议书</w:t>
      </w:r>
    </w:p>
    <w:p>
      <w:pPr>
        <w:widowControl/>
        <w:snapToGrid w:val="0"/>
        <w:spacing w:line="324" w:lineRule="auto"/>
        <w:ind w:firstLine="480" w:firstLineChars="20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【无分包协议的无需填写、递交】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绍兴市公安局上虞区分局</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浙江宇康工程管理咨询有限公司</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若我公司</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（供应商名称）在</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（招标编号：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中标，自愿将本项目部分内容分包给</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（分包方）实施。具体分包事宜签订如下协议：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供应商名称）作为项目总包方，负责本采购项目响应文件编制和合同谈判活动，并代表总包方及分包方提交和接收相关的资料、信息及指示，并处理与之有关的一切事务，负责合同实施阶段的主办、组织和协调工作；</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、总包方及分包方严格按照采购文件的各项要求，递交响应文件，履行合同，并对外承担连带责任；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3、总包方及分包方承接业务划分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作为总包方，负责本项目</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工作，占本次投标总金额比重为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ascii="宋体" w:hAnsi="宋体" w:cs="宋体"/>
          <w:color w:val="auto"/>
          <w:sz w:val="24"/>
          <w:highlight w:val="none"/>
        </w:rPr>
        <w:t>%</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作为分包方，负责本项目</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工作，占本次投标总金额比重为</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ascii="宋体" w:hAnsi="宋体" w:cs="宋体"/>
          <w:color w:val="auto"/>
          <w:sz w:val="24"/>
          <w:highlight w:val="none"/>
        </w:rPr>
        <w:t>%</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4、本协议书自签署之日起生效，合同履行完毕后自动失效。</w:t>
      </w:r>
    </w:p>
    <w:p>
      <w:pPr>
        <w:pStyle w:val="193"/>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总包方名称：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s="Arial"/>
          <w:color w:val="auto"/>
          <w:sz w:val="24"/>
          <w:szCs w:val="24"/>
          <w:highlight w:val="none"/>
        </w:rPr>
        <w:t>盖单位公章</w:t>
      </w:r>
      <w:r>
        <w:rPr>
          <w:rFonts w:hint="eastAsia" w:ascii="宋体" w:hAnsi="宋体"/>
          <w:color w:val="auto"/>
          <w:sz w:val="24"/>
          <w:szCs w:val="24"/>
          <w:highlight w:val="none"/>
        </w:rPr>
        <w:t>）</w:t>
      </w:r>
    </w:p>
    <w:p>
      <w:pPr>
        <w:pStyle w:val="193"/>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法定代表人：</w:t>
      </w:r>
      <w:r>
        <w:rPr>
          <w:rFonts w:hint="eastAsia" w:ascii="宋体" w:hAnsi="宋体"/>
          <w:color w:val="auto"/>
          <w:sz w:val="24"/>
          <w:szCs w:val="24"/>
          <w:highlight w:val="none"/>
          <w:u w:val="single"/>
        </w:rPr>
        <w:t xml:space="preserve">         </w:t>
      </w:r>
      <w:r>
        <w:rPr>
          <w:rFonts w:ascii="宋体" w:hAnsi="宋体"/>
          <w:color w:val="auto"/>
          <w:sz w:val="24"/>
          <w:szCs w:val="24"/>
          <w:highlight w:val="none"/>
        </w:rPr>
        <w:t>（</w:t>
      </w:r>
      <w:r>
        <w:rPr>
          <w:rFonts w:ascii="宋体" w:hAnsi="宋体" w:cs="Arial"/>
          <w:color w:val="auto"/>
          <w:sz w:val="24"/>
          <w:szCs w:val="24"/>
          <w:highlight w:val="none"/>
        </w:rPr>
        <w:t>签字或盖章</w:t>
      </w:r>
      <w:r>
        <w:rPr>
          <w:rFonts w:ascii="宋体" w:hAnsi="宋体"/>
          <w:color w:val="auto"/>
          <w:sz w:val="24"/>
          <w:szCs w:val="24"/>
          <w:highlight w:val="none"/>
        </w:rPr>
        <w:t>）</w:t>
      </w:r>
    </w:p>
    <w:p>
      <w:pPr>
        <w:pStyle w:val="193"/>
        <w:spacing w:line="360" w:lineRule="auto"/>
        <w:ind w:firstLine="480" w:firstLineChars="200"/>
        <w:rPr>
          <w:rFonts w:ascii="宋体" w:hAnsi="宋体"/>
          <w:color w:val="auto"/>
          <w:sz w:val="24"/>
          <w:szCs w:val="24"/>
          <w:highlight w:val="none"/>
        </w:rPr>
      </w:pPr>
    </w:p>
    <w:p>
      <w:pPr>
        <w:pStyle w:val="193"/>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分包方名称：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s="Arial"/>
          <w:color w:val="auto"/>
          <w:sz w:val="24"/>
          <w:szCs w:val="24"/>
          <w:highlight w:val="none"/>
        </w:rPr>
        <w:t>盖单位公章</w:t>
      </w:r>
      <w:r>
        <w:rPr>
          <w:rFonts w:hint="eastAsia" w:ascii="宋体" w:hAnsi="宋体"/>
          <w:color w:val="auto"/>
          <w:sz w:val="24"/>
          <w:szCs w:val="24"/>
          <w:highlight w:val="none"/>
        </w:rPr>
        <w:t>）</w:t>
      </w:r>
    </w:p>
    <w:p>
      <w:pPr>
        <w:pStyle w:val="193"/>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法定代表人：</w:t>
      </w:r>
      <w:r>
        <w:rPr>
          <w:rFonts w:hint="eastAsia" w:ascii="宋体" w:hAnsi="宋体"/>
          <w:color w:val="auto"/>
          <w:sz w:val="24"/>
          <w:szCs w:val="24"/>
          <w:highlight w:val="none"/>
          <w:u w:val="single"/>
        </w:rPr>
        <w:t xml:space="preserve">         </w:t>
      </w:r>
      <w:r>
        <w:rPr>
          <w:rFonts w:ascii="宋体" w:hAnsi="宋体"/>
          <w:color w:val="auto"/>
          <w:sz w:val="24"/>
          <w:szCs w:val="24"/>
          <w:highlight w:val="none"/>
        </w:rPr>
        <w:t>（</w:t>
      </w:r>
      <w:r>
        <w:rPr>
          <w:rFonts w:ascii="宋体" w:hAnsi="宋体" w:cs="Arial"/>
          <w:color w:val="auto"/>
          <w:sz w:val="24"/>
          <w:szCs w:val="24"/>
          <w:highlight w:val="none"/>
        </w:rPr>
        <w:t>签字或盖章</w:t>
      </w:r>
      <w:r>
        <w:rPr>
          <w:rFonts w:ascii="宋体" w:hAnsi="宋体"/>
          <w:color w:val="auto"/>
          <w:sz w:val="24"/>
          <w:szCs w:val="24"/>
          <w:highlight w:val="none"/>
        </w:rPr>
        <w:t>）</w:t>
      </w:r>
    </w:p>
    <w:p>
      <w:pPr>
        <w:pStyle w:val="2"/>
        <w:jc w:val="center"/>
        <w:rPr>
          <w:rFonts w:hint="eastAsia" w:hAnsi="宋体" w:cs="宋体"/>
          <w:color w:val="auto"/>
          <w:sz w:val="30"/>
          <w:szCs w:val="30"/>
          <w:highlight w:val="none"/>
          <w:lang w:val="zh-CN"/>
        </w:rPr>
      </w:pPr>
      <w:r>
        <w:rPr>
          <w:rFonts w:hint="eastAsia" w:hAnsi="宋体" w:cs="宋体"/>
          <w:color w:val="auto"/>
          <w:sz w:val="30"/>
          <w:szCs w:val="30"/>
          <w:highlight w:val="none"/>
          <w:lang w:val="zh-CN"/>
        </w:rPr>
        <w:br w:type="page"/>
      </w:r>
      <w:bookmarkStart w:id="608" w:name="_Toc32432"/>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五</w:t>
      </w:r>
      <w:r>
        <w:rPr>
          <w:rFonts w:hint="eastAsia" w:hAnsi="宋体" w:cs="宋体"/>
          <w:color w:val="auto"/>
          <w:sz w:val="30"/>
          <w:szCs w:val="30"/>
          <w:highlight w:val="none"/>
          <w:lang w:val="zh-CN"/>
        </w:rPr>
        <w:t>：中小企业声明函</w:t>
      </w:r>
      <w:bookmarkEnd w:id="606"/>
      <w:bookmarkEnd w:id="608"/>
    </w:p>
    <w:p>
      <w:pPr>
        <w:pStyle w:val="3"/>
        <w:rPr>
          <w:rFonts w:hint="eastAsia" w:ascii="宋体" w:hAnsi="宋体" w:cs="宋体"/>
          <w:color w:val="auto"/>
          <w:highlight w:val="none"/>
          <w:lang w:val="zh-CN"/>
        </w:rPr>
      </w:pPr>
    </w:p>
    <w:p>
      <w:pPr>
        <w:widowControl/>
        <w:snapToGrid w:val="0"/>
        <w:spacing w:line="324" w:lineRule="auto"/>
        <w:ind w:firstLine="480" w:firstLineChars="20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【不属于中小企业的无需填写、递交】</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 （财库﹝2020﹞46 号）的规定，本公司（联合体）参加</w:t>
      </w:r>
      <w:r>
        <w:rPr>
          <w:rFonts w:hint="eastAsia" w:ascii="宋体" w:hAnsi="宋体" w:cs="宋体"/>
          <w:color w:val="auto"/>
          <w:sz w:val="24"/>
          <w:highlight w:val="none"/>
          <w:u w:val="single"/>
        </w:rPr>
        <w:t>绍兴市公安局上虞区分局</w:t>
      </w:r>
      <w:r>
        <w:rPr>
          <w:rFonts w:hint="eastAsia" w:ascii="宋体" w:hAnsi="宋体" w:cs="宋体"/>
          <w:color w:val="auto"/>
          <w:sz w:val="24"/>
          <w:highlight w:val="none"/>
        </w:rPr>
        <w:t>的</w:t>
      </w:r>
      <w:r>
        <w:rPr>
          <w:rFonts w:hint="eastAsia" w:ascii="宋体" w:hAnsi="宋体" w:cs="宋体"/>
          <w:color w:val="auto"/>
          <w:sz w:val="24"/>
          <w:highlight w:val="none"/>
          <w:u w:val="single"/>
        </w:rPr>
        <w:t>2022年上虞区公安局交通警察大队电子警察改造项目</w:t>
      </w:r>
      <w:r>
        <w:rPr>
          <w:rFonts w:hint="eastAsia" w:ascii="宋体" w:hAnsi="宋体" w:cs="宋体"/>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 ，属于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 ，属于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ind w:right="420" w:firstLine="5880" w:firstLineChars="2450"/>
        <w:jc w:val="left"/>
        <w:rPr>
          <w:rFonts w:hint="eastAsia" w:ascii="宋体" w:hAnsi="宋体" w:cs="宋体"/>
          <w:color w:val="auto"/>
          <w:sz w:val="24"/>
          <w:highlight w:val="none"/>
        </w:rPr>
      </w:pPr>
    </w:p>
    <w:p>
      <w:pPr>
        <w:ind w:right="420" w:firstLine="4560" w:firstLineChars="1900"/>
        <w:rPr>
          <w:rFonts w:hint="eastAsia" w:ascii="宋体" w:hAnsi="宋体" w:cs="宋体"/>
          <w:color w:val="auto"/>
          <w:sz w:val="24"/>
          <w:highlight w:val="none"/>
        </w:rPr>
      </w:pPr>
    </w:p>
    <w:p>
      <w:pPr>
        <w:ind w:right="420" w:firstLine="4560" w:firstLineChars="1900"/>
        <w:rPr>
          <w:rFonts w:hint="eastAsia" w:ascii="宋体" w:hAnsi="宋体" w:cs="宋体"/>
          <w:color w:val="auto"/>
          <w:sz w:val="24"/>
          <w:highlight w:val="none"/>
        </w:rPr>
      </w:pPr>
      <w:r>
        <w:rPr>
          <w:rFonts w:hint="eastAsia" w:ascii="宋体" w:hAnsi="宋体" w:cs="宋体"/>
          <w:color w:val="auto"/>
          <w:sz w:val="24"/>
          <w:highlight w:val="none"/>
        </w:rPr>
        <w:t xml:space="preserve">企业名称（盖章）： </w:t>
      </w:r>
    </w:p>
    <w:p>
      <w:pPr>
        <w:ind w:right="420" w:firstLine="4560" w:firstLineChars="1900"/>
        <w:rPr>
          <w:rFonts w:hint="eastAsia" w:ascii="宋体" w:hAnsi="宋体" w:cs="宋体"/>
          <w:color w:val="auto"/>
          <w:sz w:val="24"/>
          <w:highlight w:val="none"/>
        </w:rPr>
      </w:pPr>
      <w:r>
        <w:rPr>
          <w:rFonts w:hint="eastAsia" w:ascii="宋体" w:hAnsi="宋体" w:cs="宋体"/>
          <w:color w:val="auto"/>
          <w:sz w:val="24"/>
          <w:highlight w:val="none"/>
        </w:rPr>
        <w:t>日期：   年     月     日</w:t>
      </w:r>
    </w:p>
    <w:p>
      <w:pPr>
        <w:snapToGrid w:val="0"/>
        <w:spacing w:line="360" w:lineRule="auto"/>
        <w:ind w:right="480"/>
        <w:rPr>
          <w:rFonts w:hint="eastAsia" w:ascii="宋体" w:hAnsi="宋体" w:cs="宋体"/>
          <w:color w:val="auto"/>
          <w:kern w:val="0"/>
          <w:sz w:val="24"/>
          <w:highlight w:val="none"/>
          <w:lang w:val="zh-CN"/>
        </w:rPr>
      </w:pPr>
    </w:p>
    <w:p>
      <w:pPr>
        <w:snapToGrid w:val="0"/>
        <w:spacing w:line="360" w:lineRule="auto"/>
        <w:ind w:right="480"/>
        <w:rPr>
          <w:rFonts w:hint="eastAsia" w:ascii="宋体" w:hAnsi="宋体" w:cs="宋体"/>
          <w:color w:val="auto"/>
          <w:kern w:val="0"/>
          <w:sz w:val="24"/>
          <w:highlight w:val="none"/>
          <w:lang w:val="zh-CN"/>
        </w:rPr>
      </w:pPr>
    </w:p>
    <w:p>
      <w:pPr>
        <w:pStyle w:val="3"/>
        <w:ind w:firstLine="0"/>
        <w:rPr>
          <w:rFonts w:hint="eastAsia" w:ascii="宋体" w:hAnsi="宋体" w:cs="宋体"/>
          <w:color w:val="auto"/>
          <w:sz w:val="24"/>
          <w:highlight w:val="none"/>
        </w:rPr>
      </w:pPr>
    </w:p>
    <w:p>
      <w:pPr>
        <w:pStyle w:val="3"/>
        <w:rPr>
          <w:rFonts w:hint="eastAsia" w:ascii="宋体" w:hAnsi="宋体" w:cs="宋体"/>
          <w:color w:val="auto"/>
          <w:sz w:val="24"/>
          <w:highlight w:val="none"/>
        </w:rPr>
      </w:pPr>
    </w:p>
    <w:p>
      <w:pPr>
        <w:pStyle w:val="3"/>
        <w:rPr>
          <w:rFonts w:hint="eastAsia" w:ascii="宋体" w:hAnsi="宋体" w:cs="宋体"/>
          <w:color w:val="auto"/>
          <w:sz w:val="24"/>
          <w:highlight w:val="none"/>
        </w:rPr>
      </w:pPr>
    </w:p>
    <w:p>
      <w:pPr>
        <w:pStyle w:val="3"/>
        <w:rPr>
          <w:rFonts w:hint="eastAsia" w:ascii="宋体" w:hAnsi="宋体" w:cs="宋体"/>
          <w:color w:val="auto"/>
          <w:sz w:val="24"/>
          <w:highlight w:val="none"/>
        </w:rPr>
      </w:pPr>
    </w:p>
    <w:p>
      <w:pPr>
        <w:pStyle w:val="3"/>
        <w:rPr>
          <w:rFonts w:hint="eastAsia" w:ascii="宋体" w:hAnsi="宋体" w:cs="宋体"/>
          <w:color w:val="auto"/>
          <w:sz w:val="24"/>
          <w:highlight w:val="none"/>
        </w:rPr>
      </w:pPr>
    </w:p>
    <w:p>
      <w:pPr>
        <w:spacing w:line="34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注：从业人员、营业收入、资产总额填报上一年度数据，无上一年度数据的新成立企业可不填报。</w:t>
      </w:r>
    </w:p>
    <w:p>
      <w:pPr>
        <w:ind w:firstLine="480" w:firstLineChars="200"/>
        <w:rPr>
          <w:rFonts w:hint="eastAsia" w:ascii="宋体" w:hAnsi="宋体" w:cs="宋体"/>
          <w:color w:val="auto"/>
          <w:sz w:val="24"/>
          <w:highlight w:val="none"/>
        </w:rPr>
      </w:pPr>
    </w:p>
    <w:p>
      <w:pPr>
        <w:pStyle w:val="2"/>
        <w:jc w:val="center"/>
        <w:rPr>
          <w:rFonts w:hint="eastAsia" w:hAnsi="宋体" w:cs="宋体"/>
          <w:color w:val="auto"/>
          <w:sz w:val="30"/>
          <w:szCs w:val="30"/>
          <w:highlight w:val="none"/>
          <w:lang w:val="zh-CN"/>
        </w:rPr>
      </w:pPr>
      <w:bookmarkStart w:id="609" w:name="_Toc18720"/>
      <w:bookmarkStart w:id="610" w:name="_Toc22398"/>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六</w:t>
      </w:r>
      <w:r>
        <w:rPr>
          <w:rFonts w:hint="eastAsia" w:hAnsi="宋体" w:cs="宋体"/>
          <w:color w:val="auto"/>
          <w:sz w:val="30"/>
          <w:szCs w:val="30"/>
          <w:highlight w:val="none"/>
          <w:lang w:val="zh-CN"/>
        </w:rPr>
        <w:t>：残疾人福利性单位声明函</w:t>
      </w:r>
      <w:bookmarkEnd w:id="609"/>
      <w:bookmarkEnd w:id="610"/>
    </w:p>
    <w:p>
      <w:pPr>
        <w:pStyle w:val="3"/>
        <w:rPr>
          <w:rFonts w:hint="eastAsia" w:ascii="宋体" w:hAnsi="宋体" w:cs="宋体"/>
          <w:color w:val="auto"/>
          <w:highlight w:val="none"/>
          <w:lang w:val="zh-CN"/>
        </w:rPr>
      </w:pPr>
    </w:p>
    <w:p>
      <w:pPr>
        <w:widowControl/>
        <w:snapToGrid w:val="0"/>
        <w:spacing w:line="324" w:lineRule="auto"/>
        <w:ind w:firstLine="480" w:firstLineChars="20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【不属于残疾人福利性单位的无需填写、递交】</w:t>
      </w:r>
    </w:p>
    <w:p>
      <w:pPr>
        <w:spacing w:line="588" w:lineRule="exact"/>
        <w:rPr>
          <w:rFonts w:hint="eastAsia" w:ascii="宋体" w:hAnsi="宋体" w:cs="宋体"/>
          <w:b/>
          <w:color w:val="auto"/>
          <w:spacing w:val="6"/>
          <w:sz w:val="30"/>
          <w:szCs w:val="30"/>
          <w:highlight w:val="none"/>
        </w:rPr>
      </w:pPr>
    </w:p>
    <w:p>
      <w:pPr>
        <w:spacing w:line="588"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服务，或者提供其他残疾人福利性单位提供的服务。本单位对上述声明的真实性负责。如有虚假，将依法承担相应责任。</w:t>
      </w:r>
    </w:p>
    <w:p>
      <w:pPr>
        <w:pStyle w:val="175"/>
        <w:rPr>
          <w:rFonts w:hint="eastAsia" w:cs="宋体"/>
          <w:color w:val="auto"/>
          <w:highlight w:val="none"/>
        </w:rPr>
      </w:pPr>
    </w:p>
    <w:p>
      <w:pPr>
        <w:pStyle w:val="3"/>
        <w:rPr>
          <w:rFonts w:hint="eastAsia" w:ascii="宋体" w:hAnsi="宋体" w:cs="宋体"/>
          <w:color w:val="auto"/>
          <w:highlight w:val="none"/>
        </w:rPr>
      </w:pPr>
    </w:p>
    <w:p>
      <w:pPr>
        <w:spacing w:line="588" w:lineRule="exact"/>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pStyle w:val="2"/>
        <w:jc w:val="center"/>
        <w:rPr>
          <w:rFonts w:hint="eastAsia" w:hAnsi="宋体" w:cs="宋体"/>
          <w:color w:val="auto"/>
          <w:sz w:val="30"/>
          <w:szCs w:val="30"/>
          <w:highlight w:val="none"/>
          <w:lang w:val="zh-CN"/>
        </w:rPr>
      </w:pPr>
      <w:r>
        <w:rPr>
          <w:rFonts w:hint="eastAsia" w:hAnsi="宋体" w:cs="宋体"/>
          <w:color w:val="auto"/>
          <w:sz w:val="24"/>
          <w:highlight w:val="none"/>
        </w:rPr>
        <w:br w:type="page"/>
      </w:r>
      <w:bookmarkStart w:id="611" w:name="_Toc15854"/>
      <w:bookmarkStart w:id="612" w:name="_Toc32581"/>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七</w:t>
      </w:r>
      <w:r>
        <w:rPr>
          <w:rFonts w:hint="eastAsia" w:hAnsi="宋体" w:cs="宋体"/>
          <w:color w:val="auto"/>
          <w:sz w:val="30"/>
          <w:szCs w:val="30"/>
          <w:highlight w:val="none"/>
          <w:lang w:val="zh-CN"/>
        </w:rPr>
        <w:t>：监狱企业证明文件</w:t>
      </w:r>
      <w:bookmarkEnd w:id="611"/>
      <w:bookmarkEnd w:id="612"/>
    </w:p>
    <w:p>
      <w:pPr>
        <w:pStyle w:val="3"/>
        <w:rPr>
          <w:rFonts w:hint="eastAsia" w:ascii="宋体" w:hAnsi="宋体" w:cs="宋体"/>
          <w:color w:val="auto"/>
          <w:highlight w:val="none"/>
          <w:lang w:val="zh-CN"/>
        </w:rPr>
      </w:pPr>
    </w:p>
    <w:p>
      <w:pPr>
        <w:widowControl/>
        <w:snapToGrid w:val="0"/>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【不属于监狱企业的无需填写、递交】</w:t>
      </w:r>
    </w:p>
    <w:p>
      <w:pPr>
        <w:widowControl/>
        <w:snapToGrid w:val="0"/>
        <w:spacing w:line="324" w:lineRule="auto"/>
        <w:jc w:val="center"/>
        <w:rPr>
          <w:rFonts w:hint="eastAsia" w:ascii="宋体" w:hAnsi="宋体" w:cs="宋体"/>
          <w:color w:val="auto"/>
          <w:kern w:val="0"/>
          <w:sz w:val="24"/>
          <w:highlight w:val="none"/>
        </w:rPr>
      </w:pPr>
    </w:p>
    <w:p>
      <w:pPr>
        <w:spacing w:line="588" w:lineRule="exact"/>
        <w:ind w:firstLine="480" w:firstLineChars="200"/>
        <w:rPr>
          <w:rFonts w:hint="eastAsia" w:ascii="宋体" w:hAnsi="宋体" w:cs="宋体"/>
          <w:color w:val="auto"/>
          <w:sz w:val="24"/>
          <w:highlight w:val="none"/>
        </w:rPr>
      </w:pPr>
    </w:p>
    <w:p>
      <w:pPr>
        <w:adjustRightInd w:val="0"/>
        <w:snapToGrid w:val="0"/>
        <w:spacing w:before="161" w:beforeLines="5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监狱企业需提供省级以上的监狱管理局、戒毒管理局（含新疆生产建设兵团）出具的属于监狱企业的证明文件。  </w:t>
      </w:r>
    </w:p>
    <w:p>
      <w:pPr>
        <w:pStyle w:val="2"/>
        <w:rPr>
          <w:rFonts w:hint="eastAsia" w:hAnsi="宋体" w:cs="宋体"/>
          <w:color w:val="auto"/>
          <w:highlight w:val="none"/>
        </w:rPr>
      </w:pPr>
    </w:p>
    <w:p>
      <w:pPr>
        <w:pStyle w:val="3"/>
        <w:rPr>
          <w:rFonts w:hint="eastAsia" w:ascii="宋体" w:hAnsi="宋体" w:cs="宋体"/>
          <w:color w:val="auto"/>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jc w:val="center"/>
        <w:rPr>
          <w:rFonts w:hint="eastAsia" w:ascii="宋体" w:hAnsi="宋体" w:cs="宋体"/>
          <w:b/>
          <w:color w:val="auto"/>
          <w:kern w:val="0"/>
          <w:sz w:val="36"/>
          <w:szCs w:val="36"/>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投标人全称（公章）：</w:t>
      </w:r>
      <w:r>
        <w:rPr>
          <w:rFonts w:hint="eastAsia" w:ascii="宋体" w:hAnsi="宋体" w:cs="宋体"/>
          <w:b/>
          <w:color w:val="auto"/>
          <w:kern w:val="0"/>
          <w:sz w:val="36"/>
          <w:szCs w:val="36"/>
          <w:highlight w:val="none"/>
        </w:rPr>
        <w:br w:type="page"/>
      </w:r>
      <w:r>
        <w:rPr>
          <w:rFonts w:hint="eastAsia" w:ascii="宋体" w:hAnsi="宋体" w:cs="宋体"/>
          <w:b/>
          <w:color w:val="auto"/>
          <w:kern w:val="0"/>
          <w:sz w:val="36"/>
          <w:szCs w:val="36"/>
          <w:highlight w:val="none"/>
        </w:rPr>
        <w:t>商务技术文件</w:t>
      </w:r>
    </w:p>
    <w:p>
      <w:pPr>
        <w:spacing w:line="360" w:lineRule="auto"/>
        <w:jc w:val="center"/>
        <w:rPr>
          <w:rFonts w:hint="eastAsia" w:ascii="宋体" w:hAnsi="宋体" w:cs="宋体"/>
          <w:b/>
          <w:color w:val="auto"/>
          <w:kern w:val="0"/>
          <w:sz w:val="36"/>
          <w:szCs w:val="36"/>
          <w:highlight w:val="none"/>
        </w:rPr>
      </w:pPr>
    </w:p>
    <w:p>
      <w:pPr>
        <w:spacing w:line="360" w:lineRule="auto"/>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pStyle w:val="13"/>
        <w:ind w:firstLine="486"/>
        <w:rPr>
          <w:rFonts w:hint="eastAsia" w:ascii="宋体" w:hAnsi="宋体" w:cs="宋体"/>
          <w:color w:val="auto"/>
          <w:highlight w:val="none"/>
        </w:rPr>
      </w:pP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评分对应表（格式见附件，主要用于评委对应评分内容）</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投标人商务技术文件中资信分自评表（格式见附件）；</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投标项目明细清单（含货物、服务等）（格式见附件）；</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技术响应及建议表（格式见附件）；</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技术参数证明材料；</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技术方案深化设计；</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网络拓扑；</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光缆链路；</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施工组织方案；</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工程进度安排；</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人员配置；</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售后服务方案；</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投标人业绩；</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认证证书；</w:t>
      </w:r>
    </w:p>
    <w:p>
      <w:pPr>
        <w:pStyle w:val="113"/>
        <w:numPr>
          <w:ilvl w:val="0"/>
          <w:numId w:val="61"/>
        </w:numPr>
        <w:spacing w:before="0"/>
        <w:ind w:firstLineChars="0"/>
        <w:rPr>
          <w:rFonts w:hint="eastAsia" w:ascii="宋体" w:hAnsi="宋体" w:cs="宋体"/>
          <w:color w:val="auto"/>
          <w:szCs w:val="24"/>
          <w:highlight w:val="none"/>
        </w:rPr>
      </w:pPr>
      <w:r>
        <w:rPr>
          <w:rFonts w:hint="eastAsia" w:ascii="宋体" w:hAnsi="宋体" w:cs="宋体"/>
          <w:color w:val="auto"/>
          <w:szCs w:val="24"/>
          <w:highlight w:val="none"/>
        </w:rPr>
        <w:t>投标人认为需要的其他文件资料。</w:t>
      </w:r>
    </w:p>
    <w:p>
      <w:pPr>
        <w:pStyle w:val="13"/>
        <w:rPr>
          <w:rFonts w:hint="eastAsia" w:ascii="宋体" w:hAnsi="宋体" w:cs="宋体"/>
          <w:color w:val="auto"/>
          <w:sz w:val="28"/>
          <w:szCs w:val="28"/>
          <w:highlight w:val="none"/>
        </w:rPr>
      </w:pPr>
    </w:p>
    <w:p>
      <w:pPr>
        <w:pStyle w:val="13"/>
        <w:ind w:firstLine="566"/>
        <w:rPr>
          <w:rFonts w:hint="eastAsia" w:ascii="宋体" w:hAnsi="宋体" w:cs="宋体"/>
          <w:color w:val="auto"/>
          <w:sz w:val="28"/>
          <w:szCs w:val="28"/>
          <w:highlight w:val="none"/>
        </w:rPr>
      </w:pPr>
    </w:p>
    <w:p>
      <w:pPr>
        <w:pStyle w:val="13"/>
        <w:ind w:firstLine="566"/>
        <w:rPr>
          <w:rFonts w:hint="eastAsia" w:ascii="宋体" w:hAnsi="宋体" w:cs="宋体"/>
          <w:color w:val="auto"/>
          <w:sz w:val="28"/>
          <w:szCs w:val="28"/>
          <w:highlight w:val="none"/>
        </w:rPr>
      </w:pPr>
    </w:p>
    <w:p>
      <w:pPr>
        <w:snapToGrid w:val="0"/>
        <w:spacing w:before="50" w:after="161" w:afterLines="50"/>
        <w:jc w:val="center"/>
        <w:outlineLvl w:val="0"/>
        <w:rPr>
          <w:rFonts w:hint="eastAsia" w:ascii="宋体" w:hAnsi="宋体" w:cs="宋体"/>
          <w:b/>
          <w:color w:val="auto"/>
          <w:sz w:val="30"/>
          <w:szCs w:val="30"/>
          <w:highlight w:val="none"/>
          <w:lang w:val="zh-CN"/>
        </w:rPr>
      </w:pPr>
      <w:bookmarkStart w:id="613" w:name="_Toc7320"/>
      <w:bookmarkStart w:id="614" w:name="_Toc22028"/>
      <w:r>
        <w:rPr>
          <w:rFonts w:hint="eastAsia" w:ascii="宋体" w:hAnsi="宋体" w:cs="宋体"/>
          <w:b/>
          <w:color w:val="auto"/>
          <w:sz w:val="30"/>
          <w:szCs w:val="30"/>
          <w:highlight w:val="none"/>
          <w:lang w:val="zh-CN"/>
        </w:rPr>
        <w:t>附件</w:t>
      </w: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val="zh-CN"/>
        </w:rPr>
        <w:t>：评分对应表</w:t>
      </w:r>
      <w:bookmarkEnd w:id="613"/>
      <w:bookmarkEnd w:id="614"/>
    </w:p>
    <w:p>
      <w:pPr>
        <w:snapToGrid w:val="0"/>
        <w:spacing w:before="50"/>
        <w:jc w:val="center"/>
        <w:rPr>
          <w:rFonts w:hint="eastAsia" w:ascii="宋体" w:hAnsi="宋体" w:cs="宋体"/>
          <w:b/>
          <w:color w:val="auto"/>
          <w:sz w:val="32"/>
          <w:szCs w:val="32"/>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9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评分项目</w:t>
            </w:r>
          </w:p>
        </w:tc>
        <w:tc>
          <w:tcPr>
            <w:tcW w:w="30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投标文件对应资料</w:t>
            </w:r>
          </w:p>
        </w:tc>
        <w:tc>
          <w:tcPr>
            <w:tcW w:w="1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对应评分办法及评分标准</w:t>
            </w:r>
          </w:p>
          <w:p>
            <w:pPr>
              <w:jc w:val="center"/>
              <w:rPr>
                <w:rFonts w:hint="eastAsia" w:ascii="宋体" w:hAnsi="宋体" w:cs="宋体"/>
                <w:color w:val="auto"/>
                <w:sz w:val="24"/>
                <w:highlight w:val="none"/>
              </w:rPr>
            </w:pPr>
            <w:r>
              <w:rPr>
                <w:rFonts w:hint="eastAsia" w:ascii="宋体" w:hAnsi="宋体" w:cs="宋体"/>
                <w:color w:val="auto"/>
                <w:sz w:val="24"/>
                <w:highlight w:val="none"/>
              </w:rPr>
              <w:t>（报价除外）</w:t>
            </w:r>
          </w:p>
        </w:tc>
        <w:tc>
          <w:tcPr>
            <w:tcW w:w="30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30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30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cs="宋体"/>
                <w:color w:val="auto"/>
                <w:sz w:val="24"/>
                <w:highlight w:val="none"/>
              </w:rPr>
            </w:pPr>
          </w:p>
        </w:tc>
      </w:tr>
    </w:tbl>
    <w:p>
      <w:pPr>
        <w:spacing w:line="360" w:lineRule="auto"/>
        <w:ind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pStyle w:val="2"/>
        <w:jc w:val="center"/>
        <w:rPr>
          <w:rFonts w:hint="eastAsia" w:hAnsi="宋体" w:cs="宋体"/>
          <w:color w:val="auto"/>
          <w:sz w:val="30"/>
          <w:szCs w:val="30"/>
          <w:highlight w:val="none"/>
          <w:lang w:val="zh-CN"/>
        </w:rPr>
      </w:pPr>
      <w:r>
        <w:rPr>
          <w:rFonts w:hint="eastAsia" w:hAnsi="宋体" w:cs="宋体"/>
          <w:color w:val="auto"/>
          <w:sz w:val="30"/>
          <w:szCs w:val="30"/>
          <w:highlight w:val="none"/>
          <w:lang w:val="zh-CN"/>
        </w:rPr>
        <w:br w:type="page"/>
      </w:r>
      <w:bookmarkStart w:id="615" w:name="_Toc31060"/>
      <w:bookmarkStart w:id="616" w:name="_Toc12814"/>
      <w:bookmarkStart w:id="617" w:name="_Toc9864"/>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九</w:t>
      </w:r>
      <w:r>
        <w:rPr>
          <w:rFonts w:hint="eastAsia" w:hAnsi="宋体" w:cs="宋体"/>
          <w:color w:val="auto"/>
          <w:sz w:val="30"/>
          <w:szCs w:val="30"/>
          <w:highlight w:val="none"/>
          <w:lang w:val="zh-CN"/>
        </w:rPr>
        <w:t>：资信分自评表</w:t>
      </w:r>
      <w:bookmarkEnd w:id="615"/>
      <w:bookmarkEnd w:id="616"/>
      <w:bookmarkEnd w:id="617"/>
    </w:p>
    <w:p>
      <w:pPr>
        <w:snapToGrid w:val="0"/>
        <w:spacing w:before="50"/>
        <w:jc w:val="center"/>
        <w:rPr>
          <w:rFonts w:hint="eastAsia" w:ascii="宋体" w:hAnsi="宋体" w:cs="宋体"/>
          <w:b/>
          <w:color w:val="auto"/>
          <w:sz w:val="32"/>
          <w:szCs w:val="32"/>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2387"/>
        <w:gridCol w:w="1462"/>
        <w:gridCol w:w="2415"/>
        <w:gridCol w:w="1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2387"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资信分内容</w:t>
            </w:r>
          </w:p>
        </w:tc>
        <w:tc>
          <w:tcPr>
            <w:tcW w:w="146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自评得分</w:t>
            </w:r>
          </w:p>
        </w:tc>
        <w:tc>
          <w:tcPr>
            <w:tcW w:w="2415" w:type="dxa"/>
            <w:tcBorders>
              <w:righ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投标文件对应资料</w:t>
            </w:r>
          </w:p>
        </w:tc>
        <w:tc>
          <w:tcPr>
            <w:tcW w:w="1746" w:type="dxa"/>
            <w:tcBorders>
              <w:left w:val="single" w:color="auto" w:sz="4" w:space="0"/>
            </w:tcBorders>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投标文件页码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noWrap w:val="0"/>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合计</w:t>
            </w:r>
          </w:p>
        </w:tc>
        <w:tc>
          <w:tcPr>
            <w:tcW w:w="2387" w:type="dxa"/>
            <w:noWrap w:val="0"/>
            <w:vAlign w:val="top"/>
          </w:tcPr>
          <w:p>
            <w:pPr>
              <w:jc w:val="center"/>
              <w:rPr>
                <w:rFonts w:hint="eastAsia" w:ascii="宋体" w:hAnsi="宋体" w:cs="宋体"/>
                <w:color w:val="auto"/>
                <w:sz w:val="24"/>
                <w:highlight w:val="none"/>
              </w:rPr>
            </w:pPr>
          </w:p>
        </w:tc>
        <w:tc>
          <w:tcPr>
            <w:tcW w:w="1462" w:type="dxa"/>
            <w:noWrap w:val="0"/>
            <w:vAlign w:val="top"/>
          </w:tcPr>
          <w:p>
            <w:pPr>
              <w:jc w:val="center"/>
              <w:rPr>
                <w:rFonts w:hint="eastAsia" w:ascii="宋体" w:hAnsi="宋体" w:cs="宋体"/>
                <w:color w:val="auto"/>
                <w:sz w:val="24"/>
                <w:highlight w:val="none"/>
              </w:rPr>
            </w:pPr>
          </w:p>
        </w:tc>
        <w:tc>
          <w:tcPr>
            <w:tcW w:w="2415" w:type="dxa"/>
            <w:tcBorders>
              <w:right w:val="single" w:color="auto" w:sz="4" w:space="0"/>
            </w:tcBorders>
            <w:noWrap w:val="0"/>
            <w:vAlign w:val="top"/>
          </w:tcPr>
          <w:p>
            <w:pPr>
              <w:jc w:val="center"/>
              <w:rPr>
                <w:rFonts w:hint="eastAsia" w:ascii="宋体" w:hAnsi="宋体" w:cs="宋体"/>
                <w:color w:val="auto"/>
                <w:sz w:val="24"/>
                <w:highlight w:val="none"/>
              </w:rPr>
            </w:pPr>
          </w:p>
        </w:tc>
        <w:tc>
          <w:tcPr>
            <w:tcW w:w="1746" w:type="dxa"/>
            <w:tcBorders>
              <w:left w:val="single" w:color="auto" w:sz="4" w:space="0"/>
            </w:tcBorders>
            <w:noWrap w:val="0"/>
            <w:vAlign w:val="top"/>
          </w:tcPr>
          <w:p>
            <w:pPr>
              <w:jc w:val="center"/>
              <w:rPr>
                <w:rFonts w:hint="eastAsia" w:ascii="宋体" w:hAnsi="宋体" w:cs="宋体"/>
                <w:color w:val="auto"/>
                <w:sz w:val="24"/>
                <w:highlight w:val="none"/>
              </w:rPr>
            </w:pPr>
          </w:p>
        </w:tc>
      </w:tr>
    </w:tbl>
    <w:p>
      <w:pPr>
        <w:spacing w:line="360" w:lineRule="auto"/>
        <w:ind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tabs>
          <w:tab w:val="left" w:pos="439"/>
        </w:tabs>
        <w:snapToGrid w:val="0"/>
        <w:spacing w:before="50" w:after="161" w:afterLines="50"/>
        <w:jc w:val="center"/>
        <w:outlineLvl w:val="0"/>
        <w:rPr>
          <w:rFonts w:hint="eastAsia" w:ascii="宋体" w:hAnsi="宋体" w:cs="宋体"/>
          <w:b/>
          <w:color w:val="auto"/>
          <w:sz w:val="30"/>
          <w:szCs w:val="30"/>
          <w:highlight w:val="none"/>
          <w:lang w:val="zh-CN"/>
        </w:rPr>
      </w:pPr>
      <w:r>
        <w:rPr>
          <w:rFonts w:hint="eastAsia" w:ascii="宋体" w:hAnsi="宋体" w:cs="宋体"/>
          <w:b/>
          <w:bCs/>
          <w:color w:val="auto"/>
          <w:sz w:val="24"/>
          <w:highlight w:val="none"/>
          <w:lang w:val="zh-CN"/>
        </w:rPr>
        <w:br w:type="page"/>
      </w:r>
      <w:bookmarkStart w:id="618" w:name="_Toc16219"/>
      <w:bookmarkStart w:id="619" w:name="_Toc8916"/>
      <w:bookmarkStart w:id="620" w:name="_Toc13577"/>
      <w:r>
        <w:rPr>
          <w:rFonts w:hint="eastAsia" w:ascii="宋体" w:hAnsi="宋体" w:cs="宋体"/>
          <w:b/>
          <w:color w:val="auto"/>
          <w:sz w:val="30"/>
          <w:szCs w:val="30"/>
          <w:highlight w:val="none"/>
          <w:lang w:val="zh-CN"/>
        </w:rPr>
        <w:t>附件</w:t>
      </w:r>
      <w:r>
        <w:rPr>
          <w:rFonts w:hint="eastAsia" w:ascii="宋体" w:hAnsi="宋体" w:cs="宋体"/>
          <w:b/>
          <w:color w:val="auto"/>
          <w:sz w:val="30"/>
          <w:szCs w:val="30"/>
          <w:highlight w:val="none"/>
          <w:lang w:val="en-US" w:eastAsia="zh-CN"/>
        </w:rPr>
        <w:t>十</w:t>
      </w:r>
      <w:r>
        <w:rPr>
          <w:rFonts w:hint="eastAsia" w:ascii="宋体" w:hAnsi="宋体" w:cs="宋体"/>
          <w:b/>
          <w:color w:val="auto"/>
          <w:sz w:val="30"/>
          <w:szCs w:val="30"/>
          <w:highlight w:val="none"/>
          <w:lang w:val="zh-CN"/>
        </w:rPr>
        <w:t>：投标项目明细清单</w:t>
      </w:r>
      <w:bookmarkEnd w:id="618"/>
      <w:bookmarkEnd w:id="619"/>
      <w:bookmarkEnd w:id="620"/>
    </w:p>
    <w:p>
      <w:pPr>
        <w:spacing w:line="360" w:lineRule="auto"/>
        <w:ind w:firstLine="480" w:firstLineChars="200"/>
        <w:rPr>
          <w:rFonts w:hint="eastAsia" w:ascii="宋体" w:hAnsi="宋体" w:cs="宋体"/>
          <w:color w:val="auto"/>
          <w:sz w:val="24"/>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7"/>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规格</w:t>
            </w:r>
          </w:p>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单位及</w:t>
            </w:r>
          </w:p>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left="480" w:hanging="480"/>
              <w:jc w:val="center"/>
              <w:rPr>
                <w:rFonts w:hint="eastAsia" w:ascii="宋体" w:hAnsi="宋体" w:cs="宋体"/>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70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ind w:left="480" w:hanging="480"/>
              <w:jc w:val="center"/>
              <w:rPr>
                <w:rFonts w:hint="eastAsia" w:ascii="宋体" w:hAnsi="宋体" w:cs="宋体"/>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bl>
    <w:p>
      <w:pPr>
        <w:snapToGrid w:val="0"/>
        <w:spacing w:before="161" w:beforeLines="5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注：在填写时，如上表不适合本项目的实际情况，可在确保投标明细内容完整的情况下，根据上表格式自行划表填写。</w:t>
      </w:r>
    </w:p>
    <w:p>
      <w:pPr>
        <w:pStyle w:val="13"/>
        <w:rPr>
          <w:rFonts w:hint="eastAsia" w:ascii="宋体" w:hAnsi="宋体" w:cs="宋体"/>
          <w:color w:val="auto"/>
          <w:sz w:val="24"/>
          <w:highlight w:val="none"/>
        </w:rPr>
      </w:pPr>
    </w:p>
    <w:p>
      <w:pPr>
        <w:pStyle w:val="13"/>
        <w:rPr>
          <w:rFonts w:hint="eastAsia" w:ascii="宋体" w:hAnsi="宋体" w:cs="宋体"/>
          <w:color w:val="auto"/>
          <w:sz w:val="24"/>
          <w:highlight w:val="none"/>
        </w:rPr>
      </w:pPr>
    </w:p>
    <w:p>
      <w:pPr>
        <w:pStyle w:val="13"/>
        <w:rPr>
          <w:rFonts w:hint="eastAsia" w:ascii="宋体" w:hAnsi="宋体" w:cs="宋体"/>
          <w:color w:val="auto"/>
          <w:sz w:val="24"/>
          <w:highlight w:val="none"/>
        </w:rPr>
      </w:pPr>
    </w:p>
    <w:p>
      <w:pPr>
        <w:snapToGrid w:val="0"/>
        <w:spacing w:before="161" w:beforeLines="5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snapToGrid w:val="0"/>
        <w:spacing w:before="50" w:after="50"/>
        <w:rPr>
          <w:rFonts w:hint="eastAsia" w:ascii="宋体" w:hAnsi="宋体" w:cs="宋体"/>
          <w:color w:val="auto"/>
          <w:spacing w:val="20"/>
          <w:sz w:val="24"/>
          <w:highlight w:val="none"/>
        </w:rPr>
      </w:pPr>
    </w:p>
    <w:p>
      <w:pPr>
        <w:snapToGrid w:val="0"/>
        <w:spacing w:before="50" w:after="50"/>
        <w:rPr>
          <w:rFonts w:hint="eastAsia" w:ascii="宋体" w:hAnsi="宋体" w:cs="宋体"/>
          <w:color w:val="auto"/>
          <w:spacing w:val="20"/>
          <w:sz w:val="30"/>
          <w:szCs w:val="30"/>
          <w:highlight w:val="none"/>
        </w:rPr>
      </w:pPr>
    </w:p>
    <w:p>
      <w:pPr>
        <w:pStyle w:val="13"/>
        <w:ind w:firstLine="686"/>
        <w:rPr>
          <w:rFonts w:hint="eastAsia" w:ascii="宋体" w:hAnsi="宋体" w:cs="宋体"/>
          <w:color w:val="auto"/>
          <w:spacing w:val="20"/>
          <w:sz w:val="30"/>
          <w:szCs w:val="30"/>
          <w:highlight w:val="none"/>
        </w:rPr>
      </w:pPr>
    </w:p>
    <w:p>
      <w:pPr>
        <w:pStyle w:val="13"/>
        <w:ind w:firstLine="686"/>
        <w:rPr>
          <w:rFonts w:hint="eastAsia" w:ascii="宋体" w:hAnsi="宋体" w:cs="宋体"/>
          <w:color w:val="auto"/>
          <w:spacing w:val="20"/>
          <w:sz w:val="30"/>
          <w:szCs w:val="30"/>
          <w:highlight w:val="none"/>
        </w:rPr>
      </w:pPr>
    </w:p>
    <w:p>
      <w:pPr>
        <w:pStyle w:val="13"/>
        <w:ind w:firstLine="686"/>
        <w:rPr>
          <w:rFonts w:hint="eastAsia" w:ascii="宋体" w:hAnsi="宋体" w:cs="宋体"/>
          <w:color w:val="auto"/>
          <w:spacing w:val="20"/>
          <w:sz w:val="30"/>
          <w:szCs w:val="30"/>
          <w:highlight w:val="none"/>
        </w:rPr>
      </w:pPr>
    </w:p>
    <w:p>
      <w:pPr>
        <w:pStyle w:val="13"/>
        <w:ind w:firstLine="686"/>
        <w:rPr>
          <w:rFonts w:hint="eastAsia" w:ascii="宋体" w:hAnsi="宋体" w:cs="宋体"/>
          <w:color w:val="auto"/>
          <w:spacing w:val="20"/>
          <w:sz w:val="30"/>
          <w:szCs w:val="30"/>
          <w:highlight w:val="none"/>
        </w:rPr>
      </w:pPr>
    </w:p>
    <w:p>
      <w:pPr>
        <w:pStyle w:val="2"/>
        <w:jc w:val="center"/>
        <w:rPr>
          <w:rFonts w:hint="eastAsia" w:hAnsi="宋体" w:cs="宋体"/>
          <w:color w:val="auto"/>
          <w:sz w:val="30"/>
          <w:szCs w:val="30"/>
          <w:highlight w:val="none"/>
          <w:lang w:val="zh-CN"/>
        </w:rPr>
      </w:pPr>
      <w:bookmarkStart w:id="621" w:name="_Toc2823"/>
      <w:r>
        <w:rPr>
          <w:rFonts w:hint="eastAsia" w:hAnsi="宋体" w:cs="宋体"/>
          <w:bCs/>
          <w:color w:val="auto"/>
          <w:sz w:val="24"/>
          <w:szCs w:val="24"/>
          <w:highlight w:val="none"/>
        </w:rPr>
        <w:br w:type="page"/>
      </w:r>
      <w:bookmarkStart w:id="622" w:name="_Toc24127"/>
      <w:bookmarkStart w:id="623" w:name="_Toc3511"/>
      <w:bookmarkStart w:id="624" w:name="_Toc6060"/>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十一</w:t>
      </w:r>
      <w:r>
        <w:rPr>
          <w:rFonts w:hint="eastAsia" w:hAnsi="宋体" w:cs="宋体"/>
          <w:color w:val="auto"/>
          <w:sz w:val="30"/>
          <w:szCs w:val="30"/>
          <w:highlight w:val="none"/>
          <w:lang w:val="zh-CN"/>
        </w:rPr>
        <w:t>：技术响应及建议表</w:t>
      </w:r>
      <w:bookmarkEnd w:id="621"/>
      <w:bookmarkEnd w:id="622"/>
      <w:bookmarkEnd w:id="623"/>
      <w:bookmarkEnd w:id="624"/>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980"/>
        <w:gridCol w:w="2520"/>
        <w:gridCol w:w="1953"/>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1440"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货物名称</w:t>
            </w:r>
          </w:p>
        </w:tc>
        <w:tc>
          <w:tcPr>
            <w:tcW w:w="1980"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招标文件要求</w:t>
            </w:r>
          </w:p>
        </w:tc>
        <w:tc>
          <w:tcPr>
            <w:tcW w:w="2520"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投标文件响应</w:t>
            </w:r>
          </w:p>
        </w:tc>
        <w:tc>
          <w:tcPr>
            <w:tcW w:w="1953"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偏离情况</w:t>
            </w:r>
          </w:p>
        </w:tc>
        <w:tc>
          <w:tcPr>
            <w:tcW w:w="1398" w:type="dxa"/>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佐证材料所在页码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p>
        </w:tc>
        <w:tc>
          <w:tcPr>
            <w:tcW w:w="1440" w:type="dxa"/>
            <w:noWrap w:val="0"/>
            <w:vAlign w:val="center"/>
          </w:tcPr>
          <w:p>
            <w:pPr>
              <w:snapToGrid w:val="0"/>
              <w:spacing w:before="50" w:after="50"/>
              <w:jc w:val="center"/>
              <w:rPr>
                <w:rFonts w:hint="eastAsia" w:ascii="宋体" w:hAnsi="宋体" w:cs="宋体"/>
                <w:color w:val="auto"/>
                <w:sz w:val="24"/>
                <w:highlight w:val="none"/>
              </w:rPr>
            </w:pPr>
          </w:p>
        </w:tc>
        <w:tc>
          <w:tcPr>
            <w:tcW w:w="1980" w:type="dxa"/>
            <w:noWrap w:val="0"/>
            <w:vAlign w:val="center"/>
          </w:tcPr>
          <w:p>
            <w:pPr>
              <w:snapToGrid w:val="0"/>
              <w:spacing w:before="50" w:after="50"/>
              <w:jc w:val="center"/>
              <w:rPr>
                <w:rFonts w:hint="eastAsia" w:ascii="宋体" w:hAnsi="宋体" w:cs="宋体"/>
                <w:color w:val="auto"/>
                <w:sz w:val="24"/>
                <w:highlight w:val="none"/>
              </w:rPr>
            </w:pPr>
          </w:p>
        </w:tc>
        <w:tc>
          <w:tcPr>
            <w:tcW w:w="2520" w:type="dxa"/>
            <w:noWrap w:val="0"/>
            <w:vAlign w:val="center"/>
          </w:tcPr>
          <w:p>
            <w:pPr>
              <w:snapToGrid w:val="0"/>
              <w:spacing w:before="50" w:after="50"/>
              <w:jc w:val="center"/>
              <w:rPr>
                <w:rFonts w:hint="eastAsia" w:ascii="宋体" w:hAnsi="宋体" w:cs="宋体"/>
                <w:color w:val="auto"/>
                <w:sz w:val="24"/>
                <w:highlight w:val="none"/>
              </w:rPr>
            </w:pPr>
          </w:p>
        </w:tc>
        <w:tc>
          <w:tcPr>
            <w:tcW w:w="1953" w:type="dxa"/>
            <w:noWrap w:val="0"/>
            <w:vAlign w:val="center"/>
          </w:tcPr>
          <w:p>
            <w:pPr>
              <w:snapToGrid w:val="0"/>
              <w:spacing w:before="50" w:after="50"/>
              <w:jc w:val="center"/>
              <w:rPr>
                <w:rFonts w:hint="eastAsia" w:ascii="宋体" w:hAnsi="宋体" w:cs="宋体"/>
                <w:color w:val="auto"/>
                <w:sz w:val="24"/>
                <w:highlight w:val="none"/>
              </w:rPr>
            </w:pPr>
          </w:p>
        </w:tc>
        <w:tc>
          <w:tcPr>
            <w:tcW w:w="1398" w:type="dxa"/>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p>
        </w:tc>
        <w:tc>
          <w:tcPr>
            <w:tcW w:w="1440" w:type="dxa"/>
            <w:noWrap w:val="0"/>
            <w:vAlign w:val="center"/>
          </w:tcPr>
          <w:p>
            <w:pPr>
              <w:snapToGrid w:val="0"/>
              <w:spacing w:before="50" w:after="50"/>
              <w:jc w:val="center"/>
              <w:rPr>
                <w:rFonts w:hint="eastAsia" w:ascii="宋体" w:hAnsi="宋体" w:cs="宋体"/>
                <w:color w:val="auto"/>
                <w:sz w:val="24"/>
                <w:highlight w:val="none"/>
              </w:rPr>
            </w:pPr>
          </w:p>
        </w:tc>
        <w:tc>
          <w:tcPr>
            <w:tcW w:w="1980" w:type="dxa"/>
            <w:noWrap w:val="0"/>
            <w:vAlign w:val="center"/>
          </w:tcPr>
          <w:p>
            <w:pPr>
              <w:snapToGrid w:val="0"/>
              <w:spacing w:before="50" w:after="50"/>
              <w:jc w:val="center"/>
              <w:rPr>
                <w:rFonts w:hint="eastAsia" w:ascii="宋体" w:hAnsi="宋体" w:cs="宋体"/>
                <w:color w:val="auto"/>
                <w:sz w:val="24"/>
                <w:highlight w:val="none"/>
              </w:rPr>
            </w:pPr>
          </w:p>
        </w:tc>
        <w:tc>
          <w:tcPr>
            <w:tcW w:w="2520" w:type="dxa"/>
            <w:noWrap w:val="0"/>
            <w:vAlign w:val="center"/>
          </w:tcPr>
          <w:p>
            <w:pPr>
              <w:snapToGrid w:val="0"/>
              <w:spacing w:before="50" w:after="50"/>
              <w:jc w:val="center"/>
              <w:rPr>
                <w:rFonts w:hint="eastAsia" w:ascii="宋体" w:hAnsi="宋体" w:cs="宋体"/>
                <w:color w:val="auto"/>
                <w:sz w:val="24"/>
                <w:highlight w:val="none"/>
              </w:rPr>
            </w:pPr>
          </w:p>
        </w:tc>
        <w:tc>
          <w:tcPr>
            <w:tcW w:w="1953" w:type="dxa"/>
            <w:noWrap w:val="0"/>
            <w:vAlign w:val="center"/>
          </w:tcPr>
          <w:p>
            <w:pPr>
              <w:snapToGrid w:val="0"/>
              <w:spacing w:before="50" w:after="50"/>
              <w:jc w:val="center"/>
              <w:rPr>
                <w:rFonts w:hint="eastAsia" w:ascii="宋体" w:hAnsi="宋体" w:cs="宋体"/>
                <w:color w:val="auto"/>
                <w:sz w:val="24"/>
                <w:highlight w:val="none"/>
              </w:rPr>
            </w:pPr>
          </w:p>
        </w:tc>
        <w:tc>
          <w:tcPr>
            <w:tcW w:w="1398" w:type="dxa"/>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p>
        </w:tc>
        <w:tc>
          <w:tcPr>
            <w:tcW w:w="1440" w:type="dxa"/>
            <w:noWrap w:val="0"/>
            <w:vAlign w:val="center"/>
          </w:tcPr>
          <w:p>
            <w:pPr>
              <w:snapToGrid w:val="0"/>
              <w:spacing w:before="50" w:after="50"/>
              <w:jc w:val="center"/>
              <w:rPr>
                <w:rFonts w:hint="eastAsia" w:ascii="宋体" w:hAnsi="宋体" w:cs="宋体"/>
                <w:color w:val="auto"/>
                <w:sz w:val="24"/>
                <w:highlight w:val="none"/>
              </w:rPr>
            </w:pPr>
          </w:p>
        </w:tc>
        <w:tc>
          <w:tcPr>
            <w:tcW w:w="1980" w:type="dxa"/>
            <w:noWrap w:val="0"/>
            <w:vAlign w:val="center"/>
          </w:tcPr>
          <w:p>
            <w:pPr>
              <w:snapToGrid w:val="0"/>
              <w:spacing w:before="50" w:after="50"/>
              <w:jc w:val="center"/>
              <w:rPr>
                <w:rFonts w:hint="eastAsia" w:ascii="宋体" w:hAnsi="宋体" w:cs="宋体"/>
                <w:color w:val="auto"/>
                <w:sz w:val="24"/>
                <w:highlight w:val="none"/>
              </w:rPr>
            </w:pPr>
          </w:p>
        </w:tc>
        <w:tc>
          <w:tcPr>
            <w:tcW w:w="2520" w:type="dxa"/>
            <w:noWrap w:val="0"/>
            <w:vAlign w:val="center"/>
          </w:tcPr>
          <w:p>
            <w:pPr>
              <w:snapToGrid w:val="0"/>
              <w:spacing w:before="50" w:after="50"/>
              <w:jc w:val="center"/>
              <w:rPr>
                <w:rFonts w:hint="eastAsia" w:ascii="宋体" w:hAnsi="宋体" w:cs="宋体"/>
                <w:color w:val="auto"/>
                <w:sz w:val="24"/>
                <w:highlight w:val="none"/>
              </w:rPr>
            </w:pPr>
          </w:p>
        </w:tc>
        <w:tc>
          <w:tcPr>
            <w:tcW w:w="1953" w:type="dxa"/>
            <w:noWrap w:val="0"/>
            <w:vAlign w:val="center"/>
          </w:tcPr>
          <w:p>
            <w:pPr>
              <w:snapToGrid w:val="0"/>
              <w:spacing w:before="50" w:after="50"/>
              <w:jc w:val="center"/>
              <w:rPr>
                <w:rFonts w:hint="eastAsia" w:ascii="宋体" w:hAnsi="宋体" w:cs="宋体"/>
                <w:color w:val="auto"/>
                <w:sz w:val="24"/>
                <w:highlight w:val="none"/>
              </w:rPr>
            </w:pPr>
          </w:p>
        </w:tc>
        <w:tc>
          <w:tcPr>
            <w:tcW w:w="1398" w:type="dxa"/>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p>
        </w:tc>
        <w:tc>
          <w:tcPr>
            <w:tcW w:w="1440" w:type="dxa"/>
            <w:noWrap w:val="0"/>
            <w:vAlign w:val="center"/>
          </w:tcPr>
          <w:p>
            <w:pPr>
              <w:snapToGrid w:val="0"/>
              <w:spacing w:before="50" w:after="50"/>
              <w:jc w:val="center"/>
              <w:rPr>
                <w:rFonts w:hint="eastAsia" w:ascii="宋体" w:hAnsi="宋体" w:cs="宋体"/>
                <w:color w:val="auto"/>
                <w:sz w:val="24"/>
                <w:highlight w:val="none"/>
              </w:rPr>
            </w:pPr>
          </w:p>
        </w:tc>
        <w:tc>
          <w:tcPr>
            <w:tcW w:w="1980" w:type="dxa"/>
            <w:noWrap w:val="0"/>
            <w:vAlign w:val="center"/>
          </w:tcPr>
          <w:p>
            <w:pPr>
              <w:snapToGrid w:val="0"/>
              <w:spacing w:before="50" w:after="50"/>
              <w:jc w:val="center"/>
              <w:rPr>
                <w:rFonts w:hint="eastAsia" w:ascii="宋体" w:hAnsi="宋体" w:cs="宋体"/>
                <w:color w:val="auto"/>
                <w:sz w:val="24"/>
                <w:highlight w:val="none"/>
              </w:rPr>
            </w:pPr>
          </w:p>
        </w:tc>
        <w:tc>
          <w:tcPr>
            <w:tcW w:w="2520" w:type="dxa"/>
            <w:noWrap w:val="0"/>
            <w:vAlign w:val="center"/>
          </w:tcPr>
          <w:p>
            <w:pPr>
              <w:snapToGrid w:val="0"/>
              <w:spacing w:before="50" w:after="50"/>
              <w:jc w:val="center"/>
              <w:rPr>
                <w:rFonts w:hint="eastAsia" w:ascii="宋体" w:hAnsi="宋体" w:cs="宋体"/>
                <w:color w:val="auto"/>
                <w:sz w:val="24"/>
                <w:highlight w:val="none"/>
              </w:rPr>
            </w:pPr>
          </w:p>
        </w:tc>
        <w:tc>
          <w:tcPr>
            <w:tcW w:w="1953" w:type="dxa"/>
            <w:noWrap w:val="0"/>
            <w:vAlign w:val="center"/>
          </w:tcPr>
          <w:p>
            <w:pPr>
              <w:snapToGrid w:val="0"/>
              <w:spacing w:before="50" w:after="50"/>
              <w:jc w:val="center"/>
              <w:rPr>
                <w:rFonts w:hint="eastAsia" w:ascii="宋体" w:hAnsi="宋体" w:cs="宋体"/>
                <w:color w:val="auto"/>
                <w:sz w:val="24"/>
                <w:highlight w:val="none"/>
              </w:rPr>
            </w:pPr>
          </w:p>
        </w:tc>
        <w:tc>
          <w:tcPr>
            <w:tcW w:w="1398" w:type="dxa"/>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noWrap w:val="0"/>
            <w:vAlign w:val="center"/>
          </w:tcPr>
          <w:p>
            <w:pPr>
              <w:snapToGrid w:val="0"/>
              <w:spacing w:before="50" w:after="50"/>
              <w:jc w:val="center"/>
              <w:rPr>
                <w:rFonts w:hint="eastAsia" w:ascii="宋体" w:hAnsi="宋体" w:cs="宋体"/>
                <w:color w:val="auto"/>
                <w:sz w:val="24"/>
                <w:highlight w:val="none"/>
              </w:rPr>
            </w:pPr>
          </w:p>
        </w:tc>
        <w:tc>
          <w:tcPr>
            <w:tcW w:w="1440" w:type="dxa"/>
            <w:noWrap w:val="0"/>
            <w:vAlign w:val="center"/>
          </w:tcPr>
          <w:p>
            <w:pPr>
              <w:snapToGrid w:val="0"/>
              <w:spacing w:before="50" w:after="50"/>
              <w:jc w:val="center"/>
              <w:rPr>
                <w:rFonts w:hint="eastAsia" w:ascii="宋体" w:hAnsi="宋体" w:cs="宋体"/>
                <w:color w:val="auto"/>
                <w:sz w:val="24"/>
                <w:highlight w:val="none"/>
              </w:rPr>
            </w:pPr>
          </w:p>
        </w:tc>
        <w:tc>
          <w:tcPr>
            <w:tcW w:w="1980" w:type="dxa"/>
            <w:noWrap w:val="0"/>
            <w:vAlign w:val="center"/>
          </w:tcPr>
          <w:p>
            <w:pPr>
              <w:snapToGrid w:val="0"/>
              <w:spacing w:before="50" w:after="50"/>
              <w:jc w:val="center"/>
              <w:rPr>
                <w:rFonts w:hint="eastAsia" w:ascii="宋体" w:hAnsi="宋体" w:cs="宋体"/>
                <w:color w:val="auto"/>
                <w:sz w:val="24"/>
                <w:highlight w:val="none"/>
              </w:rPr>
            </w:pPr>
          </w:p>
        </w:tc>
        <w:tc>
          <w:tcPr>
            <w:tcW w:w="2520" w:type="dxa"/>
            <w:noWrap w:val="0"/>
            <w:vAlign w:val="center"/>
          </w:tcPr>
          <w:p>
            <w:pPr>
              <w:snapToGrid w:val="0"/>
              <w:spacing w:before="50" w:after="50"/>
              <w:jc w:val="center"/>
              <w:rPr>
                <w:rFonts w:hint="eastAsia" w:ascii="宋体" w:hAnsi="宋体" w:cs="宋体"/>
                <w:color w:val="auto"/>
                <w:sz w:val="24"/>
                <w:highlight w:val="none"/>
              </w:rPr>
            </w:pPr>
          </w:p>
        </w:tc>
        <w:tc>
          <w:tcPr>
            <w:tcW w:w="1953" w:type="dxa"/>
            <w:noWrap w:val="0"/>
            <w:vAlign w:val="center"/>
          </w:tcPr>
          <w:p>
            <w:pPr>
              <w:snapToGrid w:val="0"/>
              <w:spacing w:before="50" w:after="50"/>
              <w:jc w:val="center"/>
              <w:rPr>
                <w:rFonts w:hint="eastAsia" w:ascii="宋体" w:hAnsi="宋体" w:cs="宋体"/>
                <w:color w:val="auto"/>
                <w:sz w:val="24"/>
                <w:highlight w:val="none"/>
              </w:rPr>
            </w:pPr>
          </w:p>
        </w:tc>
        <w:tc>
          <w:tcPr>
            <w:tcW w:w="1398" w:type="dxa"/>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160" w:type="dxa"/>
            <w:gridSpan w:val="2"/>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投标建议</w:t>
            </w:r>
          </w:p>
        </w:tc>
        <w:tc>
          <w:tcPr>
            <w:tcW w:w="7851" w:type="dxa"/>
            <w:gridSpan w:val="4"/>
            <w:noWrap w:val="0"/>
            <w:vAlign w:val="center"/>
          </w:tcPr>
          <w:p>
            <w:pPr>
              <w:spacing w:line="360" w:lineRule="auto"/>
              <w:jc w:val="center"/>
              <w:rPr>
                <w:rFonts w:hint="eastAsia" w:ascii="宋体" w:hAnsi="宋体" w:cs="宋体"/>
                <w:color w:val="auto"/>
                <w:sz w:val="24"/>
                <w:highlight w:val="none"/>
              </w:rPr>
            </w:pPr>
          </w:p>
        </w:tc>
      </w:tr>
    </w:tbl>
    <w:p>
      <w:pPr>
        <w:snapToGrid w:val="0"/>
        <w:spacing w:line="360" w:lineRule="auto"/>
        <w:rPr>
          <w:rFonts w:hint="eastAsia" w:ascii="宋体" w:hAnsi="宋体" w:cs="宋体"/>
          <w:color w:val="auto"/>
          <w:sz w:val="24"/>
          <w:highlight w:val="none"/>
        </w:rPr>
      </w:pPr>
    </w:p>
    <w:p>
      <w:pPr>
        <w:pStyle w:val="17"/>
        <w:spacing w:line="360" w:lineRule="auto"/>
        <w:rPr>
          <w:rFonts w:hint="eastAsia" w:hAnsi="宋体" w:cs="宋体"/>
          <w:color w:val="auto"/>
          <w:sz w:val="24"/>
          <w:highlight w:val="none"/>
        </w:rPr>
      </w:pPr>
      <w:r>
        <w:rPr>
          <w:rFonts w:hint="eastAsia" w:hAnsi="宋体" w:cs="宋体"/>
          <w:color w:val="auto"/>
          <w:sz w:val="24"/>
          <w:highlight w:val="none"/>
        </w:rPr>
        <w:t>注：货物名称可基于项目清单根据投标人实际情况调整。</w:t>
      </w:r>
    </w:p>
    <w:p>
      <w:pPr>
        <w:rPr>
          <w:rFonts w:hint="eastAsia" w:ascii="宋体" w:hAnsi="宋体" w:cs="宋体"/>
          <w:color w:val="auto"/>
          <w:sz w:val="24"/>
          <w:highlight w:val="none"/>
        </w:rPr>
      </w:pPr>
    </w:p>
    <w:p>
      <w:pPr>
        <w:pStyle w:val="13"/>
        <w:rPr>
          <w:rFonts w:hint="eastAsia" w:ascii="宋体" w:hAnsi="宋体" w:cs="宋体"/>
          <w:color w:val="auto"/>
          <w:highlight w:val="none"/>
        </w:rPr>
      </w:pPr>
    </w:p>
    <w:p>
      <w:pPr>
        <w:snapToGrid w:val="0"/>
        <w:spacing w:line="360" w:lineRule="auto"/>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pStyle w:val="2"/>
        <w:jc w:val="center"/>
        <w:rPr>
          <w:rFonts w:hint="eastAsia" w:hAnsi="宋体" w:cs="宋体"/>
          <w:color w:val="auto"/>
          <w:sz w:val="30"/>
          <w:szCs w:val="30"/>
          <w:highlight w:val="none"/>
          <w:lang w:val="zh-CN"/>
        </w:rPr>
      </w:pPr>
      <w:r>
        <w:rPr>
          <w:rFonts w:hint="eastAsia" w:hAnsi="宋体" w:cs="宋体"/>
          <w:bCs/>
          <w:color w:val="auto"/>
          <w:sz w:val="24"/>
          <w:szCs w:val="24"/>
          <w:highlight w:val="none"/>
        </w:rPr>
        <w:br w:type="page"/>
      </w:r>
      <w:bookmarkStart w:id="625" w:name="_Toc4684"/>
      <w:bookmarkStart w:id="626" w:name="_Toc30358"/>
      <w:bookmarkStart w:id="627" w:name="_Toc29334"/>
      <w:r>
        <w:rPr>
          <w:rFonts w:hint="eastAsia" w:hAnsi="宋体" w:cs="宋体"/>
          <w:color w:val="auto"/>
          <w:sz w:val="30"/>
          <w:szCs w:val="30"/>
          <w:highlight w:val="none"/>
          <w:lang w:val="zh-CN"/>
        </w:rPr>
        <w:t>附件</w:t>
      </w:r>
      <w:r>
        <w:rPr>
          <w:rFonts w:hint="eastAsia" w:hAnsi="宋体" w:cs="宋体"/>
          <w:color w:val="auto"/>
          <w:sz w:val="30"/>
          <w:szCs w:val="30"/>
          <w:highlight w:val="none"/>
          <w:lang w:val="en-US" w:eastAsia="zh-CN"/>
        </w:rPr>
        <w:t>十二</w:t>
      </w:r>
      <w:r>
        <w:rPr>
          <w:rFonts w:hint="eastAsia" w:hAnsi="宋体" w:cs="宋体"/>
          <w:color w:val="auto"/>
          <w:sz w:val="30"/>
          <w:szCs w:val="30"/>
          <w:highlight w:val="none"/>
          <w:lang w:val="zh-CN"/>
        </w:rPr>
        <w:t>：商务响应表</w:t>
      </w:r>
      <w:bookmarkEnd w:id="625"/>
      <w:bookmarkEnd w:id="626"/>
      <w:bookmarkEnd w:id="627"/>
    </w:p>
    <w:p>
      <w:pPr>
        <w:snapToGrid w:val="0"/>
        <w:spacing w:before="50"/>
        <w:jc w:val="center"/>
        <w:rPr>
          <w:rFonts w:hint="eastAsia" w:ascii="宋体" w:hAnsi="宋体" w:cs="宋体"/>
          <w:b/>
          <w:color w:val="auto"/>
          <w:sz w:val="32"/>
          <w:szCs w:val="32"/>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54"/>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项目</w:t>
            </w: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招标文件要求</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是否</w:t>
            </w:r>
          </w:p>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响应</w:t>
            </w: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27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30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bl>
    <w:p>
      <w:pPr>
        <w:spacing w:line="360" w:lineRule="auto"/>
        <w:ind w:left="3780" w:leftChars="1800" w:firstLine="480" w:firstLineChars="200"/>
        <w:rPr>
          <w:rFonts w:hint="eastAsia" w:ascii="宋体" w:hAnsi="宋体" w:cs="宋体"/>
          <w:color w:val="auto"/>
          <w:sz w:val="24"/>
          <w:highlight w:val="none"/>
        </w:rPr>
      </w:pP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注：投标人根据本项目商务要求表及投标实际情况填写。 </w:t>
      </w:r>
    </w:p>
    <w:p>
      <w:pPr>
        <w:spacing w:line="360" w:lineRule="auto"/>
        <w:ind w:left="3780" w:leftChars="1800"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snapToGrid w:val="0"/>
        <w:spacing w:before="50" w:after="50"/>
        <w:jc w:val="center"/>
        <w:outlineLvl w:val="0"/>
        <w:rPr>
          <w:rFonts w:hint="eastAsia" w:ascii="宋体" w:hAnsi="宋体" w:cs="宋体"/>
          <w:b/>
          <w:color w:val="auto"/>
          <w:sz w:val="30"/>
          <w:szCs w:val="30"/>
          <w:highlight w:val="none"/>
          <w:lang w:val="zh-CN"/>
        </w:rPr>
      </w:pPr>
      <w:r>
        <w:rPr>
          <w:rFonts w:hint="eastAsia" w:ascii="宋体" w:hAnsi="宋体" w:cs="宋体"/>
          <w:color w:val="auto"/>
          <w:sz w:val="24"/>
          <w:highlight w:val="none"/>
        </w:rPr>
        <w:br w:type="page"/>
      </w:r>
      <w:bookmarkStart w:id="628" w:name="_Toc5094"/>
      <w:bookmarkStart w:id="629" w:name="_Toc12889"/>
      <w:bookmarkStart w:id="630" w:name="_Toc84"/>
      <w:r>
        <w:rPr>
          <w:rFonts w:hint="eastAsia" w:ascii="宋体" w:hAnsi="宋体" w:cs="宋体"/>
          <w:b/>
          <w:color w:val="auto"/>
          <w:sz w:val="30"/>
          <w:szCs w:val="30"/>
          <w:highlight w:val="none"/>
          <w:lang w:val="zh-CN"/>
        </w:rPr>
        <w:t>附件</w:t>
      </w:r>
      <w:r>
        <w:rPr>
          <w:rFonts w:hint="eastAsia" w:ascii="宋体" w:hAnsi="宋体" w:cs="宋体"/>
          <w:b/>
          <w:color w:val="auto"/>
          <w:sz w:val="30"/>
          <w:szCs w:val="30"/>
          <w:highlight w:val="none"/>
          <w:lang w:val="en-US" w:eastAsia="zh-CN"/>
        </w:rPr>
        <w:t>十三</w:t>
      </w:r>
      <w:r>
        <w:rPr>
          <w:rFonts w:hint="eastAsia" w:ascii="宋体" w:hAnsi="宋体" w:cs="宋体"/>
          <w:b/>
          <w:color w:val="auto"/>
          <w:sz w:val="30"/>
          <w:szCs w:val="30"/>
          <w:highlight w:val="none"/>
          <w:lang w:val="zh-CN"/>
        </w:rPr>
        <w:t>：项目团队</w:t>
      </w:r>
      <w:bookmarkEnd w:id="628"/>
      <w:bookmarkEnd w:id="629"/>
      <w:bookmarkEnd w:id="630"/>
    </w:p>
    <w:p>
      <w:pPr>
        <w:snapToGrid w:val="0"/>
        <w:spacing w:before="161" w:beforeLines="50" w:after="50"/>
        <w:jc w:val="center"/>
        <w:rPr>
          <w:rFonts w:hint="eastAsia" w:ascii="宋体" w:hAnsi="宋体" w:cs="宋体"/>
          <w:b/>
          <w:color w:val="auto"/>
          <w:sz w:val="30"/>
          <w:szCs w:val="30"/>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本项目职务</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证书编号</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参加本单位工作时间</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pStyle w:val="19"/>
              <w:snapToGrid w:val="0"/>
              <w:spacing w:before="161" w:beforeLines="50" w:after="50" w:line="460" w:lineRule="exact"/>
              <w:ind w:left="5250"/>
              <w:rPr>
                <w:rFonts w:hint="eastAsia"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pPr>
              <w:snapToGrid w:val="0"/>
              <w:spacing w:before="161" w:beforeLines="50" w:after="50" w:line="460" w:lineRule="exact"/>
              <w:rPr>
                <w:rFonts w:hint="eastAsia" w:ascii="宋体" w:hAnsi="宋体" w:cs="宋体"/>
                <w:color w:val="auto"/>
                <w:sz w:val="24"/>
                <w:highlight w:val="none"/>
              </w:rPr>
            </w:pPr>
          </w:p>
        </w:tc>
      </w:tr>
    </w:tbl>
    <w:p>
      <w:pPr>
        <w:adjustRightInd w:val="0"/>
        <w:snapToGrid w:val="0"/>
        <w:spacing w:line="360" w:lineRule="auto"/>
        <w:jc w:val="left"/>
        <w:rPr>
          <w:rFonts w:hint="eastAsia" w:ascii="宋体" w:hAnsi="宋体" w:cs="宋体"/>
          <w:color w:val="auto"/>
          <w:sz w:val="24"/>
          <w:highlight w:val="none"/>
        </w:rPr>
      </w:pPr>
    </w:p>
    <w:p>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注：在填写时，如本表格不适合投标单位的实际情况，可根据本表格式自行划表填写。 </w:t>
      </w:r>
    </w:p>
    <w:p>
      <w:pPr>
        <w:snapToGrid w:val="0"/>
        <w:spacing w:before="50" w:after="161" w:afterLines="50" w:line="460" w:lineRule="exact"/>
        <w:jc w:val="left"/>
        <w:rPr>
          <w:rFonts w:hint="eastAsia" w:ascii="宋体" w:hAnsi="宋体" w:cs="宋体"/>
          <w:color w:val="auto"/>
          <w:sz w:val="24"/>
          <w:highlight w:val="none"/>
        </w:rPr>
      </w:pPr>
    </w:p>
    <w:p>
      <w:pPr>
        <w:pStyle w:val="13"/>
        <w:rPr>
          <w:rFonts w:hint="eastAsia" w:ascii="宋体" w:hAnsi="宋体" w:cs="宋体"/>
          <w:color w:val="auto"/>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spacing w:line="360" w:lineRule="auto"/>
        <w:jc w:val="center"/>
        <w:rPr>
          <w:rFonts w:hint="eastAsia" w:ascii="宋体" w:hAnsi="宋体" w:cs="宋体"/>
          <w:b/>
          <w:color w:val="auto"/>
          <w:kern w:val="0"/>
          <w:sz w:val="36"/>
          <w:szCs w:val="36"/>
          <w:highlight w:val="none"/>
        </w:rPr>
      </w:pPr>
      <w:r>
        <w:rPr>
          <w:rFonts w:hint="eastAsia" w:ascii="宋体" w:hAnsi="宋体" w:cs="宋体"/>
          <w:color w:val="auto"/>
          <w:spacing w:val="20"/>
          <w:sz w:val="30"/>
          <w:szCs w:val="30"/>
          <w:highlight w:val="none"/>
        </w:rPr>
        <w:br w:type="page"/>
      </w:r>
      <w:r>
        <w:rPr>
          <w:rFonts w:hint="eastAsia" w:ascii="宋体" w:hAnsi="宋体" w:cs="宋体"/>
          <w:b/>
          <w:color w:val="auto"/>
          <w:kern w:val="0"/>
          <w:sz w:val="36"/>
          <w:szCs w:val="36"/>
          <w:highlight w:val="none"/>
        </w:rPr>
        <w:t>报价文件</w:t>
      </w:r>
    </w:p>
    <w:p>
      <w:pPr>
        <w:spacing w:line="360" w:lineRule="auto"/>
        <w:jc w:val="center"/>
        <w:rPr>
          <w:rFonts w:hint="eastAsia" w:ascii="宋体" w:hAnsi="宋体" w:cs="宋体"/>
          <w:b/>
          <w:color w:val="auto"/>
          <w:kern w:val="0"/>
          <w:sz w:val="36"/>
          <w:szCs w:val="36"/>
          <w:highlight w:val="none"/>
        </w:rPr>
      </w:pPr>
    </w:p>
    <w:p>
      <w:pPr>
        <w:spacing w:line="360" w:lineRule="auto"/>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pStyle w:val="13"/>
        <w:ind w:firstLine="723"/>
        <w:rPr>
          <w:rFonts w:hint="eastAsia" w:ascii="宋体" w:hAnsi="宋体" w:cs="宋体"/>
          <w:b/>
          <w:color w:val="auto"/>
          <w:kern w:val="0"/>
          <w:sz w:val="36"/>
          <w:szCs w:val="36"/>
          <w:highlight w:val="none"/>
        </w:rPr>
      </w:pPr>
    </w:p>
    <w:p>
      <w:pPr>
        <w:numPr>
          <w:ilvl w:val="0"/>
          <w:numId w:val="62"/>
        </w:numPr>
        <w:tabs>
          <w:tab w:val="left" w:pos="1440"/>
          <w:tab w:val="left" w:pos="1620"/>
          <w:tab w:val="left" w:pos="1800"/>
          <w:tab w:val="left" w:pos="1980"/>
        </w:tabs>
        <w:autoSpaceDE w:val="0"/>
        <w:autoSpaceDN w:val="0"/>
        <w:spacing w:line="360" w:lineRule="auto"/>
        <w:ind w:firstLine="480" w:firstLineChars="200"/>
        <w:textAlignment w:val="bottom"/>
        <w:rPr>
          <w:rFonts w:hint="eastAsia" w:ascii="宋体" w:hAnsi="宋体" w:cs="宋体"/>
          <w:color w:val="auto"/>
          <w:sz w:val="24"/>
          <w:highlight w:val="none"/>
        </w:rPr>
      </w:pPr>
      <w:r>
        <w:rPr>
          <w:rFonts w:hint="eastAsia" w:ascii="宋体" w:hAnsi="宋体" w:cs="宋体"/>
          <w:color w:val="auto"/>
          <w:sz w:val="24"/>
          <w:highlight w:val="none"/>
        </w:rPr>
        <w:t>投标函（格式见附件）；</w:t>
      </w:r>
    </w:p>
    <w:p>
      <w:pPr>
        <w:numPr>
          <w:ilvl w:val="0"/>
          <w:numId w:val="62"/>
        </w:numPr>
        <w:tabs>
          <w:tab w:val="left" w:pos="1440"/>
          <w:tab w:val="left" w:pos="1620"/>
          <w:tab w:val="left" w:pos="1800"/>
          <w:tab w:val="left" w:pos="1980"/>
        </w:tabs>
        <w:autoSpaceDE w:val="0"/>
        <w:autoSpaceDN w:val="0"/>
        <w:spacing w:line="360" w:lineRule="auto"/>
        <w:ind w:firstLine="480" w:firstLineChars="200"/>
        <w:textAlignment w:val="bottom"/>
        <w:rPr>
          <w:rFonts w:hint="eastAsia" w:ascii="宋体" w:hAnsi="宋体" w:cs="宋体"/>
          <w:color w:val="auto"/>
          <w:sz w:val="24"/>
          <w:highlight w:val="none"/>
        </w:rPr>
      </w:pPr>
      <w:r>
        <w:rPr>
          <w:rFonts w:hint="eastAsia" w:ascii="宋体" w:hAnsi="宋体" w:cs="宋体"/>
          <w:color w:val="auto"/>
          <w:sz w:val="24"/>
          <w:highlight w:val="none"/>
        </w:rPr>
        <w:t>开标一览表（格式见附件）；</w:t>
      </w:r>
    </w:p>
    <w:p>
      <w:pPr>
        <w:numPr>
          <w:ilvl w:val="0"/>
          <w:numId w:val="62"/>
        </w:numPr>
        <w:tabs>
          <w:tab w:val="left" w:pos="1440"/>
          <w:tab w:val="left" w:pos="1620"/>
          <w:tab w:val="left" w:pos="1800"/>
          <w:tab w:val="left" w:pos="1980"/>
        </w:tabs>
        <w:autoSpaceDE w:val="0"/>
        <w:autoSpaceDN w:val="0"/>
        <w:spacing w:line="360" w:lineRule="auto"/>
        <w:ind w:firstLine="480" w:firstLineChars="200"/>
        <w:textAlignment w:val="bottom"/>
        <w:rPr>
          <w:rFonts w:hint="eastAsia" w:ascii="宋体" w:hAnsi="宋体" w:cs="宋体"/>
          <w:color w:val="auto"/>
          <w:sz w:val="24"/>
          <w:highlight w:val="none"/>
        </w:rPr>
      </w:pPr>
      <w:r>
        <w:rPr>
          <w:rFonts w:hint="eastAsia" w:ascii="宋体" w:hAnsi="宋体" w:cs="宋体"/>
          <w:color w:val="auto"/>
          <w:sz w:val="24"/>
          <w:highlight w:val="none"/>
        </w:rPr>
        <w:t>投标报价明细表（格式见附件）。</w:t>
      </w: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13"/>
        <w:ind w:firstLine="560"/>
        <w:rPr>
          <w:rFonts w:hint="eastAsia" w:ascii="宋体" w:hAnsi="宋体" w:cs="宋体"/>
          <w:color w:val="auto"/>
          <w:sz w:val="28"/>
          <w:szCs w:val="28"/>
          <w:highlight w:val="none"/>
        </w:rPr>
      </w:pPr>
    </w:p>
    <w:p>
      <w:pPr>
        <w:pStyle w:val="2"/>
        <w:jc w:val="center"/>
        <w:rPr>
          <w:rFonts w:hint="eastAsia" w:hAnsi="宋体" w:cs="宋体"/>
          <w:color w:val="auto"/>
          <w:sz w:val="30"/>
          <w:szCs w:val="30"/>
          <w:highlight w:val="none"/>
          <w:lang w:val="zh-CN"/>
        </w:rPr>
      </w:pPr>
      <w:bookmarkStart w:id="631" w:name="_Toc28332"/>
      <w:bookmarkStart w:id="632" w:name="_Toc3094"/>
      <w:r>
        <w:rPr>
          <w:rFonts w:hint="eastAsia" w:hAnsi="宋体" w:cs="宋体"/>
          <w:color w:val="auto"/>
          <w:sz w:val="30"/>
          <w:szCs w:val="30"/>
          <w:highlight w:val="none"/>
          <w:lang w:val="zh-CN"/>
        </w:rPr>
        <w:br w:type="page"/>
      </w:r>
      <w:bookmarkStart w:id="633" w:name="_Toc23348"/>
      <w:r>
        <w:rPr>
          <w:rFonts w:hint="eastAsia" w:hAnsi="宋体" w:cs="宋体"/>
          <w:color w:val="auto"/>
          <w:sz w:val="30"/>
          <w:szCs w:val="30"/>
          <w:highlight w:val="none"/>
          <w:lang w:val="zh-CN"/>
        </w:rPr>
        <w:t>附件</w:t>
      </w:r>
      <w:bookmarkStart w:id="634" w:name="_Toc130094924"/>
      <w:bookmarkStart w:id="635" w:name="_Toc98731770"/>
      <w:r>
        <w:rPr>
          <w:rFonts w:hint="eastAsia" w:hAnsi="宋体" w:cs="宋体"/>
          <w:color w:val="auto"/>
          <w:sz w:val="30"/>
          <w:szCs w:val="30"/>
          <w:highlight w:val="none"/>
          <w:lang w:val="en-US" w:eastAsia="zh-CN"/>
        </w:rPr>
        <w:t>十四</w:t>
      </w:r>
      <w:r>
        <w:rPr>
          <w:rFonts w:hint="eastAsia" w:hAnsi="宋体" w:cs="宋体"/>
          <w:color w:val="auto"/>
          <w:sz w:val="30"/>
          <w:szCs w:val="30"/>
          <w:highlight w:val="none"/>
          <w:lang w:val="zh-CN"/>
        </w:rPr>
        <w:t>：投 标 函</w:t>
      </w:r>
      <w:bookmarkEnd w:id="631"/>
      <w:bookmarkEnd w:id="632"/>
      <w:bookmarkEnd w:id="633"/>
      <w:bookmarkEnd w:id="634"/>
      <w:bookmarkEnd w:id="635"/>
    </w:p>
    <w:p>
      <w:pPr>
        <w:spacing w:line="360" w:lineRule="auto"/>
        <w:ind w:firstLine="480" w:firstLineChars="200"/>
        <w:rPr>
          <w:rFonts w:hint="eastAsia" w:ascii="宋体" w:hAnsi="宋体" w:cs="宋体"/>
          <w:color w:val="auto"/>
          <w:sz w:val="24"/>
          <w:highlight w:val="none"/>
          <w:u w:val="singl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绍兴市公安局上虞区分局</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浙江宇康工程管理咨询有限公司</w:t>
      </w:r>
      <w:r>
        <w:rPr>
          <w:rFonts w:hint="eastAsia" w:ascii="宋体" w:hAnsi="宋体" w:cs="宋体"/>
          <w:color w:val="auto"/>
          <w:sz w:val="24"/>
          <w:highlight w:val="none"/>
        </w:rPr>
        <w:t>：</w:t>
      </w:r>
    </w:p>
    <w:p>
      <w:pPr>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我单位认真研究了关于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招标文件，包括修改文件（如有的话）以及全部参考资料和有关附件。我们完全理解并接受招标文件的各项规定和要求，对招标文件的合理性、合法性不再有异议。如招标文件前后有矛盾的，我方完全同意按贵方的理解处理。我单位承诺：</w:t>
      </w:r>
    </w:p>
    <w:p>
      <w:pPr>
        <w:spacing w:line="360" w:lineRule="auto"/>
        <w:ind w:firstLine="504" w:firstLineChars="240"/>
        <w:rPr>
          <w:rFonts w:hint="eastAsia" w:ascii="宋体" w:hAnsi="宋体" w:cs="宋体"/>
          <w:color w:val="auto"/>
          <w:sz w:val="24"/>
          <w:highlight w:val="none"/>
        </w:rPr>
      </w:pPr>
      <w:r>
        <w:rPr>
          <w:rFonts w:hint="eastAsia" w:ascii="宋体" w:hAnsi="宋体" w:cs="宋体"/>
          <w:color w:val="auto"/>
          <w:highlight w:val="none"/>
          <w:lang/>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495300</wp:posOffset>
                </wp:positionV>
                <wp:extent cx="635" cy="0"/>
                <wp:effectExtent l="0" t="4445" r="0" b="5080"/>
                <wp:wrapNone/>
                <wp:docPr id="1" name="直接连接符 2"/>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 o:spid="_x0000_s1026" o:spt="20" style="position:absolute;left:0pt;margin-left:9pt;margin-top:39pt;height:0pt;width:0.05pt;z-index:251659264;mso-width-relative:page;mso-height-relative:page;" filled="f" stroked="t" coordsize="21600,21600" o:allowincell="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EFJv7AEAALgDAAAOAAAAZHJzL2Uyb0RvYy54bWysU0uOEzEQ3SNxB8t70knQjKCVziwShs0I Is1wgIrt7rbwTy6TTi7BBZDYwYole24zwzEoOx9mhg1C9KJkl6ue6z2/nl1srWEbFVF71/DJaMyZ csJL7bqGv7u5fPaCM0zgJBjvVMN3CvnF/OmT2RBqNfW9N1JFRiAO6yE0vE8p1FWFolcWcOSDcnTY +mgh0TZ2lYwwELo11XQ8Pq8GH2WIXihEyi73h3xe8NtWifS2bVElZhpOs6USY4nrHKv5DOouQui1 OIwB/zCFBe3o0hPUEhKwD1H/AWW1iB59m0bC28q3rRaqcCA2k/EjNtc9BFW4kDgYTjLh/4MVbzar yLRs+JQzB5ae6O7T99uPX37++Ezx7ttXNs0iDQFrql24Vcw0xdZdhysv3iNzftGD61QZ9mYXCGGS O6oHLXmDYd+8baPNIMSebctT7E5PobaJCUqePz/jTBzzFdTHphAxvVbesrxouNEuKwQ1bK4w5Wuh PpbktHFsaPjLs2mGAzJYayDR0gaijK4rveiNlpfamNyBsVsvTGQbyJYpX6FDJ/fL8iVLwH5fV472 ZuoVyFdOslSkcOR6nkewSnJmFP0keVVsl0Cbv6kkSsYdBN1rmNVce7lbxaPQZI/C/WDl7L/7+9L9 +4eb/wIAAP//AwBQSwMEFAAGAAgAAAAhAA98H6XdAAAADAEAAA8AAABkcnMvZG93bnJldi54bWxM j0FPwzAMhe9I/IfISFwmlm5IUHVNJ8TojQsbiKvXmLaicbom2wq/Hlcc4GLr05Of38vXo+vUiYbQ ejawmCegiCtvW64NvO7KmxRUiMgWO89k4IsCrIvLixwz68/8QqdtrJWYcMjQQBNjn2kdqoYchrnv iUX78IPDKDjU2g54FnPX6WWS3GmHLcuHBnt6bKj63B6dgVC+0aH8nlWz5P229rQ8bJ6f0Jjrq3Gz kvGwAhVpjH8XMHWQ/FBIsL0/sg2qE06lTzRwP+1JTxeg9r+si1z/L1H8AAAA//8DAFBLAQItABQA BgAIAAAAIQC2gziS/gAAAOEBAAATAAAAAAAAAAAAAAAAAAAAAABbQ29udGVudF9UeXBlc10ueG1s UEsBAi0AFAAGAAgAAAAhADj9If/WAAAAlAEAAAsAAAAAAAAAAAAAAAAALwEAAF9yZWxzLy5yZWxz UEsBAi0AFAAGAAgAAAAhAHgQUm/sAQAAuAMAAA4AAAAAAAAAAAAAAAAALgIAAGRycy9lMm9Eb2Mu eG1sUEsBAi0AFAAGAAgAAAAhAA98H6XdAAAADAEAAA8AAAAAAAAAAAAAAAAARgQAAGRycy9kb3du cmV2LnhtbFBLBQYAAAAABAAEAPMAAABQBQAAAAA= ">
                <v:fill on="f" focussize="0,0"/>
                <v:stroke color="#000000" joinstyle="round"/>
                <v:imagedata o:title=""/>
                <o:lock v:ext="edit" aspectratio="f"/>
              </v:line>
            </w:pict>
          </mc:Fallback>
        </mc:AlternateContent>
      </w:r>
      <w:r>
        <w:rPr>
          <w:rFonts w:hint="eastAsia" w:ascii="宋体" w:hAnsi="宋体" w:cs="宋体"/>
          <w:color w:val="auto"/>
          <w:sz w:val="24"/>
          <w:highlight w:val="none"/>
        </w:rPr>
        <w:t>1、一旦我单位中标，我单位愿意承接开标一览表中所列的设备供应及技术服务，承诺工期为：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2、我单位同意提供按照</w:t>
      </w:r>
      <w:r>
        <w:rPr>
          <w:rFonts w:hint="eastAsia" w:ascii="宋体" w:hAnsi="宋体" w:cs="宋体"/>
          <w:bCs/>
          <w:color w:val="auto"/>
          <w:sz w:val="24"/>
          <w:highlight w:val="none"/>
        </w:rPr>
        <w:t>采购人的可能要求与其投标有关的一切数据和资料，完全理解采购人不一定要接受最低价者作为中标人</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3、一旦我单位中标，我们保证按照招标文件的要求，完成设备交货、安装、验收并交付使用。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4、如果我单位中标，我方将按照要求提交履约保证金，严格履行合同义务。</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5、除非另行达成协议并生效，你方的中标通知书和本投标函将构成约束你我双方的合同。</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6、我单位承诺，一旦发生招标文件第二部分第12条规定情形之一的，承担该条款约定的责任。</w:t>
      </w:r>
    </w:p>
    <w:p>
      <w:pPr>
        <w:pStyle w:val="17"/>
        <w:snapToGrid w:val="0"/>
        <w:spacing w:line="360" w:lineRule="auto"/>
        <w:ind w:left="480"/>
        <w:jc w:val="left"/>
        <w:rPr>
          <w:rFonts w:hint="eastAsia" w:hAnsi="宋体" w:cs="宋体"/>
          <w:color w:val="auto"/>
          <w:sz w:val="24"/>
          <w:highlight w:val="none"/>
        </w:rPr>
      </w:pPr>
      <w:r>
        <w:rPr>
          <w:rFonts w:hint="eastAsia" w:hAnsi="宋体" w:cs="宋体"/>
          <w:color w:val="auto"/>
          <w:sz w:val="24"/>
          <w:highlight w:val="none"/>
        </w:rPr>
        <w:t xml:space="preserve"> </w:t>
      </w:r>
    </w:p>
    <w:p>
      <w:pPr>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地址：</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邮编：</w:t>
      </w:r>
      <w:r>
        <w:rPr>
          <w:rFonts w:hint="eastAsia" w:ascii="宋体" w:hAnsi="宋体" w:cs="宋体"/>
          <w:bCs/>
          <w:color w:val="auto"/>
          <w:sz w:val="24"/>
          <w:szCs w:val="21"/>
          <w:highlight w:val="none"/>
          <w:u w:val="single"/>
        </w:rPr>
        <w:t xml:space="preserve">                 </w:t>
      </w:r>
    </w:p>
    <w:p>
      <w:pPr>
        <w:spacing w:line="360" w:lineRule="auto"/>
        <w:ind w:firstLine="480" w:firstLineChars="200"/>
        <w:rPr>
          <w:rFonts w:hint="eastAsia" w:ascii="宋体" w:hAnsi="宋体" w:cs="宋体"/>
          <w:bCs/>
          <w:color w:val="auto"/>
          <w:sz w:val="24"/>
          <w:szCs w:val="21"/>
          <w:highlight w:val="none"/>
          <w:u w:val="single"/>
        </w:rPr>
      </w:pPr>
      <w:r>
        <w:rPr>
          <w:rFonts w:hint="eastAsia" w:ascii="宋体" w:hAnsi="宋体" w:cs="宋体"/>
          <w:bCs/>
          <w:color w:val="auto"/>
          <w:sz w:val="24"/>
          <w:szCs w:val="21"/>
          <w:highlight w:val="none"/>
        </w:rPr>
        <w:t>电话：</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传真：</w:t>
      </w:r>
      <w:r>
        <w:rPr>
          <w:rFonts w:hint="eastAsia" w:ascii="宋体" w:hAnsi="宋体" w:cs="宋体"/>
          <w:bCs/>
          <w:color w:val="auto"/>
          <w:sz w:val="24"/>
          <w:szCs w:val="21"/>
          <w:highlight w:val="none"/>
          <w:u w:val="single"/>
        </w:rPr>
        <w:t xml:space="preserve">                 </w:t>
      </w:r>
    </w:p>
    <w:p>
      <w:pPr>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供应商代表姓名：</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职务：</w:t>
      </w:r>
      <w:r>
        <w:rPr>
          <w:rFonts w:hint="eastAsia" w:ascii="宋体" w:hAnsi="宋体" w:cs="宋体"/>
          <w:bCs/>
          <w:color w:val="auto"/>
          <w:sz w:val="24"/>
          <w:szCs w:val="21"/>
          <w:highlight w:val="none"/>
          <w:u w:val="single"/>
        </w:rPr>
        <w:t xml:space="preserve">                 </w:t>
      </w:r>
    </w:p>
    <w:p>
      <w:pPr>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供应商名称</w:t>
      </w:r>
      <w:r>
        <w:rPr>
          <w:rFonts w:hint="eastAsia" w:ascii="宋体" w:hAnsi="宋体" w:cs="宋体"/>
          <w:bCs/>
          <w:color w:val="auto"/>
          <w:sz w:val="24"/>
          <w:szCs w:val="21"/>
          <w:highlight w:val="none"/>
          <w:u w:val="single"/>
        </w:rPr>
        <w:t>：                   　　　</w:t>
      </w:r>
    </w:p>
    <w:p>
      <w:pPr>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 xml:space="preserve">（公章）：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firstLine="5280" w:firstLineChars="2200"/>
        <w:rPr>
          <w:rFonts w:hint="eastAsia" w:ascii="宋体" w:hAnsi="宋体" w:cs="宋体"/>
          <w:bCs/>
          <w:color w:val="auto"/>
          <w:sz w:val="24"/>
          <w:szCs w:val="21"/>
          <w:highlight w:val="none"/>
        </w:rPr>
      </w:pPr>
    </w:p>
    <w:p>
      <w:pPr>
        <w:pStyle w:val="2"/>
        <w:jc w:val="center"/>
        <w:rPr>
          <w:rFonts w:hint="eastAsia" w:hAnsi="宋体" w:cs="宋体"/>
          <w:color w:val="auto"/>
          <w:sz w:val="30"/>
          <w:szCs w:val="30"/>
          <w:highlight w:val="none"/>
          <w:lang w:val="zh-CN"/>
        </w:rPr>
      </w:pPr>
      <w:bookmarkStart w:id="636" w:name="_Toc12011"/>
      <w:r>
        <w:rPr>
          <w:rFonts w:hint="eastAsia" w:hAnsi="宋体" w:cs="宋体"/>
          <w:bCs/>
          <w:color w:val="auto"/>
          <w:sz w:val="24"/>
          <w:szCs w:val="24"/>
          <w:highlight w:val="none"/>
          <w:lang w:val="zh-CN"/>
        </w:rPr>
        <w:br w:type="page"/>
      </w:r>
      <w:bookmarkStart w:id="637" w:name="_Toc12558"/>
      <w:bookmarkStart w:id="638" w:name="_Toc21174"/>
      <w:r>
        <w:rPr>
          <w:rFonts w:hint="eastAsia" w:hAnsi="宋体" w:cs="宋体"/>
          <w:color w:val="auto"/>
          <w:sz w:val="30"/>
          <w:szCs w:val="30"/>
          <w:highlight w:val="none"/>
          <w:lang w:val="zh-CN"/>
        </w:rPr>
        <w:t>附件</w:t>
      </w:r>
      <w:bookmarkStart w:id="639" w:name="_Toc130094925"/>
      <w:bookmarkStart w:id="640" w:name="_Toc98731771"/>
      <w:r>
        <w:rPr>
          <w:rFonts w:hint="eastAsia" w:hAnsi="宋体" w:cs="宋体"/>
          <w:color w:val="auto"/>
          <w:sz w:val="30"/>
          <w:szCs w:val="30"/>
          <w:highlight w:val="none"/>
          <w:lang w:val="zh-CN"/>
        </w:rPr>
        <w:t>十</w:t>
      </w:r>
      <w:r>
        <w:rPr>
          <w:rFonts w:hint="eastAsia" w:hAnsi="宋体" w:cs="宋体"/>
          <w:color w:val="auto"/>
          <w:sz w:val="30"/>
          <w:szCs w:val="30"/>
          <w:highlight w:val="none"/>
          <w:lang w:val="en-US" w:eastAsia="zh-CN"/>
        </w:rPr>
        <w:t>五</w:t>
      </w:r>
      <w:r>
        <w:rPr>
          <w:rFonts w:hint="eastAsia" w:hAnsi="宋体" w:cs="宋体"/>
          <w:color w:val="auto"/>
          <w:sz w:val="30"/>
          <w:szCs w:val="30"/>
          <w:highlight w:val="none"/>
          <w:lang w:val="zh-CN"/>
        </w:rPr>
        <w:t>：开标一览表</w:t>
      </w:r>
      <w:bookmarkEnd w:id="636"/>
      <w:bookmarkEnd w:id="637"/>
      <w:bookmarkEnd w:id="638"/>
      <w:bookmarkEnd w:id="639"/>
      <w:bookmarkEnd w:id="640"/>
    </w:p>
    <w:p>
      <w:pPr>
        <w:pStyle w:val="17"/>
        <w:spacing w:line="360" w:lineRule="auto"/>
        <w:rPr>
          <w:rFonts w:hint="eastAsia" w:hAnsi="宋体" w:cs="宋体"/>
          <w:color w:val="auto"/>
          <w:sz w:val="24"/>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采购编号：</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jc w:val="center"/>
        </w:trPr>
        <w:tc>
          <w:tcPr>
            <w:tcW w:w="2089" w:type="dxa"/>
            <w:noWrap w:val="0"/>
            <w:vAlign w:val="center"/>
          </w:tcPr>
          <w:p>
            <w:pPr>
              <w:pStyle w:val="17"/>
              <w:spacing w:line="360" w:lineRule="auto"/>
              <w:jc w:val="center"/>
              <w:rPr>
                <w:rFonts w:hint="eastAsia" w:hAnsi="宋体" w:cs="宋体"/>
                <w:b/>
                <w:bCs/>
                <w:color w:val="auto"/>
                <w:sz w:val="24"/>
                <w:highlight w:val="none"/>
              </w:rPr>
            </w:pPr>
            <w:r>
              <w:rPr>
                <w:rFonts w:hint="eastAsia" w:hAnsi="宋体" w:cs="宋体"/>
                <w:b/>
                <w:bCs/>
                <w:color w:val="auto"/>
                <w:sz w:val="24"/>
                <w:highlight w:val="none"/>
              </w:rPr>
              <w:t>投标总价</w:t>
            </w:r>
          </w:p>
        </w:tc>
        <w:tc>
          <w:tcPr>
            <w:tcW w:w="6707" w:type="dxa"/>
            <w:noWrap w:val="0"/>
            <w:vAlign w:val="center"/>
          </w:tcPr>
          <w:p>
            <w:pPr>
              <w:pStyle w:val="17"/>
              <w:spacing w:line="360" w:lineRule="auto"/>
              <w:jc w:val="center"/>
              <w:rPr>
                <w:rFonts w:hint="eastAsia" w:hAnsi="宋体" w:cs="宋体"/>
                <w:b/>
                <w:bCs/>
                <w:color w:val="auto"/>
                <w:sz w:val="24"/>
                <w:highlight w:val="none"/>
              </w:rPr>
            </w:pPr>
            <w:r>
              <w:rPr>
                <w:rFonts w:hint="eastAsia" w:hAnsi="宋体" w:cs="宋体"/>
                <w:b/>
                <w:bCs/>
                <w:color w:val="auto"/>
                <w:sz w:val="24"/>
                <w:highlight w:val="none"/>
              </w:rPr>
              <w:t>大写：</w:t>
            </w:r>
            <w:r>
              <w:rPr>
                <w:rFonts w:hint="eastAsia" w:hAnsi="宋体" w:cs="宋体"/>
                <w:b/>
                <w:bCs/>
                <w:color w:val="auto"/>
                <w:sz w:val="24"/>
                <w:highlight w:val="none"/>
                <w:u w:val="single"/>
              </w:rPr>
              <w:t xml:space="preserve">　　　　            </w:t>
            </w:r>
            <w:r>
              <w:rPr>
                <w:rFonts w:hint="eastAsia" w:hAnsi="宋体" w:cs="宋体"/>
                <w:b/>
                <w:bCs/>
                <w:color w:val="auto"/>
                <w:sz w:val="24"/>
                <w:highlight w:val="none"/>
              </w:rPr>
              <w:t>元（小写：</w:t>
            </w:r>
            <w:r>
              <w:rPr>
                <w:rFonts w:hint="eastAsia" w:hAnsi="宋体" w:cs="宋体"/>
                <w:b/>
                <w:bCs/>
                <w:color w:val="auto"/>
                <w:sz w:val="24"/>
                <w:highlight w:val="none"/>
                <w:u w:val="single"/>
              </w:rPr>
              <w:t xml:space="preserve">　　　　 </w:t>
            </w:r>
            <w:r>
              <w:rPr>
                <w:rFonts w:hint="eastAsia" w:hAnsi="宋体" w:cs="宋体"/>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9" w:hRule="atLeast"/>
          <w:jc w:val="center"/>
        </w:trPr>
        <w:tc>
          <w:tcPr>
            <w:tcW w:w="8796" w:type="dxa"/>
            <w:gridSpan w:val="2"/>
            <w:noWrap w:val="0"/>
            <w:vAlign w:val="center"/>
          </w:tcPr>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是“交钥匙”工程，即将所提供的软、硬件产品按采购人的要求安装，调试完毕，保证采购人能够正常部署系统。投标报价应包含项目所需全部货物、服务，不得缺漏，是履行合同的最终价格，包括但不限于设备租</w:t>
            </w:r>
            <w:r>
              <w:rPr>
                <w:rFonts w:hint="eastAsia" w:ascii="宋体" w:hAnsi="宋体" w:cs="宋体"/>
                <w:color w:val="auto"/>
                <w:sz w:val="24"/>
                <w:highlight w:val="none"/>
                <w:lang w:val="en-US" w:eastAsia="zh-CN"/>
              </w:rPr>
              <w:t>用</w:t>
            </w:r>
            <w:r>
              <w:rPr>
                <w:rFonts w:hint="eastAsia" w:ascii="宋体" w:hAnsi="宋体" w:cs="宋体"/>
                <w:color w:val="auto"/>
                <w:sz w:val="24"/>
                <w:highlight w:val="none"/>
              </w:rPr>
              <w:t>费（含设备、配件、管线、备品备件等）、软件费（含设计、开发、集成、测试、维护、升级等）、实施部署费、安装费、调试费、运杂费、技术培训费、售后服务费、人工费用、培训、税金、招标代理费等一切为本项目而产生的所有费用。投标人在编写投标人案时应充分考虑各种风险因素，凡投标人漏项、漏报均认为已包含在报价中，结算时不再增加。</w:t>
            </w:r>
          </w:p>
        </w:tc>
      </w:tr>
    </w:tbl>
    <w:p>
      <w:pPr>
        <w:pStyle w:val="17"/>
        <w:spacing w:line="360" w:lineRule="auto"/>
        <w:rPr>
          <w:rFonts w:hint="eastAsia" w:hAnsi="宋体" w:cs="宋体"/>
          <w:color w:val="auto"/>
          <w:sz w:val="24"/>
          <w:highlight w:val="none"/>
        </w:rPr>
      </w:pPr>
    </w:p>
    <w:p>
      <w:pPr>
        <w:pStyle w:val="17"/>
        <w:spacing w:line="360" w:lineRule="auto"/>
        <w:rPr>
          <w:rFonts w:hint="eastAsia" w:hAnsi="宋体" w:cs="宋体"/>
          <w:color w:val="auto"/>
          <w:sz w:val="24"/>
          <w:highlight w:val="none"/>
        </w:rPr>
      </w:pPr>
    </w:p>
    <w:p>
      <w:pPr>
        <w:pStyle w:val="17"/>
        <w:spacing w:line="360" w:lineRule="auto"/>
        <w:rPr>
          <w:rFonts w:hint="eastAsia" w:hAnsi="宋体" w:cs="宋体"/>
          <w:color w:val="auto"/>
          <w:sz w:val="24"/>
          <w:highlight w:val="none"/>
        </w:rPr>
      </w:pP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pPr>
        <w:snapToGrid w:val="0"/>
        <w:spacing w:line="360" w:lineRule="auto"/>
        <w:ind w:firstLine="435"/>
        <w:rPr>
          <w:rFonts w:hint="eastAsia" w:ascii="宋体" w:hAnsi="宋体" w:cs="宋体"/>
          <w:color w:val="auto"/>
          <w:highlight w:val="none"/>
        </w:rPr>
      </w:pPr>
    </w:p>
    <w:p>
      <w:pPr>
        <w:snapToGrid w:val="0"/>
        <w:spacing w:line="360" w:lineRule="auto"/>
        <w:ind w:firstLine="435"/>
        <w:rPr>
          <w:rFonts w:hint="eastAsia" w:ascii="宋体" w:hAnsi="宋体" w:cs="宋体"/>
          <w:color w:val="auto"/>
          <w:highlight w:val="none"/>
        </w:rPr>
      </w:pPr>
    </w:p>
    <w:p>
      <w:pPr>
        <w:snapToGrid w:val="0"/>
        <w:spacing w:line="360" w:lineRule="auto"/>
        <w:ind w:firstLine="435"/>
        <w:rPr>
          <w:rFonts w:hint="eastAsia" w:ascii="宋体" w:hAnsi="宋体" w:cs="宋体"/>
          <w:color w:val="auto"/>
          <w:highlight w:val="none"/>
        </w:rPr>
      </w:pPr>
    </w:p>
    <w:p>
      <w:pPr>
        <w:snapToGrid w:val="0"/>
        <w:spacing w:line="360" w:lineRule="auto"/>
        <w:ind w:firstLine="435"/>
        <w:rPr>
          <w:rFonts w:hint="eastAsia" w:ascii="宋体" w:hAnsi="宋体" w:cs="宋体"/>
          <w:color w:val="auto"/>
          <w:highlight w:val="none"/>
        </w:rPr>
      </w:pPr>
    </w:p>
    <w:p>
      <w:pPr>
        <w:snapToGrid w:val="0"/>
        <w:spacing w:line="360" w:lineRule="auto"/>
        <w:ind w:firstLine="435"/>
        <w:rPr>
          <w:rFonts w:hint="eastAsia" w:ascii="宋体" w:hAnsi="宋体" w:cs="宋体"/>
          <w:color w:val="auto"/>
          <w:highlight w:val="none"/>
        </w:rPr>
      </w:pPr>
    </w:p>
    <w:p>
      <w:pPr>
        <w:pStyle w:val="2"/>
        <w:jc w:val="center"/>
        <w:rPr>
          <w:rFonts w:hint="eastAsia" w:hAnsi="宋体" w:cs="宋体"/>
          <w:color w:val="auto"/>
          <w:sz w:val="30"/>
          <w:szCs w:val="30"/>
          <w:highlight w:val="none"/>
          <w:lang w:val="zh-CN"/>
        </w:rPr>
      </w:pPr>
      <w:r>
        <w:rPr>
          <w:rFonts w:hint="eastAsia" w:hAnsi="宋体" w:cs="宋体"/>
          <w:color w:val="auto"/>
          <w:highlight w:val="none"/>
        </w:rPr>
        <w:br w:type="page"/>
      </w:r>
      <w:bookmarkStart w:id="641" w:name="_Toc28995"/>
      <w:bookmarkStart w:id="642" w:name="_Toc22143"/>
      <w:bookmarkStart w:id="643" w:name="_Toc7196"/>
      <w:r>
        <w:rPr>
          <w:rFonts w:hint="eastAsia" w:hAnsi="宋体" w:cs="宋体"/>
          <w:color w:val="auto"/>
          <w:sz w:val="30"/>
          <w:szCs w:val="30"/>
          <w:highlight w:val="none"/>
          <w:lang w:val="zh-CN"/>
        </w:rPr>
        <w:t>附件十</w:t>
      </w:r>
      <w:r>
        <w:rPr>
          <w:rFonts w:hint="eastAsia" w:hAnsi="宋体" w:cs="宋体"/>
          <w:color w:val="auto"/>
          <w:sz w:val="30"/>
          <w:szCs w:val="30"/>
          <w:highlight w:val="none"/>
          <w:lang w:val="en-US" w:eastAsia="zh-CN"/>
        </w:rPr>
        <w:t>六</w:t>
      </w:r>
      <w:r>
        <w:rPr>
          <w:rFonts w:hint="eastAsia" w:hAnsi="宋体" w:cs="宋体"/>
          <w:color w:val="auto"/>
          <w:sz w:val="30"/>
          <w:szCs w:val="30"/>
          <w:highlight w:val="none"/>
          <w:lang w:val="zh-CN"/>
        </w:rPr>
        <w:t>：投标报价明细表</w:t>
      </w:r>
      <w:bookmarkEnd w:id="641"/>
      <w:bookmarkEnd w:id="642"/>
    </w:p>
    <w:p>
      <w:pPr>
        <w:pStyle w:val="3"/>
        <w:rPr>
          <w:rFonts w:hint="eastAsia" w:ascii="宋体" w:hAnsi="宋体" w:cs="宋体"/>
          <w:color w:val="auto"/>
          <w:highlight w:val="none"/>
          <w:lang w:val="zh-CN"/>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项目名称：</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采购编号：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w:t>
      </w:r>
    </w:p>
    <w:tbl>
      <w:tblPr>
        <w:tblStyle w:val="37"/>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80"/>
        <w:gridCol w:w="2822"/>
        <w:gridCol w:w="952"/>
        <w:gridCol w:w="720"/>
        <w:gridCol w:w="648"/>
        <w:gridCol w:w="1147"/>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0"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序</w:t>
            </w:r>
          </w:p>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号</w:t>
            </w:r>
          </w:p>
        </w:tc>
        <w:tc>
          <w:tcPr>
            <w:tcW w:w="1080"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货物</w:t>
            </w:r>
          </w:p>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名称</w:t>
            </w:r>
          </w:p>
        </w:tc>
        <w:tc>
          <w:tcPr>
            <w:tcW w:w="2822"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规格参数</w:t>
            </w:r>
          </w:p>
        </w:tc>
        <w:tc>
          <w:tcPr>
            <w:tcW w:w="952"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品牌</w:t>
            </w:r>
          </w:p>
        </w:tc>
        <w:tc>
          <w:tcPr>
            <w:tcW w:w="720"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单</w:t>
            </w:r>
          </w:p>
          <w:p>
            <w:pPr>
              <w:pStyle w:val="17"/>
              <w:spacing w:line="360" w:lineRule="auto"/>
              <w:jc w:val="center"/>
              <w:rPr>
                <w:rFonts w:hint="eastAsia" w:hAnsi="宋体" w:cs="宋体"/>
                <w:color w:val="auto"/>
                <w:highlight w:val="none"/>
              </w:rPr>
            </w:pPr>
            <w:r>
              <w:rPr>
                <w:rFonts w:hint="eastAsia" w:hAnsi="宋体" w:cs="宋体"/>
                <w:color w:val="auto"/>
                <w:sz w:val="24"/>
                <w:highlight w:val="none"/>
              </w:rPr>
              <w:t>位</w:t>
            </w:r>
          </w:p>
        </w:tc>
        <w:tc>
          <w:tcPr>
            <w:tcW w:w="648" w:type="dxa"/>
            <w:vMerge w:val="restart"/>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数量</w:t>
            </w:r>
          </w:p>
        </w:tc>
        <w:tc>
          <w:tcPr>
            <w:tcW w:w="2270" w:type="dxa"/>
            <w:gridSpan w:val="2"/>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0" w:type="dxa"/>
            <w:vMerge w:val="continue"/>
            <w:noWrap w:val="0"/>
            <w:vAlign w:val="center"/>
          </w:tcPr>
          <w:p>
            <w:pPr>
              <w:pStyle w:val="17"/>
              <w:spacing w:line="360" w:lineRule="auto"/>
              <w:jc w:val="center"/>
              <w:rPr>
                <w:rFonts w:hint="eastAsia" w:hAnsi="宋体" w:cs="宋体"/>
                <w:color w:val="auto"/>
                <w:sz w:val="24"/>
                <w:highlight w:val="none"/>
              </w:rPr>
            </w:pPr>
          </w:p>
        </w:tc>
        <w:tc>
          <w:tcPr>
            <w:tcW w:w="1080" w:type="dxa"/>
            <w:vMerge w:val="continue"/>
            <w:noWrap w:val="0"/>
            <w:vAlign w:val="center"/>
          </w:tcPr>
          <w:p>
            <w:pPr>
              <w:pStyle w:val="17"/>
              <w:spacing w:line="360" w:lineRule="auto"/>
              <w:jc w:val="center"/>
              <w:rPr>
                <w:rFonts w:hint="eastAsia" w:hAnsi="宋体" w:cs="宋体"/>
                <w:color w:val="auto"/>
                <w:sz w:val="24"/>
                <w:highlight w:val="none"/>
              </w:rPr>
            </w:pPr>
          </w:p>
        </w:tc>
        <w:tc>
          <w:tcPr>
            <w:tcW w:w="2822" w:type="dxa"/>
            <w:vMerge w:val="continue"/>
            <w:noWrap w:val="0"/>
            <w:vAlign w:val="center"/>
          </w:tcPr>
          <w:p>
            <w:pPr>
              <w:pStyle w:val="17"/>
              <w:spacing w:line="360" w:lineRule="auto"/>
              <w:jc w:val="center"/>
              <w:rPr>
                <w:rFonts w:hint="eastAsia" w:hAnsi="宋体" w:cs="宋体"/>
                <w:color w:val="auto"/>
                <w:sz w:val="24"/>
                <w:highlight w:val="none"/>
              </w:rPr>
            </w:pPr>
          </w:p>
        </w:tc>
        <w:tc>
          <w:tcPr>
            <w:tcW w:w="952" w:type="dxa"/>
            <w:vMerge w:val="continue"/>
            <w:noWrap w:val="0"/>
            <w:vAlign w:val="center"/>
          </w:tcPr>
          <w:p>
            <w:pPr>
              <w:pStyle w:val="17"/>
              <w:spacing w:line="360" w:lineRule="auto"/>
              <w:jc w:val="center"/>
              <w:rPr>
                <w:rFonts w:hint="eastAsia" w:hAnsi="宋体" w:cs="宋体"/>
                <w:color w:val="auto"/>
                <w:sz w:val="24"/>
                <w:highlight w:val="none"/>
              </w:rPr>
            </w:pPr>
          </w:p>
        </w:tc>
        <w:tc>
          <w:tcPr>
            <w:tcW w:w="720" w:type="dxa"/>
            <w:vMerge w:val="continue"/>
            <w:noWrap w:val="0"/>
            <w:vAlign w:val="center"/>
          </w:tcPr>
          <w:p>
            <w:pPr>
              <w:pStyle w:val="17"/>
              <w:spacing w:line="360" w:lineRule="auto"/>
              <w:jc w:val="center"/>
              <w:rPr>
                <w:rFonts w:hint="eastAsia" w:hAnsi="宋体" w:cs="宋体"/>
                <w:color w:val="auto"/>
                <w:sz w:val="24"/>
                <w:highlight w:val="none"/>
              </w:rPr>
            </w:pPr>
          </w:p>
        </w:tc>
        <w:tc>
          <w:tcPr>
            <w:tcW w:w="648" w:type="dxa"/>
            <w:vMerge w:val="continue"/>
            <w:noWrap w:val="0"/>
            <w:vAlign w:val="center"/>
          </w:tcPr>
          <w:p>
            <w:pPr>
              <w:pStyle w:val="17"/>
              <w:spacing w:line="360" w:lineRule="auto"/>
              <w:jc w:val="center"/>
              <w:rPr>
                <w:rFonts w:hint="eastAsia" w:hAnsi="宋体" w:cs="宋体"/>
                <w:color w:val="auto"/>
                <w:sz w:val="24"/>
                <w:highlight w:val="none"/>
              </w:rPr>
            </w:pPr>
          </w:p>
        </w:tc>
        <w:tc>
          <w:tcPr>
            <w:tcW w:w="1147" w:type="dxa"/>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单价</w:t>
            </w:r>
          </w:p>
        </w:tc>
        <w:tc>
          <w:tcPr>
            <w:tcW w:w="1123" w:type="dxa"/>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0" w:type="dxa"/>
            <w:noWrap w:val="0"/>
            <w:vAlign w:val="center"/>
          </w:tcPr>
          <w:p>
            <w:pPr>
              <w:pStyle w:val="17"/>
              <w:spacing w:line="360" w:lineRule="auto"/>
              <w:jc w:val="center"/>
              <w:rPr>
                <w:rFonts w:hint="eastAsia" w:hAnsi="宋体" w:cs="宋体"/>
                <w:b/>
                <w:color w:val="auto"/>
                <w:sz w:val="24"/>
                <w:highlight w:val="none"/>
              </w:rPr>
            </w:pPr>
          </w:p>
        </w:tc>
        <w:tc>
          <w:tcPr>
            <w:tcW w:w="1080" w:type="dxa"/>
            <w:noWrap w:val="0"/>
            <w:vAlign w:val="center"/>
          </w:tcPr>
          <w:p>
            <w:pPr>
              <w:pStyle w:val="17"/>
              <w:spacing w:line="360" w:lineRule="auto"/>
              <w:rPr>
                <w:rFonts w:hint="eastAsia" w:hAnsi="宋体" w:cs="宋体"/>
                <w:b/>
                <w:color w:val="auto"/>
                <w:sz w:val="24"/>
                <w:highlight w:val="none"/>
              </w:rPr>
            </w:pPr>
          </w:p>
        </w:tc>
        <w:tc>
          <w:tcPr>
            <w:tcW w:w="2822" w:type="dxa"/>
            <w:noWrap w:val="0"/>
            <w:vAlign w:val="center"/>
          </w:tcPr>
          <w:p>
            <w:pPr>
              <w:pStyle w:val="17"/>
              <w:spacing w:line="360" w:lineRule="auto"/>
              <w:rPr>
                <w:rFonts w:hint="eastAsia" w:hAnsi="宋体" w:cs="宋体"/>
                <w:b/>
                <w:color w:val="auto"/>
                <w:sz w:val="24"/>
                <w:highlight w:val="none"/>
              </w:rPr>
            </w:pPr>
          </w:p>
        </w:tc>
        <w:tc>
          <w:tcPr>
            <w:tcW w:w="952" w:type="dxa"/>
            <w:noWrap w:val="0"/>
            <w:vAlign w:val="center"/>
          </w:tcPr>
          <w:p>
            <w:pPr>
              <w:pStyle w:val="17"/>
              <w:spacing w:line="360" w:lineRule="auto"/>
              <w:rPr>
                <w:rFonts w:hint="eastAsia" w:hAnsi="宋体" w:cs="宋体"/>
                <w:b/>
                <w:color w:val="auto"/>
                <w:sz w:val="24"/>
                <w:highlight w:val="none"/>
              </w:rPr>
            </w:pPr>
          </w:p>
        </w:tc>
        <w:tc>
          <w:tcPr>
            <w:tcW w:w="720" w:type="dxa"/>
            <w:noWrap w:val="0"/>
            <w:vAlign w:val="center"/>
          </w:tcPr>
          <w:p>
            <w:pPr>
              <w:pStyle w:val="17"/>
              <w:spacing w:line="360" w:lineRule="auto"/>
              <w:rPr>
                <w:rFonts w:hint="eastAsia" w:hAnsi="宋体" w:cs="宋体"/>
                <w:b/>
                <w:color w:val="auto"/>
                <w:sz w:val="24"/>
                <w:highlight w:val="none"/>
              </w:rPr>
            </w:pPr>
          </w:p>
        </w:tc>
        <w:tc>
          <w:tcPr>
            <w:tcW w:w="648" w:type="dxa"/>
            <w:noWrap w:val="0"/>
            <w:vAlign w:val="center"/>
          </w:tcPr>
          <w:p>
            <w:pPr>
              <w:pStyle w:val="17"/>
              <w:spacing w:line="360" w:lineRule="auto"/>
              <w:rPr>
                <w:rFonts w:hint="eastAsia" w:hAnsi="宋体" w:cs="宋体"/>
                <w:b/>
                <w:color w:val="auto"/>
                <w:sz w:val="24"/>
                <w:highlight w:val="none"/>
              </w:rPr>
            </w:pPr>
          </w:p>
        </w:tc>
        <w:tc>
          <w:tcPr>
            <w:tcW w:w="1147" w:type="dxa"/>
            <w:noWrap w:val="0"/>
            <w:vAlign w:val="top"/>
          </w:tcPr>
          <w:p>
            <w:pPr>
              <w:pStyle w:val="17"/>
              <w:spacing w:line="360" w:lineRule="auto"/>
              <w:rPr>
                <w:rFonts w:hint="eastAsia" w:hAnsi="宋体" w:cs="宋体"/>
                <w:color w:val="auto"/>
                <w:sz w:val="24"/>
                <w:highlight w:val="none"/>
              </w:rPr>
            </w:pPr>
          </w:p>
        </w:tc>
        <w:tc>
          <w:tcPr>
            <w:tcW w:w="1123" w:type="dxa"/>
            <w:noWrap w:val="0"/>
            <w:vAlign w:val="top"/>
          </w:tcPr>
          <w:p>
            <w:pPr>
              <w:pStyle w:val="17"/>
              <w:spacing w:line="360" w:lineRule="auto"/>
              <w:rPr>
                <w:rFonts w:hint="eastAsia"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0" w:type="dxa"/>
            <w:noWrap w:val="0"/>
            <w:vAlign w:val="center"/>
          </w:tcPr>
          <w:p>
            <w:pPr>
              <w:pStyle w:val="17"/>
              <w:spacing w:line="360" w:lineRule="auto"/>
              <w:jc w:val="center"/>
              <w:rPr>
                <w:rFonts w:hint="eastAsia" w:hAnsi="宋体" w:cs="宋体"/>
                <w:b/>
                <w:color w:val="auto"/>
                <w:sz w:val="24"/>
                <w:highlight w:val="none"/>
              </w:rPr>
            </w:pPr>
          </w:p>
        </w:tc>
        <w:tc>
          <w:tcPr>
            <w:tcW w:w="1080" w:type="dxa"/>
            <w:noWrap w:val="0"/>
            <w:vAlign w:val="center"/>
          </w:tcPr>
          <w:p>
            <w:pPr>
              <w:pStyle w:val="17"/>
              <w:spacing w:line="360" w:lineRule="auto"/>
              <w:rPr>
                <w:rFonts w:hint="eastAsia" w:hAnsi="宋体" w:cs="宋体"/>
                <w:b/>
                <w:color w:val="auto"/>
                <w:sz w:val="24"/>
                <w:highlight w:val="none"/>
              </w:rPr>
            </w:pPr>
          </w:p>
        </w:tc>
        <w:tc>
          <w:tcPr>
            <w:tcW w:w="2822" w:type="dxa"/>
            <w:noWrap w:val="0"/>
            <w:vAlign w:val="center"/>
          </w:tcPr>
          <w:p>
            <w:pPr>
              <w:pStyle w:val="17"/>
              <w:spacing w:line="360" w:lineRule="auto"/>
              <w:rPr>
                <w:rFonts w:hint="eastAsia" w:hAnsi="宋体" w:cs="宋体"/>
                <w:b/>
                <w:color w:val="auto"/>
                <w:sz w:val="24"/>
                <w:highlight w:val="none"/>
              </w:rPr>
            </w:pPr>
          </w:p>
        </w:tc>
        <w:tc>
          <w:tcPr>
            <w:tcW w:w="952" w:type="dxa"/>
            <w:noWrap w:val="0"/>
            <w:vAlign w:val="center"/>
          </w:tcPr>
          <w:p>
            <w:pPr>
              <w:pStyle w:val="17"/>
              <w:spacing w:line="360" w:lineRule="auto"/>
              <w:rPr>
                <w:rFonts w:hint="eastAsia" w:hAnsi="宋体" w:cs="宋体"/>
                <w:b/>
                <w:color w:val="auto"/>
                <w:sz w:val="24"/>
                <w:highlight w:val="none"/>
              </w:rPr>
            </w:pPr>
          </w:p>
        </w:tc>
        <w:tc>
          <w:tcPr>
            <w:tcW w:w="720" w:type="dxa"/>
            <w:noWrap w:val="0"/>
            <w:vAlign w:val="center"/>
          </w:tcPr>
          <w:p>
            <w:pPr>
              <w:pStyle w:val="17"/>
              <w:spacing w:line="360" w:lineRule="auto"/>
              <w:rPr>
                <w:rFonts w:hint="eastAsia" w:hAnsi="宋体" w:cs="宋体"/>
                <w:b/>
                <w:color w:val="auto"/>
                <w:sz w:val="24"/>
                <w:highlight w:val="none"/>
              </w:rPr>
            </w:pPr>
          </w:p>
        </w:tc>
        <w:tc>
          <w:tcPr>
            <w:tcW w:w="648" w:type="dxa"/>
            <w:noWrap w:val="0"/>
            <w:vAlign w:val="center"/>
          </w:tcPr>
          <w:p>
            <w:pPr>
              <w:pStyle w:val="17"/>
              <w:spacing w:line="360" w:lineRule="auto"/>
              <w:rPr>
                <w:rFonts w:hint="eastAsia" w:hAnsi="宋体" w:cs="宋体"/>
                <w:b/>
                <w:color w:val="auto"/>
                <w:sz w:val="24"/>
                <w:highlight w:val="none"/>
              </w:rPr>
            </w:pPr>
          </w:p>
        </w:tc>
        <w:tc>
          <w:tcPr>
            <w:tcW w:w="1147" w:type="dxa"/>
            <w:noWrap w:val="0"/>
            <w:vAlign w:val="top"/>
          </w:tcPr>
          <w:p>
            <w:pPr>
              <w:pStyle w:val="17"/>
              <w:spacing w:line="360" w:lineRule="auto"/>
              <w:rPr>
                <w:rFonts w:hint="eastAsia" w:hAnsi="宋体" w:cs="宋体"/>
                <w:color w:val="auto"/>
                <w:sz w:val="24"/>
                <w:highlight w:val="none"/>
              </w:rPr>
            </w:pPr>
          </w:p>
        </w:tc>
        <w:tc>
          <w:tcPr>
            <w:tcW w:w="1123" w:type="dxa"/>
            <w:noWrap w:val="0"/>
            <w:vAlign w:val="top"/>
          </w:tcPr>
          <w:p>
            <w:pPr>
              <w:pStyle w:val="17"/>
              <w:spacing w:line="360" w:lineRule="auto"/>
              <w:rPr>
                <w:rFonts w:hint="eastAsia"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0" w:type="dxa"/>
            <w:noWrap w:val="0"/>
            <w:vAlign w:val="center"/>
          </w:tcPr>
          <w:p>
            <w:pPr>
              <w:pStyle w:val="17"/>
              <w:spacing w:line="360" w:lineRule="auto"/>
              <w:jc w:val="center"/>
              <w:rPr>
                <w:rFonts w:hint="eastAsia" w:hAnsi="宋体" w:cs="宋体"/>
                <w:b/>
                <w:color w:val="auto"/>
                <w:sz w:val="24"/>
                <w:highlight w:val="none"/>
              </w:rPr>
            </w:pPr>
          </w:p>
        </w:tc>
        <w:tc>
          <w:tcPr>
            <w:tcW w:w="1080" w:type="dxa"/>
            <w:noWrap w:val="0"/>
            <w:vAlign w:val="center"/>
          </w:tcPr>
          <w:p>
            <w:pPr>
              <w:pStyle w:val="17"/>
              <w:spacing w:line="360" w:lineRule="auto"/>
              <w:rPr>
                <w:rFonts w:hint="eastAsia" w:hAnsi="宋体" w:cs="宋体"/>
                <w:b/>
                <w:color w:val="auto"/>
                <w:sz w:val="24"/>
                <w:highlight w:val="none"/>
              </w:rPr>
            </w:pPr>
          </w:p>
        </w:tc>
        <w:tc>
          <w:tcPr>
            <w:tcW w:w="2822" w:type="dxa"/>
            <w:noWrap w:val="0"/>
            <w:vAlign w:val="center"/>
          </w:tcPr>
          <w:p>
            <w:pPr>
              <w:pStyle w:val="17"/>
              <w:spacing w:line="360" w:lineRule="auto"/>
              <w:rPr>
                <w:rFonts w:hint="eastAsia" w:hAnsi="宋体" w:cs="宋体"/>
                <w:b/>
                <w:color w:val="auto"/>
                <w:highlight w:val="none"/>
              </w:rPr>
            </w:pPr>
          </w:p>
        </w:tc>
        <w:tc>
          <w:tcPr>
            <w:tcW w:w="952" w:type="dxa"/>
            <w:noWrap w:val="0"/>
            <w:vAlign w:val="center"/>
          </w:tcPr>
          <w:p>
            <w:pPr>
              <w:pStyle w:val="17"/>
              <w:spacing w:line="360" w:lineRule="auto"/>
              <w:rPr>
                <w:rFonts w:hint="eastAsia" w:hAnsi="宋体" w:cs="宋体"/>
                <w:b/>
                <w:color w:val="auto"/>
                <w:sz w:val="24"/>
                <w:highlight w:val="none"/>
              </w:rPr>
            </w:pPr>
          </w:p>
        </w:tc>
        <w:tc>
          <w:tcPr>
            <w:tcW w:w="720" w:type="dxa"/>
            <w:noWrap w:val="0"/>
            <w:vAlign w:val="center"/>
          </w:tcPr>
          <w:p>
            <w:pPr>
              <w:pStyle w:val="17"/>
              <w:spacing w:line="360" w:lineRule="auto"/>
              <w:rPr>
                <w:rFonts w:hint="eastAsia" w:hAnsi="宋体" w:cs="宋体"/>
                <w:b/>
                <w:color w:val="auto"/>
                <w:sz w:val="24"/>
                <w:highlight w:val="none"/>
              </w:rPr>
            </w:pPr>
          </w:p>
        </w:tc>
        <w:tc>
          <w:tcPr>
            <w:tcW w:w="648" w:type="dxa"/>
            <w:noWrap w:val="0"/>
            <w:vAlign w:val="center"/>
          </w:tcPr>
          <w:p>
            <w:pPr>
              <w:pStyle w:val="17"/>
              <w:spacing w:line="360" w:lineRule="auto"/>
              <w:rPr>
                <w:rFonts w:hint="eastAsia" w:hAnsi="宋体" w:cs="宋体"/>
                <w:b/>
                <w:color w:val="auto"/>
                <w:sz w:val="24"/>
                <w:highlight w:val="none"/>
              </w:rPr>
            </w:pPr>
          </w:p>
        </w:tc>
        <w:tc>
          <w:tcPr>
            <w:tcW w:w="1147" w:type="dxa"/>
            <w:noWrap w:val="0"/>
            <w:vAlign w:val="top"/>
          </w:tcPr>
          <w:p>
            <w:pPr>
              <w:pStyle w:val="17"/>
              <w:spacing w:line="360" w:lineRule="auto"/>
              <w:rPr>
                <w:rFonts w:hint="eastAsia" w:hAnsi="宋体" w:cs="宋体"/>
                <w:color w:val="auto"/>
                <w:sz w:val="24"/>
                <w:highlight w:val="none"/>
              </w:rPr>
            </w:pPr>
          </w:p>
        </w:tc>
        <w:tc>
          <w:tcPr>
            <w:tcW w:w="1123" w:type="dxa"/>
            <w:noWrap w:val="0"/>
            <w:vAlign w:val="top"/>
          </w:tcPr>
          <w:p>
            <w:pPr>
              <w:pStyle w:val="17"/>
              <w:spacing w:line="360" w:lineRule="auto"/>
              <w:rPr>
                <w:rFonts w:hint="eastAsia"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0" w:type="dxa"/>
            <w:noWrap w:val="0"/>
            <w:vAlign w:val="top"/>
          </w:tcPr>
          <w:p>
            <w:pPr>
              <w:pStyle w:val="17"/>
              <w:spacing w:line="360" w:lineRule="auto"/>
              <w:rPr>
                <w:rFonts w:hint="eastAsia" w:hAnsi="宋体" w:cs="宋体"/>
                <w:color w:val="auto"/>
                <w:sz w:val="24"/>
                <w:highlight w:val="none"/>
              </w:rPr>
            </w:pPr>
          </w:p>
        </w:tc>
        <w:tc>
          <w:tcPr>
            <w:tcW w:w="1080" w:type="dxa"/>
            <w:noWrap w:val="0"/>
            <w:vAlign w:val="top"/>
          </w:tcPr>
          <w:p>
            <w:pPr>
              <w:pStyle w:val="17"/>
              <w:spacing w:line="360" w:lineRule="auto"/>
              <w:rPr>
                <w:rFonts w:hint="eastAsia" w:hAnsi="宋体" w:cs="宋体"/>
                <w:color w:val="auto"/>
                <w:sz w:val="24"/>
                <w:highlight w:val="none"/>
              </w:rPr>
            </w:pPr>
          </w:p>
        </w:tc>
        <w:tc>
          <w:tcPr>
            <w:tcW w:w="2822" w:type="dxa"/>
            <w:noWrap w:val="0"/>
            <w:vAlign w:val="top"/>
          </w:tcPr>
          <w:p>
            <w:pPr>
              <w:pStyle w:val="17"/>
              <w:spacing w:line="360" w:lineRule="auto"/>
              <w:rPr>
                <w:rFonts w:hint="eastAsia" w:hAnsi="宋体" w:cs="宋体"/>
                <w:color w:val="auto"/>
                <w:sz w:val="24"/>
                <w:highlight w:val="none"/>
              </w:rPr>
            </w:pPr>
          </w:p>
        </w:tc>
        <w:tc>
          <w:tcPr>
            <w:tcW w:w="952" w:type="dxa"/>
            <w:noWrap w:val="0"/>
            <w:vAlign w:val="top"/>
          </w:tcPr>
          <w:p>
            <w:pPr>
              <w:pStyle w:val="17"/>
              <w:spacing w:line="360" w:lineRule="auto"/>
              <w:rPr>
                <w:rFonts w:hint="eastAsia" w:hAnsi="宋体" w:cs="宋体"/>
                <w:color w:val="auto"/>
                <w:sz w:val="24"/>
                <w:highlight w:val="none"/>
              </w:rPr>
            </w:pPr>
          </w:p>
        </w:tc>
        <w:tc>
          <w:tcPr>
            <w:tcW w:w="720" w:type="dxa"/>
            <w:noWrap w:val="0"/>
            <w:vAlign w:val="top"/>
          </w:tcPr>
          <w:p>
            <w:pPr>
              <w:pStyle w:val="17"/>
              <w:spacing w:line="360" w:lineRule="auto"/>
              <w:rPr>
                <w:rFonts w:hint="eastAsia" w:hAnsi="宋体" w:cs="宋体"/>
                <w:color w:val="auto"/>
                <w:sz w:val="24"/>
                <w:highlight w:val="none"/>
              </w:rPr>
            </w:pPr>
          </w:p>
        </w:tc>
        <w:tc>
          <w:tcPr>
            <w:tcW w:w="648" w:type="dxa"/>
            <w:noWrap w:val="0"/>
            <w:vAlign w:val="top"/>
          </w:tcPr>
          <w:p>
            <w:pPr>
              <w:pStyle w:val="17"/>
              <w:spacing w:line="360" w:lineRule="auto"/>
              <w:rPr>
                <w:rFonts w:hint="eastAsia" w:hAnsi="宋体" w:cs="宋体"/>
                <w:color w:val="auto"/>
                <w:sz w:val="24"/>
                <w:highlight w:val="none"/>
              </w:rPr>
            </w:pPr>
          </w:p>
        </w:tc>
        <w:tc>
          <w:tcPr>
            <w:tcW w:w="1147" w:type="dxa"/>
            <w:noWrap w:val="0"/>
            <w:vAlign w:val="top"/>
          </w:tcPr>
          <w:p>
            <w:pPr>
              <w:pStyle w:val="17"/>
              <w:spacing w:line="360" w:lineRule="auto"/>
              <w:rPr>
                <w:rFonts w:hint="eastAsia" w:hAnsi="宋体" w:cs="宋体"/>
                <w:color w:val="auto"/>
                <w:sz w:val="24"/>
                <w:highlight w:val="none"/>
              </w:rPr>
            </w:pPr>
          </w:p>
        </w:tc>
        <w:tc>
          <w:tcPr>
            <w:tcW w:w="1123" w:type="dxa"/>
            <w:noWrap w:val="0"/>
            <w:vAlign w:val="top"/>
          </w:tcPr>
          <w:p>
            <w:pPr>
              <w:pStyle w:val="17"/>
              <w:spacing w:line="360" w:lineRule="auto"/>
              <w:rPr>
                <w:rFonts w:hint="eastAsia"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1620" w:type="dxa"/>
            <w:gridSpan w:val="2"/>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投标总价</w:t>
            </w:r>
          </w:p>
        </w:tc>
        <w:tc>
          <w:tcPr>
            <w:tcW w:w="7412" w:type="dxa"/>
            <w:gridSpan w:val="6"/>
            <w:noWrap w:val="0"/>
            <w:vAlign w:val="center"/>
          </w:tcPr>
          <w:p>
            <w:pPr>
              <w:pStyle w:val="17"/>
              <w:spacing w:line="360" w:lineRule="auto"/>
              <w:jc w:val="center"/>
              <w:rPr>
                <w:rFonts w:hint="eastAsia" w:hAnsi="宋体" w:cs="宋体"/>
                <w:color w:val="auto"/>
                <w:sz w:val="24"/>
                <w:highlight w:val="none"/>
              </w:rPr>
            </w:pP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元（小写：</w:t>
            </w:r>
            <w:r>
              <w:rPr>
                <w:rFonts w:hint="eastAsia" w:hAnsi="宋体" w:cs="宋体"/>
                <w:color w:val="auto"/>
                <w:sz w:val="24"/>
                <w:highlight w:val="none"/>
                <w:u w:val="single"/>
              </w:rPr>
              <w:t>　　　　　</w:t>
            </w:r>
            <w:r>
              <w:rPr>
                <w:rFonts w:hint="eastAsia"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8" w:hRule="atLeast"/>
          <w:jc w:val="center"/>
        </w:trPr>
        <w:tc>
          <w:tcPr>
            <w:tcW w:w="9032" w:type="dxa"/>
            <w:gridSpan w:val="8"/>
            <w:noWrap w:val="0"/>
            <w:vAlign w:val="center"/>
          </w:tcPr>
          <w:p>
            <w:pPr>
              <w:pStyle w:val="17"/>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本项目是“交钥匙”工程，即将所提供的软、硬件产品按采购人的要求安装，调试完毕，保证采购人能够正常部署系统。投标报价应包含项目所需全部货物、服务，不得缺漏，是履行合同的最终价格，包括但不限于设备租</w:t>
            </w:r>
            <w:r>
              <w:rPr>
                <w:rFonts w:hint="eastAsia" w:hAnsi="宋体" w:cs="宋体"/>
                <w:color w:val="auto"/>
                <w:sz w:val="24"/>
                <w:highlight w:val="none"/>
                <w:lang w:val="en-US" w:eastAsia="zh-CN"/>
              </w:rPr>
              <w:t>用</w:t>
            </w:r>
            <w:r>
              <w:rPr>
                <w:rFonts w:hint="eastAsia" w:hAnsi="宋体" w:cs="宋体"/>
                <w:color w:val="auto"/>
                <w:sz w:val="24"/>
                <w:highlight w:val="none"/>
              </w:rPr>
              <w:t>费（含设备、配件、管线、备品备件等）、软件费（含设计、开发、集成、测试、维护、升级等）、实施部署费、安装费、调试费、运杂费、技术培训费、售后服务费、人工费用、培训、税金、招标代理费等一切为本项目而产生的所有费用。投标人在编写投标人案时应充分考虑各种风险因素，凡投标人漏项、漏报均认为已包含在报价中，结算时不再增加。</w:t>
            </w:r>
          </w:p>
        </w:tc>
      </w:tr>
    </w:tbl>
    <w:p>
      <w:pPr>
        <w:pStyle w:val="17"/>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注：货物名称包括但不限于货物和标准附件、备品备件、专用工具、安装调试检验、培训、技术服务等，可根据投标人实际情况自行调整。</w:t>
      </w:r>
    </w:p>
    <w:p>
      <w:pPr>
        <w:spacing w:line="360" w:lineRule="auto"/>
        <w:rPr>
          <w:rFonts w:hint="eastAsia" w:ascii="宋体" w:hAnsi="宋体" w:cs="宋体"/>
          <w:color w:val="auto"/>
          <w:sz w:val="24"/>
          <w:highlight w:val="none"/>
        </w:rPr>
      </w:pPr>
      <w:r>
        <w:rPr>
          <w:rFonts w:hint="eastAsia" w:ascii="宋体" w:hAnsi="宋体" w:cs="宋体"/>
          <w:color w:val="auto"/>
          <w:sz w:val="24"/>
          <w:szCs w:val="21"/>
          <w:highlight w:val="none"/>
        </w:rPr>
        <w:t xml:space="preserve">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pPr>
        <w:spacing w:line="360" w:lineRule="auto"/>
        <w:ind w:left="3780" w:leftChars="1800" w:firstLine="480" w:firstLineChars="200"/>
        <w:jc w:val="left"/>
        <w:rPr>
          <w:rFonts w:hint="eastAsia" w:ascii="宋体" w:hAnsi="宋体" w:cs="宋体"/>
          <w:bCs/>
          <w:color w:val="auto"/>
          <w:sz w:val="24"/>
          <w:highlight w:val="none"/>
          <w:lang w:val="zh-CN"/>
        </w:rPr>
      </w:pPr>
      <w:r>
        <w:rPr>
          <w:rFonts w:hint="eastAsia" w:ascii="宋体" w:hAnsi="宋体" w:cs="宋体"/>
          <w:color w:val="auto"/>
          <w:sz w:val="24"/>
          <w:highlight w:val="none"/>
        </w:rPr>
        <w:t>投标人全称（公章）：</w:t>
      </w:r>
    </w:p>
    <w:bookmarkEnd w:id="643"/>
    <w:p>
      <w:pPr>
        <w:spacing w:line="360" w:lineRule="auto"/>
        <w:rPr>
          <w:rFonts w:hint="eastAsia" w:ascii="宋体" w:hAnsi="宋体" w:cs="宋体"/>
          <w:color w:val="auto"/>
          <w:sz w:val="36"/>
          <w:highlight w:val="none"/>
        </w:rPr>
      </w:pPr>
    </w:p>
    <w:sectPr>
      <w:pgSz w:w="11906" w:h="16838"/>
      <w:pgMar w:top="1440" w:right="1134" w:bottom="1440" w:left="1417" w:header="851" w:footer="992" w:gutter="0"/>
      <w:cols w:space="72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緩..">
    <w:altName w:val="黑体"/>
    <w:panose1 w:val="00000000000000000000"/>
    <w:charset w:val="86"/>
    <w:family w:val="swiss"/>
    <w:pitch w:val="default"/>
    <w:sig w:usb0="00000000" w:usb1="00000000" w:usb2="00000010" w:usb3="00000000" w:csb0="00040000" w:csb1="00000000"/>
  </w:font>
  <w:font w:name="长城仿宋">
    <w:altName w:val="Times New Roman"/>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98bSusgBAACZAwAADgAAAGRycy9lMm9Eb2MueG1srVPNjtMwEL4j8Q6W 79RpD6iKmq4WVYuQECAtPIDr2I0l/8njNukLwBtw4sKd5+pzMHaS7rJc9rAXZzwz/ma+byabm8Ea cpIRtHcNXS4qSqQTvtXu0NBvX+/erCmBxF3LjXeyoWcJ9Gb7+tWmD7Vc+c6bVkaCIA7qPjS0SynU jIHopOWw8EE6DCofLU94jQfWRt4jujVsVVVvWe9jG6IXEgC9uzFIJ8T4HECvlBZy58XRSpdG1CgN T0gJOh2Abku3SkmRPisFMhHTUGSayolF0N7nk203vD5EHjotphb4c1p4wsly7bDoFWrHEyfHqP+D slpED16lhfCWjUSKIshiWT3R5r7jQRYuKDWEq+jwcrDi0+lLJLpt6IoSxy0O/PLzx+XXn8vv72SZ 5ekD1Jh1HzAvDe/8gEsz+wGdmfWgos1f5EMwjuKer+LKIRGRH61X63WFIYGx+YL47OF5iJDeS29J NhoacXpFVH76CGlMnVNyNefvtDFlgsb940DM7GG597HHbKVhP0yE9r49I58eB99Qh3tOifngUNe8 I7MRZ2M/G8cQ9aErS5TrQbg9Jmyi9JYrjLBTYZxYYTdtV16Jx/eS9fBHbf8CUEsDBAoAAAAAAIdO 4kAAAAAAAAAAAAAAAAAGAAAAX3JlbHMvUEsDBBQAAAAIAIdO4kCKFGY80QAAAJQBAAALAAAAX3Jl bHMvLnJlbHOlkMFqwzAMhu+DvYPRfXGawxijTi+j0GvpHsDYimMaW0Yy2fr28w6DZfS2o36h7xP/ /vCZFrUiS6RsYNf1oDA78jEHA++X49MLKKk2e7tQRgM3FDiMjw/7My62tiOZYxHVKFkMzLWWV63F zZisdFQwt81EnGxtIwddrLvagHro+2fNvxkwbpjq5A3wyQ+gLrfSzH/YKTomoal2jpKmaYruHlUH tmWO7sg24Ru5RrMcsBrwLBoHalnXfgR9X7/7p97TRz7jutV+h4zrj1dvuhy/AFBLAwQUAAAACACH TuJAfublIPcAAADhAQAAEwAAAFtDb250ZW50X1R5cGVzXS54bWyVkUFOwzAQRfdI3MHyFiVOu0AI JemCtEtAqBxgZE8Si2RseUxob4+TthtEkVjaM/+/J7vcHMZBTBjYOqrkKi+kQNLOWOoq+b7fZQ9S cAQyMDjCSh6R5aa+vSn3R48sUpq4kn2M/lEp1j2OwLnzSGnSujBCTMfQKQ/6AzpU66K4V9pRRIpZ nDtkXTbYwucQxfaQrk8mAQeW4um0OLMqCd4PVkNMpmoi84OSnQl5Si473FvPd0lDql8J8+Q64Jx7 SU8TrEHxCiE+w5g0lAmsjPuigFP+d8lsOXLm2tZqzJvATYq94XSxutaOa9c4/d/y7ZK6dKvlg+pv UEsBAhQAFAAAAAgAh07iQH7m5SD3AAAA4QEAABMAAAAAAAAAAQAgAAAAMAQAAFtDb250ZW50X1R5 cGVzXS54bWxQSwECFAAKAAAAAACHTuJAAAAAAAAAAAAAAAAABgAAAAAAAAAAABAAAAASAwAAX3Jl bHMvUEsBAhQAFAAAAAgAh07iQIoUZjzRAAAAlAEAAAsAAAAAAAAAAQAgAAAANgMAAF9yZWxzLy5y ZWxzUEsBAhQACgAAAAAAh07iQAAAAAAAAAAAAAAAAAQAAAAAAAAAAAAQAAAAAAAAAGRycy9QSwEC FAAUAAAACACHTuJAzql5uc8AAAAFAQAADwAAAAAAAAABACAAAAAiAAAAZHJzL2Rvd25yZXYueG1s UEsBAhQAFAAAAAgAh07iQPfG0rrIAQAAmQMAAA4AAAAAAAAAAQAgAAAAHgEAAGRycy9lMm9Eb2Mu eG1sUEsFBgAAAAAGAAYAWQEAAFgFAAAAAA== ">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left="1080" w:hanging="1080" w:hangingChars="600"/>
      <w:jc w:val="both"/>
      <w:rPr>
        <w:rFonts w:hint="eastAsia"/>
        <w:color w:val="FF0000"/>
      </w:rPr>
    </w:pPr>
    <w:r>
      <w:rPr>
        <w:rFonts w:hint="eastAsia"/>
        <w:color w:val="FF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173AF"/>
    <w:multiLevelType w:val="singleLevel"/>
    <w:tmpl w:val="84B173AF"/>
    <w:lvl w:ilvl="0" w:tentative="0">
      <w:start w:val="1"/>
      <w:numFmt w:val="decimal"/>
      <w:suff w:val="nothing"/>
      <w:lvlText w:val="%1．"/>
      <w:lvlJc w:val="left"/>
      <w:pPr>
        <w:ind w:left="0" w:firstLine="40"/>
      </w:pPr>
      <w:rPr>
        <w:rFonts w:hint="default"/>
      </w:rPr>
    </w:lvl>
  </w:abstractNum>
  <w:abstractNum w:abstractNumId="1">
    <w:nsid w:val="86B76FC3"/>
    <w:multiLevelType w:val="singleLevel"/>
    <w:tmpl w:val="86B76FC3"/>
    <w:lvl w:ilvl="0" w:tentative="0">
      <w:start w:val="1"/>
      <w:numFmt w:val="decimal"/>
      <w:suff w:val="nothing"/>
      <w:lvlText w:val="%1．"/>
      <w:lvlJc w:val="left"/>
      <w:pPr>
        <w:ind w:left="0" w:firstLine="400"/>
      </w:pPr>
      <w:rPr>
        <w:rFonts w:hint="default"/>
      </w:rPr>
    </w:lvl>
  </w:abstractNum>
  <w:abstractNum w:abstractNumId="2">
    <w:nsid w:val="8CA00E09"/>
    <w:multiLevelType w:val="singleLevel"/>
    <w:tmpl w:val="8CA00E09"/>
    <w:lvl w:ilvl="0" w:tentative="0">
      <w:start w:val="1"/>
      <w:numFmt w:val="decimalEnclosedCircleChinese"/>
      <w:suff w:val="nothing"/>
      <w:lvlText w:val="%1　"/>
      <w:lvlJc w:val="left"/>
      <w:pPr>
        <w:ind w:left="0" w:firstLine="1134"/>
      </w:pPr>
      <w:rPr>
        <w:rFonts w:hint="eastAsia"/>
      </w:rPr>
    </w:lvl>
  </w:abstractNum>
  <w:abstractNum w:abstractNumId="3">
    <w:nsid w:val="9577F733"/>
    <w:multiLevelType w:val="singleLevel"/>
    <w:tmpl w:val="9577F733"/>
    <w:lvl w:ilvl="0" w:tentative="0">
      <w:start w:val="1"/>
      <w:numFmt w:val="decimal"/>
      <w:suff w:val="nothing"/>
      <w:lvlText w:val="10.%1 "/>
      <w:lvlJc w:val="left"/>
      <w:pPr>
        <w:tabs>
          <w:tab w:val="left" w:pos="0"/>
        </w:tabs>
        <w:ind w:left="0" w:firstLine="40"/>
      </w:pPr>
      <w:rPr>
        <w:rFonts w:hint="default" w:ascii="宋体" w:hAnsi="宋体" w:eastAsia="宋体" w:cs="宋体"/>
      </w:rPr>
    </w:lvl>
  </w:abstractNum>
  <w:abstractNum w:abstractNumId="4">
    <w:nsid w:val="960C84E7"/>
    <w:multiLevelType w:val="singleLevel"/>
    <w:tmpl w:val="960C84E7"/>
    <w:lvl w:ilvl="0" w:tentative="0">
      <w:start w:val="1"/>
      <w:numFmt w:val="decimal"/>
      <w:suff w:val="nothing"/>
      <w:lvlText w:val="14.%1 "/>
      <w:lvlJc w:val="left"/>
      <w:pPr>
        <w:tabs>
          <w:tab w:val="left" w:pos="0"/>
        </w:tabs>
        <w:ind w:left="0" w:firstLine="40"/>
      </w:pPr>
      <w:rPr>
        <w:rFonts w:hint="default" w:ascii="宋体" w:hAnsi="宋体" w:eastAsia="宋体" w:cs="宋体"/>
      </w:rPr>
    </w:lvl>
  </w:abstractNum>
  <w:abstractNum w:abstractNumId="5">
    <w:nsid w:val="9BB01B17"/>
    <w:multiLevelType w:val="singleLevel"/>
    <w:tmpl w:val="9BB01B17"/>
    <w:lvl w:ilvl="0" w:tentative="0">
      <w:start w:val="2"/>
      <w:numFmt w:val="chineseCounting"/>
      <w:suff w:val="nothing"/>
      <w:lvlText w:val="%1、"/>
      <w:lvlJc w:val="left"/>
      <w:rPr>
        <w:rFonts w:hint="eastAsia"/>
      </w:rPr>
    </w:lvl>
  </w:abstractNum>
  <w:abstractNum w:abstractNumId="6">
    <w:nsid w:val="A0442EC2"/>
    <w:multiLevelType w:val="singleLevel"/>
    <w:tmpl w:val="A0442EC2"/>
    <w:lvl w:ilvl="0" w:tentative="0">
      <w:start w:val="3"/>
      <w:numFmt w:val="chineseCounting"/>
      <w:suff w:val="nothing"/>
      <w:lvlText w:val="第%1章　"/>
      <w:lvlJc w:val="left"/>
      <w:rPr>
        <w:rFonts w:hint="eastAsia"/>
      </w:rPr>
    </w:lvl>
  </w:abstractNum>
  <w:abstractNum w:abstractNumId="7">
    <w:nsid w:val="A51B0742"/>
    <w:multiLevelType w:val="singleLevel"/>
    <w:tmpl w:val="A51B0742"/>
    <w:lvl w:ilvl="0" w:tentative="0">
      <w:start w:val="1"/>
      <w:numFmt w:val="decimalEnclosedCircleChinese"/>
      <w:suff w:val="nothing"/>
      <w:lvlText w:val="%1　"/>
      <w:lvlJc w:val="left"/>
      <w:pPr>
        <w:ind w:left="0" w:firstLine="1134"/>
      </w:pPr>
      <w:rPr>
        <w:rFonts w:hint="eastAsia"/>
      </w:rPr>
    </w:lvl>
  </w:abstractNum>
  <w:abstractNum w:abstractNumId="8">
    <w:nsid w:val="A623EEB2"/>
    <w:multiLevelType w:val="singleLevel"/>
    <w:tmpl w:val="A623EEB2"/>
    <w:lvl w:ilvl="0" w:tentative="0">
      <w:start w:val="1"/>
      <w:numFmt w:val="decimal"/>
      <w:suff w:val="nothing"/>
      <w:lvlText w:val="4.%1 "/>
      <w:lvlJc w:val="left"/>
      <w:pPr>
        <w:tabs>
          <w:tab w:val="left" w:pos="0"/>
        </w:tabs>
        <w:ind w:left="0" w:firstLine="40"/>
      </w:pPr>
      <w:rPr>
        <w:rFonts w:hint="default" w:ascii="宋体" w:hAnsi="宋体" w:eastAsia="宋体" w:cs="宋体"/>
      </w:rPr>
    </w:lvl>
  </w:abstractNum>
  <w:abstractNum w:abstractNumId="9">
    <w:nsid w:val="B580D3D3"/>
    <w:multiLevelType w:val="singleLevel"/>
    <w:tmpl w:val="B580D3D3"/>
    <w:lvl w:ilvl="0" w:tentative="0">
      <w:start w:val="1"/>
      <w:numFmt w:val="decimal"/>
      <w:suff w:val="nothing"/>
      <w:lvlText w:val="%1．"/>
      <w:lvlJc w:val="left"/>
      <w:pPr>
        <w:ind w:left="0" w:firstLine="400"/>
      </w:pPr>
      <w:rPr>
        <w:rFonts w:hint="default"/>
      </w:rPr>
    </w:lvl>
  </w:abstractNum>
  <w:abstractNum w:abstractNumId="10">
    <w:nsid w:val="B80FAF9B"/>
    <w:multiLevelType w:val="singleLevel"/>
    <w:tmpl w:val="B80FAF9B"/>
    <w:lvl w:ilvl="0" w:tentative="0">
      <w:start w:val="1"/>
      <w:numFmt w:val="decimal"/>
      <w:suff w:val="nothing"/>
      <w:lvlText w:val="%1．"/>
      <w:lvlJc w:val="left"/>
      <w:pPr>
        <w:ind w:left="0" w:firstLine="400"/>
      </w:pPr>
      <w:rPr>
        <w:rFonts w:hint="default"/>
      </w:rPr>
    </w:lvl>
  </w:abstractNum>
  <w:abstractNum w:abstractNumId="11">
    <w:nsid w:val="BD6928CE"/>
    <w:multiLevelType w:val="singleLevel"/>
    <w:tmpl w:val="BD6928CE"/>
    <w:lvl w:ilvl="0" w:tentative="0">
      <w:start w:val="5"/>
      <w:numFmt w:val="chineseCounting"/>
      <w:suff w:val="space"/>
      <w:lvlText w:val="第%1部分"/>
      <w:lvlJc w:val="left"/>
      <w:rPr>
        <w:rFonts w:hint="eastAsia"/>
      </w:rPr>
    </w:lvl>
  </w:abstractNum>
  <w:abstractNum w:abstractNumId="12">
    <w:nsid w:val="C58DA7AC"/>
    <w:multiLevelType w:val="singleLevel"/>
    <w:tmpl w:val="C58DA7AC"/>
    <w:lvl w:ilvl="0" w:tentative="0">
      <w:start w:val="2"/>
      <w:numFmt w:val="decimal"/>
      <w:lvlText w:val="%1."/>
      <w:lvlJc w:val="left"/>
      <w:pPr>
        <w:tabs>
          <w:tab w:val="left" w:pos="312"/>
        </w:tabs>
      </w:pPr>
    </w:lvl>
  </w:abstractNum>
  <w:abstractNum w:abstractNumId="13">
    <w:nsid w:val="C65771D8"/>
    <w:multiLevelType w:val="singleLevel"/>
    <w:tmpl w:val="C65771D8"/>
    <w:lvl w:ilvl="0" w:tentative="0">
      <w:start w:val="1"/>
      <w:numFmt w:val="decimal"/>
      <w:suff w:val="nothing"/>
      <w:lvlText w:val="19.%1 "/>
      <w:lvlJc w:val="left"/>
      <w:pPr>
        <w:tabs>
          <w:tab w:val="left" w:pos="0"/>
        </w:tabs>
        <w:ind w:left="0" w:firstLine="40"/>
      </w:pPr>
      <w:rPr>
        <w:rFonts w:hint="default" w:ascii="宋体" w:hAnsi="宋体" w:eastAsia="宋体" w:cs="宋体"/>
      </w:rPr>
    </w:lvl>
  </w:abstractNum>
  <w:abstractNum w:abstractNumId="14">
    <w:nsid w:val="C70FF2C5"/>
    <w:multiLevelType w:val="singleLevel"/>
    <w:tmpl w:val="C70FF2C5"/>
    <w:lvl w:ilvl="0" w:tentative="0">
      <w:start w:val="1"/>
      <w:numFmt w:val="decimal"/>
      <w:suff w:val="nothing"/>
      <w:lvlText w:val="%1．"/>
      <w:lvlJc w:val="left"/>
      <w:pPr>
        <w:ind w:left="0" w:firstLine="400"/>
      </w:pPr>
      <w:rPr>
        <w:rFonts w:hint="default"/>
      </w:rPr>
    </w:lvl>
  </w:abstractNum>
  <w:abstractNum w:abstractNumId="15">
    <w:nsid w:val="C88B87FA"/>
    <w:multiLevelType w:val="singleLevel"/>
    <w:tmpl w:val="C88B87FA"/>
    <w:lvl w:ilvl="0" w:tentative="0">
      <w:start w:val="1"/>
      <w:numFmt w:val="decimal"/>
      <w:suff w:val="nothing"/>
      <w:lvlText w:val="22.%1 "/>
      <w:lvlJc w:val="left"/>
      <w:pPr>
        <w:tabs>
          <w:tab w:val="left" w:pos="0"/>
        </w:tabs>
        <w:ind w:left="0" w:firstLine="40"/>
      </w:pPr>
      <w:rPr>
        <w:rFonts w:hint="default" w:ascii="宋体" w:hAnsi="宋体" w:eastAsia="宋体" w:cs="宋体"/>
      </w:rPr>
    </w:lvl>
  </w:abstractNum>
  <w:abstractNum w:abstractNumId="16">
    <w:nsid w:val="CA005832"/>
    <w:multiLevelType w:val="singleLevel"/>
    <w:tmpl w:val="CA005832"/>
    <w:lvl w:ilvl="0" w:tentative="0">
      <w:start w:val="1"/>
      <w:numFmt w:val="decimal"/>
      <w:suff w:val="nothing"/>
      <w:lvlText w:val="6.%1 "/>
      <w:lvlJc w:val="left"/>
      <w:pPr>
        <w:tabs>
          <w:tab w:val="left" w:pos="0"/>
        </w:tabs>
        <w:ind w:left="0" w:firstLine="40"/>
      </w:pPr>
      <w:rPr>
        <w:rFonts w:hint="default" w:ascii="宋体" w:hAnsi="宋体" w:eastAsia="宋体" w:cs="宋体"/>
      </w:rPr>
    </w:lvl>
  </w:abstractNum>
  <w:abstractNum w:abstractNumId="17">
    <w:nsid w:val="CAB57744"/>
    <w:multiLevelType w:val="singleLevel"/>
    <w:tmpl w:val="CAB57744"/>
    <w:lvl w:ilvl="0" w:tentative="0">
      <w:start w:val="4"/>
      <w:numFmt w:val="chineseCounting"/>
      <w:suff w:val="nothing"/>
      <w:lvlText w:val="%1、"/>
      <w:lvlJc w:val="left"/>
      <w:rPr>
        <w:rFonts w:hint="eastAsia"/>
      </w:rPr>
    </w:lvl>
  </w:abstractNum>
  <w:abstractNum w:abstractNumId="18">
    <w:nsid w:val="D3D2EB92"/>
    <w:multiLevelType w:val="singleLevel"/>
    <w:tmpl w:val="D3D2EB92"/>
    <w:lvl w:ilvl="0" w:tentative="0">
      <w:start w:val="2"/>
      <w:numFmt w:val="decimal"/>
      <w:suff w:val="nothing"/>
      <w:lvlText w:val="%1、"/>
      <w:lvlJc w:val="left"/>
    </w:lvl>
  </w:abstractNum>
  <w:abstractNum w:abstractNumId="19">
    <w:nsid w:val="D5C663A9"/>
    <w:multiLevelType w:val="singleLevel"/>
    <w:tmpl w:val="D5C663A9"/>
    <w:lvl w:ilvl="0" w:tentative="0">
      <w:start w:val="1"/>
      <w:numFmt w:val="decimalEnclosedCircleChinese"/>
      <w:suff w:val="nothing"/>
      <w:lvlText w:val="%1　"/>
      <w:lvlJc w:val="left"/>
      <w:pPr>
        <w:ind w:left="0" w:firstLine="1134"/>
      </w:pPr>
      <w:rPr>
        <w:rFonts w:hint="eastAsia"/>
      </w:rPr>
    </w:lvl>
  </w:abstractNum>
  <w:abstractNum w:abstractNumId="20">
    <w:nsid w:val="DE8EBEF4"/>
    <w:multiLevelType w:val="singleLevel"/>
    <w:tmpl w:val="DE8EBEF4"/>
    <w:lvl w:ilvl="0" w:tentative="0">
      <w:start w:val="1"/>
      <w:numFmt w:val="decimal"/>
      <w:suff w:val="nothing"/>
      <w:lvlText w:val="25.%1 "/>
      <w:lvlJc w:val="left"/>
      <w:pPr>
        <w:tabs>
          <w:tab w:val="left" w:pos="0"/>
        </w:tabs>
        <w:ind w:left="0" w:firstLine="40"/>
      </w:pPr>
      <w:rPr>
        <w:rFonts w:hint="default" w:ascii="宋体" w:hAnsi="宋体" w:eastAsia="宋体" w:cs="宋体"/>
      </w:rPr>
    </w:lvl>
  </w:abstractNum>
  <w:abstractNum w:abstractNumId="21">
    <w:nsid w:val="E3D28C86"/>
    <w:multiLevelType w:val="singleLevel"/>
    <w:tmpl w:val="E3D28C86"/>
    <w:lvl w:ilvl="0" w:tentative="0">
      <w:start w:val="1"/>
      <w:numFmt w:val="decimal"/>
      <w:suff w:val="nothing"/>
      <w:lvlText w:val="18.%1 "/>
      <w:lvlJc w:val="left"/>
      <w:pPr>
        <w:tabs>
          <w:tab w:val="left" w:pos="0"/>
        </w:tabs>
        <w:ind w:left="0" w:firstLine="40"/>
      </w:pPr>
      <w:rPr>
        <w:rFonts w:hint="default" w:ascii="宋体" w:hAnsi="宋体" w:eastAsia="宋体" w:cs="宋体"/>
      </w:rPr>
    </w:lvl>
  </w:abstractNum>
  <w:abstractNum w:abstractNumId="22">
    <w:nsid w:val="EDC34A36"/>
    <w:multiLevelType w:val="singleLevel"/>
    <w:tmpl w:val="EDC34A36"/>
    <w:lvl w:ilvl="0" w:tentative="0">
      <w:start w:val="1"/>
      <w:numFmt w:val="decimal"/>
      <w:suff w:val="nothing"/>
      <w:lvlText w:val="12.%1 "/>
      <w:lvlJc w:val="left"/>
      <w:pPr>
        <w:tabs>
          <w:tab w:val="left" w:pos="0"/>
        </w:tabs>
        <w:ind w:left="0" w:firstLine="40"/>
      </w:pPr>
      <w:rPr>
        <w:rFonts w:hint="default" w:ascii="宋体" w:hAnsi="宋体" w:eastAsia="宋体" w:cs="宋体"/>
      </w:rPr>
    </w:lvl>
  </w:abstractNum>
  <w:abstractNum w:abstractNumId="23">
    <w:nsid w:val="EFA9B0F6"/>
    <w:multiLevelType w:val="singleLevel"/>
    <w:tmpl w:val="EFA9B0F6"/>
    <w:lvl w:ilvl="0" w:tentative="0">
      <w:start w:val="1"/>
      <w:numFmt w:val="chineseCounting"/>
      <w:suff w:val="nothing"/>
      <w:lvlText w:val="%1、"/>
      <w:lvlJc w:val="left"/>
      <w:pPr>
        <w:ind w:left="148" w:firstLine="397"/>
      </w:pPr>
      <w:rPr>
        <w:rFonts w:hint="eastAsia"/>
      </w:rPr>
    </w:lvl>
  </w:abstractNum>
  <w:abstractNum w:abstractNumId="24">
    <w:nsid w:val="F1A362CE"/>
    <w:multiLevelType w:val="singleLevel"/>
    <w:tmpl w:val="F1A362CE"/>
    <w:lvl w:ilvl="0" w:tentative="0">
      <w:start w:val="1"/>
      <w:numFmt w:val="decimalEnclosedCircleChinese"/>
      <w:suff w:val="nothing"/>
      <w:lvlText w:val="%1　"/>
      <w:lvlJc w:val="left"/>
      <w:pPr>
        <w:ind w:left="0" w:firstLine="400"/>
      </w:pPr>
      <w:rPr>
        <w:rFonts w:hint="eastAsia"/>
      </w:rPr>
    </w:lvl>
  </w:abstractNum>
  <w:abstractNum w:abstractNumId="25">
    <w:nsid w:val="F2231DCB"/>
    <w:multiLevelType w:val="singleLevel"/>
    <w:tmpl w:val="F2231DCB"/>
    <w:lvl w:ilvl="0" w:tentative="0">
      <w:start w:val="1"/>
      <w:numFmt w:val="decimalEnclosedCircleChinese"/>
      <w:suff w:val="nothing"/>
      <w:lvlText w:val="%1　"/>
      <w:lvlJc w:val="left"/>
      <w:pPr>
        <w:ind w:left="0" w:firstLine="1134"/>
      </w:pPr>
      <w:rPr>
        <w:rFonts w:hint="eastAsia"/>
      </w:rPr>
    </w:lvl>
  </w:abstractNum>
  <w:abstractNum w:abstractNumId="26">
    <w:nsid w:val="F6B56090"/>
    <w:multiLevelType w:val="singleLevel"/>
    <w:tmpl w:val="F6B56090"/>
    <w:lvl w:ilvl="0" w:tentative="0">
      <w:start w:val="1"/>
      <w:numFmt w:val="chineseCounting"/>
      <w:suff w:val="nothing"/>
      <w:lvlText w:val="%1、"/>
      <w:lvlJc w:val="left"/>
      <w:pPr>
        <w:ind w:left="0" w:firstLine="397"/>
      </w:pPr>
      <w:rPr>
        <w:rFonts w:hint="eastAsia"/>
      </w:rPr>
    </w:lvl>
  </w:abstractNum>
  <w:abstractNum w:abstractNumId="27">
    <w:nsid w:val="FF8E5FC9"/>
    <w:multiLevelType w:val="singleLevel"/>
    <w:tmpl w:val="FF8E5FC9"/>
    <w:lvl w:ilvl="0" w:tentative="0">
      <w:start w:val="1"/>
      <w:numFmt w:val="decimal"/>
      <w:suff w:val="nothing"/>
      <w:lvlText w:val="%1．"/>
      <w:lvlJc w:val="left"/>
      <w:pPr>
        <w:ind w:left="0" w:firstLine="397"/>
      </w:pPr>
      <w:rPr>
        <w:rFonts w:hint="default"/>
      </w:rPr>
    </w:lvl>
  </w:abstractNum>
  <w:abstractNum w:abstractNumId="28">
    <w:nsid w:val="026D8E79"/>
    <w:multiLevelType w:val="singleLevel"/>
    <w:tmpl w:val="026D8E79"/>
    <w:lvl w:ilvl="0" w:tentative="0">
      <w:start w:val="1"/>
      <w:numFmt w:val="decimal"/>
      <w:suff w:val="nothing"/>
      <w:lvlText w:val="%1．"/>
      <w:lvlJc w:val="left"/>
      <w:pPr>
        <w:ind w:left="0" w:firstLine="397"/>
      </w:pPr>
      <w:rPr>
        <w:rFonts w:hint="default"/>
      </w:rPr>
    </w:lvl>
  </w:abstractNum>
  <w:abstractNum w:abstractNumId="29">
    <w:nsid w:val="036C853F"/>
    <w:multiLevelType w:val="singleLevel"/>
    <w:tmpl w:val="036C853F"/>
    <w:lvl w:ilvl="0" w:tentative="0">
      <w:start w:val="1"/>
      <w:numFmt w:val="decimal"/>
      <w:suff w:val="space"/>
      <w:lvlText w:val="%1."/>
      <w:lvlJc w:val="left"/>
    </w:lvl>
  </w:abstractNum>
  <w:abstractNum w:abstractNumId="30">
    <w:nsid w:val="0486B618"/>
    <w:multiLevelType w:val="singleLevel"/>
    <w:tmpl w:val="0486B618"/>
    <w:lvl w:ilvl="0" w:tentative="0">
      <w:start w:val="1"/>
      <w:numFmt w:val="decimalEnclosedCircleChinese"/>
      <w:suff w:val="nothing"/>
      <w:lvlText w:val="%1　"/>
      <w:lvlJc w:val="left"/>
      <w:pPr>
        <w:ind w:left="0" w:firstLine="1134"/>
      </w:pPr>
      <w:rPr>
        <w:rFonts w:hint="eastAsia"/>
      </w:rPr>
    </w:lvl>
  </w:abstractNum>
  <w:abstractNum w:abstractNumId="31">
    <w:nsid w:val="139B6DF6"/>
    <w:multiLevelType w:val="singleLevel"/>
    <w:tmpl w:val="139B6DF6"/>
    <w:lvl w:ilvl="0" w:tentative="0">
      <w:start w:val="1"/>
      <w:numFmt w:val="decimal"/>
      <w:suff w:val="nothing"/>
      <w:lvlText w:val="9.%1 "/>
      <w:lvlJc w:val="left"/>
      <w:pPr>
        <w:tabs>
          <w:tab w:val="left" w:pos="0"/>
        </w:tabs>
        <w:ind w:left="0" w:firstLine="40"/>
      </w:pPr>
      <w:rPr>
        <w:rFonts w:hint="default" w:ascii="宋体" w:hAnsi="宋体" w:eastAsia="宋体" w:cs="宋体"/>
      </w:rPr>
    </w:lvl>
  </w:abstractNum>
  <w:abstractNum w:abstractNumId="32">
    <w:nsid w:val="1EC1A361"/>
    <w:multiLevelType w:val="singleLevel"/>
    <w:tmpl w:val="1EC1A361"/>
    <w:lvl w:ilvl="0" w:tentative="0">
      <w:start w:val="1"/>
      <w:numFmt w:val="decimalEnclosedCircleChinese"/>
      <w:suff w:val="nothing"/>
      <w:lvlText w:val="%1　"/>
      <w:lvlJc w:val="left"/>
      <w:pPr>
        <w:ind w:left="0" w:firstLine="397"/>
      </w:pPr>
      <w:rPr>
        <w:rFonts w:hint="eastAsia"/>
      </w:rPr>
    </w:lvl>
  </w:abstractNum>
  <w:abstractNum w:abstractNumId="33">
    <w:nsid w:val="208A7ABE"/>
    <w:multiLevelType w:val="multilevel"/>
    <w:tmpl w:val="208A7ABE"/>
    <w:lvl w:ilvl="0" w:tentative="0">
      <w:start w:val="1"/>
      <w:numFmt w:val="decimal"/>
      <w:pStyle w:val="153"/>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2CAA529"/>
    <w:multiLevelType w:val="singleLevel"/>
    <w:tmpl w:val="22CAA529"/>
    <w:lvl w:ilvl="0" w:tentative="0">
      <w:start w:val="1"/>
      <w:numFmt w:val="decimal"/>
      <w:suff w:val="nothing"/>
      <w:lvlText w:val="16.%1 "/>
      <w:lvlJc w:val="left"/>
      <w:pPr>
        <w:ind w:left="0" w:firstLine="1134"/>
      </w:pPr>
      <w:rPr>
        <w:rFonts w:hint="default"/>
      </w:rPr>
    </w:lvl>
  </w:abstractNum>
  <w:abstractNum w:abstractNumId="35">
    <w:nsid w:val="25F33ADD"/>
    <w:multiLevelType w:val="singleLevel"/>
    <w:tmpl w:val="25F33ADD"/>
    <w:lvl w:ilvl="0" w:tentative="0">
      <w:start w:val="1"/>
      <w:numFmt w:val="decimalEnclosedCircleChinese"/>
      <w:suff w:val="nothing"/>
      <w:lvlText w:val="%1　"/>
      <w:lvlJc w:val="left"/>
      <w:pPr>
        <w:ind w:left="0" w:firstLine="1134"/>
      </w:pPr>
      <w:rPr>
        <w:rFonts w:hint="eastAsia"/>
      </w:rPr>
    </w:lvl>
  </w:abstractNum>
  <w:abstractNum w:abstractNumId="36">
    <w:nsid w:val="27029FB5"/>
    <w:multiLevelType w:val="singleLevel"/>
    <w:tmpl w:val="27029FB5"/>
    <w:lvl w:ilvl="0" w:tentative="0">
      <w:start w:val="1"/>
      <w:numFmt w:val="decimal"/>
      <w:suff w:val="nothing"/>
      <w:lvlText w:val="11.%1 "/>
      <w:lvlJc w:val="left"/>
      <w:pPr>
        <w:tabs>
          <w:tab w:val="left" w:pos="0"/>
        </w:tabs>
        <w:ind w:left="0" w:firstLine="40"/>
      </w:pPr>
      <w:rPr>
        <w:rFonts w:hint="default" w:ascii="宋体" w:hAnsi="宋体" w:eastAsia="宋体" w:cs="宋体"/>
      </w:rPr>
    </w:lvl>
  </w:abstractNum>
  <w:abstractNum w:abstractNumId="37">
    <w:nsid w:val="272BB4B6"/>
    <w:multiLevelType w:val="singleLevel"/>
    <w:tmpl w:val="272BB4B6"/>
    <w:lvl w:ilvl="0" w:tentative="0">
      <w:start w:val="1"/>
      <w:numFmt w:val="decimal"/>
      <w:suff w:val="nothing"/>
      <w:lvlText w:val="1.%1 "/>
      <w:lvlJc w:val="left"/>
      <w:pPr>
        <w:ind w:left="0" w:firstLine="397"/>
      </w:pPr>
      <w:rPr>
        <w:rFonts w:hint="default"/>
      </w:rPr>
    </w:lvl>
  </w:abstractNum>
  <w:abstractNum w:abstractNumId="38">
    <w:nsid w:val="31FBB5E1"/>
    <w:multiLevelType w:val="singleLevel"/>
    <w:tmpl w:val="31FBB5E1"/>
    <w:lvl w:ilvl="0" w:tentative="0">
      <w:start w:val="1"/>
      <w:numFmt w:val="decimal"/>
      <w:suff w:val="nothing"/>
      <w:lvlText w:val="23.%1 "/>
      <w:lvlJc w:val="left"/>
      <w:pPr>
        <w:tabs>
          <w:tab w:val="left" w:pos="0"/>
        </w:tabs>
        <w:ind w:left="0" w:firstLine="40"/>
      </w:pPr>
      <w:rPr>
        <w:rFonts w:hint="default" w:ascii="宋体" w:hAnsi="宋体" w:eastAsia="宋体" w:cs="宋体"/>
      </w:rPr>
    </w:lvl>
  </w:abstractNum>
  <w:abstractNum w:abstractNumId="39">
    <w:nsid w:val="3543FC97"/>
    <w:multiLevelType w:val="singleLevel"/>
    <w:tmpl w:val="3543FC97"/>
    <w:lvl w:ilvl="0" w:tentative="0">
      <w:start w:val="1"/>
      <w:numFmt w:val="decimal"/>
      <w:suff w:val="nothing"/>
      <w:lvlText w:val="17.%1 "/>
      <w:lvlJc w:val="left"/>
      <w:pPr>
        <w:tabs>
          <w:tab w:val="left" w:pos="0"/>
        </w:tabs>
        <w:ind w:left="0" w:firstLine="40"/>
      </w:pPr>
      <w:rPr>
        <w:rFonts w:hint="default" w:ascii="宋体" w:hAnsi="宋体" w:eastAsia="宋体" w:cs="宋体"/>
      </w:rPr>
    </w:lvl>
  </w:abstractNum>
  <w:abstractNum w:abstractNumId="40">
    <w:nsid w:val="38694A23"/>
    <w:multiLevelType w:val="singleLevel"/>
    <w:tmpl w:val="38694A23"/>
    <w:lvl w:ilvl="0" w:tentative="0">
      <w:start w:val="1"/>
      <w:numFmt w:val="chineseCounting"/>
      <w:suff w:val="nothing"/>
      <w:lvlText w:val="%1、"/>
      <w:lvlJc w:val="left"/>
      <w:pPr>
        <w:ind w:left="0" w:firstLine="397"/>
      </w:pPr>
      <w:rPr>
        <w:rFonts w:hint="eastAsia"/>
      </w:rPr>
    </w:lvl>
  </w:abstractNum>
  <w:abstractNum w:abstractNumId="41">
    <w:nsid w:val="3BD6E39C"/>
    <w:multiLevelType w:val="singleLevel"/>
    <w:tmpl w:val="3BD6E39C"/>
    <w:lvl w:ilvl="0" w:tentative="0">
      <w:start w:val="1"/>
      <w:numFmt w:val="chineseCounting"/>
      <w:suff w:val="nothing"/>
      <w:lvlText w:val="%1、"/>
      <w:lvlJc w:val="left"/>
      <w:pPr>
        <w:ind w:left="0" w:firstLine="397"/>
      </w:pPr>
      <w:rPr>
        <w:rFonts w:hint="eastAsia"/>
      </w:rPr>
    </w:lvl>
  </w:abstractNum>
  <w:abstractNum w:abstractNumId="42">
    <w:nsid w:val="3D2337F2"/>
    <w:multiLevelType w:val="multilevel"/>
    <w:tmpl w:val="3D2337F2"/>
    <w:lvl w:ilvl="0" w:tentative="0">
      <w:start w:val="1"/>
      <w:numFmt w:val="japaneseCounting"/>
      <w:lvlText w:val="第%1章"/>
      <w:lvlJc w:val="left"/>
      <w:pPr>
        <w:tabs>
          <w:tab w:val="left" w:pos="1140"/>
        </w:tabs>
        <w:ind w:left="1140" w:hanging="114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3F34804C"/>
    <w:multiLevelType w:val="singleLevel"/>
    <w:tmpl w:val="3F34804C"/>
    <w:lvl w:ilvl="0" w:tentative="0">
      <w:start w:val="1"/>
      <w:numFmt w:val="decimal"/>
      <w:suff w:val="nothing"/>
      <w:lvlText w:val="21.%1 "/>
      <w:lvlJc w:val="left"/>
      <w:pPr>
        <w:tabs>
          <w:tab w:val="left" w:pos="0"/>
        </w:tabs>
        <w:ind w:left="0" w:firstLine="40"/>
      </w:pPr>
      <w:rPr>
        <w:rFonts w:hint="default" w:ascii="宋体" w:hAnsi="宋体" w:eastAsia="宋体" w:cs="宋体"/>
      </w:rPr>
    </w:lvl>
  </w:abstractNum>
  <w:abstractNum w:abstractNumId="44">
    <w:nsid w:val="43F94463"/>
    <w:multiLevelType w:val="singleLevel"/>
    <w:tmpl w:val="43F94463"/>
    <w:lvl w:ilvl="0" w:tentative="0">
      <w:start w:val="1"/>
      <w:numFmt w:val="decimalEnclosedCircleChinese"/>
      <w:suff w:val="nothing"/>
      <w:lvlText w:val="%1　"/>
      <w:lvlJc w:val="left"/>
      <w:pPr>
        <w:ind w:left="0" w:firstLine="1134"/>
      </w:pPr>
      <w:rPr>
        <w:rFonts w:hint="eastAsia"/>
      </w:rPr>
    </w:lvl>
  </w:abstractNum>
  <w:abstractNum w:abstractNumId="45">
    <w:nsid w:val="466C6E1F"/>
    <w:multiLevelType w:val="multilevel"/>
    <w:tmpl w:val="466C6E1F"/>
    <w:lvl w:ilvl="0" w:tentative="0">
      <w:start w:val="1"/>
      <w:numFmt w:val="upperLetter"/>
      <w:pStyle w:val="5"/>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46">
    <w:nsid w:val="474E1A63"/>
    <w:multiLevelType w:val="singleLevel"/>
    <w:tmpl w:val="474E1A63"/>
    <w:lvl w:ilvl="0" w:tentative="0">
      <w:start w:val="1"/>
      <w:numFmt w:val="decimalEnclosedCircleChinese"/>
      <w:suff w:val="nothing"/>
      <w:lvlText w:val="%1　"/>
      <w:lvlJc w:val="left"/>
      <w:pPr>
        <w:ind w:left="0" w:firstLine="1134"/>
      </w:pPr>
      <w:rPr>
        <w:rFonts w:hint="eastAsia"/>
      </w:rPr>
    </w:lvl>
  </w:abstractNum>
  <w:abstractNum w:abstractNumId="47">
    <w:nsid w:val="49458718"/>
    <w:multiLevelType w:val="singleLevel"/>
    <w:tmpl w:val="49458718"/>
    <w:lvl w:ilvl="0" w:tentative="0">
      <w:start w:val="1"/>
      <w:numFmt w:val="decimal"/>
      <w:suff w:val="nothing"/>
      <w:lvlText w:val="%1．"/>
      <w:lvlJc w:val="left"/>
      <w:pPr>
        <w:ind w:left="0" w:firstLine="397"/>
      </w:pPr>
      <w:rPr>
        <w:rFonts w:hint="default"/>
      </w:rPr>
    </w:lvl>
  </w:abstractNum>
  <w:abstractNum w:abstractNumId="48">
    <w:nsid w:val="4D4A2151"/>
    <w:multiLevelType w:val="singleLevel"/>
    <w:tmpl w:val="4D4A2151"/>
    <w:lvl w:ilvl="0" w:tentative="0">
      <w:start w:val="1"/>
      <w:numFmt w:val="decimal"/>
      <w:pStyle w:val="172"/>
      <w:suff w:val="nothing"/>
      <w:lvlText w:val="%1．"/>
      <w:lvlJc w:val="left"/>
      <w:pPr>
        <w:ind w:left="0" w:firstLine="397"/>
      </w:pPr>
      <w:rPr>
        <w:rFonts w:hint="default"/>
      </w:rPr>
    </w:lvl>
  </w:abstractNum>
  <w:abstractNum w:abstractNumId="49">
    <w:nsid w:val="4E81F346"/>
    <w:multiLevelType w:val="singleLevel"/>
    <w:tmpl w:val="4E81F346"/>
    <w:lvl w:ilvl="0" w:tentative="0">
      <w:start w:val="1"/>
      <w:numFmt w:val="decimalEnclosedCircleChinese"/>
      <w:suff w:val="nothing"/>
      <w:lvlText w:val="%1　"/>
      <w:lvlJc w:val="left"/>
      <w:pPr>
        <w:ind w:left="0" w:firstLine="400"/>
      </w:pPr>
      <w:rPr>
        <w:rFonts w:hint="eastAsia"/>
      </w:rPr>
    </w:lvl>
  </w:abstractNum>
  <w:abstractNum w:abstractNumId="50">
    <w:nsid w:val="5541E354"/>
    <w:multiLevelType w:val="singleLevel"/>
    <w:tmpl w:val="5541E354"/>
    <w:lvl w:ilvl="0" w:tentative="0">
      <w:start w:val="1"/>
      <w:numFmt w:val="decimal"/>
      <w:suff w:val="nothing"/>
      <w:lvlText w:val="24.17.%1 "/>
      <w:lvlJc w:val="left"/>
      <w:pPr>
        <w:tabs>
          <w:tab w:val="left" w:pos="0"/>
        </w:tabs>
        <w:ind w:left="0" w:firstLine="40"/>
      </w:pPr>
      <w:rPr>
        <w:rFonts w:hint="default" w:ascii="宋体" w:hAnsi="宋体" w:eastAsia="宋体" w:cs="宋体"/>
      </w:rPr>
    </w:lvl>
  </w:abstractNum>
  <w:abstractNum w:abstractNumId="51">
    <w:nsid w:val="56581EFE"/>
    <w:multiLevelType w:val="singleLevel"/>
    <w:tmpl w:val="56581EFE"/>
    <w:lvl w:ilvl="0" w:tentative="0">
      <w:start w:val="1"/>
      <w:numFmt w:val="decimal"/>
      <w:suff w:val="nothing"/>
      <w:lvlText w:val="24.%1 "/>
      <w:lvlJc w:val="left"/>
      <w:pPr>
        <w:ind w:left="-113" w:firstLine="397"/>
      </w:pPr>
      <w:rPr>
        <w:rFonts w:hint="default"/>
      </w:rPr>
    </w:lvl>
  </w:abstractNum>
  <w:abstractNum w:abstractNumId="52">
    <w:nsid w:val="5E58A500"/>
    <w:multiLevelType w:val="singleLevel"/>
    <w:tmpl w:val="5E58A500"/>
    <w:lvl w:ilvl="0" w:tentative="0">
      <w:start w:val="2"/>
      <w:numFmt w:val="decimal"/>
      <w:lvlText w:val="%1."/>
      <w:lvlJc w:val="left"/>
      <w:pPr>
        <w:tabs>
          <w:tab w:val="left" w:pos="312"/>
        </w:tabs>
      </w:pPr>
    </w:lvl>
  </w:abstractNum>
  <w:abstractNum w:abstractNumId="53">
    <w:nsid w:val="62705028"/>
    <w:multiLevelType w:val="singleLevel"/>
    <w:tmpl w:val="62705028"/>
    <w:lvl w:ilvl="0" w:tentative="0">
      <w:start w:val="1"/>
      <w:numFmt w:val="decimalEnclosedCircleChinese"/>
      <w:suff w:val="nothing"/>
      <w:lvlText w:val="%1　"/>
      <w:lvlJc w:val="left"/>
      <w:pPr>
        <w:ind w:left="0" w:firstLine="397"/>
      </w:pPr>
      <w:rPr>
        <w:rFonts w:hint="eastAsia"/>
      </w:rPr>
    </w:lvl>
  </w:abstractNum>
  <w:abstractNum w:abstractNumId="54">
    <w:nsid w:val="6271A596"/>
    <w:multiLevelType w:val="singleLevel"/>
    <w:tmpl w:val="6271A596"/>
    <w:lvl w:ilvl="0" w:tentative="0">
      <w:start w:val="1"/>
      <w:numFmt w:val="decimal"/>
      <w:suff w:val="nothing"/>
      <w:lvlText w:val="5.%1 "/>
      <w:lvlJc w:val="left"/>
      <w:pPr>
        <w:tabs>
          <w:tab w:val="left" w:pos="0"/>
        </w:tabs>
        <w:ind w:left="0" w:firstLine="40"/>
      </w:pPr>
      <w:rPr>
        <w:rFonts w:hint="default" w:ascii="宋体" w:hAnsi="宋体" w:eastAsia="宋体" w:cs="宋体"/>
      </w:rPr>
    </w:lvl>
  </w:abstractNum>
  <w:abstractNum w:abstractNumId="55">
    <w:nsid w:val="63557B35"/>
    <w:multiLevelType w:val="singleLevel"/>
    <w:tmpl w:val="63557B35"/>
    <w:lvl w:ilvl="0" w:tentative="0">
      <w:start w:val="1"/>
      <w:numFmt w:val="upperLetter"/>
      <w:pStyle w:val="6"/>
      <w:lvlText w:val="%1、"/>
      <w:lvlJc w:val="left"/>
      <w:pPr>
        <w:tabs>
          <w:tab w:val="left" w:pos="1035"/>
        </w:tabs>
        <w:ind w:left="1035" w:hanging="420"/>
      </w:pPr>
      <w:rPr>
        <w:rFonts w:hint="eastAsia"/>
      </w:rPr>
    </w:lvl>
  </w:abstractNum>
  <w:abstractNum w:abstractNumId="56">
    <w:nsid w:val="65C533A9"/>
    <w:multiLevelType w:val="singleLevel"/>
    <w:tmpl w:val="65C533A9"/>
    <w:lvl w:ilvl="0" w:tentative="0">
      <w:start w:val="1"/>
      <w:numFmt w:val="decimal"/>
      <w:suff w:val="nothing"/>
      <w:lvlText w:val="%1．"/>
      <w:lvlJc w:val="left"/>
      <w:pPr>
        <w:ind w:left="0" w:firstLine="400"/>
      </w:pPr>
      <w:rPr>
        <w:rFonts w:hint="default"/>
      </w:rPr>
    </w:lvl>
  </w:abstractNum>
  <w:abstractNum w:abstractNumId="57">
    <w:nsid w:val="6EF32394"/>
    <w:multiLevelType w:val="singleLevel"/>
    <w:tmpl w:val="6EF32394"/>
    <w:lvl w:ilvl="0" w:tentative="0">
      <w:start w:val="1"/>
      <w:numFmt w:val="decimal"/>
      <w:suff w:val="nothing"/>
      <w:lvlText w:val="7.%1 "/>
      <w:lvlJc w:val="left"/>
      <w:pPr>
        <w:tabs>
          <w:tab w:val="left" w:pos="0"/>
        </w:tabs>
        <w:ind w:left="0" w:firstLine="40"/>
      </w:pPr>
      <w:rPr>
        <w:rFonts w:hint="default" w:ascii="宋体" w:hAnsi="宋体" w:eastAsia="宋体" w:cs="宋体"/>
      </w:rPr>
    </w:lvl>
  </w:abstractNum>
  <w:abstractNum w:abstractNumId="58">
    <w:nsid w:val="6F596645"/>
    <w:multiLevelType w:val="singleLevel"/>
    <w:tmpl w:val="6F596645"/>
    <w:lvl w:ilvl="0" w:tentative="0">
      <w:start w:val="1"/>
      <w:numFmt w:val="decimal"/>
      <w:suff w:val="nothing"/>
      <w:lvlText w:val="27.%1 "/>
      <w:lvlJc w:val="left"/>
      <w:pPr>
        <w:tabs>
          <w:tab w:val="left" w:pos="0"/>
        </w:tabs>
        <w:ind w:left="0" w:firstLine="40"/>
      </w:pPr>
      <w:rPr>
        <w:rFonts w:hint="default" w:ascii="宋体" w:hAnsi="宋体" w:eastAsia="宋体" w:cs="宋体"/>
      </w:rPr>
    </w:lvl>
  </w:abstractNum>
  <w:abstractNum w:abstractNumId="59">
    <w:nsid w:val="72817D3E"/>
    <w:multiLevelType w:val="singleLevel"/>
    <w:tmpl w:val="72817D3E"/>
    <w:lvl w:ilvl="0" w:tentative="0">
      <w:start w:val="1"/>
      <w:numFmt w:val="decimalEnclosedCircleChinese"/>
      <w:suff w:val="nothing"/>
      <w:lvlText w:val="%1　"/>
      <w:lvlJc w:val="left"/>
      <w:pPr>
        <w:ind w:left="0" w:firstLine="397"/>
      </w:pPr>
      <w:rPr>
        <w:rFonts w:hint="eastAsia"/>
      </w:rPr>
    </w:lvl>
  </w:abstractNum>
  <w:abstractNum w:abstractNumId="60">
    <w:nsid w:val="733FAD5E"/>
    <w:multiLevelType w:val="singleLevel"/>
    <w:tmpl w:val="733FAD5E"/>
    <w:lvl w:ilvl="0" w:tentative="0">
      <w:start w:val="1"/>
      <w:numFmt w:val="decimalEnclosedCircleChinese"/>
      <w:suff w:val="nothing"/>
      <w:lvlText w:val="%1　"/>
      <w:lvlJc w:val="left"/>
      <w:pPr>
        <w:ind w:left="0" w:firstLine="400"/>
      </w:pPr>
      <w:rPr>
        <w:rFonts w:hint="eastAsia"/>
      </w:rPr>
    </w:lvl>
  </w:abstractNum>
  <w:abstractNum w:abstractNumId="61">
    <w:nsid w:val="7B2826C6"/>
    <w:multiLevelType w:val="singleLevel"/>
    <w:tmpl w:val="7B2826C6"/>
    <w:lvl w:ilvl="0" w:tentative="0">
      <w:start w:val="1"/>
      <w:numFmt w:val="decimal"/>
      <w:suff w:val="nothing"/>
      <w:lvlText w:val="%1．"/>
      <w:lvlJc w:val="left"/>
      <w:pPr>
        <w:ind w:left="0" w:firstLine="397"/>
      </w:pPr>
      <w:rPr>
        <w:rFonts w:hint="default"/>
      </w:rPr>
    </w:lvl>
  </w:abstractNum>
  <w:num w:numId="1">
    <w:abstractNumId w:val="45"/>
  </w:num>
  <w:num w:numId="2">
    <w:abstractNumId w:val="55"/>
  </w:num>
  <w:num w:numId="3">
    <w:abstractNumId w:val="33"/>
  </w:num>
  <w:num w:numId="4">
    <w:abstractNumId w:val="48"/>
  </w:num>
  <w:num w:numId="5">
    <w:abstractNumId w:val="27"/>
  </w:num>
  <w:num w:numId="6">
    <w:abstractNumId w:val="60"/>
  </w:num>
  <w:num w:numId="7">
    <w:abstractNumId w:val="59"/>
  </w:num>
  <w:num w:numId="8">
    <w:abstractNumId w:val="61"/>
  </w:num>
  <w:num w:numId="9">
    <w:abstractNumId w:val="32"/>
  </w:num>
  <w:num w:numId="10">
    <w:abstractNumId w:val="53"/>
  </w:num>
  <w:num w:numId="11">
    <w:abstractNumId w:val="0"/>
  </w:num>
  <w:num w:numId="12">
    <w:abstractNumId w:val="37"/>
  </w:num>
  <w:num w:numId="13">
    <w:abstractNumId w:val="7"/>
  </w:num>
  <w:num w:numId="14">
    <w:abstractNumId w:val="8"/>
  </w:num>
  <w:num w:numId="15">
    <w:abstractNumId w:val="30"/>
  </w:num>
  <w:num w:numId="16">
    <w:abstractNumId w:val="54"/>
  </w:num>
  <w:num w:numId="17">
    <w:abstractNumId w:val="16"/>
  </w:num>
  <w:num w:numId="18">
    <w:abstractNumId w:val="57"/>
  </w:num>
  <w:num w:numId="19">
    <w:abstractNumId w:val="31"/>
  </w:num>
  <w:num w:numId="20">
    <w:abstractNumId w:val="46"/>
  </w:num>
  <w:num w:numId="21">
    <w:abstractNumId w:val="44"/>
  </w:num>
  <w:num w:numId="22">
    <w:abstractNumId w:val="19"/>
  </w:num>
  <w:num w:numId="23">
    <w:abstractNumId w:val="3"/>
  </w:num>
  <w:num w:numId="24">
    <w:abstractNumId w:val="36"/>
  </w:num>
  <w:num w:numId="25">
    <w:abstractNumId w:val="22"/>
  </w:num>
  <w:num w:numId="26">
    <w:abstractNumId w:val="4"/>
  </w:num>
  <w:num w:numId="27">
    <w:abstractNumId w:val="34"/>
  </w:num>
  <w:num w:numId="28">
    <w:abstractNumId w:val="39"/>
  </w:num>
  <w:num w:numId="29">
    <w:abstractNumId w:val="21"/>
  </w:num>
  <w:num w:numId="30">
    <w:abstractNumId w:val="13"/>
  </w:num>
  <w:num w:numId="31">
    <w:abstractNumId w:val="43"/>
  </w:num>
  <w:num w:numId="32">
    <w:abstractNumId w:val="15"/>
  </w:num>
  <w:num w:numId="33">
    <w:abstractNumId w:val="38"/>
  </w:num>
  <w:num w:numId="34">
    <w:abstractNumId w:val="51"/>
  </w:num>
  <w:num w:numId="35">
    <w:abstractNumId w:val="50"/>
  </w:num>
  <w:num w:numId="36">
    <w:abstractNumId w:val="20"/>
  </w:num>
  <w:num w:numId="37">
    <w:abstractNumId w:val="35"/>
  </w:num>
  <w:num w:numId="38">
    <w:abstractNumId w:val="58"/>
  </w:num>
  <w:num w:numId="39">
    <w:abstractNumId w:val="2"/>
  </w:num>
  <w:num w:numId="40">
    <w:abstractNumId w:val="5"/>
  </w:num>
  <w:num w:numId="41">
    <w:abstractNumId w:val="18"/>
  </w:num>
  <w:num w:numId="42">
    <w:abstractNumId w:val="42"/>
  </w:num>
  <w:num w:numId="43">
    <w:abstractNumId w:val="26"/>
  </w:num>
  <w:num w:numId="44">
    <w:abstractNumId w:val="23"/>
  </w:num>
  <w:num w:numId="45">
    <w:abstractNumId w:val="47"/>
  </w:num>
  <w:num w:numId="46">
    <w:abstractNumId w:val="52"/>
  </w:num>
  <w:num w:numId="47">
    <w:abstractNumId w:val="12"/>
  </w:num>
  <w:num w:numId="48">
    <w:abstractNumId w:val="17"/>
  </w:num>
  <w:num w:numId="49">
    <w:abstractNumId w:val="56"/>
  </w:num>
  <w:num w:numId="50">
    <w:abstractNumId w:val="1"/>
  </w:num>
  <w:num w:numId="51">
    <w:abstractNumId w:val="6"/>
  </w:num>
  <w:num w:numId="52">
    <w:abstractNumId w:val="40"/>
  </w:num>
  <w:num w:numId="53">
    <w:abstractNumId w:val="28"/>
  </w:num>
  <w:num w:numId="54">
    <w:abstractNumId w:val="10"/>
  </w:num>
  <w:num w:numId="55">
    <w:abstractNumId w:val="9"/>
  </w:num>
  <w:num w:numId="56">
    <w:abstractNumId w:val="29"/>
  </w:num>
  <w:num w:numId="57">
    <w:abstractNumId w:val="41"/>
  </w:num>
  <w:num w:numId="58">
    <w:abstractNumId w:val="14"/>
  </w:num>
  <w:num w:numId="59">
    <w:abstractNumId w:val="11"/>
  </w:num>
  <w:num w:numId="60">
    <w:abstractNumId w:val="25"/>
  </w:num>
  <w:num w:numId="61">
    <w:abstractNumId w:val="24"/>
  </w:num>
  <w:num w:numId="62">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1"/>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xOTZmYmYwNmE3NDdkMjFjOTU2NTAxZjdmNTVhZjgifQ=="/>
  </w:docVars>
  <w:rsids>
    <w:rsidRoot w:val="004B0811"/>
    <w:rsid w:val="000002C5"/>
    <w:rsid w:val="00001DA3"/>
    <w:rsid w:val="0000242D"/>
    <w:rsid w:val="00004CED"/>
    <w:rsid w:val="00006818"/>
    <w:rsid w:val="000075DA"/>
    <w:rsid w:val="000077D0"/>
    <w:rsid w:val="000132A2"/>
    <w:rsid w:val="000148D6"/>
    <w:rsid w:val="00015D59"/>
    <w:rsid w:val="00017390"/>
    <w:rsid w:val="00017802"/>
    <w:rsid w:val="00020033"/>
    <w:rsid w:val="000213B6"/>
    <w:rsid w:val="000233B8"/>
    <w:rsid w:val="00024443"/>
    <w:rsid w:val="00024A25"/>
    <w:rsid w:val="00024B66"/>
    <w:rsid w:val="0002591F"/>
    <w:rsid w:val="00027239"/>
    <w:rsid w:val="0003028E"/>
    <w:rsid w:val="000328AC"/>
    <w:rsid w:val="0003473A"/>
    <w:rsid w:val="00034B4B"/>
    <w:rsid w:val="000379F2"/>
    <w:rsid w:val="000428B1"/>
    <w:rsid w:val="00043503"/>
    <w:rsid w:val="00045CF2"/>
    <w:rsid w:val="000464E5"/>
    <w:rsid w:val="0004792A"/>
    <w:rsid w:val="0004794A"/>
    <w:rsid w:val="00050858"/>
    <w:rsid w:val="000510A3"/>
    <w:rsid w:val="00051C59"/>
    <w:rsid w:val="00052D30"/>
    <w:rsid w:val="00053264"/>
    <w:rsid w:val="000536AD"/>
    <w:rsid w:val="000541B9"/>
    <w:rsid w:val="00055F1C"/>
    <w:rsid w:val="00056840"/>
    <w:rsid w:val="000611ED"/>
    <w:rsid w:val="00063E4F"/>
    <w:rsid w:val="0006550E"/>
    <w:rsid w:val="0006705F"/>
    <w:rsid w:val="00067276"/>
    <w:rsid w:val="00070161"/>
    <w:rsid w:val="000708A0"/>
    <w:rsid w:val="00070FE2"/>
    <w:rsid w:val="00071029"/>
    <w:rsid w:val="00071A80"/>
    <w:rsid w:val="00071C5B"/>
    <w:rsid w:val="00074863"/>
    <w:rsid w:val="00075FF9"/>
    <w:rsid w:val="00076F53"/>
    <w:rsid w:val="000801E4"/>
    <w:rsid w:val="00082674"/>
    <w:rsid w:val="00083D62"/>
    <w:rsid w:val="0008559E"/>
    <w:rsid w:val="00090BE8"/>
    <w:rsid w:val="000912C7"/>
    <w:rsid w:val="000923ED"/>
    <w:rsid w:val="0009248E"/>
    <w:rsid w:val="0009279F"/>
    <w:rsid w:val="00094374"/>
    <w:rsid w:val="00094F7B"/>
    <w:rsid w:val="000951D4"/>
    <w:rsid w:val="00096865"/>
    <w:rsid w:val="00096C60"/>
    <w:rsid w:val="0009767A"/>
    <w:rsid w:val="00097953"/>
    <w:rsid w:val="000A0932"/>
    <w:rsid w:val="000A241D"/>
    <w:rsid w:val="000A5490"/>
    <w:rsid w:val="000B0DE4"/>
    <w:rsid w:val="000B1CDD"/>
    <w:rsid w:val="000B3611"/>
    <w:rsid w:val="000B3EB8"/>
    <w:rsid w:val="000B40ED"/>
    <w:rsid w:val="000B4493"/>
    <w:rsid w:val="000B4627"/>
    <w:rsid w:val="000B4648"/>
    <w:rsid w:val="000B5F6E"/>
    <w:rsid w:val="000C239E"/>
    <w:rsid w:val="000C2631"/>
    <w:rsid w:val="000C2AC6"/>
    <w:rsid w:val="000C663A"/>
    <w:rsid w:val="000C6E71"/>
    <w:rsid w:val="000C7BC2"/>
    <w:rsid w:val="000D05CC"/>
    <w:rsid w:val="000D25AF"/>
    <w:rsid w:val="000D263B"/>
    <w:rsid w:val="000D2BAD"/>
    <w:rsid w:val="000D2DD9"/>
    <w:rsid w:val="000D3604"/>
    <w:rsid w:val="000D3E6D"/>
    <w:rsid w:val="000D405F"/>
    <w:rsid w:val="000D4E3C"/>
    <w:rsid w:val="000D504A"/>
    <w:rsid w:val="000D5B1B"/>
    <w:rsid w:val="000D645E"/>
    <w:rsid w:val="000E0E7B"/>
    <w:rsid w:val="000E136C"/>
    <w:rsid w:val="000E1A92"/>
    <w:rsid w:val="000E1CAE"/>
    <w:rsid w:val="000E1D06"/>
    <w:rsid w:val="000E21F5"/>
    <w:rsid w:val="000E297B"/>
    <w:rsid w:val="000E38B1"/>
    <w:rsid w:val="000E4664"/>
    <w:rsid w:val="000E4978"/>
    <w:rsid w:val="000E526A"/>
    <w:rsid w:val="000E5496"/>
    <w:rsid w:val="000E57E4"/>
    <w:rsid w:val="000E5939"/>
    <w:rsid w:val="000E61A3"/>
    <w:rsid w:val="000E647B"/>
    <w:rsid w:val="000E6483"/>
    <w:rsid w:val="000E730F"/>
    <w:rsid w:val="000F02FC"/>
    <w:rsid w:val="000F1FF4"/>
    <w:rsid w:val="000F2AA2"/>
    <w:rsid w:val="000F2F03"/>
    <w:rsid w:val="000F361F"/>
    <w:rsid w:val="000F45D5"/>
    <w:rsid w:val="000F50EA"/>
    <w:rsid w:val="000F5F2A"/>
    <w:rsid w:val="000F7138"/>
    <w:rsid w:val="000F7272"/>
    <w:rsid w:val="000F7758"/>
    <w:rsid w:val="000F7D1F"/>
    <w:rsid w:val="00101B03"/>
    <w:rsid w:val="00102B8C"/>
    <w:rsid w:val="00103F41"/>
    <w:rsid w:val="001049C2"/>
    <w:rsid w:val="0010598A"/>
    <w:rsid w:val="00106DAD"/>
    <w:rsid w:val="00107709"/>
    <w:rsid w:val="00107712"/>
    <w:rsid w:val="00110967"/>
    <w:rsid w:val="0011123D"/>
    <w:rsid w:val="001121F1"/>
    <w:rsid w:val="00112D2F"/>
    <w:rsid w:val="001131F0"/>
    <w:rsid w:val="00116DAA"/>
    <w:rsid w:val="001207CD"/>
    <w:rsid w:val="00120FD6"/>
    <w:rsid w:val="00121965"/>
    <w:rsid w:val="0012256C"/>
    <w:rsid w:val="00122E19"/>
    <w:rsid w:val="00122F13"/>
    <w:rsid w:val="001239D4"/>
    <w:rsid w:val="001306A4"/>
    <w:rsid w:val="00130B31"/>
    <w:rsid w:val="00131F44"/>
    <w:rsid w:val="00132490"/>
    <w:rsid w:val="001330B0"/>
    <w:rsid w:val="00134576"/>
    <w:rsid w:val="001346A9"/>
    <w:rsid w:val="00135D19"/>
    <w:rsid w:val="00136306"/>
    <w:rsid w:val="00136596"/>
    <w:rsid w:val="00136A7D"/>
    <w:rsid w:val="00136DAC"/>
    <w:rsid w:val="00137584"/>
    <w:rsid w:val="00141DA5"/>
    <w:rsid w:val="00145D2A"/>
    <w:rsid w:val="00145DEA"/>
    <w:rsid w:val="001468A0"/>
    <w:rsid w:val="00153041"/>
    <w:rsid w:val="001536FE"/>
    <w:rsid w:val="00154AE2"/>
    <w:rsid w:val="00154F16"/>
    <w:rsid w:val="00155550"/>
    <w:rsid w:val="001578F0"/>
    <w:rsid w:val="00157B09"/>
    <w:rsid w:val="00160134"/>
    <w:rsid w:val="001614E1"/>
    <w:rsid w:val="00161D77"/>
    <w:rsid w:val="001628E1"/>
    <w:rsid w:val="00164064"/>
    <w:rsid w:val="00167BCB"/>
    <w:rsid w:val="0017220F"/>
    <w:rsid w:val="0017302D"/>
    <w:rsid w:val="00175A80"/>
    <w:rsid w:val="00181AB5"/>
    <w:rsid w:val="00183A15"/>
    <w:rsid w:val="001840F0"/>
    <w:rsid w:val="00184D7D"/>
    <w:rsid w:val="0018546D"/>
    <w:rsid w:val="00185753"/>
    <w:rsid w:val="0018697A"/>
    <w:rsid w:val="00186A09"/>
    <w:rsid w:val="00187DD3"/>
    <w:rsid w:val="00187E69"/>
    <w:rsid w:val="00190814"/>
    <w:rsid w:val="00191FD8"/>
    <w:rsid w:val="00192C57"/>
    <w:rsid w:val="00192D24"/>
    <w:rsid w:val="001940F2"/>
    <w:rsid w:val="00194A5E"/>
    <w:rsid w:val="00194C93"/>
    <w:rsid w:val="00194D4C"/>
    <w:rsid w:val="0019559D"/>
    <w:rsid w:val="00196875"/>
    <w:rsid w:val="001972B0"/>
    <w:rsid w:val="00197A01"/>
    <w:rsid w:val="001A09BA"/>
    <w:rsid w:val="001A1935"/>
    <w:rsid w:val="001A28C1"/>
    <w:rsid w:val="001A2EE4"/>
    <w:rsid w:val="001A493D"/>
    <w:rsid w:val="001A5F98"/>
    <w:rsid w:val="001B01D0"/>
    <w:rsid w:val="001B260D"/>
    <w:rsid w:val="001B2755"/>
    <w:rsid w:val="001B36F5"/>
    <w:rsid w:val="001B4867"/>
    <w:rsid w:val="001B4D98"/>
    <w:rsid w:val="001B6049"/>
    <w:rsid w:val="001B71A5"/>
    <w:rsid w:val="001B7285"/>
    <w:rsid w:val="001C16E8"/>
    <w:rsid w:val="001C191C"/>
    <w:rsid w:val="001C20C4"/>
    <w:rsid w:val="001C22F6"/>
    <w:rsid w:val="001C26A0"/>
    <w:rsid w:val="001C26B1"/>
    <w:rsid w:val="001C462F"/>
    <w:rsid w:val="001C48E8"/>
    <w:rsid w:val="001C4CAA"/>
    <w:rsid w:val="001C53F8"/>
    <w:rsid w:val="001C6443"/>
    <w:rsid w:val="001C6446"/>
    <w:rsid w:val="001C67E0"/>
    <w:rsid w:val="001C770C"/>
    <w:rsid w:val="001D0151"/>
    <w:rsid w:val="001D0B98"/>
    <w:rsid w:val="001D3140"/>
    <w:rsid w:val="001D32BE"/>
    <w:rsid w:val="001D4046"/>
    <w:rsid w:val="001D5729"/>
    <w:rsid w:val="001D5EA9"/>
    <w:rsid w:val="001D75F6"/>
    <w:rsid w:val="001E32A6"/>
    <w:rsid w:val="001E48F2"/>
    <w:rsid w:val="001E5F1A"/>
    <w:rsid w:val="001E65BA"/>
    <w:rsid w:val="001E7840"/>
    <w:rsid w:val="001F0C21"/>
    <w:rsid w:val="001F201E"/>
    <w:rsid w:val="001F317F"/>
    <w:rsid w:val="001F4C6E"/>
    <w:rsid w:val="001F596D"/>
    <w:rsid w:val="001F5D1E"/>
    <w:rsid w:val="001F5E72"/>
    <w:rsid w:val="001F63FD"/>
    <w:rsid w:val="001F77D4"/>
    <w:rsid w:val="002018E9"/>
    <w:rsid w:val="00201ADE"/>
    <w:rsid w:val="002024BD"/>
    <w:rsid w:val="00202850"/>
    <w:rsid w:val="00204834"/>
    <w:rsid w:val="002054EF"/>
    <w:rsid w:val="00206A96"/>
    <w:rsid w:val="00207B4A"/>
    <w:rsid w:val="002143AE"/>
    <w:rsid w:val="0021761C"/>
    <w:rsid w:val="0022084E"/>
    <w:rsid w:val="0022104A"/>
    <w:rsid w:val="00221186"/>
    <w:rsid w:val="00221F74"/>
    <w:rsid w:val="002251A8"/>
    <w:rsid w:val="00225A69"/>
    <w:rsid w:val="00226C15"/>
    <w:rsid w:val="002270F1"/>
    <w:rsid w:val="002305A0"/>
    <w:rsid w:val="00230D9C"/>
    <w:rsid w:val="00233994"/>
    <w:rsid w:val="00235ABE"/>
    <w:rsid w:val="00235DFE"/>
    <w:rsid w:val="002364CF"/>
    <w:rsid w:val="00236ADE"/>
    <w:rsid w:val="002375BB"/>
    <w:rsid w:val="00242E58"/>
    <w:rsid w:val="0024409C"/>
    <w:rsid w:val="002440D3"/>
    <w:rsid w:val="00244106"/>
    <w:rsid w:val="00244BBA"/>
    <w:rsid w:val="00245130"/>
    <w:rsid w:val="00245C61"/>
    <w:rsid w:val="00246D0D"/>
    <w:rsid w:val="00247E15"/>
    <w:rsid w:val="00252A03"/>
    <w:rsid w:val="0025350B"/>
    <w:rsid w:val="00254070"/>
    <w:rsid w:val="00255BB0"/>
    <w:rsid w:val="0025652F"/>
    <w:rsid w:val="00257B84"/>
    <w:rsid w:val="002606EC"/>
    <w:rsid w:val="00260EDD"/>
    <w:rsid w:val="00266784"/>
    <w:rsid w:val="00270E2D"/>
    <w:rsid w:val="0027227D"/>
    <w:rsid w:val="002737DE"/>
    <w:rsid w:val="002737EE"/>
    <w:rsid w:val="00274F9A"/>
    <w:rsid w:val="00275072"/>
    <w:rsid w:val="00275157"/>
    <w:rsid w:val="002751D8"/>
    <w:rsid w:val="00280D86"/>
    <w:rsid w:val="0028144D"/>
    <w:rsid w:val="0028363F"/>
    <w:rsid w:val="00284285"/>
    <w:rsid w:val="00284635"/>
    <w:rsid w:val="00285F7E"/>
    <w:rsid w:val="00287DBB"/>
    <w:rsid w:val="0029041C"/>
    <w:rsid w:val="0029087D"/>
    <w:rsid w:val="002916A6"/>
    <w:rsid w:val="002916B1"/>
    <w:rsid w:val="00295155"/>
    <w:rsid w:val="00296D5E"/>
    <w:rsid w:val="002972FE"/>
    <w:rsid w:val="002A2ACF"/>
    <w:rsid w:val="002A373F"/>
    <w:rsid w:val="002A3CA6"/>
    <w:rsid w:val="002A50C8"/>
    <w:rsid w:val="002A5304"/>
    <w:rsid w:val="002A56A3"/>
    <w:rsid w:val="002A64CA"/>
    <w:rsid w:val="002A71CF"/>
    <w:rsid w:val="002A7379"/>
    <w:rsid w:val="002B0192"/>
    <w:rsid w:val="002B023C"/>
    <w:rsid w:val="002B058D"/>
    <w:rsid w:val="002B17BF"/>
    <w:rsid w:val="002B20E1"/>
    <w:rsid w:val="002B7653"/>
    <w:rsid w:val="002C0492"/>
    <w:rsid w:val="002C0539"/>
    <w:rsid w:val="002C1954"/>
    <w:rsid w:val="002C23E8"/>
    <w:rsid w:val="002C5223"/>
    <w:rsid w:val="002C639A"/>
    <w:rsid w:val="002C7A2D"/>
    <w:rsid w:val="002D0021"/>
    <w:rsid w:val="002D0BA8"/>
    <w:rsid w:val="002D11D9"/>
    <w:rsid w:val="002D42FD"/>
    <w:rsid w:val="002D6B41"/>
    <w:rsid w:val="002D75D4"/>
    <w:rsid w:val="002E2739"/>
    <w:rsid w:val="002E35E9"/>
    <w:rsid w:val="002F0195"/>
    <w:rsid w:val="002F08B1"/>
    <w:rsid w:val="002F097F"/>
    <w:rsid w:val="002F2E8D"/>
    <w:rsid w:val="002F378A"/>
    <w:rsid w:val="002F4F8D"/>
    <w:rsid w:val="00301F37"/>
    <w:rsid w:val="00305666"/>
    <w:rsid w:val="00307075"/>
    <w:rsid w:val="003072EC"/>
    <w:rsid w:val="00307885"/>
    <w:rsid w:val="003100D0"/>
    <w:rsid w:val="0031129B"/>
    <w:rsid w:val="00311554"/>
    <w:rsid w:val="003137E6"/>
    <w:rsid w:val="00317185"/>
    <w:rsid w:val="0032106B"/>
    <w:rsid w:val="0032607A"/>
    <w:rsid w:val="00327130"/>
    <w:rsid w:val="003310E2"/>
    <w:rsid w:val="003314EF"/>
    <w:rsid w:val="0033233C"/>
    <w:rsid w:val="00334E5C"/>
    <w:rsid w:val="0033562A"/>
    <w:rsid w:val="0033593F"/>
    <w:rsid w:val="00335F6A"/>
    <w:rsid w:val="00336801"/>
    <w:rsid w:val="00336F23"/>
    <w:rsid w:val="003404C1"/>
    <w:rsid w:val="00343AD4"/>
    <w:rsid w:val="00343D46"/>
    <w:rsid w:val="00343D60"/>
    <w:rsid w:val="00343E7B"/>
    <w:rsid w:val="00344D08"/>
    <w:rsid w:val="003460B0"/>
    <w:rsid w:val="00346A54"/>
    <w:rsid w:val="00346F9B"/>
    <w:rsid w:val="003503F3"/>
    <w:rsid w:val="003510DB"/>
    <w:rsid w:val="003524E2"/>
    <w:rsid w:val="0035370E"/>
    <w:rsid w:val="00353D66"/>
    <w:rsid w:val="00354D93"/>
    <w:rsid w:val="00355E84"/>
    <w:rsid w:val="00355E89"/>
    <w:rsid w:val="00356E19"/>
    <w:rsid w:val="00361045"/>
    <w:rsid w:val="00361B43"/>
    <w:rsid w:val="00362A07"/>
    <w:rsid w:val="00363BE4"/>
    <w:rsid w:val="0036471B"/>
    <w:rsid w:val="00365265"/>
    <w:rsid w:val="00365DEC"/>
    <w:rsid w:val="00366048"/>
    <w:rsid w:val="003666A9"/>
    <w:rsid w:val="00370309"/>
    <w:rsid w:val="003712BF"/>
    <w:rsid w:val="00371583"/>
    <w:rsid w:val="0037377A"/>
    <w:rsid w:val="00375F43"/>
    <w:rsid w:val="003765A9"/>
    <w:rsid w:val="00376A85"/>
    <w:rsid w:val="00377117"/>
    <w:rsid w:val="0037746E"/>
    <w:rsid w:val="0038062E"/>
    <w:rsid w:val="00380EBB"/>
    <w:rsid w:val="00381BBB"/>
    <w:rsid w:val="0038273C"/>
    <w:rsid w:val="00383AA4"/>
    <w:rsid w:val="003840B8"/>
    <w:rsid w:val="00384A29"/>
    <w:rsid w:val="00384B1A"/>
    <w:rsid w:val="0038635A"/>
    <w:rsid w:val="003869BB"/>
    <w:rsid w:val="00387260"/>
    <w:rsid w:val="00390E17"/>
    <w:rsid w:val="00392324"/>
    <w:rsid w:val="00392A30"/>
    <w:rsid w:val="00392CCA"/>
    <w:rsid w:val="00395D64"/>
    <w:rsid w:val="00395EFF"/>
    <w:rsid w:val="00397F1D"/>
    <w:rsid w:val="003A7471"/>
    <w:rsid w:val="003B02AC"/>
    <w:rsid w:val="003B254E"/>
    <w:rsid w:val="003B4E02"/>
    <w:rsid w:val="003B55B7"/>
    <w:rsid w:val="003B58DD"/>
    <w:rsid w:val="003B5E1A"/>
    <w:rsid w:val="003C045D"/>
    <w:rsid w:val="003C05AC"/>
    <w:rsid w:val="003C0EA7"/>
    <w:rsid w:val="003C21FC"/>
    <w:rsid w:val="003C2615"/>
    <w:rsid w:val="003C2BEF"/>
    <w:rsid w:val="003C3E1E"/>
    <w:rsid w:val="003D13D3"/>
    <w:rsid w:val="003D2944"/>
    <w:rsid w:val="003D36A0"/>
    <w:rsid w:val="003D3AF6"/>
    <w:rsid w:val="003D54F9"/>
    <w:rsid w:val="003E03D0"/>
    <w:rsid w:val="003E0923"/>
    <w:rsid w:val="003E112E"/>
    <w:rsid w:val="003E1513"/>
    <w:rsid w:val="003E2076"/>
    <w:rsid w:val="003E2661"/>
    <w:rsid w:val="003E3777"/>
    <w:rsid w:val="003E40E9"/>
    <w:rsid w:val="003E4A85"/>
    <w:rsid w:val="003E4AAE"/>
    <w:rsid w:val="003E63B4"/>
    <w:rsid w:val="003E650C"/>
    <w:rsid w:val="003E724B"/>
    <w:rsid w:val="003E75CD"/>
    <w:rsid w:val="003F1A39"/>
    <w:rsid w:val="003F6C24"/>
    <w:rsid w:val="00403983"/>
    <w:rsid w:val="00403C7A"/>
    <w:rsid w:val="00407C25"/>
    <w:rsid w:val="00411B98"/>
    <w:rsid w:val="0041202F"/>
    <w:rsid w:val="00412A01"/>
    <w:rsid w:val="0041312B"/>
    <w:rsid w:val="004149D6"/>
    <w:rsid w:val="00415769"/>
    <w:rsid w:val="00416315"/>
    <w:rsid w:val="0042158E"/>
    <w:rsid w:val="004224B4"/>
    <w:rsid w:val="00423309"/>
    <w:rsid w:val="00423F56"/>
    <w:rsid w:val="00430B2F"/>
    <w:rsid w:val="00431075"/>
    <w:rsid w:val="0043130F"/>
    <w:rsid w:val="00432945"/>
    <w:rsid w:val="00432A66"/>
    <w:rsid w:val="00432FC0"/>
    <w:rsid w:val="00434A5B"/>
    <w:rsid w:val="0043564D"/>
    <w:rsid w:val="0043576F"/>
    <w:rsid w:val="00436026"/>
    <w:rsid w:val="00440761"/>
    <w:rsid w:val="0044078E"/>
    <w:rsid w:val="004420EA"/>
    <w:rsid w:val="00442E77"/>
    <w:rsid w:val="00445CAB"/>
    <w:rsid w:val="0044612F"/>
    <w:rsid w:val="00447AF8"/>
    <w:rsid w:val="00450AF5"/>
    <w:rsid w:val="00451445"/>
    <w:rsid w:val="004544B9"/>
    <w:rsid w:val="0045513A"/>
    <w:rsid w:val="00455B4C"/>
    <w:rsid w:val="00462060"/>
    <w:rsid w:val="00463657"/>
    <w:rsid w:val="00464C4C"/>
    <w:rsid w:val="00465A05"/>
    <w:rsid w:val="00467405"/>
    <w:rsid w:val="004705DD"/>
    <w:rsid w:val="004707ED"/>
    <w:rsid w:val="00470C83"/>
    <w:rsid w:val="004738DF"/>
    <w:rsid w:val="00475372"/>
    <w:rsid w:val="00476FC6"/>
    <w:rsid w:val="00477C97"/>
    <w:rsid w:val="00480341"/>
    <w:rsid w:val="00480D16"/>
    <w:rsid w:val="004811FE"/>
    <w:rsid w:val="00481376"/>
    <w:rsid w:val="00481EE1"/>
    <w:rsid w:val="00482174"/>
    <w:rsid w:val="004821D3"/>
    <w:rsid w:val="00483ECB"/>
    <w:rsid w:val="00484007"/>
    <w:rsid w:val="004840E1"/>
    <w:rsid w:val="004848F7"/>
    <w:rsid w:val="00485252"/>
    <w:rsid w:val="00487344"/>
    <w:rsid w:val="004875E1"/>
    <w:rsid w:val="0049055D"/>
    <w:rsid w:val="00490DDE"/>
    <w:rsid w:val="00490F49"/>
    <w:rsid w:val="004922FB"/>
    <w:rsid w:val="0049738E"/>
    <w:rsid w:val="0049797C"/>
    <w:rsid w:val="004A196E"/>
    <w:rsid w:val="004A4142"/>
    <w:rsid w:val="004A4830"/>
    <w:rsid w:val="004A6F58"/>
    <w:rsid w:val="004B05F4"/>
    <w:rsid w:val="004B0811"/>
    <w:rsid w:val="004B1079"/>
    <w:rsid w:val="004B34ED"/>
    <w:rsid w:val="004B3910"/>
    <w:rsid w:val="004B46C4"/>
    <w:rsid w:val="004B5330"/>
    <w:rsid w:val="004B6001"/>
    <w:rsid w:val="004B6A5A"/>
    <w:rsid w:val="004B7697"/>
    <w:rsid w:val="004B7EA3"/>
    <w:rsid w:val="004C1318"/>
    <w:rsid w:val="004C1BA6"/>
    <w:rsid w:val="004C267F"/>
    <w:rsid w:val="004C348F"/>
    <w:rsid w:val="004C410D"/>
    <w:rsid w:val="004C4FB0"/>
    <w:rsid w:val="004D35C6"/>
    <w:rsid w:val="004D57AE"/>
    <w:rsid w:val="004D64DF"/>
    <w:rsid w:val="004D65D6"/>
    <w:rsid w:val="004E1E15"/>
    <w:rsid w:val="004E3A69"/>
    <w:rsid w:val="004E3F19"/>
    <w:rsid w:val="004E465E"/>
    <w:rsid w:val="004E4B34"/>
    <w:rsid w:val="004E52B0"/>
    <w:rsid w:val="004E60DF"/>
    <w:rsid w:val="004E74C5"/>
    <w:rsid w:val="004F0C3A"/>
    <w:rsid w:val="004F17C3"/>
    <w:rsid w:val="004F1B98"/>
    <w:rsid w:val="004F1EF6"/>
    <w:rsid w:val="004F42A8"/>
    <w:rsid w:val="004F4A0C"/>
    <w:rsid w:val="004F55F6"/>
    <w:rsid w:val="004F675C"/>
    <w:rsid w:val="004F6D1A"/>
    <w:rsid w:val="004F75CE"/>
    <w:rsid w:val="00500A59"/>
    <w:rsid w:val="00500D57"/>
    <w:rsid w:val="00503B44"/>
    <w:rsid w:val="00503EAE"/>
    <w:rsid w:val="0050604E"/>
    <w:rsid w:val="005068B8"/>
    <w:rsid w:val="00511898"/>
    <w:rsid w:val="00511D3E"/>
    <w:rsid w:val="00511E01"/>
    <w:rsid w:val="00514201"/>
    <w:rsid w:val="00515E23"/>
    <w:rsid w:val="00515FAA"/>
    <w:rsid w:val="00516AB4"/>
    <w:rsid w:val="00516C98"/>
    <w:rsid w:val="005177A2"/>
    <w:rsid w:val="00517C29"/>
    <w:rsid w:val="005204DA"/>
    <w:rsid w:val="00521532"/>
    <w:rsid w:val="005224AC"/>
    <w:rsid w:val="005245BA"/>
    <w:rsid w:val="005252D4"/>
    <w:rsid w:val="00525303"/>
    <w:rsid w:val="00525C33"/>
    <w:rsid w:val="0052677F"/>
    <w:rsid w:val="00526DE0"/>
    <w:rsid w:val="005306F4"/>
    <w:rsid w:val="00531CDE"/>
    <w:rsid w:val="00532723"/>
    <w:rsid w:val="00532809"/>
    <w:rsid w:val="00532ADC"/>
    <w:rsid w:val="00533931"/>
    <w:rsid w:val="00533DC9"/>
    <w:rsid w:val="005348C4"/>
    <w:rsid w:val="00536C08"/>
    <w:rsid w:val="00537173"/>
    <w:rsid w:val="005378CB"/>
    <w:rsid w:val="005404A5"/>
    <w:rsid w:val="00540CB5"/>
    <w:rsid w:val="00543FC2"/>
    <w:rsid w:val="005445DF"/>
    <w:rsid w:val="00544D41"/>
    <w:rsid w:val="00546A76"/>
    <w:rsid w:val="005500A4"/>
    <w:rsid w:val="005514E6"/>
    <w:rsid w:val="00554E93"/>
    <w:rsid w:val="005562F8"/>
    <w:rsid w:val="00557696"/>
    <w:rsid w:val="00560B4F"/>
    <w:rsid w:val="00560EA2"/>
    <w:rsid w:val="00561E6A"/>
    <w:rsid w:val="005648E0"/>
    <w:rsid w:val="00564E8F"/>
    <w:rsid w:val="0056578E"/>
    <w:rsid w:val="00565F1B"/>
    <w:rsid w:val="00567C01"/>
    <w:rsid w:val="00571877"/>
    <w:rsid w:val="00571B49"/>
    <w:rsid w:val="0057210E"/>
    <w:rsid w:val="0057228A"/>
    <w:rsid w:val="0057391D"/>
    <w:rsid w:val="005744DA"/>
    <w:rsid w:val="00575F6F"/>
    <w:rsid w:val="005774C8"/>
    <w:rsid w:val="0057757B"/>
    <w:rsid w:val="00577904"/>
    <w:rsid w:val="0058006C"/>
    <w:rsid w:val="005813E2"/>
    <w:rsid w:val="00581BE5"/>
    <w:rsid w:val="00582FCE"/>
    <w:rsid w:val="0058498A"/>
    <w:rsid w:val="0058535A"/>
    <w:rsid w:val="005853D2"/>
    <w:rsid w:val="005867F3"/>
    <w:rsid w:val="00586A4F"/>
    <w:rsid w:val="005900B5"/>
    <w:rsid w:val="0059108B"/>
    <w:rsid w:val="00591734"/>
    <w:rsid w:val="00591FA1"/>
    <w:rsid w:val="00592DF2"/>
    <w:rsid w:val="00593C35"/>
    <w:rsid w:val="00594041"/>
    <w:rsid w:val="00594F19"/>
    <w:rsid w:val="00594F8E"/>
    <w:rsid w:val="005965F2"/>
    <w:rsid w:val="005A02D2"/>
    <w:rsid w:val="005A61F4"/>
    <w:rsid w:val="005A6DCA"/>
    <w:rsid w:val="005B0839"/>
    <w:rsid w:val="005B61AE"/>
    <w:rsid w:val="005B7C66"/>
    <w:rsid w:val="005C159A"/>
    <w:rsid w:val="005C1EDC"/>
    <w:rsid w:val="005C33F9"/>
    <w:rsid w:val="005C3751"/>
    <w:rsid w:val="005C40A5"/>
    <w:rsid w:val="005C515B"/>
    <w:rsid w:val="005C5C17"/>
    <w:rsid w:val="005C7DA4"/>
    <w:rsid w:val="005D3369"/>
    <w:rsid w:val="005D44DD"/>
    <w:rsid w:val="005D4538"/>
    <w:rsid w:val="005D509B"/>
    <w:rsid w:val="005D59F7"/>
    <w:rsid w:val="005D6FDE"/>
    <w:rsid w:val="005D71DF"/>
    <w:rsid w:val="005E0BA7"/>
    <w:rsid w:val="005E1EB5"/>
    <w:rsid w:val="005E2379"/>
    <w:rsid w:val="005E435B"/>
    <w:rsid w:val="005E45D4"/>
    <w:rsid w:val="005E4877"/>
    <w:rsid w:val="005E5B93"/>
    <w:rsid w:val="005E6667"/>
    <w:rsid w:val="005E6BD0"/>
    <w:rsid w:val="005E781A"/>
    <w:rsid w:val="005E7A41"/>
    <w:rsid w:val="005F0902"/>
    <w:rsid w:val="005F20C3"/>
    <w:rsid w:val="005F3EA6"/>
    <w:rsid w:val="005F4076"/>
    <w:rsid w:val="005F5C9B"/>
    <w:rsid w:val="005F65E3"/>
    <w:rsid w:val="005F7746"/>
    <w:rsid w:val="005F7D07"/>
    <w:rsid w:val="006002D3"/>
    <w:rsid w:val="00603285"/>
    <w:rsid w:val="0060337E"/>
    <w:rsid w:val="006037E7"/>
    <w:rsid w:val="00605B60"/>
    <w:rsid w:val="00605B63"/>
    <w:rsid w:val="00607067"/>
    <w:rsid w:val="006075C2"/>
    <w:rsid w:val="00607DF3"/>
    <w:rsid w:val="006108E4"/>
    <w:rsid w:val="00610BEB"/>
    <w:rsid w:val="00616A50"/>
    <w:rsid w:val="006172D2"/>
    <w:rsid w:val="0062005F"/>
    <w:rsid w:val="00622C0C"/>
    <w:rsid w:val="00622CF9"/>
    <w:rsid w:val="006253AD"/>
    <w:rsid w:val="0062571B"/>
    <w:rsid w:val="00626AD6"/>
    <w:rsid w:val="00626C75"/>
    <w:rsid w:val="0062753E"/>
    <w:rsid w:val="00627BE7"/>
    <w:rsid w:val="00627CD0"/>
    <w:rsid w:val="00627E2D"/>
    <w:rsid w:val="0063140B"/>
    <w:rsid w:val="00633569"/>
    <w:rsid w:val="00634E68"/>
    <w:rsid w:val="00635132"/>
    <w:rsid w:val="006408DB"/>
    <w:rsid w:val="00642080"/>
    <w:rsid w:val="00642612"/>
    <w:rsid w:val="0064289E"/>
    <w:rsid w:val="006435A9"/>
    <w:rsid w:val="00644CB6"/>
    <w:rsid w:val="00645C4D"/>
    <w:rsid w:val="00647195"/>
    <w:rsid w:val="006503B5"/>
    <w:rsid w:val="0065060D"/>
    <w:rsid w:val="00657F9C"/>
    <w:rsid w:val="00660F71"/>
    <w:rsid w:val="00665413"/>
    <w:rsid w:val="00667D62"/>
    <w:rsid w:val="006705A1"/>
    <w:rsid w:val="006708AA"/>
    <w:rsid w:val="00670DA8"/>
    <w:rsid w:val="0067187A"/>
    <w:rsid w:val="006733B7"/>
    <w:rsid w:val="006733E1"/>
    <w:rsid w:val="00681429"/>
    <w:rsid w:val="006826FE"/>
    <w:rsid w:val="00683B13"/>
    <w:rsid w:val="00684CC6"/>
    <w:rsid w:val="00684E9E"/>
    <w:rsid w:val="0068625E"/>
    <w:rsid w:val="00691327"/>
    <w:rsid w:val="00691830"/>
    <w:rsid w:val="00692449"/>
    <w:rsid w:val="00693331"/>
    <w:rsid w:val="00693E45"/>
    <w:rsid w:val="006951A4"/>
    <w:rsid w:val="006957D8"/>
    <w:rsid w:val="00695EAD"/>
    <w:rsid w:val="006974EF"/>
    <w:rsid w:val="006A1152"/>
    <w:rsid w:val="006A11E3"/>
    <w:rsid w:val="006A279A"/>
    <w:rsid w:val="006A50FD"/>
    <w:rsid w:val="006A545D"/>
    <w:rsid w:val="006A7693"/>
    <w:rsid w:val="006B16D2"/>
    <w:rsid w:val="006B18A5"/>
    <w:rsid w:val="006B464F"/>
    <w:rsid w:val="006B5003"/>
    <w:rsid w:val="006B5750"/>
    <w:rsid w:val="006B6948"/>
    <w:rsid w:val="006B6E7A"/>
    <w:rsid w:val="006C0A94"/>
    <w:rsid w:val="006C0D27"/>
    <w:rsid w:val="006C1EC0"/>
    <w:rsid w:val="006C252F"/>
    <w:rsid w:val="006C5185"/>
    <w:rsid w:val="006C5E0D"/>
    <w:rsid w:val="006C7167"/>
    <w:rsid w:val="006C7BC3"/>
    <w:rsid w:val="006C7DB4"/>
    <w:rsid w:val="006D0D78"/>
    <w:rsid w:val="006D127E"/>
    <w:rsid w:val="006D31BD"/>
    <w:rsid w:val="006D4C5F"/>
    <w:rsid w:val="006D57E8"/>
    <w:rsid w:val="006D6AE6"/>
    <w:rsid w:val="006D6D42"/>
    <w:rsid w:val="006D77A2"/>
    <w:rsid w:val="006D79C2"/>
    <w:rsid w:val="006E03F0"/>
    <w:rsid w:val="006E132F"/>
    <w:rsid w:val="006E34F7"/>
    <w:rsid w:val="006E393E"/>
    <w:rsid w:val="006E5766"/>
    <w:rsid w:val="006E62AA"/>
    <w:rsid w:val="006F070C"/>
    <w:rsid w:val="006F16AA"/>
    <w:rsid w:val="006F1957"/>
    <w:rsid w:val="006F39CD"/>
    <w:rsid w:val="006F52F8"/>
    <w:rsid w:val="006F770E"/>
    <w:rsid w:val="0070029B"/>
    <w:rsid w:val="00700369"/>
    <w:rsid w:val="0070173B"/>
    <w:rsid w:val="00702548"/>
    <w:rsid w:val="00702AEC"/>
    <w:rsid w:val="00703C8C"/>
    <w:rsid w:val="00703F26"/>
    <w:rsid w:val="00704022"/>
    <w:rsid w:val="00705811"/>
    <w:rsid w:val="00705C4B"/>
    <w:rsid w:val="007075B9"/>
    <w:rsid w:val="0071043E"/>
    <w:rsid w:val="007116F6"/>
    <w:rsid w:val="007120A5"/>
    <w:rsid w:val="0071212F"/>
    <w:rsid w:val="00712BAC"/>
    <w:rsid w:val="007133E2"/>
    <w:rsid w:val="007147A9"/>
    <w:rsid w:val="00715622"/>
    <w:rsid w:val="00717AB7"/>
    <w:rsid w:val="00720140"/>
    <w:rsid w:val="00720ECC"/>
    <w:rsid w:val="00721DFE"/>
    <w:rsid w:val="00722047"/>
    <w:rsid w:val="0072481E"/>
    <w:rsid w:val="0072534D"/>
    <w:rsid w:val="00725ED9"/>
    <w:rsid w:val="007266DF"/>
    <w:rsid w:val="007317F3"/>
    <w:rsid w:val="007318D9"/>
    <w:rsid w:val="00732283"/>
    <w:rsid w:val="007325DA"/>
    <w:rsid w:val="007334CF"/>
    <w:rsid w:val="00733A0A"/>
    <w:rsid w:val="0073530B"/>
    <w:rsid w:val="00735380"/>
    <w:rsid w:val="007353C8"/>
    <w:rsid w:val="00735F37"/>
    <w:rsid w:val="007400BE"/>
    <w:rsid w:val="00741801"/>
    <w:rsid w:val="0074230B"/>
    <w:rsid w:val="00743CE7"/>
    <w:rsid w:val="00745BBA"/>
    <w:rsid w:val="00745DCC"/>
    <w:rsid w:val="00750AE3"/>
    <w:rsid w:val="00751C16"/>
    <w:rsid w:val="00751E2A"/>
    <w:rsid w:val="00752348"/>
    <w:rsid w:val="007538A2"/>
    <w:rsid w:val="00753F62"/>
    <w:rsid w:val="0075462D"/>
    <w:rsid w:val="007553C1"/>
    <w:rsid w:val="00757337"/>
    <w:rsid w:val="00757800"/>
    <w:rsid w:val="00757915"/>
    <w:rsid w:val="00762B3D"/>
    <w:rsid w:val="00766552"/>
    <w:rsid w:val="0076726B"/>
    <w:rsid w:val="00770F92"/>
    <w:rsid w:val="00771B65"/>
    <w:rsid w:val="007723A4"/>
    <w:rsid w:val="007731A3"/>
    <w:rsid w:val="007742D0"/>
    <w:rsid w:val="00776940"/>
    <w:rsid w:val="0077748F"/>
    <w:rsid w:val="00777D01"/>
    <w:rsid w:val="007800A5"/>
    <w:rsid w:val="00780992"/>
    <w:rsid w:val="00780F42"/>
    <w:rsid w:val="00785BE9"/>
    <w:rsid w:val="00786247"/>
    <w:rsid w:val="00786428"/>
    <w:rsid w:val="00786F83"/>
    <w:rsid w:val="007877D6"/>
    <w:rsid w:val="00792069"/>
    <w:rsid w:val="00792C1E"/>
    <w:rsid w:val="00794C7C"/>
    <w:rsid w:val="00795FFB"/>
    <w:rsid w:val="00796295"/>
    <w:rsid w:val="00796F96"/>
    <w:rsid w:val="00797CAE"/>
    <w:rsid w:val="00797D92"/>
    <w:rsid w:val="007A0827"/>
    <w:rsid w:val="007A1F37"/>
    <w:rsid w:val="007A4ED2"/>
    <w:rsid w:val="007A521C"/>
    <w:rsid w:val="007A5FA8"/>
    <w:rsid w:val="007B2FF7"/>
    <w:rsid w:val="007B33BF"/>
    <w:rsid w:val="007B5998"/>
    <w:rsid w:val="007B601A"/>
    <w:rsid w:val="007B70B3"/>
    <w:rsid w:val="007B7867"/>
    <w:rsid w:val="007C1B9E"/>
    <w:rsid w:val="007C2B64"/>
    <w:rsid w:val="007C5553"/>
    <w:rsid w:val="007C6FFD"/>
    <w:rsid w:val="007D16EC"/>
    <w:rsid w:val="007D1FDB"/>
    <w:rsid w:val="007D2E7F"/>
    <w:rsid w:val="007D3620"/>
    <w:rsid w:val="007D4799"/>
    <w:rsid w:val="007D7100"/>
    <w:rsid w:val="007E09DD"/>
    <w:rsid w:val="007E3946"/>
    <w:rsid w:val="007E4563"/>
    <w:rsid w:val="007E47AF"/>
    <w:rsid w:val="007E4B75"/>
    <w:rsid w:val="007E4BCB"/>
    <w:rsid w:val="007E66C4"/>
    <w:rsid w:val="007F3D48"/>
    <w:rsid w:val="007F455F"/>
    <w:rsid w:val="007F637D"/>
    <w:rsid w:val="0080010D"/>
    <w:rsid w:val="00800EB9"/>
    <w:rsid w:val="008017BC"/>
    <w:rsid w:val="0080289B"/>
    <w:rsid w:val="0080361E"/>
    <w:rsid w:val="00805738"/>
    <w:rsid w:val="00805908"/>
    <w:rsid w:val="008068C4"/>
    <w:rsid w:val="00806E06"/>
    <w:rsid w:val="008112C2"/>
    <w:rsid w:val="00813782"/>
    <w:rsid w:val="00813EEC"/>
    <w:rsid w:val="00815303"/>
    <w:rsid w:val="0081686A"/>
    <w:rsid w:val="00817FD3"/>
    <w:rsid w:val="00822B2E"/>
    <w:rsid w:val="008236F1"/>
    <w:rsid w:val="0082395E"/>
    <w:rsid w:val="00824F2B"/>
    <w:rsid w:val="00826EB8"/>
    <w:rsid w:val="0083040C"/>
    <w:rsid w:val="00830CF8"/>
    <w:rsid w:val="00832B9D"/>
    <w:rsid w:val="00833198"/>
    <w:rsid w:val="00833BF9"/>
    <w:rsid w:val="008341CE"/>
    <w:rsid w:val="0083519D"/>
    <w:rsid w:val="00836471"/>
    <w:rsid w:val="00837638"/>
    <w:rsid w:val="00837ADC"/>
    <w:rsid w:val="0084018E"/>
    <w:rsid w:val="008410C9"/>
    <w:rsid w:val="00842281"/>
    <w:rsid w:val="00843413"/>
    <w:rsid w:val="00846D79"/>
    <w:rsid w:val="0085034D"/>
    <w:rsid w:val="008509B5"/>
    <w:rsid w:val="00850E72"/>
    <w:rsid w:val="00851F7A"/>
    <w:rsid w:val="00855715"/>
    <w:rsid w:val="00855BF1"/>
    <w:rsid w:val="00856F40"/>
    <w:rsid w:val="00860F56"/>
    <w:rsid w:val="008630F5"/>
    <w:rsid w:val="00863831"/>
    <w:rsid w:val="00863BD9"/>
    <w:rsid w:val="00865AF7"/>
    <w:rsid w:val="008660C6"/>
    <w:rsid w:val="008705F0"/>
    <w:rsid w:val="00871C5E"/>
    <w:rsid w:val="00871CDD"/>
    <w:rsid w:val="00873B92"/>
    <w:rsid w:val="00873CC6"/>
    <w:rsid w:val="008742AD"/>
    <w:rsid w:val="00876D91"/>
    <w:rsid w:val="0088070F"/>
    <w:rsid w:val="008809ED"/>
    <w:rsid w:val="00881169"/>
    <w:rsid w:val="00881590"/>
    <w:rsid w:val="00882269"/>
    <w:rsid w:val="00883611"/>
    <w:rsid w:val="00884273"/>
    <w:rsid w:val="00884A33"/>
    <w:rsid w:val="00886A91"/>
    <w:rsid w:val="00886F4F"/>
    <w:rsid w:val="00887C9B"/>
    <w:rsid w:val="0089004D"/>
    <w:rsid w:val="0089235D"/>
    <w:rsid w:val="00892BF1"/>
    <w:rsid w:val="00894884"/>
    <w:rsid w:val="008948CC"/>
    <w:rsid w:val="00894E12"/>
    <w:rsid w:val="008950B8"/>
    <w:rsid w:val="008961C1"/>
    <w:rsid w:val="008963A2"/>
    <w:rsid w:val="008964B4"/>
    <w:rsid w:val="008964D5"/>
    <w:rsid w:val="008A02CC"/>
    <w:rsid w:val="008A19FB"/>
    <w:rsid w:val="008A220C"/>
    <w:rsid w:val="008A2DC5"/>
    <w:rsid w:val="008A71D9"/>
    <w:rsid w:val="008B0B06"/>
    <w:rsid w:val="008B3AEF"/>
    <w:rsid w:val="008B598D"/>
    <w:rsid w:val="008B7964"/>
    <w:rsid w:val="008C0D07"/>
    <w:rsid w:val="008C2010"/>
    <w:rsid w:val="008C3BB6"/>
    <w:rsid w:val="008C429A"/>
    <w:rsid w:val="008C516E"/>
    <w:rsid w:val="008C58B8"/>
    <w:rsid w:val="008C6CE7"/>
    <w:rsid w:val="008C767C"/>
    <w:rsid w:val="008D11F5"/>
    <w:rsid w:val="008D777B"/>
    <w:rsid w:val="008E0F50"/>
    <w:rsid w:val="008E1011"/>
    <w:rsid w:val="008E1905"/>
    <w:rsid w:val="008E2A88"/>
    <w:rsid w:val="008E2B38"/>
    <w:rsid w:val="008E4EB5"/>
    <w:rsid w:val="008E57DF"/>
    <w:rsid w:val="008E6CC5"/>
    <w:rsid w:val="008F0B77"/>
    <w:rsid w:val="008F290B"/>
    <w:rsid w:val="008F5DB0"/>
    <w:rsid w:val="008F62A7"/>
    <w:rsid w:val="00901D88"/>
    <w:rsid w:val="00902119"/>
    <w:rsid w:val="00902E2E"/>
    <w:rsid w:val="00904FB2"/>
    <w:rsid w:val="00906F1B"/>
    <w:rsid w:val="009072F4"/>
    <w:rsid w:val="00907A7E"/>
    <w:rsid w:val="00907AB1"/>
    <w:rsid w:val="00910048"/>
    <w:rsid w:val="0091130A"/>
    <w:rsid w:val="00913166"/>
    <w:rsid w:val="009139D5"/>
    <w:rsid w:val="00914440"/>
    <w:rsid w:val="009178B1"/>
    <w:rsid w:val="009210AE"/>
    <w:rsid w:val="00922517"/>
    <w:rsid w:val="009227B3"/>
    <w:rsid w:val="00922DB8"/>
    <w:rsid w:val="00925172"/>
    <w:rsid w:val="009256F6"/>
    <w:rsid w:val="00926364"/>
    <w:rsid w:val="00926E77"/>
    <w:rsid w:val="00927A34"/>
    <w:rsid w:val="009309DC"/>
    <w:rsid w:val="0093191A"/>
    <w:rsid w:val="00931B41"/>
    <w:rsid w:val="00933187"/>
    <w:rsid w:val="009332A3"/>
    <w:rsid w:val="0093418F"/>
    <w:rsid w:val="009352E1"/>
    <w:rsid w:val="009373F5"/>
    <w:rsid w:val="00937B5B"/>
    <w:rsid w:val="0094293E"/>
    <w:rsid w:val="0094354C"/>
    <w:rsid w:val="00946010"/>
    <w:rsid w:val="00950EA6"/>
    <w:rsid w:val="00951692"/>
    <w:rsid w:val="009531CB"/>
    <w:rsid w:val="00953B72"/>
    <w:rsid w:val="009549AD"/>
    <w:rsid w:val="00955691"/>
    <w:rsid w:val="009557E9"/>
    <w:rsid w:val="00956B6F"/>
    <w:rsid w:val="0096209E"/>
    <w:rsid w:val="00963254"/>
    <w:rsid w:val="00963639"/>
    <w:rsid w:val="009636B7"/>
    <w:rsid w:val="009653B2"/>
    <w:rsid w:val="0096701B"/>
    <w:rsid w:val="00967340"/>
    <w:rsid w:val="00967F48"/>
    <w:rsid w:val="009701C5"/>
    <w:rsid w:val="00970462"/>
    <w:rsid w:val="00970487"/>
    <w:rsid w:val="00970B38"/>
    <w:rsid w:val="0097133A"/>
    <w:rsid w:val="009724EB"/>
    <w:rsid w:val="0097423A"/>
    <w:rsid w:val="009747A3"/>
    <w:rsid w:val="009779B8"/>
    <w:rsid w:val="00977D16"/>
    <w:rsid w:val="0098018A"/>
    <w:rsid w:val="0098195C"/>
    <w:rsid w:val="0098205C"/>
    <w:rsid w:val="00982E2A"/>
    <w:rsid w:val="0098392C"/>
    <w:rsid w:val="00983B0B"/>
    <w:rsid w:val="00984340"/>
    <w:rsid w:val="00986586"/>
    <w:rsid w:val="00987DB7"/>
    <w:rsid w:val="009932DC"/>
    <w:rsid w:val="00993460"/>
    <w:rsid w:val="00993C5B"/>
    <w:rsid w:val="00993D04"/>
    <w:rsid w:val="009944AC"/>
    <w:rsid w:val="0099788C"/>
    <w:rsid w:val="009A0367"/>
    <w:rsid w:val="009A1276"/>
    <w:rsid w:val="009A194B"/>
    <w:rsid w:val="009A38B3"/>
    <w:rsid w:val="009A4515"/>
    <w:rsid w:val="009A588B"/>
    <w:rsid w:val="009B0634"/>
    <w:rsid w:val="009B0797"/>
    <w:rsid w:val="009B19A2"/>
    <w:rsid w:val="009B1A96"/>
    <w:rsid w:val="009B4A9C"/>
    <w:rsid w:val="009B50E1"/>
    <w:rsid w:val="009B5A1A"/>
    <w:rsid w:val="009B7086"/>
    <w:rsid w:val="009C05E8"/>
    <w:rsid w:val="009C4D08"/>
    <w:rsid w:val="009C5701"/>
    <w:rsid w:val="009C663B"/>
    <w:rsid w:val="009C7795"/>
    <w:rsid w:val="009C7B33"/>
    <w:rsid w:val="009D0791"/>
    <w:rsid w:val="009D200B"/>
    <w:rsid w:val="009D20A7"/>
    <w:rsid w:val="009D219F"/>
    <w:rsid w:val="009D258E"/>
    <w:rsid w:val="009D2BEA"/>
    <w:rsid w:val="009D4EFC"/>
    <w:rsid w:val="009D5397"/>
    <w:rsid w:val="009D69B0"/>
    <w:rsid w:val="009E1601"/>
    <w:rsid w:val="009E16A2"/>
    <w:rsid w:val="009E227A"/>
    <w:rsid w:val="009E2D4C"/>
    <w:rsid w:val="009E37D8"/>
    <w:rsid w:val="009E5844"/>
    <w:rsid w:val="009E5D1E"/>
    <w:rsid w:val="009E77FF"/>
    <w:rsid w:val="009E79A0"/>
    <w:rsid w:val="009F0C7C"/>
    <w:rsid w:val="009F1C9F"/>
    <w:rsid w:val="009F3362"/>
    <w:rsid w:val="009F3BD2"/>
    <w:rsid w:val="009F441A"/>
    <w:rsid w:val="009F4D93"/>
    <w:rsid w:val="009F50B7"/>
    <w:rsid w:val="009F54F5"/>
    <w:rsid w:val="009F75D9"/>
    <w:rsid w:val="00A019F6"/>
    <w:rsid w:val="00A02E0C"/>
    <w:rsid w:val="00A0323C"/>
    <w:rsid w:val="00A032AD"/>
    <w:rsid w:val="00A03D5D"/>
    <w:rsid w:val="00A04A1E"/>
    <w:rsid w:val="00A04CD8"/>
    <w:rsid w:val="00A0624B"/>
    <w:rsid w:val="00A064C8"/>
    <w:rsid w:val="00A0765D"/>
    <w:rsid w:val="00A118B0"/>
    <w:rsid w:val="00A11C4E"/>
    <w:rsid w:val="00A14C4D"/>
    <w:rsid w:val="00A151E3"/>
    <w:rsid w:val="00A161CA"/>
    <w:rsid w:val="00A165B8"/>
    <w:rsid w:val="00A16B1D"/>
    <w:rsid w:val="00A17CB8"/>
    <w:rsid w:val="00A20580"/>
    <w:rsid w:val="00A20B8C"/>
    <w:rsid w:val="00A21F8B"/>
    <w:rsid w:val="00A2296D"/>
    <w:rsid w:val="00A23ABA"/>
    <w:rsid w:val="00A242F2"/>
    <w:rsid w:val="00A256BC"/>
    <w:rsid w:val="00A265A1"/>
    <w:rsid w:val="00A310C5"/>
    <w:rsid w:val="00A317D3"/>
    <w:rsid w:val="00A31B98"/>
    <w:rsid w:val="00A32040"/>
    <w:rsid w:val="00A32A2B"/>
    <w:rsid w:val="00A33E42"/>
    <w:rsid w:val="00A3757F"/>
    <w:rsid w:val="00A4031A"/>
    <w:rsid w:val="00A42078"/>
    <w:rsid w:val="00A42993"/>
    <w:rsid w:val="00A44BBB"/>
    <w:rsid w:val="00A44E69"/>
    <w:rsid w:val="00A4589E"/>
    <w:rsid w:val="00A45EC5"/>
    <w:rsid w:val="00A46C58"/>
    <w:rsid w:val="00A46CAE"/>
    <w:rsid w:val="00A477A6"/>
    <w:rsid w:val="00A4785E"/>
    <w:rsid w:val="00A52293"/>
    <w:rsid w:val="00A52685"/>
    <w:rsid w:val="00A526D7"/>
    <w:rsid w:val="00A5304B"/>
    <w:rsid w:val="00A53BE4"/>
    <w:rsid w:val="00A55163"/>
    <w:rsid w:val="00A556D4"/>
    <w:rsid w:val="00A56108"/>
    <w:rsid w:val="00A56EFB"/>
    <w:rsid w:val="00A5762D"/>
    <w:rsid w:val="00A6065D"/>
    <w:rsid w:val="00A606DD"/>
    <w:rsid w:val="00A610E5"/>
    <w:rsid w:val="00A61583"/>
    <w:rsid w:val="00A620E3"/>
    <w:rsid w:val="00A624EC"/>
    <w:rsid w:val="00A62BB5"/>
    <w:rsid w:val="00A64DC5"/>
    <w:rsid w:val="00A653FA"/>
    <w:rsid w:val="00A67145"/>
    <w:rsid w:val="00A67347"/>
    <w:rsid w:val="00A70F0A"/>
    <w:rsid w:val="00A71F9D"/>
    <w:rsid w:val="00A745E6"/>
    <w:rsid w:val="00A755D2"/>
    <w:rsid w:val="00A76E62"/>
    <w:rsid w:val="00A809EB"/>
    <w:rsid w:val="00A82586"/>
    <w:rsid w:val="00A82743"/>
    <w:rsid w:val="00A8307D"/>
    <w:rsid w:val="00A85F63"/>
    <w:rsid w:val="00A863D7"/>
    <w:rsid w:val="00A865D7"/>
    <w:rsid w:val="00A867CA"/>
    <w:rsid w:val="00A87E79"/>
    <w:rsid w:val="00A90C66"/>
    <w:rsid w:val="00A927FA"/>
    <w:rsid w:val="00A9428A"/>
    <w:rsid w:val="00A951B4"/>
    <w:rsid w:val="00A95870"/>
    <w:rsid w:val="00A965CA"/>
    <w:rsid w:val="00A974CC"/>
    <w:rsid w:val="00AA0677"/>
    <w:rsid w:val="00AA2834"/>
    <w:rsid w:val="00AA4B4A"/>
    <w:rsid w:val="00AA6F5A"/>
    <w:rsid w:val="00AA742C"/>
    <w:rsid w:val="00AB0897"/>
    <w:rsid w:val="00AB102C"/>
    <w:rsid w:val="00AB2FF7"/>
    <w:rsid w:val="00AB32B2"/>
    <w:rsid w:val="00AB39A1"/>
    <w:rsid w:val="00AB3D6A"/>
    <w:rsid w:val="00AB5802"/>
    <w:rsid w:val="00AB5CA2"/>
    <w:rsid w:val="00AB6F1F"/>
    <w:rsid w:val="00AB74CB"/>
    <w:rsid w:val="00AC00AA"/>
    <w:rsid w:val="00AC092A"/>
    <w:rsid w:val="00AC15BF"/>
    <w:rsid w:val="00AC2AFF"/>
    <w:rsid w:val="00AC6B45"/>
    <w:rsid w:val="00AC7099"/>
    <w:rsid w:val="00AD0164"/>
    <w:rsid w:val="00AD059A"/>
    <w:rsid w:val="00AD0A2F"/>
    <w:rsid w:val="00AD23AB"/>
    <w:rsid w:val="00AD26A9"/>
    <w:rsid w:val="00AD43C6"/>
    <w:rsid w:val="00AD4406"/>
    <w:rsid w:val="00AD5D1C"/>
    <w:rsid w:val="00AD7E80"/>
    <w:rsid w:val="00AE13EF"/>
    <w:rsid w:val="00AE3C10"/>
    <w:rsid w:val="00AE5BC0"/>
    <w:rsid w:val="00AE5DA8"/>
    <w:rsid w:val="00AE73C1"/>
    <w:rsid w:val="00AF0723"/>
    <w:rsid w:val="00AF07E5"/>
    <w:rsid w:val="00AF12D1"/>
    <w:rsid w:val="00AF1A06"/>
    <w:rsid w:val="00AF2B57"/>
    <w:rsid w:val="00AF3BED"/>
    <w:rsid w:val="00AF4C7A"/>
    <w:rsid w:val="00AF593E"/>
    <w:rsid w:val="00AF62F6"/>
    <w:rsid w:val="00B00DB3"/>
    <w:rsid w:val="00B0166D"/>
    <w:rsid w:val="00B01E5E"/>
    <w:rsid w:val="00B03A8D"/>
    <w:rsid w:val="00B045E2"/>
    <w:rsid w:val="00B05835"/>
    <w:rsid w:val="00B10541"/>
    <w:rsid w:val="00B11163"/>
    <w:rsid w:val="00B11544"/>
    <w:rsid w:val="00B115BF"/>
    <w:rsid w:val="00B12B2A"/>
    <w:rsid w:val="00B12D56"/>
    <w:rsid w:val="00B146C2"/>
    <w:rsid w:val="00B14F4E"/>
    <w:rsid w:val="00B1619A"/>
    <w:rsid w:val="00B16F4B"/>
    <w:rsid w:val="00B2070C"/>
    <w:rsid w:val="00B2148D"/>
    <w:rsid w:val="00B2163A"/>
    <w:rsid w:val="00B23521"/>
    <w:rsid w:val="00B238AF"/>
    <w:rsid w:val="00B25EAE"/>
    <w:rsid w:val="00B274EF"/>
    <w:rsid w:val="00B303A5"/>
    <w:rsid w:val="00B3052D"/>
    <w:rsid w:val="00B3161E"/>
    <w:rsid w:val="00B33CCF"/>
    <w:rsid w:val="00B354EC"/>
    <w:rsid w:val="00B3643A"/>
    <w:rsid w:val="00B4109D"/>
    <w:rsid w:val="00B41170"/>
    <w:rsid w:val="00B41C08"/>
    <w:rsid w:val="00B42597"/>
    <w:rsid w:val="00B43764"/>
    <w:rsid w:val="00B445CF"/>
    <w:rsid w:val="00B44C76"/>
    <w:rsid w:val="00B463C0"/>
    <w:rsid w:val="00B4652A"/>
    <w:rsid w:val="00B4657A"/>
    <w:rsid w:val="00B47050"/>
    <w:rsid w:val="00B477C2"/>
    <w:rsid w:val="00B54777"/>
    <w:rsid w:val="00B54848"/>
    <w:rsid w:val="00B5518D"/>
    <w:rsid w:val="00B55717"/>
    <w:rsid w:val="00B565DB"/>
    <w:rsid w:val="00B56E8A"/>
    <w:rsid w:val="00B57128"/>
    <w:rsid w:val="00B5726D"/>
    <w:rsid w:val="00B574CB"/>
    <w:rsid w:val="00B5798E"/>
    <w:rsid w:val="00B60381"/>
    <w:rsid w:val="00B61F4E"/>
    <w:rsid w:val="00B6276A"/>
    <w:rsid w:val="00B62B53"/>
    <w:rsid w:val="00B6354A"/>
    <w:rsid w:val="00B63756"/>
    <w:rsid w:val="00B63962"/>
    <w:rsid w:val="00B63B3A"/>
    <w:rsid w:val="00B63F41"/>
    <w:rsid w:val="00B64F6F"/>
    <w:rsid w:val="00B67895"/>
    <w:rsid w:val="00B678F8"/>
    <w:rsid w:val="00B72D04"/>
    <w:rsid w:val="00B72EAA"/>
    <w:rsid w:val="00B74938"/>
    <w:rsid w:val="00B75C85"/>
    <w:rsid w:val="00B7625E"/>
    <w:rsid w:val="00B76397"/>
    <w:rsid w:val="00B774BB"/>
    <w:rsid w:val="00B77506"/>
    <w:rsid w:val="00B81257"/>
    <w:rsid w:val="00B81D00"/>
    <w:rsid w:val="00B83083"/>
    <w:rsid w:val="00B836F0"/>
    <w:rsid w:val="00B83B25"/>
    <w:rsid w:val="00B83F65"/>
    <w:rsid w:val="00B84B09"/>
    <w:rsid w:val="00B84EE5"/>
    <w:rsid w:val="00B853D1"/>
    <w:rsid w:val="00B86663"/>
    <w:rsid w:val="00B86D8A"/>
    <w:rsid w:val="00B870AB"/>
    <w:rsid w:val="00B91637"/>
    <w:rsid w:val="00B91765"/>
    <w:rsid w:val="00B91C43"/>
    <w:rsid w:val="00B922A9"/>
    <w:rsid w:val="00B92D96"/>
    <w:rsid w:val="00B9312D"/>
    <w:rsid w:val="00B9367D"/>
    <w:rsid w:val="00B93C16"/>
    <w:rsid w:val="00B94672"/>
    <w:rsid w:val="00B95556"/>
    <w:rsid w:val="00B96B18"/>
    <w:rsid w:val="00B96D60"/>
    <w:rsid w:val="00B97E0A"/>
    <w:rsid w:val="00BA0027"/>
    <w:rsid w:val="00BA05F5"/>
    <w:rsid w:val="00BA06A5"/>
    <w:rsid w:val="00BA1325"/>
    <w:rsid w:val="00BA329D"/>
    <w:rsid w:val="00BB0101"/>
    <w:rsid w:val="00BB0A08"/>
    <w:rsid w:val="00BB104D"/>
    <w:rsid w:val="00BB2E79"/>
    <w:rsid w:val="00BB6002"/>
    <w:rsid w:val="00BC1753"/>
    <w:rsid w:val="00BC1EA9"/>
    <w:rsid w:val="00BC2423"/>
    <w:rsid w:val="00BC3EB7"/>
    <w:rsid w:val="00BC42E7"/>
    <w:rsid w:val="00BC6323"/>
    <w:rsid w:val="00BC6A23"/>
    <w:rsid w:val="00BC6ED0"/>
    <w:rsid w:val="00BC76A2"/>
    <w:rsid w:val="00BD0B30"/>
    <w:rsid w:val="00BD1053"/>
    <w:rsid w:val="00BD1B50"/>
    <w:rsid w:val="00BD306A"/>
    <w:rsid w:val="00BD37A0"/>
    <w:rsid w:val="00BD3C1E"/>
    <w:rsid w:val="00BD4A1A"/>
    <w:rsid w:val="00BD5981"/>
    <w:rsid w:val="00BD5A7B"/>
    <w:rsid w:val="00BD5A9C"/>
    <w:rsid w:val="00BD6408"/>
    <w:rsid w:val="00BD7560"/>
    <w:rsid w:val="00BE0BE0"/>
    <w:rsid w:val="00BE0CAF"/>
    <w:rsid w:val="00BE2258"/>
    <w:rsid w:val="00BE5318"/>
    <w:rsid w:val="00BE58B5"/>
    <w:rsid w:val="00BE5A1F"/>
    <w:rsid w:val="00BE5F32"/>
    <w:rsid w:val="00BE6365"/>
    <w:rsid w:val="00BE723C"/>
    <w:rsid w:val="00BE7689"/>
    <w:rsid w:val="00BF1D92"/>
    <w:rsid w:val="00BF3165"/>
    <w:rsid w:val="00BF3D26"/>
    <w:rsid w:val="00BF41C7"/>
    <w:rsid w:val="00BF4A6E"/>
    <w:rsid w:val="00BF579F"/>
    <w:rsid w:val="00BF57DA"/>
    <w:rsid w:val="00BF5B3B"/>
    <w:rsid w:val="00BF6984"/>
    <w:rsid w:val="00BF7FB6"/>
    <w:rsid w:val="00C03045"/>
    <w:rsid w:val="00C03E5B"/>
    <w:rsid w:val="00C04267"/>
    <w:rsid w:val="00C050B7"/>
    <w:rsid w:val="00C05CA3"/>
    <w:rsid w:val="00C05FF6"/>
    <w:rsid w:val="00C0689F"/>
    <w:rsid w:val="00C0703F"/>
    <w:rsid w:val="00C071CF"/>
    <w:rsid w:val="00C072F5"/>
    <w:rsid w:val="00C10A53"/>
    <w:rsid w:val="00C1315D"/>
    <w:rsid w:val="00C15AF4"/>
    <w:rsid w:val="00C1725B"/>
    <w:rsid w:val="00C17640"/>
    <w:rsid w:val="00C21BD6"/>
    <w:rsid w:val="00C237B0"/>
    <w:rsid w:val="00C23838"/>
    <w:rsid w:val="00C240DA"/>
    <w:rsid w:val="00C2596C"/>
    <w:rsid w:val="00C26131"/>
    <w:rsid w:val="00C268F4"/>
    <w:rsid w:val="00C27086"/>
    <w:rsid w:val="00C27519"/>
    <w:rsid w:val="00C3078D"/>
    <w:rsid w:val="00C3096B"/>
    <w:rsid w:val="00C33129"/>
    <w:rsid w:val="00C3475E"/>
    <w:rsid w:val="00C34A02"/>
    <w:rsid w:val="00C34A70"/>
    <w:rsid w:val="00C35FF3"/>
    <w:rsid w:val="00C367BC"/>
    <w:rsid w:val="00C42364"/>
    <w:rsid w:val="00C43F77"/>
    <w:rsid w:val="00C46D9F"/>
    <w:rsid w:val="00C4734E"/>
    <w:rsid w:val="00C50119"/>
    <w:rsid w:val="00C51340"/>
    <w:rsid w:val="00C52F08"/>
    <w:rsid w:val="00C5341D"/>
    <w:rsid w:val="00C53A8C"/>
    <w:rsid w:val="00C54622"/>
    <w:rsid w:val="00C54A4B"/>
    <w:rsid w:val="00C5593A"/>
    <w:rsid w:val="00C55AF0"/>
    <w:rsid w:val="00C55F10"/>
    <w:rsid w:val="00C56885"/>
    <w:rsid w:val="00C57539"/>
    <w:rsid w:val="00C6104B"/>
    <w:rsid w:val="00C623FD"/>
    <w:rsid w:val="00C6418C"/>
    <w:rsid w:val="00C645E3"/>
    <w:rsid w:val="00C67F5B"/>
    <w:rsid w:val="00C7220F"/>
    <w:rsid w:val="00C72638"/>
    <w:rsid w:val="00C74E6E"/>
    <w:rsid w:val="00C75839"/>
    <w:rsid w:val="00C77690"/>
    <w:rsid w:val="00C77A6D"/>
    <w:rsid w:val="00C77F35"/>
    <w:rsid w:val="00C80BD7"/>
    <w:rsid w:val="00C8226C"/>
    <w:rsid w:val="00C8309F"/>
    <w:rsid w:val="00C8473E"/>
    <w:rsid w:val="00C847E4"/>
    <w:rsid w:val="00C84EDD"/>
    <w:rsid w:val="00C84FC8"/>
    <w:rsid w:val="00C85369"/>
    <w:rsid w:val="00C86D93"/>
    <w:rsid w:val="00C86E49"/>
    <w:rsid w:val="00C92459"/>
    <w:rsid w:val="00C92C45"/>
    <w:rsid w:val="00C938AC"/>
    <w:rsid w:val="00C93AF7"/>
    <w:rsid w:val="00C94501"/>
    <w:rsid w:val="00C94EE0"/>
    <w:rsid w:val="00C95CBB"/>
    <w:rsid w:val="00C95FF4"/>
    <w:rsid w:val="00C96DA3"/>
    <w:rsid w:val="00CA0824"/>
    <w:rsid w:val="00CA1EED"/>
    <w:rsid w:val="00CA5105"/>
    <w:rsid w:val="00CA599F"/>
    <w:rsid w:val="00CA5DCF"/>
    <w:rsid w:val="00CA6A63"/>
    <w:rsid w:val="00CB01C6"/>
    <w:rsid w:val="00CB101D"/>
    <w:rsid w:val="00CB5F36"/>
    <w:rsid w:val="00CB65E4"/>
    <w:rsid w:val="00CB7176"/>
    <w:rsid w:val="00CB7A14"/>
    <w:rsid w:val="00CC1286"/>
    <w:rsid w:val="00CC1954"/>
    <w:rsid w:val="00CC276A"/>
    <w:rsid w:val="00CC2AB4"/>
    <w:rsid w:val="00CC2ABC"/>
    <w:rsid w:val="00CC31C3"/>
    <w:rsid w:val="00CC4632"/>
    <w:rsid w:val="00CC4C21"/>
    <w:rsid w:val="00CC4F72"/>
    <w:rsid w:val="00CC5F18"/>
    <w:rsid w:val="00CC768C"/>
    <w:rsid w:val="00CD022A"/>
    <w:rsid w:val="00CD3FAD"/>
    <w:rsid w:val="00CD4DC4"/>
    <w:rsid w:val="00CD518F"/>
    <w:rsid w:val="00CD5373"/>
    <w:rsid w:val="00CD5B6D"/>
    <w:rsid w:val="00CD68FE"/>
    <w:rsid w:val="00CD70D7"/>
    <w:rsid w:val="00CD7C7A"/>
    <w:rsid w:val="00CE1964"/>
    <w:rsid w:val="00CE2DD3"/>
    <w:rsid w:val="00CE3ED8"/>
    <w:rsid w:val="00CE4B1B"/>
    <w:rsid w:val="00CE62A7"/>
    <w:rsid w:val="00CF0C4D"/>
    <w:rsid w:val="00CF0E38"/>
    <w:rsid w:val="00CF0E55"/>
    <w:rsid w:val="00CF2226"/>
    <w:rsid w:val="00CF2712"/>
    <w:rsid w:val="00CF5CCA"/>
    <w:rsid w:val="00D00C30"/>
    <w:rsid w:val="00D0165B"/>
    <w:rsid w:val="00D01A14"/>
    <w:rsid w:val="00D036E4"/>
    <w:rsid w:val="00D0576E"/>
    <w:rsid w:val="00D0601E"/>
    <w:rsid w:val="00D067DF"/>
    <w:rsid w:val="00D10CB0"/>
    <w:rsid w:val="00D1174A"/>
    <w:rsid w:val="00D11CD9"/>
    <w:rsid w:val="00D120B0"/>
    <w:rsid w:val="00D12C4D"/>
    <w:rsid w:val="00D20A51"/>
    <w:rsid w:val="00D20B2B"/>
    <w:rsid w:val="00D21496"/>
    <w:rsid w:val="00D228FE"/>
    <w:rsid w:val="00D229E6"/>
    <w:rsid w:val="00D23169"/>
    <w:rsid w:val="00D23330"/>
    <w:rsid w:val="00D23990"/>
    <w:rsid w:val="00D23B43"/>
    <w:rsid w:val="00D251F6"/>
    <w:rsid w:val="00D27A7F"/>
    <w:rsid w:val="00D3456D"/>
    <w:rsid w:val="00D35025"/>
    <w:rsid w:val="00D35822"/>
    <w:rsid w:val="00D35E31"/>
    <w:rsid w:val="00D3624E"/>
    <w:rsid w:val="00D37FD7"/>
    <w:rsid w:val="00D41189"/>
    <w:rsid w:val="00D41480"/>
    <w:rsid w:val="00D45133"/>
    <w:rsid w:val="00D45255"/>
    <w:rsid w:val="00D4583C"/>
    <w:rsid w:val="00D46EE0"/>
    <w:rsid w:val="00D47747"/>
    <w:rsid w:val="00D503DD"/>
    <w:rsid w:val="00D523E4"/>
    <w:rsid w:val="00D52412"/>
    <w:rsid w:val="00D5343A"/>
    <w:rsid w:val="00D53CC4"/>
    <w:rsid w:val="00D548FE"/>
    <w:rsid w:val="00D55C24"/>
    <w:rsid w:val="00D56715"/>
    <w:rsid w:val="00D56D0C"/>
    <w:rsid w:val="00D57D37"/>
    <w:rsid w:val="00D57D6E"/>
    <w:rsid w:val="00D641C9"/>
    <w:rsid w:val="00D65121"/>
    <w:rsid w:val="00D70B53"/>
    <w:rsid w:val="00D72882"/>
    <w:rsid w:val="00D743C3"/>
    <w:rsid w:val="00D75178"/>
    <w:rsid w:val="00D75556"/>
    <w:rsid w:val="00D76264"/>
    <w:rsid w:val="00D765E6"/>
    <w:rsid w:val="00D8416F"/>
    <w:rsid w:val="00D84A4A"/>
    <w:rsid w:val="00D84D91"/>
    <w:rsid w:val="00D859BC"/>
    <w:rsid w:val="00D8634B"/>
    <w:rsid w:val="00D864F9"/>
    <w:rsid w:val="00D871E3"/>
    <w:rsid w:val="00D87875"/>
    <w:rsid w:val="00D92227"/>
    <w:rsid w:val="00D93732"/>
    <w:rsid w:val="00D94783"/>
    <w:rsid w:val="00D9530D"/>
    <w:rsid w:val="00D970A1"/>
    <w:rsid w:val="00D978B3"/>
    <w:rsid w:val="00DA124D"/>
    <w:rsid w:val="00DA18FA"/>
    <w:rsid w:val="00DA32AB"/>
    <w:rsid w:val="00DA469B"/>
    <w:rsid w:val="00DA5149"/>
    <w:rsid w:val="00DA54A3"/>
    <w:rsid w:val="00DA720F"/>
    <w:rsid w:val="00DB1105"/>
    <w:rsid w:val="00DB1950"/>
    <w:rsid w:val="00DB196D"/>
    <w:rsid w:val="00DB1B29"/>
    <w:rsid w:val="00DB2D78"/>
    <w:rsid w:val="00DB6309"/>
    <w:rsid w:val="00DC0050"/>
    <w:rsid w:val="00DC0FBD"/>
    <w:rsid w:val="00DC2CC3"/>
    <w:rsid w:val="00DC4473"/>
    <w:rsid w:val="00DC6A1E"/>
    <w:rsid w:val="00DC72AF"/>
    <w:rsid w:val="00DD3B2B"/>
    <w:rsid w:val="00DD4294"/>
    <w:rsid w:val="00DD63AA"/>
    <w:rsid w:val="00DD6D15"/>
    <w:rsid w:val="00DD7A26"/>
    <w:rsid w:val="00DE0587"/>
    <w:rsid w:val="00DE0A1B"/>
    <w:rsid w:val="00DE1AF9"/>
    <w:rsid w:val="00DE230E"/>
    <w:rsid w:val="00DE3BE3"/>
    <w:rsid w:val="00DE5804"/>
    <w:rsid w:val="00DE5A76"/>
    <w:rsid w:val="00DE6D72"/>
    <w:rsid w:val="00DF0906"/>
    <w:rsid w:val="00DF1739"/>
    <w:rsid w:val="00DF35CA"/>
    <w:rsid w:val="00DF521F"/>
    <w:rsid w:val="00DF5D57"/>
    <w:rsid w:val="00DF60A0"/>
    <w:rsid w:val="00DF77E5"/>
    <w:rsid w:val="00E005F7"/>
    <w:rsid w:val="00E01EEF"/>
    <w:rsid w:val="00E02859"/>
    <w:rsid w:val="00E030DA"/>
    <w:rsid w:val="00E03173"/>
    <w:rsid w:val="00E036E4"/>
    <w:rsid w:val="00E03BEA"/>
    <w:rsid w:val="00E049D9"/>
    <w:rsid w:val="00E04B46"/>
    <w:rsid w:val="00E1048C"/>
    <w:rsid w:val="00E109E1"/>
    <w:rsid w:val="00E10D50"/>
    <w:rsid w:val="00E1158C"/>
    <w:rsid w:val="00E115D6"/>
    <w:rsid w:val="00E11A55"/>
    <w:rsid w:val="00E13984"/>
    <w:rsid w:val="00E16BA1"/>
    <w:rsid w:val="00E16EDD"/>
    <w:rsid w:val="00E16F3D"/>
    <w:rsid w:val="00E172C2"/>
    <w:rsid w:val="00E219AA"/>
    <w:rsid w:val="00E22793"/>
    <w:rsid w:val="00E22EE2"/>
    <w:rsid w:val="00E2374E"/>
    <w:rsid w:val="00E248BD"/>
    <w:rsid w:val="00E25BD8"/>
    <w:rsid w:val="00E25C36"/>
    <w:rsid w:val="00E2645F"/>
    <w:rsid w:val="00E2696D"/>
    <w:rsid w:val="00E276CC"/>
    <w:rsid w:val="00E30DB3"/>
    <w:rsid w:val="00E332DC"/>
    <w:rsid w:val="00E34AA0"/>
    <w:rsid w:val="00E37342"/>
    <w:rsid w:val="00E37368"/>
    <w:rsid w:val="00E4084C"/>
    <w:rsid w:val="00E42EC5"/>
    <w:rsid w:val="00E438C0"/>
    <w:rsid w:val="00E50967"/>
    <w:rsid w:val="00E50A7F"/>
    <w:rsid w:val="00E5172F"/>
    <w:rsid w:val="00E51FBF"/>
    <w:rsid w:val="00E52540"/>
    <w:rsid w:val="00E5425E"/>
    <w:rsid w:val="00E542E0"/>
    <w:rsid w:val="00E55034"/>
    <w:rsid w:val="00E60C1D"/>
    <w:rsid w:val="00E64F14"/>
    <w:rsid w:val="00E664F1"/>
    <w:rsid w:val="00E71F7E"/>
    <w:rsid w:val="00E725DC"/>
    <w:rsid w:val="00E72D14"/>
    <w:rsid w:val="00E73543"/>
    <w:rsid w:val="00E73C4E"/>
    <w:rsid w:val="00E74CD3"/>
    <w:rsid w:val="00E75D36"/>
    <w:rsid w:val="00E76BC1"/>
    <w:rsid w:val="00E82C97"/>
    <w:rsid w:val="00E84803"/>
    <w:rsid w:val="00E851BE"/>
    <w:rsid w:val="00E85DBE"/>
    <w:rsid w:val="00E86697"/>
    <w:rsid w:val="00E8674F"/>
    <w:rsid w:val="00E900B9"/>
    <w:rsid w:val="00E90898"/>
    <w:rsid w:val="00E916BB"/>
    <w:rsid w:val="00E943A5"/>
    <w:rsid w:val="00E960B8"/>
    <w:rsid w:val="00E967F2"/>
    <w:rsid w:val="00E97295"/>
    <w:rsid w:val="00E9791B"/>
    <w:rsid w:val="00EA1381"/>
    <w:rsid w:val="00EA2127"/>
    <w:rsid w:val="00EA3364"/>
    <w:rsid w:val="00EA4340"/>
    <w:rsid w:val="00EB01B3"/>
    <w:rsid w:val="00EB0543"/>
    <w:rsid w:val="00EB1CCA"/>
    <w:rsid w:val="00EB3068"/>
    <w:rsid w:val="00EB32B5"/>
    <w:rsid w:val="00EB6F3A"/>
    <w:rsid w:val="00EC0ADB"/>
    <w:rsid w:val="00EC1976"/>
    <w:rsid w:val="00EC26AC"/>
    <w:rsid w:val="00EC2995"/>
    <w:rsid w:val="00EC3EBE"/>
    <w:rsid w:val="00EC670D"/>
    <w:rsid w:val="00ED0948"/>
    <w:rsid w:val="00ED1489"/>
    <w:rsid w:val="00ED1560"/>
    <w:rsid w:val="00ED3018"/>
    <w:rsid w:val="00ED34C3"/>
    <w:rsid w:val="00ED48CC"/>
    <w:rsid w:val="00ED50AF"/>
    <w:rsid w:val="00ED5FE2"/>
    <w:rsid w:val="00ED7899"/>
    <w:rsid w:val="00EE0A8D"/>
    <w:rsid w:val="00EE2DAF"/>
    <w:rsid w:val="00EE4218"/>
    <w:rsid w:val="00EE447F"/>
    <w:rsid w:val="00EE49D6"/>
    <w:rsid w:val="00EE5DCB"/>
    <w:rsid w:val="00EE5F4A"/>
    <w:rsid w:val="00EE69E3"/>
    <w:rsid w:val="00EE74D4"/>
    <w:rsid w:val="00EF03DF"/>
    <w:rsid w:val="00EF1BB4"/>
    <w:rsid w:val="00EF706A"/>
    <w:rsid w:val="00F012AE"/>
    <w:rsid w:val="00F01625"/>
    <w:rsid w:val="00F0176E"/>
    <w:rsid w:val="00F01A96"/>
    <w:rsid w:val="00F01C18"/>
    <w:rsid w:val="00F01E5A"/>
    <w:rsid w:val="00F02520"/>
    <w:rsid w:val="00F032AD"/>
    <w:rsid w:val="00F033C8"/>
    <w:rsid w:val="00F03993"/>
    <w:rsid w:val="00F0758E"/>
    <w:rsid w:val="00F0761B"/>
    <w:rsid w:val="00F07ED4"/>
    <w:rsid w:val="00F12CA2"/>
    <w:rsid w:val="00F13964"/>
    <w:rsid w:val="00F14408"/>
    <w:rsid w:val="00F155EF"/>
    <w:rsid w:val="00F16A4E"/>
    <w:rsid w:val="00F17B15"/>
    <w:rsid w:val="00F2370C"/>
    <w:rsid w:val="00F24468"/>
    <w:rsid w:val="00F25E69"/>
    <w:rsid w:val="00F2693B"/>
    <w:rsid w:val="00F27222"/>
    <w:rsid w:val="00F319C7"/>
    <w:rsid w:val="00F31F40"/>
    <w:rsid w:val="00F3330E"/>
    <w:rsid w:val="00F33335"/>
    <w:rsid w:val="00F34F3E"/>
    <w:rsid w:val="00F35275"/>
    <w:rsid w:val="00F35E4D"/>
    <w:rsid w:val="00F37686"/>
    <w:rsid w:val="00F3782F"/>
    <w:rsid w:val="00F37C74"/>
    <w:rsid w:val="00F40C38"/>
    <w:rsid w:val="00F422F8"/>
    <w:rsid w:val="00F42545"/>
    <w:rsid w:val="00F42B6B"/>
    <w:rsid w:val="00F4329C"/>
    <w:rsid w:val="00F439FF"/>
    <w:rsid w:val="00F43EC8"/>
    <w:rsid w:val="00F461AD"/>
    <w:rsid w:val="00F511A3"/>
    <w:rsid w:val="00F54D4C"/>
    <w:rsid w:val="00F5718E"/>
    <w:rsid w:val="00F57686"/>
    <w:rsid w:val="00F57A53"/>
    <w:rsid w:val="00F60D25"/>
    <w:rsid w:val="00F63F3B"/>
    <w:rsid w:val="00F66168"/>
    <w:rsid w:val="00F6758C"/>
    <w:rsid w:val="00F6784C"/>
    <w:rsid w:val="00F703CA"/>
    <w:rsid w:val="00F71338"/>
    <w:rsid w:val="00F71D20"/>
    <w:rsid w:val="00F71DFC"/>
    <w:rsid w:val="00F72E39"/>
    <w:rsid w:val="00F731B4"/>
    <w:rsid w:val="00F73EFE"/>
    <w:rsid w:val="00F74C4C"/>
    <w:rsid w:val="00F754A9"/>
    <w:rsid w:val="00F759F8"/>
    <w:rsid w:val="00F76235"/>
    <w:rsid w:val="00F76AE2"/>
    <w:rsid w:val="00F76F09"/>
    <w:rsid w:val="00F76F45"/>
    <w:rsid w:val="00F8178D"/>
    <w:rsid w:val="00F8194B"/>
    <w:rsid w:val="00F8261E"/>
    <w:rsid w:val="00F84444"/>
    <w:rsid w:val="00F8464A"/>
    <w:rsid w:val="00F8526C"/>
    <w:rsid w:val="00F87387"/>
    <w:rsid w:val="00F8799E"/>
    <w:rsid w:val="00F91AD6"/>
    <w:rsid w:val="00F9377E"/>
    <w:rsid w:val="00F93B8B"/>
    <w:rsid w:val="00F93C2E"/>
    <w:rsid w:val="00F93CCD"/>
    <w:rsid w:val="00F95E27"/>
    <w:rsid w:val="00F967F2"/>
    <w:rsid w:val="00FA1202"/>
    <w:rsid w:val="00FA1C28"/>
    <w:rsid w:val="00FB0055"/>
    <w:rsid w:val="00FB06F8"/>
    <w:rsid w:val="00FB2441"/>
    <w:rsid w:val="00FB26ED"/>
    <w:rsid w:val="00FB2B85"/>
    <w:rsid w:val="00FB61C1"/>
    <w:rsid w:val="00FB6556"/>
    <w:rsid w:val="00FB69AF"/>
    <w:rsid w:val="00FB6D93"/>
    <w:rsid w:val="00FC1AEC"/>
    <w:rsid w:val="00FC2987"/>
    <w:rsid w:val="00FC392E"/>
    <w:rsid w:val="00FC4288"/>
    <w:rsid w:val="00FC5F41"/>
    <w:rsid w:val="00FC6A2D"/>
    <w:rsid w:val="00FC6CB7"/>
    <w:rsid w:val="00FC76DA"/>
    <w:rsid w:val="00FC7A6E"/>
    <w:rsid w:val="00FD0622"/>
    <w:rsid w:val="00FD26FC"/>
    <w:rsid w:val="00FD53BD"/>
    <w:rsid w:val="00FD7A6D"/>
    <w:rsid w:val="00FD7B89"/>
    <w:rsid w:val="00FE0BD4"/>
    <w:rsid w:val="00FE1C26"/>
    <w:rsid w:val="00FE2073"/>
    <w:rsid w:val="00FE20F7"/>
    <w:rsid w:val="00FE42AB"/>
    <w:rsid w:val="00FE51B9"/>
    <w:rsid w:val="00FE5C9D"/>
    <w:rsid w:val="00FE5DF6"/>
    <w:rsid w:val="00FE71A9"/>
    <w:rsid w:val="00FF2013"/>
    <w:rsid w:val="00FF2C73"/>
    <w:rsid w:val="00FF2FE0"/>
    <w:rsid w:val="00FF5026"/>
    <w:rsid w:val="00FF6BAA"/>
    <w:rsid w:val="00FF6C58"/>
    <w:rsid w:val="01290489"/>
    <w:rsid w:val="012E34F5"/>
    <w:rsid w:val="01350E74"/>
    <w:rsid w:val="014267AE"/>
    <w:rsid w:val="015E1DDF"/>
    <w:rsid w:val="016B3DED"/>
    <w:rsid w:val="017010FD"/>
    <w:rsid w:val="01734653"/>
    <w:rsid w:val="01A700D2"/>
    <w:rsid w:val="01BE4DA9"/>
    <w:rsid w:val="01C625CD"/>
    <w:rsid w:val="01CF5298"/>
    <w:rsid w:val="01F81598"/>
    <w:rsid w:val="020636EB"/>
    <w:rsid w:val="020C6B2E"/>
    <w:rsid w:val="020D31EE"/>
    <w:rsid w:val="021A30E5"/>
    <w:rsid w:val="021B5B04"/>
    <w:rsid w:val="029229E3"/>
    <w:rsid w:val="02A0457E"/>
    <w:rsid w:val="02DB38B8"/>
    <w:rsid w:val="02DC1010"/>
    <w:rsid w:val="0319349A"/>
    <w:rsid w:val="03662242"/>
    <w:rsid w:val="036835C4"/>
    <w:rsid w:val="03783520"/>
    <w:rsid w:val="038C1C81"/>
    <w:rsid w:val="03AF74A2"/>
    <w:rsid w:val="03B81AEF"/>
    <w:rsid w:val="03FD73D0"/>
    <w:rsid w:val="040E1D2F"/>
    <w:rsid w:val="041813EA"/>
    <w:rsid w:val="04625AA4"/>
    <w:rsid w:val="04694549"/>
    <w:rsid w:val="047B784B"/>
    <w:rsid w:val="0480010B"/>
    <w:rsid w:val="04933986"/>
    <w:rsid w:val="049F3D79"/>
    <w:rsid w:val="04AE305E"/>
    <w:rsid w:val="04B56224"/>
    <w:rsid w:val="05332283"/>
    <w:rsid w:val="053972C0"/>
    <w:rsid w:val="057175F3"/>
    <w:rsid w:val="059068D6"/>
    <w:rsid w:val="05DF38C9"/>
    <w:rsid w:val="06294701"/>
    <w:rsid w:val="06334523"/>
    <w:rsid w:val="0643555A"/>
    <w:rsid w:val="066A604B"/>
    <w:rsid w:val="066C13F6"/>
    <w:rsid w:val="06881202"/>
    <w:rsid w:val="06B859D0"/>
    <w:rsid w:val="06C97A0E"/>
    <w:rsid w:val="0701192F"/>
    <w:rsid w:val="07130473"/>
    <w:rsid w:val="07337610"/>
    <w:rsid w:val="07612B93"/>
    <w:rsid w:val="076C1920"/>
    <w:rsid w:val="077661DF"/>
    <w:rsid w:val="0777765F"/>
    <w:rsid w:val="07862A94"/>
    <w:rsid w:val="078B1634"/>
    <w:rsid w:val="07993FD8"/>
    <w:rsid w:val="07B52FFF"/>
    <w:rsid w:val="07CD66EE"/>
    <w:rsid w:val="07D67372"/>
    <w:rsid w:val="07D759A3"/>
    <w:rsid w:val="08863B39"/>
    <w:rsid w:val="089A69CA"/>
    <w:rsid w:val="089B3FA1"/>
    <w:rsid w:val="08D648E1"/>
    <w:rsid w:val="08DA7AC0"/>
    <w:rsid w:val="08E46FFA"/>
    <w:rsid w:val="08E94A41"/>
    <w:rsid w:val="08EA5DF2"/>
    <w:rsid w:val="09103256"/>
    <w:rsid w:val="0920469C"/>
    <w:rsid w:val="092F65B6"/>
    <w:rsid w:val="096702E4"/>
    <w:rsid w:val="09852433"/>
    <w:rsid w:val="09907C30"/>
    <w:rsid w:val="09910188"/>
    <w:rsid w:val="09B0143E"/>
    <w:rsid w:val="09D01381"/>
    <w:rsid w:val="09D1620A"/>
    <w:rsid w:val="09D248AB"/>
    <w:rsid w:val="09EA2699"/>
    <w:rsid w:val="09EC47F4"/>
    <w:rsid w:val="0A3E72BD"/>
    <w:rsid w:val="0A743242"/>
    <w:rsid w:val="0A766471"/>
    <w:rsid w:val="0AC00944"/>
    <w:rsid w:val="0AC05B9A"/>
    <w:rsid w:val="0AC15C16"/>
    <w:rsid w:val="0AE840EA"/>
    <w:rsid w:val="0AF1732C"/>
    <w:rsid w:val="0B4B4DE9"/>
    <w:rsid w:val="0B6456CE"/>
    <w:rsid w:val="0B701270"/>
    <w:rsid w:val="0B785D82"/>
    <w:rsid w:val="0B7B09E3"/>
    <w:rsid w:val="0B8D4A8D"/>
    <w:rsid w:val="0BB65E54"/>
    <w:rsid w:val="0C051E37"/>
    <w:rsid w:val="0C5B7B49"/>
    <w:rsid w:val="0CBF4E94"/>
    <w:rsid w:val="0CC14D6E"/>
    <w:rsid w:val="0D216673"/>
    <w:rsid w:val="0D2C28E3"/>
    <w:rsid w:val="0D2D5153"/>
    <w:rsid w:val="0D3D018D"/>
    <w:rsid w:val="0D801128"/>
    <w:rsid w:val="0D896DBD"/>
    <w:rsid w:val="0DB76773"/>
    <w:rsid w:val="0DBA0D85"/>
    <w:rsid w:val="0DE87221"/>
    <w:rsid w:val="0E0935C0"/>
    <w:rsid w:val="0E2A2377"/>
    <w:rsid w:val="0E5E0840"/>
    <w:rsid w:val="0E8B0388"/>
    <w:rsid w:val="0EA63D08"/>
    <w:rsid w:val="0EAC66EA"/>
    <w:rsid w:val="0EB30DBE"/>
    <w:rsid w:val="0EC93A2B"/>
    <w:rsid w:val="0ED06D37"/>
    <w:rsid w:val="0ED434D5"/>
    <w:rsid w:val="0EF401AF"/>
    <w:rsid w:val="0F057CA8"/>
    <w:rsid w:val="0F4821BE"/>
    <w:rsid w:val="0F520E5B"/>
    <w:rsid w:val="0F5E1584"/>
    <w:rsid w:val="0F782DD3"/>
    <w:rsid w:val="0F7F05D9"/>
    <w:rsid w:val="0F956C90"/>
    <w:rsid w:val="0FA40359"/>
    <w:rsid w:val="0FC46960"/>
    <w:rsid w:val="0FE32825"/>
    <w:rsid w:val="0FEF7B5F"/>
    <w:rsid w:val="0FFE2478"/>
    <w:rsid w:val="10093718"/>
    <w:rsid w:val="105B4E4C"/>
    <w:rsid w:val="106A4C58"/>
    <w:rsid w:val="10A2761D"/>
    <w:rsid w:val="10D554B9"/>
    <w:rsid w:val="1149675D"/>
    <w:rsid w:val="11541461"/>
    <w:rsid w:val="1178375E"/>
    <w:rsid w:val="121239E8"/>
    <w:rsid w:val="122206B0"/>
    <w:rsid w:val="1232350F"/>
    <w:rsid w:val="126A27A4"/>
    <w:rsid w:val="126C7B29"/>
    <w:rsid w:val="12BA6042"/>
    <w:rsid w:val="12E81E21"/>
    <w:rsid w:val="1318274F"/>
    <w:rsid w:val="133510D3"/>
    <w:rsid w:val="134A46BD"/>
    <w:rsid w:val="134F60E5"/>
    <w:rsid w:val="137A05B8"/>
    <w:rsid w:val="13875F66"/>
    <w:rsid w:val="138C0176"/>
    <w:rsid w:val="13A908E5"/>
    <w:rsid w:val="13B1699B"/>
    <w:rsid w:val="13B87ED6"/>
    <w:rsid w:val="13DC5ACD"/>
    <w:rsid w:val="13DF1748"/>
    <w:rsid w:val="13EA482D"/>
    <w:rsid w:val="147B6FAB"/>
    <w:rsid w:val="14880C8A"/>
    <w:rsid w:val="14CC141F"/>
    <w:rsid w:val="14FB459E"/>
    <w:rsid w:val="14FF3904"/>
    <w:rsid w:val="151A61DD"/>
    <w:rsid w:val="151E6A62"/>
    <w:rsid w:val="15567EB2"/>
    <w:rsid w:val="15664B83"/>
    <w:rsid w:val="15681D19"/>
    <w:rsid w:val="157547AE"/>
    <w:rsid w:val="15970E66"/>
    <w:rsid w:val="15B90EF7"/>
    <w:rsid w:val="16342DA7"/>
    <w:rsid w:val="16A14F94"/>
    <w:rsid w:val="16BA0967"/>
    <w:rsid w:val="16D91A7A"/>
    <w:rsid w:val="16E724CA"/>
    <w:rsid w:val="1714347E"/>
    <w:rsid w:val="171464B3"/>
    <w:rsid w:val="174E6316"/>
    <w:rsid w:val="17B21FDB"/>
    <w:rsid w:val="17C35D02"/>
    <w:rsid w:val="17C859C3"/>
    <w:rsid w:val="189A0855"/>
    <w:rsid w:val="189A305B"/>
    <w:rsid w:val="18B236A0"/>
    <w:rsid w:val="18D30E1F"/>
    <w:rsid w:val="19567A0C"/>
    <w:rsid w:val="199128EC"/>
    <w:rsid w:val="199B6A2A"/>
    <w:rsid w:val="19B3471D"/>
    <w:rsid w:val="19EF1A9E"/>
    <w:rsid w:val="1A06091B"/>
    <w:rsid w:val="1A747CFE"/>
    <w:rsid w:val="1A98287D"/>
    <w:rsid w:val="1A9E0B9D"/>
    <w:rsid w:val="1AA93A0C"/>
    <w:rsid w:val="1AB071EB"/>
    <w:rsid w:val="1ABA3A29"/>
    <w:rsid w:val="1AC03753"/>
    <w:rsid w:val="1AC123F5"/>
    <w:rsid w:val="1AEF0B99"/>
    <w:rsid w:val="1AFC32FB"/>
    <w:rsid w:val="1B373AE3"/>
    <w:rsid w:val="1B6C77AD"/>
    <w:rsid w:val="1BB3293A"/>
    <w:rsid w:val="1BFC314F"/>
    <w:rsid w:val="1BFC5E35"/>
    <w:rsid w:val="1C491B37"/>
    <w:rsid w:val="1C5C03FC"/>
    <w:rsid w:val="1C735FEE"/>
    <w:rsid w:val="1C7E2541"/>
    <w:rsid w:val="1C864094"/>
    <w:rsid w:val="1C9E1B58"/>
    <w:rsid w:val="1C9F321E"/>
    <w:rsid w:val="1CCE7CD7"/>
    <w:rsid w:val="1CD83CE2"/>
    <w:rsid w:val="1CE11AE5"/>
    <w:rsid w:val="1CF45A1E"/>
    <w:rsid w:val="1CF510A8"/>
    <w:rsid w:val="1D041852"/>
    <w:rsid w:val="1D0469E9"/>
    <w:rsid w:val="1D1C10DD"/>
    <w:rsid w:val="1D504783"/>
    <w:rsid w:val="1DAD3C0B"/>
    <w:rsid w:val="1DB54D46"/>
    <w:rsid w:val="1DE93742"/>
    <w:rsid w:val="1E53759F"/>
    <w:rsid w:val="1E5854AC"/>
    <w:rsid w:val="1E5D4ADC"/>
    <w:rsid w:val="1E6827B2"/>
    <w:rsid w:val="1E7B27D2"/>
    <w:rsid w:val="1ECE68AF"/>
    <w:rsid w:val="1EDE4C18"/>
    <w:rsid w:val="1EE128C6"/>
    <w:rsid w:val="1EF55C66"/>
    <w:rsid w:val="1F1360DB"/>
    <w:rsid w:val="1F3C23AE"/>
    <w:rsid w:val="1F5E4E97"/>
    <w:rsid w:val="1F640DC2"/>
    <w:rsid w:val="1FAD7750"/>
    <w:rsid w:val="202A1E5C"/>
    <w:rsid w:val="203C4685"/>
    <w:rsid w:val="205840C2"/>
    <w:rsid w:val="20715C91"/>
    <w:rsid w:val="208A7389"/>
    <w:rsid w:val="209D6AF7"/>
    <w:rsid w:val="20A30097"/>
    <w:rsid w:val="20C03A47"/>
    <w:rsid w:val="20CF25A1"/>
    <w:rsid w:val="20E750A2"/>
    <w:rsid w:val="21004825"/>
    <w:rsid w:val="210C1A46"/>
    <w:rsid w:val="21456A1F"/>
    <w:rsid w:val="21766121"/>
    <w:rsid w:val="217B4A28"/>
    <w:rsid w:val="21BC38A4"/>
    <w:rsid w:val="22131B6D"/>
    <w:rsid w:val="222B517D"/>
    <w:rsid w:val="22321601"/>
    <w:rsid w:val="22427DB4"/>
    <w:rsid w:val="22517CB1"/>
    <w:rsid w:val="227A042A"/>
    <w:rsid w:val="2282766B"/>
    <w:rsid w:val="22B275D1"/>
    <w:rsid w:val="22BC1BC3"/>
    <w:rsid w:val="22C11C5A"/>
    <w:rsid w:val="22E901E6"/>
    <w:rsid w:val="22EA2E72"/>
    <w:rsid w:val="22F737B1"/>
    <w:rsid w:val="22F814FC"/>
    <w:rsid w:val="22FA2EF0"/>
    <w:rsid w:val="23154744"/>
    <w:rsid w:val="233C678E"/>
    <w:rsid w:val="2341504C"/>
    <w:rsid w:val="23572A52"/>
    <w:rsid w:val="23947812"/>
    <w:rsid w:val="2396488D"/>
    <w:rsid w:val="23BF0E1F"/>
    <w:rsid w:val="23F67170"/>
    <w:rsid w:val="240E0B46"/>
    <w:rsid w:val="241141C8"/>
    <w:rsid w:val="241E0857"/>
    <w:rsid w:val="244C6C69"/>
    <w:rsid w:val="24537C40"/>
    <w:rsid w:val="24601156"/>
    <w:rsid w:val="24A605A4"/>
    <w:rsid w:val="24AF2DCF"/>
    <w:rsid w:val="24BE395E"/>
    <w:rsid w:val="25201C97"/>
    <w:rsid w:val="252C1963"/>
    <w:rsid w:val="254406DF"/>
    <w:rsid w:val="25A04F29"/>
    <w:rsid w:val="25AB5160"/>
    <w:rsid w:val="25DF45B5"/>
    <w:rsid w:val="25F6482D"/>
    <w:rsid w:val="26325691"/>
    <w:rsid w:val="26473B3D"/>
    <w:rsid w:val="26790F18"/>
    <w:rsid w:val="26CA176A"/>
    <w:rsid w:val="26D36D67"/>
    <w:rsid w:val="2705733F"/>
    <w:rsid w:val="270B5548"/>
    <w:rsid w:val="271E6891"/>
    <w:rsid w:val="271F1091"/>
    <w:rsid w:val="27550FA4"/>
    <w:rsid w:val="276500BD"/>
    <w:rsid w:val="276C5171"/>
    <w:rsid w:val="27CE616F"/>
    <w:rsid w:val="27F54F9D"/>
    <w:rsid w:val="27F729A7"/>
    <w:rsid w:val="27F73724"/>
    <w:rsid w:val="280D40E1"/>
    <w:rsid w:val="281D224D"/>
    <w:rsid w:val="281F4FDA"/>
    <w:rsid w:val="28246BCA"/>
    <w:rsid w:val="28330257"/>
    <w:rsid w:val="28413FB7"/>
    <w:rsid w:val="285215B4"/>
    <w:rsid w:val="288A05AD"/>
    <w:rsid w:val="28C66367"/>
    <w:rsid w:val="28D64439"/>
    <w:rsid w:val="28F01C59"/>
    <w:rsid w:val="28F32D18"/>
    <w:rsid w:val="292610DA"/>
    <w:rsid w:val="29A23BD4"/>
    <w:rsid w:val="29CA2B9D"/>
    <w:rsid w:val="29F62207"/>
    <w:rsid w:val="29F87845"/>
    <w:rsid w:val="2A377B60"/>
    <w:rsid w:val="2A6D04C4"/>
    <w:rsid w:val="2A736BE0"/>
    <w:rsid w:val="2AC704CA"/>
    <w:rsid w:val="2AE272B1"/>
    <w:rsid w:val="2B255221"/>
    <w:rsid w:val="2B27650D"/>
    <w:rsid w:val="2B3C08B2"/>
    <w:rsid w:val="2B3D01A2"/>
    <w:rsid w:val="2B3E5D1F"/>
    <w:rsid w:val="2B5D4007"/>
    <w:rsid w:val="2BD466E9"/>
    <w:rsid w:val="2BFD4C7E"/>
    <w:rsid w:val="2C165DD0"/>
    <w:rsid w:val="2C45620F"/>
    <w:rsid w:val="2C4F1F7A"/>
    <w:rsid w:val="2C5C3886"/>
    <w:rsid w:val="2C5E74B8"/>
    <w:rsid w:val="2C7E02AC"/>
    <w:rsid w:val="2C96448C"/>
    <w:rsid w:val="2CA721F8"/>
    <w:rsid w:val="2CA758D3"/>
    <w:rsid w:val="2CA8077A"/>
    <w:rsid w:val="2CB359D3"/>
    <w:rsid w:val="2D037DB0"/>
    <w:rsid w:val="2D233185"/>
    <w:rsid w:val="2D624770"/>
    <w:rsid w:val="2D67758F"/>
    <w:rsid w:val="2D794571"/>
    <w:rsid w:val="2DA81050"/>
    <w:rsid w:val="2DAE6A77"/>
    <w:rsid w:val="2DBF2FEA"/>
    <w:rsid w:val="2DCA7918"/>
    <w:rsid w:val="2DE67921"/>
    <w:rsid w:val="2DEB4ACD"/>
    <w:rsid w:val="2DEB7DA8"/>
    <w:rsid w:val="2DF22641"/>
    <w:rsid w:val="2E0E4128"/>
    <w:rsid w:val="2E211D4E"/>
    <w:rsid w:val="2E2D19E1"/>
    <w:rsid w:val="2E5C6996"/>
    <w:rsid w:val="2E66389E"/>
    <w:rsid w:val="2E705BFF"/>
    <w:rsid w:val="2F203FA1"/>
    <w:rsid w:val="2F2041C5"/>
    <w:rsid w:val="2F4E4286"/>
    <w:rsid w:val="2F5C46B9"/>
    <w:rsid w:val="2F773147"/>
    <w:rsid w:val="2FB03668"/>
    <w:rsid w:val="2FCC300F"/>
    <w:rsid w:val="303662D9"/>
    <w:rsid w:val="3065312A"/>
    <w:rsid w:val="30662190"/>
    <w:rsid w:val="30A300CD"/>
    <w:rsid w:val="30E55290"/>
    <w:rsid w:val="312A1566"/>
    <w:rsid w:val="314545E0"/>
    <w:rsid w:val="31507A9A"/>
    <w:rsid w:val="31516C3B"/>
    <w:rsid w:val="317627AD"/>
    <w:rsid w:val="317F3EE3"/>
    <w:rsid w:val="31840D8F"/>
    <w:rsid w:val="3196072F"/>
    <w:rsid w:val="31C53D2E"/>
    <w:rsid w:val="31E32575"/>
    <w:rsid w:val="31FD5C54"/>
    <w:rsid w:val="32191D61"/>
    <w:rsid w:val="323111FF"/>
    <w:rsid w:val="323304CD"/>
    <w:rsid w:val="323C59AF"/>
    <w:rsid w:val="32416AA2"/>
    <w:rsid w:val="325A14A9"/>
    <w:rsid w:val="32BB2924"/>
    <w:rsid w:val="32C179A0"/>
    <w:rsid w:val="32D8556D"/>
    <w:rsid w:val="32F80153"/>
    <w:rsid w:val="3302605E"/>
    <w:rsid w:val="33354B9F"/>
    <w:rsid w:val="33445844"/>
    <w:rsid w:val="33BF5EF4"/>
    <w:rsid w:val="33C21297"/>
    <w:rsid w:val="33E06739"/>
    <w:rsid w:val="33F06554"/>
    <w:rsid w:val="33F34F5E"/>
    <w:rsid w:val="341E1DF8"/>
    <w:rsid w:val="342A07E1"/>
    <w:rsid w:val="3437108B"/>
    <w:rsid w:val="345346FC"/>
    <w:rsid w:val="3490100C"/>
    <w:rsid w:val="34AD2579"/>
    <w:rsid w:val="34AE4C08"/>
    <w:rsid w:val="34D9124A"/>
    <w:rsid w:val="34DF559E"/>
    <w:rsid w:val="34F76564"/>
    <w:rsid w:val="34FA076C"/>
    <w:rsid w:val="34FE09D0"/>
    <w:rsid w:val="35075FB5"/>
    <w:rsid w:val="350F2286"/>
    <w:rsid w:val="35375AB9"/>
    <w:rsid w:val="3556762D"/>
    <w:rsid w:val="356B6D5E"/>
    <w:rsid w:val="35751905"/>
    <w:rsid w:val="35996DE1"/>
    <w:rsid w:val="35B3488A"/>
    <w:rsid w:val="35BB25F2"/>
    <w:rsid w:val="35ED6770"/>
    <w:rsid w:val="35F83DD6"/>
    <w:rsid w:val="361F5DE1"/>
    <w:rsid w:val="36461ED7"/>
    <w:rsid w:val="365B2212"/>
    <w:rsid w:val="367B5B12"/>
    <w:rsid w:val="368F1734"/>
    <w:rsid w:val="36A13FFB"/>
    <w:rsid w:val="370545F8"/>
    <w:rsid w:val="37092C79"/>
    <w:rsid w:val="371A6270"/>
    <w:rsid w:val="371C6747"/>
    <w:rsid w:val="37396C42"/>
    <w:rsid w:val="37743431"/>
    <w:rsid w:val="37792110"/>
    <w:rsid w:val="37CC12BD"/>
    <w:rsid w:val="37E27BA2"/>
    <w:rsid w:val="37E45315"/>
    <w:rsid w:val="380837F7"/>
    <w:rsid w:val="380F010A"/>
    <w:rsid w:val="381A20B5"/>
    <w:rsid w:val="382122A2"/>
    <w:rsid w:val="387800E6"/>
    <w:rsid w:val="38A76606"/>
    <w:rsid w:val="38A938CA"/>
    <w:rsid w:val="38BA0E9E"/>
    <w:rsid w:val="38BC005D"/>
    <w:rsid w:val="38F8409B"/>
    <w:rsid w:val="38F86D57"/>
    <w:rsid w:val="3905389A"/>
    <w:rsid w:val="39480B3C"/>
    <w:rsid w:val="39833C10"/>
    <w:rsid w:val="39982DD7"/>
    <w:rsid w:val="3A041893"/>
    <w:rsid w:val="3A097CCC"/>
    <w:rsid w:val="3A166AE9"/>
    <w:rsid w:val="3A2C6C04"/>
    <w:rsid w:val="3A717850"/>
    <w:rsid w:val="3A8A56AA"/>
    <w:rsid w:val="3A8D6CB9"/>
    <w:rsid w:val="3AA868F8"/>
    <w:rsid w:val="3AE803AA"/>
    <w:rsid w:val="3B0865BA"/>
    <w:rsid w:val="3B132CA2"/>
    <w:rsid w:val="3B1F37CC"/>
    <w:rsid w:val="3B7C729C"/>
    <w:rsid w:val="3B8D6278"/>
    <w:rsid w:val="3C0D7582"/>
    <w:rsid w:val="3C1A7051"/>
    <w:rsid w:val="3C3636D3"/>
    <w:rsid w:val="3C520EFB"/>
    <w:rsid w:val="3C5E07E9"/>
    <w:rsid w:val="3C9030E6"/>
    <w:rsid w:val="3CB22CF7"/>
    <w:rsid w:val="3D1572B3"/>
    <w:rsid w:val="3D3711B6"/>
    <w:rsid w:val="3D716AEB"/>
    <w:rsid w:val="3D78133B"/>
    <w:rsid w:val="3DF049AF"/>
    <w:rsid w:val="3E2B12A9"/>
    <w:rsid w:val="3E2F0AFD"/>
    <w:rsid w:val="3E341F49"/>
    <w:rsid w:val="3E36434A"/>
    <w:rsid w:val="3EAF2705"/>
    <w:rsid w:val="3EBE2C77"/>
    <w:rsid w:val="3ED819C7"/>
    <w:rsid w:val="3F2D3790"/>
    <w:rsid w:val="3F443C74"/>
    <w:rsid w:val="3F5052DE"/>
    <w:rsid w:val="3F6B092F"/>
    <w:rsid w:val="3FA05D9A"/>
    <w:rsid w:val="3FA65747"/>
    <w:rsid w:val="3FD57038"/>
    <w:rsid w:val="4002675A"/>
    <w:rsid w:val="401E12B4"/>
    <w:rsid w:val="40282FFD"/>
    <w:rsid w:val="404901C3"/>
    <w:rsid w:val="405944B6"/>
    <w:rsid w:val="406E5350"/>
    <w:rsid w:val="40B43400"/>
    <w:rsid w:val="40C2211E"/>
    <w:rsid w:val="40CF55A2"/>
    <w:rsid w:val="40E86FF4"/>
    <w:rsid w:val="412212F6"/>
    <w:rsid w:val="412F5DA6"/>
    <w:rsid w:val="413B2495"/>
    <w:rsid w:val="41413C34"/>
    <w:rsid w:val="414F63C1"/>
    <w:rsid w:val="415822EA"/>
    <w:rsid w:val="417628DE"/>
    <w:rsid w:val="41AF51B5"/>
    <w:rsid w:val="41D24BB7"/>
    <w:rsid w:val="41DF5B0E"/>
    <w:rsid w:val="42052432"/>
    <w:rsid w:val="42474E83"/>
    <w:rsid w:val="42782C8C"/>
    <w:rsid w:val="42F26BC3"/>
    <w:rsid w:val="430671A8"/>
    <w:rsid w:val="430736DD"/>
    <w:rsid w:val="430A5A9A"/>
    <w:rsid w:val="430D090C"/>
    <w:rsid w:val="432B6194"/>
    <w:rsid w:val="434F6740"/>
    <w:rsid w:val="435B708D"/>
    <w:rsid w:val="435C6DBE"/>
    <w:rsid w:val="43AC2E1A"/>
    <w:rsid w:val="44103A71"/>
    <w:rsid w:val="44407A55"/>
    <w:rsid w:val="44563EF2"/>
    <w:rsid w:val="44572895"/>
    <w:rsid w:val="44887757"/>
    <w:rsid w:val="449235CB"/>
    <w:rsid w:val="449461F6"/>
    <w:rsid w:val="44A406E8"/>
    <w:rsid w:val="44B16DCE"/>
    <w:rsid w:val="44F40F9A"/>
    <w:rsid w:val="44FF704D"/>
    <w:rsid w:val="452C38F0"/>
    <w:rsid w:val="45C53BBF"/>
    <w:rsid w:val="45DE655C"/>
    <w:rsid w:val="461142BB"/>
    <w:rsid w:val="464A2DC6"/>
    <w:rsid w:val="464F7D8E"/>
    <w:rsid w:val="46733F2C"/>
    <w:rsid w:val="467C629F"/>
    <w:rsid w:val="469454E9"/>
    <w:rsid w:val="46A45AAA"/>
    <w:rsid w:val="46EB652B"/>
    <w:rsid w:val="46F166B6"/>
    <w:rsid w:val="470B2AB2"/>
    <w:rsid w:val="4712691C"/>
    <w:rsid w:val="47313086"/>
    <w:rsid w:val="47387748"/>
    <w:rsid w:val="473C151A"/>
    <w:rsid w:val="47422D46"/>
    <w:rsid w:val="47743D97"/>
    <w:rsid w:val="47DE2F07"/>
    <w:rsid w:val="47FB06DB"/>
    <w:rsid w:val="48047D99"/>
    <w:rsid w:val="48060E0C"/>
    <w:rsid w:val="4831420C"/>
    <w:rsid w:val="483E1008"/>
    <w:rsid w:val="48963AAF"/>
    <w:rsid w:val="48C06C85"/>
    <w:rsid w:val="48DB3C89"/>
    <w:rsid w:val="48FA245C"/>
    <w:rsid w:val="490E5CBB"/>
    <w:rsid w:val="49214BDE"/>
    <w:rsid w:val="495D43D3"/>
    <w:rsid w:val="499D77AF"/>
    <w:rsid w:val="49A27A06"/>
    <w:rsid w:val="49C92F6C"/>
    <w:rsid w:val="49CD5416"/>
    <w:rsid w:val="49E53398"/>
    <w:rsid w:val="49FE05FC"/>
    <w:rsid w:val="4A03543C"/>
    <w:rsid w:val="4A1009F9"/>
    <w:rsid w:val="4A216DB7"/>
    <w:rsid w:val="4A491326"/>
    <w:rsid w:val="4A5212A1"/>
    <w:rsid w:val="4A5A2744"/>
    <w:rsid w:val="4A660BA7"/>
    <w:rsid w:val="4ADE504E"/>
    <w:rsid w:val="4AE5751A"/>
    <w:rsid w:val="4AEE16F7"/>
    <w:rsid w:val="4AF41B20"/>
    <w:rsid w:val="4B26159D"/>
    <w:rsid w:val="4B5A1B72"/>
    <w:rsid w:val="4B767BCD"/>
    <w:rsid w:val="4B7D3390"/>
    <w:rsid w:val="4B864B3C"/>
    <w:rsid w:val="4BA87EB6"/>
    <w:rsid w:val="4BC7582E"/>
    <w:rsid w:val="4BD527BD"/>
    <w:rsid w:val="4BE9198D"/>
    <w:rsid w:val="4BF55B4F"/>
    <w:rsid w:val="4C043151"/>
    <w:rsid w:val="4C154FF9"/>
    <w:rsid w:val="4C421C3C"/>
    <w:rsid w:val="4C4D3A7C"/>
    <w:rsid w:val="4C6D5890"/>
    <w:rsid w:val="4C875568"/>
    <w:rsid w:val="4C91414A"/>
    <w:rsid w:val="4C94669A"/>
    <w:rsid w:val="4CD327CC"/>
    <w:rsid w:val="4CF50638"/>
    <w:rsid w:val="4CFE764C"/>
    <w:rsid w:val="4D071093"/>
    <w:rsid w:val="4D2E5F00"/>
    <w:rsid w:val="4D3D0C29"/>
    <w:rsid w:val="4D6825F5"/>
    <w:rsid w:val="4D9C34E0"/>
    <w:rsid w:val="4DC22FC1"/>
    <w:rsid w:val="4DEC3DEB"/>
    <w:rsid w:val="4E1C0744"/>
    <w:rsid w:val="4E297501"/>
    <w:rsid w:val="4E5305CF"/>
    <w:rsid w:val="4E5B7815"/>
    <w:rsid w:val="4E752647"/>
    <w:rsid w:val="4E7A29C9"/>
    <w:rsid w:val="4E872F75"/>
    <w:rsid w:val="4EAE3838"/>
    <w:rsid w:val="4ED2018D"/>
    <w:rsid w:val="4EE77ACD"/>
    <w:rsid w:val="4F003FF5"/>
    <w:rsid w:val="4F0D2695"/>
    <w:rsid w:val="4F181265"/>
    <w:rsid w:val="4F1F0BF7"/>
    <w:rsid w:val="4F1F375F"/>
    <w:rsid w:val="4F2C2648"/>
    <w:rsid w:val="4F2E7C95"/>
    <w:rsid w:val="4F3C0D20"/>
    <w:rsid w:val="4F6B0F18"/>
    <w:rsid w:val="4F822D0B"/>
    <w:rsid w:val="4F954E14"/>
    <w:rsid w:val="4FB00371"/>
    <w:rsid w:val="4FB1194D"/>
    <w:rsid w:val="4FCF06B5"/>
    <w:rsid w:val="500C52C0"/>
    <w:rsid w:val="50124405"/>
    <w:rsid w:val="506A55BF"/>
    <w:rsid w:val="508E7160"/>
    <w:rsid w:val="50B04600"/>
    <w:rsid w:val="50B574B7"/>
    <w:rsid w:val="50BC1FC1"/>
    <w:rsid w:val="50C3020F"/>
    <w:rsid w:val="510A52CE"/>
    <w:rsid w:val="512C261D"/>
    <w:rsid w:val="515309A2"/>
    <w:rsid w:val="51666060"/>
    <w:rsid w:val="517B63AD"/>
    <w:rsid w:val="51A3705C"/>
    <w:rsid w:val="51AB3CB4"/>
    <w:rsid w:val="51E47B8F"/>
    <w:rsid w:val="522B0B52"/>
    <w:rsid w:val="52591EBD"/>
    <w:rsid w:val="525A6475"/>
    <w:rsid w:val="52B40D78"/>
    <w:rsid w:val="53117594"/>
    <w:rsid w:val="53265E3A"/>
    <w:rsid w:val="532C5E92"/>
    <w:rsid w:val="53365941"/>
    <w:rsid w:val="534A70A8"/>
    <w:rsid w:val="53796D1E"/>
    <w:rsid w:val="538F23C7"/>
    <w:rsid w:val="539E07FC"/>
    <w:rsid w:val="53AE0B68"/>
    <w:rsid w:val="53F06A97"/>
    <w:rsid w:val="540927C2"/>
    <w:rsid w:val="541C1980"/>
    <w:rsid w:val="544464C4"/>
    <w:rsid w:val="5460326A"/>
    <w:rsid w:val="54756862"/>
    <w:rsid w:val="547C3284"/>
    <w:rsid w:val="548678FF"/>
    <w:rsid w:val="54D47C6E"/>
    <w:rsid w:val="54DA3745"/>
    <w:rsid w:val="54E63958"/>
    <w:rsid w:val="55240645"/>
    <w:rsid w:val="55BD0710"/>
    <w:rsid w:val="55EC480D"/>
    <w:rsid w:val="5616452A"/>
    <w:rsid w:val="563E7A51"/>
    <w:rsid w:val="56853ED0"/>
    <w:rsid w:val="56A838FA"/>
    <w:rsid w:val="56DD4111"/>
    <w:rsid w:val="57062127"/>
    <w:rsid w:val="572D7A00"/>
    <w:rsid w:val="5754117E"/>
    <w:rsid w:val="57550F07"/>
    <w:rsid w:val="576953CA"/>
    <w:rsid w:val="577152AF"/>
    <w:rsid w:val="57737F8D"/>
    <w:rsid w:val="578E53C8"/>
    <w:rsid w:val="579011EA"/>
    <w:rsid w:val="57B10719"/>
    <w:rsid w:val="57C7027F"/>
    <w:rsid w:val="582201C6"/>
    <w:rsid w:val="585A1473"/>
    <w:rsid w:val="58B47BD3"/>
    <w:rsid w:val="596F5259"/>
    <w:rsid w:val="59934D98"/>
    <w:rsid w:val="59A631F5"/>
    <w:rsid w:val="59A63D51"/>
    <w:rsid w:val="59A81853"/>
    <w:rsid w:val="59AC44CF"/>
    <w:rsid w:val="59C02A1F"/>
    <w:rsid w:val="59D22FF0"/>
    <w:rsid w:val="59DA3ECF"/>
    <w:rsid w:val="59DC30C4"/>
    <w:rsid w:val="5A016E4B"/>
    <w:rsid w:val="5A4C1E08"/>
    <w:rsid w:val="5A4F4098"/>
    <w:rsid w:val="5A9D3A33"/>
    <w:rsid w:val="5AB3595B"/>
    <w:rsid w:val="5AC8354A"/>
    <w:rsid w:val="5ACE5E3E"/>
    <w:rsid w:val="5AD404B6"/>
    <w:rsid w:val="5AE63DCB"/>
    <w:rsid w:val="5AEA4476"/>
    <w:rsid w:val="5B0F1997"/>
    <w:rsid w:val="5B135365"/>
    <w:rsid w:val="5B1C518E"/>
    <w:rsid w:val="5B1E6CC5"/>
    <w:rsid w:val="5B2E3F11"/>
    <w:rsid w:val="5B2F0801"/>
    <w:rsid w:val="5B6A79D7"/>
    <w:rsid w:val="5B7406A2"/>
    <w:rsid w:val="5B8E7452"/>
    <w:rsid w:val="5B91522C"/>
    <w:rsid w:val="5B953AC5"/>
    <w:rsid w:val="5BA2798E"/>
    <w:rsid w:val="5BAE34C5"/>
    <w:rsid w:val="5BB22859"/>
    <w:rsid w:val="5BB77D93"/>
    <w:rsid w:val="5BC64884"/>
    <w:rsid w:val="5BD71F20"/>
    <w:rsid w:val="5C463BC8"/>
    <w:rsid w:val="5C696866"/>
    <w:rsid w:val="5C6B4FA1"/>
    <w:rsid w:val="5C981E28"/>
    <w:rsid w:val="5C9B21DE"/>
    <w:rsid w:val="5CC656E7"/>
    <w:rsid w:val="5CE26471"/>
    <w:rsid w:val="5CFC21E2"/>
    <w:rsid w:val="5D053F6B"/>
    <w:rsid w:val="5D172CEE"/>
    <w:rsid w:val="5D4B165C"/>
    <w:rsid w:val="5D4D6706"/>
    <w:rsid w:val="5D985B70"/>
    <w:rsid w:val="5E0E17F5"/>
    <w:rsid w:val="5E1A6F8C"/>
    <w:rsid w:val="5E356FB8"/>
    <w:rsid w:val="5E603F4A"/>
    <w:rsid w:val="5E683889"/>
    <w:rsid w:val="5E68756F"/>
    <w:rsid w:val="5E7F310F"/>
    <w:rsid w:val="5EE9638E"/>
    <w:rsid w:val="5F2551D8"/>
    <w:rsid w:val="5F4921D4"/>
    <w:rsid w:val="5F55079B"/>
    <w:rsid w:val="5F630AD3"/>
    <w:rsid w:val="5F921EF6"/>
    <w:rsid w:val="5FA50E9E"/>
    <w:rsid w:val="5FC2186A"/>
    <w:rsid w:val="5FEF0981"/>
    <w:rsid w:val="60AF628D"/>
    <w:rsid w:val="60BA3E1C"/>
    <w:rsid w:val="60D17AB6"/>
    <w:rsid w:val="61003BD2"/>
    <w:rsid w:val="61055FAC"/>
    <w:rsid w:val="611312F2"/>
    <w:rsid w:val="61802A23"/>
    <w:rsid w:val="61A010FD"/>
    <w:rsid w:val="61B765A6"/>
    <w:rsid w:val="61F730E4"/>
    <w:rsid w:val="62103CE8"/>
    <w:rsid w:val="621248A1"/>
    <w:rsid w:val="622B605E"/>
    <w:rsid w:val="623E7846"/>
    <w:rsid w:val="625E1607"/>
    <w:rsid w:val="629F0636"/>
    <w:rsid w:val="62B3235D"/>
    <w:rsid w:val="62B938AA"/>
    <w:rsid w:val="62C53E06"/>
    <w:rsid w:val="62E63092"/>
    <w:rsid w:val="62F30C40"/>
    <w:rsid w:val="62FD1D35"/>
    <w:rsid w:val="6309230E"/>
    <w:rsid w:val="634D13F6"/>
    <w:rsid w:val="63617019"/>
    <w:rsid w:val="63683893"/>
    <w:rsid w:val="63A31131"/>
    <w:rsid w:val="63B9705B"/>
    <w:rsid w:val="63F27442"/>
    <w:rsid w:val="63F830FC"/>
    <w:rsid w:val="640130DC"/>
    <w:rsid w:val="641B0A80"/>
    <w:rsid w:val="644B6D24"/>
    <w:rsid w:val="64687EA4"/>
    <w:rsid w:val="64714CC7"/>
    <w:rsid w:val="6480026E"/>
    <w:rsid w:val="64D43E5B"/>
    <w:rsid w:val="64DB7FED"/>
    <w:rsid w:val="64EA552A"/>
    <w:rsid w:val="65026A60"/>
    <w:rsid w:val="652502A7"/>
    <w:rsid w:val="654241FB"/>
    <w:rsid w:val="65452F09"/>
    <w:rsid w:val="65991A04"/>
    <w:rsid w:val="659D230F"/>
    <w:rsid w:val="65F64B98"/>
    <w:rsid w:val="66183342"/>
    <w:rsid w:val="66385FA9"/>
    <w:rsid w:val="66421971"/>
    <w:rsid w:val="664E0065"/>
    <w:rsid w:val="665453F6"/>
    <w:rsid w:val="665F45AA"/>
    <w:rsid w:val="66617445"/>
    <w:rsid w:val="66947832"/>
    <w:rsid w:val="66B653EE"/>
    <w:rsid w:val="66C561FD"/>
    <w:rsid w:val="66ED1FA0"/>
    <w:rsid w:val="6740672D"/>
    <w:rsid w:val="67714A30"/>
    <w:rsid w:val="6787046D"/>
    <w:rsid w:val="67B46BF8"/>
    <w:rsid w:val="68076E0B"/>
    <w:rsid w:val="681933D4"/>
    <w:rsid w:val="682677EC"/>
    <w:rsid w:val="682C0B6A"/>
    <w:rsid w:val="68330A3C"/>
    <w:rsid w:val="68405154"/>
    <w:rsid w:val="6859366D"/>
    <w:rsid w:val="687F2B7F"/>
    <w:rsid w:val="68A015FA"/>
    <w:rsid w:val="68B86284"/>
    <w:rsid w:val="68F36A2E"/>
    <w:rsid w:val="68FD5B3A"/>
    <w:rsid w:val="68FD73A5"/>
    <w:rsid w:val="691B26E2"/>
    <w:rsid w:val="694A1066"/>
    <w:rsid w:val="694A4AFE"/>
    <w:rsid w:val="697C7DB1"/>
    <w:rsid w:val="698B7052"/>
    <w:rsid w:val="69B558FE"/>
    <w:rsid w:val="69C006B8"/>
    <w:rsid w:val="69ED596F"/>
    <w:rsid w:val="69FB298C"/>
    <w:rsid w:val="6A265A8D"/>
    <w:rsid w:val="6A473EE8"/>
    <w:rsid w:val="6AD94BDA"/>
    <w:rsid w:val="6AEB0206"/>
    <w:rsid w:val="6AEB56A3"/>
    <w:rsid w:val="6B6D27CD"/>
    <w:rsid w:val="6B6D5095"/>
    <w:rsid w:val="6B765F3D"/>
    <w:rsid w:val="6BCD6FE2"/>
    <w:rsid w:val="6C4A2CA5"/>
    <w:rsid w:val="6C6236A4"/>
    <w:rsid w:val="6CAA1671"/>
    <w:rsid w:val="6CAE5C91"/>
    <w:rsid w:val="6CE801A1"/>
    <w:rsid w:val="6CEE785C"/>
    <w:rsid w:val="6D0D7EE7"/>
    <w:rsid w:val="6D6C2303"/>
    <w:rsid w:val="6D983DEA"/>
    <w:rsid w:val="6D9F75E6"/>
    <w:rsid w:val="6DA543AC"/>
    <w:rsid w:val="6DD00F54"/>
    <w:rsid w:val="6E3D741B"/>
    <w:rsid w:val="6E4B4CE0"/>
    <w:rsid w:val="6E712470"/>
    <w:rsid w:val="6E863529"/>
    <w:rsid w:val="6E9A496B"/>
    <w:rsid w:val="6EA56BF3"/>
    <w:rsid w:val="6EB44EB3"/>
    <w:rsid w:val="6EC11C23"/>
    <w:rsid w:val="6ED175BF"/>
    <w:rsid w:val="6EE01868"/>
    <w:rsid w:val="6F035593"/>
    <w:rsid w:val="6F4D6995"/>
    <w:rsid w:val="6F5163D0"/>
    <w:rsid w:val="6F57413E"/>
    <w:rsid w:val="6F721FAD"/>
    <w:rsid w:val="6F8B00D3"/>
    <w:rsid w:val="6F8F5DE7"/>
    <w:rsid w:val="6FC42866"/>
    <w:rsid w:val="6FD5690B"/>
    <w:rsid w:val="6FE024E5"/>
    <w:rsid w:val="6FF329DD"/>
    <w:rsid w:val="70180DF5"/>
    <w:rsid w:val="70486700"/>
    <w:rsid w:val="705B569E"/>
    <w:rsid w:val="7077785B"/>
    <w:rsid w:val="70827118"/>
    <w:rsid w:val="70C51057"/>
    <w:rsid w:val="70D07E75"/>
    <w:rsid w:val="70D81058"/>
    <w:rsid w:val="71032031"/>
    <w:rsid w:val="71045389"/>
    <w:rsid w:val="712C73C8"/>
    <w:rsid w:val="712F2CF3"/>
    <w:rsid w:val="715D5914"/>
    <w:rsid w:val="71D9610B"/>
    <w:rsid w:val="71DF5AE8"/>
    <w:rsid w:val="72075F36"/>
    <w:rsid w:val="723337B3"/>
    <w:rsid w:val="7297381C"/>
    <w:rsid w:val="72C133F0"/>
    <w:rsid w:val="72D12EA6"/>
    <w:rsid w:val="72DE181A"/>
    <w:rsid w:val="7316334B"/>
    <w:rsid w:val="734E3FF8"/>
    <w:rsid w:val="735F1357"/>
    <w:rsid w:val="738A22FB"/>
    <w:rsid w:val="739A2334"/>
    <w:rsid w:val="73C560B7"/>
    <w:rsid w:val="73CC7518"/>
    <w:rsid w:val="73E30001"/>
    <w:rsid w:val="74002346"/>
    <w:rsid w:val="74201D98"/>
    <w:rsid w:val="743F07BC"/>
    <w:rsid w:val="74410803"/>
    <w:rsid w:val="7449695B"/>
    <w:rsid w:val="746E3ACC"/>
    <w:rsid w:val="74950955"/>
    <w:rsid w:val="74C738E8"/>
    <w:rsid w:val="74D86FD2"/>
    <w:rsid w:val="74EB5E35"/>
    <w:rsid w:val="74F31E70"/>
    <w:rsid w:val="7506715F"/>
    <w:rsid w:val="75112948"/>
    <w:rsid w:val="751605EA"/>
    <w:rsid w:val="752C4421"/>
    <w:rsid w:val="75362976"/>
    <w:rsid w:val="7548404E"/>
    <w:rsid w:val="755421F2"/>
    <w:rsid w:val="75545A6D"/>
    <w:rsid w:val="756C2E1B"/>
    <w:rsid w:val="75721269"/>
    <w:rsid w:val="7584583C"/>
    <w:rsid w:val="75B467ED"/>
    <w:rsid w:val="75B66448"/>
    <w:rsid w:val="75BE5B4D"/>
    <w:rsid w:val="75E749C6"/>
    <w:rsid w:val="75EE5DC7"/>
    <w:rsid w:val="76002828"/>
    <w:rsid w:val="760B4630"/>
    <w:rsid w:val="76122B7E"/>
    <w:rsid w:val="762F786A"/>
    <w:rsid w:val="763F4027"/>
    <w:rsid w:val="76484006"/>
    <w:rsid w:val="76577867"/>
    <w:rsid w:val="768D1F11"/>
    <w:rsid w:val="76B35682"/>
    <w:rsid w:val="76C012AD"/>
    <w:rsid w:val="76EE26B7"/>
    <w:rsid w:val="771F6DB8"/>
    <w:rsid w:val="772B1D68"/>
    <w:rsid w:val="772C10CF"/>
    <w:rsid w:val="77712277"/>
    <w:rsid w:val="77961E9D"/>
    <w:rsid w:val="779E6E81"/>
    <w:rsid w:val="77B20EFB"/>
    <w:rsid w:val="78113C9B"/>
    <w:rsid w:val="78154595"/>
    <w:rsid w:val="781567D1"/>
    <w:rsid w:val="78327A5B"/>
    <w:rsid w:val="78335566"/>
    <w:rsid w:val="78391049"/>
    <w:rsid w:val="784F6DCD"/>
    <w:rsid w:val="786A3575"/>
    <w:rsid w:val="787016CC"/>
    <w:rsid w:val="78775FBE"/>
    <w:rsid w:val="7897113E"/>
    <w:rsid w:val="789E44B3"/>
    <w:rsid w:val="78C517B9"/>
    <w:rsid w:val="78CE527B"/>
    <w:rsid w:val="78E2590C"/>
    <w:rsid w:val="78FF4580"/>
    <w:rsid w:val="790C0D17"/>
    <w:rsid w:val="79154E31"/>
    <w:rsid w:val="792A5615"/>
    <w:rsid w:val="798C1E87"/>
    <w:rsid w:val="79962CF3"/>
    <w:rsid w:val="79C43108"/>
    <w:rsid w:val="79CA73D7"/>
    <w:rsid w:val="79DB1ECD"/>
    <w:rsid w:val="7A10640D"/>
    <w:rsid w:val="7A125B11"/>
    <w:rsid w:val="7A516655"/>
    <w:rsid w:val="7A66004B"/>
    <w:rsid w:val="7A7D2CE1"/>
    <w:rsid w:val="7AB211C4"/>
    <w:rsid w:val="7AB865B5"/>
    <w:rsid w:val="7ABA14EB"/>
    <w:rsid w:val="7ACA0554"/>
    <w:rsid w:val="7AFB0585"/>
    <w:rsid w:val="7B0E29B1"/>
    <w:rsid w:val="7B4D2970"/>
    <w:rsid w:val="7B561ED6"/>
    <w:rsid w:val="7B5867DB"/>
    <w:rsid w:val="7B997600"/>
    <w:rsid w:val="7BBB6DE4"/>
    <w:rsid w:val="7BDF7D28"/>
    <w:rsid w:val="7C006D2E"/>
    <w:rsid w:val="7C013C54"/>
    <w:rsid w:val="7C0B1876"/>
    <w:rsid w:val="7C30645B"/>
    <w:rsid w:val="7C3648F6"/>
    <w:rsid w:val="7C3A2CC2"/>
    <w:rsid w:val="7C665B94"/>
    <w:rsid w:val="7C9826BD"/>
    <w:rsid w:val="7CA76BC4"/>
    <w:rsid w:val="7CCD4D16"/>
    <w:rsid w:val="7CD31248"/>
    <w:rsid w:val="7CDD45F1"/>
    <w:rsid w:val="7D5D77BB"/>
    <w:rsid w:val="7D9D6EC5"/>
    <w:rsid w:val="7DA0242A"/>
    <w:rsid w:val="7DB8568C"/>
    <w:rsid w:val="7DE36CAC"/>
    <w:rsid w:val="7DFE72B5"/>
    <w:rsid w:val="7E3D42B4"/>
    <w:rsid w:val="7E5A01A9"/>
    <w:rsid w:val="7E6209B2"/>
    <w:rsid w:val="7E9877D0"/>
    <w:rsid w:val="7EA51F12"/>
    <w:rsid w:val="7ED427C7"/>
    <w:rsid w:val="7F043992"/>
    <w:rsid w:val="7F9157EF"/>
    <w:rsid w:val="7F963EA4"/>
    <w:rsid w:val="7F9976FC"/>
    <w:rsid w:val="7F9A6E5D"/>
    <w:rsid w:val="7FE500F3"/>
    <w:rsid w:val="7FE770F6"/>
    <w:rsid w:val="7FF83BD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59" w:semiHidden="0" w:name="Table Grid"/>
    <w:lsdException w:unhideWhenUsed="0" w:uiPriority="0" w:semiHidden="0" w:name="Table Theme"/>
    <w:lsdException w:qFormat="1" w:unhideWhenUsed="0" w:uiPriority="1" w:semiHidden="0" w:name="No Spacing"/>
    <w:lsdException w:uiPriority="99" w:name="Light Shading"/>
    <w:lsdException w:uiPriority="99" w:name="Light List"/>
    <w:lsdException w:uiPriority="99" w:name="Light Grid"/>
    <w:lsdException w:uiPriority="99" w:name="Medium Shading 1"/>
    <w:lsdException w:uiPriority="99" w:name="Medium Shading 2"/>
    <w:lsdException w:uiPriority="99" w:name="Medium List 1"/>
    <w:lsdException w:uiPriority="99" w:name="Medium List 2"/>
    <w:lsdException w:uiPriority="99" w:name="Medium Grid 1"/>
    <w:lsdException w:qFormat="1" w:unhideWhenUsed="0" w:uiPriority="1" w:semiHidden="0" w:name="Medium Grid 2"/>
    <w:lsdException w:unhideWhenUsed="0" w:uiPriority="60" w:semiHidden="0" w:name="Medium Grid 3"/>
    <w:lsdException w:unhideWhenUsed="0" w:uiPriority="61" w:semiHidden="0" w:name="Dark List"/>
    <w:lsdException w:unhideWhenUsed="0" w:uiPriority="62" w:semiHidden="0" w:name="Colorful Shading"/>
    <w:lsdException w:unhideWhenUsed="0" w:uiPriority="63" w:semiHidden="0" w:name="Colorful List"/>
    <w:lsdException w:unhideWhenUsed="0" w:uiPriority="64" w:semiHidden="0" w:name="Colorful Grid"/>
    <w:lsdException w:unhideWhenUsed="0" w:uiPriority="65" w:semiHidden="0" w:name="Light Shading Accent 1"/>
    <w:lsdException w:unhideWhenUsed="0" w:uiPriority="66" w:semiHidden="0" w:name="Light List Accent 1"/>
    <w:lsdException w:unhideWhenUsed="0" w:uiPriority="67" w:semiHidden="0" w:name="Light Grid Accent 1"/>
    <w:lsdException w:unhideWhenUsed="0" w:uiPriority="68" w:semiHidden="0" w:name="Medium Shading 1 Accent 1"/>
    <w:lsdException w:unhideWhenUsed="0" w:uiPriority="69" w:semiHidden="0" w:name="Medium Shading 2 Accent 1"/>
    <w:lsdException w:unhideWhenUsed="0" w:uiPriority="70" w:semiHidden="0" w:name="Medium List 1 Accent 1"/>
    <w:lsdException w:qFormat="1" w:unhideWhenUsed="0" w:uiPriority="34" w:semiHidden="0" w:name="List Paragraph"/>
    <w:lsdException w:unhideWhenUsed="0" w:uiPriority="61" w:semiHidden="0" w:name="Medium List 2 Accent 1"/>
    <w:lsdException w:unhideWhenUsed="0" w:uiPriority="62" w:semiHidden="0" w:name="Medium Grid 1 Accent 1"/>
    <w:lsdException w:unhideWhenUsed="0" w:uiPriority="63" w:semiHidden="0" w:name="Medium Grid 2 Accent 1"/>
    <w:lsdException w:unhideWhenUsed="0" w:uiPriority="64" w:semiHidden="0" w:name="Medium Grid 3 Accent 1"/>
    <w:lsdException w:unhideWhenUsed="0" w:uiPriority="65" w:semiHidden="0" w:name="Dark List Accent 1"/>
    <w:lsdException w:uiPriority="99" w:name="Colorful Shading Accent 1"/>
    <w:lsdException w:qFormat="1" w:unhideWhenUsed="0" w:uiPriority="34" w:semiHidden="0" w:name="Colorful List Accent 1"/>
    <w:lsdException w:qFormat="1" w:unhideWhenUsed="0" w:uiPriority="99" w:semiHidden="0" w:name="Colorful Grid Accent 1"/>
    <w:lsdException w:qFormat="1" w:unhideWhenUsed="0" w:uiPriority="99" w:semiHidden="0" w:name="Light Shading Accent 2"/>
    <w:lsdException w:unhideWhenUsed="0" w:uiPriority="66" w:semiHidden="0" w:name="Light List Accent 2"/>
    <w:lsdException w:unhideWhenUsed="0" w:uiPriority="67" w:semiHidden="0" w:name="Light Grid Accent 2"/>
    <w:lsdException w:unhideWhenUsed="0" w:uiPriority="68" w:semiHidden="0" w:name="Medium Shading 1 Accent 2"/>
    <w:lsdException w:unhideWhenUsed="0" w:uiPriority="69" w:semiHidden="0" w:name="Medium Shading 2 Accent 2"/>
    <w:lsdException w:unhideWhenUsed="0" w:uiPriority="70" w:semiHidden="0" w:name="Medium List 1 Accent 2"/>
    <w:lsdException w:unhideWhenUsed="0" w:uiPriority="71" w:semiHidden="0" w:name="Medium List 2 Accent 2"/>
    <w:lsdException w:unhideWhenUsed="0" w:uiPriority="72" w:semiHidden="0" w:name="Medium Grid 1 Accent 2"/>
    <w:lsdException w:unhideWhenUsed="0" w:uiPriority="73" w:semiHidden="0" w:name="Medium Grid 2 Accent 2"/>
    <w:lsdException w:unhideWhenUsed="0" w:uiPriority="60" w:semiHidden="0" w:name="Medium Grid 3 Accent 2"/>
    <w:lsdException w:unhideWhenUsed="0" w:uiPriority="61" w:semiHidden="0" w:name="Dark List Accent 2"/>
    <w:lsdException w:unhideWhenUsed="0" w:uiPriority="62" w:semiHidden="0" w:name="Colorful Shading Accent 2"/>
    <w:lsdException w:unhideWhenUsed="0" w:uiPriority="63" w:semiHidden="0" w:name="Colorful List Accent 2"/>
    <w:lsdException w:unhideWhenUsed="0" w:uiPriority="64" w:semiHidden="0" w:name="Colorful Grid Accent 2"/>
    <w:lsdException w:unhideWhenUsed="0" w:uiPriority="65" w:semiHidden="0" w:name="Light Shading Accent 3"/>
    <w:lsdException w:unhideWhenUsed="0" w:uiPriority="66" w:semiHidden="0" w:name="Light List Accent 3"/>
    <w:lsdException w:unhideWhenUsed="0" w:uiPriority="67" w:semiHidden="0" w:name="Light Grid Accent 3"/>
    <w:lsdException w:unhideWhenUsed="0" w:uiPriority="68" w:semiHidden="0" w:name="Medium Shading 1 Accent 3"/>
    <w:lsdException w:unhideWhenUsed="0" w:uiPriority="69" w:semiHidden="0" w:name="Medium Shading 2 Accent 3"/>
    <w:lsdException w:unhideWhenUsed="0" w:uiPriority="70" w:semiHidden="0" w:name="Medium List 1 Accent 3"/>
    <w:lsdException w:unhideWhenUsed="0" w:uiPriority="71" w:semiHidden="0" w:name="Medium List 2 Accent 3"/>
    <w:lsdException w:unhideWhenUsed="0" w:uiPriority="72" w:semiHidden="0" w:name="Medium Grid 1 Accent 3"/>
    <w:lsdException w:unhideWhenUsed="0" w:uiPriority="73" w:semiHidden="0" w:name="Medium Grid 2 Accent 3"/>
    <w:lsdException w:unhideWhenUsed="0" w:uiPriority="60" w:semiHidden="0" w:name="Medium Grid 3 Accent 3"/>
    <w:lsdException w:unhideWhenUsed="0" w:uiPriority="61" w:semiHidden="0" w:name="Dark List Accent 3"/>
    <w:lsdException w:unhideWhenUsed="0" w:uiPriority="62" w:semiHidden="0" w:name="Colorful Shading Accent 3"/>
    <w:lsdException w:unhideWhenUsed="0" w:uiPriority="63" w:semiHidden="0" w:name="Colorful List Accent 3"/>
    <w:lsdException w:unhideWhenUsed="0" w:uiPriority="64" w:semiHidden="0" w:name="Colorful Grid Accent 3"/>
    <w:lsdException w:unhideWhenUsed="0" w:uiPriority="65" w:semiHidden="0" w:name="Light Shading Accent 4"/>
    <w:lsdException w:unhideWhenUsed="0" w:uiPriority="66" w:semiHidden="0" w:name="Light List Accent 4"/>
    <w:lsdException w:unhideWhenUsed="0" w:uiPriority="67" w:semiHidden="0" w:name="Light Grid Accent 4"/>
    <w:lsdException w:unhideWhenUsed="0" w:uiPriority="68" w:semiHidden="0" w:name="Medium Shading 1 Accent 4"/>
    <w:lsdException w:unhideWhenUsed="0" w:uiPriority="69" w:semiHidden="0" w:name="Medium Shading 2 Accent 4"/>
    <w:lsdException w:unhideWhenUsed="0" w:uiPriority="70" w:semiHidden="0" w:name="Medium List 1 Accent 4"/>
    <w:lsdException w:unhideWhenUsed="0" w:uiPriority="71" w:semiHidden="0" w:name="Medium List 2 Accent 4"/>
    <w:lsdException w:unhideWhenUsed="0" w:uiPriority="72" w:semiHidden="0" w:name="Medium Grid 1 Accent 4"/>
    <w:lsdException w:unhideWhenUsed="0" w:uiPriority="73" w:semiHidden="0" w:name="Medium Grid 2 Accent 4"/>
    <w:lsdException w:unhideWhenUsed="0" w:uiPriority="60" w:semiHidden="0" w:name="Medium Grid 3 Accent 4"/>
    <w:lsdException w:unhideWhenUsed="0" w:uiPriority="61" w:semiHidden="0" w:name="Dark List Accent 4"/>
    <w:lsdException w:unhideWhenUsed="0" w:uiPriority="62" w:semiHidden="0" w:name="Colorful Shading Accent 4"/>
    <w:lsdException w:unhideWhenUsed="0" w:uiPriority="63" w:semiHidden="0" w:name="Colorful List Accent 4"/>
    <w:lsdException w:unhideWhenUsed="0" w:uiPriority="64" w:semiHidden="0" w:name="Colorful Grid Accent 4"/>
    <w:lsdException w:unhideWhenUsed="0" w:uiPriority="65" w:semiHidden="0" w:name="Light Shading Accent 5"/>
    <w:lsdException w:unhideWhenUsed="0" w:uiPriority="66" w:semiHidden="0" w:name="Light List Accent 5"/>
    <w:lsdException w:unhideWhenUsed="0" w:uiPriority="67" w:semiHidden="0" w:name="Light Grid Accent 5"/>
    <w:lsdException w:unhideWhenUsed="0" w:uiPriority="68" w:semiHidden="0" w:name="Medium Shading 1 Accent 5"/>
    <w:lsdException w:unhideWhenUsed="0" w:uiPriority="69" w:semiHidden="0" w:name="Medium Shading 2 Accent 5"/>
    <w:lsdException w:unhideWhenUsed="0" w:uiPriority="70" w:semiHidden="0" w:name="Medium List 1 Accent 5"/>
    <w:lsdException w:unhideWhenUsed="0" w:uiPriority="71" w:semiHidden="0" w:name="Medium List 2 Accent 5"/>
    <w:lsdException w:unhideWhenUsed="0" w:uiPriority="72" w:semiHidden="0" w:name="Medium Grid 1 Accent 5"/>
    <w:lsdException w:unhideWhenUsed="0" w:uiPriority="73" w:semiHidden="0" w:name="Medium Grid 2 Accent 5"/>
    <w:lsdException w:unhideWhenUsed="0" w:uiPriority="60" w:semiHidden="0" w:name="Medium Grid 3 Accent 5"/>
    <w:lsdException w:unhideWhenUsed="0" w:uiPriority="61" w:semiHidden="0" w:name="Dark List Accent 5"/>
    <w:lsdException w:unhideWhenUsed="0" w:uiPriority="62" w:semiHidden="0" w:name="Colorful Shading Accent 5"/>
    <w:lsdException w:unhideWhenUsed="0" w:uiPriority="63" w:semiHidden="0" w:name="Colorful List Accent 5"/>
    <w:lsdException w:unhideWhenUsed="0" w:uiPriority="64" w:semiHidden="0" w:name="Colorful Grid Accent 5"/>
    <w:lsdException w:unhideWhenUsed="0" w:uiPriority="65" w:semiHidden="0" w:name="Light Shading Accent 6"/>
    <w:lsdException w:unhideWhenUsed="0" w:uiPriority="66" w:semiHidden="0" w:name="Light List Accent 6"/>
    <w:lsdException w:unhideWhenUsed="0" w:uiPriority="67" w:semiHidden="0" w:name="Light Grid Accent 6"/>
    <w:lsdException w:unhideWhenUsed="0" w:uiPriority="68" w:semiHidden="0" w:name="Medium Shading 1 Accent 6"/>
    <w:lsdException w:unhideWhenUsed="0" w:uiPriority="69" w:semiHidden="0" w:name="Medium Shading 2 Accent 6"/>
    <w:lsdException w:unhideWhenUsed="0" w:uiPriority="70" w:semiHidden="0" w:name="Medium List 1 Accent 6"/>
    <w:lsdException w:unhideWhenUsed="0" w:uiPriority="71" w:semiHidden="0" w:name="Medium List 2 Accent 6"/>
    <w:lsdException w:unhideWhenUsed="0" w:uiPriority="72" w:semiHidden="0" w:name="Medium Grid 1 Accent 6"/>
    <w:lsdException w:unhideWhenUsed="0" w:uiPriority="73" w:semiHidden="0" w:name="Medium Grid 2 Accent 6"/>
    <w:lsdException w:unhideWhenUsed="0" w:uiPriority="60" w:semiHidden="0" w:name="Medium Grid 3 Accent 6"/>
    <w:lsdException w:unhideWhenUsed="0" w:uiPriority="61" w:semiHidden="0" w:name="Dark List Accent 6"/>
    <w:lsdException w:unhideWhenUsed="0" w:uiPriority="62" w:semiHidden="0" w:name="Colorful Shading Accent 6"/>
    <w:lsdException w:unhideWhenUsed="0" w:uiPriority="63" w:semiHidden="0" w:name="Colorful List Accent 6"/>
    <w:lsdException w:unhideWhenUsed="0" w:uiPriority="64"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link w:val="59"/>
    <w:qFormat/>
    <w:uiPriority w:val="0"/>
    <w:pPr>
      <w:keepNext/>
      <w:spacing w:line="216" w:lineRule="auto"/>
      <w:jc w:val="center"/>
      <w:outlineLvl w:val="0"/>
    </w:pPr>
    <w:rPr>
      <w:rFonts w:ascii="宋体" w:hAnsi="宋体"/>
      <w:b/>
      <w:sz w:val="30"/>
      <w:szCs w:val="20"/>
    </w:rPr>
  </w:style>
  <w:style w:type="paragraph" w:styleId="2">
    <w:name w:val="heading 2"/>
    <w:basedOn w:val="1"/>
    <w:next w:val="3"/>
    <w:link w:val="58"/>
    <w:qFormat/>
    <w:uiPriority w:val="0"/>
    <w:pPr>
      <w:keepNext/>
      <w:spacing w:line="216" w:lineRule="auto"/>
      <w:outlineLvl w:val="1"/>
    </w:pPr>
    <w:rPr>
      <w:rFonts w:ascii="宋体"/>
      <w:b/>
      <w:sz w:val="28"/>
      <w:szCs w:val="20"/>
    </w:rPr>
  </w:style>
  <w:style w:type="paragraph" w:styleId="5">
    <w:name w:val="heading 3"/>
    <w:basedOn w:val="1"/>
    <w:next w:val="1"/>
    <w:qFormat/>
    <w:uiPriority w:val="0"/>
    <w:pPr>
      <w:keepNext/>
      <w:numPr>
        <w:ilvl w:val="0"/>
        <w:numId w:val="1"/>
      </w:numPr>
      <w:spacing w:line="216" w:lineRule="auto"/>
      <w:outlineLvl w:val="2"/>
    </w:pPr>
    <w:rPr>
      <w:rFonts w:ascii="宋体"/>
      <w:b/>
      <w:bCs/>
      <w:sz w:val="28"/>
      <w:szCs w:val="20"/>
    </w:rPr>
  </w:style>
  <w:style w:type="paragraph" w:styleId="6">
    <w:name w:val="heading 4"/>
    <w:basedOn w:val="1"/>
    <w:next w:val="1"/>
    <w:qFormat/>
    <w:uiPriority w:val="0"/>
    <w:pPr>
      <w:keepNext/>
      <w:numPr>
        <w:ilvl w:val="0"/>
        <w:numId w:val="2"/>
      </w:numPr>
      <w:spacing w:line="216" w:lineRule="auto"/>
      <w:outlineLvl w:val="3"/>
    </w:pPr>
    <w:rPr>
      <w:rFonts w:ascii="黑体" w:eastAsia="黑体"/>
      <w:b/>
      <w:sz w:val="24"/>
      <w:szCs w:val="20"/>
    </w:rPr>
  </w:style>
  <w:style w:type="paragraph" w:styleId="7">
    <w:name w:val="heading 5"/>
    <w:basedOn w:val="1"/>
    <w:next w:val="1"/>
    <w:link w:val="60"/>
    <w:qFormat/>
    <w:uiPriority w:val="0"/>
    <w:pPr>
      <w:keepNext/>
      <w:keepLines/>
      <w:spacing w:before="280" w:after="290" w:line="376" w:lineRule="auto"/>
      <w:outlineLvl w:val="4"/>
    </w:pPr>
    <w:rPr>
      <w:rFonts w:ascii="宋体" w:hAnsi="宋体"/>
      <w:b/>
      <w:bCs/>
      <w:kern w:val="0"/>
      <w:sz w:val="28"/>
      <w:szCs w:val="28"/>
    </w:rPr>
  </w:style>
  <w:style w:type="paragraph" w:styleId="8">
    <w:name w:val="heading 6"/>
    <w:basedOn w:val="1"/>
    <w:next w:val="1"/>
    <w:link w:val="61"/>
    <w:qFormat/>
    <w:uiPriority w:val="0"/>
    <w:pPr>
      <w:keepNext/>
      <w:keepLines/>
      <w:spacing w:before="50" w:beforeLines="50" w:after="50" w:afterLines="50"/>
      <w:jc w:val="left"/>
      <w:outlineLvl w:val="5"/>
    </w:pPr>
    <w:rPr>
      <w:rFonts w:ascii="Arial" w:hAnsi="Arial" w:eastAsia="黑体"/>
      <w:bCs/>
      <w:sz w:val="24"/>
    </w:rPr>
  </w:style>
  <w:style w:type="character" w:default="1" w:styleId="43">
    <w:name w:val="Default Paragraph Font"/>
    <w:semiHidden/>
    <w:uiPriority w:val="0"/>
  </w:style>
  <w:style w:type="table" w:default="1" w:styleId="37">
    <w:name w:val="Normal Table"/>
    <w:semiHidden/>
    <w:uiPriority w:val="0"/>
    <w:tblPr>
      <w:tblStyle w:val="37"/>
      <w:tblCellMar>
        <w:top w:w="0" w:type="dxa"/>
        <w:left w:w="108" w:type="dxa"/>
        <w:bottom w:w="0" w:type="dxa"/>
        <w:right w:w="108" w:type="dxa"/>
      </w:tblCellMar>
    </w:tblPr>
  </w:style>
  <w:style w:type="paragraph" w:styleId="3">
    <w:name w:val="Normal Indent"/>
    <w:basedOn w:val="1"/>
    <w:uiPriority w:val="0"/>
    <w:pPr>
      <w:ind w:firstLine="420"/>
    </w:pPr>
    <w:rPr>
      <w:szCs w:val="20"/>
    </w:rPr>
  </w:style>
  <w:style w:type="paragraph" w:styleId="9">
    <w:name w:val="toc 7"/>
    <w:basedOn w:val="1"/>
    <w:next w:val="1"/>
    <w:semiHidden/>
    <w:uiPriority w:val="0"/>
    <w:pPr>
      <w:ind w:left="2520" w:leftChars="1200"/>
    </w:pPr>
  </w:style>
  <w:style w:type="paragraph" w:styleId="10">
    <w:name w:val="caption"/>
    <w:basedOn w:val="1"/>
    <w:next w:val="1"/>
    <w:link w:val="62"/>
    <w:qFormat/>
    <w:uiPriority w:val="35"/>
    <w:pPr>
      <w:tabs>
        <w:tab w:val="left" w:pos="1275"/>
      </w:tabs>
      <w:spacing w:line="360" w:lineRule="auto"/>
      <w:jc w:val="center"/>
    </w:pPr>
    <w:rPr>
      <w:rFonts w:ascii="Arial Unicode MS" w:hAnsi="Arial Unicode MS"/>
      <w:kern w:val="0"/>
      <w:sz w:val="20"/>
      <w:szCs w:val="20"/>
      <w:lang/>
    </w:rPr>
  </w:style>
  <w:style w:type="paragraph" w:styleId="11">
    <w:name w:val="annotation text"/>
    <w:basedOn w:val="1"/>
    <w:link w:val="63"/>
    <w:uiPriority w:val="0"/>
    <w:pPr>
      <w:adjustRightInd w:val="0"/>
      <w:jc w:val="left"/>
    </w:pPr>
  </w:style>
  <w:style w:type="paragraph" w:styleId="12">
    <w:name w:val="Body Text"/>
    <w:basedOn w:val="1"/>
    <w:next w:val="6"/>
    <w:link w:val="64"/>
    <w:uiPriority w:val="99"/>
    <w:pPr>
      <w:autoSpaceDE w:val="0"/>
      <w:autoSpaceDN w:val="0"/>
      <w:adjustRightInd w:val="0"/>
      <w:spacing w:line="360" w:lineRule="auto"/>
    </w:pPr>
    <w:rPr>
      <w:rFonts w:ascii="宋体" w:hAnsi="Arial" w:cs="Arial"/>
      <w:snapToGrid w:val="0"/>
      <w:sz w:val="24"/>
      <w:szCs w:val="21"/>
      <w:lang w:val="zh-CN"/>
    </w:rPr>
  </w:style>
  <w:style w:type="paragraph" w:styleId="13">
    <w:name w:val="Body Text Indent"/>
    <w:basedOn w:val="1"/>
    <w:next w:val="14"/>
    <w:link w:val="65"/>
    <w:uiPriority w:val="0"/>
    <w:pPr>
      <w:spacing w:after="120"/>
      <w:ind w:left="420" w:leftChars="200"/>
    </w:pPr>
  </w:style>
  <w:style w:type="paragraph" w:styleId="14">
    <w:name w:val="Body Text First Indent 2"/>
    <w:basedOn w:val="13"/>
    <w:link w:val="66"/>
    <w:qFormat/>
    <w:uiPriority w:val="0"/>
    <w:pPr>
      <w:ind w:firstLine="420" w:firstLineChars="200"/>
    </w:pPr>
  </w:style>
  <w:style w:type="paragraph" w:styleId="15">
    <w:name w:val="toc 5"/>
    <w:basedOn w:val="1"/>
    <w:next w:val="1"/>
    <w:semiHidden/>
    <w:uiPriority w:val="0"/>
    <w:pPr>
      <w:ind w:left="1680" w:leftChars="800"/>
    </w:pPr>
  </w:style>
  <w:style w:type="paragraph" w:styleId="16">
    <w:name w:val="toc 3"/>
    <w:basedOn w:val="1"/>
    <w:next w:val="1"/>
    <w:uiPriority w:val="0"/>
    <w:pPr>
      <w:ind w:left="840" w:leftChars="400"/>
    </w:pPr>
  </w:style>
  <w:style w:type="paragraph" w:styleId="17">
    <w:name w:val="Plain Text"/>
    <w:basedOn w:val="1"/>
    <w:next w:val="1"/>
    <w:link w:val="67"/>
    <w:uiPriority w:val="0"/>
    <w:rPr>
      <w:rFonts w:ascii="宋体" w:hAnsi="Courier New" w:cs="Courier New"/>
      <w:szCs w:val="21"/>
    </w:rPr>
  </w:style>
  <w:style w:type="paragraph" w:styleId="18">
    <w:name w:val="toc 8"/>
    <w:basedOn w:val="1"/>
    <w:next w:val="1"/>
    <w:semiHidden/>
    <w:uiPriority w:val="0"/>
    <w:pPr>
      <w:ind w:left="2940" w:leftChars="1400"/>
    </w:pPr>
  </w:style>
  <w:style w:type="paragraph" w:styleId="19">
    <w:name w:val="Date"/>
    <w:basedOn w:val="1"/>
    <w:next w:val="1"/>
    <w:uiPriority w:val="0"/>
    <w:pPr>
      <w:ind w:left="100" w:leftChars="2500"/>
    </w:pPr>
    <w:rPr>
      <w:rFonts w:ascii="宋体" w:hAnsi="宋体"/>
      <w:color w:val="000000"/>
      <w:sz w:val="24"/>
    </w:rPr>
  </w:style>
  <w:style w:type="paragraph" w:styleId="20">
    <w:name w:val="Body Text Indent 2"/>
    <w:basedOn w:val="1"/>
    <w:link w:val="68"/>
    <w:qFormat/>
    <w:uiPriority w:val="0"/>
    <w:pPr>
      <w:spacing w:after="120" w:line="480" w:lineRule="auto"/>
      <w:ind w:left="420" w:leftChars="200"/>
    </w:pPr>
  </w:style>
  <w:style w:type="paragraph" w:styleId="21">
    <w:name w:val="Balloon Text"/>
    <w:basedOn w:val="1"/>
    <w:semiHidden/>
    <w:uiPriority w:val="0"/>
    <w:rPr>
      <w:sz w:val="18"/>
      <w:szCs w:val="18"/>
    </w:rPr>
  </w:style>
  <w:style w:type="paragraph" w:styleId="22">
    <w:name w:val="footer"/>
    <w:basedOn w:val="1"/>
    <w:link w:val="69"/>
    <w:uiPriority w:val="99"/>
    <w:pPr>
      <w:tabs>
        <w:tab w:val="center" w:pos="4153"/>
        <w:tab w:val="right" w:pos="8306"/>
      </w:tabs>
      <w:snapToGrid w:val="0"/>
      <w:jc w:val="left"/>
    </w:pPr>
    <w:rPr>
      <w:sz w:val="18"/>
      <w:szCs w:val="18"/>
    </w:rPr>
  </w:style>
  <w:style w:type="paragraph" w:styleId="23">
    <w:name w:val="header"/>
    <w:basedOn w:val="1"/>
    <w:link w:val="70"/>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kern w:val="0"/>
      <w:sz w:val="18"/>
      <w:szCs w:val="20"/>
    </w:rPr>
  </w:style>
  <w:style w:type="paragraph" w:styleId="24">
    <w:name w:val="toc 1"/>
    <w:basedOn w:val="1"/>
    <w:next w:val="1"/>
    <w:uiPriority w:val="39"/>
  </w:style>
  <w:style w:type="paragraph" w:styleId="25">
    <w:name w:val="toc 4"/>
    <w:basedOn w:val="1"/>
    <w:next w:val="1"/>
    <w:semiHidden/>
    <w:uiPriority w:val="0"/>
    <w:pPr>
      <w:ind w:left="1260" w:leftChars="600"/>
    </w:pPr>
  </w:style>
  <w:style w:type="paragraph" w:styleId="26">
    <w:name w:val="Subtitle"/>
    <w:basedOn w:val="1"/>
    <w:next w:val="1"/>
    <w:link w:val="71"/>
    <w:qFormat/>
    <w:uiPriority w:val="0"/>
    <w:pPr>
      <w:spacing w:line="360" w:lineRule="auto"/>
      <w:jc w:val="left"/>
      <w:outlineLvl w:val="2"/>
    </w:pPr>
    <w:rPr>
      <w:rFonts w:ascii="Cambria" w:hAnsi="Cambria"/>
      <w:b/>
      <w:bCs/>
      <w:kern w:val="28"/>
      <w:sz w:val="30"/>
      <w:szCs w:val="32"/>
    </w:rPr>
  </w:style>
  <w:style w:type="paragraph" w:styleId="27">
    <w:name w:val="toc 6"/>
    <w:basedOn w:val="1"/>
    <w:next w:val="1"/>
    <w:semiHidden/>
    <w:uiPriority w:val="0"/>
    <w:pPr>
      <w:ind w:left="2100" w:leftChars="1000"/>
    </w:pPr>
  </w:style>
  <w:style w:type="paragraph" w:styleId="28">
    <w:name w:val="Body Text Indent 3"/>
    <w:basedOn w:val="1"/>
    <w:uiPriority w:val="0"/>
    <w:pPr>
      <w:spacing w:after="120"/>
      <w:ind w:left="420" w:leftChars="200"/>
    </w:pPr>
    <w:rPr>
      <w:sz w:val="16"/>
      <w:szCs w:val="16"/>
    </w:rPr>
  </w:style>
  <w:style w:type="paragraph" w:styleId="29">
    <w:name w:val="toc 2"/>
    <w:basedOn w:val="1"/>
    <w:next w:val="1"/>
    <w:uiPriority w:val="39"/>
    <w:pPr>
      <w:ind w:left="420" w:leftChars="200"/>
    </w:pPr>
  </w:style>
  <w:style w:type="paragraph" w:styleId="30">
    <w:name w:val="toc 9"/>
    <w:basedOn w:val="1"/>
    <w:next w:val="1"/>
    <w:semiHidden/>
    <w:uiPriority w:val="0"/>
    <w:pPr>
      <w:ind w:left="3360" w:leftChars="1600"/>
    </w:pPr>
  </w:style>
  <w:style w:type="paragraph" w:styleId="31">
    <w:name w:val="Body Text 2"/>
    <w:basedOn w:val="1"/>
    <w:qFormat/>
    <w:uiPriority w:val="0"/>
    <w:pPr>
      <w:spacing w:after="120" w:line="480" w:lineRule="auto"/>
    </w:pPr>
    <w:rPr>
      <w:rFonts w:ascii="Times New Roman" w:hAnsi="Times New Roman"/>
      <w:szCs w:val="20"/>
    </w:rPr>
  </w:style>
  <w:style w:type="paragraph" w:styleId="32">
    <w:name w:val="HTML Preformatted"/>
    <w:basedOn w:val="1"/>
    <w:link w:val="72"/>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35">
    <w:name w:val="annotation subject"/>
    <w:basedOn w:val="11"/>
    <w:next w:val="11"/>
    <w:link w:val="73"/>
    <w:uiPriority w:val="0"/>
    <w:pPr>
      <w:adjustRightInd/>
    </w:pPr>
    <w:rPr>
      <w:b/>
      <w:bCs/>
    </w:rPr>
  </w:style>
  <w:style w:type="paragraph" w:styleId="36">
    <w:name w:val="Body Text First Indent"/>
    <w:basedOn w:val="12"/>
    <w:next w:val="27"/>
    <w:qFormat/>
    <w:uiPriority w:val="99"/>
    <w:pPr>
      <w:ind w:firstLine="420" w:firstLineChars="100"/>
    </w:pPr>
  </w:style>
  <w:style w:type="table" w:styleId="38">
    <w:name w:val="Table Grid"/>
    <w:basedOn w:val="37"/>
    <w:uiPriority w:val="59"/>
    <w:pPr>
      <w:widowControl w:val="0"/>
      <w:jc w:val="both"/>
    </w:p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Web 1"/>
    <w:basedOn w:val="37"/>
    <w:uiPriority w:val="0"/>
    <w:pPr>
      <w:widowControl w:val="0"/>
      <w:jc w:val="both"/>
    </w:pPr>
    <w:rPr>
      <w:rFonts w:ascii="Calibri" w:hAnsi="Calibri"/>
    </w:rPr>
    <w:tblPr>
      <w:tblStyle w:val="37"/>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blStyle w:val="37"/>
      </w:tblPr>
      <w:tcPr>
        <w:tcBorders>
          <w:top w:val="nil"/>
          <w:left w:val="nil"/>
          <w:bottom w:val="nil"/>
          <w:right w:val="nil"/>
          <w:insideH w:val="nil"/>
          <w:insideV w:val="nil"/>
          <w:tl2br w:val="nil"/>
          <w:tr2bl w:val="nil"/>
        </w:tcBorders>
      </w:tcPr>
    </w:tblStylePr>
  </w:style>
  <w:style w:type="table" w:styleId="40">
    <w:name w:val="Table Web 2"/>
    <w:basedOn w:val="37"/>
    <w:uiPriority w:val="0"/>
    <w:pPr>
      <w:widowControl w:val="0"/>
      <w:jc w:val="both"/>
    </w:pPr>
    <w:rPr>
      <w:rFonts w:ascii="Calibri" w:hAnsi="Calibri"/>
    </w:rPr>
    <w:tblPr>
      <w:tblStyle w:val="37"/>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blStyle w:val="37"/>
      </w:tblPr>
      <w:tcPr>
        <w:tcBorders>
          <w:top w:val="nil"/>
          <w:left w:val="nil"/>
          <w:bottom w:val="nil"/>
          <w:right w:val="nil"/>
          <w:insideH w:val="nil"/>
          <w:insideV w:val="nil"/>
          <w:tl2br w:val="nil"/>
          <w:tr2bl w:val="nil"/>
        </w:tcBorders>
      </w:tcPr>
    </w:tblStylePr>
  </w:style>
  <w:style w:type="table" w:styleId="41">
    <w:name w:val="Table Web 3"/>
    <w:basedOn w:val="37"/>
    <w:uiPriority w:val="0"/>
    <w:pPr>
      <w:widowControl w:val="0"/>
      <w:jc w:val="both"/>
    </w:pPr>
    <w:rPr>
      <w:rFonts w:ascii="Calibri" w:hAnsi="Calibri"/>
    </w:rPr>
    <w:tblPr>
      <w:tblStyle w:val="37"/>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blStyle w:val="37"/>
      </w:tblPr>
      <w:tcPr>
        <w:tcBorders>
          <w:top w:val="nil"/>
          <w:left w:val="nil"/>
          <w:bottom w:val="nil"/>
          <w:right w:val="nil"/>
          <w:insideH w:val="nil"/>
          <w:insideV w:val="nil"/>
          <w:tl2br w:val="nil"/>
          <w:tr2bl w:val="nil"/>
        </w:tcBorders>
      </w:tcPr>
    </w:tblStylePr>
  </w:style>
  <w:style w:type="table" w:styleId="42">
    <w:name w:val="Table Professional"/>
    <w:basedOn w:val="37"/>
    <w:uiPriority w:val="0"/>
    <w:pPr>
      <w:widowControl w:val="0"/>
      <w:jc w:val="both"/>
    </w:pPr>
    <w:rPr>
      <w:rFonts w:ascii="Calibri" w:hAnsi="Calibri"/>
    </w:rPr>
    <w:tblPr>
      <w:tblStyle w:val="37"/>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37"/>
      </w:tblPr>
      <w:tcPr>
        <w:tcBorders>
          <w:top w:val="nil"/>
          <w:left w:val="nil"/>
          <w:bottom w:val="nil"/>
          <w:right w:val="nil"/>
          <w:insideH w:val="nil"/>
          <w:insideV w:val="nil"/>
          <w:tl2br w:val="nil"/>
          <w:tr2bl w:val="nil"/>
        </w:tcBorders>
        <w:shd w:val="solid" w:color="000000" w:fill="FFFFFF"/>
      </w:tcPr>
    </w:tblStylePr>
  </w:style>
  <w:style w:type="character" w:styleId="44">
    <w:name w:val="Strong"/>
    <w:qFormat/>
    <w:uiPriority w:val="0"/>
  </w:style>
  <w:style w:type="character" w:styleId="45">
    <w:name w:val="page number"/>
    <w:uiPriority w:val="0"/>
  </w:style>
  <w:style w:type="character" w:styleId="46">
    <w:name w:val="FollowedHyperlink"/>
    <w:uiPriority w:val="99"/>
    <w:rPr>
      <w:color w:val="800080"/>
      <w:u w:val="single"/>
    </w:rPr>
  </w:style>
  <w:style w:type="character" w:styleId="47">
    <w:name w:val="Emphasis"/>
    <w:qFormat/>
    <w:uiPriority w:val="0"/>
    <w:rPr>
      <w:rFonts w:eastAsia="宋体"/>
      <w:b/>
      <w:iCs/>
      <w:sz w:val="28"/>
      <w:vertAlign w:val="baseline"/>
    </w:rPr>
  </w:style>
  <w:style w:type="character" w:styleId="48">
    <w:name w:val="HTML Definition"/>
    <w:uiPriority w:val="0"/>
  </w:style>
  <w:style w:type="character" w:styleId="49">
    <w:name w:val="HTML Typewriter"/>
    <w:uiPriority w:val="0"/>
    <w:rPr>
      <w:rFonts w:hint="default" w:ascii="monospace" w:hAnsi="monospace" w:eastAsia="monospace" w:cs="monospace"/>
      <w:sz w:val="20"/>
    </w:rPr>
  </w:style>
  <w:style w:type="character" w:styleId="50">
    <w:name w:val="HTML Acronym"/>
    <w:uiPriority w:val="0"/>
  </w:style>
  <w:style w:type="character" w:styleId="51">
    <w:name w:val="HTML Variable"/>
    <w:uiPriority w:val="0"/>
  </w:style>
  <w:style w:type="character" w:styleId="52">
    <w:name w:val="Hyperlink"/>
    <w:uiPriority w:val="99"/>
    <w:rPr>
      <w:color w:val="0000FF"/>
      <w:u w:val="single"/>
    </w:rPr>
  </w:style>
  <w:style w:type="character" w:styleId="53">
    <w:name w:val="HTML Code"/>
    <w:uiPriority w:val="0"/>
    <w:rPr>
      <w:rFonts w:ascii="monospace" w:hAnsi="monospace" w:eastAsia="monospace" w:cs="monospace"/>
      <w:sz w:val="20"/>
    </w:rPr>
  </w:style>
  <w:style w:type="character" w:styleId="54">
    <w:name w:val="annotation reference"/>
    <w:uiPriority w:val="99"/>
    <w:rPr>
      <w:sz w:val="21"/>
      <w:szCs w:val="21"/>
    </w:rPr>
  </w:style>
  <w:style w:type="character" w:styleId="55">
    <w:name w:val="HTML Cite"/>
    <w:uiPriority w:val="0"/>
  </w:style>
  <w:style w:type="character" w:styleId="56">
    <w:name w:val="HTML Keyboard"/>
    <w:uiPriority w:val="0"/>
    <w:rPr>
      <w:rFonts w:hint="default" w:ascii="monospace" w:hAnsi="monospace" w:eastAsia="monospace" w:cs="monospace"/>
      <w:sz w:val="20"/>
    </w:rPr>
  </w:style>
  <w:style w:type="character" w:styleId="57">
    <w:name w:val="HTML Sample"/>
    <w:uiPriority w:val="0"/>
    <w:rPr>
      <w:rFonts w:hint="default" w:ascii="monospace" w:hAnsi="monospace" w:eastAsia="monospace" w:cs="monospace"/>
    </w:rPr>
  </w:style>
  <w:style w:type="character" w:customStyle="1" w:styleId="58">
    <w:name w:val="标题 2 字符1"/>
    <w:link w:val="2"/>
    <w:uiPriority w:val="0"/>
    <w:rPr>
      <w:rFonts w:ascii="宋体"/>
      <w:b/>
      <w:kern w:val="2"/>
      <w:sz w:val="28"/>
    </w:rPr>
  </w:style>
  <w:style w:type="character" w:customStyle="1" w:styleId="59">
    <w:name w:val="标题 1 字符1"/>
    <w:link w:val="4"/>
    <w:uiPriority w:val="0"/>
    <w:rPr>
      <w:rFonts w:ascii="宋体" w:hAnsi="宋体"/>
      <w:b/>
      <w:kern w:val="2"/>
      <w:sz w:val="30"/>
    </w:rPr>
  </w:style>
  <w:style w:type="character" w:customStyle="1" w:styleId="60">
    <w:name w:val="标题 5 字符"/>
    <w:link w:val="7"/>
    <w:uiPriority w:val="0"/>
    <w:rPr>
      <w:rFonts w:ascii="宋体" w:hAnsi="宋体" w:cs="宋体"/>
      <w:b/>
      <w:bCs/>
      <w:sz w:val="28"/>
      <w:szCs w:val="28"/>
    </w:rPr>
  </w:style>
  <w:style w:type="character" w:customStyle="1" w:styleId="61">
    <w:name w:val="标题 6 字符"/>
    <w:link w:val="8"/>
    <w:qFormat/>
    <w:uiPriority w:val="0"/>
    <w:rPr>
      <w:rFonts w:ascii="Arial" w:hAnsi="Arial" w:eastAsia="黑体"/>
      <w:bCs/>
      <w:kern w:val="2"/>
      <w:sz w:val="24"/>
      <w:szCs w:val="24"/>
    </w:rPr>
  </w:style>
  <w:style w:type="character" w:customStyle="1" w:styleId="62">
    <w:name w:val="题注 字符"/>
    <w:link w:val="10"/>
    <w:qFormat/>
    <w:locked/>
    <w:uiPriority w:val="35"/>
    <w:rPr>
      <w:rFonts w:ascii="Arial Unicode MS" w:hAnsi="Arial Unicode MS"/>
      <w:lang/>
    </w:rPr>
  </w:style>
  <w:style w:type="character" w:customStyle="1" w:styleId="63">
    <w:name w:val="批注文字 字符1"/>
    <w:link w:val="11"/>
    <w:uiPriority w:val="0"/>
    <w:rPr>
      <w:kern w:val="2"/>
      <w:sz w:val="21"/>
      <w:szCs w:val="24"/>
      <w:lang w:bidi="ar-SA"/>
    </w:rPr>
  </w:style>
  <w:style w:type="character" w:customStyle="1" w:styleId="64">
    <w:name w:val="正文文本 字符"/>
    <w:link w:val="12"/>
    <w:uiPriority w:val="99"/>
    <w:rPr>
      <w:rFonts w:ascii="宋体" w:hAnsi="Arial" w:cs="Arial"/>
      <w:snapToGrid w:val="0"/>
      <w:kern w:val="2"/>
      <w:sz w:val="24"/>
      <w:szCs w:val="21"/>
      <w:lang w:val="zh-CN"/>
    </w:rPr>
  </w:style>
  <w:style w:type="character" w:customStyle="1" w:styleId="65">
    <w:name w:val="正文文本缩进 字符1"/>
    <w:link w:val="13"/>
    <w:uiPriority w:val="0"/>
    <w:rPr>
      <w:kern w:val="2"/>
      <w:sz w:val="21"/>
      <w:szCs w:val="24"/>
    </w:rPr>
  </w:style>
  <w:style w:type="character" w:customStyle="1" w:styleId="66">
    <w:name w:val="正文文本首行缩进 2 字符1"/>
    <w:link w:val="14"/>
    <w:uiPriority w:val="0"/>
  </w:style>
  <w:style w:type="character" w:customStyle="1" w:styleId="67">
    <w:name w:val="纯文本 字符1"/>
    <w:link w:val="17"/>
    <w:locked/>
    <w:uiPriority w:val="0"/>
    <w:rPr>
      <w:rFonts w:ascii="宋体" w:hAnsi="Courier New" w:eastAsia="宋体" w:cs="Courier New"/>
      <w:kern w:val="2"/>
      <w:sz w:val="21"/>
      <w:szCs w:val="21"/>
      <w:lang w:val="en-US" w:eastAsia="zh-CN" w:bidi="ar-SA"/>
    </w:rPr>
  </w:style>
  <w:style w:type="character" w:customStyle="1" w:styleId="68">
    <w:name w:val="正文文本缩进 2 字符"/>
    <w:link w:val="20"/>
    <w:qFormat/>
    <w:locked/>
    <w:uiPriority w:val="0"/>
    <w:rPr>
      <w:kern w:val="2"/>
      <w:sz w:val="21"/>
      <w:szCs w:val="24"/>
    </w:rPr>
  </w:style>
  <w:style w:type="character" w:customStyle="1" w:styleId="69">
    <w:name w:val="页脚 字符"/>
    <w:link w:val="22"/>
    <w:uiPriority w:val="99"/>
    <w:rPr>
      <w:kern w:val="2"/>
      <w:sz w:val="18"/>
      <w:szCs w:val="18"/>
    </w:rPr>
  </w:style>
  <w:style w:type="character" w:customStyle="1" w:styleId="70">
    <w:name w:val="页眉 字符"/>
    <w:link w:val="23"/>
    <w:uiPriority w:val="99"/>
    <w:rPr>
      <w:rFonts w:ascii="宋体"/>
      <w:sz w:val="18"/>
    </w:rPr>
  </w:style>
  <w:style w:type="character" w:customStyle="1" w:styleId="71">
    <w:name w:val="副标题 字符"/>
    <w:link w:val="26"/>
    <w:uiPriority w:val="0"/>
    <w:rPr>
      <w:rFonts w:ascii="Cambria" w:hAnsi="Cambria"/>
      <w:b/>
      <w:bCs/>
      <w:kern w:val="28"/>
      <w:sz w:val="30"/>
      <w:szCs w:val="32"/>
    </w:rPr>
  </w:style>
  <w:style w:type="character" w:customStyle="1" w:styleId="72">
    <w:name w:val="HTML 预设格式 字符"/>
    <w:link w:val="32"/>
    <w:uiPriority w:val="0"/>
    <w:rPr>
      <w:rFonts w:ascii="宋体" w:hAnsi="宋体"/>
      <w:sz w:val="24"/>
      <w:szCs w:val="24"/>
    </w:rPr>
  </w:style>
  <w:style w:type="character" w:customStyle="1" w:styleId="73">
    <w:name w:val="批注主题 字符"/>
    <w:link w:val="35"/>
    <w:uiPriority w:val="0"/>
    <w:rPr>
      <w:b/>
      <w:bCs/>
      <w:kern w:val="2"/>
      <w:sz w:val="21"/>
      <w:szCs w:val="24"/>
      <w:lang w:bidi="ar-SA"/>
    </w:rPr>
  </w:style>
  <w:style w:type="character" w:customStyle="1" w:styleId="74">
    <w:name w:val="正文文本缩进 2 字符1"/>
    <w:uiPriority w:val="0"/>
    <w:rPr>
      <w:kern w:val="2"/>
      <w:sz w:val="21"/>
      <w:szCs w:val="24"/>
    </w:rPr>
  </w:style>
  <w:style w:type="character" w:customStyle="1" w:styleId="75">
    <w:name w:val="font81"/>
    <w:qFormat/>
    <w:uiPriority w:val="0"/>
    <w:rPr>
      <w:rFonts w:ascii="Times" w:hAnsi="Times" w:eastAsia="Times" w:cs="Times"/>
      <w:color w:val="FF0000"/>
      <w:sz w:val="22"/>
      <w:szCs w:val="22"/>
      <w:u w:val="none"/>
    </w:rPr>
  </w:style>
  <w:style w:type="character" w:customStyle="1" w:styleId="76">
    <w:name w:val="正文首行缩进 2 Char"/>
    <w:uiPriority w:val="0"/>
  </w:style>
  <w:style w:type="character" w:customStyle="1" w:styleId="77">
    <w:name w:val="font71"/>
    <w:qFormat/>
    <w:uiPriority w:val="0"/>
    <w:rPr>
      <w:rFonts w:hint="eastAsia" w:ascii="宋体" w:hAnsi="宋体" w:eastAsia="宋体" w:cs="宋体"/>
      <w:color w:val="000000"/>
      <w:sz w:val="24"/>
      <w:szCs w:val="24"/>
      <w:u w:val="none"/>
    </w:rPr>
  </w:style>
  <w:style w:type="character" w:customStyle="1" w:styleId="78">
    <w:name w:val="font31"/>
    <w:qFormat/>
    <w:uiPriority w:val="0"/>
    <w:rPr>
      <w:rFonts w:ascii="Arial" w:hAnsi="Arial" w:cs="Arial"/>
      <w:color w:val="FF0000"/>
      <w:sz w:val="20"/>
      <w:szCs w:val="20"/>
      <w:u w:val="none"/>
    </w:rPr>
  </w:style>
  <w:style w:type="character" w:customStyle="1" w:styleId="79">
    <w:name w:val="font01"/>
    <w:qFormat/>
    <w:uiPriority w:val="0"/>
    <w:rPr>
      <w:rFonts w:hint="eastAsia" w:ascii="宋体" w:hAnsi="宋体" w:eastAsia="宋体" w:cs="宋体"/>
      <w:color w:val="FF0000"/>
      <w:sz w:val="20"/>
      <w:szCs w:val="20"/>
      <w:u w:val="none"/>
    </w:rPr>
  </w:style>
  <w:style w:type="character" w:customStyle="1" w:styleId="80">
    <w:name w:val="正文文本缩进 字符"/>
    <w:uiPriority w:val="0"/>
    <w:rPr>
      <w:kern w:val="2"/>
      <w:sz w:val="21"/>
      <w:szCs w:val="24"/>
    </w:rPr>
  </w:style>
  <w:style w:type="character" w:customStyle="1" w:styleId="81">
    <w:name w:val="批注文字 Char"/>
    <w:uiPriority w:val="0"/>
    <w:rPr>
      <w:kern w:val="2"/>
      <w:sz w:val="21"/>
      <w:szCs w:val="24"/>
      <w:lang w:bidi="ar-SA"/>
    </w:rPr>
  </w:style>
  <w:style w:type="character" w:customStyle="1" w:styleId="82">
    <w:name w:val="正文文本首行缩进 2 字符"/>
    <w:link w:val="83"/>
    <w:uiPriority w:val="0"/>
  </w:style>
  <w:style w:type="paragraph" w:customStyle="1" w:styleId="83">
    <w:name w:val="_Style 79"/>
    <w:basedOn w:val="1"/>
    <w:next w:val="1"/>
    <w:link w:val="82"/>
    <w:uiPriority w:val="0"/>
  </w:style>
  <w:style w:type="character" w:customStyle="1" w:styleId="84">
    <w:name w:val="正文文本缩进 Char"/>
    <w:uiPriority w:val="0"/>
    <w:rPr>
      <w:kern w:val="2"/>
      <w:sz w:val="21"/>
      <w:szCs w:val="24"/>
    </w:rPr>
  </w:style>
  <w:style w:type="character" w:customStyle="1" w:styleId="85">
    <w:name w:val="正文文本缩进 2 Char"/>
    <w:uiPriority w:val="0"/>
    <w:rPr>
      <w:kern w:val="2"/>
      <w:sz w:val="21"/>
      <w:szCs w:val="24"/>
    </w:rPr>
  </w:style>
  <w:style w:type="character" w:customStyle="1" w:styleId="86">
    <w:name w:val="NormalCharacter"/>
    <w:semiHidden/>
    <w:qFormat/>
    <w:uiPriority w:val="0"/>
    <w:rPr>
      <w:rFonts w:ascii="Tahoma" w:hAnsi="Tahoma" w:eastAsia="宋体"/>
      <w:color w:val="000000"/>
      <w:sz w:val="24"/>
      <w:szCs w:val="24"/>
      <w:lang w:val="en-US" w:eastAsia="zh-CN" w:bidi="ar-SA"/>
    </w:rPr>
  </w:style>
  <w:style w:type="character" w:customStyle="1" w:styleId="87">
    <w:name w:val="font111"/>
    <w:qFormat/>
    <w:uiPriority w:val="0"/>
    <w:rPr>
      <w:rFonts w:ascii="新宋体" w:hAnsi="新宋体" w:eastAsia="新宋体" w:cs="新宋体"/>
      <w:b/>
      <w:color w:val="000000"/>
      <w:sz w:val="21"/>
      <w:szCs w:val="21"/>
      <w:u w:val="none"/>
    </w:rPr>
  </w:style>
  <w:style w:type="character" w:customStyle="1" w:styleId="88">
    <w:name w:val="副标题 字符1"/>
    <w:uiPriority w:val="0"/>
    <w:rPr>
      <w:rFonts w:ascii="等线 Light" w:hAnsi="等线 Light" w:cs="Times New Roman"/>
      <w:b/>
      <w:bCs/>
      <w:kern w:val="28"/>
      <w:sz w:val="32"/>
      <w:szCs w:val="32"/>
    </w:rPr>
  </w:style>
  <w:style w:type="character" w:customStyle="1" w:styleId="89">
    <w:name w:val="标题 2 字符"/>
    <w:uiPriority w:val="0"/>
    <w:rPr>
      <w:rFonts w:ascii="宋体"/>
      <w:b/>
      <w:kern w:val="2"/>
      <w:sz w:val="28"/>
    </w:rPr>
  </w:style>
  <w:style w:type="character" w:customStyle="1" w:styleId="90">
    <w:name w:val="font12"/>
    <w:qFormat/>
    <w:uiPriority w:val="0"/>
    <w:rPr>
      <w:rFonts w:hint="default" w:ascii="Times New Roman" w:hAnsi="Times New Roman" w:cs="Times New Roman"/>
      <w:color w:val="000000"/>
      <w:sz w:val="21"/>
      <w:szCs w:val="21"/>
      <w:u w:val="none"/>
    </w:rPr>
  </w:style>
  <w:style w:type="character" w:customStyle="1" w:styleId="91">
    <w:name w:val="font181"/>
    <w:uiPriority w:val="0"/>
    <w:rPr>
      <w:rFonts w:hint="eastAsia" w:ascii="宋体" w:hAnsi="宋体" w:eastAsia="宋体" w:cs="宋体"/>
      <w:color w:val="000000"/>
      <w:sz w:val="20"/>
      <w:szCs w:val="20"/>
      <w:u w:val="none"/>
    </w:rPr>
  </w:style>
  <w:style w:type="character" w:customStyle="1" w:styleId="92">
    <w:name w:val="普通文字 Char Char Char1"/>
    <w:aliases w:val="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11 Char,普通文字7 Ch"/>
    <w:uiPriority w:val="0"/>
    <w:rPr>
      <w:rFonts w:ascii="宋体" w:hAnsi="Courier New" w:eastAsia="宋体"/>
      <w:kern w:val="2"/>
      <w:sz w:val="21"/>
      <w:lang w:val="en-US" w:eastAsia="zh-CN" w:bidi="ar-SA"/>
    </w:rPr>
  </w:style>
  <w:style w:type="character" w:customStyle="1" w:styleId="93">
    <w:name w:val="10"/>
    <w:uiPriority w:val="0"/>
    <w:rPr>
      <w:rFonts w:hint="default" w:ascii="Times New Roman" w:hAnsi="Times New Roman" w:cs="Times New Roman"/>
    </w:rPr>
  </w:style>
  <w:style w:type="character" w:customStyle="1" w:styleId="94">
    <w:name w:val="A6"/>
    <w:uiPriority w:val="0"/>
    <w:rPr>
      <w:rFonts w:cs="微软雅黑"/>
      <w:color w:val="000000"/>
      <w:sz w:val="18"/>
      <w:szCs w:val="18"/>
    </w:rPr>
  </w:style>
  <w:style w:type="character" w:customStyle="1" w:styleId="95">
    <w:name w:val="HTML 预设格式 字符1"/>
    <w:uiPriority w:val="0"/>
    <w:rPr>
      <w:rFonts w:ascii="Courier New" w:hAnsi="Courier New" w:cs="Courier New"/>
      <w:kern w:val="2"/>
    </w:rPr>
  </w:style>
  <w:style w:type="character" w:customStyle="1" w:styleId="96">
    <w:name w:val=" Char Char26"/>
    <w:qFormat/>
    <w:uiPriority w:val="0"/>
    <w:rPr>
      <w:rFonts w:ascii="宋体" w:hAnsi="Courier New" w:eastAsia="宋体" w:cs="Arial"/>
      <w:snapToGrid w:val="0"/>
      <w:kern w:val="2"/>
      <w:sz w:val="21"/>
      <w:szCs w:val="21"/>
      <w:lang w:val="en-US" w:eastAsia="zh-CN" w:bidi="ar-SA"/>
    </w:rPr>
  </w:style>
  <w:style w:type="character" w:customStyle="1" w:styleId="97">
    <w:name w:val="标题 1 字符"/>
    <w:uiPriority w:val="0"/>
    <w:rPr>
      <w:rFonts w:ascii="宋体" w:hAnsi="宋体"/>
      <w:b/>
      <w:kern w:val="2"/>
      <w:sz w:val="30"/>
    </w:rPr>
  </w:style>
  <w:style w:type="character" w:customStyle="1" w:styleId="98">
    <w:name w:val="font61"/>
    <w:uiPriority w:val="0"/>
    <w:rPr>
      <w:rFonts w:hint="eastAsia" w:ascii="宋体" w:hAnsi="宋体" w:eastAsia="宋体" w:cs="宋体"/>
      <w:color w:val="000000"/>
      <w:sz w:val="20"/>
      <w:szCs w:val="20"/>
      <w:u w:val="none"/>
    </w:rPr>
  </w:style>
  <w:style w:type="character" w:customStyle="1" w:styleId="99">
    <w:name w:val="font51"/>
    <w:qFormat/>
    <w:uiPriority w:val="0"/>
    <w:rPr>
      <w:rFonts w:hint="eastAsia" w:ascii="宋体" w:hAnsi="宋体" w:eastAsia="宋体" w:cs="宋体"/>
      <w:color w:val="000000"/>
      <w:sz w:val="24"/>
      <w:szCs w:val="24"/>
      <w:u w:val="none"/>
    </w:rPr>
  </w:style>
  <w:style w:type="character" w:customStyle="1" w:styleId="100">
    <w:name w:val="font41"/>
    <w:qFormat/>
    <w:uiPriority w:val="99"/>
    <w:rPr>
      <w:rFonts w:hint="eastAsia" w:ascii="宋体" w:hAnsi="宋体" w:eastAsia="宋体" w:cs="宋体"/>
      <w:color w:val="000000"/>
      <w:sz w:val="20"/>
      <w:szCs w:val="20"/>
      <w:u w:val="none"/>
    </w:rPr>
  </w:style>
  <w:style w:type="character" w:customStyle="1" w:styleId="101">
    <w:name w:val="font101"/>
    <w:uiPriority w:val="0"/>
    <w:rPr>
      <w:rFonts w:hint="eastAsia" w:ascii="宋体" w:hAnsi="宋体" w:eastAsia="宋体" w:cs="宋体"/>
      <w:color w:val="000000"/>
      <w:sz w:val="20"/>
      <w:szCs w:val="20"/>
      <w:u w:val="none"/>
    </w:rPr>
  </w:style>
  <w:style w:type="character" w:customStyle="1" w:styleId="102">
    <w:name w:val="标题 1 Char"/>
    <w:uiPriority w:val="99"/>
    <w:rPr>
      <w:rFonts w:ascii="宋体" w:hAnsi="宋体"/>
      <w:b/>
      <w:kern w:val="2"/>
      <w:sz w:val="30"/>
    </w:rPr>
  </w:style>
  <w:style w:type="character" w:customStyle="1" w:styleId="103">
    <w:name w:val="font11"/>
    <w:uiPriority w:val="0"/>
    <w:rPr>
      <w:rFonts w:hint="eastAsia" w:ascii="宋体" w:hAnsi="宋体" w:eastAsia="宋体" w:cs="宋体"/>
      <w:color w:val="FF0000"/>
      <w:sz w:val="20"/>
      <w:szCs w:val="20"/>
      <w:u w:val="none"/>
    </w:rPr>
  </w:style>
  <w:style w:type="character" w:customStyle="1" w:styleId="104">
    <w:name w:val="列表段落 字符"/>
    <w:link w:val="105"/>
    <w:qFormat/>
    <w:locked/>
    <w:uiPriority w:val="34"/>
    <w:rPr>
      <w:rFonts w:ascii="Calibri" w:hAnsi="Calibri"/>
      <w:kern w:val="2"/>
      <w:sz w:val="21"/>
      <w:szCs w:val="22"/>
    </w:rPr>
  </w:style>
  <w:style w:type="paragraph" w:styleId="105">
    <w:name w:val="List Paragraph"/>
    <w:basedOn w:val="1"/>
    <w:link w:val="104"/>
    <w:qFormat/>
    <w:uiPriority w:val="34"/>
    <w:pPr>
      <w:ind w:firstLine="420" w:firstLineChars="200"/>
    </w:pPr>
    <w:rPr>
      <w:rFonts w:ascii="Calibri" w:hAnsi="Calibri"/>
      <w:szCs w:val="22"/>
    </w:rPr>
  </w:style>
  <w:style w:type="character" w:customStyle="1" w:styleId="106">
    <w:name w:val="纯文本 Char"/>
    <w:locked/>
    <w:uiPriority w:val="0"/>
    <w:rPr>
      <w:rFonts w:ascii="宋体" w:hAnsi="Courier New" w:eastAsia="宋体" w:cs="Courier New"/>
      <w:kern w:val="2"/>
      <w:sz w:val="21"/>
      <w:szCs w:val="21"/>
      <w:lang w:val="en-US" w:eastAsia="zh-CN" w:bidi="ar-SA"/>
    </w:rPr>
  </w:style>
  <w:style w:type="character" w:customStyle="1" w:styleId="107">
    <w:name w:val="批注文字 字符"/>
    <w:uiPriority w:val="0"/>
    <w:rPr>
      <w:kern w:val="2"/>
      <w:sz w:val="21"/>
      <w:szCs w:val="24"/>
      <w:lang w:bidi="ar-SA"/>
    </w:rPr>
  </w:style>
  <w:style w:type="character" w:customStyle="1" w:styleId="108">
    <w:name w:val="font131"/>
    <w:uiPriority w:val="0"/>
    <w:rPr>
      <w:rFonts w:hint="eastAsia" w:ascii="宋体" w:hAnsi="宋体" w:eastAsia="宋体" w:cs="宋体"/>
      <w:color w:val="000000"/>
      <w:sz w:val="20"/>
      <w:szCs w:val="20"/>
      <w:u w:val="none"/>
    </w:rPr>
  </w:style>
  <w:style w:type="character" w:customStyle="1" w:styleId="109">
    <w:name w:val="font91"/>
    <w:uiPriority w:val="0"/>
    <w:rPr>
      <w:rFonts w:hint="eastAsia" w:ascii="宋体" w:hAnsi="宋体" w:eastAsia="宋体" w:cs="宋体"/>
      <w:color w:val="000000"/>
      <w:sz w:val="20"/>
      <w:szCs w:val="20"/>
      <w:u w:val="none"/>
    </w:rPr>
  </w:style>
  <w:style w:type="character" w:customStyle="1" w:styleId="110">
    <w:name w:val="fontstyle01"/>
    <w:qFormat/>
    <w:uiPriority w:val="0"/>
    <w:rPr>
      <w:rFonts w:hint="eastAsia" w:ascii="宋体" w:hAnsi="宋体"/>
      <w:color w:val="000000"/>
      <w:sz w:val="22"/>
      <w:szCs w:val="22"/>
    </w:rPr>
  </w:style>
  <w:style w:type="character" w:customStyle="1" w:styleId="111">
    <w:name w:val="A8"/>
    <w:qFormat/>
    <w:uiPriority w:val="0"/>
    <w:rPr>
      <w:rFonts w:cs="微软雅黑"/>
      <w:color w:val="000000"/>
      <w:sz w:val="16"/>
      <w:szCs w:val="16"/>
    </w:rPr>
  </w:style>
  <w:style w:type="character" w:customStyle="1" w:styleId="112">
    <w:name w:val="正文2 Char Char"/>
    <w:link w:val="113"/>
    <w:qFormat/>
    <w:uiPriority w:val="0"/>
    <w:rPr>
      <w:rFonts w:eastAsia="宋体"/>
      <w:kern w:val="2"/>
      <w:sz w:val="24"/>
      <w:lang w:val="en-US" w:eastAsia="zh-CN" w:bidi="ar-SA"/>
    </w:rPr>
  </w:style>
  <w:style w:type="paragraph" w:customStyle="1" w:styleId="113">
    <w:name w:val="正文2"/>
    <w:basedOn w:val="31"/>
    <w:link w:val="112"/>
    <w:uiPriority w:val="0"/>
    <w:pPr>
      <w:adjustRightInd w:val="0"/>
      <w:spacing w:before="156" w:line="360" w:lineRule="auto"/>
      <w:ind w:firstLine="510" w:firstLineChars="200"/>
    </w:pPr>
    <w:rPr>
      <w:sz w:val="24"/>
      <w:szCs w:val="20"/>
    </w:rPr>
  </w:style>
  <w:style w:type="character" w:customStyle="1" w:styleId="114">
    <w:name w:val="15"/>
    <w:uiPriority w:val="0"/>
    <w:rPr>
      <w:rFonts w:hint="default" w:ascii="Times New Roman" w:hAnsi="Times New Roman" w:cs="Times New Roman"/>
    </w:rPr>
  </w:style>
  <w:style w:type="character" w:customStyle="1" w:styleId="115">
    <w:name w:val="zbggmain style9"/>
    <w:qFormat/>
    <w:uiPriority w:val="0"/>
    <w:rPr>
      <w:rFonts w:ascii="Tahoma" w:hAnsi="Tahoma"/>
      <w:sz w:val="24"/>
      <w:szCs w:val="20"/>
    </w:rPr>
  </w:style>
  <w:style w:type="character" w:customStyle="1" w:styleId="116">
    <w:name w:val="标题 2 Char"/>
    <w:uiPriority w:val="9"/>
    <w:rPr>
      <w:rFonts w:ascii="宋体"/>
      <w:b/>
      <w:kern w:val="2"/>
      <w:sz w:val="28"/>
    </w:rPr>
  </w:style>
  <w:style w:type="character" w:customStyle="1" w:styleId="117">
    <w:name w:val="纯文本 字符"/>
    <w:locked/>
    <w:uiPriority w:val="0"/>
    <w:rPr>
      <w:rFonts w:ascii="宋体" w:hAnsi="Courier New" w:eastAsia="宋体" w:cs="Courier New"/>
      <w:kern w:val="2"/>
      <w:sz w:val="21"/>
      <w:szCs w:val="21"/>
      <w:lang w:val="en-US" w:eastAsia="zh-CN" w:bidi="ar-SA"/>
    </w:rPr>
  </w:style>
  <w:style w:type="character" w:customStyle="1" w:styleId="118">
    <w:name w:val="font21"/>
    <w:uiPriority w:val="0"/>
    <w:rPr>
      <w:rFonts w:hint="eastAsia" w:ascii="宋体" w:hAnsi="宋体" w:eastAsia="宋体" w:cs="宋体"/>
      <w:color w:val="FF0000"/>
      <w:sz w:val="22"/>
      <w:szCs w:val="22"/>
      <w:u w:val="none"/>
    </w:rPr>
  </w:style>
  <w:style w:type="character" w:customStyle="1" w:styleId="119">
    <w:name w:val="font171"/>
    <w:uiPriority w:val="0"/>
    <w:rPr>
      <w:rFonts w:hint="eastAsia" w:ascii="宋体" w:hAnsi="宋体" w:eastAsia="宋体" w:cs="宋体"/>
      <w:color w:val="000000"/>
      <w:sz w:val="20"/>
      <w:szCs w:val="20"/>
      <w:u w:val="none"/>
    </w:rPr>
  </w:style>
  <w:style w:type="paragraph" w:customStyle="1" w:styleId="120">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21">
    <w:name w:val="xl83"/>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2">
    <w:name w:val="font7"/>
    <w:basedOn w:val="1"/>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123">
    <w:name w:val="xl84"/>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4">
    <w:name w:val="xl6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25">
    <w:name w:val="xl63"/>
    <w:basedOn w:val="1"/>
    <w:uiPriority w:val="0"/>
    <w:pPr>
      <w:widowControl/>
      <w:spacing w:before="100" w:beforeAutospacing="1" w:after="100" w:afterAutospacing="1"/>
      <w:jc w:val="left"/>
    </w:pPr>
    <w:rPr>
      <w:rFonts w:ascii="宋体" w:hAnsi="宋体" w:cs="宋体"/>
      <w:kern w:val="0"/>
      <w:sz w:val="24"/>
      <w:szCs w:val="21"/>
    </w:rPr>
  </w:style>
  <w:style w:type="paragraph" w:customStyle="1" w:styleId="126">
    <w:name w:val="font8"/>
    <w:basedOn w:val="1"/>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127">
    <w:name w:val="WPSOffice手动目录 2"/>
    <w:uiPriority w:val="0"/>
    <w:pPr>
      <w:ind w:leftChars="200"/>
    </w:pPr>
    <w:rPr>
      <w:lang w:val="en-US" w:eastAsia="zh-CN" w:bidi="ar-SA"/>
    </w:rPr>
  </w:style>
  <w:style w:type="paragraph" w:customStyle="1" w:styleId="128">
    <w:name w:val="xl8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9">
    <w:name w:val="样式 首行缩进:  0 字符"/>
    <w:basedOn w:val="1"/>
    <w:qFormat/>
    <w:uiPriority w:val="0"/>
    <w:pPr>
      <w:spacing w:line="360" w:lineRule="auto"/>
      <w:ind w:firstLine="200" w:firstLineChars="200"/>
    </w:pPr>
    <w:rPr>
      <w:rFonts w:cs="宋体"/>
      <w:kern w:val="0"/>
      <w:sz w:val="24"/>
      <w:szCs w:val="20"/>
    </w:rPr>
  </w:style>
  <w:style w:type="paragraph" w:customStyle="1" w:styleId="130">
    <w:name w:val="正文（缩进）"/>
    <w:basedOn w:val="1"/>
    <w:qFormat/>
    <w:uiPriority w:val="0"/>
    <w:pPr>
      <w:spacing w:beforeLines="50" w:afterLines="50"/>
      <w:ind w:firstLine="480"/>
    </w:pPr>
    <w:rPr>
      <w:rFonts w:cs="黑体"/>
      <w:kern w:val="0"/>
      <w:sz w:val="20"/>
      <w:szCs w:val="21"/>
    </w:rPr>
  </w:style>
  <w:style w:type="paragraph" w:customStyle="1" w:styleId="131">
    <w:name w:val="xl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18"/>
      <w:szCs w:val="18"/>
    </w:rPr>
  </w:style>
  <w:style w:type="paragraph" w:customStyle="1" w:styleId="132">
    <w:name w:val="正文缩进2字符"/>
    <w:basedOn w:val="1"/>
    <w:qFormat/>
    <w:uiPriority w:val="0"/>
    <w:pPr>
      <w:spacing w:line="360" w:lineRule="auto"/>
      <w:ind w:firstLine="200" w:firstLineChars="200"/>
      <w:jc w:val="left"/>
    </w:pPr>
    <w:rPr>
      <w:rFonts w:cs="宋体"/>
      <w:kern w:val="0"/>
      <w:sz w:val="24"/>
      <w:szCs w:val="20"/>
    </w:rPr>
  </w:style>
  <w:style w:type="paragraph" w:customStyle="1" w:styleId="133">
    <w:name w:val="Sp-正文"/>
    <w:basedOn w:val="1"/>
    <w:qFormat/>
    <w:uiPriority w:val="0"/>
    <w:pPr>
      <w:spacing w:before="120" w:after="120" w:line="440" w:lineRule="exact"/>
    </w:pPr>
    <w:rPr>
      <w:rFonts w:ascii="宋体" w:hAnsi="宋体" w:cs="宋体"/>
      <w:color w:val="000000"/>
      <w:kern w:val="0"/>
      <w:sz w:val="20"/>
      <w:szCs w:val="21"/>
    </w:rPr>
  </w:style>
  <w:style w:type="paragraph" w:customStyle="1" w:styleId="134">
    <w:name w:val="xl8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等线 Light" w:hAnsi="等线 Light" w:eastAsia="等线 Light" w:cs="宋体"/>
      <w:kern w:val="0"/>
      <w:sz w:val="20"/>
      <w:szCs w:val="20"/>
    </w:rPr>
  </w:style>
  <w:style w:type="paragraph" w:customStyle="1" w:styleId="135">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32"/>
      <w:szCs w:val="32"/>
    </w:rPr>
  </w:style>
  <w:style w:type="paragraph" w:customStyle="1" w:styleId="136">
    <w:name w:val="a2"/>
    <w:basedOn w:val="1"/>
    <w:qFormat/>
    <w:uiPriority w:val="0"/>
    <w:pPr>
      <w:widowControl/>
      <w:spacing w:before="100" w:beforeAutospacing="1" w:after="100" w:afterAutospacing="1"/>
      <w:jc w:val="left"/>
    </w:pPr>
    <w:rPr>
      <w:rFonts w:ascii="宋体" w:hAnsi="宋体" w:cs="宋体"/>
      <w:sz w:val="24"/>
    </w:rPr>
  </w:style>
  <w:style w:type="paragraph" w:customStyle="1" w:styleId="137">
    <w:name w:val="xl85"/>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8">
    <w:name w:val="Pa21"/>
    <w:basedOn w:val="1"/>
    <w:next w:val="1"/>
    <w:qFormat/>
    <w:uiPriority w:val="0"/>
    <w:pPr>
      <w:autoSpaceDE w:val="0"/>
      <w:autoSpaceDN w:val="0"/>
      <w:adjustRightInd w:val="0"/>
      <w:spacing w:line="161" w:lineRule="atLeast"/>
      <w:jc w:val="left"/>
    </w:pPr>
    <w:rPr>
      <w:rFonts w:ascii="微软雅黑緩.." w:eastAsia="微软雅黑緩.."/>
      <w:kern w:val="0"/>
      <w:sz w:val="24"/>
    </w:rPr>
  </w:style>
  <w:style w:type="paragraph" w:customStyle="1" w:styleId="139">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40">
    <w:name w:val="xl8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1">
    <w:name w:val="BodyTextIndent"/>
    <w:basedOn w:val="1"/>
    <w:next w:val="142"/>
    <w:qFormat/>
    <w:uiPriority w:val="0"/>
    <w:pPr>
      <w:spacing w:line="360" w:lineRule="auto"/>
      <w:ind w:firstLine="490"/>
      <w:jc w:val="left"/>
    </w:pPr>
    <w:rPr>
      <w:rFonts w:ascii="宋体" w:hAnsi="宋体"/>
      <w:sz w:val="24"/>
    </w:rPr>
  </w:style>
  <w:style w:type="paragraph" w:customStyle="1" w:styleId="142">
    <w:name w:val="BodyText1I2"/>
    <w:basedOn w:val="141"/>
    <w:qFormat/>
    <w:uiPriority w:val="0"/>
    <w:pPr>
      <w:ind w:firstLine="420"/>
    </w:pPr>
    <w:rPr>
      <w:sz w:val="21"/>
    </w:rPr>
  </w:style>
  <w:style w:type="paragraph" w:customStyle="1" w:styleId="143">
    <w:name w:val="Plain Text"/>
    <w:basedOn w:val="1"/>
    <w:qFormat/>
    <w:uiPriority w:val="0"/>
    <w:rPr>
      <w:rFonts w:hint="eastAsia" w:ascii="宋体" w:hAnsi="Courier New" w:cs="宋体"/>
      <w:kern w:val="0"/>
      <w:sz w:val="20"/>
      <w:szCs w:val="20"/>
    </w:rPr>
  </w:style>
  <w:style w:type="paragraph" w:customStyle="1" w:styleId="144">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styleId="145">
    <w:name w:val="No Spacing"/>
    <w:qFormat/>
    <w:uiPriority w:val="1"/>
    <w:pPr>
      <w:widowControl w:val="0"/>
      <w:adjustRightInd w:val="0"/>
      <w:snapToGrid w:val="0"/>
      <w:spacing w:line="360" w:lineRule="auto"/>
    </w:pPr>
    <w:rPr>
      <w:kern w:val="2"/>
      <w:sz w:val="21"/>
      <w:szCs w:val="22"/>
      <w:lang w:val="en-US" w:eastAsia="zh-CN" w:bidi="ar-SA"/>
    </w:rPr>
  </w:style>
  <w:style w:type="paragraph" w:customStyle="1" w:styleId="146">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47">
    <w:name w:val="Normal"/>
    <w:basedOn w:val="1"/>
    <w:uiPriority w:val="0"/>
    <w:rPr>
      <w:rFonts w:ascii="宋体" w:hAnsi="宋体" w:cs="宋体"/>
      <w:szCs w:val="21"/>
    </w:rPr>
  </w:style>
  <w:style w:type="paragraph" w:customStyle="1" w:styleId="148">
    <w:name w:val="xl8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32"/>
      <w:szCs w:val="32"/>
    </w:rPr>
  </w:style>
  <w:style w:type="paragraph" w:customStyle="1" w:styleId="150">
    <w:name w:val="Char Char Char Char1"/>
    <w:basedOn w:val="1"/>
    <w:uiPriority w:val="0"/>
    <w:rPr>
      <w:rFonts w:ascii="Tahoma" w:hAnsi="Tahoma"/>
      <w:sz w:val="24"/>
      <w:szCs w:val="20"/>
    </w:rPr>
  </w:style>
  <w:style w:type="paragraph" w:customStyle="1" w:styleId="151">
    <w:name w:val="表格表头"/>
    <w:basedOn w:val="1"/>
    <w:qFormat/>
    <w:uiPriority w:val="0"/>
    <w:pPr>
      <w:spacing w:line="360" w:lineRule="auto"/>
      <w:jc w:val="center"/>
      <w:outlineLvl w:val="0"/>
    </w:pPr>
    <w:rPr>
      <w:rFonts w:ascii="宋体" w:hAnsi="宋体" w:eastAsia="黑体" w:cs="宋体"/>
      <w:kern w:val="0"/>
      <w:sz w:val="24"/>
      <w:szCs w:val="21"/>
    </w:rPr>
  </w:style>
  <w:style w:type="paragraph" w:customStyle="1" w:styleId="152">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53">
    <w:name w:val="表1"/>
    <w:basedOn w:val="1"/>
    <w:qFormat/>
    <w:uiPriority w:val="0"/>
    <w:pPr>
      <w:numPr>
        <w:ilvl w:val="0"/>
        <w:numId w:val="3"/>
      </w:numPr>
      <w:ind w:left="0" w:firstLine="0"/>
      <w:jc w:val="center"/>
    </w:pPr>
    <w:rPr>
      <w:sz w:val="21"/>
    </w:rPr>
  </w:style>
  <w:style w:type="paragraph" w:customStyle="1" w:styleId="154">
    <w:name w:val="xl8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55">
    <w:name w:val="Default"/>
    <w:qFormat/>
    <w:uiPriority w:val="0"/>
    <w:pPr>
      <w:widowControl w:val="0"/>
      <w:autoSpaceDE w:val="0"/>
      <w:autoSpaceDN w:val="0"/>
      <w:adjustRightInd w:val="0"/>
    </w:pPr>
    <w:rPr>
      <w:rFonts w:ascii="微软雅黑" w:eastAsia="微软雅黑" w:cs="微软雅黑"/>
      <w:color w:val="000000"/>
      <w:sz w:val="24"/>
      <w:szCs w:val="24"/>
      <w:lang w:val="en-US" w:eastAsia="zh-CN" w:bidi="ar-SA"/>
    </w:rPr>
  </w:style>
  <w:style w:type="paragraph" w:customStyle="1" w:styleId="156">
    <w:name w:val="WPSOffice手动目录 1"/>
    <w:uiPriority w:val="0"/>
    <w:rPr>
      <w:lang w:val="en-US" w:eastAsia="zh-CN" w:bidi="ar-SA"/>
    </w:rPr>
  </w:style>
  <w:style w:type="paragraph" w:customStyle="1" w:styleId="157">
    <w:name w:val="heading 2"/>
    <w:basedOn w:val="1"/>
    <w:next w:val="3"/>
    <w:qFormat/>
    <w:uiPriority w:val="0"/>
    <w:pPr>
      <w:keepNext/>
      <w:spacing w:line="216" w:lineRule="auto"/>
      <w:outlineLvl w:val="1"/>
    </w:pPr>
    <w:rPr>
      <w:rFonts w:hint="eastAsia" w:ascii="宋体" w:cs="宋体"/>
      <w:b/>
      <w:kern w:val="0"/>
      <w:sz w:val="28"/>
      <w:szCs w:val="20"/>
    </w:rPr>
  </w:style>
  <w:style w:type="paragraph" w:customStyle="1" w:styleId="158">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59">
    <w:name w:val="xl7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60">
    <w:name w:val="列出段落1"/>
    <w:basedOn w:val="1"/>
    <w:qFormat/>
    <w:uiPriority w:val="0"/>
    <w:pPr>
      <w:ind w:firstLine="420" w:firstLineChars="200"/>
    </w:pPr>
  </w:style>
  <w:style w:type="paragraph" w:customStyle="1" w:styleId="16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2">
    <w:name w:val="图片"/>
    <w:basedOn w:val="1"/>
    <w:qFormat/>
    <w:uiPriority w:val="0"/>
    <w:pPr>
      <w:ind w:firstLine="0" w:firstLineChars="0"/>
      <w:jc w:val="center"/>
    </w:pPr>
    <w:rPr>
      <w:rFonts w:ascii="宋体" w:hAnsi="宋体" w:eastAsia="宋体"/>
      <w:szCs w:val="24"/>
    </w:rPr>
  </w:style>
  <w:style w:type="paragraph" w:customStyle="1" w:styleId="163">
    <w:name w:val="Pa3"/>
    <w:basedOn w:val="1"/>
    <w:next w:val="1"/>
    <w:qFormat/>
    <w:uiPriority w:val="0"/>
    <w:pPr>
      <w:autoSpaceDE w:val="0"/>
      <w:autoSpaceDN w:val="0"/>
      <w:adjustRightInd w:val="0"/>
      <w:spacing w:line="201" w:lineRule="atLeast"/>
      <w:jc w:val="left"/>
    </w:pPr>
    <w:rPr>
      <w:rFonts w:ascii="微软雅黑" w:eastAsia="微软雅黑"/>
      <w:kern w:val="0"/>
      <w:sz w:val="24"/>
    </w:rPr>
  </w:style>
  <w:style w:type="paragraph" w:customStyle="1" w:styleId="164">
    <w:name w:val="xl6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5">
    <w:name w:val=" Char Char2 Char"/>
    <w:basedOn w:val="1"/>
    <w:uiPriority w:val="0"/>
    <w:pPr>
      <w:keepNext/>
      <w:keepLines/>
      <w:pageBreakBefore/>
      <w:tabs>
        <w:tab w:val="left" w:pos="845"/>
      </w:tabs>
      <w:ind w:left="845" w:hanging="420"/>
    </w:pPr>
    <w:rPr>
      <w:rFonts w:ascii="Tahoma" w:hAnsi="Tahoma" w:cs="宋体"/>
      <w:kern w:val="0"/>
      <w:sz w:val="24"/>
      <w:szCs w:val="20"/>
    </w:rPr>
  </w:style>
  <w:style w:type="paragraph" w:customStyle="1" w:styleId="166">
    <w:name w:val="BodyText1I"/>
    <w:basedOn w:val="167"/>
    <w:qFormat/>
    <w:uiPriority w:val="0"/>
    <w:pPr>
      <w:spacing w:after="120" w:line="240" w:lineRule="auto"/>
      <w:ind w:firstLine="420" w:firstLineChars="100"/>
      <w:jc w:val="both"/>
    </w:pPr>
  </w:style>
  <w:style w:type="paragraph" w:customStyle="1" w:styleId="167">
    <w:name w:val="BodyText"/>
    <w:basedOn w:val="1"/>
    <w:qFormat/>
    <w:uiPriority w:val="0"/>
    <w:pPr>
      <w:spacing w:after="120" w:line="240" w:lineRule="auto"/>
      <w:jc w:val="both"/>
    </w:pPr>
  </w:style>
  <w:style w:type="paragraph" w:customStyle="1" w:styleId="168">
    <w:name w:val="表格正文"/>
    <w:basedOn w:val="1"/>
    <w:qFormat/>
    <w:uiPriority w:val="0"/>
    <w:pPr>
      <w:spacing w:line="360" w:lineRule="auto"/>
      <w:jc w:val="left"/>
    </w:pPr>
    <w:rPr>
      <w:rFonts w:ascii="Arial" w:hAnsi="Arial" w:cs="宋体"/>
      <w:kern w:val="0"/>
      <w:sz w:val="20"/>
      <w:szCs w:val="20"/>
    </w:rPr>
  </w:style>
  <w:style w:type="paragraph" w:customStyle="1" w:styleId="169">
    <w:name w:val="_Style 45"/>
    <w:next w:val="1"/>
    <w:uiPriority w:val="0"/>
    <w:pPr>
      <w:widowControl w:val="0"/>
      <w:jc w:val="both"/>
    </w:pPr>
    <w:rPr>
      <w:kern w:val="2"/>
      <w:sz w:val="21"/>
      <w:szCs w:val="24"/>
      <w:lang w:val="en-US" w:eastAsia="zh-CN" w:bidi="ar-SA"/>
    </w:rPr>
  </w:style>
  <w:style w:type="paragraph" w:customStyle="1" w:styleId="170">
    <w:name w:val="hik 正文"/>
    <w:basedOn w:val="1"/>
    <w:qFormat/>
    <w:uiPriority w:val="0"/>
    <w:pPr>
      <w:ind w:firstLine="480"/>
    </w:pPr>
    <w:rPr>
      <w:szCs w:val="24"/>
    </w:rPr>
  </w:style>
  <w:style w:type="paragraph" w:customStyle="1" w:styleId="171">
    <w:name w:val="文档正文"/>
    <w:basedOn w:val="1"/>
    <w:qFormat/>
    <w:uiPriority w:val="0"/>
    <w:pPr>
      <w:ind w:firstLine="567"/>
    </w:pPr>
    <w:rPr>
      <w:rFonts w:ascii="长城仿宋" w:eastAsia="长城仿宋"/>
      <w:sz w:val="28"/>
    </w:rPr>
  </w:style>
  <w:style w:type="paragraph" w:customStyle="1" w:styleId="172">
    <w:name w:val="编号，小四"/>
    <w:basedOn w:val="1"/>
    <w:qFormat/>
    <w:uiPriority w:val="0"/>
    <w:pPr>
      <w:numPr>
        <w:ilvl w:val="0"/>
        <w:numId w:val="4"/>
      </w:numPr>
      <w:spacing w:line="360" w:lineRule="auto"/>
    </w:pPr>
    <w:rPr>
      <w:rFonts w:ascii="Arial" w:hAnsi="Arial" w:cs="宋体"/>
      <w:kern w:val="0"/>
      <w:sz w:val="24"/>
      <w:szCs w:val="20"/>
    </w:rPr>
  </w:style>
  <w:style w:type="paragraph" w:customStyle="1" w:styleId="173">
    <w:name w:val="样式 表格左对齐 + 五号"/>
    <w:basedOn w:val="174"/>
    <w:qFormat/>
    <w:uiPriority w:val="0"/>
    <w:pPr>
      <w:jc w:val="left"/>
    </w:pPr>
    <w:rPr>
      <w:sz w:val="21"/>
    </w:rPr>
  </w:style>
  <w:style w:type="paragraph" w:customStyle="1" w:styleId="174">
    <w:name w:val="表格居中"/>
    <w:basedOn w:val="1"/>
    <w:qFormat/>
    <w:uiPriority w:val="0"/>
    <w:pPr>
      <w:spacing w:line="360" w:lineRule="auto"/>
      <w:jc w:val="center"/>
    </w:pPr>
    <w:rPr>
      <w:rFonts w:ascii="Times New Roman" w:hAnsi="Times New Roman"/>
      <w:sz w:val="24"/>
      <w:szCs w:val="20"/>
    </w:rPr>
  </w:style>
  <w:style w:type="paragraph" w:customStyle="1" w:styleId="175">
    <w:name w:val="*正文"/>
    <w:basedOn w:val="1"/>
    <w:qFormat/>
    <w:uiPriority w:val="0"/>
    <w:pPr>
      <w:spacing w:line="300" w:lineRule="auto"/>
      <w:ind w:firstLine="480"/>
    </w:pPr>
    <w:rPr>
      <w:rFonts w:ascii="宋体" w:hAnsi="宋体" w:cs="仿宋_GB2312"/>
      <w:kern w:val="0"/>
      <w:sz w:val="20"/>
      <w:szCs w:val="21"/>
    </w:rPr>
  </w:style>
  <w:style w:type="paragraph" w:customStyle="1" w:styleId="176">
    <w:name w:val="图标标注"/>
    <w:basedOn w:val="170"/>
    <w:qFormat/>
    <w:uiPriority w:val="0"/>
    <w:pPr>
      <w:ind w:firstLine="0" w:firstLineChars="0"/>
      <w:jc w:val="center"/>
    </w:pPr>
    <w:rPr>
      <w:rFonts w:eastAsia="黑体"/>
      <w:b/>
      <w:sz w:val="21"/>
    </w:rPr>
  </w:style>
  <w:style w:type="paragraph" w:customStyle="1" w:styleId="177">
    <w:name w:val="样式1"/>
    <w:basedOn w:val="1"/>
    <w:uiPriority w:val="0"/>
    <w:pPr>
      <w:spacing w:line="240" w:lineRule="auto"/>
      <w:ind w:firstLine="0" w:firstLineChars="0"/>
    </w:pPr>
    <w:rPr>
      <w:rFonts w:ascii="Times New Roman" w:hAnsi="Times New Roman"/>
    </w:rPr>
  </w:style>
  <w:style w:type="paragraph" w:customStyle="1" w:styleId="178">
    <w:name w:val="p0"/>
    <w:basedOn w:val="1"/>
    <w:qFormat/>
    <w:uiPriority w:val="99"/>
    <w:pPr>
      <w:widowControl/>
    </w:pPr>
    <w:rPr>
      <w:rFonts w:ascii="Calibri" w:hAnsi="Calibri" w:cs="宋体"/>
      <w:kern w:val="0"/>
      <w:sz w:val="20"/>
      <w:szCs w:val="21"/>
    </w:rPr>
  </w:style>
  <w:style w:type="paragraph" w:customStyle="1" w:styleId="179">
    <w:name w:val="xl87"/>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0">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1">
    <w:name w:val="表格文字"/>
    <w:basedOn w:val="1"/>
    <w:next w:val="12"/>
    <w:qFormat/>
    <w:uiPriority w:val="0"/>
    <w:pPr>
      <w:adjustRightInd w:val="0"/>
      <w:spacing w:line="420" w:lineRule="atLeast"/>
      <w:textAlignment w:val="baseline"/>
    </w:pPr>
    <w:rPr>
      <w:rFonts w:ascii="宋体" w:hAnsi="宋体" w:cs="宋体"/>
      <w:kern w:val="0"/>
      <w:sz w:val="20"/>
      <w:szCs w:val="21"/>
    </w:rPr>
  </w:style>
  <w:style w:type="paragraph" w:customStyle="1" w:styleId="182">
    <w:name w:val="msonormal"/>
    <w:basedOn w:val="1"/>
    <w:uiPriority w:val="0"/>
    <w:pPr>
      <w:widowControl/>
      <w:spacing w:before="100" w:beforeAutospacing="1" w:after="100" w:afterAutospacing="1"/>
      <w:jc w:val="left"/>
    </w:pPr>
    <w:rPr>
      <w:rFonts w:ascii="宋体" w:hAnsi="宋体" w:cs="宋体"/>
      <w:kern w:val="0"/>
      <w:sz w:val="24"/>
      <w:szCs w:val="21"/>
    </w:rPr>
  </w:style>
  <w:style w:type="paragraph" w:customStyle="1" w:styleId="183">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84">
    <w:name w:val="xl7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6">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87">
    <w:name w:val="招标文件－标准正文"/>
    <w:basedOn w:val="17"/>
    <w:qFormat/>
    <w:uiPriority w:val="0"/>
    <w:pPr>
      <w:spacing w:line="360" w:lineRule="auto"/>
    </w:pPr>
    <w:rPr>
      <w:rFonts w:ascii="Times New Roman" w:hAnsi="Times New Roman" w:cs="宋体"/>
      <w:color w:val="000000"/>
      <w:sz w:val="24"/>
      <w:szCs w:val="20"/>
    </w:rPr>
  </w:style>
  <w:style w:type="paragraph" w:customStyle="1" w:styleId="18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9">
    <w:name w:val="Table Paragraph"/>
    <w:basedOn w:val="1"/>
    <w:qFormat/>
    <w:uiPriority w:val="1"/>
    <w:pPr>
      <w:jc w:val="left"/>
    </w:pPr>
    <w:rPr>
      <w:rFonts w:ascii="Calibri" w:hAnsi="Calibri" w:cs="宋体"/>
      <w:kern w:val="0"/>
      <w:sz w:val="22"/>
      <w:szCs w:val="22"/>
      <w:lang w:eastAsia="en-US"/>
    </w:rPr>
  </w:style>
  <w:style w:type="table" w:customStyle="1" w:styleId="190">
    <w:name w:val="网格型2"/>
    <w:basedOn w:val="37"/>
    <w:uiPriority w:val="0"/>
    <w:pPr>
      <w:widowControl w:val="0"/>
      <w:jc w:val="both"/>
    </w:pPr>
    <w:rPr>
      <w:rFonts w:ascii="Calibri" w:hAnsi="Calibri" w:eastAsia="宋体" w:cs="Times New Roman"/>
    </w:r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网格型1"/>
    <w:basedOn w:val="37"/>
    <w:uiPriority w:val="59"/>
    <w:rPr>
      <w:rFonts w:ascii="Calibri" w:hAnsi="Calibri" w:eastAsia="宋体" w:cs="Times New Roman"/>
      <w:kern w:val="2"/>
      <w:sz w:val="21"/>
      <w:szCs w:val="22"/>
    </w:r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
    <w:name w:val="浅色列表1"/>
    <w:basedOn w:val="37"/>
    <w:qFormat/>
    <w:uiPriority w:val="61"/>
    <w:rPr>
      <w:kern w:val="2"/>
      <w:sz w:val="21"/>
      <w:szCs w:val="22"/>
    </w:rPr>
    <w:tblPr>
      <w:tblStyle w:val="37"/>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blStyle w:val="37"/>
      </w:tblPr>
      <w:tcPr>
        <w:shd w:val="clear" w:color="auto" w:fill="000000"/>
      </w:tcPr>
    </w:tblStylePr>
    <w:tblStylePr w:type="lastRow">
      <w:pPr>
        <w:spacing w:before="0" w:after="0" w:line="240" w:lineRule="auto"/>
      </w:pPr>
      <w:rPr>
        <w:b/>
        <w:bCs/>
      </w:rPr>
      <w:tblPr>
        <w:tblStyle w:val="37"/>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blPr>
        <w:tblStyle w:val="37"/>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blPr>
        <w:tblStyle w:val="37"/>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paragraph" w:customStyle="1" w:styleId="193">
    <w:name w:val="正文_4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theme/theme1.xml" Type="http://schemas.openxmlformats.org/officeDocument/2006/relationships/theme"/><Relationship Id="rId6" Target="embeddings/oleObject1.bin" Type="http://schemas.openxmlformats.org/officeDocument/2006/relationships/oleObject"/><Relationship Id="rId7" Target="media/image1.emf" Type="http://schemas.openxmlformats.org/officeDocument/2006/relationships/image"/><Relationship Id="rId8" Target="../customXml/item1.xml" Type="http://schemas.openxmlformats.org/officeDocument/2006/relationships/customXml"/><Relationship Id="rId9" Target="numbering.xml" Type="http://schemas.openxmlformats.org/officeDocument/2006/relationships/numberi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45151</Words>
  <Characters>49309</Characters>
  <Lines>413</Lines>
  <Paragraphs>116</Paragraphs>
  <TotalTime>0</TotalTime>
  <ScaleCrop>false</ScaleCrop>
  <LinksUpToDate>false</LinksUpToDate>
  <CharactersWithSpaces>50798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2021-08-03T17:22:00Z</dcterms:created>
  <dc:creator>wxg</dc:creator>
  <cp:lastModifiedBy>WPS_1701756769</cp:lastModifiedBy>
  <cp:lastPrinted>2021-06-15T06:42:00Z</cp:lastPrinted>
  <dcterms:modified xsi:type="dcterms:W3CDTF">2024-02-23T01:21:53Z</dcterms:modified>
  <cp:revision>2</cp:revision>
  <dc:title>采购单位：</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AB314D2821754B28BCB91CEEE9E03FE4_13</vt:lpwstr>
  </property>
  <property fmtid="{D5CDD505-2E9C-101B-9397-08002B2CF9AE}" pid="4" name="GSEDS_HWMT_d46a6755">
    <vt:lpwstr>f2456ba7_mFV3wz84Kik2OspOlHv4r1Dl2Ks=_8QYrr1ZNQU9SQbpSlheD22ibhtjgsNRUCg1w0eTw7v+JTm7a76TYwbUqR+ap3kkvrxXlvsR935Cfjaxi2Wa2JfLGv1AfvA==_a9fcac8d</vt:lpwstr>
  </property>
  <property fmtid="{D5CDD505-2E9C-101B-9397-08002B2CF9AE}" pid="5" name="commondata">
    <vt:lpwstr>eyJoZGlkIjoiMWVmNzBkZjFiMTk4YzA1ZmFjZjc0MjExM2Y1ZDNkZjMifQ==</vt:lpwstr>
  </property>
</Properties>
</file>