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rPr>
          <w:rFonts w:cs="Times New Roman"/>
          <w:color w:val="auto"/>
          <w:highlight w:val="none"/>
        </w:rPr>
      </w:pPr>
    </w:p>
    <w:p>
      <w:pPr>
        <w:jc w:val="center"/>
        <w:rPr>
          <w:rFonts w:hint="eastAsia" w:ascii="宋体" w:eastAsia="宋体"/>
          <w:b/>
          <w:bCs/>
          <w:color w:val="auto"/>
          <w:sz w:val="44"/>
          <w:szCs w:val="44"/>
          <w:highlight w:val="none"/>
          <w:lang w:eastAsia="zh-CN"/>
        </w:rPr>
      </w:pPr>
      <w:r>
        <w:rPr>
          <w:rFonts w:hint="eastAsia" w:ascii="宋体" w:hAnsi="宋体" w:cs="宋体"/>
          <w:b/>
          <w:bCs/>
          <w:color w:val="auto"/>
          <w:sz w:val="44"/>
          <w:szCs w:val="44"/>
          <w:highlight w:val="none"/>
          <w:lang w:eastAsia="zh-CN"/>
        </w:rPr>
        <w:t>驿亭镇村庄规划编制项目</w:t>
      </w:r>
    </w:p>
    <w:p>
      <w:pPr>
        <w:pStyle w:val="4"/>
        <w:rPr>
          <w:rFonts w:ascii="宋体"/>
          <w:b/>
          <w:bCs/>
          <w:color w:val="auto"/>
          <w:sz w:val="44"/>
          <w:szCs w:val="44"/>
          <w:highlight w:val="none"/>
        </w:rPr>
      </w:pPr>
    </w:p>
    <w:p>
      <w:pPr>
        <w:pStyle w:val="4"/>
        <w:rPr>
          <w:rFonts w:ascii="宋体"/>
          <w:b/>
          <w:bCs/>
          <w:color w:val="auto"/>
          <w:sz w:val="44"/>
          <w:szCs w:val="44"/>
          <w:highlight w:val="none"/>
        </w:rPr>
      </w:pPr>
    </w:p>
    <w:p>
      <w:pPr>
        <w:pStyle w:val="4"/>
        <w:rPr>
          <w:rFonts w:ascii="宋体"/>
          <w:b/>
          <w:bCs/>
          <w:color w:val="auto"/>
          <w:sz w:val="44"/>
          <w:szCs w:val="44"/>
          <w:highlight w:val="none"/>
        </w:rPr>
      </w:pPr>
    </w:p>
    <w:p>
      <w:pPr>
        <w:pStyle w:val="4"/>
        <w:rPr>
          <w:rFonts w:ascii="宋体"/>
          <w:b/>
          <w:bCs/>
          <w:color w:val="auto"/>
          <w:sz w:val="44"/>
          <w:szCs w:val="44"/>
          <w:highlight w:val="none"/>
        </w:rPr>
      </w:pPr>
    </w:p>
    <w:p>
      <w:pPr>
        <w:pStyle w:val="4"/>
        <w:rPr>
          <w:color w:val="auto"/>
          <w:highlight w:val="none"/>
        </w:rPr>
      </w:pPr>
    </w:p>
    <w:p>
      <w:pPr>
        <w:spacing w:line="360" w:lineRule="auto"/>
        <w:jc w:val="center"/>
        <w:rPr>
          <w:rFonts w:ascii="宋体"/>
          <w:b/>
          <w:bCs/>
          <w:color w:val="auto"/>
          <w:sz w:val="24"/>
          <w:szCs w:val="24"/>
          <w:highlight w:val="none"/>
        </w:rPr>
      </w:pPr>
      <w:r>
        <w:rPr>
          <w:rFonts w:hint="eastAsia" w:ascii="宋体" w:hAnsi="宋体" w:cs="宋体"/>
          <w:b/>
          <w:bCs/>
          <w:color w:val="auto"/>
          <w:sz w:val="72"/>
          <w:szCs w:val="72"/>
          <w:highlight w:val="none"/>
        </w:rPr>
        <w:t>竞争性磋商文件</w:t>
      </w:r>
    </w:p>
    <w:p>
      <w:pPr>
        <w:spacing w:line="360" w:lineRule="auto"/>
        <w:jc w:val="center"/>
        <w:rPr>
          <w:rFonts w:ascii="宋体"/>
          <w:b/>
          <w:bCs/>
          <w:color w:val="auto"/>
          <w:sz w:val="24"/>
          <w:szCs w:val="24"/>
          <w:highlight w:val="none"/>
        </w:rPr>
      </w:pPr>
    </w:p>
    <w:p>
      <w:pPr>
        <w:snapToGrid w:val="0"/>
        <w:spacing w:line="360" w:lineRule="auto"/>
        <w:ind w:firstLine="2301" w:firstLineChars="767"/>
        <w:jc w:val="left"/>
        <w:rPr>
          <w:rFonts w:hint="eastAsia" w:ascii="宋体" w:eastAsia="宋体"/>
          <w:color w:val="auto"/>
          <w:sz w:val="30"/>
          <w:szCs w:val="30"/>
          <w:highlight w:val="none"/>
          <w:u w:val="single"/>
          <w:lang w:eastAsia="zh-CN"/>
        </w:rPr>
      </w:pPr>
      <w:r>
        <w:rPr>
          <w:rFonts w:hint="eastAsia" w:ascii="宋体" w:hAnsi="宋体" w:cs="宋体"/>
          <w:color w:val="auto"/>
          <w:sz w:val="30"/>
          <w:szCs w:val="30"/>
          <w:highlight w:val="none"/>
        </w:rPr>
        <w:t>项目编号：</w:t>
      </w:r>
      <w:r>
        <w:rPr>
          <w:rFonts w:hint="eastAsia" w:ascii="宋体" w:hAnsi="宋体" w:cs="宋体"/>
          <w:color w:val="auto"/>
          <w:sz w:val="30"/>
          <w:szCs w:val="30"/>
          <w:highlight w:val="none"/>
          <w:u w:val="single"/>
          <w:lang w:val="en-US" w:eastAsia="zh-CN"/>
        </w:rPr>
        <w:t xml:space="preserve"> FSJZCS2022134  </w:t>
      </w:r>
    </w:p>
    <w:p>
      <w:pPr>
        <w:snapToGrid w:val="0"/>
        <w:spacing w:line="360" w:lineRule="auto"/>
        <w:ind w:firstLine="2301" w:firstLineChars="767"/>
        <w:jc w:val="left"/>
        <w:rPr>
          <w:rFonts w:ascii="宋体"/>
          <w:color w:val="auto"/>
          <w:sz w:val="30"/>
          <w:szCs w:val="30"/>
          <w:highlight w:val="none"/>
        </w:rPr>
      </w:pPr>
    </w:p>
    <w:p>
      <w:pPr>
        <w:spacing w:line="360" w:lineRule="auto"/>
        <w:rPr>
          <w:rFonts w:ascii="宋体"/>
          <w:color w:val="auto"/>
          <w:sz w:val="28"/>
          <w:szCs w:val="28"/>
          <w:highlight w:val="none"/>
        </w:rPr>
      </w:pPr>
    </w:p>
    <w:p>
      <w:pPr>
        <w:spacing w:line="360" w:lineRule="auto"/>
        <w:jc w:val="center"/>
        <w:rPr>
          <w:rFonts w:ascii="宋体"/>
          <w:color w:val="auto"/>
          <w:sz w:val="24"/>
          <w:szCs w:val="24"/>
          <w:highlight w:val="none"/>
        </w:rPr>
      </w:pPr>
    </w:p>
    <w:p>
      <w:pPr>
        <w:spacing w:line="360" w:lineRule="auto"/>
        <w:jc w:val="center"/>
        <w:rPr>
          <w:rFonts w:ascii="宋体"/>
          <w:color w:val="auto"/>
          <w:sz w:val="24"/>
          <w:szCs w:val="24"/>
          <w:highlight w:val="none"/>
        </w:rPr>
      </w:pPr>
    </w:p>
    <w:p>
      <w:pPr>
        <w:spacing w:line="360" w:lineRule="auto"/>
        <w:jc w:val="center"/>
        <w:rPr>
          <w:rFonts w:ascii="宋体"/>
          <w:color w:val="auto"/>
          <w:sz w:val="24"/>
          <w:szCs w:val="24"/>
          <w:highlight w:val="none"/>
        </w:rPr>
      </w:pPr>
    </w:p>
    <w:p>
      <w:pPr>
        <w:spacing w:line="360" w:lineRule="auto"/>
        <w:jc w:val="center"/>
        <w:rPr>
          <w:rFonts w:ascii="宋体"/>
          <w:color w:val="auto"/>
          <w:sz w:val="24"/>
          <w:szCs w:val="24"/>
          <w:highlight w:val="none"/>
        </w:rPr>
      </w:pPr>
    </w:p>
    <w:p>
      <w:pPr>
        <w:spacing w:line="360" w:lineRule="auto"/>
        <w:jc w:val="center"/>
        <w:rPr>
          <w:rFonts w:ascii="宋体"/>
          <w:color w:val="auto"/>
          <w:sz w:val="24"/>
          <w:szCs w:val="24"/>
          <w:highlight w:val="none"/>
        </w:rPr>
      </w:pPr>
    </w:p>
    <w:p>
      <w:pPr>
        <w:snapToGrid w:val="0"/>
        <w:spacing w:line="360" w:lineRule="auto"/>
        <w:ind w:firstLine="1500" w:firstLineChars="500"/>
        <w:rPr>
          <w:rFonts w:hint="eastAsia" w:ascii="宋体" w:eastAsia="宋体"/>
          <w:color w:val="auto"/>
          <w:highlight w:val="none"/>
          <w:u w:val="single"/>
          <w:lang w:eastAsia="zh-CN"/>
        </w:rPr>
      </w:pPr>
      <w:r>
        <w:rPr>
          <w:rFonts w:hint="eastAsia" w:ascii="宋体" w:hAnsi="宋体" w:cs="宋体"/>
          <w:color w:val="auto"/>
          <w:sz w:val="30"/>
          <w:szCs w:val="30"/>
          <w:highlight w:val="none"/>
        </w:rPr>
        <w:t>采</w:t>
      </w:r>
      <w:r>
        <w:rPr>
          <w:rFonts w:ascii="宋体" w:hAnsi="宋体" w:cs="宋体"/>
          <w:color w:val="auto"/>
          <w:sz w:val="30"/>
          <w:szCs w:val="30"/>
          <w:highlight w:val="none"/>
        </w:rPr>
        <w:t xml:space="preserve"> </w:t>
      </w:r>
      <w:r>
        <w:rPr>
          <w:rFonts w:hint="eastAsia" w:ascii="宋体" w:hAnsi="宋体" w:cs="宋体"/>
          <w:color w:val="auto"/>
          <w:sz w:val="30"/>
          <w:szCs w:val="30"/>
          <w:highlight w:val="none"/>
        </w:rPr>
        <w:t>购</w:t>
      </w:r>
      <w:r>
        <w:rPr>
          <w:rFonts w:ascii="宋体" w:hAnsi="宋体" w:cs="宋体"/>
          <w:color w:val="auto"/>
          <w:sz w:val="30"/>
          <w:szCs w:val="30"/>
          <w:highlight w:val="none"/>
        </w:rPr>
        <w:t xml:space="preserve"> </w:t>
      </w:r>
      <w:r>
        <w:rPr>
          <w:rFonts w:hint="eastAsia" w:ascii="宋体" w:hAnsi="宋体" w:cs="宋体"/>
          <w:color w:val="auto"/>
          <w:sz w:val="30"/>
          <w:szCs w:val="30"/>
          <w:highlight w:val="none"/>
        </w:rPr>
        <w:t>人：</w:t>
      </w:r>
      <w:r>
        <w:rPr>
          <w:rFonts w:hint="eastAsia" w:ascii="宋体" w:hAnsi="宋体" w:cs="宋体"/>
          <w:color w:val="auto"/>
          <w:sz w:val="30"/>
          <w:szCs w:val="30"/>
          <w:highlight w:val="none"/>
          <w:lang w:eastAsia="zh-CN"/>
        </w:rPr>
        <w:t>上虞区驿亭镇人民政府</w:t>
      </w:r>
    </w:p>
    <w:p>
      <w:pPr>
        <w:snapToGrid w:val="0"/>
        <w:spacing w:line="360" w:lineRule="auto"/>
        <w:ind w:firstLine="1500" w:firstLineChars="500"/>
        <w:rPr>
          <w:rFonts w:ascii="宋体"/>
          <w:color w:val="auto"/>
          <w:sz w:val="30"/>
          <w:szCs w:val="30"/>
          <w:highlight w:val="none"/>
        </w:rPr>
      </w:pPr>
      <w:r>
        <w:rPr>
          <w:rFonts w:hint="eastAsia" w:ascii="宋体" w:hAnsi="宋体" w:cs="宋体"/>
          <w:color w:val="auto"/>
          <w:sz w:val="30"/>
          <w:szCs w:val="30"/>
          <w:highlight w:val="none"/>
        </w:rPr>
        <w:t>采购代理机构：浙江宇康工程管理咨询有限公司</w:t>
      </w:r>
    </w:p>
    <w:p>
      <w:pPr>
        <w:jc w:val="center"/>
        <w:rPr>
          <w:rFonts w:ascii="宋体"/>
          <w:color w:val="auto"/>
          <w:sz w:val="30"/>
          <w:szCs w:val="30"/>
          <w:highlight w:val="none"/>
        </w:rPr>
        <w:sectPr>
          <w:pgSz w:w="11906" w:h="16838"/>
          <w:pgMar w:top="1440" w:right="1800" w:bottom="1440" w:left="1800" w:header="851" w:footer="992" w:gutter="0"/>
          <w:cols w:space="425" w:num="1"/>
          <w:docGrid w:type="lines" w:linePitch="312" w:charSpace="0"/>
        </w:sectPr>
      </w:pPr>
      <w:r>
        <w:rPr>
          <w:rFonts w:hint="eastAsia" w:ascii="宋体" w:hAnsi="宋体" w:cs="宋体"/>
          <w:color w:val="auto"/>
          <w:sz w:val="30"/>
          <w:szCs w:val="30"/>
          <w:highlight w:val="none"/>
        </w:rPr>
        <w:t>二〇二二年</w:t>
      </w:r>
      <w:r>
        <w:rPr>
          <w:rFonts w:hint="eastAsia" w:ascii="宋体" w:hAnsi="宋体" w:cs="宋体"/>
          <w:color w:val="auto"/>
          <w:sz w:val="30"/>
          <w:szCs w:val="30"/>
          <w:highlight w:val="none"/>
          <w:lang w:val="en-US" w:eastAsia="zh-CN"/>
        </w:rPr>
        <w:t>十</w:t>
      </w:r>
      <w:r>
        <w:rPr>
          <w:rFonts w:hint="eastAsia" w:ascii="宋体" w:hAnsi="宋体" w:cs="宋体"/>
          <w:color w:val="auto"/>
          <w:sz w:val="30"/>
          <w:szCs w:val="30"/>
          <w:highlight w:val="none"/>
        </w:rPr>
        <w:t>月</w:t>
      </w:r>
    </w:p>
    <w:p>
      <w:pPr>
        <w:spacing w:line="360" w:lineRule="auto"/>
        <w:jc w:val="center"/>
        <w:rPr>
          <w:rFonts w:ascii="宋体" w:hAnsi="宋体" w:cs="宋体"/>
          <w:color w:val="auto"/>
          <w:sz w:val="28"/>
          <w:szCs w:val="28"/>
          <w:highlight w:val="none"/>
        </w:rPr>
      </w:pPr>
      <w:r>
        <w:rPr>
          <w:rFonts w:hint="eastAsia" w:ascii="宋体" w:hAnsi="宋体" w:cs="宋体"/>
          <w:color w:val="auto"/>
          <w:sz w:val="28"/>
          <w:szCs w:val="28"/>
          <w:highlight w:val="none"/>
        </w:rPr>
        <w:t>目</w:t>
      </w:r>
      <w:r>
        <w:rPr>
          <w:rFonts w:hint="eastAsia" w:ascii="宋体" w:hAnsi="宋体" w:cs="宋体"/>
          <w:color w:val="auto"/>
          <w:sz w:val="28"/>
          <w:szCs w:val="28"/>
          <w:highlight w:val="none"/>
          <w:lang w:val="en-US" w:eastAsia="zh-CN"/>
        </w:rPr>
        <w:t xml:space="preserve"> </w:t>
      </w:r>
      <w:r>
        <w:rPr>
          <w:rFonts w:hint="eastAsia" w:ascii="宋体" w:hAnsi="宋体" w:cs="宋体"/>
          <w:color w:val="auto"/>
          <w:sz w:val="28"/>
          <w:szCs w:val="28"/>
          <w:highlight w:val="none"/>
        </w:rPr>
        <w:t>录</w:t>
      </w:r>
    </w:p>
    <w:p>
      <w:pPr>
        <w:pStyle w:val="20"/>
        <w:tabs>
          <w:tab w:val="right" w:leader="dot" w:pos="8306"/>
        </w:tabs>
        <w:spacing w:line="360" w:lineRule="auto"/>
        <w:rPr>
          <w:color w:val="auto"/>
          <w:highlight w:val="none"/>
        </w:rPr>
      </w:pPr>
      <w:r>
        <w:rPr>
          <w:rFonts w:hint="eastAsia" w:ascii="宋体" w:hAnsi="宋体" w:cs="宋体"/>
          <w:color w:val="auto"/>
          <w:sz w:val="28"/>
          <w:szCs w:val="28"/>
          <w:highlight w:val="none"/>
        </w:rPr>
        <w:fldChar w:fldCharType="begin"/>
      </w:r>
      <w:r>
        <w:rPr>
          <w:rFonts w:hint="eastAsia" w:ascii="宋体" w:hAnsi="宋体" w:cs="宋体"/>
          <w:color w:val="auto"/>
          <w:sz w:val="28"/>
          <w:szCs w:val="28"/>
          <w:highlight w:val="none"/>
        </w:rPr>
        <w:instrText xml:space="preserve">TOC \o "1-3" \h \u </w:instrText>
      </w:r>
      <w:r>
        <w:rPr>
          <w:rFonts w:hint="eastAsia" w:ascii="宋体" w:hAnsi="宋体" w:cs="宋体"/>
          <w:color w:val="auto"/>
          <w:sz w:val="28"/>
          <w:szCs w:val="28"/>
          <w:highlight w:val="none"/>
        </w:rPr>
        <w:fldChar w:fldCharType="separate"/>
      </w:r>
      <w:r>
        <w:rPr>
          <w:rFonts w:hint="eastAsia" w:ascii="宋体" w:hAnsi="宋体" w:cs="宋体"/>
          <w:color w:val="auto"/>
          <w:szCs w:val="28"/>
          <w:highlight w:val="none"/>
        </w:rPr>
        <w:fldChar w:fldCharType="begin"/>
      </w:r>
      <w:r>
        <w:rPr>
          <w:rFonts w:hint="eastAsia" w:ascii="宋体" w:hAnsi="宋体" w:cs="宋体"/>
          <w:color w:val="auto"/>
          <w:szCs w:val="28"/>
          <w:highlight w:val="none"/>
        </w:rPr>
        <w:instrText xml:space="preserve"> HYPERLINK \l _Toc7443 </w:instrText>
      </w:r>
      <w:r>
        <w:rPr>
          <w:rFonts w:hint="eastAsia" w:ascii="宋体" w:hAnsi="宋体" w:cs="宋体"/>
          <w:color w:val="auto"/>
          <w:szCs w:val="28"/>
          <w:highlight w:val="none"/>
        </w:rPr>
        <w:fldChar w:fldCharType="separate"/>
      </w:r>
      <w:r>
        <w:rPr>
          <w:rFonts w:hint="eastAsia" w:cs="宋体"/>
          <w:color w:val="auto"/>
          <w:szCs w:val="36"/>
          <w:highlight w:val="none"/>
        </w:rPr>
        <w:t>第一部分</w:t>
      </w:r>
      <w:r>
        <w:rPr>
          <w:color w:val="auto"/>
          <w:szCs w:val="36"/>
          <w:highlight w:val="none"/>
        </w:rPr>
        <w:t xml:space="preserve"> </w:t>
      </w:r>
      <w:r>
        <w:rPr>
          <w:rFonts w:hint="eastAsia" w:cs="宋体"/>
          <w:color w:val="auto"/>
          <w:szCs w:val="36"/>
          <w:highlight w:val="none"/>
        </w:rPr>
        <w:t>磋商公告</w:t>
      </w:r>
      <w:r>
        <w:rPr>
          <w:color w:val="auto"/>
          <w:highlight w:val="none"/>
        </w:rPr>
        <w:tab/>
      </w:r>
      <w:r>
        <w:rPr>
          <w:color w:val="auto"/>
          <w:highlight w:val="none"/>
        </w:rPr>
        <w:fldChar w:fldCharType="begin"/>
      </w:r>
      <w:r>
        <w:rPr>
          <w:color w:val="auto"/>
          <w:highlight w:val="none"/>
        </w:rPr>
        <w:instrText xml:space="preserve"> PAGEREF _Toc7443 \h </w:instrText>
      </w:r>
      <w:r>
        <w:rPr>
          <w:color w:val="auto"/>
          <w:highlight w:val="none"/>
        </w:rPr>
        <w:fldChar w:fldCharType="separate"/>
      </w:r>
      <w:r>
        <w:rPr>
          <w:color w:val="auto"/>
          <w:highlight w:val="none"/>
        </w:rPr>
        <w:t>1</w:t>
      </w:r>
      <w:r>
        <w:rPr>
          <w:color w:val="auto"/>
          <w:highlight w:val="none"/>
        </w:rPr>
        <w:fldChar w:fldCharType="end"/>
      </w:r>
      <w:r>
        <w:rPr>
          <w:rFonts w:hint="eastAsia" w:ascii="宋体" w:hAnsi="宋体" w:cs="宋体"/>
          <w:color w:val="auto"/>
          <w:szCs w:val="28"/>
          <w:highlight w:val="none"/>
        </w:rPr>
        <w:fldChar w:fldCharType="end"/>
      </w:r>
    </w:p>
    <w:p>
      <w:pPr>
        <w:pStyle w:val="20"/>
        <w:tabs>
          <w:tab w:val="right" w:leader="dot" w:pos="8306"/>
        </w:tabs>
        <w:spacing w:line="360" w:lineRule="auto"/>
        <w:rPr>
          <w:color w:val="auto"/>
          <w:highlight w:val="none"/>
        </w:rPr>
      </w:pPr>
      <w:r>
        <w:rPr>
          <w:rFonts w:hint="eastAsia" w:hAnsi="宋体"/>
          <w:color w:val="auto"/>
          <w:szCs w:val="28"/>
          <w:highlight w:val="none"/>
        </w:rPr>
        <w:fldChar w:fldCharType="begin"/>
      </w:r>
      <w:r>
        <w:rPr>
          <w:rFonts w:hint="eastAsia" w:hAnsi="宋体"/>
          <w:color w:val="auto"/>
          <w:szCs w:val="28"/>
          <w:highlight w:val="none"/>
        </w:rPr>
        <w:instrText xml:space="preserve"> HYPERLINK \l _Toc18804 </w:instrText>
      </w:r>
      <w:r>
        <w:rPr>
          <w:rFonts w:hint="eastAsia" w:hAnsi="宋体"/>
          <w:color w:val="auto"/>
          <w:szCs w:val="28"/>
          <w:highlight w:val="none"/>
        </w:rPr>
        <w:fldChar w:fldCharType="separate"/>
      </w:r>
      <w:r>
        <w:rPr>
          <w:rFonts w:hint="eastAsia" w:cs="宋体"/>
          <w:color w:val="auto"/>
          <w:szCs w:val="36"/>
          <w:highlight w:val="none"/>
        </w:rPr>
        <w:t>第二部分</w:t>
      </w:r>
      <w:r>
        <w:rPr>
          <w:color w:val="auto"/>
          <w:szCs w:val="36"/>
          <w:highlight w:val="none"/>
        </w:rPr>
        <w:t xml:space="preserve"> </w:t>
      </w:r>
      <w:r>
        <w:rPr>
          <w:rFonts w:hint="eastAsia" w:cs="宋体"/>
          <w:color w:val="auto"/>
          <w:szCs w:val="36"/>
          <w:highlight w:val="none"/>
        </w:rPr>
        <w:t>供应商须知</w:t>
      </w:r>
      <w:r>
        <w:rPr>
          <w:color w:val="auto"/>
          <w:highlight w:val="none"/>
        </w:rPr>
        <w:tab/>
      </w:r>
      <w:r>
        <w:rPr>
          <w:color w:val="auto"/>
          <w:highlight w:val="none"/>
        </w:rPr>
        <w:fldChar w:fldCharType="begin"/>
      </w:r>
      <w:r>
        <w:rPr>
          <w:color w:val="auto"/>
          <w:highlight w:val="none"/>
        </w:rPr>
        <w:instrText xml:space="preserve"> PAGEREF _Toc18804 \h </w:instrText>
      </w:r>
      <w:r>
        <w:rPr>
          <w:color w:val="auto"/>
          <w:highlight w:val="none"/>
        </w:rPr>
        <w:fldChar w:fldCharType="separate"/>
      </w:r>
      <w:r>
        <w:rPr>
          <w:color w:val="auto"/>
          <w:highlight w:val="none"/>
        </w:rPr>
        <w:t>6</w:t>
      </w:r>
      <w:r>
        <w:rPr>
          <w:color w:val="auto"/>
          <w:highlight w:val="none"/>
        </w:rPr>
        <w:fldChar w:fldCharType="end"/>
      </w:r>
      <w:r>
        <w:rPr>
          <w:rFonts w:hint="eastAsia" w:hAnsi="宋体"/>
          <w:color w:val="auto"/>
          <w:szCs w:val="28"/>
          <w:highlight w:val="none"/>
        </w:rPr>
        <w:fldChar w:fldCharType="end"/>
      </w:r>
    </w:p>
    <w:p>
      <w:pPr>
        <w:pStyle w:val="22"/>
        <w:tabs>
          <w:tab w:val="right" w:leader="dot" w:pos="8306"/>
        </w:tabs>
        <w:spacing w:line="360" w:lineRule="auto"/>
        <w:rPr>
          <w:color w:val="auto"/>
          <w:highlight w:val="none"/>
        </w:rPr>
      </w:pPr>
      <w:r>
        <w:rPr>
          <w:rFonts w:hint="eastAsia" w:hAnsi="宋体"/>
          <w:color w:val="auto"/>
          <w:szCs w:val="28"/>
          <w:highlight w:val="none"/>
        </w:rPr>
        <w:fldChar w:fldCharType="begin"/>
      </w:r>
      <w:r>
        <w:rPr>
          <w:rFonts w:hint="eastAsia" w:hAnsi="宋体"/>
          <w:color w:val="auto"/>
          <w:szCs w:val="28"/>
          <w:highlight w:val="none"/>
        </w:rPr>
        <w:instrText xml:space="preserve"> HYPERLINK \l _Toc8810 </w:instrText>
      </w:r>
      <w:r>
        <w:rPr>
          <w:rFonts w:hint="eastAsia" w:hAnsi="宋体"/>
          <w:color w:val="auto"/>
          <w:szCs w:val="28"/>
          <w:highlight w:val="none"/>
        </w:rPr>
        <w:fldChar w:fldCharType="separate"/>
      </w:r>
      <w:r>
        <w:rPr>
          <w:rFonts w:hint="eastAsia" w:hAnsi="宋体" w:cs="Times New Roman"/>
          <w:color w:val="auto"/>
          <w:highlight w:val="none"/>
        </w:rPr>
        <w:t xml:space="preserve">一、 </w:t>
      </w:r>
      <w:r>
        <w:rPr>
          <w:rFonts w:hint="eastAsia" w:hAnsi="宋体"/>
          <w:color w:val="auto"/>
          <w:highlight w:val="none"/>
        </w:rPr>
        <w:t>总则</w:t>
      </w:r>
      <w:r>
        <w:rPr>
          <w:color w:val="auto"/>
          <w:highlight w:val="none"/>
        </w:rPr>
        <w:tab/>
      </w:r>
      <w:r>
        <w:rPr>
          <w:color w:val="auto"/>
          <w:highlight w:val="none"/>
        </w:rPr>
        <w:fldChar w:fldCharType="begin"/>
      </w:r>
      <w:r>
        <w:rPr>
          <w:color w:val="auto"/>
          <w:highlight w:val="none"/>
        </w:rPr>
        <w:instrText xml:space="preserve"> PAGEREF _Toc8810 \h </w:instrText>
      </w:r>
      <w:r>
        <w:rPr>
          <w:color w:val="auto"/>
          <w:highlight w:val="none"/>
        </w:rPr>
        <w:fldChar w:fldCharType="separate"/>
      </w:r>
      <w:r>
        <w:rPr>
          <w:color w:val="auto"/>
          <w:highlight w:val="none"/>
        </w:rPr>
        <w:t>9</w:t>
      </w:r>
      <w:r>
        <w:rPr>
          <w:color w:val="auto"/>
          <w:highlight w:val="none"/>
        </w:rPr>
        <w:fldChar w:fldCharType="end"/>
      </w:r>
      <w:r>
        <w:rPr>
          <w:rFonts w:hint="eastAsia" w:hAnsi="宋体"/>
          <w:color w:val="auto"/>
          <w:szCs w:val="28"/>
          <w:highlight w:val="none"/>
        </w:rPr>
        <w:fldChar w:fldCharType="end"/>
      </w:r>
    </w:p>
    <w:p>
      <w:pPr>
        <w:pStyle w:val="22"/>
        <w:tabs>
          <w:tab w:val="right" w:leader="dot" w:pos="8306"/>
        </w:tabs>
        <w:spacing w:line="360" w:lineRule="auto"/>
        <w:rPr>
          <w:color w:val="auto"/>
          <w:highlight w:val="none"/>
        </w:rPr>
      </w:pPr>
      <w:r>
        <w:rPr>
          <w:rFonts w:hint="eastAsia" w:hAnsi="宋体"/>
          <w:color w:val="auto"/>
          <w:szCs w:val="28"/>
          <w:highlight w:val="none"/>
        </w:rPr>
        <w:fldChar w:fldCharType="begin"/>
      </w:r>
      <w:r>
        <w:rPr>
          <w:rFonts w:hint="eastAsia" w:hAnsi="宋体"/>
          <w:color w:val="auto"/>
          <w:szCs w:val="28"/>
          <w:highlight w:val="none"/>
        </w:rPr>
        <w:instrText xml:space="preserve"> HYPERLINK \l _Toc22123 </w:instrText>
      </w:r>
      <w:r>
        <w:rPr>
          <w:rFonts w:hint="eastAsia" w:hAnsi="宋体"/>
          <w:color w:val="auto"/>
          <w:szCs w:val="28"/>
          <w:highlight w:val="none"/>
        </w:rPr>
        <w:fldChar w:fldCharType="separate"/>
      </w:r>
      <w:r>
        <w:rPr>
          <w:rFonts w:hint="eastAsia" w:cs="Times New Roman"/>
          <w:color w:val="auto"/>
          <w:highlight w:val="none"/>
        </w:rPr>
        <w:t xml:space="preserve">二、 </w:t>
      </w:r>
      <w:r>
        <w:rPr>
          <w:rFonts w:hint="eastAsia"/>
          <w:color w:val="auto"/>
          <w:highlight w:val="none"/>
        </w:rPr>
        <w:t>竞争性磋商文件</w:t>
      </w:r>
      <w:r>
        <w:rPr>
          <w:color w:val="auto"/>
          <w:highlight w:val="none"/>
        </w:rPr>
        <w:tab/>
      </w:r>
      <w:r>
        <w:rPr>
          <w:color w:val="auto"/>
          <w:highlight w:val="none"/>
        </w:rPr>
        <w:fldChar w:fldCharType="begin"/>
      </w:r>
      <w:r>
        <w:rPr>
          <w:color w:val="auto"/>
          <w:highlight w:val="none"/>
        </w:rPr>
        <w:instrText xml:space="preserve"> PAGEREF _Toc22123 \h </w:instrText>
      </w:r>
      <w:r>
        <w:rPr>
          <w:color w:val="auto"/>
          <w:highlight w:val="none"/>
        </w:rPr>
        <w:fldChar w:fldCharType="separate"/>
      </w:r>
      <w:r>
        <w:rPr>
          <w:color w:val="auto"/>
          <w:highlight w:val="none"/>
        </w:rPr>
        <w:t>9</w:t>
      </w:r>
      <w:r>
        <w:rPr>
          <w:color w:val="auto"/>
          <w:highlight w:val="none"/>
        </w:rPr>
        <w:fldChar w:fldCharType="end"/>
      </w:r>
      <w:r>
        <w:rPr>
          <w:rFonts w:hint="eastAsia" w:hAnsi="宋体"/>
          <w:color w:val="auto"/>
          <w:szCs w:val="28"/>
          <w:highlight w:val="none"/>
        </w:rPr>
        <w:fldChar w:fldCharType="end"/>
      </w:r>
    </w:p>
    <w:p>
      <w:pPr>
        <w:pStyle w:val="22"/>
        <w:tabs>
          <w:tab w:val="right" w:leader="dot" w:pos="8306"/>
        </w:tabs>
        <w:spacing w:line="360" w:lineRule="auto"/>
        <w:rPr>
          <w:color w:val="auto"/>
          <w:highlight w:val="none"/>
        </w:rPr>
      </w:pPr>
      <w:r>
        <w:rPr>
          <w:rFonts w:hint="eastAsia" w:hAnsi="宋体"/>
          <w:color w:val="auto"/>
          <w:szCs w:val="28"/>
          <w:highlight w:val="none"/>
        </w:rPr>
        <w:fldChar w:fldCharType="begin"/>
      </w:r>
      <w:r>
        <w:rPr>
          <w:rFonts w:hint="eastAsia" w:hAnsi="宋体"/>
          <w:color w:val="auto"/>
          <w:szCs w:val="28"/>
          <w:highlight w:val="none"/>
        </w:rPr>
        <w:instrText xml:space="preserve"> HYPERLINK \l _Toc24702 </w:instrText>
      </w:r>
      <w:r>
        <w:rPr>
          <w:rFonts w:hint="eastAsia" w:hAnsi="宋体"/>
          <w:color w:val="auto"/>
          <w:szCs w:val="28"/>
          <w:highlight w:val="none"/>
        </w:rPr>
        <w:fldChar w:fldCharType="separate"/>
      </w:r>
      <w:r>
        <w:rPr>
          <w:rFonts w:hint="eastAsia" w:cs="Times New Roman"/>
          <w:color w:val="auto"/>
          <w:highlight w:val="none"/>
        </w:rPr>
        <w:t xml:space="preserve">三、 </w:t>
      </w:r>
      <w:r>
        <w:rPr>
          <w:rFonts w:hint="eastAsia"/>
          <w:color w:val="auto"/>
          <w:highlight w:val="none"/>
        </w:rPr>
        <w:t>竞争性磋商响应文件的编写</w:t>
      </w:r>
      <w:r>
        <w:rPr>
          <w:color w:val="auto"/>
          <w:highlight w:val="none"/>
        </w:rPr>
        <w:tab/>
      </w:r>
      <w:r>
        <w:rPr>
          <w:color w:val="auto"/>
          <w:highlight w:val="none"/>
        </w:rPr>
        <w:fldChar w:fldCharType="begin"/>
      </w:r>
      <w:r>
        <w:rPr>
          <w:color w:val="auto"/>
          <w:highlight w:val="none"/>
        </w:rPr>
        <w:instrText xml:space="preserve"> PAGEREF _Toc24702 \h </w:instrText>
      </w:r>
      <w:r>
        <w:rPr>
          <w:color w:val="auto"/>
          <w:highlight w:val="none"/>
        </w:rPr>
        <w:fldChar w:fldCharType="separate"/>
      </w:r>
      <w:r>
        <w:rPr>
          <w:color w:val="auto"/>
          <w:highlight w:val="none"/>
        </w:rPr>
        <w:t>10</w:t>
      </w:r>
      <w:r>
        <w:rPr>
          <w:color w:val="auto"/>
          <w:highlight w:val="none"/>
        </w:rPr>
        <w:fldChar w:fldCharType="end"/>
      </w:r>
      <w:r>
        <w:rPr>
          <w:rFonts w:hint="eastAsia" w:hAnsi="宋体"/>
          <w:color w:val="auto"/>
          <w:szCs w:val="28"/>
          <w:highlight w:val="none"/>
        </w:rPr>
        <w:fldChar w:fldCharType="end"/>
      </w:r>
    </w:p>
    <w:p>
      <w:pPr>
        <w:pStyle w:val="22"/>
        <w:tabs>
          <w:tab w:val="right" w:leader="dot" w:pos="8306"/>
        </w:tabs>
        <w:spacing w:line="360" w:lineRule="auto"/>
        <w:rPr>
          <w:color w:val="auto"/>
          <w:highlight w:val="none"/>
        </w:rPr>
      </w:pPr>
      <w:r>
        <w:rPr>
          <w:rFonts w:hint="eastAsia" w:hAnsi="宋体"/>
          <w:color w:val="auto"/>
          <w:szCs w:val="28"/>
          <w:highlight w:val="none"/>
        </w:rPr>
        <w:fldChar w:fldCharType="begin"/>
      </w:r>
      <w:r>
        <w:rPr>
          <w:rFonts w:hint="eastAsia" w:hAnsi="宋体"/>
          <w:color w:val="auto"/>
          <w:szCs w:val="28"/>
          <w:highlight w:val="none"/>
        </w:rPr>
        <w:instrText xml:space="preserve"> HYPERLINK \l _Toc882 </w:instrText>
      </w:r>
      <w:r>
        <w:rPr>
          <w:rFonts w:hint="eastAsia" w:hAnsi="宋体"/>
          <w:color w:val="auto"/>
          <w:szCs w:val="28"/>
          <w:highlight w:val="none"/>
        </w:rPr>
        <w:fldChar w:fldCharType="separate"/>
      </w:r>
      <w:r>
        <w:rPr>
          <w:rFonts w:hint="eastAsia" w:cs="Times New Roman"/>
          <w:color w:val="auto"/>
          <w:highlight w:val="none"/>
        </w:rPr>
        <w:t xml:space="preserve">四、 </w:t>
      </w:r>
      <w:r>
        <w:rPr>
          <w:rFonts w:hint="eastAsia"/>
          <w:color w:val="auto"/>
          <w:highlight w:val="none"/>
        </w:rPr>
        <w:t>响应文件的递交</w:t>
      </w:r>
      <w:r>
        <w:rPr>
          <w:color w:val="auto"/>
          <w:highlight w:val="none"/>
        </w:rPr>
        <w:tab/>
      </w:r>
      <w:r>
        <w:rPr>
          <w:color w:val="auto"/>
          <w:highlight w:val="none"/>
        </w:rPr>
        <w:fldChar w:fldCharType="begin"/>
      </w:r>
      <w:r>
        <w:rPr>
          <w:color w:val="auto"/>
          <w:highlight w:val="none"/>
        </w:rPr>
        <w:instrText xml:space="preserve"> PAGEREF _Toc882 \h </w:instrText>
      </w:r>
      <w:r>
        <w:rPr>
          <w:color w:val="auto"/>
          <w:highlight w:val="none"/>
        </w:rPr>
        <w:fldChar w:fldCharType="separate"/>
      </w:r>
      <w:r>
        <w:rPr>
          <w:color w:val="auto"/>
          <w:highlight w:val="none"/>
        </w:rPr>
        <w:t>14</w:t>
      </w:r>
      <w:r>
        <w:rPr>
          <w:color w:val="auto"/>
          <w:highlight w:val="none"/>
        </w:rPr>
        <w:fldChar w:fldCharType="end"/>
      </w:r>
      <w:r>
        <w:rPr>
          <w:rFonts w:hint="eastAsia" w:hAnsi="宋体"/>
          <w:color w:val="auto"/>
          <w:szCs w:val="28"/>
          <w:highlight w:val="none"/>
        </w:rPr>
        <w:fldChar w:fldCharType="end"/>
      </w:r>
    </w:p>
    <w:p>
      <w:pPr>
        <w:pStyle w:val="22"/>
        <w:tabs>
          <w:tab w:val="right" w:leader="dot" w:pos="8306"/>
        </w:tabs>
        <w:spacing w:line="360" w:lineRule="auto"/>
        <w:rPr>
          <w:color w:val="auto"/>
          <w:highlight w:val="none"/>
        </w:rPr>
      </w:pPr>
      <w:r>
        <w:rPr>
          <w:rFonts w:hint="eastAsia" w:hAnsi="宋体"/>
          <w:color w:val="auto"/>
          <w:szCs w:val="28"/>
          <w:highlight w:val="none"/>
        </w:rPr>
        <w:fldChar w:fldCharType="begin"/>
      </w:r>
      <w:r>
        <w:rPr>
          <w:rFonts w:hint="eastAsia" w:hAnsi="宋体"/>
          <w:color w:val="auto"/>
          <w:szCs w:val="28"/>
          <w:highlight w:val="none"/>
        </w:rPr>
        <w:instrText xml:space="preserve"> HYPERLINK \l _Toc31933 </w:instrText>
      </w:r>
      <w:r>
        <w:rPr>
          <w:rFonts w:hint="eastAsia" w:hAnsi="宋体"/>
          <w:color w:val="auto"/>
          <w:szCs w:val="28"/>
          <w:highlight w:val="none"/>
        </w:rPr>
        <w:fldChar w:fldCharType="separate"/>
      </w:r>
      <w:r>
        <w:rPr>
          <w:rFonts w:hint="eastAsia" w:hAnsi="宋体" w:cs="Times New Roman"/>
          <w:color w:val="auto"/>
          <w:highlight w:val="none"/>
        </w:rPr>
        <w:t xml:space="preserve">五、 </w:t>
      </w:r>
      <w:r>
        <w:rPr>
          <w:rFonts w:hint="eastAsia"/>
          <w:color w:val="auto"/>
          <w:highlight w:val="none"/>
        </w:rPr>
        <w:t>磋商无效的情形</w:t>
      </w:r>
      <w:r>
        <w:rPr>
          <w:color w:val="auto"/>
          <w:highlight w:val="none"/>
        </w:rPr>
        <w:tab/>
      </w:r>
      <w:r>
        <w:rPr>
          <w:color w:val="auto"/>
          <w:highlight w:val="none"/>
        </w:rPr>
        <w:fldChar w:fldCharType="begin"/>
      </w:r>
      <w:r>
        <w:rPr>
          <w:color w:val="auto"/>
          <w:highlight w:val="none"/>
        </w:rPr>
        <w:instrText xml:space="preserve"> PAGEREF _Toc31933 \h </w:instrText>
      </w:r>
      <w:r>
        <w:rPr>
          <w:color w:val="auto"/>
          <w:highlight w:val="none"/>
        </w:rPr>
        <w:fldChar w:fldCharType="separate"/>
      </w:r>
      <w:r>
        <w:rPr>
          <w:color w:val="auto"/>
          <w:highlight w:val="none"/>
        </w:rPr>
        <w:t>14</w:t>
      </w:r>
      <w:r>
        <w:rPr>
          <w:color w:val="auto"/>
          <w:highlight w:val="none"/>
        </w:rPr>
        <w:fldChar w:fldCharType="end"/>
      </w:r>
      <w:r>
        <w:rPr>
          <w:rFonts w:hint="eastAsia" w:hAnsi="宋体"/>
          <w:color w:val="auto"/>
          <w:szCs w:val="28"/>
          <w:highlight w:val="none"/>
        </w:rPr>
        <w:fldChar w:fldCharType="end"/>
      </w:r>
    </w:p>
    <w:p>
      <w:pPr>
        <w:pStyle w:val="22"/>
        <w:tabs>
          <w:tab w:val="right" w:leader="dot" w:pos="8306"/>
        </w:tabs>
        <w:spacing w:line="360" w:lineRule="auto"/>
        <w:rPr>
          <w:color w:val="auto"/>
          <w:highlight w:val="none"/>
        </w:rPr>
      </w:pPr>
      <w:r>
        <w:rPr>
          <w:rFonts w:hint="eastAsia" w:hAnsi="宋体"/>
          <w:color w:val="auto"/>
          <w:szCs w:val="28"/>
          <w:highlight w:val="none"/>
        </w:rPr>
        <w:fldChar w:fldCharType="begin"/>
      </w:r>
      <w:r>
        <w:rPr>
          <w:rFonts w:hint="eastAsia" w:hAnsi="宋体"/>
          <w:color w:val="auto"/>
          <w:szCs w:val="28"/>
          <w:highlight w:val="none"/>
        </w:rPr>
        <w:instrText xml:space="preserve"> HYPERLINK \l _Toc14679 </w:instrText>
      </w:r>
      <w:r>
        <w:rPr>
          <w:rFonts w:hint="eastAsia" w:hAnsi="宋体"/>
          <w:color w:val="auto"/>
          <w:szCs w:val="28"/>
          <w:highlight w:val="none"/>
        </w:rPr>
        <w:fldChar w:fldCharType="separate"/>
      </w:r>
      <w:r>
        <w:rPr>
          <w:rFonts w:hint="eastAsia" w:cs="Times New Roman"/>
          <w:color w:val="auto"/>
          <w:highlight w:val="none"/>
        </w:rPr>
        <w:t xml:space="preserve">六、 </w:t>
      </w:r>
      <w:r>
        <w:rPr>
          <w:rFonts w:hint="eastAsia"/>
          <w:color w:val="auto"/>
          <w:highlight w:val="none"/>
        </w:rPr>
        <w:t>采购中止的情形</w:t>
      </w:r>
      <w:r>
        <w:rPr>
          <w:color w:val="auto"/>
          <w:highlight w:val="none"/>
        </w:rPr>
        <w:tab/>
      </w:r>
      <w:r>
        <w:rPr>
          <w:color w:val="auto"/>
          <w:highlight w:val="none"/>
        </w:rPr>
        <w:fldChar w:fldCharType="begin"/>
      </w:r>
      <w:r>
        <w:rPr>
          <w:color w:val="auto"/>
          <w:highlight w:val="none"/>
        </w:rPr>
        <w:instrText xml:space="preserve"> PAGEREF _Toc14679 \h </w:instrText>
      </w:r>
      <w:r>
        <w:rPr>
          <w:color w:val="auto"/>
          <w:highlight w:val="none"/>
        </w:rPr>
        <w:fldChar w:fldCharType="separate"/>
      </w:r>
      <w:r>
        <w:rPr>
          <w:color w:val="auto"/>
          <w:highlight w:val="none"/>
        </w:rPr>
        <w:t>15</w:t>
      </w:r>
      <w:r>
        <w:rPr>
          <w:color w:val="auto"/>
          <w:highlight w:val="none"/>
        </w:rPr>
        <w:fldChar w:fldCharType="end"/>
      </w:r>
      <w:r>
        <w:rPr>
          <w:rFonts w:hint="eastAsia" w:hAnsi="宋体"/>
          <w:color w:val="auto"/>
          <w:szCs w:val="28"/>
          <w:highlight w:val="none"/>
        </w:rPr>
        <w:fldChar w:fldCharType="end"/>
      </w:r>
    </w:p>
    <w:p>
      <w:pPr>
        <w:pStyle w:val="22"/>
        <w:tabs>
          <w:tab w:val="right" w:leader="dot" w:pos="8306"/>
        </w:tabs>
        <w:spacing w:line="360" w:lineRule="auto"/>
        <w:rPr>
          <w:color w:val="auto"/>
          <w:highlight w:val="none"/>
        </w:rPr>
      </w:pPr>
      <w:r>
        <w:rPr>
          <w:rFonts w:hint="eastAsia" w:hAnsi="宋体"/>
          <w:color w:val="auto"/>
          <w:szCs w:val="28"/>
          <w:highlight w:val="none"/>
        </w:rPr>
        <w:fldChar w:fldCharType="begin"/>
      </w:r>
      <w:r>
        <w:rPr>
          <w:rFonts w:hint="eastAsia" w:hAnsi="宋体"/>
          <w:color w:val="auto"/>
          <w:szCs w:val="28"/>
          <w:highlight w:val="none"/>
        </w:rPr>
        <w:instrText xml:space="preserve"> HYPERLINK \l _Toc23879 </w:instrText>
      </w:r>
      <w:r>
        <w:rPr>
          <w:rFonts w:hint="eastAsia" w:hAnsi="宋体"/>
          <w:color w:val="auto"/>
          <w:szCs w:val="28"/>
          <w:highlight w:val="none"/>
        </w:rPr>
        <w:fldChar w:fldCharType="separate"/>
      </w:r>
      <w:r>
        <w:rPr>
          <w:rFonts w:hint="eastAsia" w:cs="Times New Roman"/>
          <w:color w:val="auto"/>
          <w:highlight w:val="none"/>
        </w:rPr>
        <w:t xml:space="preserve">七、 </w:t>
      </w:r>
      <w:r>
        <w:rPr>
          <w:rFonts w:hint="eastAsia"/>
          <w:color w:val="auto"/>
          <w:highlight w:val="none"/>
        </w:rPr>
        <w:t>确定成交供应商与签订合同</w:t>
      </w:r>
      <w:r>
        <w:rPr>
          <w:color w:val="auto"/>
          <w:highlight w:val="none"/>
        </w:rPr>
        <w:tab/>
      </w:r>
      <w:r>
        <w:rPr>
          <w:color w:val="auto"/>
          <w:highlight w:val="none"/>
        </w:rPr>
        <w:fldChar w:fldCharType="begin"/>
      </w:r>
      <w:r>
        <w:rPr>
          <w:color w:val="auto"/>
          <w:highlight w:val="none"/>
        </w:rPr>
        <w:instrText xml:space="preserve"> PAGEREF _Toc23879 \h </w:instrText>
      </w:r>
      <w:r>
        <w:rPr>
          <w:color w:val="auto"/>
          <w:highlight w:val="none"/>
        </w:rPr>
        <w:fldChar w:fldCharType="separate"/>
      </w:r>
      <w:r>
        <w:rPr>
          <w:color w:val="auto"/>
          <w:highlight w:val="none"/>
        </w:rPr>
        <w:t>16</w:t>
      </w:r>
      <w:r>
        <w:rPr>
          <w:color w:val="auto"/>
          <w:highlight w:val="none"/>
        </w:rPr>
        <w:fldChar w:fldCharType="end"/>
      </w:r>
      <w:r>
        <w:rPr>
          <w:rFonts w:hint="eastAsia" w:hAnsi="宋体"/>
          <w:color w:val="auto"/>
          <w:szCs w:val="28"/>
          <w:highlight w:val="none"/>
        </w:rPr>
        <w:fldChar w:fldCharType="end"/>
      </w:r>
    </w:p>
    <w:p>
      <w:pPr>
        <w:pStyle w:val="20"/>
        <w:tabs>
          <w:tab w:val="right" w:leader="dot" w:pos="8306"/>
        </w:tabs>
        <w:spacing w:line="360" w:lineRule="auto"/>
        <w:rPr>
          <w:color w:val="auto"/>
          <w:highlight w:val="none"/>
        </w:rPr>
      </w:pPr>
      <w:r>
        <w:rPr>
          <w:rFonts w:hint="eastAsia" w:hAnsi="宋体"/>
          <w:color w:val="auto"/>
          <w:szCs w:val="28"/>
          <w:highlight w:val="none"/>
        </w:rPr>
        <w:fldChar w:fldCharType="begin"/>
      </w:r>
      <w:r>
        <w:rPr>
          <w:rFonts w:hint="eastAsia" w:hAnsi="宋体"/>
          <w:color w:val="auto"/>
          <w:szCs w:val="28"/>
          <w:highlight w:val="none"/>
        </w:rPr>
        <w:instrText xml:space="preserve"> HYPERLINK \l _Toc10923 </w:instrText>
      </w:r>
      <w:r>
        <w:rPr>
          <w:rFonts w:hint="eastAsia" w:hAnsi="宋体"/>
          <w:color w:val="auto"/>
          <w:szCs w:val="28"/>
          <w:highlight w:val="none"/>
        </w:rPr>
        <w:fldChar w:fldCharType="separate"/>
      </w:r>
      <w:r>
        <w:rPr>
          <w:rFonts w:hint="eastAsia"/>
          <w:color w:val="auto"/>
          <w:szCs w:val="36"/>
          <w:highlight w:val="none"/>
        </w:rPr>
        <w:t xml:space="preserve">第三部分 </w:t>
      </w:r>
      <w:r>
        <w:rPr>
          <w:rFonts w:hint="eastAsia" w:cs="宋体"/>
          <w:color w:val="auto"/>
          <w:szCs w:val="36"/>
          <w:highlight w:val="none"/>
        </w:rPr>
        <w:t>采购内容及要求</w:t>
      </w:r>
      <w:r>
        <w:rPr>
          <w:color w:val="auto"/>
          <w:highlight w:val="none"/>
        </w:rPr>
        <w:tab/>
      </w:r>
      <w:r>
        <w:rPr>
          <w:color w:val="auto"/>
          <w:highlight w:val="none"/>
        </w:rPr>
        <w:fldChar w:fldCharType="begin"/>
      </w:r>
      <w:r>
        <w:rPr>
          <w:color w:val="auto"/>
          <w:highlight w:val="none"/>
        </w:rPr>
        <w:instrText xml:space="preserve"> PAGEREF _Toc10923 \h </w:instrText>
      </w:r>
      <w:r>
        <w:rPr>
          <w:color w:val="auto"/>
          <w:highlight w:val="none"/>
        </w:rPr>
        <w:fldChar w:fldCharType="separate"/>
      </w:r>
      <w:r>
        <w:rPr>
          <w:color w:val="auto"/>
          <w:highlight w:val="none"/>
        </w:rPr>
        <w:t>18</w:t>
      </w:r>
      <w:r>
        <w:rPr>
          <w:color w:val="auto"/>
          <w:highlight w:val="none"/>
        </w:rPr>
        <w:fldChar w:fldCharType="end"/>
      </w:r>
      <w:r>
        <w:rPr>
          <w:rFonts w:hint="eastAsia" w:hAnsi="宋体"/>
          <w:color w:val="auto"/>
          <w:szCs w:val="28"/>
          <w:highlight w:val="none"/>
        </w:rPr>
        <w:fldChar w:fldCharType="end"/>
      </w:r>
    </w:p>
    <w:p>
      <w:pPr>
        <w:pStyle w:val="22"/>
        <w:tabs>
          <w:tab w:val="right" w:leader="dot" w:pos="8306"/>
        </w:tabs>
        <w:spacing w:line="360" w:lineRule="auto"/>
        <w:rPr>
          <w:color w:val="auto"/>
          <w:highlight w:val="none"/>
        </w:rPr>
      </w:pPr>
      <w:r>
        <w:rPr>
          <w:rFonts w:hint="eastAsia" w:hAnsi="宋体"/>
          <w:color w:val="auto"/>
          <w:szCs w:val="28"/>
          <w:highlight w:val="none"/>
        </w:rPr>
        <w:fldChar w:fldCharType="begin"/>
      </w:r>
      <w:r>
        <w:rPr>
          <w:rFonts w:hint="eastAsia" w:hAnsi="宋体"/>
          <w:color w:val="auto"/>
          <w:szCs w:val="28"/>
          <w:highlight w:val="none"/>
        </w:rPr>
        <w:instrText xml:space="preserve"> HYPERLINK \l _Toc918 </w:instrText>
      </w:r>
      <w:r>
        <w:rPr>
          <w:rFonts w:hint="eastAsia" w:hAnsi="宋体"/>
          <w:color w:val="auto"/>
          <w:szCs w:val="28"/>
          <w:highlight w:val="none"/>
        </w:rPr>
        <w:fldChar w:fldCharType="separate"/>
      </w:r>
      <w:r>
        <w:rPr>
          <w:rFonts w:hint="eastAsia"/>
          <w:color w:val="auto"/>
          <w:highlight w:val="none"/>
        </w:rPr>
        <w:t>第一章 采购内容及要求</w:t>
      </w:r>
      <w:r>
        <w:rPr>
          <w:color w:val="auto"/>
          <w:highlight w:val="none"/>
        </w:rPr>
        <w:tab/>
      </w:r>
      <w:r>
        <w:rPr>
          <w:color w:val="auto"/>
          <w:highlight w:val="none"/>
        </w:rPr>
        <w:fldChar w:fldCharType="begin"/>
      </w:r>
      <w:r>
        <w:rPr>
          <w:color w:val="auto"/>
          <w:highlight w:val="none"/>
        </w:rPr>
        <w:instrText xml:space="preserve"> PAGEREF _Toc918 \h </w:instrText>
      </w:r>
      <w:r>
        <w:rPr>
          <w:color w:val="auto"/>
          <w:highlight w:val="none"/>
        </w:rPr>
        <w:fldChar w:fldCharType="separate"/>
      </w:r>
      <w:r>
        <w:rPr>
          <w:color w:val="auto"/>
          <w:highlight w:val="none"/>
        </w:rPr>
        <w:t>18</w:t>
      </w:r>
      <w:r>
        <w:rPr>
          <w:color w:val="auto"/>
          <w:highlight w:val="none"/>
        </w:rPr>
        <w:fldChar w:fldCharType="end"/>
      </w:r>
      <w:r>
        <w:rPr>
          <w:rFonts w:hint="eastAsia" w:hAnsi="宋体"/>
          <w:color w:val="auto"/>
          <w:szCs w:val="28"/>
          <w:highlight w:val="none"/>
        </w:rPr>
        <w:fldChar w:fldCharType="end"/>
      </w:r>
    </w:p>
    <w:p>
      <w:pPr>
        <w:pStyle w:val="22"/>
        <w:tabs>
          <w:tab w:val="right" w:leader="dot" w:pos="8306"/>
        </w:tabs>
        <w:spacing w:line="360" w:lineRule="auto"/>
        <w:rPr>
          <w:color w:val="auto"/>
          <w:highlight w:val="none"/>
        </w:rPr>
      </w:pPr>
      <w:r>
        <w:rPr>
          <w:rFonts w:hint="eastAsia" w:hAnsi="宋体"/>
          <w:color w:val="auto"/>
          <w:szCs w:val="28"/>
          <w:highlight w:val="none"/>
        </w:rPr>
        <w:fldChar w:fldCharType="begin"/>
      </w:r>
      <w:r>
        <w:rPr>
          <w:rFonts w:hint="eastAsia" w:hAnsi="宋体"/>
          <w:color w:val="auto"/>
          <w:szCs w:val="28"/>
          <w:highlight w:val="none"/>
        </w:rPr>
        <w:instrText xml:space="preserve"> HYPERLINK \l _Toc10510 </w:instrText>
      </w:r>
      <w:r>
        <w:rPr>
          <w:rFonts w:hint="eastAsia" w:hAnsi="宋体"/>
          <w:color w:val="auto"/>
          <w:szCs w:val="28"/>
          <w:highlight w:val="none"/>
        </w:rPr>
        <w:fldChar w:fldCharType="separate"/>
      </w:r>
      <w:r>
        <w:rPr>
          <w:rFonts w:hint="eastAsia" w:ascii="宋体" w:hAnsi="宋体" w:eastAsia="宋体" w:cs="宋体"/>
          <w:color w:val="auto"/>
          <w:kern w:val="0"/>
          <w:highlight w:val="none"/>
          <w:lang w:eastAsia="zh-CN"/>
        </w:rPr>
        <w:t>第二章</w:t>
      </w:r>
      <w:r>
        <w:rPr>
          <w:rFonts w:hint="eastAsia" w:ascii="宋体" w:hAnsi="宋体" w:eastAsia="宋体" w:cs="宋体"/>
          <w:color w:val="auto"/>
          <w:highlight w:val="none"/>
        </w:rPr>
        <w:t>　</w:t>
      </w:r>
      <w:r>
        <w:rPr>
          <w:rFonts w:hint="eastAsia" w:ascii="宋体" w:hAnsi="宋体" w:eastAsia="宋体" w:cs="宋体"/>
          <w:color w:val="auto"/>
          <w:kern w:val="0"/>
          <w:highlight w:val="none"/>
        </w:rPr>
        <w:t>付款方式及要求</w:t>
      </w:r>
      <w:r>
        <w:rPr>
          <w:color w:val="auto"/>
          <w:highlight w:val="none"/>
        </w:rPr>
        <w:tab/>
      </w:r>
      <w:r>
        <w:rPr>
          <w:color w:val="auto"/>
          <w:highlight w:val="none"/>
        </w:rPr>
        <w:fldChar w:fldCharType="begin"/>
      </w:r>
      <w:r>
        <w:rPr>
          <w:color w:val="auto"/>
          <w:highlight w:val="none"/>
        </w:rPr>
        <w:instrText xml:space="preserve"> PAGEREF _Toc10510 \h </w:instrText>
      </w:r>
      <w:r>
        <w:rPr>
          <w:color w:val="auto"/>
          <w:highlight w:val="none"/>
        </w:rPr>
        <w:fldChar w:fldCharType="separate"/>
      </w:r>
      <w:r>
        <w:rPr>
          <w:color w:val="auto"/>
          <w:highlight w:val="none"/>
        </w:rPr>
        <w:t>22</w:t>
      </w:r>
      <w:r>
        <w:rPr>
          <w:color w:val="auto"/>
          <w:highlight w:val="none"/>
        </w:rPr>
        <w:fldChar w:fldCharType="end"/>
      </w:r>
      <w:r>
        <w:rPr>
          <w:rFonts w:hint="eastAsia" w:hAnsi="宋体"/>
          <w:color w:val="auto"/>
          <w:szCs w:val="28"/>
          <w:highlight w:val="none"/>
        </w:rPr>
        <w:fldChar w:fldCharType="end"/>
      </w:r>
    </w:p>
    <w:p>
      <w:pPr>
        <w:pStyle w:val="20"/>
        <w:tabs>
          <w:tab w:val="right" w:leader="dot" w:pos="8306"/>
        </w:tabs>
        <w:spacing w:line="360" w:lineRule="auto"/>
        <w:rPr>
          <w:color w:val="auto"/>
          <w:highlight w:val="none"/>
        </w:rPr>
      </w:pPr>
      <w:r>
        <w:rPr>
          <w:rFonts w:hint="eastAsia" w:hAnsi="宋体"/>
          <w:color w:val="auto"/>
          <w:szCs w:val="28"/>
          <w:highlight w:val="none"/>
        </w:rPr>
        <w:fldChar w:fldCharType="begin"/>
      </w:r>
      <w:r>
        <w:rPr>
          <w:rFonts w:hint="eastAsia" w:hAnsi="宋体"/>
          <w:color w:val="auto"/>
          <w:szCs w:val="28"/>
          <w:highlight w:val="none"/>
        </w:rPr>
        <w:instrText xml:space="preserve"> HYPERLINK \l _Toc27753 </w:instrText>
      </w:r>
      <w:r>
        <w:rPr>
          <w:rFonts w:hint="eastAsia" w:hAnsi="宋体"/>
          <w:color w:val="auto"/>
          <w:szCs w:val="28"/>
          <w:highlight w:val="none"/>
        </w:rPr>
        <w:fldChar w:fldCharType="separate"/>
      </w:r>
      <w:r>
        <w:rPr>
          <w:rFonts w:hint="eastAsia" w:cs="宋体"/>
          <w:color w:val="auto"/>
          <w:szCs w:val="36"/>
          <w:highlight w:val="none"/>
        </w:rPr>
        <w:t>第四部分 磋商原则及磋商方法</w:t>
      </w:r>
      <w:r>
        <w:rPr>
          <w:color w:val="auto"/>
          <w:highlight w:val="none"/>
        </w:rPr>
        <w:tab/>
      </w:r>
      <w:r>
        <w:rPr>
          <w:color w:val="auto"/>
          <w:highlight w:val="none"/>
        </w:rPr>
        <w:fldChar w:fldCharType="begin"/>
      </w:r>
      <w:r>
        <w:rPr>
          <w:color w:val="auto"/>
          <w:highlight w:val="none"/>
        </w:rPr>
        <w:instrText xml:space="preserve"> PAGEREF _Toc27753 \h </w:instrText>
      </w:r>
      <w:r>
        <w:rPr>
          <w:color w:val="auto"/>
          <w:highlight w:val="none"/>
        </w:rPr>
        <w:fldChar w:fldCharType="separate"/>
      </w:r>
      <w:r>
        <w:rPr>
          <w:color w:val="auto"/>
          <w:highlight w:val="none"/>
        </w:rPr>
        <w:t>23</w:t>
      </w:r>
      <w:r>
        <w:rPr>
          <w:color w:val="auto"/>
          <w:highlight w:val="none"/>
        </w:rPr>
        <w:fldChar w:fldCharType="end"/>
      </w:r>
      <w:r>
        <w:rPr>
          <w:rFonts w:hint="eastAsia" w:hAnsi="宋体"/>
          <w:color w:val="auto"/>
          <w:szCs w:val="28"/>
          <w:highlight w:val="none"/>
        </w:rPr>
        <w:fldChar w:fldCharType="end"/>
      </w:r>
    </w:p>
    <w:p>
      <w:pPr>
        <w:pStyle w:val="22"/>
        <w:tabs>
          <w:tab w:val="right" w:leader="dot" w:pos="8306"/>
        </w:tabs>
        <w:spacing w:line="360" w:lineRule="auto"/>
        <w:rPr>
          <w:color w:val="auto"/>
          <w:highlight w:val="none"/>
        </w:rPr>
      </w:pPr>
      <w:r>
        <w:rPr>
          <w:rFonts w:hint="eastAsia" w:hAnsi="宋体"/>
          <w:color w:val="auto"/>
          <w:szCs w:val="28"/>
          <w:highlight w:val="none"/>
        </w:rPr>
        <w:fldChar w:fldCharType="begin"/>
      </w:r>
      <w:r>
        <w:rPr>
          <w:rFonts w:hint="eastAsia" w:hAnsi="宋体"/>
          <w:color w:val="auto"/>
          <w:szCs w:val="28"/>
          <w:highlight w:val="none"/>
        </w:rPr>
        <w:instrText xml:space="preserve"> HYPERLINK \l _Toc9953 </w:instrText>
      </w:r>
      <w:r>
        <w:rPr>
          <w:rFonts w:hint="eastAsia" w:hAnsi="宋体"/>
          <w:color w:val="auto"/>
          <w:szCs w:val="28"/>
          <w:highlight w:val="none"/>
        </w:rPr>
        <w:fldChar w:fldCharType="separate"/>
      </w:r>
      <w:r>
        <w:rPr>
          <w:rFonts w:hint="eastAsia" w:cs="Times New Roman"/>
          <w:color w:val="auto"/>
          <w:highlight w:val="none"/>
        </w:rPr>
        <w:t xml:space="preserve">一、 </w:t>
      </w:r>
      <w:r>
        <w:rPr>
          <w:rFonts w:hint="eastAsia"/>
          <w:color w:val="auto"/>
          <w:highlight w:val="none"/>
        </w:rPr>
        <w:t>磋商原则</w:t>
      </w:r>
      <w:r>
        <w:rPr>
          <w:color w:val="auto"/>
          <w:highlight w:val="none"/>
        </w:rPr>
        <w:tab/>
      </w:r>
      <w:r>
        <w:rPr>
          <w:color w:val="auto"/>
          <w:highlight w:val="none"/>
        </w:rPr>
        <w:fldChar w:fldCharType="begin"/>
      </w:r>
      <w:r>
        <w:rPr>
          <w:color w:val="auto"/>
          <w:highlight w:val="none"/>
        </w:rPr>
        <w:instrText xml:space="preserve"> PAGEREF _Toc9953 \h </w:instrText>
      </w:r>
      <w:r>
        <w:rPr>
          <w:color w:val="auto"/>
          <w:highlight w:val="none"/>
        </w:rPr>
        <w:fldChar w:fldCharType="separate"/>
      </w:r>
      <w:r>
        <w:rPr>
          <w:color w:val="auto"/>
          <w:highlight w:val="none"/>
        </w:rPr>
        <w:t>23</w:t>
      </w:r>
      <w:r>
        <w:rPr>
          <w:color w:val="auto"/>
          <w:highlight w:val="none"/>
        </w:rPr>
        <w:fldChar w:fldCharType="end"/>
      </w:r>
      <w:r>
        <w:rPr>
          <w:rFonts w:hint="eastAsia" w:hAnsi="宋体"/>
          <w:color w:val="auto"/>
          <w:szCs w:val="28"/>
          <w:highlight w:val="none"/>
        </w:rPr>
        <w:fldChar w:fldCharType="end"/>
      </w:r>
    </w:p>
    <w:p>
      <w:pPr>
        <w:pStyle w:val="22"/>
        <w:tabs>
          <w:tab w:val="right" w:leader="dot" w:pos="8306"/>
        </w:tabs>
        <w:spacing w:line="360" w:lineRule="auto"/>
        <w:rPr>
          <w:color w:val="auto"/>
          <w:highlight w:val="none"/>
        </w:rPr>
      </w:pPr>
      <w:r>
        <w:rPr>
          <w:rFonts w:hint="eastAsia" w:hAnsi="宋体"/>
          <w:color w:val="auto"/>
          <w:szCs w:val="28"/>
          <w:highlight w:val="none"/>
        </w:rPr>
        <w:fldChar w:fldCharType="begin"/>
      </w:r>
      <w:r>
        <w:rPr>
          <w:rFonts w:hint="eastAsia" w:hAnsi="宋体"/>
          <w:color w:val="auto"/>
          <w:szCs w:val="28"/>
          <w:highlight w:val="none"/>
        </w:rPr>
        <w:instrText xml:space="preserve"> HYPERLINK \l _Toc1227 </w:instrText>
      </w:r>
      <w:r>
        <w:rPr>
          <w:rFonts w:hint="eastAsia" w:hAnsi="宋体"/>
          <w:color w:val="auto"/>
          <w:szCs w:val="28"/>
          <w:highlight w:val="none"/>
        </w:rPr>
        <w:fldChar w:fldCharType="separate"/>
      </w:r>
      <w:r>
        <w:rPr>
          <w:rFonts w:hint="eastAsia" w:cs="Times New Roman"/>
          <w:color w:val="auto"/>
          <w:highlight w:val="none"/>
        </w:rPr>
        <w:t xml:space="preserve">二、 </w:t>
      </w:r>
      <w:r>
        <w:rPr>
          <w:rFonts w:hint="eastAsia"/>
          <w:color w:val="auto"/>
          <w:highlight w:val="none"/>
        </w:rPr>
        <w:t>磋商程序</w:t>
      </w:r>
      <w:r>
        <w:rPr>
          <w:color w:val="auto"/>
          <w:highlight w:val="none"/>
        </w:rPr>
        <w:tab/>
      </w:r>
      <w:r>
        <w:rPr>
          <w:color w:val="auto"/>
          <w:highlight w:val="none"/>
        </w:rPr>
        <w:fldChar w:fldCharType="begin"/>
      </w:r>
      <w:r>
        <w:rPr>
          <w:color w:val="auto"/>
          <w:highlight w:val="none"/>
        </w:rPr>
        <w:instrText xml:space="preserve"> PAGEREF _Toc1227 \h </w:instrText>
      </w:r>
      <w:r>
        <w:rPr>
          <w:color w:val="auto"/>
          <w:highlight w:val="none"/>
        </w:rPr>
        <w:fldChar w:fldCharType="separate"/>
      </w:r>
      <w:r>
        <w:rPr>
          <w:color w:val="auto"/>
          <w:highlight w:val="none"/>
        </w:rPr>
        <w:t>24</w:t>
      </w:r>
      <w:r>
        <w:rPr>
          <w:color w:val="auto"/>
          <w:highlight w:val="none"/>
        </w:rPr>
        <w:fldChar w:fldCharType="end"/>
      </w:r>
      <w:r>
        <w:rPr>
          <w:rFonts w:hint="eastAsia" w:hAnsi="宋体"/>
          <w:color w:val="auto"/>
          <w:szCs w:val="28"/>
          <w:highlight w:val="none"/>
        </w:rPr>
        <w:fldChar w:fldCharType="end"/>
      </w:r>
    </w:p>
    <w:p>
      <w:pPr>
        <w:pStyle w:val="22"/>
        <w:tabs>
          <w:tab w:val="right" w:leader="dot" w:pos="8306"/>
        </w:tabs>
        <w:spacing w:line="360" w:lineRule="auto"/>
        <w:rPr>
          <w:color w:val="auto"/>
          <w:highlight w:val="none"/>
        </w:rPr>
      </w:pPr>
      <w:r>
        <w:rPr>
          <w:rFonts w:hint="eastAsia" w:hAnsi="宋体"/>
          <w:color w:val="auto"/>
          <w:szCs w:val="28"/>
          <w:highlight w:val="none"/>
        </w:rPr>
        <w:fldChar w:fldCharType="begin"/>
      </w:r>
      <w:r>
        <w:rPr>
          <w:rFonts w:hint="eastAsia" w:hAnsi="宋体"/>
          <w:color w:val="auto"/>
          <w:szCs w:val="28"/>
          <w:highlight w:val="none"/>
        </w:rPr>
        <w:instrText xml:space="preserve"> HYPERLINK \l _Toc12872 </w:instrText>
      </w:r>
      <w:r>
        <w:rPr>
          <w:rFonts w:hint="eastAsia" w:hAnsi="宋体"/>
          <w:color w:val="auto"/>
          <w:szCs w:val="28"/>
          <w:highlight w:val="none"/>
        </w:rPr>
        <w:fldChar w:fldCharType="separate"/>
      </w:r>
      <w:r>
        <w:rPr>
          <w:rFonts w:hint="eastAsia" w:cs="Times New Roman"/>
          <w:color w:val="auto"/>
          <w:highlight w:val="none"/>
        </w:rPr>
        <w:t xml:space="preserve">三、 </w:t>
      </w:r>
      <w:r>
        <w:rPr>
          <w:rFonts w:hint="eastAsia"/>
          <w:color w:val="auto"/>
          <w:highlight w:val="none"/>
        </w:rPr>
        <w:t>注意事项</w:t>
      </w:r>
      <w:r>
        <w:rPr>
          <w:color w:val="auto"/>
          <w:highlight w:val="none"/>
        </w:rPr>
        <w:tab/>
      </w:r>
      <w:r>
        <w:rPr>
          <w:color w:val="auto"/>
          <w:highlight w:val="none"/>
        </w:rPr>
        <w:fldChar w:fldCharType="begin"/>
      </w:r>
      <w:r>
        <w:rPr>
          <w:color w:val="auto"/>
          <w:highlight w:val="none"/>
        </w:rPr>
        <w:instrText xml:space="preserve"> PAGEREF _Toc12872 \h </w:instrText>
      </w:r>
      <w:r>
        <w:rPr>
          <w:color w:val="auto"/>
          <w:highlight w:val="none"/>
        </w:rPr>
        <w:fldChar w:fldCharType="separate"/>
      </w:r>
      <w:r>
        <w:rPr>
          <w:color w:val="auto"/>
          <w:highlight w:val="none"/>
        </w:rPr>
        <w:t>27</w:t>
      </w:r>
      <w:r>
        <w:rPr>
          <w:color w:val="auto"/>
          <w:highlight w:val="none"/>
        </w:rPr>
        <w:fldChar w:fldCharType="end"/>
      </w:r>
      <w:r>
        <w:rPr>
          <w:rFonts w:hint="eastAsia" w:hAnsi="宋体"/>
          <w:color w:val="auto"/>
          <w:szCs w:val="28"/>
          <w:highlight w:val="none"/>
        </w:rPr>
        <w:fldChar w:fldCharType="end"/>
      </w:r>
    </w:p>
    <w:p>
      <w:pPr>
        <w:pStyle w:val="22"/>
        <w:tabs>
          <w:tab w:val="right" w:leader="dot" w:pos="8306"/>
        </w:tabs>
        <w:spacing w:line="360" w:lineRule="auto"/>
        <w:rPr>
          <w:color w:val="auto"/>
          <w:highlight w:val="none"/>
        </w:rPr>
      </w:pPr>
      <w:r>
        <w:rPr>
          <w:rFonts w:hint="eastAsia" w:hAnsi="宋体"/>
          <w:color w:val="auto"/>
          <w:szCs w:val="28"/>
          <w:highlight w:val="none"/>
        </w:rPr>
        <w:fldChar w:fldCharType="begin"/>
      </w:r>
      <w:r>
        <w:rPr>
          <w:rFonts w:hint="eastAsia" w:hAnsi="宋体"/>
          <w:color w:val="auto"/>
          <w:szCs w:val="28"/>
          <w:highlight w:val="none"/>
        </w:rPr>
        <w:instrText xml:space="preserve"> HYPERLINK \l _Toc18066 </w:instrText>
      </w:r>
      <w:r>
        <w:rPr>
          <w:rFonts w:hint="eastAsia" w:hAnsi="宋体"/>
          <w:color w:val="auto"/>
          <w:szCs w:val="28"/>
          <w:highlight w:val="none"/>
        </w:rPr>
        <w:fldChar w:fldCharType="separate"/>
      </w:r>
      <w:r>
        <w:rPr>
          <w:rFonts w:hint="eastAsia" w:cs="Times New Roman"/>
          <w:color w:val="auto"/>
          <w:highlight w:val="none"/>
        </w:rPr>
        <w:t xml:space="preserve">四、 </w:t>
      </w:r>
      <w:r>
        <w:rPr>
          <w:rFonts w:hint="eastAsia"/>
          <w:color w:val="auto"/>
          <w:highlight w:val="none"/>
        </w:rPr>
        <w:t>评分细则</w:t>
      </w:r>
      <w:r>
        <w:rPr>
          <w:color w:val="auto"/>
          <w:highlight w:val="none"/>
        </w:rPr>
        <w:tab/>
      </w:r>
      <w:r>
        <w:rPr>
          <w:color w:val="auto"/>
          <w:highlight w:val="none"/>
        </w:rPr>
        <w:fldChar w:fldCharType="begin"/>
      </w:r>
      <w:r>
        <w:rPr>
          <w:color w:val="auto"/>
          <w:highlight w:val="none"/>
        </w:rPr>
        <w:instrText xml:space="preserve"> PAGEREF _Toc18066 \h </w:instrText>
      </w:r>
      <w:r>
        <w:rPr>
          <w:color w:val="auto"/>
          <w:highlight w:val="none"/>
        </w:rPr>
        <w:fldChar w:fldCharType="separate"/>
      </w:r>
      <w:r>
        <w:rPr>
          <w:color w:val="auto"/>
          <w:highlight w:val="none"/>
        </w:rPr>
        <w:t>28</w:t>
      </w:r>
      <w:r>
        <w:rPr>
          <w:color w:val="auto"/>
          <w:highlight w:val="none"/>
        </w:rPr>
        <w:fldChar w:fldCharType="end"/>
      </w:r>
      <w:r>
        <w:rPr>
          <w:rFonts w:hint="eastAsia" w:hAnsi="宋体"/>
          <w:color w:val="auto"/>
          <w:szCs w:val="28"/>
          <w:highlight w:val="none"/>
        </w:rPr>
        <w:fldChar w:fldCharType="end"/>
      </w:r>
    </w:p>
    <w:p>
      <w:pPr>
        <w:pStyle w:val="20"/>
        <w:tabs>
          <w:tab w:val="right" w:leader="dot" w:pos="8306"/>
        </w:tabs>
        <w:spacing w:line="360" w:lineRule="auto"/>
        <w:rPr>
          <w:color w:val="auto"/>
          <w:highlight w:val="none"/>
        </w:rPr>
      </w:pPr>
      <w:r>
        <w:rPr>
          <w:rFonts w:hint="eastAsia" w:hAnsi="宋体"/>
          <w:color w:val="auto"/>
          <w:szCs w:val="28"/>
          <w:highlight w:val="none"/>
        </w:rPr>
        <w:fldChar w:fldCharType="begin"/>
      </w:r>
      <w:r>
        <w:rPr>
          <w:rFonts w:hint="eastAsia" w:hAnsi="宋体"/>
          <w:color w:val="auto"/>
          <w:szCs w:val="28"/>
          <w:highlight w:val="none"/>
        </w:rPr>
        <w:instrText xml:space="preserve"> HYPERLINK \l _Toc7198 </w:instrText>
      </w:r>
      <w:r>
        <w:rPr>
          <w:rFonts w:hint="eastAsia" w:hAnsi="宋体"/>
          <w:color w:val="auto"/>
          <w:szCs w:val="28"/>
          <w:highlight w:val="none"/>
        </w:rPr>
        <w:fldChar w:fldCharType="separate"/>
      </w:r>
      <w:r>
        <w:rPr>
          <w:rFonts w:hint="eastAsia" w:cs="宋体"/>
          <w:color w:val="auto"/>
          <w:szCs w:val="36"/>
          <w:highlight w:val="none"/>
        </w:rPr>
        <w:t>第五部分</w:t>
      </w:r>
      <w:r>
        <w:rPr>
          <w:color w:val="auto"/>
          <w:szCs w:val="36"/>
          <w:highlight w:val="none"/>
        </w:rPr>
        <w:t xml:space="preserve"> </w:t>
      </w:r>
      <w:r>
        <w:rPr>
          <w:rFonts w:hint="eastAsia" w:cs="宋体"/>
          <w:color w:val="auto"/>
          <w:szCs w:val="36"/>
          <w:highlight w:val="none"/>
        </w:rPr>
        <w:t>采购合同</w:t>
      </w:r>
      <w:r>
        <w:rPr>
          <w:color w:val="auto"/>
          <w:highlight w:val="none"/>
        </w:rPr>
        <w:tab/>
      </w:r>
      <w:r>
        <w:rPr>
          <w:color w:val="auto"/>
          <w:highlight w:val="none"/>
        </w:rPr>
        <w:fldChar w:fldCharType="begin"/>
      </w:r>
      <w:r>
        <w:rPr>
          <w:color w:val="auto"/>
          <w:highlight w:val="none"/>
        </w:rPr>
        <w:instrText xml:space="preserve"> PAGEREF _Toc7198 \h </w:instrText>
      </w:r>
      <w:r>
        <w:rPr>
          <w:color w:val="auto"/>
          <w:highlight w:val="none"/>
        </w:rPr>
        <w:fldChar w:fldCharType="separate"/>
      </w:r>
      <w:r>
        <w:rPr>
          <w:color w:val="auto"/>
          <w:highlight w:val="none"/>
        </w:rPr>
        <w:t>33</w:t>
      </w:r>
      <w:r>
        <w:rPr>
          <w:color w:val="auto"/>
          <w:highlight w:val="none"/>
        </w:rPr>
        <w:fldChar w:fldCharType="end"/>
      </w:r>
      <w:r>
        <w:rPr>
          <w:rFonts w:hint="eastAsia" w:hAnsi="宋体"/>
          <w:color w:val="auto"/>
          <w:szCs w:val="28"/>
          <w:highlight w:val="none"/>
        </w:rPr>
        <w:fldChar w:fldCharType="end"/>
      </w:r>
    </w:p>
    <w:p>
      <w:pPr>
        <w:pStyle w:val="20"/>
        <w:tabs>
          <w:tab w:val="right" w:leader="dot" w:pos="8306"/>
        </w:tabs>
        <w:rPr>
          <w:color w:val="auto"/>
          <w:highlight w:val="none"/>
        </w:rPr>
      </w:pPr>
      <w:r>
        <w:rPr>
          <w:rFonts w:hint="eastAsia" w:hAnsi="宋体"/>
          <w:color w:val="auto"/>
          <w:szCs w:val="28"/>
          <w:highlight w:val="none"/>
        </w:rPr>
        <w:fldChar w:fldCharType="begin"/>
      </w:r>
      <w:r>
        <w:rPr>
          <w:rFonts w:hint="eastAsia" w:hAnsi="宋体"/>
          <w:color w:val="auto"/>
          <w:szCs w:val="28"/>
          <w:highlight w:val="none"/>
        </w:rPr>
        <w:instrText xml:space="preserve"> HYPERLINK \l _Toc9071 </w:instrText>
      </w:r>
      <w:r>
        <w:rPr>
          <w:rFonts w:hint="eastAsia" w:hAnsi="宋体"/>
          <w:color w:val="auto"/>
          <w:szCs w:val="28"/>
          <w:highlight w:val="none"/>
        </w:rPr>
        <w:fldChar w:fldCharType="separate"/>
      </w:r>
      <w:r>
        <w:rPr>
          <w:rFonts w:hint="eastAsia" w:cs="宋体"/>
          <w:color w:val="auto"/>
          <w:szCs w:val="36"/>
          <w:highlight w:val="none"/>
        </w:rPr>
        <w:t>第六部分</w:t>
      </w:r>
      <w:r>
        <w:rPr>
          <w:color w:val="auto"/>
          <w:szCs w:val="36"/>
          <w:highlight w:val="none"/>
        </w:rPr>
        <w:t xml:space="preserve"> </w:t>
      </w:r>
      <w:r>
        <w:rPr>
          <w:rFonts w:hint="eastAsia" w:cs="宋体"/>
          <w:color w:val="auto"/>
          <w:szCs w:val="36"/>
          <w:highlight w:val="none"/>
        </w:rPr>
        <w:t>应提交的有关格式范例</w:t>
      </w:r>
      <w:r>
        <w:rPr>
          <w:color w:val="auto"/>
          <w:highlight w:val="none"/>
        </w:rPr>
        <w:tab/>
      </w:r>
      <w:r>
        <w:rPr>
          <w:color w:val="auto"/>
          <w:highlight w:val="none"/>
        </w:rPr>
        <w:fldChar w:fldCharType="begin"/>
      </w:r>
      <w:r>
        <w:rPr>
          <w:color w:val="auto"/>
          <w:highlight w:val="none"/>
        </w:rPr>
        <w:instrText xml:space="preserve"> PAGEREF _Toc9071 \h </w:instrText>
      </w:r>
      <w:r>
        <w:rPr>
          <w:color w:val="auto"/>
          <w:highlight w:val="none"/>
        </w:rPr>
        <w:fldChar w:fldCharType="separate"/>
      </w:r>
      <w:r>
        <w:rPr>
          <w:color w:val="auto"/>
          <w:highlight w:val="none"/>
        </w:rPr>
        <w:t>36</w:t>
      </w:r>
      <w:r>
        <w:rPr>
          <w:color w:val="auto"/>
          <w:highlight w:val="none"/>
        </w:rPr>
        <w:fldChar w:fldCharType="end"/>
      </w:r>
      <w:r>
        <w:rPr>
          <w:rFonts w:hint="eastAsia" w:hAnsi="宋体"/>
          <w:color w:val="auto"/>
          <w:szCs w:val="28"/>
          <w:highlight w:val="none"/>
        </w:rPr>
        <w:fldChar w:fldCharType="end"/>
      </w:r>
    </w:p>
    <w:p>
      <w:pPr>
        <w:pStyle w:val="3"/>
        <w:spacing w:line="360" w:lineRule="auto"/>
        <w:rPr>
          <w:rFonts w:cs="Times New Roman"/>
          <w:color w:val="auto"/>
          <w:highlight w:val="none"/>
        </w:rPr>
      </w:pPr>
      <w:r>
        <w:rPr>
          <w:rFonts w:hint="eastAsia" w:hAnsi="宋体"/>
          <w:color w:val="auto"/>
          <w:szCs w:val="28"/>
          <w:highlight w:val="none"/>
        </w:rPr>
        <w:fldChar w:fldCharType="end"/>
      </w:r>
    </w:p>
    <w:p>
      <w:pPr>
        <w:rPr>
          <w:color w:val="auto"/>
          <w:highlight w:val="none"/>
        </w:rPr>
      </w:pPr>
    </w:p>
    <w:p>
      <w:pPr>
        <w:rPr>
          <w:color w:val="auto"/>
          <w:highlight w:val="none"/>
        </w:rPr>
      </w:pPr>
    </w:p>
    <w:p>
      <w:pPr>
        <w:rPr>
          <w:color w:val="auto"/>
          <w:highlight w:val="none"/>
        </w:rPr>
      </w:pPr>
    </w:p>
    <w:p>
      <w:pPr>
        <w:rPr>
          <w:color w:val="auto"/>
          <w:highlight w:val="none"/>
        </w:rPr>
      </w:pPr>
    </w:p>
    <w:p>
      <w:pPr>
        <w:tabs>
          <w:tab w:val="left" w:pos="3148"/>
        </w:tabs>
        <w:jc w:val="left"/>
        <w:rPr>
          <w:color w:val="auto"/>
          <w:highlight w:val="none"/>
        </w:rPr>
        <w:sectPr>
          <w:footerReference r:id="rId3" w:type="default"/>
          <w:pgSz w:w="11906" w:h="16838"/>
          <w:pgMar w:top="1440" w:right="1800" w:bottom="1440" w:left="1800" w:header="851" w:footer="992" w:gutter="0"/>
          <w:pgNumType w:start="1"/>
          <w:cols w:space="425" w:num="1"/>
          <w:docGrid w:type="lines" w:linePitch="312" w:charSpace="0"/>
        </w:sectPr>
      </w:pPr>
      <w:r>
        <w:rPr>
          <w:color w:val="auto"/>
          <w:highlight w:val="none"/>
        </w:rPr>
        <w:tab/>
      </w:r>
    </w:p>
    <w:p>
      <w:pPr>
        <w:pStyle w:val="2"/>
        <w:jc w:val="center"/>
        <w:rPr>
          <w:rFonts w:ascii="宋体" w:cs="Times New Roman"/>
          <w:color w:val="auto"/>
          <w:highlight w:val="none"/>
        </w:rPr>
      </w:pPr>
      <w:bookmarkStart w:id="0" w:name="_Toc7443"/>
      <w:bookmarkStart w:id="1" w:name="_Toc32199"/>
      <w:bookmarkStart w:id="2" w:name="_Toc31034"/>
      <w:bookmarkStart w:id="3" w:name="第二部分"/>
      <w:bookmarkStart w:id="4" w:name="_Toc91899870"/>
      <w:r>
        <w:rPr>
          <w:rFonts w:hint="eastAsia" w:cs="宋体"/>
          <w:color w:val="auto"/>
          <w:sz w:val="36"/>
          <w:szCs w:val="36"/>
          <w:highlight w:val="none"/>
        </w:rPr>
        <w:t>第一部分</w:t>
      </w:r>
      <w:r>
        <w:rPr>
          <w:color w:val="auto"/>
          <w:sz w:val="36"/>
          <w:szCs w:val="36"/>
          <w:highlight w:val="none"/>
        </w:rPr>
        <w:t xml:space="preserve"> </w:t>
      </w:r>
      <w:r>
        <w:rPr>
          <w:rFonts w:hint="eastAsia" w:cs="宋体"/>
          <w:color w:val="auto"/>
          <w:sz w:val="36"/>
          <w:szCs w:val="36"/>
          <w:highlight w:val="none"/>
        </w:rPr>
        <w:t>磋商公告</w:t>
      </w:r>
      <w:bookmarkEnd w:id="0"/>
      <w:bookmarkEnd w:id="1"/>
      <w:bookmarkEnd w:id="2"/>
    </w:p>
    <w:p>
      <w:pPr>
        <w:adjustRightInd w:val="0"/>
        <w:spacing w:line="360" w:lineRule="auto"/>
        <w:jc w:val="center"/>
        <w:rPr>
          <w:rFonts w:ascii="宋体"/>
          <w:color w:val="auto"/>
          <w:sz w:val="28"/>
          <w:szCs w:val="28"/>
          <w:highlight w:val="none"/>
        </w:rPr>
      </w:pPr>
      <w:r>
        <w:rPr>
          <w:rFonts w:hint="eastAsia" w:ascii="宋体" w:hAnsi="宋体" w:cs="宋体"/>
          <w:color w:val="auto"/>
          <w:sz w:val="28"/>
          <w:szCs w:val="28"/>
          <w:highlight w:val="none"/>
        </w:rPr>
        <w:t>浙江宇康工程管理咨询有限公司关于</w:t>
      </w:r>
      <w:r>
        <w:rPr>
          <w:rFonts w:hint="eastAsia" w:ascii="宋体" w:hAnsi="宋体" w:cs="宋体"/>
          <w:color w:val="auto"/>
          <w:sz w:val="28"/>
          <w:szCs w:val="28"/>
          <w:highlight w:val="none"/>
          <w:lang w:eastAsia="zh-CN"/>
        </w:rPr>
        <w:t>上虞区驿亭镇人民政府驿亭镇村庄规划编制项目</w:t>
      </w:r>
      <w:r>
        <w:rPr>
          <w:rFonts w:hint="eastAsia" w:ascii="宋体" w:hAnsi="宋体" w:cs="宋体"/>
          <w:color w:val="auto"/>
          <w:sz w:val="28"/>
          <w:szCs w:val="28"/>
          <w:highlight w:val="none"/>
        </w:rPr>
        <w:t>的竞争性磋商公告</w:t>
      </w:r>
    </w:p>
    <w:p>
      <w:pPr>
        <w:adjustRightInd w:val="0"/>
        <w:spacing w:line="360" w:lineRule="auto"/>
        <w:jc w:val="center"/>
        <w:rPr>
          <w:rFonts w:ascii="宋体"/>
          <w:color w:val="auto"/>
          <w:sz w:val="28"/>
          <w:szCs w:val="28"/>
          <w:highlight w:val="none"/>
        </w:rPr>
      </w:pPr>
      <w:r>
        <w:rPr>
          <w:rFonts w:hint="eastAsia" w:ascii="宋体" w:hAnsi="宋体" w:cs="宋体"/>
          <w:color w:val="auto"/>
          <w:sz w:val="28"/>
          <w:szCs w:val="28"/>
          <w:highlight w:val="none"/>
        </w:rPr>
        <w:t>公告日期：</w:t>
      </w:r>
      <w:r>
        <w:rPr>
          <w:rFonts w:ascii="宋体" w:hAnsi="宋体" w:cs="宋体"/>
          <w:color w:val="auto"/>
          <w:sz w:val="28"/>
          <w:szCs w:val="28"/>
          <w:highlight w:val="none"/>
        </w:rPr>
        <w:t>20</w:t>
      </w:r>
      <w:r>
        <w:rPr>
          <w:rFonts w:hint="eastAsia" w:ascii="宋体" w:hAnsi="宋体" w:cs="宋体"/>
          <w:color w:val="auto"/>
          <w:sz w:val="28"/>
          <w:szCs w:val="28"/>
          <w:highlight w:val="none"/>
        </w:rPr>
        <w:t>22年</w:t>
      </w:r>
      <w:r>
        <w:rPr>
          <w:rFonts w:hint="eastAsia" w:ascii="宋体" w:hAnsi="宋体" w:cs="宋体"/>
          <w:color w:val="auto"/>
          <w:sz w:val="28"/>
          <w:szCs w:val="28"/>
          <w:highlight w:val="none"/>
          <w:lang w:val="en-US" w:eastAsia="zh-CN"/>
        </w:rPr>
        <w:t>10</w:t>
      </w:r>
      <w:r>
        <w:rPr>
          <w:rFonts w:hint="eastAsia" w:ascii="宋体" w:hAnsi="宋体" w:cs="宋体"/>
          <w:color w:val="auto"/>
          <w:sz w:val="28"/>
          <w:szCs w:val="28"/>
          <w:highlight w:val="none"/>
        </w:rPr>
        <w:t>月</w:t>
      </w:r>
      <w:r>
        <w:rPr>
          <w:rFonts w:hint="eastAsia" w:ascii="宋体" w:hAnsi="宋体" w:cs="宋体"/>
          <w:color w:val="auto"/>
          <w:sz w:val="28"/>
          <w:szCs w:val="28"/>
          <w:highlight w:val="none"/>
          <w:lang w:val="en-US" w:eastAsia="zh-CN"/>
        </w:rPr>
        <w:t>9</w:t>
      </w:r>
      <w:r>
        <w:rPr>
          <w:rFonts w:hint="eastAsia" w:ascii="宋体" w:hAnsi="宋体" w:cs="宋体"/>
          <w:color w:val="auto"/>
          <w:sz w:val="28"/>
          <w:szCs w:val="28"/>
          <w:highlight w:val="none"/>
        </w:rPr>
        <w:t>日</w:t>
      </w:r>
    </w:p>
    <w:p>
      <w:pPr>
        <w:adjustRightInd w:val="0"/>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根据《中华人民共和国政府采购法》等有关规定，</w:t>
      </w:r>
      <w:r>
        <w:rPr>
          <w:rFonts w:hint="eastAsia" w:ascii="宋体" w:hAnsi="宋体" w:cs="宋体"/>
          <w:color w:val="auto"/>
          <w:sz w:val="24"/>
          <w:szCs w:val="24"/>
          <w:highlight w:val="none"/>
          <w:u w:val="single"/>
        </w:rPr>
        <w:t>浙江宇康工程管理咨询有限公司</w:t>
      </w:r>
      <w:r>
        <w:rPr>
          <w:rFonts w:hint="eastAsia" w:ascii="宋体" w:hAnsi="宋体" w:cs="宋体"/>
          <w:color w:val="auto"/>
          <w:sz w:val="24"/>
          <w:szCs w:val="24"/>
          <w:highlight w:val="none"/>
        </w:rPr>
        <w:t>受</w:t>
      </w:r>
      <w:r>
        <w:rPr>
          <w:rFonts w:hint="eastAsia" w:ascii="宋体" w:hAnsi="宋体" w:cs="宋体"/>
          <w:color w:val="auto"/>
          <w:sz w:val="24"/>
          <w:szCs w:val="24"/>
          <w:highlight w:val="none"/>
          <w:u w:val="single"/>
          <w:lang w:eastAsia="zh-CN"/>
        </w:rPr>
        <w:t>上虞区驿亭镇人民政府</w:t>
      </w:r>
      <w:r>
        <w:rPr>
          <w:rFonts w:hint="eastAsia" w:ascii="宋体" w:hAnsi="宋体" w:cs="宋体"/>
          <w:color w:val="auto"/>
          <w:sz w:val="24"/>
          <w:szCs w:val="24"/>
          <w:highlight w:val="none"/>
        </w:rPr>
        <w:t>委托，现就</w:t>
      </w:r>
      <w:r>
        <w:rPr>
          <w:rFonts w:hint="eastAsia" w:ascii="宋体" w:hAnsi="宋体" w:cs="宋体"/>
          <w:color w:val="auto"/>
          <w:sz w:val="24"/>
          <w:szCs w:val="24"/>
          <w:highlight w:val="none"/>
          <w:u w:val="single"/>
          <w:lang w:eastAsia="zh-CN"/>
        </w:rPr>
        <w:t>驿亭镇村庄规划编制项目</w:t>
      </w:r>
      <w:r>
        <w:rPr>
          <w:rFonts w:hint="eastAsia" w:ascii="宋体" w:hAnsi="宋体" w:cs="宋体"/>
          <w:color w:val="auto"/>
          <w:sz w:val="24"/>
          <w:szCs w:val="24"/>
          <w:highlight w:val="none"/>
        </w:rPr>
        <w:t>进行竞争性磋商采购，欢迎国内合格的供应商参加本次采购活动。</w:t>
      </w:r>
    </w:p>
    <w:p>
      <w:pPr>
        <w:adjustRightInd w:val="0"/>
        <w:spacing w:line="360" w:lineRule="auto"/>
        <w:ind w:firstLine="480" w:firstLineChars="200"/>
        <w:rPr>
          <w:rFonts w:hint="eastAsia" w:ascii="宋体" w:eastAsia="宋体"/>
          <w:color w:val="auto"/>
          <w:sz w:val="24"/>
          <w:szCs w:val="24"/>
          <w:highlight w:val="none"/>
          <w:u w:val="single"/>
          <w:lang w:eastAsia="zh-CN"/>
        </w:rPr>
      </w:pPr>
      <w:r>
        <w:rPr>
          <w:rFonts w:hint="eastAsia" w:ascii="宋体" w:hAnsi="宋体" w:cs="宋体"/>
          <w:color w:val="auto"/>
          <w:sz w:val="24"/>
          <w:szCs w:val="24"/>
          <w:highlight w:val="none"/>
        </w:rPr>
        <w:t>一．</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磋商项目编号：</w:t>
      </w:r>
      <w:r>
        <w:rPr>
          <w:rFonts w:hint="eastAsia" w:ascii="宋体" w:hAnsi="宋体" w:cs="宋体"/>
          <w:color w:val="auto"/>
          <w:sz w:val="24"/>
          <w:szCs w:val="24"/>
          <w:highlight w:val="none"/>
          <w:u w:val="single"/>
          <w:lang w:val="en-US" w:eastAsia="zh-CN"/>
        </w:rPr>
        <w:t xml:space="preserve">  FSJZCS2022134  </w:t>
      </w:r>
    </w:p>
    <w:p>
      <w:pPr>
        <w:adjustRightInd w:val="0"/>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二．</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采购组织类型：</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rPr>
        <w:t>分散采购（中介代理）</w:t>
      </w:r>
      <w:r>
        <w:rPr>
          <w:rFonts w:ascii="宋体" w:hAnsi="宋体" w:cs="宋体"/>
          <w:color w:val="auto"/>
          <w:sz w:val="24"/>
          <w:szCs w:val="24"/>
          <w:highlight w:val="none"/>
          <w:u w:val="single"/>
        </w:rPr>
        <w:t xml:space="preserve"> </w:t>
      </w:r>
      <w:r>
        <w:rPr>
          <w:rFonts w:ascii="宋体" w:hAnsi="宋体" w:cs="宋体"/>
          <w:color w:val="auto"/>
          <w:sz w:val="24"/>
          <w:szCs w:val="24"/>
          <w:highlight w:val="none"/>
        </w:rPr>
        <w:t xml:space="preserve"> </w:t>
      </w:r>
    </w:p>
    <w:p>
      <w:pPr>
        <w:adjustRightInd w:val="0"/>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三．</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磋商项目概况</w:t>
      </w:r>
      <w:r>
        <w:rPr>
          <w:rFonts w:ascii="宋体" w:hAnsi="宋体" w:cs="宋体"/>
          <w:color w:val="auto"/>
          <w:sz w:val="24"/>
          <w:szCs w:val="24"/>
          <w:highlight w:val="none"/>
        </w:rPr>
        <w:t>:</w:t>
      </w:r>
    </w:p>
    <w:tbl>
      <w:tblPr>
        <w:tblStyle w:val="27"/>
        <w:tblW w:w="9396" w:type="dxa"/>
        <w:jc w:val="center"/>
        <w:tblBorders>
          <w:top w:val="single" w:color="000000" w:sz="4" w:space="0"/>
          <w:left w:val="single" w:color="000000" w:sz="4" w:space="0"/>
          <w:bottom w:val="single" w:color="000000" w:sz="4" w:space="0"/>
          <w:right w:val="single" w:color="000000" w:sz="4" w:space="0"/>
          <w:insideH w:val="single" w:color="A6A6A6" w:sz="4" w:space="0"/>
          <w:insideV w:val="single" w:color="A6A6A6" w:sz="4" w:space="0"/>
        </w:tblBorders>
        <w:tblLayout w:type="fixed"/>
        <w:tblCellMar>
          <w:top w:w="0" w:type="dxa"/>
          <w:left w:w="108" w:type="dxa"/>
          <w:bottom w:w="0" w:type="dxa"/>
          <w:right w:w="108" w:type="dxa"/>
        </w:tblCellMar>
      </w:tblPr>
      <w:tblGrid>
        <w:gridCol w:w="1344"/>
        <w:gridCol w:w="2150"/>
        <w:gridCol w:w="721"/>
        <w:gridCol w:w="691"/>
        <w:gridCol w:w="1112"/>
        <w:gridCol w:w="1729"/>
        <w:gridCol w:w="1112"/>
        <w:gridCol w:w="537"/>
      </w:tblGrid>
      <w:tr>
        <w:tblPrEx>
          <w:tblBorders>
            <w:top w:val="single" w:color="000000" w:sz="4" w:space="0"/>
            <w:left w:val="single" w:color="000000" w:sz="4" w:space="0"/>
            <w:bottom w:val="single" w:color="000000" w:sz="4" w:space="0"/>
            <w:right w:val="single" w:color="000000" w:sz="4" w:space="0"/>
            <w:insideH w:val="single" w:color="A6A6A6" w:sz="4" w:space="0"/>
            <w:insideV w:val="single" w:color="A6A6A6" w:sz="4" w:space="0"/>
          </w:tblBorders>
          <w:tblCellMar>
            <w:top w:w="0" w:type="dxa"/>
            <w:left w:w="108" w:type="dxa"/>
            <w:bottom w:w="0" w:type="dxa"/>
            <w:right w:w="108" w:type="dxa"/>
          </w:tblCellMar>
        </w:tblPrEx>
        <w:trPr>
          <w:trHeight w:val="919" w:hRule="atLeast"/>
          <w:jc w:val="center"/>
        </w:trPr>
        <w:tc>
          <w:tcPr>
            <w:tcW w:w="1344" w:type="dxa"/>
            <w:tcBorders>
              <w:top w:val="single" w:color="000000" w:sz="4" w:space="0"/>
            </w:tcBorders>
            <w:vAlign w:val="center"/>
          </w:tcPr>
          <w:p>
            <w:pPr>
              <w:adjustRightInd w:val="0"/>
              <w:spacing w:line="360" w:lineRule="auto"/>
              <w:jc w:val="center"/>
              <w:rPr>
                <w:rFonts w:ascii="宋体"/>
                <w:color w:val="auto"/>
                <w:sz w:val="22"/>
                <w:szCs w:val="22"/>
                <w:highlight w:val="none"/>
              </w:rPr>
            </w:pPr>
            <w:r>
              <w:rPr>
                <w:rFonts w:hint="eastAsia" w:ascii="宋体" w:hAnsi="宋体" w:cs="宋体"/>
                <w:color w:val="auto"/>
                <w:sz w:val="22"/>
                <w:szCs w:val="22"/>
                <w:highlight w:val="none"/>
                <w:lang w:val="en-US" w:eastAsia="zh-CN"/>
              </w:rPr>
              <w:t>项目编</w:t>
            </w:r>
            <w:r>
              <w:rPr>
                <w:rFonts w:hint="eastAsia" w:ascii="宋体" w:hAnsi="宋体" w:cs="宋体"/>
                <w:color w:val="auto"/>
                <w:sz w:val="22"/>
                <w:szCs w:val="22"/>
                <w:highlight w:val="none"/>
              </w:rPr>
              <w:t>号</w:t>
            </w:r>
          </w:p>
        </w:tc>
        <w:tc>
          <w:tcPr>
            <w:tcW w:w="2150" w:type="dxa"/>
            <w:tcBorders>
              <w:top w:val="single" w:color="000000" w:sz="4" w:space="0"/>
            </w:tcBorders>
            <w:vAlign w:val="center"/>
          </w:tcPr>
          <w:p>
            <w:pPr>
              <w:adjustRightInd w:val="0"/>
              <w:spacing w:line="360" w:lineRule="auto"/>
              <w:jc w:val="center"/>
              <w:rPr>
                <w:rFonts w:ascii="宋体"/>
                <w:color w:val="auto"/>
                <w:sz w:val="22"/>
                <w:szCs w:val="22"/>
                <w:highlight w:val="none"/>
              </w:rPr>
            </w:pPr>
            <w:r>
              <w:rPr>
                <w:rFonts w:hint="eastAsia" w:ascii="宋体" w:hAnsi="宋体" w:cs="宋体"/>
                <w:color w:val="auto"/>
                <w:sz w:val="22"/>
                <w:szCs w:val="22"/>
                <w:highlight w:val="none"/>
              </w:rPr>
              <w:t>项目名称</w:t>
            </w:r>
          </w:p>
        </w:tc>
        <w:tc>
          <w:tcPr>
            <w:tcW w:w="721" w:type="dxa"/>
            <w:tcBorders>
              <w:top w:val="single" w:color="000000" w:sz="4" w:space="0"/>
            </w:tcBorders>
            <w:vAlign w:val="center"/>
          </w:tcPr>
          <w:p>
            <w:pPr>
              <w:adjustRightInd w:val="0"/>
              <w:spacing w:line="360" w:lineRule="auto"/>
              <w:jc w:val="center"/>
              <w:rPr>
                <w:rFonts w:ascii="宋体"/>
                <w:color w:val="auto"/>
                <w:sz w:val="22"/>
                <w:szCs w:val="22"/>
                <w:highlight w:val="none"/>
              </w:rPr>
            </w:pPr>
            <w:r>
              <w:rPr>
                <w:rFonts w:hint="eastAsia" w:ascii="宋体" w:hAnsi="宋体" w:cs="宋体"/>
                <w:color w:val="auto"/>
                <w:sz w:val="22"/>
                <w:szCs w:val="22"/>
                <w:highlight w:val="none"/>
              </w:rPr>
              <w:t>数量</w:t>
            </w:r>
          </w:p>
        </w:tc>
        <w:tc>
          <w:tcPr>
            <w:tcW w:w="691" w:type="dxa"/>
            <w:tcBorders>
              <w:top w:val="single" w:color="000000" w:sz="4" w:space="0"/>
            </w:tcBorders>
            <w:vAlign w:val="center"/>
          </w:tcPr>
          <w:p>
            <w:pPr>
              <w:adjustRightInd w:val="0"/>
              <w:spacing w:line="360" w:lineRule="auto"/>
              <w:jc w:val="center"/>
              <w:rPr>
                <w:rFonts w:ascii="宋体"/>
                <w:color w:val="auto"/>
                <w:sz w:val="22"/>
                <w:szCs w:val="22"/>
                <w:highlight w:val="none"/>
              </w:rPr>
            </w:pPr>
            <w:r>
              <w:rPr>
                <w:rFonts w:hint="eastAsia" w:ascii="宋体" w:hAnsi="宋体" w:cs="宋体"/>
                <w:color w:val="auto"/>
                <w:sz w:val="22"/>
                <w:szCs w:val="22"/>
                <w:highlight w:val="none"/>
              </w:rPr>
              <w:t>单位</w:t>
            </w:r>
          </w:p>
        </w:tc>
        <w:tc>
          <w:tcPr>
            <w:tcW w:w="1112" w:type="dxa"/>
            <w:tcBorders>
              <w:top w:val="single" w:color="000000" w:sz="4" w:space="0"/>
            </w:tcBorders>
            <w:vAlign w:val="center"/>
          </w:tcPr>
          <w:p>
            <w:pPr>
              <w:adjustRightInd w:val="0"/>
              <w:spacing w:line="360" w:lineRule="auto"/>
              <w:jc w:val="center"/>
              <w:rPr>
                <w:rFonts w:ascii="宋体"/>
                <w:color w:val="auto"/>
                <w:sz w:val="22"/>
                <w:szCs w:val="22"/>
                <w:highlight w:val="none"/>
              </w:rPr>
            </w:pPr>
            <w:r>
              <w:rPr>
                <w:rFonts w:hint="eastAsia" w:ascii="宋体" w:hAnsi="宋体" w:cs="宋体"/>
                <w:color w:val="auto"/>
                <w:sz w:val="22"/>
                <w:szCs w:val="22"/>
                <w:highlight w:val="none"/>
              </w:rPr>
              <w:t>预算金额</w:t>
            </w:r>
            <w:r>
              <w:rPr>
                <w:rFonts w:ascii="宋体" w:hAnsi="宋体" w:cs="宋体"/>
                <w:color w:val="auto"/>
                <w:sz w:val="22"/>
                <w:szCs w:val="22"/>
                <w:highlight w:val="none"/>
              </w:rPr>
              <w:t>(</w:t>
            </w:r>
            <w:r>
              <w:rPr>
                <w:rFonts w:hint="eastAsia" w:ascii="宋体" w:hAnsi="宋体" w:cs="宋体"/>
                <w:color w:val="auto"/>
                <w:sz w:val="22"/>
                <w:szCs w:val="22"/>
                <w:highlight w:val="none"/>
              </w:rPr>
              <w:t>万元</w:t>
            </w:r>
            <w:r>
              <w:rPr>
                <w:rFonts w:ascii="宋体" w:hAnsi="宋体" w:cs="宋体"/>
                <w:color w:val="auto"/>
                <w:sz w:val="22"/>
                <w:szCs w:val="22"/>
                <w:highlight w:val="none"/>
              </w:rPr>
              <w:t>)</w:t>
            </w:r>
          </w:p>
        </w:tc>
        <w:tc>
          <w:tcPr>
            <w:tcW w:w="1729" w:type="dxa"/>
            <w:tcBorders>
              <w:top w:val="single" w:color="000000" w:sz="4" w:space="0"/>
            </w:tcBorders>
            <w:vAlign w:val="center"/>
          </w:tcPr>
          <w:p>
            <w:pPr>
              <w:adjustRightInd w:val="0"/>
              <w:spacing w:line="240" w:lineRule="auto"/>
              <w:jc w:val="center"/>
              <w:rPr>
                <w:rFonts w:ascii="宋体"/>
                <w:color w:val="auto"/>
                <w:sz w:val="22"/>
                <w:szCs w:val="22"/>
                <w:highlight w:val="none"/>
              </w:rPr>
            </w:pPr>
            <w:r>
              <w:rPr>
                <w:rFonts w:hint="eastAsia" w:ascii="宋体" w:hAnsi="宋体" w:cs="宋体"/>
                <w:color w:val="auto"/>
                <w:sz w:val="22"/>
                <w:szCs w:val="22"/>
                <w:highlight w:val="none"/>
              </w:rPr>
              <w:t>简要规格描述或标项基本概况介绍</w:t>
            </w:r>
          </w:p>
        </w:tc>
        <w:tc>
          <w:tcPr>
            <w:tcW w:w="1112" w:type="dxa"/>
            <w:tcBorders>
              <w:top w:val="single" w:color="000000" w:sz="4" w:space="0"/>
            </w:tcBorders>
            <w:vAlign w:val="center"/>
          </w:tcPr>
          <w:p>
            <w:pPr>
              <w:adjustRightInd w:val="0"/>
              <w:spacing w:line="360" w:lineRule="auto"/>
              <w:jc w:val="center"/>
              <w:rPr>
                <w:rFonts w:ascii="宋体"/>
                <w:color w:val="auto"/>
                <w:sz w:val="22"/>
                <w:szCs w:val="22"/>
                <w:highlight w:val="none"/>
              </w:rPr>
            </w:pPr>
            <w:r>
              <w:rPr>
                <w:rFonts w:hint="eastAsia" w:ascii="宋体" w:hAnsi="宋体" w:cs="宋体"/>
                <w:color w:val="auto"/>
                <w:sz w:val="22"/>
                <w:szCs w:val="22"/>
                <w:highlight w:val="none"/>
              </w:rPr>
              <w:t>最高限价</w:t>
            </w:r>
            <w:r>
              <w:rPr>
                <w:rFonts w:ascii="宋体" w:hAnsi="宋体" w:cs="宋体"/>
                <w:color w:val="auto"/>
                <w:sz w:val="22"/>
                <w:szCs w:val="22"/>
                <w:highlight w:val="none"/>
              </w:rPr>
              <w:t>(</w:t>
            </w:r>
            <w:r>
              <w:rPr>
                <w:rFonts w:hint="eastAsia" w:ascii="宋体" w:hAnsi="宋体" w:cs="宋体"/>
                <w:color w:val="auto"/>
                <w:sz w:val="22"/>
                <w:szCs w:val="22"/>
                <w:highlight w:val="none"/>
              </w:rPr>
              <w:t>万元</w:t>
            </w:r>
            <w:r>
              <w:rPr>
                <w:rFonts w:ascii="宋体" w:hAnsi="宋体" w:cs="宋体"/>
                <w:color w:val="auto"/>
                <w:sz w:val="22"/>
                <w:szCs w:val="22"/>
                <w:highlight w:val="none"/>
              </w:rPr>
              <w:t>)</w:t>
            </w:r>
          </w:p>
        </w:tc>
        <w:tc>
          <w:tcPr>
            <w:tcW w:w="537" w:type="dxa"/>
            <w:tcBorders>
              <w:top w:val="single" w:color="000000" w:sz="4" w:space="0"/>
            </w:tcBorders>
            <w:vAlign w:val="center"/>
          </w:tcPr>
          <w:p>
            <w:pPr>
              <w:adjustRightInd w:val="0"/>
              <w:spacing w:line="360" w:lineRule="auto"/>
              <w:jc w:val="center"/>
              <w:rPr>
                <w:rFonts w:ascii="宋体"/>
                <w:color w:val="auto"/>
                <w:sz w:val="22"/>
                <w:szCs w:val="22"/>
                <w:highlight w:val="none"/>
              </w:rPr>
            </w:pPr>
            <w:r>
              <w:rPr>
                <w:rFonts w:hint="eastAsia" w:ascii="宋体"/>
                <w:color w:val="auto"/>
                <w:sz w:val="22"/>
                <w:szCs w:val="22"/>
                <w:highlight w:val="none"/>
              </w:rPr>
              <w:t>备注</w:t>
            </w:r>
          </w:p>
        </w:tc>
      </w:tr>
      <w:tr>
        <w:tblPrEx>
          <w:tblBorders>
            <w:top w:val="single" w:color="000000" w:sz="4" w:space="0"/>
            <w:left w:val="single" w:color="000000" w:sz="4" w:space="0"/>
            <w:bottom w:val="single" w:color="000000" w:sz="4" w:space="0"/>
            <w:right w:val="single" w:color="000000" w:sz="4" w:space="0"/>
            <w:insideH w:val="single" w:color="A6A6A6" w:sz="4" w:space="0"/>
            <w:insideV w:val="single" w:color="A6A6A6" w:sz="4" w:space="0"/>
          </w:tblBorders>
          <w:tblCellMar>
            <w:top w:w="0" w:type="dxa"/>
            <w:left w:w="108" w:type="dxa"/>
            <w:bottom w:w="0" w:type="dxa"/>
            <w:right w:w="108" w:type="dxa"/>
          </w:tblCellMar>
        </w:tblPrEx>
        <w:trPr>
          <w:trHeight w:val="881" w:hRule="atLeast"/>
          <w:jc w:val="center"/>
        </w:trPr>
        <w:tc>
          <w:tcPr>
            <w:tcW w:w="1344" w:type="dxa"/>
            <w:vAlign w:val="center"/>
          </w:tcPr>
          <w:p>
            <w:pPr>
              <w:adjustRightInd w:val="0"/>
              <w:spacing w:line="360" w:lineRule="auto"/>
              <w:jc w:val="center"/>
              <w:rPr>
                <w:rFonts w:ascii="宋体"/>
                <w:color w:val="auto"/>
                <w:sz w:val="22"/>
                <w:szCs w:val="22"/>
                <w:highlight w:val="none"/>
              </w:rPr>
            </w:pPr>
            <w:r>
              <w:rPr>
                <w:rFonts w:hint="eastAsia" w:hAnsi="宋体" w:cs="Times New Roman"/>
                <w:color w:val="auto"/>
                <w:sz w:val="22"/>
                <w:szCs w:val="22"/>
                <w:highlight w:val="none"/>
                <w:lang w:val="en-US" w:eastAsia="zh-CN"/>
              </w:rPr>
              <w:t>FSJZCS2022134-001</w:t>
            </w:r>
          </w:p>
        </w:tc>
        <w:tc>
          <w:tcPr>
            <w:tcW w:w="2150" w:type="dxa"/>
            <w:vAlign w:val="center"/>
          </w:tcPr>
          <w:p>
            <w:pPr>
              <w:pStyle w:val="15"/>
              <w:snapToGrid w:val="0"/>
              <w:spacing w:before="120" w:after="120"/>
              <w:jc w:val="center"/>
              <w:rPr>
                <w:rFonts w:hint="default" w:hAnsi="宋体" w:cs="Times New Roman"/>
                <w:color w:val="auto"/>
                <w:sz w:val="22"/>
                <w:szCs w:val="22"/>
                <w:highlight w:val="none"/>
                <w:lang w:val="en-US" w:eastAsia="zh-CN"/>
              </w:rPr>
            </w:pPr>
            <w:r>
              <w:rPr>
                <w:rFonts w:hint="eastAsia" w:hAnsi="宋体" w:cs="Times New Roman"/>
                <w:color w:val="auto"/>
                <w:sz w:val="22"/>
                <w:szCs w:val="22"/>
                <w:highlight w:val="none"/>
                <w:lang w:val="en-US" w:eastAsia="zh-CN"/>
              </w:rPr>
              <w:t>驿亭镇村庄规划编制项目标段一</w:t>
            </w:r>
          </w:p>
        </w:tc>
        <w:tc>
          <w:tcPr>
            <w:tcW w:w="721" w:type="dxa"/>
            <w:vAlign w:val="center"/>
          </w:tcPr>
          <w:p>
            <w:pPr>
              <w:widowControl/>
              <w:spacing w:before="100" w:after="100" w:line="312" w:lineRule="auto"/>
              <w:jc w:val="center"/>
              <w:rPr>
                <w:rFonts w:hint="eastAsia" w:ascii="宋体" w:hAnsi="Times New Roman" w:eastAsia="宋体" w:cs="Times New Roman"/>
                <w:color w:val="auto"/>
                <w:kern w:val="2"/>
                <w:sz w:val="22"/>
                <w:szCs w:val="22"/>
                <w:highlight w:val="none"/>
                <w:lang w:val="en-US" w:eastAsia="zh-CN" w:bidi="ar-SA"/>
              </w:rPr>
            </w:pPr>
            <w:r>
              <w:rPr>
                <w:rFonts w:hint="eastAsia" w:ascii="宋体"/>
                <w:color w:val="auto"/>
                <w:sz w:val="22"/>
                <w:szCs w:val="22"/>
                <w:highlight w:val="none"/>
                <w:lang w:val="en-US" w:eastAsia="zh-CN"/>
              </w:rPr>
              <w:t>1</w:t>
            </w:r>
          </w:p>
        </w:tc>
        <w:tc>
          <w:tcPr>
            <w:tcW w:w="691" w:type="dxa"/>
            <w:vAlign w:val="center"/>
          </w:tcPr>
          <w:p>
            <w:pPr>
              <w:adjustRightInd w:val="0"/>
              <w:spacing w:line="360" w:lineRule="auto"/>
              <w:jc w:val="center"/>
              <w:rPr>
                <w:rFonts w:hint="eastAsia" w:ascii="宋体" w:eastAsia="宋体"/>
                <w:color w:val="auto"/>
                <w:sz w:val="22"/>
                <w:szCs w:val="22"/>
                <w:highlight w:val="none"/>
                <w:lang w:eastAsia="zh-CN"/>
              </w:rPr>
            </w:pPr>
            <w:r>
              <w:rPr>
                <w:rFonts w:hint="eastAsia" w:ascii="宋体" w:hAnsi="宋体" w:cs="宋体"/>
                <w:color w:val="auto"/>
                <w:sz w:val="22"/>
                <w:szCs w:val="22"/>
                <w:highlight w:val="none"/>
                <w:lang w:val="en-US" w:eastAsia="zh-CN"/>
              </w:rPr>
              <w:t>项</w:t>
            </w:r>
          </w:p>
        </w:tc>
        <w:tc>
          <w:tcPr>
            <w:tcW w:w="1112" w:type="dxa"/>
            <w:vAlign w:val="center"/>
          </w:tcPr>
          <w:p>
            <w:pPr>
              <w:pStyle w:val="15"/>
              <w:snapToGrid w:val="0"/>
              <w:spacing w:before="120" w:after="120"/>
              <w:jc w:val="center"/>
              <w:rPr>
                <w:rFonts w:hint="default" w:hAnsi="宋体" w:eastAsia="宋体" w:cs="Times New Roman"/>
                <w:color w:val="auto"/>
                <w:sz w:val="22"/>
                <w:szCs w:val="22"/>
                <w:highlight w:val="none"/>
                <w:lang w:val="en-US" w:eastAsia="zh-CN"/>
              </w:rPr>
            </w:pPr>
            <w:r>
              <w:rPr>
                <w:rFonts w:hint="eastAsia" w:hAnsi="宋体" w:cs="Times New Roman"/>
                <w:color w:val="auto"/>
                <w:sz w:val="22"/>
                <w:szCs w:val="22"/>
                <w:highlight w:val="none"/>
                <w:lang w:val="en-US" w:eastAsia="zh-CN"/>
              </w:rPr>
              <w:t>60</w:t>
            </w:r>
          </w:p>
        </w:tc>
        <w:tc>
          <w:tcPr>
            <w:tcW w:w="1729" w:type="dxa"/>
            <w:vAlign w:val="center"/>
          </w:tcPr>
          <w:p>
            <w:pPr>
              <w:pStyle w:val="15"/>
              <w:snapToGrid w:val="0"/>
              <w:spacing w:before="120" w:after="120"/>
              <w:jc w:val="center"/>
              <w:rPr>
                <w:rFonts w:hint="default" w:hAnsi="宋体" w:eastAsia="宋体" w:cs="Times New Roman"/>
                <w:color w:val="auto"/>
                <w:sz w:val="22"/>
                <w:szCs w:val="22"/>
                <w:highlight w:val="none"/>
                <w:lang w:val="en-US" w:eastAsia="zh-CN"/>
              </w:rPr>
            </w:pPr>
            <w:r>
              <w:rPr>
                <w:rFonts w:hint="default" w:hAnsi="宋体" w:eastAsia="宋体" w:cs="Times New Roman"/>
                <w:color w:val="auto"/>
                <w:sz w:val="22"/>
                <w:szCs w:val="22"/>
                <w:highlight w:val="none"/>
                <w:lang w:val="en-US" w:eastAsia="zh-CN"/>
              </w:rPr>
              <w:t>详见招标文件第</w:t>
            </w:r>
            <w:r>
              <w:rPr>
                <w:rFonts w:hint="eastAsia" w:hAnsi="宋体" w:cs="Times New Roman"/>
                <w:color w:val="auto"/>
                <w:sz w:val="22"/>
                <w:szCs w:val="22"/>
                <w:highlight w:val="none"/>
                <w:lang w:val="en-US" w:eastAsia="zh-CN"/>
              </w:rPr>
              <w:t>三</w:t>
            </w:r>
            <w:r>
              <w:rPr>
                <w:rFonts w:hint="default" w:hAnsi="宋体" w:eastAsia="宋体" w:cs="Times New Roman"/>
                <w:color w:val="auto"/>
                <w:sz w:val="22"/>
                <w:szCs w:val="22"/>
                <w:highlight w:val="none"/>
                <w:lang w:val="en-US" w:eastAsia="zh-CN"/>
              </w:rPr>
              <w:t>部分</w:t>
            </w:r>
          </w:p>
        </w:tc>
        <w:tc>
          <w:tcPr>
            <w:tcW w:w="1112" w:type="dxa"/>
            <w:vAlign w:val="center"/>
          </w:tcPr>
          <w:p>
            <w:pPr>
              <w:pStyle w:val="15"/>
              <w:snapToGrid w:val="0"/>
              <w:spacing w:before="120" w:after="120"/>
              <w:jc w:val="center"/>
              <w:rPr>
                <w:rFonts w:hint="default" w:ascii="宋体" w:eastAsia="宋体"/>
                <w:color w:val="auto"/>
                <w:sz w:val="22"/>
                <w:szCs w:val="22"/>
                <w:highlight w:val="none"/>
                <w:lang w:val="en-US" w:eastAsia="zh-CN"/>
              </w:rPr>
            </w:pPr>
            <w:r>
              <w:rPr>
                <w:rFonts w:hint="eastAsia" w:hAnsi="宋体" w:cs="Times New Roman"/>
                <w:color w:val="auto"/>
                <w:sz w:val="22"/>
                <w:szCs w:val="22"/>
                <w:highlight w:val="none"/>
                <w:lang w:val="en-US" w:eastAsia="zh-CN"/>
              </w:rPr>
              <w:t>60</w:t>
            </w:r>
          </w:p>
        </w:tc>
        <w:tc>
          <w:tcPr>
            <w:tcW w:w="537" w:type="dxa"/>
            <w:vAlign w:val="center"/>
          </w:tcPr>
          <w:p>
            <w:pPr>
              <w:adjustRightInd w:val="0"/>
              <w:spacing w:line="360" w:lineRule="auto"/>
              <w:jc w:val="center"/>
              <w:rPr>
                <w:rFonts w:hint="eastAsia" w:ascii="宋体" w:eastAsia="宋体"/>
                <w:color w:val="auto"/>
                <w:sz w:val="22"/>
                <w:szCs w:val="22"/>
                <w:highlight w:val="none"/>
                <w:lang w:val="en-US" w:eastAsia="zh-CN"/>
              </w:rPr>
            </w:pPr>
            <w:r>
              <w:rPr>
                <w:rFonts w:hint="eastAsia" w:ascii="宋体"/>
                <w:color w:val="auto"/>
                <w:sz w:val="22"/>
                <w:szCs w:val="22"/>
                <w:highlight w:val="none"/>
                <w:lang w:val="en-US" w:eastAsia="zh-CN"/>
              </w:rPr>
              <w:t>/</w:t>
            </w:r>
          </w:p>
        </w:tc>
      </w:tr>
      <w:tr>
        <w:tblPrEx>
          <w:tblBorders>
            <w:top w:val="single" w:color="000000" w:sz="4" w:space="0"/>
            <w:left w:val="single" w:color="000000" w:sz="4" w:space="0"/>
            <w:bottom w:val="single" w:color="000000" w:sz="4" w:space="0"/>
            <w:right w:val="single" w:color="000000" w:sz="4" w:space="0"/>
            <w:insideH w:val="single" w:color="A6A6A6" w:sz="4" w:space="0"/>
            <w:insideV w:val="single" w:color="A6A6A6" w:sz="4" w:space="0"/>
          </w:tblBorders>
          <w:tblCellMar>
            <w:top w:w="0" w:type="dxa"/>
            <w:left w:w="108" w:type="dxa"/>
            <w:bottom w:w="0" w:type="dxa"/>
            <w:right w:w="108" w:type="dxa"/>
          </w:tblCellMar>
        </w:tblPrEx>
        <w:trPr>
          <w:trHeight w:val="881" w:hRule="atLeast"/>
          <w:jc w:val="center"/>
        </w:trPr>
        <w:tc>
          <w:tcPr>
            <w:tcW w:w="1344" w:type="dxa"/>
            <w:vAlign w:val="center"/>
          </w:tcPr>
          <w:p>
            <w:pPr>
              <w:adjustRightInd w:val="0"/>
              <w:spacing w:line="360" w:lineRule="auto"/>
              <w:jc w:val="center"/>
              <w:rPr>
                <w:rFonts w:hint="eastAsia" w:ascii="宋体" w:hAnsi="宋体" w:eastAsia="宋体" w:cs="宋体"/>
                <w:color w:val="auto"/>
                <w:sz w:val="22"/>
                <w:szCs w:val="22"/>
                <w:highlight w:val="none"/>
                <w:lang w:val="en-US" w:eastAsia="zh-CN"/>
              </w:rPr>
            </w:pPr>
            <w:r>
              <w:rPr>
                <w:rFonts w:hint="eastAsia" w:hAnsi="宋体" w:cs="Times New Roman"/>
                <w:color w:val="auto"/>
                <w:sz w:val="22"/>
                <w:szCs w:val="22"/>
                <w:highlight w:val="none"/>
                <w:lang w:val="en-US" w:eastAsia="zh-CN"/>
              </w:rPr>
              <w:t>FSJZCS2022134-002</w:t>
            </w:r>
          </w:p>
        </w:tc>
        <w:tc>
          <w:tcPr>
            <w:tcW w:w="2150" w:type="dxa"/>
            <w:vAlign w:val="center"/>
          </w:tcPr>
          <w:p>
            <w:pPr>
              <w:pStyle w:val="15"/>
              <w:snapToGrid w:val="0"/>
              <w:spacing w:before="120" w:after="120"/>
              <w:jc w:val="center"/>
              <w:rPr>
                <w:rFonts w:hint="eastAsia" w:hAnsi="宋体" w:cs="Times New Roman"/>
                <w:color w:val="auto"/>
                <w:sz w:val="22"/>
                <w:szCs w:val="22"/>
                <w:highlight w:val="none"/>
                <w:lang w:val="en-US" w:eastAsia="zh-CN"/>
              </w:rPr>
            </w:pPr>
            <w:r>
              <w:rPr>
                <w:rFonts w:hint="eastAsia" w:hAnsi="宋体" w:cs="Times New Roman"/>
                <w:color w:val="auto"/>
                <w:sz w:val="22"/>
                <w:szCs w:val="22"/>
                <w:highlight w:val="none"/>
                <w:lang w:val="en-US" w:eastAsia="zh-CN"/>
              </w:rPr>
              <w:t>驿亭镇村庄规划编制项目标段二</w:t>
            </w:r>
          </w:p>
        </w:tc>
        <w:tc>
          <w:tcPr>
            <w:tcW w:w="721" w:type="dxa"/>
            <w:vAlign w:val="center"/>
          </w:tcPr>
          <w:p>
            <w:pPr>
              <w:widowControl/>
              <w:spacing w:before="100" w:after="100" w:line="312" w:lineRule="auto"/>
              <w:jc w:val="center"/>
              <w:rPr>
                <w:rFonts w:hint="eastAsia" w:ascii="宋体" w:hAnsi="宋体" w:eastAsia="宋体" w:cs="宋体"/>
                <w:color w:val="auto"/>
                <w:kern w:val="0"/>
                <w:sz w:val="22"/>
                <w:szCs w:val="22"/>
                <w:highlight w:val="none"/>
                <w:lang w:val="en-US" w:eastAsia="zh-CN" w:bidi="ar-SA"/>
              </w:rPr>
            </w:pPr>
            <w:r>
              <w:rPr>
                <w:rFonts w:hint="eastAsia" w:ascii="宋体" w:hAnsi="宋体" w:cs="宋体"/>
                <w:color w:val="auto"/>
                <w:kern w:val="0"/>
                <w:sz w:val="22"/>
                <w:szCs w:val="22"/>
                <w:highlight w:val="none"/>
                <w:lang w:val="en-US" w:eastAsia="zh-CN"/>
              </w:rPr>
              <w:t>1</w:t>
            </w:r>
          </w:p>
        </w:tc>
        <w:tc>
          <w:tcPr>
            <w:tcW w:w="691" w:type="dxa"/>
            <w:vAlign w:val="center"/>
          </w:tcPr>
          <w:p>
            <w:pPr>
              <w:adjustRightInd w:val="0"/>
              <w:spacing w:line="360" w:lineRule="auto"/>
              <w:jc w:val="center"/>
              <w:rPr>
                <w:rFonts w:hint="eastAsia"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项</w:t>
            </w:r>
          </w:p>
        </w:tc>
        <w:tc>
          <w:tcPr>
            <w:tcW w:w="1112" w:type="dxa"/>
            <w:vAlign w:val="center"/>
          </w:tcPr>
          <w:p>
            <w:pPr>
              <w:pStyle w:val="15"/>
              <w:snapToGrid w:val="0"/>
              <w:spacing w:before="120" w:after="120"/>
              <w:jc w:val="center"/>
              <w:rPr>
                <w:rFonts w:hint="default" w:hAnsi="宋体" w:eastAsia="宋体" w:cs="Times New Roman"/>
                <w:color w:val="auto"/>
                <w:sz w:val="22"/>
                <w:szCs w:val="22"/>
                <w:highlight w:val="none"/>
                <w:lang w:val="en-US" w:eastAsia="zh-CN"/>
              </w:rPr>
            </w:pPr>
            <w:r>
              <w:rPr>
                <w:rFonts w:hint="eastAsia" w:hAnsi="宋体" w:cs="Times New Roman"/>
                <w:color w:val="auto"/>
                <w:sz w:val="22"/>
                <w:szCs w:val="22"/>
                <w:highlight w:val="none"/>
                <w:lang w:val="en-US" w:eastAsia="zh-CN"/>
              </w:rPr>
              <w:t>40</w:t>
            </w:r>
          </w:p>
        </w:tc>
        <w:tc>
          <w:tcPr>
            <w:tcW w:w="1729" w:type="dxa"/>
            <w:vAlign w:val="center"/>
          </w:tcPr>
          <w:p>
            <w:pPr>
              <w:pStyle w:val="15"/>
              <w:snapToGrid w:val="0"/>
              <w:spacing w:before="120" w:after="120"/>
              <w:jc w:val="center"/>
              <w:rPr>
                <w:rFonts w:hint="default" w:ascii="宋体" w:hAnsi="宋体" w:cs="宋体"/>
                <w:color w:val="auto"/>
                <w:sz w:val="22"/>
                <w:szCs w:val="22"/>
                <w:highlight w:val="none"/>
                <w:lang w:val="en-US" w:eastAsia="zh-CN"/>
              </w:rPr>
            </w:pPr>
            <w:r>
              <w:rPr>
                <w:rFonts w:hint="default" w:hAnsi="宋体" w:eastAsia="宋体" w:cs="Times New Roman"/>
                <w:color w:val="auto"/>
                <w:sz w:val="22"/>
                <w:szCs w:val="22"/>
                <w:highlight w:val="none"/>
                <w:lang w:val="en-US" w:eastAsia="zh-CN"/>
              </w:rPr>
              <w:t>详见招标文件第</w:t>
            </w:r>
            <w:r>
              <w:rPr>
                <w:rFonts w:hint="eastAsia" w:hAnsi="宋体" w:eastAsia="宋体" w:cs="Times New Roman"/>
                <w:color w:val="auto"/>
                <w:sz w:val="22"/>
                <w:szCs w:val="22"/>
                <w:highlight w:val="none"/>
                <w:lang w:val="en-US" w:eastAsia="zh-CN"/>
              </w:rPr>
              <w:t>三</w:t>
            </w:r>
            <w:r>
              <w:rPr>
                <w:rFonts w:hint="default" w:hAnsi="宋体" w:eastAsia="宋体" w:cs="Times New Roman"/>
                <w:color w:val="auto"/>
                <w:sz w:val="22"/>
                <w:szCs w:val="22"/>
                <w:highlight w:val="none"/>
                <w:lang w:val="en-US" w:eastAsia="zh-CN"/>
              </w:rPr>
              <w:t>部分</w:t>
            </w:r>
          </w:p>
        </w:tc>
        <w:tc>
          <w:tcPr>
            <w:tcW w:w="1112" w:type="dxa"/>
            <w:vAlign w:val="center"/>
          </w:tcPr>
          <w:p>
            <w:pPr>
              <w:snapToGrid w:val="0"/>
              <w:spacing w:before="120" w:after="120"/>
              <w:jc w:val="center"/>
              <w:rPr>
                <w:rFonts w:hint="default" w:ascii="宋体"/>
                <w:color w:val="auto"/>
                <w:sz w:val="22"/>
                <w:szCs w:val="22"/>
                <w:highlight w:val="none"/>
                <w:lang w:val="en-US" w:eastAsia="zh-CN"/>
              </w:rPr>
            </w:pPr>
            <w:r>
              <w:rPr>
                <w:rFonts w:hint="eastAsia" w:hAnsi="宋体" w:cs="Times New Roman"/>
                <w:color w:val="auto"/>
                <w:sz w:val="22"/>
                <w:szCs w:val="22"/>
                <w:highlight w:val="none"/>
                <w:lang w:val="en-US" w:eastAsia="zh-CN"/>
              </w:rPr>
              <w:t>40</w:t>
            </w:r>
          </w:p>
        </w:tc>
        <w:tc>
          <w:tcPr>
            <w:tcW w:w="537" w:type="dxa"/>
            <w:vAlign w:val="center"/>
          </w:tcPr>
          <w:p>
            <w:pPr>
              <w:adjustRightInd w:val="0"/>
              <w:spacing w:line="360" w:lineRule="auto"/>
              <w:jc w:val="center"/>
              <w:rPr>
                <w:rFonts w:hint="eastAsia" w:ascii="宋体" w:eastAsia="宋体"/>
                <w:color w:val="auto"/>
                <w:sz w:val="22"/>
                <w:szCs w:val="22"/>
                <w:highlight w:val="none"/>
                <w:lang w:val="en-US" w:eastAsia="zh-CN"/>
              </w:rPr>
            </w:pPr>
            <w:r>
              <w:rPr>
                <w:rFonts w:hint="eastAsia" w:ascii="宋体"/>
                <w:color w:val="auto"/>
                <w:sz w:val="22"/>
                <w:szCs w:val="22"/>
                <w:highlight w:val="none"/>
                <w:lang w:val="en-US" w:eastAsia="zh-CN"/>
              </w:rPr>
              <w:t>/</w:t>
            </w:r>
          </w:p>
        </w:tc>
      </w:tr>
      <w:tr>
        <w:tblPrEx>
          <w:tblBorders>
            <w:top w:val="single" w:color="000000" w:sz="4" w:space="0"/>
            <w:left w:val="single" w:color="000000" w:sz="4" w:space="0"/>
            <w:bottom w:val="single" w:color="000000" w:sz="4" w:space="0"/>
            <w:right w:val="single" w:color="000000" w:sz="4" w:space="0"/>
            <w:insideH w:val="single" w:color="A6A6A6" w:sz="4" w:space="0"/>
            <w:insideV w:val="single" w:color="A6A6A6" w:sz="4" w:space="0"/>
          </w:tblBorders>
          <w:tblCellMar>
            <w:top w:w="0" w:type="dxa"/>
            <w:left w:w="108" w:type="dxa"/>
            <w:bottom w:w="0" w:type="dxa"/>
            <w:right w:w="108" w:type="dxa"/>
          </w:tblCellMar>
        </w:tblPrEx>
        <w:trPr>
          <w:trHeight w:val="881" w:hRule="atLeast"/>
          <w:jc w:val="center"/>
        </w:trPr>
        <w:tc>
          <w:tcPr>
            <w:tcW w:w="1344" w:type="dxa"/>
            <w:vAlign w:val="center"/>
          </w:tcPr>
          <w:p>
            <w:pPr>
              <w:adjustRightInd w:val="0"/>
              <w:spacing w:line="360" w:lineRule="auto"/>
              <w:jc w:val="center"/>
              <w:rPr>
                <w:rFonts w:hint="eastAsia" w:ascii="宋体" w:hAnsi="宋体" w:eastAsia="宋体" w:cs="宋体"/>
                <w:color w:val="auto"/>
                <w:sz w:val="22"/>
                <w:szCs w:val="22"/>
                <w:highlight w:val="none"/>
                <w:lang w:val="en-US" w:eastAsia="zh-CN"/>
              </w:rPr>
            </w:pPr>
            <w:r>
              <w:rPr>
                <w:rFonts w:hint="eastAsia" w:hAnsi="宋体" w:cs="Times New Roman"/>
                <w:color w:val="auto"/>
                <w:sz w:val="22"/>
                <w:szCs w:val="22"/>
                <w:highlight w:val="none"/>
                <w:lang w:val="en-US" w:eastAsia="zh-CN"/>
              </w:rPr>
              <w:t>FSJZCS2022134-003</w:t>
            </w:r>
          </w:p>
        </w:tc>
        <w:tc>
          <w:tcPr>
            <w:tcW w:w="2150" w:type="dxa"/>
            <w:vAlign w:val="center"/>
          </w:tcPr>
          <w:p>
            <w:pPr>
              <w:pStyle w:val="15"/>
              <w:snapToGrid w:val="0"/>
              <w:spacing w:before="120" w:after="120"/>
              <w:jc w:val="center"/>
              <w:rPr>
                <w:rFonts w:hint="eastAsia" w:hAnsi="宋体" w:cs="Times New Roman"/>
                <w:color w:val="auto"/>
                <w:sz w:val="22"/>
                <w:szCs w:val="22"/>
                <w:highlight w:val="none"/>
                <w:lang w:val="en-US" w:eastAsia="zh-CN"/>
              </w:rPr>
            </w:pPr>
            <w:r>
              <w:rPr>
                <w:rFonts w:hint="eastAsia" w:hAnsi="宋体" w:cs="Times New Roman"/>
                <w:color w:val="auto"/>
                <w:sz w:val="22"/>
                <w:szCs w:val="22"/>
                <w:highlight w:val="none"/>
                <w:lang w:val="en-US" w:eastAsia="zh-CN"/>
              </w:rPr>
              <w:t>驿亭镇村庄规划编制项目标段三</w:t>
            </w:r>
          </w:p>
        </w:tc>
        <w:tc>
          <w:tcPr>
            <w:tcW w:w="721" w:type="dxa"/>
            <w:vAlign w:val="center"/>
          </w:tcPr>
          <w:p>
            <w:pPr>
              <w:widowControl/>
              <w:spacing w:before="100" w:after="100" w:line="312" w:lineRule="auto"/>
              <w:jc w:val="center"/>
              <w:rPr>
                <w:rFonts w:hint="eastAsia" w:ascii="宋体" w:hAnsi="宋体" w:eastAsia="宋体" w:cs="宋体"/>
                <w:color w:val="auto"/>
                <w:kern w:val="0"/>
                <w:sz w:val="22"/>
                <w:szCs w:val="22"/>
                <w:highlight w:val="none"/>
                <w:lang w:val="en-US" w:eastAsia="zh-CN" w:bidi="ar-SA"/>
              </w:rPr>
            </w:pPr>
            <w:r>
              <w:rPr>
                <w:rFonts w:hint="eastAsia" w:ascii="宋体" w:hAnsi="宋体" w:cs="宋体"/>
                <w:color w:val="auto"/>
                <w:kern w:val="0"/>
                <w:sz w:val="22"/>
                <w:szCs w:val="22"/>
                <w:highlight w:val="none"/>
                <w:lang w:val="en-US" w:eastAsia="zh-CN"/>
              </w:rPr>
              <w:t>1</w:t>
            </w:r>
          </w:p>
        </w:tc>
        <w:tc>
          <w:tcPr>
            <w:tcW w:w="691" w:type="dxa"/>
            <w:vAlign w:val="center"/>
          </w:tcPr>
          <w:p>
            <w:pPr>
              <w:adjustRightInd w:val="0"/>
              <w:spacing w:line="360" w:lineRule="auto"/>
              <w:jc w:val="center"/>
              <w:rPr>
                <w:rFonts w:hint="eastAsia"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项</w:t>
            </w:r>
          </w:p>
        </w:tc>
        <w:tc>
          <w:tcPr>
            <w:tcW w:w="1112" w:type="dxa"/>
            <w:vAlign w:val="center"/>
          </w:tcPr>
          <w:p>
            <w:pPr>
              <w:pStyle w:val="15"/>
              <w:snapToGrid w:val="0"/>
              <w:spacing w:before="120" w:after="120"/>
              <w:jc w:val="center"/>
              <w:rPr>
                <w:rFonts w:hint="default" w:hAnsi="宋体" w:eastAsia="宋体" w:cs="Times New Roman"/>
                <w:color w:val="auto"/>
                <w:sz w:val="22"/>
                <w:szCs w:val="22"/>
                <w:highlight w:val="none"/>
                <w:lang w:val="en-US" w:eastAsia="zh-CN"/>
              </w:rPr>
            </w:pPr>
            <w:r>
              <w:rPr>
                <w:rFonts w:hint="eastAsia" w:hAnsi="宋体" w:cs="Times New Roman"/>
                <w:color w:val="auto"/>
                <w:sz w:val="22"/>
                <w:szCs w:val="22"/>
                <w:highlight w:val="none"/>
                <w:lang w:val="en-US" w:eastAsia="zh-CN"/>
              </w:rPr>
              <w:t>40</w:t>
            </w:r>
          </w:p>
        </w:tc>
        <w:tc>
          <w:tcPr>
            <w:tcW w:w="1729" w:type="dxa"/>
            <w:vAlign w:val="center"/>
          </w:tcPr>
          <w:p>
            <w:pPr>
              <w:pStyle w:val="15"/>
              <w:snapToGrid w:val="0"/>
              <w:spacing w:before="120" w:after="120"/>
              <w:jc w:val="center"/>
              <w:rPr>
                <w:rFonts w:hint="default" w:ascii="宋体" w:hAnsi="宋体" w:cs="宋体"/>
                <w:color w:val="auto"/>
                <w:sz w:val="22"/>
                <w:szCs w:val="22"/>
                <w:highlight w:val="none"/>
                <w:lang w:val="en-US" w:eastAsia="zh-CN"/>
              </w:rPr>
            </w:pPr>
            <w:r>
              <w:rPr>
                <w:rFonts w:hint="default" w:hAnsi="宋体" w:eastAsia="宋体" w:cs="Times New Roman"/>
                <w:color w:val="auto"/>
                <w:sz w:val="22"/>
                <w:szCs w:val="22"/>
                <w:highlight w:val="none"/>
                <w:lang w:val="en-US" w:eastAsia="zh-CN"/>
              </w:rPr>
              <w:t>详见招标文件第</w:t>
            </w:r>
            <w:r>
              <w:rPr>
                <w:rFonts w:hint="eastAsia" w:hAnsi="宋体" w:eastAsia="宋体" w:cs="Times New Roman"/>
                <w:color w:val="auto"/>
                <w:sz w:val="22"/>
                <w:szCs w:val="22"/>
                <w:highlight w:val="none"/>
                <w:lang w:val="en-US" w:eastAsia="zh-CN"/>
              </w:rPr>
              <w:t>三</w:t>
            </w:r>
            <w:r>
              <w:rPr>
                <w:rFonts w:hint="default" w:hAnsi="宋体" w:eastAsia="宋体" w:cs="Times New Roman"/>
                <w:color w:val="auto"/>
                <w:sz w:val="22"/>
                <w:szCs w:val="22"/>
                <w:highlight w:val="none"/>
                <w:lang w:val="en-US" w:eastAsia="zh-CN"/>
              </w:rPr>
              <w:t>部分</w:t>
            </w:r>
          </w:p>
        </w:tc>
        <w:tc>
          <w:tcPr>
            <w:tcW w:w="1112" w:type="dxa"/>
            <w:vAlign w:val="center"/>
          </w:tcPr>
          <w:p>
            <w:pPr>
              <w:snapToGrid w:val="0"/>
              <w:spacing w:before="120" w:after="120"/>
              <w:jc w:val="center"/>
              <w:rPr>
                <w:rFonts w:hint="default" w:ascii="宋体"/>
                <w:color w:val="auto"/>
                <w:sz w:val="22"/>
                <w:szCs w:val="22"/>
                <w:highlight w:val="none"/>
                <w:lang w:val="en-US" w:eastAsia="zh-CN"/>
              </w:rPr>
            </w:pPr>
            <w:r>
              <w:rPr>
                <w:rFonts w:hint="eastAsia" w:hAnsi="宋体" w:cs="Times New Roman"/>
                <w:color w:val="auto"/>
                <w:sz w:val="22"/>
                <w:szCs w:val="22"/>
                <w:highlight w:val="none"/>
                <w:lang w:val="en-US" w:eastAsia="zh-CN"/>
              </w:rPr>
              <w:t>40</w:t>
            </w:r>
          </w:p>
        </w:tc>
        <w:tc>
          <w:tcPr>
            <w:tcW w:w="537" w:type="dxa"/>
            <w:vAlign w:val="center"/>
          </w:tcPr>
          <w:p>
            <w:pPr>
              <w:adjustRightInd w:val="0"/>
              <w:spacing w:line="360" w:lineRule="auto"/>
              <w:jc w:val="center"/>
              <w:rPr>
                <w:rFonts w:hint="eastAsia" w:ascii="宋体" w:eastAsia="宋体"/>
                <w:color w:val="auto"/>
                <w:sz w:val="22"/>
                <w:szCs w:val="22"/>
                <w:highlight w:val="none"/>
                <w:lang w:val="en-US" w:eastAsia="zh-CN"/>
              </w:rPr>
            </w:pPr>
            <w:r>
              <w:rPr>
                <w:rFonts w:hint="eastAsia" w:ascii="宋体"/>
                <w:color w:val="auto"/>
                <w:sz w:val="22"/>
                <w:szCs w:val="22"/>
                <w:highlight w:val="none"/>
                <w:lang w:val="en-US" w:eastAsia="zh-CN"/>
              </w:rPr>
              <w:t>/</w:t>
            </w:r>
          </w:p>
        </w:tc>
      </w:tr>
      <w:tr>
        <w:tblPrEx>
          <w:tblBorders>
            <w:top w:val="single" w:color="000000" w:sz="4" w:space="0"/>
            <w:left w:val="single" w:color="000000" w:sz="4" w:space="0"/>
            <w:bottom w:val="single" w:color="000000" w:sz="4" w:space="0"/>
            <w:right w:val="single" w:color="000000" w:sz="4" w:space="0"/>
            <w:insideH w:val="single" w:color="A6A6A6" w:sz="4" w:space="0"/>
            <w:insideV w:val="single" w:color="A6A6A6" w:sz="4" w:space="0"/>
          </w:tblBorders>
          <w:tblCellMar>
            <w:top w:w="0" w:type="dxa"/>
            <w:left w:w="108" w:type="dxa"/>
            <w:bottom w:w="0" w:type="dxa"/>
            <w:right w:w="108" w:type="dxa"/>
          </w:tblCellMar>
        </w:tblPrEx>
        <w:trPr>
          <w:trHeight w:val="891" w:hRule="atLeast"/>
          <w:jc w:val="center"/>
        </w:trPr>
        <w:tc>
          <w:tcPr>
            <w:tcW w:w="1344" w:type="dxa"/>
            <w:vAlign w:val="center"/>
          </w:tcPr>
          <w:p>
            <w:pPr>
              <w:adjustRightInd w:val="0"/>
              <w:spacing w:line="360" w:lineRule="auto"/>
              <w:jc w:val="center"/>
              <w:rPr>
                <w:rFonts w:hint="eastAsia" w:hAnsi="宋体" w:cs="Times New Roman"/>
                <w:color w:val="auto"/>
                <w:sz w:val="22"/>
                <w:szCs w:val="22"/>
                <w:highlight w:val="none"/>
                <w:lang w:val="en-US" w:eastAsia="zh-CN"/>
              </w:rPr>
            </w:pPr>
            <w:r>
              <w:rPr>
                <w:rFonts w:hint="eastAsia" w:hAnsi="宋体" w:cs="Times New Roman"/>
                <w:color w:val="auto"/>
                <w:sz w:val="22"/>
                <w:szCs w:val="22"/>
                <w:highlight w:val="none"/>
                <w:lang w:val="en-US" w:eastAsia="zh-CN"/>
              </w:rPr>
              <w:t>FSJZCS2022134-004</w:t>
            </w:r>
          </w:p>
        </w:tc>
        <w:tc>
          <w:tcPr>
            <w:tcW w:w="2150" w:type="dxa"/>
            <w:vAlign w:val="center"/>
          </w:tcPr>
          <w:p>
            <w:pPr>
              <w:pStyle w:val="15"/>
              <w:snapToGrid w:val="0"/>
              <w:spacing w:before="120" w:after="120"/>
              <w:jc w:val="center"/>
              <w:rPr>
                <w:rFonts w:hint="eastAsia" w:hAnsi="宋体" w:cs="宋体"/>
                <w:color w:val="auto"/>
                <w:sz w:val="22"/>
                <w:szCs w:val="22"/>
                <w:highlight w:val="none"/>
                <w:lang w:val="en-US" w:eastAsia="zh-CN"/>
              </w:rPr>
            </w:pPr>
            <w:r>
              <w:rPr>
                <w:rFonts w:hint="eastAsia" w:hAnsi="宋体" w:cs="Times New Roman"/>
                <w:color w:val="auto"/>
                <w:sz w:val="22"/>
                <w:szCs w:val="22"/>
                <w:highlight w:val="none"/>
                <w:lang w:val="en-US" w:eastAsia="zh-CN"/>
              </w:rPr>
              <w:t>驿亭镇村庄规划编制项目标段四</w:t>
            </w:r>
          </w:p>
        </w:tc>
        <w:tc>
          <w:tcPr>
            <w:tcW w:w="721" w:type="dxa"/>
            <w:vAlign w:val="center"/>
          </w:tcPr>
          <w:p>
            <w:pPr>
              <w:widowControl/>
              <w:spacing w:before="100" w:after="100" w:line="312" w:lineRule="auto"/>
              <w:jc w:val="center"/>
              <w:rPr>
                <w:rFonts w:hint="eastAsia" w:ascii="宋体" w:hAnsi="宋体" w:cs="宋体"/>
                <w:color w:val="auto"/>
                <w:kern w:val="0"/>
                <w:sz w:val="22"/>
                <w:szCs w:val="22"/>
                <w:highlight w:val="none"/>
                <w:lang w:val="en-US" w:eastAsia="zh-CN"/>
              </w:rPr>
            </w:pPr>
            <w:r>
              <w:rPr>
                <w:rFonts w:hint="eastAsia" w:ascii="宋体" w:hAnsi="宋体" w:cs="宋体"/>
                <w:color w:val="auto"/>
                <w:kern w:val="0"/>
                <w:sz w:val="22"/>
                <w:szCs w:val="22"/>
                <w:highlight w:val="none"/>
                <w:lang w:val="en-US" w:eastAsia="zh-CN"/>
              </w:rPr>
              <w:t>1</w:t>
            </w:r>
          </w:p>
        </w:tc>
        <w:tc>
          <w:tcPr>
            <w:tcW w:w="691" w:type="dxa"/>
            <w:vAlign w:val="center"/>
          </w:tcPr>
          <w:p>
            <w:pPr>
              <w:adjustRightInd w:val="0"/>
              <w:spacing w:line="360" w:lineRule="auto"/>
              <w:jc w:val="center"/>
              <w:rPr>
                <w:rFonts w:hint="eastAsia"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项</w:t>
            </w:r>
          </w:p>
        </w:tc>
        <w:tc>
          <w:tcPr>
            <w:tcW w:w="1112" w:type="dxa"/>
            <w:vAlign w:val="center"/>
          </w:tcPr>
          <w:p>
            <w:pPr>
              <w:pStyle w:val="15"/>
              <w:snapToGrid w:val="0"/>
              <w:spacing w:before="120" w:after="120"/>
              <w:jc w:val="center"/>
              <w:rPr>
                <w:rFonts w:hint="eastAsia" w:hAnsi="宋体" w:eastAsia="宋体" w:cs="Times New Roman"/>
                <w:color w:val="auto"/>
                <w:sz w:val="22"/>
                <w:szCs w:val="22"/>
                <w:highlight w:val="none"/>
                <w:lang w:val="en-US" w:eastAsia="zh-CN"/>
              </w:rPr>
            </w:pPr>
            <w:r>
              <w:rPr>
                <w:rFonts w:hint="eastAsia" w:hAnsi="宋体" w:cs="Times New Roman"/>
                <w:color w:val="auto"/>
                <w:sz w:val="22"/>
                <w:szCs w:val="22"/>
                <w:highlight w:val="none"/>
                <w:lang w:val="en-US" w:eastAsia="zh-CN"/>
              </w:rPr>
              <w:t>60</w:t>
            </w:r>
          </w:p>
        </w:tc>
        <w:tc>
          <w:tcPr>
            <w:tcW w:w="1729" w:type="dxa"/>
            <w:vAlign w:val="center"/>
          </w:tcPr>
          <w:p>
            <w:pPr>
              <w:pStyle w:val="15"/>
              <w:snapToGrid w:val="0"/>
              <w:spacing w:before="120" w:after="120"/>
              <w:jc w:val="center"/>
              <w:rPr>
                <w:rFonts w:hint="default" w:hAnsi="宋体" w:eastAsia="宋体" w:cs="Times New Roman"/>
                <w:color w:val="auto"/>
                <w:sz w:val="22"/>
                <w:szCs w:val="22"/>
                <w:highlight w:val="none"/>
                <w:lang w:val="en-US" w:eastAsia="zh-CN"/>
              </w:rPr>
            </w:pPr>
            <w:r>
              <w:rPr>
                <w:rFonts w:hint="default" w:hAnsi="宋体" w:eastAsia="宋体" w:cs="Times New Roman"/>
                <w:color w:val="auto"/>
                <w:sz w:val="22"/>
                <w:szCs w:val="22"/>
                <w:highlight w:val="none"/>
                <w:lang w:val="en-US" w:eastAsia="zh-CN"/>
              </w:rPr>
              <w:t>详见招标文件第</w:t>
            </w:r>
            <w:r>
              <w:rPr>
                <w:rFonts w:hint="eastAsia" w:hAnsi="宋体" w:eastAsia="宋体" w:cs="Times New Roman"/>
                <w:color w:val="auto"/>
                <w:sz w:val="22"/>
                <w:szCs w:val="22"/>
                <w:highlight w:val="none"/>
                <w:lang w:val="en-US" w:eastAsia="zh-CN"/>
              </w:rPr>
              <w:t>三</w:t>
            </w:r>
            <w:r>
              <w:rPr>
                <w:rFonts w:hint="default" w:hAnsi="宋体" w:eastAsia="宋体" w:cs="Times New Roman"/>
                <w:color w:val="auto"/>
                <w:sz w:val="22"/>
                <w:szCs w:val="22"/>
                <w:highlight w:val="none"/>
                <w:lang w:val="en-US" w:eastAsia="zh-CN"/>
              </w:rPr>
              <w:t>部分</w:t>
            </w:r>
          </w:p>
        </w:tc>
        <w:tc>
          <w:tcPr>
            <w:tcW w:w="1112" w:type="dxa"/>
            <w:vAlign w:val="center"/>
          </w:tcPr>
          <w:p>
            <w:pPr>
              <w:pStyle w:val="15"/>
              <w:snapToGrid w:val="0"/>
              <w:spacing w:before="120" w:after="120"/>
              <w:jc w:val="center"/>
              <w:rPr>
                <w:rFonts w:hint="eastAsia" w:ascii="宋体" w:hAnsi="宋体" w:eastAsia="宋体" w:cs="宋体"/>
                <w:i w:val="0"/>
                <w:color w:val="auto"/>
                <w:kern w:val="0"/>
                <w:sz w:val="22"/>
                <w:szCs w:val="22"/>
                <w:highlight w:val="none"/>
                <w:u w:val="none"/>
                <w:lang w:val="en-US" w:eastAsia="zh-CN" w:bidi="ar"/>
              </w:rPr>
            </w:pPr>
            <w:r>
              <w:rPr>
                <w:rFonts w:hint="eastAsia" w:hAnsi="宋体" w:cs="Times New Roman"/>
                <w:color w:val="auto"/>
                <w:sz w:val="22"/>
                <w:szCs w:val="22"/>
                <w:highlight w:val="none"/>
                <w:lang w:val="en-US" w:eastAsia="zh-CN"/>
              </w:rPr>
              <w:t>60</w:t>
            </w:r>
          </w:p>
        </w:tc>
        <w:tc>
          <w:tcPr>
            <w:tcW w:w="537" w:type="dxa"/>
            <w:vAlign w:val="center"/>
          </w:tcPr>
          <w:p>
            <w:pPr>
              <w:adjustRightInd w:val="0"/>
              <w:spacing w:line="360" w:lineRule="auto"/>
              <w:jc w:val="center"/>
              <w:rPr>
                <w:rFonts w:hint="default" w:ascii="宋体"/>
                <w:color w:val="auto"/>
                <w:sz w:val="22"/>
                <w:szCs w:val="22"/>
                <w:highlight w:val="none"/>
                <w:lang w:val="en-US" w:eastAsia="zh-CN"/>
              </w:rPr>
            </w:pPr>
            <w:r>
              <w:rPr>
                <w:rFonts w:hint="eastAsia" w:ascii="宋体"/>
                <w:color w:val="auto"/>
                <w:sz w:val="22"/>
                <w:szCs w:val="22"/>
                <w:highlight w:val="none"/>
                <w:lang w:val="en-US" w:eastAsia="zh-CN"/>
              </w:rPr>
              <w:t>/</w:t>
            </w:r>
          </w:p>
        </w:tc>
      </w:tr>
      <w:tr>
        <w:tblPrEx>
          <w:tblBorders>
            <w:top w:val="single" w:color="000000" w:sz="4" w:space="0"/>
            <w:left w:val="single" w:color="000000" w:sz="4" w:space="0"/>
            <w:bottom w:val="single" w:color="000000" w:sz="4" w:space="0"/>
            <w:right w:val="single" w:color="000000" w:sz="4" w:space="0"/>
            <w:insideH w:val="single" w:color="A6A6A6" w:sz="4" w:space="0"/>
            <w:insideV w:val="single" w:color="A6A6A6" w:sz="4" w:space="0"/>
          </w:tblBorders>
          <w:tblCellMar>
            <w:top w:w="0" w:type="dxa"/>
            <w:left w:w="108" w:type="dxa"/>
            <w:bottom w:w="0" w:type="dxa"/>
            <w:right w:w="108" w:type="dxa"/>
          </w:tblCellMar>
        </w:tblPrEx>
        <w:trPr>
          <w:trHeight w:val="891" w:hRule="atLeast"/>
          <w:jc w:val="center"/>
        </w:trPr>
        <w:tc>
          <w:tcPr>
            <w:tcW w:w="1344" w:type="dxa"/>
            <w:tcBorders>
              <w:bottom w:val="single" w:color="000000" w:sz="4" w:space="0"/>
            </w:tcBorders>
            <w:vAlign w:val="center"/>
          </w:tcPr>
          <w:p>
            <w:pPr>
              <w:adjustRightInd w:val="0"/>
              <w:spacing w:line="360" w:lineRule="auto"/>
              <w:jc w:val="center"/>
              <w:rPr>
                <w:rFonts w:hint="eastAsia" w:hAnsi="宋体" w:cs="Times New Roman"/>
                <w:color w:val="auto"/>
                <w:sz w:val="22"/>
                <w:szCs w:val="22"/>
                <w:highlight w:val="none"/>
                <w:lang w:val="en-US" w:eastAsia="zh-CN"/>
              </w:rPr>
            </w:pPr>
            <w:r>
              <w:rPr>
                <w:rFonts w:hint="eastAsia" w:hAnsi="宋体" w:cs="Times New Roman"/>
                <w:color w:val="auto"/>
                <w:sz w:val="22"/>
                <w:szCs w:val="22"/>
                <w:highlight w:val="none"/>
                <w:lang w:val="en-US" w:eastAsia="zh-CN"/>
              </w:rPr>
              <w:t>FSJZCS2022134-005</w:t>
            </w:r>
          </w:p>
        </w:tc>
        <w:tc>
          <w:tcPr>
            <w:tcW w:w="2150" w:type="dxa"/>
            <w:tcBorders>
              <w:bottom w:val="single" w:color="000000" w:sz="4" w:space="0"/>
            </w:tcBorders>
            <w:vAlign w:val="center"/>
          </w:tcPr>
          <w:p>
            <w:pPr>
              <w:pStyle w:val="15"/>
              <w:snapToGrid w:val="0"/>
              <w:spacing w:before="120" w:after="120"/>
              <w:jc w:val="center"/>
              <w:rPr>
                <w:rFonts w:hint="default" w:hAnsi="宋体" w:cs="Times New Roman"/>
                <w:color w:val="auto"/>
                <w:sz w:val="22"/>
                <w:szCs w:val="22"/>
                <w:highlight w:val="none"/>
                <w:lang w:val="en-US" w:eastAsia="zh-CN"/>
              </w:rPr>
            </w:pPr>
            <w:r>
              <w:rPr>
                <w:rFonts w:hint="eastAsia" w:hAnsi="宋体" w:cs="Times New Roman"/>
                <w:color w:val="auto"/>
                <w:sz w:val="22"/>
                <w:szCs w:val="22"/>
                <w:highlight w:val="none"/>
                <w:lang w:val="en-US" w:eastAsia="zh-CN"/>
              </w:rPr>
              <w:t>驿亭镇村庄规划编制项目标段五</w:t>
            </w:r>
          </w:p>
        </w:tc>
        <w:tc>
          <w:tcPr>
            <w:tcW w:w="721" w:type="dxa"/>
            <w:tcBorders>
              <w:bottom w:val="single" w:color="000000" w:sz="4" w:space="0"/>
            </w:tcBorders>
            <w:vAlign w:val="center"/>
          </w:tcPr>
          <w:p>
            <w:pPr>
              <w:widowControl/>
              <w:spacing w:before="100" w:after="100" w:line="312" w:lineRule="auto"/>
              <w:jc w:val="center"/>
              <w:rPr>
                <w:rFonts w:hint="eastAsia" w:ascii="宋体" w:hAnsi="宋体" w:eastAsia="宋体" w:cs="宋体"/>
                <w:color w:val="auto"/>
                <w:kern w:val="0"/>
                <w:sz w:val="22"/>
                <w:szCs w:val="22"/>
                <w:highlight w:val="none"/>
                <w:lang w:val="en-US" w:eastAsia="zh-CN" w:bidi="ar-SA"/>
              </w:rPr>
            </w:pPr>
            <w:r>
              <w:rPr>
                <w:rFonts w:hint="eastAsia" w:ascii="宋体" w:hAnsi="宋体" w:cs="宋体"/>
                <w:color w:val="auto"/>
                <w:kern w:val="0"/>
                <w:sz w:val="22"/>
                <w:szCs w:val="22"/>
                <w:highlight w:val="none"/>
                <w:lang w:val="en-US" w:eastAsia="zh-CN"/>
              </w:rPr>
              <w:t>1</w:t>
            </w:r>
          </w:p>
        </w:tc>
        <w:tc>
          <w:tcPr>
            <w:tcW w:w="691" w:type="dxa"/>
            <w:tcBorders>
              <w:bottom w:val="single" w:color="000000" w:sz="4" w:space="0"/>
            </w:tcBorders>
            <w:vAlign w:val="center"/>
          </w:tcPr>
          <w:p>
            <w:pPr>
              <w:adjustRightInd w:val="0"/>
              <w:spacing w:line="360" w:lineRule="auto"/>
              <w:jc w:val="center"/>
              <w:rPr>
                <w:rFonts w:hint="eastAsia" w:ascii="宋体" w:hAnsi="宋体" w:eastAsia="宋体" w:cs="宋体"/>
                <w:color w:val="auto"/>
                <w:kern w:val="2"/>
                <w:sz w:val="22"/>
                <w:szCs w:val="22"/>
                <w:highlight w:val="none"/>
                <w:lang w:val="en-US" w:eastAsia="zh-CN" w:bidi="ar-SA"/>
              </w:rPr>
            </w:pPr>
            <w:r>
              <w:rPr>
                <w:rFonts w:hint="eastAsia" w:ascii="宋体" w:hAnsi="宋体" w:cs="宋体"/>
                <w:color w:val="auto"/>
                <w:sz w:val="22"/>
                <w:szCs w:val="22"/>
                <w:highlight w:val="none"/>
                <w:lang w:val="en-US" w:eastAsia="zh-CN"/>
              </w:rPr>
              <w:t>项</w:t>
            </w:r>
          </w:p>
        </w:tc>
        <w:tc>
          <w:tcPr>
            <w:tcW w:w="1112" w:type="dxa"/>
            <w:tcBorders>
              <w:bottom w:val="single" w:color="000000" w:sz="4" w:space="0"/>
            </w:tcBorders>
            <w:vAlign w:val="center"/>
          </w:tcPr>
          <w:p>
            <w:pPr>
              <w:snapToGrid w:val="0"/>
              <w:spacing w:before="120" w:after="120"/>
              <w:jc w:val="center"/>
              <w:rPr>
                <w:rFonts w:hint="eastAsia" w:ascii="宋体" w:hAnsi="宋体" w:eastAsia="宋体" w:cs="Times New Roman"/>
                <w:color w:val="auto"/>
                <w:kern w:val="2"/>
                <w:sz w:val="22"/>
                <w:szCs w:val="22"/>
                <w:highlight w:val="none"/>
                <w:lang w:val="en-US" w:eastAsia="zh-CN" w:bidi="ar-SA"/>
              </w:rPr>
            </w:pPr>
            <w:r>
              <w:rPr>
                <w:rFonts w:hint="eastAsia" w:hAnsi="宋体" w:cs="Times New Roman"/>
                <w:color w:val="auto"/>
                <w:sz w:val="22"/>
                <w:szCs w:val="22"/>
                <w:highlight w:val="none"/>
                <w:lang w:val="en-US" w:eastAsia="zh-CN"/>
              </w:rPr>
              <w:t>40</w:t>
            </w:r>
          </w:p>
        </w:tc>
        <w:tc>
          <w:tcPr>
            <w:tcW w:w="1729" w:type="dxa"/>
            <w:tcBorders>
              <w:bottom w:val="single" w:color="000000" w:sz="4" w:space="0"/>
            </w:tcBorders>
            <w:vAlign w:val="center"/>
          </w:tcPr>
          <w:p>
            <w:pPr>
              <w:pStyle w:val="15"/>
              <w:snapToGrid w:val="0"/>
              <w:spacing w:before="120" w:after="120"/>
              <w:jc w:val="center"/>
              <w:rPr>
                <w:rFonts w:hint="default" w:ascii="宋体" w:hAnsi="宋体" w:eastAsia="宋体" w:cs="Times New Roman"/>
                <w:color w:val="auto"/>
                <w:kern w:val="2"/>
                <w:sz w:val="22"/>
                <w:szCs w:val="22"/>
                <w:highlight w:val="none"/>
                <w:lang w:val="en-US" w:eastAsia="zh-CN" w:bidi="ar-SA"/>
              </w:rPr>
            </w:pPr>
            <w:r>
              <w:rPr>
                <w:rFonts w:hint="default" w:hAnsi="宋体" w:eastAsia="宋体" w:cs="Times New Roman"/>
                <w:color w:val="auto"/>
                <w:sz w:val="22"/>
                <w:szCs w:val="22"/>
                <w:highlight w:val="none"/>
                <w:lang w:val="en-US" w:eastAsia="zh-CN"/>
              </w:rPr>
              <w:t>详见招标文件第</w:t>
            </w:r>
            <w:r>
              <w:rPr>
                <w:rFonts w:hint="eastAsia" w:hAnsi="宋体" w:eastAsia="宋体" w:cs="Times New Roman"/>
                <w:color w:val="auto"/>
                <w:sz w:val="22"/>
                <w:szCs w:val="22"/>
                <w:highlight w:val="none"/>
                <w:lang w:val="en-US" w:eastAsia="zh-CN"/>
              </w:rPr>
              <w:t>三</w:t>
            </w:r>
            <w:r>
              <w:rPr>
                <w:rFonts w:hint="default" w:hAnsi="宋体" w:eastAsia="宋体" w:cs="Times New Roman"/>
                <w:color w:val="auto"/>
                <w:sz w:val="22"/>
                <w:szCs w:val="22"/>
                <w:highlight w:val="none"/>
                <w:lang w:val="en-US" w:eastAsia="zh-CN"/>
              </w:rPr>
              <w:t>部分</w:t>
            </w:r>
          </w:p>
        </w:tc>
        <w:tc>
          <w:tcPr>
            <w:tcW w:w="1112" w:type="dxa"/>
            <w:tcBorders>
              <w:bottom w:val="single" w:color="000000" w:sz="4" w:space="0"/>
            </w:tcBorders>
            <w:vAlign w:val="center"/>
          </w:tcPr>
          <w:p>
            <w:pPr>
              <w:snapToGrid w:val="0"/>
              <w:spacing w:before="120" w:after="120"/>
              <w:jc w:val="center"/>
              <w:rPr>
                <w:rFonts w:hint="eastAsia" w:ascii="宋体" w:hAnsi="宋体" w:eastAsia="宋体" w:cs="宋体"/>
                <w:i w:val="0"/>
                <w:color w:val="auto"/>
                <w:kern w:val="0"/>
                <w:sz w:val="22"/>
                <w:szCs w:val="22"/>
                <w:highlight w:val="none"/>
                <w:u w:val="none"/>
                <w:lang w:val="en-US" w:eastAsia="zh-CN" w:bidi="ar"/>
              </w:rPr>
            </w:pPr>
            <w:r>
              <w:rPr>
                <w:rFonts w:hint="eastAsia" w:hAnsi="宋体" w:cs="Times New Roman"/>
                <w:color w:val="auto"/>
                <w:sz w:val="22"/>
                <w:szCs w:val="22"/>
                <w:highlight w:val="none"/>
                <w:lang w:val="en-US" w:eastAsia="zh-CN"/>
              </w:rPr>
              <w:t>40</w:t>
            </w:r>
          </w:p>
        </w:tc>
        <w:tc>
          <w:tcPr>
            <w:tcW w:w="537" w:type="dxa"/>
            <w:tcBorders>
              <w:bottom w:val="single" w:color="000000" w:sz="4" w:space="0"/>
            </w:tcBorders>
            <w:vAlign w:val="center"/>
          </w:tcPr>
          <w:p>
            <w:pPr>
              <w:adjustRightInd w:val="0"/>
              <w:spacing w:line="360" w:lineRule="auto"/>
              <w:jc w:val="center"/>
              <w:rPr>
                <w:rFonts w:hint="default" w:ascii="宋体"/>
                <w:color w:val="auto"/>
                <w:sz w:val="22"/>
                <w:szCs w:val="22"/>
                <w:highlight w:val="none"/>
                <w:lang w:val="en-US" w:eastAsia="zh-CN"/>
              </w:rPr>
            </w:pPr>
            <w:r>
              <w:rPr>
                <w:rFonts w:hint="eastAsia" w:ascii="宋体"/>
                <w:color w:val="auto"/>
                <w:sz w:val="22"/>
                <w:szCs w:val="22"/>
                <w:highlight w:val="none"/>
                <w:lang w:val="en-US" w:eastAsia="zh-CN"/>
              </w:rPr>
              <w:t>/</w:t>
            </w:r>
          </w:p>
        </w:tc>
      </w:tr>
    </w:tbl>
    <w:p>
      <w:pPr>
        <w:numPr>
          <w:ilvl w:val="0"/>
          <w:numId w:val="0"/>
        </w:numPr>
        <w:bidi w:val="0"/>
        <w:spacing w:line="360" w:lineRule="auto"/>
        <w:rPr>
          <w:rFonts w:hint="default" w:ascii="宋体" w:hAnsi="宋体" w:eastAsia="宋体" w:cs="宋体"/>
          <w:b/>
          <w:bCs/>
          <w:color w:val="auto"/>
          <w:sz w:val="24"/>
          <w:szCs w:val="32"/>
          <w:highlight w:val="none"/>
          <w:lang w:val="en-US" w:eastAsia="zh-CN"/>
        </w:rPr>
      </w:pPr>
      <w:r>
        <w:rPr>
          <w:rFonts w:hint="eastAsia" w:ascii="宋体" w:hAnsi="宋体" w:eastAsia="宋体" w:cs="宋体"/>
          <w:b/>
          <w:bCs/>
          <w:color w:val="auto"/>
          <w:sz w:val="24"/>
          <w:szCs w:val="32"/>
          <w:highlight w:val="none"/>
          <w:lang w:val="en-US" w:eastAsia="zh-CN"/>
        </w:rPr>
        <w:t xml:space="preserve">注：投标人可以投标任一标段，但只允许中标其中一个标段（如某供应商成交标段一，则取消标段二的成交资格，但标段一的成交供应商不影响参加标段二的评审；若标段一成交供应商失去标段一成交资格，则不影响参加标段二的评审，仍拥有标段二的成交资格），中标顺序按开标顺序。 </w:t>
      </w:r>
    </w:p>
    <w:p>
      <w:pPr>
        <w:adjustRightInd w:val="0"/>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四．</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合格供应商资格要求</w:t>
      </w:r>
      <w:r>
        <w:rPr>
          <w:rFonts w:ascii="宋体" w:hAnsi="宋体" w:cs="宋体"/>
          <w:color w:val="auto"/>
          <w:sz w:val="24"/>
          <w:szCs w:val="24"/>
          <w:highlight w:val="none"/>
        </w:rPr>
        <w:t>:</w:t>
      </w:r>
    </w:p>
    <w:p>
      <w:pPr>
        <w:numPr>
          <w:ilvl w:val="0"/>
          <w:numId w:val="3"/>
        </w:numPr>
        <w:adjustRightInd w:val="0"/>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符合政府采购法第二十二条，且未被“信用中国”（</w:t>
      </w:r>
      <w:r>
        <w:rPr>
          <w:rFonts w:ascii="宋体" w:hAnsi="宋体" w:cs="宋体"/>
          <w:color w:val="auto"/>
          <w:sz w:val="24"/>
          <w:szCs w:val="24"/>
          <w:highlight w:val="none"/>
        </w:rPr>
        <w:t>www.creditchina.gov.cn</w:t>
      </w:r>
      <w:r>
        <w:rPr>
          <w:rFonts w:hint="eastAsia" w:ascii="宋体" w:hAnsi="宋体" w:cs="宋体"/>
          <w:color w:val="auto"/>
          <w:sz w:val="24"/>
          <w:szCs w:val="24"/>
          <w:highlight w:val="none"/>
        </w:rPr>
        <w:t>）、中国政府采购网（</w:t>
      </w:r>
      <w:r>
        <w:rPr>
          <w:rFonts w:ascii="宋体" w:hAnsi="宋体" w:cs="宋体"/>
          <w:color w:val="auto"/>
          <w:sz w:val="24"/>
          <w:szCs w:val="24"/>
          <w:highlight w:val="none"/>
        </w:rPr>
        <w:t>www.ccgp.gov.cn</w:t>
      </w:r>
      <w:r>
        <w:rPr>
          <w:rFonts w:hint="eastAsia" w:ascii="宋体" w:hAnsi="宋体" w:cs="宋体"/>
          <w:color w:val="auto"/>
          <w:sz w:val="24"/>
          <w:szCs w:val="24"/>
          <w:highlight w:val="none"/>
        </w:rPr>
        <w:t>）列入失信被执行人、重大税收违法案件当事人名单、政府采购严重违法失信行为记录名单。</w:t>
      </w:r>
      <w:r>
        <w:rPr>
          <w:rFonts w:ascii="宋体"/>
          <w:color w:val="auto"/>
          <w:sz w:val="24"/>
          <w:szCs w:val="24"/>
          <w:highlight w:val="none"/>
        </w:rPr>
        <w:t> </w:t>
      </w:r>
    </w:p>
    <w:p>
      <w:pPr>
        <w:numPr>
          <w:ilvl w:val="0"/>
          <w:numId w:val="3"/>
        </w:numPr>
        <w:adjustRightInd w:val="0"/>
        <w:spacing w:line="360" w:lineRule="auto"/>
        <w:ind w:firstLine="480" w:firstLineChars="200"/>
        <w:rPr>
          <w:rFonts w:ascii="宋体"/>
          <w:color w:val="auto"/>
          <w:sz w:val="24"/>
          <w:szCs w:val="24"/>
          <w:highlight w:val="none"/>
        </w:rPr>
      </w:pPr>
      <w:r>
        <w:rPr>
          <w:rFonts w:hint="eastAsia" w:ascii="宋体"/>
          <w:color w:val="auto"/>
          <w:sz w:val="24"/>
          <w:szCs w:val="24"/>
          <w:highlight w:val="none"/>
        </w:rPr>
        <w:t>特定资格条件：</w:t>
      </w:r>
      <w:r>
        <w:rPr>
          <w:rFonts w:hint="eastAsia" w:ascii="宋体"/>
          <w:color w:val="auto"/>
          <w:sz w:val="24"/>
          <w:szCs w:val="24"/>
          <w:highlight w:val="none"/>
          <w:lang w:val="en-US" w:eastAsia="zh-CN"/>
        </w:rPr>
        <w:t>供应商具有</w:t>
      </w:r>
      <w:r>
        <w:rPr>
          <w:rFonts w:hint="eastAsia" w:ascii="宋体" w:hAnsi="宋体"/>
          <w:color w:val="auto"/>
          <w:sz w:val="24"/>
          <w:szCs w:val="24"/>
          <w:highlight w:val="none"/>
        </w:rPr>
        <w:t>土地规划编制</w:t>
      </w:r>
      <w:r>
        <w:rPr>
          <w:rFonts w:hint="eastAsia" w:ascii="宋体" w:hAnsi="宋体"/>
          <w:color w:val="auto"/>
          <w:sz w:val="24"/>
          <w:szCs w:val="24"/>
          <w:highlight w:val="none"/>
          <w:lang w:val="en-US" w:eastAsia="zh-CN"/>
        </w:rPr>
        <w:t>乙级及以上资质</w:t>
      </w:r>
      <w:r>
        <w:rPr>
          <w:rFonts w:hint="eastAsia" w:ascii="宋体" w:hAnsi="宋体"/>
          <w:color w:val="auto"/>
          <w:sz w:val="24"/>
          <w:szCs w:val="24"/>
          <w:highlight w:val="none"/>
        </w:rPr>
        <w:t>和城乡规划编制乙级及以上资质</w:t>
      </w:r>
      <w:r>
        <w:rPr>
          <w:rFonts w:hint="eastAsia" w:ascii="宋体"/>
          <w:color w:val="auto"/>
          <w:sz w:val="24"/>
          <w:szCs w:val="24"/>
          <w:highlight w:val="none"/>
          <w:lang w:eastAsia="zh-CN"/>
        </w:rPr>
        <w:t>。</w:t>
      </w:r>
    </w:p>
    <w:p>
      <w:pPr>
        <w:numPr>
          <w:ilvl w:val="0"/>
          <w:numId w:val="3"/>
        </w:numPr>
        <w:adjustRightInd w:val="0"/>
        <w:spacing w:line="360" w:lineRule="auto"/>
        <w:ind w:firstLine="480" w:firstLineChars="200"/>
        <w:rPr>
          <w:rFonts w:ascii="宋体"/>
          <w:color w:val="auto"/>
          <w:sz w:val="24"/>
          <w:szCs w:val="24"/>
          <w:highlight w:val="none"/>
        </w:rPr>
      </w:pPr>
      <w:r>
        <w:rPr>
          <w:rFonts w:hint="eastAsia" w:ascii="宋体" w:hAnsi="宋体" w:cs="宋体"/>
          <w:color w:val="auto"/>
          <w:sz w:val="24"/>
          <w:highlight w:val="none"/>
        </w:rPr>
        <w:t>落实政府采购政策需满足的资格要求：供应商为中小企业/小微企业</w:t>
      </w:r>
      <w:r>
        <w:rPr>
          <w:rFonts w:hint="eastAsia" w:ascii="宋体" w:hAnsi="宋体" w:cs="宋体"/>
          <w:color w:val="auto"/>
          <w:sz w:val="24"/>
          <w:highlight w:val="none"/>
          <w:lang w:eastAsia="zh-CN"/>
        </w:rPr>
        <w:t>。</w:t>
      </w:r>
    </w:p>
    <w:p>
      <w:pPr>
        <w:numPr>
          <w:ilvl w:val="0"/>
          <w:numId w:val="3"/>
        </w:numPr>
        <w:adjustRightInd w:val="0"/>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本项目</w:t>
      </w:r>
      <w:r>
        <w:rPr>
          <w:rFonts w:hint="eastAsia" w:ascii="宋体" w:hAnsi="宋体" w:cs="宋体"/>
          <w:color w:val="auto"/>
          <w:sz w:val="24"/>
          <w:szCs w:val="24"/>
          <w:highlight w:val="none"/>
          <w:u w:val="single"/>
        </w:rPr>
        <w:t>接受</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rPr>
        <w:t>联合体参加磋商</w:t>
      </w:r>
      <w:r>
        <w:rPr>
          <w:rFonts w:hint="eastAsia" w:ascii="宋体" w:hAnsi="宋体" w:cs="宋体"/>
          <w:color w:val="auto"/>
          <w:sz w:val="24"/>
          <w:szCs w:val="24"/>
          <w:highlight w:val="none"/>
          <w:lang w:eastAsia="zh-CN"/>
        </w:rPr>
        <w:t>。</w:t>
      </w:r>
      <w:r>
        <w:rPr>
          <w:rFonts w:hint="eastAsia" w:ascii="宋体" w:hAnsi="宋体" w:cs="宋体"/>
          <w:color w:val="auto"/>
          <w:kern w:val="0"/>
          <w:sz w:val="24"/>
          <w:highlight w:val="none"/>
          <w:lang w:eastAsia="zh-CN"/>
        </w:rPr>
        <w:t>如</w:t>
      </w:r>
      <w:r>
        <w:rPr>
          <w:rFonts w:hint="eastAsia" w:ascii="宋体" w:hAnsi="宋体" w:cs="宋体"/>
          <w:color w:val="auto"/>
          <w:kern w:val="0"/>
          <w:sz w:val="24"/>
          <w:highlight w:val="none"/>
          <w:lang w:val="en-US" w:eastAsia="zh-CN"/>
        </w:rPr>
        <w:t>供应商</w:t>
      </w:r>
      <w:r>
        <w:rPr>
          <w:rFonts w:hint="eastAsia" w:ascii="宋体" w:hAnsi="宋体" w:cs="宋体"/>
          <w:color w:val="auto"/>
          <w:kern w:val="0"/>
          <w:sz w:val="24"/>
          <w:highlight w:val="none"/>
          <w:lang w:eastAsia="zh-CN"/>
        </w:rPr>
        <w:t>不同时具备上述条件的可组成联合体投标，但联合体组成单位不能超过两家</w:t>
      </w:r>
      <w:r>
        <w:rPr>
          <w:rFonts w:hint="eastAsia" w:ascii="宋体" w:hAnsi="宋体" w:cs="宋体"/>
          <w:color w:val="auto"/>
          <w:sz w:val="24"/>
          <w:highlight w:val="none"/>
          <w:lang w:val="en-US" w:eastAsia="zh-CN"/>
        </w:rPr>
        <w:t>（</w:t>
      </w:r>
      <w:r>
        <w:rPr>
          <w:rFonts w:hint="eastAsia" w:ascii="宋体" w:hAnsi="宋体" w:cs="宋体"/>
          <w:color w:val="auto"/>
          <w:kern w:val="0"/>
          <w:sz w:val="24"/>
          <w:highlight w:val="none"/>
          <w:lang w:eastAsia="zh-CN"/>
        </w:rPr>
        <w:t>联合体投标时须满足下列条件：a、联合体</w:t>
      </w:r>
      <w:r>
        <w:rPr>
          <w:rFonts w:hint="eastAsia" w:ascii="宋体" w:hAnsi="宋体" w:cs="宋体"/>
          <w:color w:val="auto"/>
          <w:kern w:val="0"/>
          <w:sz w:val="24"/>
          <w:highlight w:val="none"/>
          <w:lang w:val="en-US" w:eastAsia="zh-CN"/>
        </w:rPr>
        <w:t>投标人</w:t>
      </w:r>
      <w:r>
        <w:rPr>
          <w:rFonts w:hint="eastAsia" w:ascii="宋体" w:hAnsi="宋体" w:cs="宋体"/>
          <w:color w:val="auto"/>
          <w:kern w:val="0"/>
          <w:sz w:val="24"/>
          <w:highlight w:val="none"/>
          <w:lang w:eastAsia="zh-CN"/>
        </w:rPr>
        <w:t>必须提供联合体双方协议书，明确联合体双方的权利义务；b、联合体各方不得再以自己名义单独或加入其他联合体对本项目进行投标</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w:t>
      </w:r>
      <w:r>
        <w:rPr>
          <w:rFonts w:hint="eastAsia" w:ascii="宋体" w:hAnsi="宋体" w:cs="宋体"/>
          <w:color w:val="auto"/>
          <w:sz w:val="24"/>
          <w:szCs w:val="24"/>
          <w:highlight w:val="none"/>
          <w:lang w:eastAsia="zh-CN"/>
        </w:rPr>
        <w:t>；</w:t>
      </w:r>
    </w:p>
    <w:p>
      <w:pPr>
        <w:numPr>
          <w:ilvl w:val="0"/>
          <w:numId w:val="3"/>
        </w:numPr>
        <w:adjustRightInd w:val="0"/>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本项目采用资格后审的审查方式，由磋商小组负责审查。</w:t>
      </w:r>
    </w:p>
    <w:p>
      <w:pPr>
        <w:adjustRightInd w:val="0"/>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五．获取磋商文件</w:t>
      </w:r>
    </w:p>
    <w:p>
      <w:pPr>
        <w:numPr>
          <w:ilvl w:val="0"/>
          <w:numId w:val="4"/>
        </w:numPr>
        <w:adjustRightInd w:val="0"/>
        <w:spacing w:line="360" w:lineRule="auto"/>
        <w:ind w:firstLine="480" w:firstLineChars="200"/>
        <w:rPr>
          <w:rFonts w:ascii="宋体"/>
          <w:color w:val="auto"/>
          <w:sz w:val="24"/>
          <w:szCs w:val="24"/>
          <w:highlight w:val="none"/>
        </w:rPr>
      </w:pPr>
      <w:bookmarkStart w:id="5" w:name="报名开始时间1"/>
      <w:r>
        <w:rPr>
          <w:rFonts w:hint="eastAsia" w:ascii="宋体" w:hAnsi="宋体" w:cs="宋体"/>
          <w:color w:val="auto"/>
          <w:sz w:val="24"/>
          <w:szCs w:val="24"/>
          <w:highlight w:val="none"/>
        </w:rPr>
        <w:t>获取磋商文件时间</w:t>
      </w:r>
      <w:r>
        <w:rPr>
          <w:rFonts w:ascii="宋体" w:hAnsi="宋体" w:cs="宋体"/>
          <w:color w:val="auto"/>
          <w:sz w:val="24"/>
          <w:szCs w:val="24"/>
          <w:highlight w:val="none"/>
        </w:rPr>
        <w:t>:</w:t>
      </w:r>
      <w:bookmarkEnd w:id="5"/>
      <w:r>
        <w:rPr>
          <w:rFonts w:ascii="宋体" w:hAnsi="宋体" w:cs="宋体"/>
          <w:color w:val="auto"/>
          <w:sz w:val="24"/>
          <w:szCs w:val="24"/>
          <w:highlight w:val="none"/>
          <w:u w:val="single"/>
        </w:rPr>
        <w:t>20</w:t>
      </w:r>
      <w:r>
        <w:rPr>
          <w:rFonts w:hint="eastAsia" w:ascii="宋体" w:hAnsi="宋体" w:cs="宋体"/>
          <w:color w:val="auto"/>
          <w:sz w:val="24"/>
          <w:szCs w:val="24"/>
          <w:highlight w:val="none"/>
          <w:u w:val="single"/>
        </w:rPr>
        <w:t>22年</w:t>
      </w:r>
      <w:r>
        <w:rPr>
          <w:rFonts w:hint="eastAsia" w:ascii="宋体" w:hAnsi="宋体" w:cs="宋体"/>
          <w:color w:val="auto"/>
          <w:sz w:val="24"/>
          <w:szCs w:val="24"/>
          <w:highlight w:val="none"/>
          <w:u w:val="single"/>
          <w:lang w:val="en-US" w:eastAsia="zh-CN"/>
        </w:rPr>
        <w:t>10</w:t>
      </w:r>
      <w:r>
        <w:rPr>
          <w:rFonts w:hint="eastAsia" w:ascii="宋体" w:hAnsi="宋体" w:cs="宋体"/>
          <w:color w:val="auto"/>
          <w:sz w:val="24"/>
          <w:szCs w:val="24"/>
          <w:highlight w:val="none"/>
          <w:u w:val="single"/>
        </w:rPr>
        <w:t>月</w:t>
      </w:r>
      <w:r>
        <w:rPr>
          <w:rFonts w:hint="eastAsia" w:ascii="宋体" w:hAnsi="宋体" w:cs="宋体"/>
          <w:color w:val="auto"/>
          <w:sz w:val="24"/>
          <w:szCs w:val="24"/>
          <w:highlight w:val="none"/>
          <w:u w:val="single"/>
          <w:lang w:val="en-US" w:eastAsia="zh-CN"/>
        </w:rPr>
        <w:t>20</w:t>
      </w:r>
      <w:r>
        <w:rPr>
          <w:rFonts w:hint="eastAsia" w:ascii="宋体" w:hAnsi="宋体" w:cs="宋体"/>
          <w:color w:val="auto"/>
          <w:sz w:val="24"/>
          <w:szCs w:val="24"/>
          <w:highlight w:val="none"/>
          <w:u w:val="single"/>
        </w:rPr>
        <w:t>日上午09</w:t>
      </w:r>
      <w:r>
        <w:rPr>
          <w:rFonts w:ascii="宋体" w:hAnsi="宋体" w:cs="宋体"/>
          <w:color w:val="auto"/>
          <w:sz w:val="24"/>
          <w:szCs w:val="24"/>
          <w:highlight w:val="none"/>
          <w:u w:val="single"/>
        </w:rPr>
        <w:t>:</w:t>
      </w:r>
      <w:r>
        <w:rPr>
          <w:rFonts w:hint="eastAsia" w:ascii="宋体" w:hAnsi="宋体" w:cs="宋体"/>
          <w:color w:val="auto"/>
          <w:sz w:val="24"/>
          <w:szCs w:val="24"/>
          <w:highlight w:val="none"/>
          <w:u w:val="single"/>
        </w:rPr>
        <w:t>3</w:t>
      </w:r>
      <w:r>
        <w:rPr>
          <w:rFonts w:ascii="宋体" w:hAnsi="宋体" w:cs="宋体"/>
          <w:color w:val="auto"/>
          <w:sz w:val="24"/>
          <w:szCs w:val="24"/>
          <w:highlight w:val="none"/>
          <w:u w:val="single"/>
        </w:rPr>
        <w:t>0</w:t>
      </w:r>
      <w:r>
        <w:rPr>
          <w:rFonts w:hint="eastAsia" w:ascii="宋体" w:hAnsi="宋体" w:cs="宋体"/>
          <w:color w:val="auto"/>
          <w:sz w:val="24"/>
          <w:szCs w:val="24"/>
          <w:highlight w:val="none"/>
        </w:rPr>
        <w:t>之前获取。</w:t>
      </w:r>
    </w:p>
    <w:p>
      <w:pPr>
        <w:numPr>
          <w:ilvl w:val="0"/>
          <w:numId w:val="4"/>
        </w:numPr>
        <w:adjustRightInd w:val="0"/>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获取磋商文件方式：供应商登陆政采云平台</w:t>
      </w:r>
      <w:r>
        <w:rPr>
          <w:rFonts w:ascii="宋体" w:hAnsi="宋体" w:cs="宋体"/>
          <w:color w:val="auto"/>
          <w:sz w:val="24"/>
          <w:szCs w:val="24"/>
          <w:highlight w:val="none"/>
        </w:rPr>
        <w:t>http://www.zcygov.cn/</w:t>
      </w:r>
      <w:r>
        <w:rPr>
          <w:rFonts w:hint="eastAsia" w:ascii="宋体" w:hAnsi="宋体" w:cs="宋体"/>
          <w:color w:val="auto"/>
          <w:sz w:val="24"/>
          <w:szCs w:val="24"/>
          <w:highlight w:val="none"/>
        </w:rPr>
        <w:t>，在线申请获取磋商文件（进入“项目采购”应用，在获取采购文件菜单中选择项目，申请获取采购文件）。</w:t>
      </w:r>
    </w:p>
    <w:p>
      <w:pPr>
        <w:numPr>
          <w:ilvl w:val="0"/>
          <w:numId w:val="4"/>
        </w:numPr>
        <w:adjustRightInd w:val="0"/>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提示：</w:t>
      </w:r>
    </w:p>
    <w:p>
      <w:pPr>
        <w:numPr>
          <w:ilvl w:val="0"/>
          <w:numId w:val="5"/>
        </w:numPr>
        <w:adjustRightInd w:val="0"/>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将拒绝接受未获取磋商文件供应商的响应文件。</w:t>
      </w:r>
    </w:p>
    <w:p>
      <w:pPr>
        <w:numPr>
          <w:ilvl w:val="0"/>
          <w:numId w:val="5"/>
        </w:numPr>
        <w:adjustRightInd w:val="0"/>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磋商文件及更正补充公告请自行登录浙江政府采购网或绍兴市上虞区公共资源交易中心网站，在采购公告页面中下载。</w:t>
      </w:r>
    </w:p>
    <w:p>
      <w:pPr>
        <w:adjustRightIn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六．投标与开标注意事项：</w:t>
      </w:r>
    </w:p>
    <w:p>
      <w:pPr>
        <w:numPr>
          <w:ilvl w:val="0"/>
          <w:numId w:val="6"/>
        </w:numPr>
        <w:adjustRightIn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本项目实行</w:t>
      </w:r>
      <w:r>
        <w:rPr>
          <w:rFonts w:hint="eastAsia" w:ascii="宋体" w:hAnsi="宋体" w:cs="宋体"/>
          <w:b/>
          <w:bCs/>
          <w:color w:val="auto"/>
          <w:sz w:val="24"/>
          <w:szCs w:val="24"/>
          <w:highlight w:val="none"/>
        </w:rPr>
        <w:t>网上投标</w:t>
      </w:r>
      <w:r>
        <w:rPr>
          <w:rFonts w:hint="eastAsia" w:ascii="宋体" w:hAnsi="宋体" w:cs="宋体"/>
          <w:color w:val="auto"/>
          <w:sz w:val="24"/>
          <w:szCs w:val="24"/>
          <w:highlight w:val="none"/>
        </w:rPr>
        <w:t>，采用电子投标文件，若供应商参与投标，自行承担投标一切费用。</w:t>
      </w:r>
    </w:p>
    <w:p>
      <w:pPr>
        <w:numPr>
          <w:ilvl w:val="0"/>
          <w:numId w:val="6"/>
        </w:numPr>
        <w:wordWrap w:val="0"/>
        <w:adjustRightIn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标前准备：各供应商应在开标前应确保成为浙江省政府采购网正式注册入库供应商，并完成CA数字证书办理。因未注册入库、未办理CA数字证书等原因造成无法投标或投标失败等后果由供应商自行承担。</w:t>
      </w:r>
    </w:p>
    <w:p>
      <w:pPr>
        <w:autoSpaceDE w:val="0"/>
        <w:autoSpaceDN w:val="0"/>
        <w:spacing w:line="360" w:lineRule="auto"/>
        <w:ind w:firstLine="480" w:firstLineChars="200"/>
        <w:textAlignment w:val="bottom"/>
        <w:rPr>
          <w:rFonts w:ascii="宋体" w:hAnsi="宋体" w:cs="宋体"/>
          <w:color w:val="auto"/>
          <w:sz w:val="24"/>
          <w:highlight w:val="none"/>
        </w:rPr>
      </w:pPr>
      <w:r>
        <w:rPr>
          <w:rFonts w:hint="eastAsia" w:ascii="宋体" w:hAnsi="宋体" w:cs="宋体"/>
          <w:color w:val="auto"/>
          <w:sz w:val="24"/>
          <w:highlight w:val="none"/>
        </w:rPr>
        <w:t>供应商将政采云电子交易客户端下载、安装完成后，可通过账号密码或CA登录客户端进行投标文件制作。在使用政采云投标客户端时，建议使用WIN7及以上操作系统。</w:t>
      </w:r>
    </w:p>
    <w:p>
      <w:pPr>
        <w:autoSpaceDE w:val="0"/>
        <w:autoSpaceDN w:val="0"/>
        <w:spacing w:line="360" w:lineRule="auto"/>
        <w:ind w:firstLine="480" w:firstLineChars="200"/>
        <w:textAlignment w:val="bottom"/>
        <w:rPr>
          <w:rFonts w:ascii="宋体" w:hAnsi="宋体" w:cs="宋体"/>
          <w:color w:val="auto"/>
          <w:sz w:val="24"/>
          <w:highlight w:val="none"/>
        </w:rPr>
      </w:pPr>
      <w:r>
        <w:rPr>
          <w:rFonts w:hint="eastAsia" w:ascii="宋体" w:hAnsi="宋体" w:cs="宋体"/>
          <w:color w:val="auto"/>
          <w:sz w:val="24"/>
          <w:highlight w:val="none"/>
        </w:rPr>
        <w:t>注：供应商先要申领CA，取得CA后需要在政采云平台进行绑定，CA相关操作可参考《CA管理学习专题》。完成CA数字证书办理在资料齐全的情况下预计7个工作日左右，建议供应商获取招标文件后立即办理。</w:t>
      </w:r>
    </w:p>
    <w:p>
      <w:pPr>
        <w:adjustRightInd w:val="0"/>
        <w:spacing w:line="360" w:lineRule="auto"/>
        <w:ind w:left="420" w:leftChars="200"/>
        <w:rPr>
          <w:rFonts w:ascii="宋体" w:hAnsi="宋体" w:cs="宋体"/>
          <w:color w:val="auto"/>
          <w:sz w:val="24"/>
          <w:highlight w:val="none"/>
        </w:rPr>
      </w:pPr>
      <w:r>
        <w:rPr>
          <w:rFonts w:hint="eastAsia" w:ascii="宋体" w:hAnsi="宋体" w:cs="宋体"/>
          <w:color w:val="auto"/>
          <w:sz w:val="24"/>
          <w:highlight w:val="none"/>
        </w:rPr>
        <w:t>《CA管理学习专题》：</w:t>
      </w:r>
    </w:p>
    <w:p>
      <w:pPr>
        <w:adjustRightInd w:val="0"/>
        <w:spacing w:line="360" w:lineRule="auto"/>
        <w:ind w:left="420" w:leftChars="200"/>
        <w:rPr>
          <w:rFonts w:ascii="宋体" w:hAnsi="宋体" w:cs="宋体"/>
          <w:color w:val="auto"/>
          <w:sz w:val="24"/>
          <w:highlight w:val="none"/>
        </w:rPr>
      </w:pPr>
      <w:r>
        <w:rPr>
          <w:rFonts w:hint="eastAsia" w:ascii="宋体" w:hAnsi="宋体" w:cs="宋体"/>
          <w:color w:val="auto"/>
          <w:sz w:val="24"/>
          <w:highlight w:val="none"/>
        </w:rPr>
        <w:t>https://edu.zcygov.cn/luban/ca?utm=web-government-front.380aac0a.0.0.fc2b6aa0b6e211ebbdb0dd007730dd44</w:t>
      </w:r>
    </w:p>
    <w:p>
      <w:pPr>
        <w:adjustRightInd w:val="0"/>
        <w:spacing w:line="360" w:lineRule="auto"/>
        <w:ind w:left="420" w:leftChars="200"/>
        <w:rPr>
          <w:rFonts w:ascii="宋体" w:hAnsi="宋体" w:cs="宋体"/>
          <w:color w:val="auto"/>
          <w:sz w:val="24"/>
          <w:highlight w:val="none"/>
        </w:rPr>
      </w:pPr>
      <w:r>
        <w:rPr>
          <w:rFonts w:hint="eastAsia" w:ascii="宋体" w:hAnsi="宋体" w:cs="宋体"/>
          <w:color w:val="auto"/>
          <w:sz w:val="24"/>
          <w:highlight w:val="none"/>
        </w:rPr>
        <w:t>《CA驱动和申领流程》:</w:t>
      </w:r>
    </w:p>
    <w:p>
      <w:pPr>
        <w:adjustRightInd w:val="0"/>
        <w:spacing w:line="360" w:lineRule="auto"/>
        <w:ind w:left="420" w:leftChars="200"/>
        <w:rPr>
          <w:rFonts w:ascii="宋体" w:hAnsi="宋体" w:cs="宋体"/>
          <w:color w:val="auto"/>
          <w:sz w:val="24"/>
          <w:szCs w:val="24"/>
          <w:highlight w:val="none"/>
        </w:rPr>
      </w:pPr>
      <w:r>
        <w:rPr>
          <w:color w:val="auto"/>
          <w:highlight w:val="none"/>
        </w:rPr>
        <w:fldChar w:fldCharType="begin"/>
      </w:r>
      <w:r>
        <w:rPr>
          <w:color w:val="auto"/>
          <w:highlight w:val="none"/>
        </w:rPr>
        <w:instrText xml:space="preserve"> HYPERLINK "http://zfcg.czt.zj.gov.cn/bidClientTemplate/2019-05-27/12945.html" </w:instrText>
      </w:r>
      <w:r>
        <w:rPr>
          <w:color w:val="auto"/>
          <w:highlight w:val="none"/>
        </w:rPr>
        <w:fldChar w:fldCharType="separate"/>
      </w:r>
      <w:r>
        <w:rPr>
          <w:rFonts w:hint="eastAsia" w:ascii="宋体" w:hAnsi="宋体" w:cs="宋体"/>
          <w:color w:val="auto"/>
          <w:sz w:val="24"/>
          <w:highlight w:val="none"/>
        </w:rPr>
        <w:t>http://zfcg.czt.zj.gov.cn/bidClientTemplate/2019-05-27/12945.html</w:t>
      </w:r>
      <w:r>
        <w:rPr>
          <w:rFonts w:hint="eastAsia" w:ascii="宋体" w:hAnsi="宋体" w:cs="宋体"/>
          <w:color w:val="auto"/>
          <w:sz w:val="24"/>
          <w:highlight w:val="none"/>
        </w:rPr>
        <w:fldChar w:fldCharType="end"/>
      </w:r>
    </w:p>
    <w:p>
      <w:pPr>
        <w:numPr>
          <w:ilvl w:val="0"/>
          <w:numId w:val="6"/>
        </w:numPr>
        <w:adjustRightIn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投标文件制作：</w:t>
      </w:r>
    </w:p>
    <w:p>
      <w:pPr>
        <w:numPr>
          <w:ilvl w:val="0"/>
          <w:numId w:val="7"/>
        </w:numPr>
        <w:adjustRightIn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应按照本项目招标文件和政采云平台的要求编制、加密并递交投标文件。供应商在使用系统进行投标的过程中遇到涉及平台使用的任何问题，可致电政采云平台技术支持热线咨询，联系方式：400-881-7190。</w:t>
      </w:r>
    </w:p>
    <w:p>
      <w:pPr>
        <w:numPr>
          <w:ilvl w:val="0"/>
          <w:numId w:val="7"/>
        </w:numPr>
        <w:wordWrap w:val="0"/>
        <w:adjustRightIn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投标人通过“政采云”平台电子投标工具制作投标文件。</w:t>
      </w:r>
    </w:p>
    <w:p>
      <w:pPr>
        <w:adjustRightInd w:val="0"/>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《电子投标工具》：</w:t>
      </w:r>
    </w:p>
    <w:p>
      <w:pPr>
        <w:adjustRightInd w:val="0"/>
        <w:spacing w:line="360" w:lineRule="auto"/>
        <w:ind w:firstLine="420" w:firstLineChars="200"/>
        <w:jc w:val="left"/>
        <w:rPr>
          <w:rFonts w:ascii="宋体" w:hAnsi="宋体" w:cs="宋体"/>
          <w:color w:val="auto"/>
          <w:sz w:val="24"/>
          <w:szCs w:val="24"/>
          <w:highlight w:val="none"/>
        </w:rPr>
      </w:pPr>
      <w:r>
        <w:rPr>
          <w:color w:val="auto"/>
          <w:highlight w:val="none"/>
        </w:rPr>
        <w:fldChar w:fldCharType="begin"/>
      </w:r>
      <w:r>
        <w:rPr>
          <w:color w:val="auto"/>
          <w:highlight w:val="none"/>
        </w:rPr>
        <w:instrText xml:space="preserve"> HYPERLINK "http://zfcg.czt.zj.gov.cn/bidClientTemplate/2019-09-24/12975.html" </w:instrText>
      </w:r>
      <w:r>
        <w:rPr>
          <w:color w:val="auto"/>
          <w:highlight w:val="none"/>
        </w:rPr>
        <w:fldChar w:fldCharType="separate"/>
      </w:r>
      <w:r>
        <w:rPr>
          <w:rFonts w:hint="eastAsia" w:ascii="宋体" w:hAnsi="宋体" w:cs="宋体"/>
          <w:color w:val="auto"/>
          <w:sz w:val="24"/>
          <w:szCs w:val="24"/>
          <w:highlight w:val="none"/>
        </w:rPr>
        <w:t>http://zfcg.czt.zj.gov.cn/bidClientTemplate/2019-09-24/12975.html</w:t>
      </w:r>
      <w:r>
        <w:rPr>
          <w:rFonts w:hint="eastAsia" w:ascii="宋体" w:hAnsi="宋体" w:cs="宋体"/>
          <w:color w:val="auto"/>
          <w:sz w:val="24"/>
          <w:szCs w:val="24"/>
          <w:highlight w:val="none"/>
        </w:rPr>
        <w:fldChar w:fldCharType="end"/>
      </w:r>
    </w:p>
    <w:p>
      <w:pPr>
        <w:adjustRightInd w:val="0"/>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《供应商-政府采购项目电子交易操作指南》：(需登录账号后查看)</w:t>
      </w:r>
    </w:p>
    <w:p>
      <w:pPr>
        <w:adjustRightInd w:val="0"/>
        <w:spacing w:line="360" w:lineRule="auto"/>
        <w:ind w:firstLine="420" w:firstLineChars="200"/>
        <w:jc w:val="left"/>
        <w:rPr>
          <w:rFonts w:ascii="宋体" w:hAnsi="宋体" w:cs="宋体"/>
          <w:color w:val="auto"/>
          <w:sz w:val="24"/>
          <w:szCs w:val="24"/>
          <w:highlight w:val="none"/>
        </w:rPr>
      </w:pPr>
      <w:r>
        <w:rPr>
          <w:color w:val="auto"/>
          <w:highlight w:val="none"/>
        </w:rPr>
        <w:fldChar w:fldCharType="begin"/>
      </w:r>
      <w:r>
        <w:rPr>
          <w:color w:val="auto"/>
          <w:highlight w:val="none"/>
        </w:rPr>
        <w:instrText xml:space="preserve"> HYPERLINK "https://service.zcygov.cn/" \l "/knowledges/tree?tag=AG1DtGwBFdiHxlNdhY0r" </w:instrText>
      </w:r>
      <w:r>
        <w:rPr>
          <w:color w:val="auto"/>
          <w:highlight w:val="none"/>
        </w:rPr>
        <w:fldChar w:fldCharType="separate"/>
      </w:r>
      <w:r>
        <w:rPr>
          <w:rFonts w:hint="eastAsia" w:ascii="宋体" w:hAnsi="宋体" w:cs="宋体"/>
          <w:color w:val="auto"/>
          <w:sz w:val="24"/>
          <w:szCs w:val="24"/>
          <w:highlight w:val="none"/>
        </w:rPr>
        <w:t>https://service.zcygov.cn/#/knowledges/tree?tag=AG1DtGwBFdiHxlNdhY0r</w:t>
      </w:r>
      <w:r>
        <w:rPr>
          <w:rFonts w:hint="eastAsia" w:ascii="宋体" w:hAnsi="宋体" w:cs="宋体"/>
          <w:color w:val="auto"/>
          <w:sz w:val="24"/>
          <w:szCs w:val="24"/>
          <w:highlight w:val="none"/>
        </w:rPr>
        <w:fldChar w:fldCharType="end"/>
      </w:r>
    </w:p>
    <w:p>
      <w:pPr>
        <w:adjustRightInd w:val="0"/>
        <w:spacing w:line="360" w:lineRule="auto"/>
        <w:ind w:left="420" w:leftChars="200"/>
        <w:rPr>
          <w:rFonts w:ascii="宋体" w:hAnsi="宋体" w:cs="宋体"/>
          <w:color w:val="auto"/>
          <w:sz w:val="24"/>
          <w:szCs w:val="24"/>
          <w:highlight w:val="none"/>
        </w:rPr>
      </w:pPr>
      <w:r>
        <w:rPr>
          <w:rFonts w:hint="eastAsia" w:ascii="宋体" w:hAnsi="宋体" w:cs="宋体"/>
          <w:color w:val="auto"/>
          <w:sz w:val="24"/>
          <w:szCs w:val="24"/>
          <w:highlight w:val="none"/>
        </w:rPr>
        <w:t>4.供应商在法定质疑期内应一次性提出针对同一采购程序环节的质疑。否则质疑将不予受理。</w:t>
      </w:r>
    </w:p>
    <w:p>
      <w:pPr>
        <w:adjustRightInd w:val="0"/>
        <w:spacing w:line="360" w:lineRule="auto"/>
        <w:ind w:left="420" w:leftChars="200"/>
        <w:rPr>
          <w:rFonts w:ascii="宋体" w:hAnsi="宋体" w:cs="宋体"/>
          <w:color w:val="auto"/>
          <w:sz w:val="24"/>
          <w:szCs w:val="24"/>
          <w:highlight w:val="none"/>
        </w:rPr>
      </w:pPr>
      <w:r>
        <w:rPr>
          <w:rFonts w:hint="eastAsia" w:ascii="宋体" w:hAnsi="宋体" w:cs="宋体"/>
          <w:color w:val="auto"/>
          <w:sz w:val="24"/>
          <w:szCs w:val="24"/>
          <w:highlight w:val="none"/>
        </w:rPr>
        <w:t>5.投标人可指派授权代表递交备份文件，授权代表递交备份文件需携带法定代表人授权书原件，于投标截止时间前到达开标地点递交。</w:t>
      </w:r>
    </w:p>
    <w:p>
      <w:pPr>
        <w:adjustRightInd w:val="0"/>
        <w:spacing w:line="360" w:lineRule="auto"/>
        <w:ind w:left="420" w:leftChars="200"/>
        <w:rPr>
          <w:rFonts w:ascii="宋体" w:hAnsi="宋体" w:cs="宋体"/>
          <w:color w:val="auto"/>
          <w:sz w:val="24"/>
          <w:szCs w:val="24"/>
          <w:highlight w:val="none"/>
        </w:rPr>
      </w:pPr>
      <w:r>
        <w:rPr>
          <w:rFonts w:hint="eastAsia" w:ascii="宋体" w:hAnsi="宋体" w:cs="宋体"/>
          <w:color w:val="auto"/>
          <w:sz w:val="24"/>
          <w:szCs w:val="24"/>
          <w:highlight w:val="none"/>
        </w:rPr>
        <w:t>6.特别提醒</w:t>
      </w:r>
    </w:p>
    <w:p>
      <w:pPr>
        <w:numPr>
          <w:ilvl w:val="0"/>
          <w:numId w:val="8"/>
        </w:numPr>
        <w:wordWrap w:val="0"/>
        <w:adjustRightIn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单位负责人为同一人或者存在直接控股、管理关系的不同供应商，不得参加同一合同项下的政府采购活动。</w:t>
      </w:r>
    </w:p>
    <w:p>
      <w:pPr>
        <w:numPr>
          <w:ilvl w:val="0"/>
          <w:numId w:val="8"/>
        </w:numPr>
        <w:wordWrap w:val="0"/>
        <w:adjustRightInd w:val="0"/>
        <w:spacing w:line="360" w:lineRule="auto"/>
        <w:ind w:firstLine="480" w:firstLineChars="200"/>
        <w:rPr>
          <w:rFonts w:ascii="宋体" w:hAnsi="宋体" w:cs="宋体"/>
          <w:b/>
          <w:color w:val="auto"/>
          <w:sz w:val="24"/>
          <w:szCs w:val="24"/>
          <w:highlight w:val="none"/>
        </w:rPr>
      </w:pPr>
      <w:r>
        <w:rPr>
          <w:rFonts w:hint="eastAsia" w:ascii="宋体" w:hAnsi="宋体" w:cs="宋体"/>
          <w:color w:val="auto"/>
          <w:sz w:val="24"/>
          <w:szCs w:val="24"/>
          <w:highlight w:val="none"/>
        </w:rPr>
        <w:t>除单一来源采购项目外，为采购项目提供整体设计、规范编制或者项目管理、监理、检测等服务的供应商，不得再参加该采购项目的其他采购活动。</w:t>
      </w:r>
    </w:p>
    <w:p>
      <w:pPr>
        <w:pStyle w:val="26"/>
        <w:rPr>
          <w:color w:val="auto"/>
          <w:highlight w:val="none"/>
        </w:rPr>
      </w:pPr>
      <w:r>
        <w:rPr>
          <w:rFonts w:hint="eastAsia"/>
          <w:color w:val="auto"/>
          <w:highlight w:val="none"/>
        </w:rPr>
        <w:t>7.进入上虞区公共资源交易场所，需佩戴口罩、进行测温、查验绍兴场所码、行程码，并提供</w:t>
      </w:r>
      <w:r>
        <w:rPr>
          <w:rFonts w:hint="eastAsia"/>
          <w:color w:val="auto"/>
          <w:highlight w:val="none"/>
          <w:lang w:val="en-US" w:eastAsia="zh-CN"/>
        </w:rPr>
        <w:t>3</w:t>
      </w:r>
      <w:r>
        <w:rPr>
          <w:rFonts w:hint="eastAsia"/>
          <w:color w:val="auto"/>
          <w:highlight w:val="none"/>
        </w:rPr>
        <w:t>天内有效核酸检测阴性证明，行程卡带星号人员应提供48小时内核酸检测阴性证明方可入内。“绍兴场所码”扫码结果异常或体温异常人员禁止进入上虞区公共资源交易场所。（具体防疫要求以开标时间截止之日的绍兴市上虞区最新防疫政策为准）。</w:t>
      </w:r>
    </w:p>
    <w:p>
      <w:pPr>
        <w:adjustRightInd w:val="0"/>
        <w:spacing w:line="360" w:lineRule="auto"/>
        <w:ind w:firstLine="482" w:firstLineChars="200"/>
        <w:jc w:val="left"/>
        <w:rPr>
          <w:rFonts w:ascii="宋体"/>
          <w:color w:val="auto"/>
          <w:sz w:val="24"/>
          <w:szCs w:val="24"/>
          <w:highlight w:val="none"/>
        </w:rPr>
      </w:pPr>
      <w:r>
        <w:rPr>
          <w:rFonts w:hint="eastAsia" w:ascii="宋体" w:hAnsi="宋体" w:cs="宋体"/>
          <w:b/>
          <w:bCs/>
          <w:color w:val="auto"/>
          <w:sz w:val="24"/>
          <w:szCs w:val="24"/>
          <w:highlight w:val="none"/>
        </w:rPr>
        <w:t>七．磋商响应截止时间及要求：</w:t>
      </w:r>
      <w:r>
        <w:rPr>
          <w:rFonts w:ascii="宋体" w:hAnsi="宋体" w:cs="宋体"/>
          <w:color w:val="auto"/>
          <w:sz w:val="24"/>
          <w:szCs w:val="24"/>
          <w:highlight w:val="none"/>
          <w:u w:val="single"/>
        </w:rPr>
        <w:t xml:space="preserve"> 202</w:t>
      </w:r>
      <w:r>
        <w:rPr>
          <w:rFonts w:hint="eastAsia" w:ascii="宋体" w:hAnsi="宋体" w:cs="宋体"/>
          <w:color w:val="auto"/>
          <w:sz w:val="24"/>
          <w:szCs w:val="24"/>
          <w:highlight w:val="none"/>
          <w:u w:val="single"/>
        </w:rPr>
        <w:t>2</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rPr>
        <w:t>年</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 xml:space="preserve">10 </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月</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 xml:space="preserve">20 </w:t>
      </w:r>
      <w:r>
        <w:rPr>
          <w:rFonts w:hint="eastAsia" w:ascii="宋体" w:hAnsi="宋体" w:cs="宋体"/>
          <w:color w:val="auto"/>
          <w:sz w:val="24"/>
          <w:szCs w:val="24"/>
          <w:highlight w:val="none"/>
        </w:rPr>
        <w:t>日</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上午</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rPr>
        <w:t>09</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rPr>
        <w:t>时</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rPr>
        <w:t>3</w:t>
      </w:r>
      <w:r>
        <w:rPr>
          <w:rFonts w:ascii="宋体" w:hAnsi="宋体" w:cs="宋体"/>
          <w:color w:val="auto"/>
          <w:sz w:val="24"/>
          <w:szCs w:val="24"/>
          <w:highlight w:val="none"/>
          <w:u w:val="single"/>
        </w:rPr>
        <w:t xml:space="preserve">0 </w:t>
      </w:r>
      <w:r>
        <w:rPr>
          <w:rFonts w:hint="eastAsia" w:ascii="宋体" w:hAnsi="宋体" w:cs="宋体"/>
          <w:color w:val="auto"/>
          <w:sz w:val="24"/>
          <w:szCs w:val="24"/>
          <w:highlight w:val="none"/>
        </w:rPr>
        <w:t>分整</w:t>
      </w:r>
      <w:r>
        <w:rPr>
          <w:rFonts w:hint="eastAsia" w:ascii="宋体" w:hAnsi="宋体" w:cs="宋体"/>
          <w:color w:val="auto"/>
          <w:kern w:val="0"/>
          <w:sz w:val="24"/>
          <w:szCs w:val="24"/>
          <w:highlight w:val="none"/>
        </w:rPr>
        <w:t>之前将电子磋商响应文件上传到“政采云”平台。</w:t>
      </w:r>
    </w:p>
    <w:p>
      <w:pPr>
        <w:adjustRightInd w:val="0"/>
        <w:spacing w:line="360" w:lineRule="auto"/>
        <w:ind w:firstLine="482" w:firstLineChars="200"/>
        <w:jc w:val="left"/>
        <w:rPr>
          <w:rFonts w:ascii="宋体"/>
          <w:color w:val="auto"/>
          <w:sz w:val="24"/>
          <w:szCs w:val="24"/>
          <w:highlight w:val="none"/>
        </w:rPr>
      </w:pPr>
      <w:r>
        <w:rPr>
          <w:rFonts w:hint="eastAsia" w:ascii="宋体" w:hAnsi="宋体" w:cs="宋体"/>
          <w:b/>
          <w:bCs/>
          <w:color w:val="auto"/>
          <w:sz w:val="24"/>
          <w:szCs w:val="24"/>
          <w:highlight w:val="none"/>
        </w:rPr>
        <w:t>八．递交首次响应文件时间及地点：</w:t>
      </w:r>
      <w:r>
        <w:rPr>
          <w:rFonts w:ascii="宋体" w:hAnsi="宋体" w:cs="宋体"/>
          <w:color w:val="auto"/>
          <w:sz w:val="24"/>
          <w:szCs w:val="24"/>
          <w:highlight w:val="none"/>
          <w:u w:val="single"/>
        </w:rPr>
        <w:t xml:space="preserve"> 202</w:t>
      </w:r>
      <w:r>
        <w:rPr>
          <w:rFonts w:hint="eastAsia" w:ascii="宋体" w:hAnsi="宋体" w:cs="宋体"/>
          <w:color w:val="auto"/>
          <w:sz w:val="24"/>
          <w:szCs w:val="24"/>
          <w:highlight w:val="none"/>
          <w:u w:val="single"/>
        </w:rPr>
        <w:t>2</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rPr>
        <w:t>年</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10</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月</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20</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日</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上午</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rPr>
        <w:t>09</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rPr>
        <w:t>时</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rPr>
        <w:t>3</w:t>
      </w:r>
      <w:r>
        <w:rPr>
          <w:rFonts w:ascii="宋体" w:hAnsi="宋体" w:cs="宋体"/>
          <w:color w:val="auto"/>
          <w:sz w:val="24"/>
          <w:szCs w:val="24"/>
          <w:highlight w:val="none"/>
          <w:u w:val="single"/>
        </w:rPr>
        <w:t xml:space="preserve">0  </w:t>
      </w:r>
      <w:r>
        <w:rPr>
          <w:rFonts w:hint="eastAsia" w:ascii="宋体" w:hAnsi="宋体" w:cs="宋体"/>
          <w:color w:val="auto"/>
          <w:sz w:val="24"/>
          <w:szCs w:val="24"/>
          <w:highlight w:val="none"/>
        </w:rPr>
        <w:t>分</w:t>
      </w:r>
      <w:bookmarkStart w:id="6" w:name="B30_开标地点"/>
      <w:r>
        <w:rPr>
          <w:rFonts w:hint="eastAsia" w:ascii="宋体" w:hAnsi="宋体" w:cs="宋体"/>
          <w:color w:val="auto"/>
          <w:sz w:val="24"/>
          <w:szCs w:val="24"/>
          <w:highlight w:val="none"/>
        </w:rPr>
        <w:t>整在上虞区公共资源交易中心</w:t>
      </w:r>
      <w:r>
        <w:rPr>
          <w:rFonts w:hint="eastAsia" w:ascii="宋体" w:hAnsi="宋体" w:cs="宋体"/>
          <w:color w:val="auto"/>
          <w:sz w:val="24"/>
          <w:szCs w:val="24"/>
          <w:highlight w:val="none"/>
        </w:rPr>
        <w:t>三楼</w:t>
      </w:r>
      <w:r>
        <w:rPr>
          <w:rFonts w:hint="eastAsia" w:ascii="宋体" w:hAnsi="宋体" w:cs="宋体"/>
          <w:color w:val="auto"/>
          <w:sz w:val="24"/>
          <w:szCs w:val="24"/>
          <w:highlight w:val="none"/>
          <w:lang w:val="en-US" w:eastAsia="zh-CN"/>
        </w:rPr>
        <w:t>373</w:t>
      </w:r>
      <w:r>
        <w:rPr>
          <w:rFonts w:hint="eastAsia" w:ascii="宋体" w:hAnsi="宋体" w:cs="宋体"/>
          <w:color w:val="auto"/>
          <w:sz w:val="24"/>
          <w:szCs w:val="24"/>
          <w:highlight w:val="none"/>
        </w:rPr>
        <w:t>开标室开标。</w:t>
      </w:r>
      <w:bookmarkEnd w:id="6"/>
    </w:p>
    <w:p>
      <w:pPr>
        <w:adjustRightInd w:val="0"/>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开标时间后</w:t>
      </w:r>
      <w:r>
        <w:rPr>
          <w:rFonts w:ascii="宋体" w:hAnsi="宋体" w:cs="宋体"/>
          <w:color w:val="auto"/>
          <w:sz w:val="24"/>
          <w:szCs w:val="24"/>
          <w:highlight w:val="none"/>
        </w:rPr>
        <w:t>30</w:t>
      </w:r>
      <w:r>
        <w:rPr>
          <w:rFonts w:hint="eastAsia" w:ascii="宋体" w:hAnsi="宋体" w:cs="宋体"/>
          <w:color w:val="auto"/>
          <w:sz w:val="24"/>
          <w:szCs w:val="24"/>
          <w:highlight w:val="none"/>
        </w:rPr>
        <w:t>分钟内（</w:t>
      </w:r>
      <w:r>
        <w:rPr>
          <w:rFonts w:ascii="宋体" w:hAnsi="宋体" w:cs="宋体"/>
          <w:color w:val="auto"/>
          <w:sz w:val="24"/>
          <w:szCs w:val="24"/>
          <w:highlight w:val="none"/>
        </w:rPr>
        <w:t>202</w:t>
      </w:r>
      <w:r>
        <w:rPr>
          <w:rFonts w:hint="eastAsia" w:ascii="宋体" w:hAnsi="宋体" w:cs="宋体"/>
          <w:color w:val="auto"/>
          <w:sz w:val="24"/>
          <w:szCs w:val="24"/>
          <w:highlight w:val="none"/>
        </w:rPr>
        <w:t>2年</w:t>
      </w:r>
      <w:r>
        <w:rPr>
          <w:rFonts w:hint="eastAsia" w:ascii="宋体" w:hAnsi="宋体" w:cs="宋体"/>
          <w:color w:val="auto"/>
          <w:sz w:val="24"/>
          <w:szCs w:val="24"/>
          <w:highlight w:val="none"/>
          <w:lang w:val="en-US" w:eastAsia="zh-CN"/>
        </w:rPr>
        <w:t xml:space="preserve">10 </w:t>
      </w:r>
      <w:r>
        <w:rPr>
          <w:rFonts w:hint="eastAsia" w:ascii="宋体" w:hAnsi="宋体" w:cs="宋体"/>
          <w:color w:val="auto"/>
          <w:sz w:val="24"/>
          <w:szCs w:val="24"/>
          <w:highlight w:val="none"/>
        </w:rPr>
        <w:t>月</w:t>
      </w:r>
      <w:r>
        <w:rPr>
          <w:rFonts w:hint="eastAsia" w:ascii="宋体" w:hAnsi="宋体" w:cs="宋体"/>
          <w:color w:val="auto"/>
          <w:sz w:val="24"/>
          <w:szCs w:val="24"/>
          <w:highlight w:val="none"/>
          <w:lang w:val="en-US" w:eastAsia="zh-CN"/>
        </w:rPr>
        <w:t>20</w:t>
      </w:r>
      <w:r>
        <w:rPr>
          <w:rFonts w:hint="eastAsia" w:ascii="宋体" w:hAnsi="宋体" w:cs="宋体"/>
          <w:color w:val="auto"/>
          <w:sz w:val="24"/>
          <w:szCs w:val="24"/>
          <w:highlight w:val="none"/>
        </w:rPr>
        <w:t>日</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10</w:t>
      </w:r>
      <w:r>
        <w:rPr>
          <w:rFonts w:ascii="宋体" w:hAnsi="宋体" w:cs="宋体"/>
          <w:color w:val="auto"/>
          <w:sz w:val="24"/>
          <w:szCs w:val="24"/>
          <w:highlight w:val="none"/>
        </w:rPr>
        <w:t xml:space="preserve"> : </w:t>
      </w:r>
      <w:r>
        <w:rPr>
          <w:rFonts w:hint="eastAsia" w:ascii="宋体" w:hAnsi="宋体" w:cs="宋体"/>
          <w:color w:val="auto"/>
          <w:sz w:val="24"/>
          <w:szCs w:val="24"/>
          <w:highlight w:val="none"/>
        </w:rPr>
        <w:t>0</w:t>
      </w:r>
      <w:r>
        <w:rPr>
          <w:rFonts w:ascii="宋体" w:hAnsi="宋体" w:cs="宋体"/>
          <w:color w:val="auto"/>
          <w:sz w:val="24"/>
          <w:szCs w:val="24"/>
          <w:highlight w:val="none"/>
        </w:rPr>
        <w:t xml:space="preserve">0 </w:t>
      </w:r>
      <w:r>
        <w:rPr>
          <w:rFonts w:hint="eastAsia" w:ascii="宋体" w:hAnsi="宋体" w:cs="宋体"/>
          <w:color w:val="auto"/>
          <w:sz w:val="24"/>
          <w:szCs w:val="24"/>
          <w:highlight w:val="none"/>
        </w:rPr>
        <w:t>前）供应商可以登录“政采云”平台，用“项目采购</w:t>
      </w:r>
      <w:r>
        <w:rPr>
          <w:rFonts w:ascii="宋体" w:cs="宋体"/>
          <w:color w:val="auto"/>
          <w:sz w:val="24"/>
          <w:szCs w:val="24"/>
          <w:highlight w:val="none"/>
        </w:rPr>
        <w:t>-</w:t>
      </w:r>
      <w:r>
        <w:rPr>
          <w:rFonts w:hint="eastAsia" w:ascii="宋体" w:hAnsi="宋体" w:cs="宋体"/>
          <w:color w:val="auto"/>
          <w:sz w:val="24"/>
          <w:szCs w:val="24"/>
          <w:highlight w:val="none"/>
        </w:rPr>
        <w:t>开标评标”功能进行解密响应文件。若供应商在规定时间内（</w:t>
      </w:r>
      <w:r>
        <w:rPr>
          <w:rFonts w:ascii="宋体" w:hAnsi="宋体" w:cs="宋体"/>
          <w:color w:val="auto"/>
          <w:sz w:val="24"/>
          <w:szCs w:val="24"/>
          <w:highlight w:val="none"/>
        </w:rPr>
        <w:t>202</w:t>
      </w:r>
      <w:r>
        <w:rPr>
          <w:rFonts w:hint="eastAsia" w:ascii="宋体" w:hAnsi="宋体" w:cs="宋体"/>
          <w:color w:val="auto"/>
          <w:sz w:val="24"/>
          <w:szCs w:val="24"/>
          <w:highlight w:val="none"/>
        </w:rPr>
        <w:t>2年</w:t>
      </w:r>
      <w:r>
        <w:rPr>
          <w:rFonts w:hint="eastAsia" w:ascii="宋体" w:hAnsi="宋体" w:cs="宋体"/>
          <w:color w:val="auto"/>
          <w:sz w:val="24"/>
          <w:szCs w:val="24"/>
          <w:highlight w:val="none"/>
          <w:lang w:val="en-US" w:eastAsia="zh-CN"/>
        </w:rPr>
        <w:t>10</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月</w:t>
      </w:r>
      <w:r>
        <w:rPr>
          <w:rFonts w:hint="eastAsia" w:ascii="宋体" w:hAnsi="宋体" w:cs="宋体"/>
          <w:color w:val="auto"/>
          <w:sz w:val="24"/>
          <w:szCs w:val="24"/>
          <w:highlight w:val="none"/>
          <w:lang w:val="en-US" w:eastAsia="zh-CN"/>
        </w:rPr>
        <w:t xml:space="preserve"> 20</w:t>
      </w:r>
      <w:r>
        <w:rPr>
          <w:rFonts w:hint="eastAsia" w:ascii="宋体" w:hAnsi="宋体" w:cs="宋体"/>
          <w:color w:val="auto"/>
          <w:sz w:val="24"/>
          <w:szCs w:val="24"/>
          <w:highlight w:val="none"/>
        </w:rPr>
        <w:t>日</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10</w:t>
      </w:r>
      <w:r>
        <w:rPr>
          <w:rFonts w:ascii="宋体" w:hAnsi="宋体" w:cs="宋体"/>
          <w:color w:val="auto"/>
          <w:sz w:val="24"/>
          <w:szCs w:val="24"/>
          <w:highlight w:val="none"/>
        </w:rPr>
        <w:t xml:space="preserve"> : </w:t>
      </w:r>
      <w:r>
        <w:rPr>
          <w:rFonts w:hint="eastAsia" w:ascii="宋体" w:hAnsi="宋体" w:cs="宋体"/>
          <w:color w:val="auto"/>
          <w:sz w:val="24"/>
          <w:szCs w:val="24"/>
          <w:highlight w:val="none"/>
        </w:rPr>
        <w:t>0</w:t>
      </w:r>
      <w:r>
        <w:rPr>
          <w:rFonts w:ascii="宋体" w:hAnsi="宋体" w:cs="宋体"/>
          <w:color w:val="auto"/>
          <w:sz w:val="24"/>
          <w:szCs w:val="24"/>
          <w:highlight w:val="none"/>
        </w:rPr>
        <w:t xml:space="preserve">0 </w:t>
      </w:r>
      <w:r>
        <w:rPr>
          <w:rFonts w:hint="eastAsia" w:ascii="宋体" w:hAnsi="宋体" w:cs="宋体"/>
          <w:color w:val="auto"/>
          <w:sz w:val="24"/>
          <w:szCs w:val="24"/>
          <w:highlight w:val="none"/>
        </w:rPr>
        <w:t>前）解密失败，则由采购代理机构工作人员上传供应商提供的备份文件。备份文件（后缀名为</w:t>
      </w:r>
      <w:r>
        <w:rPr>
          <w:rFonts w:ascii="宋体" w:hAnsi="宋体" w:cs="宋体"/>
          <w:color w:val="auto"/>
          <w:sz w:val="24"/>
          <w:szCs w:val="24"/>
          <w:highlight w:val="none"/>
        </w:rPr>
        <w:t>.bfbs</w:t>
      </w:r>
      <w:r>
        <w:rPr>
          <w:rFonts w:hint="eastAsia" w:ascii="宋体" w:hAnsi="宋体" w:cs="宋体"/>
          <w:color w:val="auto"/>
          <w:sz w:val="24"/>
          <w:szCs w:val="24"/>
          <w:highlight w:val="none"/>
        </w:rPr>
        <w:t>）须存储在</w:t>
      </w:r>
      <w:r>
        <w:rPr>
          <w:rFonts w:ascii="宋体" w:hAnsi="宋体" w:cs="宋体"/>
          <w:color w:val="auto"/>
          <w:sz w:val="24"/>
          <w:szCs w:val="24"/>
          <w:highlight w:val="none"/>
        </w:rPr>
        <w:t>U</w:t>
      </w:r>
      <w:r>
        <w:rPr>
          <w:rFonts w:hint="eastAsia" w:ascii="宋体" w:hAnsi="宋体" w:cs="宋体"/>
          <w:color w:val="auto"/>
          <w:sz w:val="24"/>
          <w:szCs w:val="24"/>
          <w:highlight w:val="none"/>
        </w:rPr>
        <w:t>盘中，与上传的电子磋商响应文件一致，用信封进行密封并盖章</w:t>
      </w:r>
      <w:r>
        <w:rPr>
          <w:rFonts w:hint="eastAsia" w:ascii="宋体" w:hAnsi="宋体" w:cs="宋体"/>
          <w:b/>
          <w:bCs/>
          <w:color w:val="auto"/>
          <w:sz w:val="24"/>
          <w:szCs w:val="24"/>
          <w:highlight w:val="none"/>
        </w:rPr>
        <w:t>（信封内仅需放入存储备份文件的</w:t>
      </w:r>
      <w:r>
        <w:rPr>
          <w:rFonts w:ascii="宋体" w:hAnsi="宋体" w:cs="宋体"/>
          <w:b/>
          <w:bCs/>
          <w:color w:val="auto"/>
          <w:sz w:val="24"/>
          <w:szCs w:val="24"/>
          <w:highlight w:val="none"/>
        </w:rPr>
        <w:t>U</w:t>
      </w:r>
      <w:r>
        <w:rPr>
          <w:rFonts w:hint="eastAsia" w:ascii="宋体" w:hAnsi="宋体" w:cs="宋体"/>
          <w:b/>
          <w:bCs/>
          <w:color w:val="auto"/>
          <w:sz w:val="24"/>
          <w:szCs w:val="24"/>
          <w:highlight w:val="none"/>
        </w:rPr>
        <w:t>盘）</w:t>
      </w:r>
      <w:r>
        <w:rPr>
          <w:rFonts w:hint="eastAsia" w:ascii="宋体" w:hAnsi="宋体" w:cs="宋体"/>
          <w:color w:val="auto"/>
          <w:sz w:val="24"/>
          <w:szCs w:val="24"/>
          <w:highlight w:val="none"/>
        </w:rPr>
        <w:t>，由授权代表在磋商响应截止时间前递交至开标地点。若电子磋商响应文件正常解锁，则</w:t>
      </w:r>
      <w:r>
        <w:rPr>
          <w:rFonts w:ascii="宋体" w:hAnsi="宋体" w:cs="宋体"/>
          <w:color w:val="auto"/>
          <w:sz w:val="24"/>
          <w:szCs w:val="24"/>
          <w:highlight w:val="none"/>
        </w:rPr>
        <w:t>U</w:t>
      </w:r>
      <w:r>
        <w:rPr>
          <w:rFonts w:hint="eastAsia" w:ascii="宋体" w:hAnsi="宋体" w:cs="宋体"/>
          <w:color w:val="auto"/>
          <w:sz w:val="24"/>
          <w:szCs w:val="24"/>
          <w:highlight w:val="none"/>
        </w:rPr>
        <w:t>盘退还给供应商；若解锁失败，则由采购代理机构将</w:t>
      </w:r>
      <w:r>
        <w:rPr>
          <w:rFonts w:ascii="宋体" w:hAnsi="宋体" w:cs="宋体"/>
          <w:color w:val="auto"/>
          <w:sz w:val="24"/>
          <w:szCs w:val="24"/>
          <w:highlight w:val="none"/>
        </w:rPr>
        <w:t>U</w:t>
      </w:r>
      <w:r>
        <w:rPr>
          <w:rFonts w:hint="eastAsia" w:ascii="宋体" w:hAnsi="宋体" w:cs="宋体"/>
          <w:color w:val="auto"/>
          <w:sz w:val="24"/>
          <w:szCs w:val="24"/>
          <w:highlight w:val="none"/>
        </w:rPr>
        <w:t>盘中的备份文件上传，该</w:t>
      </w:r>
      <w:r>
        <w:rPr>
          <w:rFonts w:ascii="宋体" w:hAnsi="宋体" w:cs="宋体"/>
          <w:color w:val="auto"/>
          <w:sz w:val="24"/>
          <w:szCs w:val="24"/>
          <w:highlight w:val="none"/>
        </w:rPr>
        <w:t>U</w:t>
      </w:r>
      <w:r>
        <w:rPr>
          <w:rFonts w:hint="eastAsia" w:ascii="宋体" w:hAnsi="宋体" w:cs="宋体"/>
          <w:color w:val="auto"/>
          <w:sz w:val="24"/>
          <w:szCs w:val="24"/>
          <w:highlight w:val="none"/>
        </w:rPr>
        <w:t>盘将由采购代理机构保存。</w:t>
      </w:r>
    </w:p>
    <w:p>
      <w:pPr>
        <w:adjustRightInd w:val="0"/>
        <w:spacing w:line="360" w:lineRule="auto"/>
        <w:ind w:firstLine="480" w:firstLineChars="200"/>
        <w:rPr>
          <w:rFonts w:ascii="宋体"/>
          <w:color w:val="auto"/>
          <w:kern w:val="0"/>
          <w:sz w:val="24"/>
          <w:szCs w:val="24"/>
          <w:highlight w:val="none"/>
        </w:rPr>
      </w:pPr>
      <w:r>
        <w:rPr>
          <w:rFonts w:hint="eastAsia" w:ascii="宋体" w:hAnsi="宋体" w:cs="宋体"/>
          <w:color w:val="auto"/>
          <w:sz w:val="24"/>
          <w:szCs w:val="24"/>
          <w:highlight w:val="none"/>
        </w:rPr>
        <w:t>本次开标不提供现场视频。</w:t>
      </w:r>
    </w:p>
    <w:p>
      <w:pPr>
        <w:adjustRightInd w:val="0"/>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九．磋商保证金：无</w:t>
      </w:r>
    </w:p>
    <w:p>
      <w:pPr>
        <w:adjustRightInd w:val="0"/>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十．公告期限：3个工作日</w:t>
      </w:r>
    </w:p>
    <w:p>
      <w:pPr>
        <w:adjustRightInd w:val="0"/>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十一．联系方式：</w:t>
      </w:r>
    </w:p>
    <w:p>
      <w:pPr>
        <w:adjustRightInd w:val="0"/>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1</w:t>
      </w:r>
      <w:r>
        <w:rPr>
          <w:rFonts w:hint="eastAsia" w:ascii="宋体" w:hAnsi="宋体" w:cs="宋体"/>
          <w:color w:val="auto"/>
          <w:sz w:val="24"/>
          <w:szCs w:val="24"/>
          <w:highlight w:val="none"/>
        </w:rPr>
        <w:t>．采购代理机构名称：浙江宇康工程管理咨询有限公司</w:t>
      </w:r>
    </w:p>
    <w:p>
      <w:pPr>
        <w:adjustRightIn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项目联系人（询问）：</w:t>
      </w:r>
      <w:r>
        <w:rPr>
          <w:rFonts w:hint="eastAsia" w:ascii="宋体" w:hAnsi="宋体" w:cs="宋体"/>
          <w:color w:val="auto"/>
          <w:sz w:val="24"/>
          <w:szCs w:val="24"/>
          <w:highlight w:val="none"/>
          <w:lang w:val="en-US" w:eastAsia="zh-CN"/>
        </w:rPr>
        <w:t>冯丹</w:t>
      </w:r>
      <w:r>
        <w:rPr>
          <w:rFonts w:hint="eastAsia" w:ascii="宋体" w:hAnsi="宋体" w:cs="宋体"/>
          <w:color w:val="auto"/>
          <w:sz w:val="24"/>
          <w:szCs w:val="24"/>
          <w:highlight w:val="none"/>
        </w:rPr>
        <w:t xml:space="preserve">  </w:t>
      </w:r>
    </w:p>
    <w:p>
      <w:pPr>
        <w:adjustRightInd w:val="0"/>
        <w:spacing w:line="360" w:lineRule="auto"/>
        <w:ind w:firstLine="480" w:firstLineChars="200"/>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rPr>
        <w:t>项目联系方式（询问）：</w:t>
      </w:r>
      <w:r>
        <w:rPr>
          <w:rFonts w:hint="eastAsia" w:ascii="宋体" w:hAnsi="宋体" w:cs="宋体"/>
          <w:color w:val="auto"/>
          <w:sz w:val="24"/>
          <w:szCs w:val="24"/>
          <w:highlight w:val="none"/>
          <w:lang w:val="en-US" w:eastAsia="zh-CN"/>
        </w:rPr>
        <w:t>13675739466</w:t>
      </w:r>
    </w:p>
    <w:p>
      <w:pPr>
        <w:adjustRightInd w:val="0"/>
        <w:spacing w:line="360" w:lineRule="auto"/>
        <w:ind w:firstLine="480" w:firstLineChars="200"/>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rPr>
        <w:t>质疑联系人：</w:t>
      </w:r>
      <w:r>
        <w:rPr>
          <w:rFonts w:hint="eastAsia" w:ascii="宋体" w:hAnsi="宋体" w:cs="宋体"/>
          <w:color w:val="auto"/>
          <w:sz w:val="24"/>
          <w:szCs w:val="24"/>
          <w:highlight w:val="none"/>
          <w:lang w:val="en-US" w:eastAsia="zh-CN"/>
        </w:rPr>
        <w:t>陈东豪</w:t>
      </w:r>
    </w:p>
    <w:p>
      <w:pPr>
        <w:adjustRightIn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质疑联系方式</w:t>
      </w:r>
      <w:r>
        <w:rPr>
          <w:rFonts w:hint="eastAsia" w:ascii="宋体" w:hAnsi="宋体" w:cs="宋体"/>
          <w:color w:val="auto"/>
          <w:sz w:val="24"/>
          <w:szCs w:val="24"/>
          <w:highlight w:val="none"/>
          <w:lang w:eastAsia="zh-CN"/>
        </w:rPr>
        <w:t>：</w:t>
      </w:r>
      <w:r>
        <w:rPr>
          <w:rFonts w:ascii="宋体" w:hAnsi="宋体" w:cs="宋体"/>
          <w:color w:val="auto"/>
          <w:sz w:val="24"/>
          <w:szCs w:val="24"/>
          <w:highlight w:val="none"/>
        </w:rPr>
        <w:t>1</w:t>
      </w:r>
      <w:r>
        <w:rPr>
          <w:rFonts w:hint="eastAsia" w:ascii="宋体" w:hAnsi="宋体" w:cs="宋体"/>
          <w:color w:val="auto"/>
          <w:sz w:val="24"/>
          <w:szCs w:val="24"/>
          <w:highlight w:val="none"/>
        </w:rPr>
        <w:t xml:space="preserve">5967562266       </w:t>
      </w:r>
    </w:p>
    <w:p>
      <w:pPr>
        <w:adjustRightInd w:val="0"/>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地址：绍兴市上虞区百官街道江东北路</w:t>
      </w:r>
      <w:r>
        <w:rPr>
          <w:rFonts w:ascii="宋体" w:hAnsi="宋体" w:cs="宋体"/>
          <w:color w:val="auto"/>
          <w:sz w:val="24"/>
          <w:szCs w:val="24"/>
          <w:highlight w:val="none"/>
        </w:rPr>
        <w:t>588</w:t>
      </w:r>
      <w:r>
        <w:rPr>
          <w:rFonts w:hint="eastAsia" w:ascii="宋体" w:hAnsi="宋体" w:cs="宋体"/>
          <w:color w:val="auto"/>
          <w:sz w:val="24"/>
          <w:szCs w:val="24"/>
          <w:highlight w:val="none"/>
        </w:rPr>
        <w:t>号百官广场</w:t>
      </w:r>
      <w:r>
        <w:rPr>
          <w:rFonts w:ascii="宋体" w:hAnsi="宋体" w:cs="宋体"/>
          <w:color w:val="auto"/>
          <w:sz w:val="24"/>
          <w:szCs w:val="24"/>
          <w:highlight w:val="none"/>
        </w:rPr>
        <w:t>30</w:t>
      </w:r>
      <w:r>
        <w:rPr>
          <w:rFonts w:hint="eastAsia" w:ascii="宋体" w:hAnsi="宋体" w:cs="宋体"/>
          <w:color w:val="auto"/>
          <w:sz w:val="24"/>
          <w:szCs w:val="24"/>
          <w:highlight w:val="none"/>
        </w:rPr>
        <w:t xml:space="preserve">楼  </w:t>
      </w:r>
    </w:p>
    <w:p>
      <w:pPr>
        <w:adjustRightInd w:val="0"/>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2</w:t>
      </w:r>
      <w:r>
        <w:rPr>
          <w:rFonts w:hint="eastAsia" w:ascii="宋体" w:hAnsi="宋体" w:cs="宋体"/>
          <w:color w:val="auto"/>
          <w:sz w:val="24"/>
          <w:szCs w:val="24"/>
          <w:highlight w:val="none"/>
        </w:rPr>
        <w:t>．采购人名称：</w:t>
      </w:r>
      <w:r>
        <w:rPr>
          <w:rFonts w:hint="eastAsia" w:ascii="宋体" w:hAnsi="宋体" w:cs="宋体"/>
          <w:color w:val="auto"/>
          <w:sz w:val="24"/>
          <w:szCs w:val="24"/>
          <w:highlight w:val="none"/>
          <w:lang w:eastAsia="zh-CN"/>
        </w:rPr>
        <w:t>上虞区驿亭镇人民政府</w:t>
      </w:r>
      <w:r>
        <w:rPr>
          <w:rFonts w:ascii="宋体" w:hAnsi="宋体" w:cs="宋体"/>
          <w:color w:val="auto"/>
          <w:sz w:val="24"/>
          <w:szCs w:val="24"/>
          <w:highlight w:val="none"/>
        </w:rPr>
        <w:t xml:space="preserve">  </w:t>
      </w:r>
    </w:p>
    <w:p>
      <w:pPr>
        <w:adjustRightInd w:val="0"/>
        <w:spacing w:line="360" w:lineRule="auto"/>
        <w:ind w:firstLine="480" w:firstLineChars="200"/>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rPr>
        <w:t>项目联系人（询问）：</w:t>
      </w:r>
      <w:r>
        <w:rPr>
          <w:rFonts w:hint="eastAsia" w:ascii="宋体" w:hAnsi="宋体" w:cs="宋体"/>
          <w:color w:val="auto"/>
          <w:sz w:val="24"/>
          <w:szCs w:val="24"/>
          <w:highlight w:val="none"/>
          <w:lang w:val="en-US" w:eastAsia="zh-CN"/>
        </w:rPr>
        <w:t>林先生</w:t>
      </w:r>
      <w:r>
        <w:rPr>
          <w:rFonts w:hint="eastAsia" w:ascii="宋体" w:hAnsi="宋体" w:cs="宋体"/>
          <w:color w:val="auto"/>
          <w:sz w:val="24"/>
          <w:szCs w:val="24"/>
          <w:highlight w:val="none"/>
        </w:rPr>
        <w:t xml:space="preserve"> </w:t>
      </w:r>
      <w:r>
        <w:rPr>
          <w:rFonts w:hint="eastAsia" w:ascii="宋体" w:hAnsi="宋体" w:cs="宋体"/>
          <w:color w:val="auto"/>
          <w:sz w:val="24"/>
          <w:szCs w:val="24"/>
          <w:highlight w:val="none"/>
          <w:lang w:val="en-US" w:eastAsia="zh-CN"/>
        </w:rPr>
        <w:t xml:space="preserve"> </w:t>
      </w:r>
      <w:bookmarkStart w:id="125" w:name="_GoBack"/>
      <w:bookmarkEnd w:id="125"/>
    </w:p>
    <w:p>
      <w:pPr>
        <w:adjustRightInd w:val="0"/>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项目联系方式（询问）：</w:t>
      </w:r>
      <w:r>
        <w:rPr>
          <w:rFonts w:hint="eastAsia" w:ascii="宋体" w:hAnsi="宋体" w:cs="宋体"/>
          <w:color w:val="auto"/>
          <w:sz w:val="24"/>
          <w:szCs w:val="24"/>
          <w:highlight w:val="none"/>
          <w:lang w:val="en-US" w:eastAsia="zh-CN"/>
        </w:rPr>
        <w:t xml:space="preserve">0575-82415698 </w:t>
      </w:r>
    </w:p>
    <w:p>
      <w:pPr>
        <w:adjustRightInd w:val="0"/>
        <w:spacing w:line="360" w:lineRule="auto"/>
        <w:ind w:firstLine="480" w:firstLineChars="200"/>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rPr>
        <w:t>质疑联系人：</w:t>
      </w:r>
      <w:r>
        <w:rPr>
          <w:rFonts w:hint="eastAsia" w:ascii="宋体" w:hAnsi="宋体" w:cs="宋体"/>
          <w:color w:val="auto"/>
          <w:sz w:val="24"/>
          <w:szCs w:val="24"/>
          <w:highlight w:val="none"/>
          <w:lang w:val="en-US" w:eastAsia="zh-CN"/>
        </w:rPr>
        <w:t xml:space="preserve"> 何女士</w:t>
      </w:r>
    </w:p>
    <w:p>
      <w:pPr>
        <w:adjustRightInd w:val="0"/>
        <w:spacing w:line="360" w:lineRule="auto"/>
        <w:ind w:firstLine="480" w:firstLineChars="200"/>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rPr>
        <w:t>质疑联系方式：</w:t>
      </w:r>
      <w:r>
        <w:rPr>
          <w:rFonts w:hint="eastAsia" w:ascii="宋体" w:hAnsi="宋体" w:cs="宋体"/>
          <w:color w:val="auto"/>
          <w:sz w:val="24"/>
          <w:szCs w:val="24"/>
          <w:highlight w:val="none"/>
          <w:lang w:val="en-US" w:eastAsia="zh-CN"/>
        </w:rPr>
        <w:t>0575-82415698</w:t>
      </w:r>
    </w:p>
    <w:p>
      <w:pPr>
        <w:adjustRightInd w:val="0"/>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地址：</w:t>
      </w:r>
      <w:r>
        <w:rPr>
          <w:rFonts w:hint="eastAsia" w:ascii="宋体" w:hAnsi="宋体" w:cs="宋体"/>
          <w:color w:val="auto"/>
          <w:sz w:val="24"/>
          <w:highlight w:val="none"/>
        </w:rPr>
        <w:t>上虞区</w:t>
      </w:r>
      <w:r>
        <w:rPr>
          <w:rFonts w:hint="eastAsia" w:ascii="宋体" w:hAnsi="宋体" w:cs="宋体"/>
          <w:color w:val="auto"/>
          <w:sz w:val="24"/>
          <w:szCs w:val="24"/>
          <w:highlight w:val="none"/>
          <w:lang w:eastAsia="zh-CN"/>
        </w:rPr>
        <w:t>驿亭镇人民政府</w:t>
      </w:r>
    </w:p>
    <w:p>
      <w:pPr>
        <w:adjustRightInd w:val="0"/>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3</w:t>
      </w:r>
      <w:r>
        <w:rPr>
          <w:rFonts w:hint="eastAsia" w:ascii="宋体" w:hAnsi="宋体" w:cs="宋体"/>
          <w:color w:val="auto"/>
          <w:sz w:val="24"/>
          <w:szCs w:val="24"/>
          <w:highlight w:val="none"/>
        </w:rPr>
        <w:t>．同级政府采购监督管理部门名称：上虞区财政局政府采购监管科</w:t>
      </w:r>
    </w:p>
    <w:p>
      <w:pPr>
        <w:adjustRightInd w:val="0"/>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联系人：谷先生</w:t>
      </w:r>
    </w:p>
    <w:p>
      <w:pPr>
        <w:adjustRightInd w:val="0"/>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监督投诉电话：</w:t>
      </w:r>
      <w:r>
        <w:rPr>
          <w:rFonts w:ascii="宋体" w:hAnsi="宋体" w:cs="宋体"/>
          <w:color w:val="auto"/>
          <w:sz w:val="24"/>
          <w:szCs w:val="24"/>
          <w:highlight w:val="none"/>
        </w:rPr>
        <w:t>0575-82130212</w:t>
      </w:r>
    </w:p>
    <w:p>
      <w:pPr>
        <w:adjustRightInd w:val="0"/>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传真：</w:t>
      </w:r>
      <w:r>
        <w:rPr>
          <w:rFonts w:ascii="宋体" w:hAnsi="宋体" w:cs="宋体"/>
          <w:color w:val="auto"/>
          <w:sz w:val="24"/>
          <w:szCs w:val="24"/>
          <w:highlight w:val="none"/>
        </w:rPr>
        <w:t>0575-82130212</w:t>
      </w:r>
    </w:p>
    <w:p>
      <w:pPr>
        <w:adjustRightInd w:val="0"/>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地址：绍兴市上虞区体育场路</w:t>
      </w:r>
      <w:r>
        <w:rPr>
          <w:rFonts w:ascii="宋体" w:hAnsi="宋体" w:cs="宋体"/>
          <w:color w:val="auto"/>
          <w:sz w:val="24"/>
          <w:szCs w:val="24"/>
          <w:highlight w:val="none"/>
        </w:rPr>
        <w:t>18</w:t>
      </w:r>
      <w:r>
        <w:rPr>
          <w:rFonts w:hint="eastAsia" w:ascii="宋体" w:hAnsi="宋体" w:cs="宋体"/>
          <w:color w:val="auto"/>
          <w:sz w:val="24"/>
          <w:szCs w:val="24"/>
          <w:highlight w:val="none"/>
        </w:rPr>
        <w:t>号</w:t>
      </w:r>
    </w:p>
    <w:p>
      <w:pPr>
        <w:spacing w:line="360" w:lineRule="auto"/>
        <w:jc w:val="center"/>
        <w:outlineLvl w:val="0"/>
        <w:rPr>
          <w:rFonts w:ascii="宋体"/>
          <w:b/>
          <w:bCs/>
          <w:color w:val="auto"/>
          <w:sz w:val="36"/>
          <w:szCs w:val="36"/>
          <w:highlight w:val="none"/>
        </w:rPr>
      </w:pPr>
      <w:r>
        <w:rPr>
          <w:rFonts w:ascii="宋体"/>
          <w:b/>
          <w:bCs/>
          <w:color w:val="auto"/>
          <w:sz w:val="36"/>
          <w:szCs w:val="36"/>
          <w:highlight w:val="none"/>
        </w:rPr>
        <w:br w:type="page"/>
      </w:r>
      <w:bookmarkStart w:id="7" w:name="_Toc18804"/>
      <w:bookmarkStart w:id="8" w:name="_Toc29834"/>
      <w:bookmarkStart w:id="9" w:name="_Toc546"/>
      <w:r>
        <w:rPr>
          <w:rStyle w:val="38"/>
          <w:rFonts w:hint="eastAsia" w:cs="宋体"/>
          <w:color w:val="auto"/>
          <w:sz w:val="36"/>
          <w:szCs w:val="36"/>
          <w:highlight w:val="none"/>
        </w:rPr>
        <w:t>第二部分</w:t>
      </w:r>
      <w:bookmarkEnd w:id="3"/>
      <w:r>
        <w:rPr>
          <w:rStyle w:val="38"/>
          <w:color w:val="auto"/>
          <w:sz w:val="36"/>
          <w:szCs w:val="36"/>
          <w:highlight w:val="none"/>
        </w:rPr>
        <w:t xml:space="preserve"> </w:t>
      </w:r>
      <w:bookmarkEnd w:id="4"/>
      <w:r>
        <w:rPr>
          <w:rStyle w:val="38"/>
          <w:rFonts w:hint="eastAsia" w:cs="宋体"/>
          <w:color w:val="auto"/>
          <w:sz w:val="36"/>
          <w:szCs w:val="36"/>
          <w:highlight w:val="none"/>
        </w:rPr>
        <w:t>供应商须知</w:t>
      </w:r>
      <w:bookmarkEnd w:id="7"/>
      <w:bookmarkEnd w:id="8"/>
      <w:bookmarkEnd w:id="9"/>
    </w:p>
    <w:p>
      <w:pPr>
        <w:widowControl/>
        <w:adjustRightInd w:val="0"/>
        <w:snapToGrid w:val="0"/>
        <w:spacing w:line="360" w:lineRule="auto"/>
        <w:jc w:val="center"/>
        <w:rPr>
          <w:rFonts w:ascii="宋体"/>
          <w:b/>
          <w:bCs/>
          <w:snapToGrid w:val="0"/>
          <w:color w:val="auto"/>
          <w:kern w:val="0"/>
          <w:sz w:val="32"/>
          <w:szCs w:val="32"/>
          <w:highlight w:val="none"/>
        </w:rPr>
      </w:pPr>
      <w:r>
        <w:rPr>
          <w:rFonts w:hint="eastAsia" w:ascii="宋体" w:hAnsi="宋体" w:cs="宋体"/>
          <w:b/>
          <w:bCs/>
          <w:snapToGrid w:val="0"/>
          <w:color w:val="auto"/>
          <w:kern w:val="0"/>
          <w:sz w:val="30"/>
          <w:szCs w:val="30"/>
          <w:highlight w:val="none"/>
        </w:rPr>
        <w:t>供应商须知前附表</w:t>
      </w:r>
    </w:p>
    <w:tbl>
      <w:tblPr>
        <w:tblStyle w:val="27"/>
        <w:tblW w:w="9130"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648"/>
        <w:gridCol w:w="1800"/>
        <w:gridCol w:w="6682"/>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92" w:hRule="atLeast"/>
          <w:tblHeader/>
          <w:jc w:val="center"/>
        </w:trPr>
        <w:tc>
          <w:tcPr>
            <w:tcW w:w="648" w:type="dxa"/>
            <w:tcBorders>
              <w:top w:val="double" w:color="auto" w:sz="4" w:space="0"/>
            </w:tcBorders>
            <w:vAlign w:val="center"/>
          </w:tcPr>
          <w:p>
            <w:pPr>
              <w:snapToGrid w:val="0"/>
              <w:jc w:val="center"/>
              <w:rPr>
                <w:rFonts w:ascii="宋体"/>
                <w:b/>
                <w:bCs/>
                <w:snapToGrid w:val="0"/>
                <w:color w:val="auto"/>
                <w:kern w:val="0"/>
                <w:highlight w:val="none"/>
              </w:rPr>
            </w:pPr>
            <w:r>
              <w:rPr>
                <w:rFonts w:hint="eastAsia" w:ascii="宋体" w:hAnsi="宋体" w:cs="宋体"/>
                <w:b/>
                <w:bCs/>
                <w:snapToGrid w:val="0"/>
                <w:color w:val="auto"/>
                <w:kern w:val="0"/>
                <w:highlight w:val="none"/>
              </w:rPr>
              <w:t>序号</w:t>
            </w:r>
          </w:p>
        </w:tc>
        <w:tc>
          <w:tcPr>
            <w:tcW w:w="1800" w:type="dxa"/>
            <w:tcBorders>
              <w:top w:val="double" w:color="auto" w:sz="4" w:space="0"/>
            </w:tcBorders>
            <w:vAlign w:val="center"/>
          </w:tcPr>
          <w:p>
            <w:pPr>
              <w:snapToGrid w:val="0"/>
              <w:jc w:val="center"/>
              <w:rPr>
                <w:rFonts w:ascii="宋体"/>
                <w:b/>
                <w:bCs/>
                <w:snapToGrid w:val="0"/>
                <w:color w:val="auto"/>
                <w:kern w:val="0"/>
                <w:highlight w:val="none"/>
              </w:rPr>
            </w:pPr>
            <w:r>
              <w:rPr>
                <w:rFonts w:hint="eastAsia" w:ascii="宋体" w:hAnsi="宋体" w:cs="宋体"/>
                <w:b/>
                <w:bCs/>
                <w:snapToGrid w:val="0"/>
                <w:color w:val="auto"/>
                <w:kern w:val="0"/>
                <w:highlight w:val="none"/>
              </w:rPr>
              <w:t>项目</w:t>
            </w:r>
          </w:p>
        </w:tc>
        <w:tc>
          <w:tcPr>
            <w:tcW w:w="6682" w:type="dxa"/>
            <w:tcBorders>
              <w:top w:val="double" w:color="auto" w:sz="4" w:space="0"/>
            </w:tcBorders>
            <w:vAlign w:val="center"/>
          </w:tcPr>
          <w:p>
            <w:pPr>
              <w:snapToGrid w:val="0"/>
              <w:jc w:val="center"/>
              <w:rPr>
                <w:rFonts w:ascii="宋体"/>
                <w:b/>
                <w:bCs/>
                <w:snapToGrid w:val="0"/>
                <w:color w:val="auto"/>
                <w:kern w:val="0"/>
                <w:highlight w:val="none"/>
              </w:rPr>
            </w:pPr>
            <w:r>
              <w:rPr>
                <w:rFonts w:hint="eastAsia" w:ascii="宋体" w:hAnsi="宋体" w:cs="宋体"/>
                <w:b/>
                <w:bCs/>
                <w:snapToGrid w:val="0"/>
                <w:color w:val="auto"/>
                <w:kern w:val="0"/>
                <w:highlight w:val="none"/>
              </w:rPr>
              <w:t>内容</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17" w:hRule="atLeast"/>
          <w:jc w:val="center"/>
        </w:trPr>
        <w:tc>
          <w:tcPr>
            <w:tcW w:w="648" w:type="dxa"/>
            <w:vAlign w:val="center"/>
          </w:tcPr>
          <w:p>
            <w:pPr>
              <w:snapToGrid w:val="0"/>
              <w:jc w:val="center"/>
              <w:rPr>
                <w:rFonts w:ascii="宋体"/>
                <w:snapToGrid w:val="0"/>
                <w:color w:val="auto"/>
                <w:kern w:val="0"/>
                <w:highlight w:val="none"/>
              </w:rPr>
            </w:pPr>
            <w:r>
              <w:rPr>
                <w:rFonts w:ascii="宋体" w:hAnsi="宋体" w:cs="宋体"/>
                <w:snapToGrid w:val="0"/>
                <w:color w:val="auto"/>
                <w:kern w:val="0"/>
                <w:highlight w:val="none"/>
              </w:rPr>
              <w:t>1</w:t>
            </w:r>
          </w:p>
        </w:tc>
        <w:tc>
          <w:tcPr>
            <w:tcW w:w="1800" w:type="dxa"/>
            <w:vAlign w:val="center"/>
          </w:tcPr>
          <w:p>
            <w:pPr>
              <w:snapToGrid w:val="0"/>
              <w:jc w:val="center"/>
              <w:rPr>
                <w:rFonts w:ascii="宋体"/>
                <w:snapToGrid w:val="0"/>
                <w:color w:val="auto"/>
                <w:kern w:val="0"/>
                <w:highlight w:val="none"/>
              </w:rPr>
            </w:pPr>
            <w:r>
              <w:rPr>
                <w:rFonts w:hint="eastAsia" w:ascii="宋体" w:hAnsi="宋体" w:cs="宋体"/>
                <w:snapToGrid w:val="0"/>
                <w:color w:val="auto"/>
                <w:kern w:val="0"/>
                <w:highlight w:val="none"/>
              </w:rPr>
              <w:t>项目名称</w:t>
            </w:r>
          </w:p>
        </w:tc>
        <w:tc>
          <w:tcPr>
            <w:tcW w:w="6682" w:type="dxa"/>
            <w:vAlign w:val="center"/>
          </w:tcPr>
          <w:p>
            <w:pPr>
              <w:snapToGrid w:val="0"/>
              <w:ind w:firstLine="420" w:firstLineChars="200"/>
              <w:rPr>
                <w:rFonts w:hint="eastAsia" w:ascii="宋体" w:eastAsia="宋体"/>
                <w:snapToGrid w:val="0"/>
                <w:color w:val="auto"/>
                <w:kern w:val="0"/>
                <w:highlight w:val="none"/>
                <w:lang w:eastAsia="zh-CN"/>
              </w:rPr>
            </w:pPr>
            <w:r>
              <w:rPr>
                <w:rFonts w:hint="eastAsia" w:ascii="宋体" w:hAnsi="宋体" w:cs="宋体"/>
                <w:snapToGrid w:val="0"/>
                <w:color w:val="auto"/>
                <w:kern w:val="0"/>
                <w:highlight w:val="none"/>
                <w:lang w:eastAsia="zh-CN"/>
              </w:rPr>
              <w:t>驿亭镇村庄规划编制项目</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2" w:hRule="atLeast"/>
          <w:jc w:val="center"/>
        </w:trPr>
        <w:tc>
          <w:tcPr>
            <w:tcW w:w="648" w:type="dxa"/>
            <w:vAlign w:val="center"/>
          </w:tcPr>
          <w:p>
            <w:pPr>
              <w:snapToGrid w:val="0"/>
              <w:jc w:val="center"/>
              <w:rPr>
                <w:rFonts w:ascii="宋体"/>
                <w:snapToGrid w:val="0"/>
                <w:color w:val="auto"/>
                <w:kern w:val="0"/>
                <w:highlight w:val="none"/>
              </w:rPr>
            </w:pPr>
            <w:r>
              <w:rPr>
                <w:rFonts w:ascii="宋体" w:hAnsi="宋体" w:cs="宋体"/>
                <w:snapToGrid w:val="0"/>
                <w:color w:val="auto"/>
                <w:kern w:val="0"/>
                <w:highlight w:val="none"/>
              </w:rPr>
              <w:t>2</w:t>
            </w:r>
          </w:p>
        </w:tc>
        <w:tc>
          <w:tcPr>
            <w:tcW w:w="1800" w:type="dxa"/>
            <w:vAlign w:val="center"/>
          </w:tcPr>
          <w:p>
            <w:pPr>
              <w:snapToGrid w:val="0"/>
              <w:jc w:val="center"/>
              <w:rPr>
                <w:rFonts w:ascii="宋体"/>
                <w:snapToGrid w:val="0"/>
                <w:color w:val="auto"/>
                <w:kern w:val="0"/>
                <w:highlight w:val="none"/>
              </w:rPr>
            </w:pPr>
            <w:r>
              <w:rPr>
                <w:rFonts w:hint="eastAsia" w:ascii="宋体" w:hAnsi="宋体" w:cs="宋体"/>
                <w:snapToGrid w:val="0"/>
                <w:color w:val="auto"/>
                <w:kern w:val="0"/>
                <w:highlight w:val="none"/>
              </w:rPr>
              <w:t>服务周期</w:t>
            </w:r>
          </w:p>
        </w:tc>
        <w:tc>
          <w:tcPr>
            <w:tcW w:w="6682" w:type="dxa"/>
            <w:vAlign w:val="center"/>
          </w:tcPr>
          <w:p>
            <w:pPr>
              <w:ind w:firstLine="422" w:firstLineChars="200"/>
              <w:rPr>
                <w:rFonts w:ascii="宋体"/>
                <w:color w:val="auto"/>
                <w:highlight w:val="none"/>
              </w:rPr>
            </w:pPr>
            <w:r>
              <w:rPr>
                <w:rFonts w:hint="eastAsia" w:ascii="宋体" w:hAnsi="宋体" w:cs="宋体"/>
                <w:b/>
                <w:bCs/>
                <w:snapToGrid w:val="0"/>
                <w:color w:val="auto"/>
                <w:kern w:val="0"/>
                <w:sz w:val="21"/>
                <w:szCs w:val="21"/>
                <w:highlight w:val="none"/>
              </w:rPr>
              <w:t>自合同签订之日起至合同履行完毕</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194" w:hRule="atLeast"/>
          <w:jc w:val="center"/>
        </w:trPr>
        <w:tc>
          <w:tcPr>
            <w:tcW w:w="648" w:type="dxa"/>
            <w:vAlign w:val="center"/>
          </w:tcPr>
          <w:p>
            <w:pPr>
              <w:snapToGrid w:val="0"/>
              <w:jc w:val="center"/>
              <w:rPr>
                <w:rFonts w:ascii="宋体"/>
                <w:snapToGrid w:val="0"/>
                <w:color w:val="auto"/>
                <w:kern w:val="0"/>
                <w:highlight w:val="none"/>
              </w:rPr>
            </w:pPr>
            <w:r>
              <w:rPr>
                <w:rFonts w:ascii="宋体" w:hAnsi="宋体" w:cs="宋体"/>
                <w:snapToGrid w:val="0"/>
                <w:color w:val="auto"/>
                <w:kern w:val="0"/>
                <w:highlight w:val="none"/>
              </w:rPr>
              <w:t>3</w:t>
            </w:r>
          </w:p>
        </w:tc>
        <w:tc>
          <w:tcPr>
            <w:tcW w:w="1800" w:type="dxa"/>
            <w:vAlign w:val="center"/>
          </w:tcPr>
          <w:p>
            <w:pPr>
              <w:snapToGrid w:val="0"/>
              <w:jc w:val="center"/>
              <w:rPr>
                <w:rFonts w:ascii="宋体"/>
                <w:b/>
                <w:bCs/>
                <w:snapToGrid w:val="0"/>
                <w:color w:val="auto"/>
                <w:kern w:val="0"/>
                <w:highlight w:val="none"/>
              </w:rPr>
            </w:pPr>
            <w:r>
              <w:rPr>
                <w:rFonts w:hint="eastAsia" w:ascii="宋体" w:hAnsi="宋体" w:cs="宋体"/>
                <w:b/>
                <w:bCs/>
                <w:snapToGrid w:val="0"/>
                <w:color w:val="auto"/>
                <w:kern w:val="0"/>
                <w:highlight w:val="none"/>
              </w:rPr>
              <w:t>最高限价</w:t>
            </w:r>
          </w:p>
        </w:tc>
        <w:tc>
          <w:tcPr>
            <w:tcW w:w="6682" w:type="dxa"/>
            <w:vAlign w:val="center"/>
          </w:tcPr>
          <w:p>
            <w:pPr>
              <w:snapToGrid w:val="0"/>
              <w:ind w:firstLine="420" w:firstLineChars="200"/>
              <w:rPr>
                <w:rFonts w:hint="eastAsia"/>
                <w:color w:val="auto"/>
                <w:highlight w:val="none"/>
              </w:rPr>
            </w:pPr>
            <w:r>
              <w:rPr>
                <w:rFonts w:hint="eastAsia"/>
                <w:color w:val="auto"/>
                <w:highlight w:val="none"/>
              </w:rPr>
              <w:t>本项目最高限价人民币</w:t>
            </w:r>
            <w:r>
              <w:rPr>
                <w:rFonts w:hint="eastAsia"/>
                <w:color w:val="auto"/>
                <w:highlight w:val="none"/>
                <w:u w:val="single"/>
              </w:rPr>
              <w:t xml:space="preserve"> </w:t>
            </w:r>
            <w:r>
              <w:rPr>
                <w:rFonts w:hint="eastAsia"/>
                <w:color w:val="auto"/>
                <w:highlight w:val="none"/>
                <w:u w:val="single"/>
                <w:lang w:val="en-US" w:eastAsia="zh-CN"/>
              </w:rPr>
              <w:t>240</w:t>
            </w:r>
            <w:r>
              <w:rPr>
                <w:rFonts w:hint="eastAsia"/>
                <w:color w:val="auto"/>
                <w:highlight w:val="none"/>
                <w:u w:val="single"/>
              </w:rPr>
              <w:t xml:space="preserve"> </w:t>
            </w:r>
            <w:r>
              <w:rPr>
                <w:rFonts w:hint="eastAsia"/>
                <w:color w:val="auto"/>
                <w:highlight w:val="none"/>
              </w:rPr>
              <w:t>万元。</w:t>
            </w:r>
          </w:p>
          <w:p>
            <w:pPr>
              <w:snapToGrid w:val="0"/>
              <w:ind w:firstLine="420" w:firstLineChars="200"/>
              <w:rPr>
                <w:color w:val="auto"/>
                <w:highlight w:val="none"/>
              </w:rPr>
            </w:pPr>
            <w:r>
              <w:rPr>
                <w:rFonts w:hint="eastAsia"/>
                <w:color w:val="auto"/>
                <w:highlight w:val="none"/>
                <w:lang w:val="en-US" w:eastAsia="zh-CN"/>
              </w:rPr>
              <w:t>其中</w:t>
            </w:r>
            <w:r>
              <w:rPr>
                <w:rFonts w:hint="eastAsia" w:eastAsia="宋体"/>
                <w:color w:val="auto"/>
                <w:highlight w:val="none"/>
                <w:lang w:eastAsia="zh-CN"/>
              </w:rPr>
              <w:t>标段一最高限价为人民币60</w:t>
            </w:r>
            <w:r>
              <w:rPr>
                <w:rFonts w:hint="eastAsia"/>
                <w:color w:val="auto"/>
                <w:highlight w:val="none"/>
                <w:lang w:val="en-US" w:eastAsia="zh-CN"/>
              </w:rPr>
              <w:t>万</w:t>
            </w:r>
            <w:r>
              <w:rPr>
                <w:rFonts w:hint="eastAsia" w:eastAsia="宋体"/>
                <w:color w:val="auto"/>
                <w:highlight w:val="none"/>
                <w:lang w:eastAsia="zh-CN"/>
              </w:rPr>
              <w:t xml:space="preserve">元；标段二最高限价为人民币 </w:t>
            </w:r>
            <w:r>
              <w:rPr>
                <w:rFonts w:hint="eastAsia"/>
                <w:color w:val="auto"/>
                <w:highlight w:val="none"/>
                <w:lang w:val="en-US" w:eastAsia="zh-CN"/>
              </w:rPr>
              <w:t>4</w:t>
            </w:r>
            <w:r>
              <w:rPr>
                <w:rFonts w:hint="eastAsia" w:eastAsia="宋体"/>
                <w:color w:val="auto"/>
                <w:highlight w:val="none"/>
                <w:lang w:eastAsia="zh-CN"/>
              </w:rPr>
              <w:t>0</w:t>
            </w:r>
            <w:r>
              <w:rPr>
                <w:rFonts w:hint="eastAsia"/>
                <w:color w:val="auto"/>
                <w:highlight w:val="none"/>
                <w:lang w:val="en-US" w:eastAsia="zh-CN"/>
              </w:rPr>
              <w:t>万</w:t>
            </w:r>
            <w:r>
              <w:rPr>
                <w:rFonts w:hint="eastAsia" w:eastAsia="宋体"/>
                <w:color w:val="auto"/>
                <w:highlight w:val="none"/>
                <w:lang w:eastAsia="zh-CN"/>
              </w:rPr>
              <w:t>元；标段三最高限价为人民币</w:t>
            </w:r>
            <w:r>
              <w:rPr>
                <w:rFonts w:hint="eastAsia" w:eastAsia="宋体"/>
                <w:color w:val="auto"/>
                <w:highlight w:val="none"/>
                <w:lang w:val="en-US" w:eastAsia="zh-CN"/>
              </w:rPr>
              <w:t>4</w:t>
            </w:r>
            <w:r>
              <w:rPr>
                <w:rFonts w:hint="eastAsia" w:eastAsia="宋体"/>
                <w:color w:val="auto"/>
                <w:highlight w:val="none"/>
                <w:lang w:eastAsia="zh-CN"/>
              </w:rPr>
              <w:t>0</w:t>
            </w:r>
            <w:r>
              <w:rPr>
                <w:rFonts w:hint="eastAsia"/>
                <w:color w:val="auto"/>
                <w:highlight w:val="none"/>
                <w:lang w:val="en-US" w:eastAsia="zh-CN"/>
              </w:rPr>
              <w:t>万</w:t>
            </w:r>
            <w:r>
              <w:rPr>
                <w:rFonts w:hint="eastAsia" w:eastAsia="宋体"/>
                <w:color w:val="auto"/>
                <w:highlight w:val="none"/>
                <w:lang w:eastAsia="zh-CN"/>
              </w:rPr>
              <w:t xml:space="preserve">元；标段四最高限价为人民币 </w:t>
            </w:r>
            <w:r>
              <w:rPr>
                <w:rFonts w:hint="eastAsia"/>
                <w:color w:val="auto"/>
                <w:highlight w:val="none"/>
                <w:lang w:val="en-US" w:eastAsia="zh-CN"/>
              </w:rPr>
              <w:t>6</w:t>
            </w:r>
            <w:r>
              <w:rPr>
                <w:rFonts w:hint="eastAsia" w:eastAsia="宋体"/>
                <w:color w:val="auto"/>
                <w:highlight w:val="none"/>
                <w:lang w:eastAsia="zh-CN"/>
              </w:rPr>
              <w:t>0</w:t>
            </w:r>
            <w:r>
              <w:rPr>
                <w:rFonts w:hint="eastAsia"/>
                <w:color w:val="auto"/>
                <w:highlight w:val="none"/>
                <w:lang w:val="en-US" w:eastAsia="zh-CN"/>
              </w:rPr>
              <w:t>万</w:t>
            </w:r>
            <w:r>
              <w:rPr>
                <w:rFonts w:hint="eastAsia" w:eastAsia="宋体"/>
                <w:color w:val="auto"/>
                <w:highlight w:val="none"/>
                <w:lang w:eastAsia="zh-CN"/>
              </w:rPr>
              <w:t>元；标段五最高限价为人民币</w:t>
            </w:r>
            <w:r>
              <w:rPr>
                <w:rFonts w:hint="eastAsia" w:eastAsia="宋体"/>
                <w:color w:val="auto"/>
                <w:highlight w:val="none"/>
                <w:lang w:val="en-US" w:eastAsia="zh-CN"/>
              </w:rPr>
              <w:t>4</w:t>
            </w:r>
            <w:r>
              <w:rPr>
                <w:rFonts w:hint="eastAsia" w:eastAsia="宋体"/>
                <w:color w:val="auto"/>
                <w:highlight w:val="none"/>
                <w:lang w:eastAsia="zh-CN"/>
              </w:rPr>
              <w:t>0</w:t>
            </w:r>
            <w:r>
              <w:rPr>
                <w:rFonts w:hint="eastAsia"/>
                <w:color w:val="auto"/>
                <w:highlight w:val="none"/>
                <w:lang w:val="en-US" w:eastAsia="zh-CN"/>
              </w:rPr>
              <w:t>万</w:t>
            </w:r>
            <w:r>
              <w:rPr>
                <w:rFonts w:hint="eastAsia" w:eastAsia="宋体"/>
                <w:color w:val="auto"/>
                <w:highlight w:val="none"/>
                <w:lang w:eastAsia="zh-CN"/>
              </w:rPr>
              <w:t>元。</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vAlign w:val="center"/>
          </w:tcPr>
          <w:p>
            <w:pPr>
              <w:snapToGrid w:val="0"/>
              <w:jc w:val="center"/>
              <w:rPr>
                <w:rFonts w:ascii="宋体"/>
                <w:snapToGrid w:val="0"/>
                <w:color w:val="auto"/>
                <w:kern w:val="0"/>
                <w:highlight w:val="none"/>
              </w:rPr>
            </w:pPr>
            <w:r>
              <w:rPr>
                <w:rFonts w:ascii="宋体" w:hAnsi="宋体" w:cs="宋体"/>
                <w:snapToGrid w:val="0"/>
                <w:color w:val="auto"/>
                <w:kern w:val="0"/>
                <w:highlight w:val="none"/>
              </w:rPr>
              <w:t xml:space="preserve">                                                                                                   4</w:t>
            </w:r>
          </w:p>
        </w:tc>
        <w:tc>
          <w:tcPr>
            <w:tcW w:w="1800" w:type="dxa"/>
            <w:vAlign w:val="center"/>
          </w:tcPr>
          <w:p>
            <w:pPr>
              <w:snapToGrid w:val="0"/>
              <w:jc w:val="center"/>
              <w:rPr>
                <w:rFonts w:ascii="宋体"/>
                <w:snapToGrid w:val="0"/>
                <w:color w:val="auto"/>
                <w:kern w:val="0"/>
                <w:highlight w:val="none"/>
              </w:rPr>
            </w:pPr>
            <w:r>
              <w:rPr>
                <w:rFonts w:hint="eastAsia" w:ascii="宋体" w:hAnsi="宋体" w:cs="宋体"/>
                <w:snapToGrid w:val="0"/>
                <w:color w:val="auto"/>
                <w:kern w:val="0"/>
                <w:highlight w:val="none"/>
              </w:rPr>
              <w:t>资格审查方式</w:t>
            </w:r>
          </w:p>
        </w:tc>
        <w:tc>
          <w:tcPr>
            <w:tcW w:w="6682" w:type="dxa"/>
            <w:vAlign w:val="center"/>
          </w:tcPr>
          <w:p>
            <w:pPr>
              <w:snapToGrid w:val="0"/>
              <w:ind w:firstLine="420" w:firstLineChars="200"/>
              <w:rPr>
                <w:rFonts w:ascii="宋体"/>
                <w:snapToGrid w:val="0"/>
                <w:color w:val="auto"/>
                <w:kern w:val="0"/>
                <w:highlight w:val="none"/>
              </w:rPr>
            </w:pPr>
            <w:r>
              <w:rPr>
                <w:rFonts w:hint="eastAsia" w:ascii="宋体" w:hAnsi="宋体" w:cs="宋体"/>
                <w:snapToGrid w:val="0"/>
                <w:color w:val="auto"/>
                <w:kern w:val="0"/>
                <w:highlight w:val="none"/>
              </w:rPr>
              <w:t>资格审查是指开标后，磋商小组将依据法律法规和磋商文件的规定对供应商的资格进行审查。</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648" w:type="dxa"/>
            <w:vAlign w:val="center"/>
          </w:tcPr>
          <w:p>
            <w:pPr>
              <w:snapToGrid w:val="0"/>
              <w:jc w:val="center"/>
              <w:rPr>
                <w:rFonts w:ascii="宋体"/>
                <w:snapToGrid w:val="0"/>
                <w:color w:val="auto"/>
                <w:kern w:val="0"/>
                <w:highlight w:val="none"/>
              </w:rPr>
            </w:pPr>
            <w:r>
              <w:rPr>
                <w:rFonts w:ascii="宋体" w:hAnsi="宋体" w:cs="宋体"/>
                <w:snapToGrid w:val="0"/>
                <w:color w:val="auto"/>
                <w:kern w:val="0"/>
                <w:highlight w:val="none"/>
              </w:rPr>
              <w:t>5</w:t>
            </w:r>
          </w:p>
        </w:tc>
        <w:tc>
          <w:tcPr>
            <w:tcW w:w="1800" w:type="dxa"/>
            <w:vAlign w:val="center"/>
          </w:tcPr>
          <w:p>
            <w:pPr>
              <w:snapToGrid w:val="0"/>
              <w:jc w:val="center"/>
              <w:rPr>
                <w:rFonts w:ascii="宋体"/>
                <w:snapToGrid w:val="0"/>
                <w:color w:val="auto"/>
                <w:kern w:val="0"/>
                <w:highlight w:val="none"/>
              </w:rPr>
            </w:pPr>
            <w:r>
              <w:rPr>
                <w:rFonts w:hint="eastAsia" w:ascii="宋体" w:hAnsi="宋体" w:cs="宋体"/>
                <w:snapToGrid w:val="0"/>
                <w:color w:val="auto"/>
                <w:kern w:val="0"/>
                <w:highlight w:val="none"/>
              </w:rPr>
              <w:t>踏勘现场</w:t>
            </w:r>
          </w:p>
        </w:tc>
        <w:tc>
          <w:tcPr>
            <w:tcW w:w="6682" w:type="dxa"/>
            <w:vAlign w:val="center"/>
          </w:tcPr>
          <w:p>
            <w:pPr>
              <w:snapToGrid w:val="0"/>
              <w:ind w:firstLine="422" w:firstLineChars="200"/>
              <w:rPr>
                <w:rFonts w:ascii="宋体"/>
                <w:snapToGrid w:val="0"/>
                <w:color w:val="auto"/>
                <w:kern w:val="0"/>
                <w:highlight w:val="none"/>
              </w:rPr>
            </w:pPr>
            <w:r>
              <w:rPr>
                <w:rFonts w:hint="eastAsia" w:ascii="宋体" w:hAnsi="宋体" w:cs="宋体"/>
                <w:b/>
                <w:bCs/>
                <w:snapToGrid w:val="0"/>
                <w:color w:val="auto"/>
                <w:kern w:val="0"/>
                <w:highlight w:val="none"/>
              </w:rPr>
              <w:t>本项目不组织现场踏勘</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vAlign w:val="center"/>
          </w:tcPr>
          <w:p>
            <w:pPr>
              <w:snapToGrid w:val="0"/>
              <w:jc w:val="center"/>
              <w:rPr>
                <w:rFonts w:ascii="宋体"/>
                <w:snapToGrid w:val="0"/>
                <w:color w:val="auto"/>
                <w:kern w:val="0"/>
                <w:highlight w:val="none"/>
              </w:rPr>
            </w:pPr>
            <w:r>
              <w:rPr>
                <w:rFonts w:ascii="宋体" w:hAnsi="宋体" w:cs="宋体"/>
                <w:snapToGrid w:val="0"/>
                <w:color w:val="auto"/>
                <w:kern w:val="0"/>
                <w:highlight w:val="none"/>
              </w:rPr>
              <w:t>6</w:t>
            </w:r>
          </w:p>
        </w:tc>
        <w:tc>
          <w:tcPr>
            <w:tcW w:w="1800" w:type="dxa"/>
            <w:vAlign w:val="center"/>
          </w:tcPr>
          <w:p>
            <w:pPr>
              <w:snapToGrid w:val="0"/>
              <w:jc w:val="center"/>
              <w:rPr>
                <w:rFonts w:ascii="宋体"/>
                <w:snapToGrid w:val="0"/>
                <w:color w:val="auto"/>
                <w:kern w:val="0"/>
                <w:highlight w:val="none"/>
              </w:rPr>
            </w:pPr>
            <w:r>
              <w:rPr>
                <w:rFonts w:hint="eastAsia" w:ascii="宋体" w:hAnsi="宋体" w:cs="宋体"/>
                <w:snapToGrid w:val="0"/>
                <w:color w:val="auto"/>
                <w:kern w:val="0"/>
                <w:highlight w:val="none"/>
              </w:rPr>
              <w:t>询问</w:t>
            </w:r>
          </w:p>
        </w:tc>
        <w:tc>
          <w:tcPr>
            <w:tcW w:w="6682" w:type="dxa"/>
            <w:vAlign w:val="center"/>
          </w:tcPr>
          <w:p>
            <w:pPr>
              <w:snapToGrid w:val="0"/>
              <w:ind w:firstLine="420" w:firstLineChars="200"/>
              <w:rPr>
                <w:rFonts w:ascii="宋体"/>
                <w:snapToGrid w:val="0"/>
                <w:color w:val="auto"/>
                <w:kern w:val="0"/>
                <w:highlight w:val="none"/>
              </w:rPr>
            </w:pPr>
            <w:r>
              <w:rPr>
                <w:rFonts w:hint="eastAsia" w:ascii="宋体" w:hAnsi="宋体" w:cs="宋体"/>
                <w:snapToGrid w:val="0"/>
                <w:color w:val="auto"/>
                <w:kern w:val="0"/>
                <w:highlight w:val="none"/>
              </w:rPr>
              <w:t>供应商对政府采购活动事项有疑问的，可以向采购机构提出询问，采购人或者招标代理机构应当在</w:t>
            </w:r>
            <w:r>
              <w:rPr>
                <w:rFonts w:ascii="宋体" w:hAnsi="宋体" w:cs="宋体"/>
                <w:snapToGrid w:val="0"/>
                <w:color w:val="auto"/>
                <w:kern w:val="0"/>
                <w:highlight w:val="none"/>
              </w:rPr>
              <w:t>3</w:t>
            </w:r>
            <w:r>
              <w:rPr>
                <w:rFonts w:hint="eastAsia" w:ascii="宋体" w:hAnsi="宋体" w:cs="宋体"/>
                <w:snapToGrid w:val="0"/>
                <w:color w:val="auto"/>
                <w:kern w:val="0"/>
                <w:highlight w:val="none"/>
              </w:rPr>
              <w:t>个工作日内对供应商依法提出的询问作出答复，但答复的内容不得涉及商业秘密。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vAlign w:val="center"/>
          </w:tcPr>
          <w:p>
            <w:pPr>
              <w:snapToGrid w:val="0"/>
              <w:jc w:val="center"/>
              <w:rPr>
                <w:rFonts w:ascii="宋体"/>
                <w:snapToGrid w:val="0"/>
                <w:color w:val="auto"/>
                <w:kern w:val="0"/>
                <w:highlight w:val="none"/>
              </w:rPr>
            </w:pPr>
            <w:r>
              <w:rPr>
                <w:rFonts w:ascii="宋体" w:hAnsi="宋体" w:cs="宋体"/>
                <w:snapToGrid w:val="0"/>
                <w:color w:val="auto"/>
                <w:kern w:val="0"/>
                <w:highlight w:val="none"/>
              </w:rPr>
              <w:t>7</w:t>
            </w:r>
          </w:p>
        </w:tc>
        <w:tc>
          <w:tcPr>
            <w:tcW w:w="1800" w:type="dxa"/>
            <w:vAlign w:val="center"/>
          </w:tcPr>
          <w:p>
            <w:pPr>
              <w:snapToGrid w:val="0"/>
              <w:jc w:val="center"/>
              <w:rPr>
                <w:rFonts w:ascii="宋体"/>
                <w:snapToGrid w:val="0"/>
                <w:color w:val="auto"/>
                <w:kern w:val="0"/>
                <w:highlight w:val="none"/>
              </w:rPr>
            </w:pPr>
            <w:r>
              <w:rPr>
                <w:rFonts w:hint="eastAsia" w:ascii="宋体" w:hAnsi="宋体" w:cs="宋体"/>
                <w:snapToGrid w:val="0"/>
                <w:color w:val="auto"/>
                <w:kern w:val="0"/>
                <w:highlight w:val="none"/>
              </w:rPr>
              <w:t>磋商文件的澄清与修改</w:t>
            </w:r>
          </w:p>
        </w:tc>
        <w:tc>
          <w:tcPr>
            <w:tcW w:w="6682" w:type="dxa"/>
            <w:vAlign w:val="center"/>
          </w:tcPr>
          <w:p>
            <w:pPr>
              <w:snapToGrid w:val="0"/>
              <w:ind w:firstLine="420" w:firstLineChars="200"/>
              <w:rPr>
                <w:rFonts w:ascii="宋体"/>
                <w:snapToGrid w:val="0"/>
                <w:color w:val="auto"/>
                <w:kern w:val="0"/>
                <w:highlight w:val="none"/>
              </w:rPr>
            </w:pPr>
            <w:r>
              <w:rPr>
                <w:rFonts w:hint="eastAsia" w:ascii="宋体" w:hAnsi="宋体" w:cs="宋体"/>
                <w:snapToGrid w:val="0"/>
                <w:color w:val="auto"/>
                <w:kern w:val="0"/>
                <w:highlight w:val="none"/>
              </w:rPr>
              <w:t>采购单位可以对已发出的磋商文件进行必要澄清或者修改，澄清或者修改的内容可能影响响应文件编制的，应当在提交首次响应文件截至时间至少</w:t>
            </w:r>
            <w:r>
              <w:rPr>
                <w:rFonts w:ascii="宋体" w:hAnsi="宋体" w:cs="宋体"/>
                <w:snapToGrid w:val="0"/>
                <w:color w:val="auto"/>
                <w:kern w:val="0"/>
                <w:highlight w:val="none"/>
              </w:rPr>
              <w:t>5</w:t>
            </w:r>
            <w:r>
              <w:rPr>
                <w:rFonts w:hint="eastAsia" w:ascii="宋体" w:hAnsi="宋体" w:cs="宋体"/>
                <w:snapToGrid w:val="0"/>
                <w:color w:val="auto"/>
                <w:kern w:val="0"/>
                <w:highlight w:val="none"/>
              </w:rPr>
              <w:t>日前，在磋商公告发布的媒体上发布更正公告。本项目磋商文件和补充（答疑、澄清）、修改文件等请自行登录浙江政府采购网或绍兴市上虞区公共资源交易中心网站查看。</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vAlign w:val="center"/>
          </w:tcPr>
          <w:p>
            <w:pPr>
              <w:snapToGrid w:val="0"/>
              <w:jc w:val="center"/>
              <w:rPr>
                <w:rFonts w:ascii="宋体"/>
                <w:snapToGrid w:val="0"/>
                <w:color w:val="auto"/>
                <w:kern w:val="0"/>
                <w:highlight w:val="none"/>
              </w:rPr>
            </w:pPr>
            <w:r>
              <w:rPr>
                <w:rFonts w:ascii="宋体" w:hAnsi="宋体" w:cs="宋体"/>
                <w:snapToGrid w:val="0"/>
                <w:color w:val="auto"/>
                <w:kern w:val="0"/>
                <w:highlight w:val="none"/>
              </w:rPr>
              <w:t>8</w:t>
            </w:r>
          </w:p>
        </w:tc>
        <w:tc>
          <w:tcPr>
            <w:tcW w:w="1800" w:type="dxa"/>
            <w:vAlign w:val="center"/>
          </w:tcPr>
          <w:p>
            <w:pPr>
              <w:snapToGrid w:val="0"/>
              <w:jc w:val="center"/>
              <w:rPr>
                <w:rFonts w:ascii="宋体"/>
                <w:snapToGrid w:val="0"/>
                <w:color w:val="auto"/>
                <w:kern w:val="0"/>
                <w:highlight w:val="none"/>
              </w:rPr>
            </w:pPr>
            <w:r>
              <w:rPr>
                <w:rFonts w:hint="eastAsia" w:ascii="宋体" w:hAnsi="宋体" w:cs="宋体"/>
                <w:snapToGrid w:val="0"/>
                <w:color w:val="auto"/>
                <w:kern w:val="0"/>
                <w:highlight w:val="none"/>
              </w:rPr>
              <w:t>磋商响应文件组成</w:t>
            </w:r>
          </w:p>
        </w:tc>
        <w:tc>
          <w:tcPr>
            <w:tcW w:w="6682" w:type="dxa"/>
            <w:vAlign w:val="center"/>
          </w:tcPr>
          <w:p>
            <w:pPr>
              <w:snapToGrid w:val="0"/>
              <w:ind w:firstLine="420" w:firstLineChars="200"/>
              <w:rPr>
                <w:rFonts w:ascii="宋体"/>
                <w:snapToGrid w:val="0"/>
                <w:color w:val="auto"/>
                <w:kern w:val="0"/>
                <w:highlight w:val="none"/>
              </w:rPr>
            </w:pPr>
            <w:r>
              <w:rPr>
                <w:rFonts w:hint="eastAsia" w:ascii="宋体" w:hAnsi="宋体" w:cs="宋体"/>
                <w:snapToGrid w:val="0"/>
                <w:color w:val="auto"/>
                <w:kern w:val="0"/>
                <w:highlight w:val="none"/>
              </w:rPr>
              <w:t>供应商向采购人递交的响应文件由资格文件、商务技术文件、报价文件三部分组成。</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07" w:hRule="atLeast"/>
          <w:jc w:val="center"/>
        </w:trPr>
        <w:tc>
          <w:tcPr>
            <w:tcW w:w="648" w:type="dxa"/>
            <w:vAlign w:val="center"/>
          </w:tcPr>
          <w:p>
            <w:pPr>
              <w:snapToGrid w:val="0"/>
              <w:jc w:val="center"/>
              <w:rPr>
                <w:rFonts w:ascii="宋体"/>
                <w:snapToGrid w:val="0"/>
                <w:color w:val="auto"/>
                <w:kern w:val="0"/>
                <w:highlight w:val="none"/>
              </w:rPr>
            </w:pPr>
            <w:r>
              <w:rPr>
                <w:rFonts w:ascii="宋体" w:hAnsi="宋体" w:cs="宋体"/>
                <w:snapToGrid w:val="0"/>
                <w:color w:val="auto"/>
                <w:kern w:val="0"/>
                <w:highlight w:val="none"/>
              </w:rPr>
              <w:t>9</w:t>
            </w:r>
          </w:p>
        </w:tc>
        <w:tc>
          <w:tcPr>
            <w:tcW w:w="1800" w:type="dxa"/>
            <w:vAlign w:val="center"/>
          </w:tcPr>
          <w:p>
            <w:pPr>
              <w:snapToGrid w:val="0"/>
              <w:jc w:val="center"/>
              <w:rPr>
                <w:rFonts w:ascii="宋体"/>
                <w:snapToGrid w:val="0"/>
                <w:color w:val="auto"/>
                <w:kern w:val="0"/>
                <w:highlight w:val="none"/>
              </w:rPr>
            </w:pPr>
            <w:r>
              <w:rPr>
                <w:rFonts w:hint="eastAsia" w:ascii="宋体" w:hAnsi="宋体" w:cs="宋体"/>
                <w:snapToGrid w:val="0"/>
                <w:color w:val="auto"/>
                <w:kern w:val="0"/>
                <w:highlight w:val="none"/>
              </w:rPr>
              <w:t>评标办法</w:t>
            </w:r>
          </w:p>
        </w:tc>
        <w:tc>
          <w:tcPr>
            <w:tcW w:w="6682" w:type="dxa"/>
            <w:vAlign w:val="center"/>
          </w:tcPr>
          <w:p>
            <w:pPr>
              <w:snapToGrid w:val="0"/>
              <w:ind w:firstLine="420" w:firstLineChars="200"/>
              <w:rPr>
                <w:rFonts w:ascii="宋体"/>
                <w:snapToGrid w:val="0"/>
                <w:color w:val="auto"/>
                <w:kern w:val="0"/>
                <w:highlight w:val="none"/>
              </w:rPr>
            </w:pPr>
            <w:r>
              <w:rPr>
                <w:rFonts w:hint="eastAsia" w:ascii="宋体" w:hAnsi="宋体" w:cs="宋体"/>
                <w:snapToGrid w:val="0"/>
                <w:color w:val="auto"/>
                <w:kern w:val="0"/>
                <w:highlight w:val="none"/>
              </w:rPr>
              <w:t>综合评分法</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vAlign w:val="center"/>
          </w:tcPr>
          <w:p>
            <w:pPr>
              <w:snapToGrid w:val="0"/>
              <w:jc w:val="center"/>
              <w:rPr>
                <w:rFonts w:ascii="宋体"/>
                <w:snapToGrid w:val="0"/>
                <w:color w:val="auto"/>
                <w:kern w:val="0"/>
                <w:highlight w:val="none"/>
              </w:rPr>
            </w:pPr>
            <w:r>
              <w:rPr>
                <w:rFonts w:ascii="宋体" w:hAnsi="宋体" w:cs="宋体"/>
                <w:snapToGrid w:val="0"/>
                <w:color w:val="auto"/>
                <w:kern w:val="0"/>
                <w:highlight w:val="none"/>
              </w:rPr>
              <w:t>10</w:t>
            </w:r>
          </w:p>
        </w:tc>
        <w:tc>
          <w:tcPr>
            <w:tcW w:w="1800" w:type="dxa"/>
            <w:vAlign w:val="center"/>
          </w:tcPr>
          <w:p>
            <w:pPr>
              <w:snapToGrid w:val="0"/>
              <w:jc w:val="center"/>
              <w:rPr>
                <w:rFonts w:ascii="宋体"/>
                <w:snapToGrid w:val="0"/>
                <w:color w:val="auto"/>
                <w:kern w:val="0"/>
                <w:highlight w:val="none"/>
              </w:rPr>
            </w:pPr>
            <w:r>
              <w:rPr>
                <w:rFonts w:hint="eastAsia" w:ascii="宋体" w:hAnsi="宋体" w:cs="宋体"/>
                <w:snapToGrid w:val="0"/>
                <w:color w:val="auto"/>
                <w:kern w:val="0"/>
                <w:highlight w:val="none"/>
              </w:rPr>
              <w:t>磋商响应文件递交地址及截止时间</w:t>
            </w:r>
          </w:p>
        </w:tc>
        <w:tc>
          <w:tcPr>
            <w:tcW w:w="6682" w:type="dxa"/>
            <w:vAlign w:val="center"/>
          </w:tcPr>
          <w:p>
            <w:pPr>
              <w:snapToGrid w:val="0"/>
              <w:ind w:firstLine="420" w:firstLineChars="200"/>
              <w:rPr>
                <w:rFonts w:ascii="宋体"/>
                <w:color w:val="auto"/>
                <w:kern w:val="0"/>
                <w:highlight w:val="none"/>
              </w:rPr>
            </w:pPr>
            <w:r>
              <w:rPr>
                <w:rFonts w:hint="eastAsia" w:ascii="宋体" w:hAnsi="宋体" w:cs="宋体"/>
                <w:snapToGrid w:val="0"/>
                <w:color w:val="auto"/>
                <w:kern w:val="0"/>
                <w:highlight w:val="none"/>
              </w:rPr>
              <w:t>详见磋商公告</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vAlign w:val="center"/>
          </w:tcPr>
          <w:p>
            <w:pPr>
              <w:snapToGrid w:val="0"/>
              <w:jc w:val="center"/>
              <w:rPr>
                <w:rFonts w:ascii="宋体"/>
                <w:snapToGrid w:val="0"/>
                <w:color w:val="auto"/>
                <w:kern w:val="0"/>
                <w:highlight w:val="none"/>
              </w:rPr>
            </w:pPr>
            <w:r>
              <w:rPr>
                <w:rFonts w:ascii="宋体" w:hAnsi="宋体" w:cs="宋体"/>
                <w:snapToGrid w:val="0"/>
                <w:color w:val="auto"/>
                <w:kern w:val="0"/>
                <w:highlight w:val="none"/>
              </w:rPr>
              <w:t>11</w:t>
            </w:r>
          </w:p>
        </w:tc>
        <w:tc>
          <w:tcPr>
            <w:tcW w:w="1800" w:type="dxa"/>
            <w:vAlign w:val="center"/>
          </w:tcPr>
          <w:p>
            <w:pPr>
              <w:snapToGrid w:val="0"/>
              <w:jc w:val="center"/>
              <w:rPr>
                <w:rFonts w:ascii="宋体"/>
                <w:snapToGrid w:val="0"/>
                <w:color w:val="auto"/>
                <w:kern w:val="0"/>
                <w:highlight w:val="none"/>
              </w:rPr>
            </w:pPr>
            <w:r>
              <w:rPr>
                <w:rFonts w:hint="eastAsia" w:ascii="宋体" w:hAnsi="宋体" w:cs="宋体"/>
                <w:snapToGrid w:val="0"/>
                <w:color w:val="auto"/>
                <w:kern w:val="0"/>
                <w:highlight w:val="none"/>
              </w:rPr>
              <w:t>开标时间、地点</w:t>
            </w:r>
          </w:p>
        </w:tc>
        <w:tc>
          <w:tcPr>
            <w:tcW w:w="6682" w:type="dxa"/>
            <w:vAlign w:val="center"/>
          </w:tcPr>
          <w:p>
            <w:pPr>
              <w:snapToGrid w:val="0"/>
              <w:ind w:firstLine="420" w:firstLineChars="200"/>
              <w:rPr>
                <w:rFonts w:ascii="宋体"/>
                <w:snapToGrid w:val="0"/>
                <w:color w:val="auto"/>
                <w:kern w:val="0"/>
                <w:highlight w:val="none"/>
              </w:rPr>
            </w:pPr>
            <w:r>
              <w:rPr>
                <w:rFonts w:hint="eastAsia" w:ascii="宋体" w:hAnsi="宋体" w:cs="宋体"/>
                <w:snapToGrid w:val="0"/>
                <w:color w:val="auto"/>
                <w:kern w:val="0"/>
                <w:highlight w:val="none"/>
              </w:rPr>
              <w:t>开标时间：</w:t>
            </w:r>
            <w:r>
              <w:rPr>
                <w:rFonts w:hint="eastAsia" w:ascii="宋体" w:hAnsi="宋体" w:cs="宋体"/>
                <w:color w:val="auto"/>
                <w:kern w:val="0"/>
                <w:highlight w:val="none"/>
              </w:rPr>
              <w:t>详见磋商公告</w:t>
            </w:r>
          </w:p>
          <w:p>
            <w:pPr>
              <w:snapToGrid w:val="0"/>
              <w:ind w:firstLine="420" w:firstLineChars="200"/>
              <w:rPr>
                <w:rFonts w:ascii="宋体"/>
                <w:color w:val="auto"/>
                <w:kern w:val="0"/>
                <w:highlight w:val="none"/>
              </w:rPr>
            </w:pPr>
            <w:r>
              <w:rPr>
                <w:rFonts w:hint="eastAsia" w:ascii="宋体" w:hAnsi="宋体" w:cs="宋体"/>
                <w:snapToGrid w:val="0"/>
                <w:color w:val="auto"/>
                <w:kern w:val="0"/>
                <w:highlight w:val="none"/>
              </w:rPr>
              <w:t>开标地点：</w:t>
            </w:r>
            <w:r>
              <w:rPr>
                <w:rFonts w:hint="eastAsia" w:ascii="宋体" w:hAnsi="宋体" w:cs="宋体"/>
                <w:color w:val="auto"/>
                <w:kern w:val="0"/>
                <w:highlight w:val="none"/>
              </w:rPr>
              <w:t>详见磋商公告</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vAlign w:val="center"/>
          </w:tcPr>
          <w:p>
            <w:pPr>
              <w:snapToGrid w:val="0"/>
              <w:jc w:val="center"/>
              <w:rPr>
                <w:rFonts w:ascii="宋体"/>
                <w:snapToGrid w:val="0"/>
                <w:color w:val="auto"/>
                <w:kern w:val="0"/>
                <w:highlight w:val="none"/>
              </w:rPr>
            </w:pPr>
            <w:r>
              <w:rPr>
                <w:rFonts w:ascii="宋体" w:hAnsi="宋体" w:cs="宋体"/>
                <w:snapToGrid w:val="0"/>
                <w:color w:val="auto"/>
                <w:kern w:val="0"/>
                <w:highlight w:val="none"/>
              </w:rPr>
              <w:t>12</w:t>
            </w:r>
          </w:p>
        </w:tc>
        <w:tc>
          <w:tcPr>
            <w:tcW w:w="1800" w:type="dxa"/>
            <w:vAlign w:val="center"/>
          </w:tcPr>
          <w:p>
            <w:pPr>
              <w:snapToGrid w:val="0"/>
              <w:jc w:val="center"/>
              <w:rPr>
                <w:rFonts w:ascii="宋体"/>
                <w:snapToGrid w:val="0"/>
                <w:color w:val="auto"/>
                <w:kern w:val="0"/>
                <w:highlight w:val="none"/>
              </w:rPr>
            </w:pPr>
            <w:r>
              <w:rPr>
                <w:rFonts w:hint="eastAsia" w:ascii="宋体" w:hAnsi="宋体" w:cs="宋体"/>
                <w:snapToGrid w:val="0"/>
                <w:color w:val="auto"/>
                <w:kern w:val="0"/>
                <w:highlight w:val="none"/>
              </w:rPr>
              <w:t>磋商响应文件有效期</w:t>
            </w:r>
          </w:p>
        </w:tc>
        <w:tc>
          <w:tcPr>
            <w:tcW w:w="6682" w:type="dxa"/>
            <w:vAlign w:val="center"/>
          </w:tcPr>
          <w:p>
            <w:pPr>
              <w:snapToGrid w:val="0"/>
              <w:ind w:firstLine="420" w:firstLineChars="200"/>
              <w:rPr>
                <w:rFonts w:ascii="宋体"/>
                <w:snapToGrid w:val="0"/>
                <w:color w:val="auto"/>
                <w:kern w:val="0"/>
                <w:highlight w:val="none"/>
              </w:rPr>
            </w:pPr>
            <w:r>
              <w:rPr>
                <w:rFonts w:hint="eastAsia" w:ascii="宋体" w:hAnsi="宋体" w:cs="宋体"/>
                <w:snapToGrid w:val="0"/>
                <w:color w:val="auto"/>
                <w:kern w:val="0"/>
                <w:highlight w:val="none"/>
              </w:rPr>
              <w:t>响应文件有效期为从提交响应文件的截止之日起</w:t>
            </w:r>
            <w:r>
              <w:rPr>
                <w:rFonts w:ascii="宋体" w:hAnsi="宋体" w:cs="宋体"/>
                <w:snapToGrid w:val="0"/>
                <w:color w:val="auto"/>
                <w:kern w:val="0"/>
                <w:highlight w:val="none"/>
              </w:rPr>
              <w:t>90</w:t>
            </w:r>
            <w:r>
              <w:rPr>
                <w:rFonts w:hint="eastAsia" w:ascii="宋体" w:hAnsi="宋体" w:cs="宋体"/>
                <w:snapToGrid w:val="0"/>
                <w:color w:val="auto"/>
                <w:kern w:val="0"/>
                <w:highlight w:val="none"/>
              </w:rPr>
              <w:t>天。供应商的响应文件中承诺的响应文件有效期少于磋商文件中载明的响应文件有效期的，磋商无效。</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vAlign w:val="center"/>
          </w:tcPr>
          <w:p>
            <w:pPr>
              <w:snapToGrid w:val="0"/>
              <w:jc w:val="center"/>
              <w:rPr>
                <w:rFonts w:ascii="宋体"/>
                <w:snapToGrid w:val="0"/>
                <w:color w:val="auto"/>
                <w:kern w:val="0"/>
                <w:highlight w:val="none"/>
              </w:rPr>
            </w:pPr>
            <w:r>
              <w:rPr>
                <w:rFonts w:ascii="宋体" w:hAnsi="宋体" w:cs="宋体"/>
                <w:snapToGrid w:val="0"/>
                <w:color w:val="auto"/>
                <w:kern w:val="0"/>
                <w:highlight w:val="none"/>
              </w:rPr>
              <w:t>13</w:t>
            </w:r>
          </w:p>
        </w:tc>
        <w:tc>
          <w:tcPr>
            <w:tcW w:w="1800" w:type="dxa"/>
            <w:vAlign w:val="center"/>
          </w:tcPr>
          <w:p>
            <w:pPr>
              <w:snapToGrid w:val="0"/>
              <w:jc w:val="center"/>
              <w:rPr>
                <w:rFonts w:ascii="宋体"/>
                <w:snapToGrid w:val="0"/>
                <w:color w:val="auto"/>
                <w:kern w:val="0"/>
                <w:highlight w:val="none"/>
              </w:rPr>
            </w:pPr>
            <w:r>
              <w:rPr>
                <w:rFonts w:hint="eastAsia" w:ascii="宋体" w:hAnsi="宋体" w:cs="宋体"/>
                <w:snapToGrid w:val="0"/>
                <w:color w:val="auto"/>
                <w:kern w:val="0"/>
                <w:highlight w:val="none"/>
              </w:rPr>
              <w:t>履约保证金</w:t>
            </w:r>
          </w:p>
        </w:tc>
        <w:tc>
          <w:tcPr>
            <w:tcW w:w="6682" w:type="dxa"/>
            <w:vAlign w:val="center"/>
          </w:tcPr>
          <w:p>
            <w:pPr>
              <w:pStyle w:val="15"/>
              <w:snapToGrid w:val="0"/>
              <w:ind w:firstLine="420" w:firstLineChars="200"/>
              <w:rPr>
                <w:rFonts w:hint="eastAsia" w:hAnsi="宋体"/>
                <w:color w:val="auto"/>
                <w:kern w:val="0"/>
                <w:highlight w:val="none"/>
                <w:lang w:val="en-US" w:eastAsia="zh-CN"/>
              </w:rPr>
            </w:pPr>
            <w:r>
              <w:rPr>
                <w:rFonts w:hint="eastAsia" w:hAnsi="宋体"/>
                <w:color w:val="auto"/>
                <w:kern w:val="0"/>
                <w:highlight w:val="none"/>
                <w:lang w:val="en-US" w:eastAsia="zh-CN"/>
              </w:rPr>
              <w:t>各标段中标人在收到中标通知书后，需向采购人提供该标段合同总价</w:t>
            </w:r>
            <w:r>
              <w:rPr>
                <w:rFonts w:hint="eastAsia" w:hAnsi="宋体"/>
                <w:color w:val="auto"/>
                <w:kern w:val="0"/>
                <w:highlight w:val="none"/>
                <w:u w:val="single"/>
                <w:lang w:val="en-US" w:eastAsia="zh-CN"/>
              </w:rPr>
              <w:t>1%</w:t>
            </w:r>
            <w:r>
              <w:rPr>
                <w:rFonts w:hint="eastAsia" w:hAnsi="宋体"/>
                <w:color w:val="auto"/>
                <w:kern w:val="0"/>
                <w:highlight w:val="none"/>
                <w:lang w:val="en-US" w:eastAsia="zh-CN"/>
              </w:rPr>
              <w:t>的履约保证金，在中标人与采购人签订合同前递交。（投标人应当以支票、汇票、本票或者金融机构、保险公司、担保机构出具的保函等非现金形式提交）</w:t>
            </w:r>
          </w:p>
          <w:p>
            <w:pPr>
              <w:pStyle w:val="15"/>
              <w:snapToGrid w:val="0"/>
              <w:ind w:firstLine="420" w:firstLineChars="200"/>
              <w:rPr>
                <w:rFonts w:hint="default" w:hAnsi="宋体" w:eastAsia="宋体" w:cs="Times New Roman"/>
                <w:color w:val="auto"/>
                <w:kern w:val="0"/>
                <w:highlight w:val="none"/>
                <w:lang w:val="en-US" w:eastAsia="zh-CN"/>
              </w:rPr>
            </w:pPr>
            <w:r>
              <w:rPr>
                <w:rFonts w:hint="eastAsia" w:hAnsi="宋体"/>
                <w:color w:val="auto"/>
                <w:kern w:val="0"/>
                <w:highlight w:val="none"/>
                <w:lang w:val="en-US" w:eastAsia="zh-CN"/>
              </w:rPr>
              <w:t>在本项目通过最终验收及所有资料交给采购方后退还（不计息）。</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vAlign w:val="center"/>
          </w:tcPr>
          <w:p>
            <w:pPr>
              <w:snapToGrid w:val="0"/>
              <w:jc w:val="center"/>
              <w:rPr>
                <w:rFonts w:ascii="宋体"/>
                <w:snapToGrid w:val="0"/>
                <w:color w:val="auto"/>
                <w:kern w:val="0"/>
                <w:highlight w:val="none"/>
              </w:rPr>
            </w:pPr>
            <w:r>
              <w:rPr>
                <w:rFonts w:ascii="宋体" w:hAnsi="宋体" w:cs="宋体"/>
                <w:snapToGrid w:val="0"/>
                <w:color w:val="auto"/>
                <w:kern w:val="0"/>
                <w:highlight w:val="none"/>
              </w:rPr>
              <w:t>14</w:t>
            </w:r>
          </w:p>
        </w:tc>
        <w:tc>
          <w:tcPr>
            <w:tcW w:w="1800" w:type="dxa"/>
            <w:vAlign w:val="center"/>
          </w:tcPr>
          <w:p>
            <w:pPr>
              <w:snapToGrid w:val="0"/>
              <w:jc w:val="center"/>
              <w:rPr>
                <w:rFonts w:ascii="宋体"/>
                <w:snapToGrid w:val="0"/>
                <w:color w:val="auto"/>
                <w:kern w:val="0"/>
                <w:highlight w:val="none"/>
              </w:rPr>
            </w:pPr>
            <w:r>
              <w:rPr>
                <w:rFonts w:hint="eastAsia" w:ascii="宋体" w:hAnsi="宋体" w:cs="宋体"/>
                <w:snapToGrid w:val="0"/>
                <w:color w:val="auto"/>
                <w:kern w:val="0"/>
                <w:highlight w:val="none"/>
              </w:rPr>
              <w:t>磋商公告及成交结果公告发布媒体</w:t>
            </w:r>
          </w:p>
        </w:tc>
        <w:tc>
          <w:tcPr>
            <w:tcW w:w="6682" w:type="dxa"/>
            <w:vAlign w:val="center"/>
          </w:tcPr>
          <w:p>
            <w:pPr>
              <w:pStyle w:val="15"/>
              <w:snapToGrid w:val="0"/>
              <w:ind w:firstLine="420" w:firstLineChars="200"/>
              <w:jc w:val="left"/>
              <w:rPr>
                <w:rFonts w:hAnsi="宋体" w:cs="Times New Roman"/>
                <w:color w:val="auto"/>
                <w:kern w:val="0"/>
                <w:highlight w:val="none"/>
              </w:rPr>
            </w:pPr>
            <w:r>
              <w:rPr>
                <w:rFonts w:hint="eastAsia" w:hAnsi="宋体"/>
                <w:color w:val="auto"/>
                <w:kern w:val="0"/>
                <w:highlight w:val="none"/>
              </w:rPr>
              <w:t>浙江省政府采购网、</w:t>
            </w:r>
            <w:r>
              <w:rPr>
                <w:rFonts w:hAnsi="宋体"/>
                <w:color w:val="auto"/>
                <w:kern w:val="0"/>
                <w:highlight w:val="none"/>
              </w:rPr>
              <w:t xml:space="preserve"> </w:t>
            </w:r>
            <w:r>
              <w:rPr>
                <w:rFonts w:hint="eastAsia" w:hAnsi="宋体"/>
                <w:color w:val="auto"/>
                <w:kern w:val="0"/>
                <w:highlight w:val="none"/>
              </w:rPr>
              <w:t>绍兴市上虞区公共资源交易中心网站</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vAlign w:val="center"/>
          </w:tcPr>
          <w:p>
            <w:pPr>
              <w:snapToGrid w:val="0"/>
              <w:jc w:val="center"/>
              <w:rPr>
                <w:rFonts w:ascii="宋体"/>
                <w:color w:val="auto"/>
                <w:highlight w:val="none"/>
              </w:rPr>
            </w:pPr>
            <w:r>
              <w:rPr>
                <w:rFonts w:ascii="宋体" w:hAnsi="宋体" w:cs="宋体"/>
                <w:color w:val="auto"/>
                <w:highlight w:val="none"/>
              </w:rPr>
              <w:t>15</w:t>
            </w:r>
          </w:p>
        </w:tc>
        <w:tc>
          <w:tcPr>
            <w:tcW w:w="1800" w:type="dxa"/>
            <w:vAlign w:val="center"/>
          </w:tcPr>
          <w:p>
            <w:pPr>
              <w:snapToGrid w:val="0"/>
              <w:jc w:val="center"/>
              <w:rPr>
                <w:rFonts w:ascii="宋体"/>
                <w:snapToGrid w:val="0"/>
                <w:color w:val="auto"/>
                <w:kern w:val="0"/>
                <w:highlight w:val="none"/>
              </w:rPr>
            </w:pPr>
            <w:r>
              <w:rPr>
                <w:rFonts w:hint="eastAsia" w:ascii="宋体" w:hAnsi="宋体" w:cs="宋体"/>
                <w:snapToGrid w:val="0"/>
                <w:color w:val="auto"/>
                <w:kern w:val="0"/>
                <w:highlight w:val="none"/>
              </w:rPr>
              <w:t>质疑</w:t>
            </w:r>
          </w:p>
        </w:tc>
        <w:tc>
          <w:tcPr>
            <w:tcW w:w="6682" w:type="dxa"/>
            <w:vAlign w:val="center"/>
          </w:tcPr>
          <w:p>
            <w:pPr>
              <w:ind w:firstLine="420" w:firstLineChars="200"/>
              <w:jc w:val="left"/>
              <w:rPr>
                <w:rFonts w:ascii="宋体"/>
                <w:color w:val="auto"/>
                <w:highlight w:val="none"/>
              </w:rPr>
            </w:pPr>
            <w:r>
              <w:rPr>
                <w:rFonts w:hint="eastAsia" w:ascii="宋体" w:hAnsi="宋体" w:cs="宋体"/>
                <w:color w:val="auto"/>
                <w:highlight w:val="none"/>
              </w:rPr>
              <w:t>根据《中华人民共和国政府采购法》第五十二条、《中华人民共和国政府采购法实施条例》第五十三条、《浙江省政府采购供应商质疑处理办法》的规定：</w:t>
            </w:r>
          </w:p>
          <w:p>
            <w:pPr>
              <w:ind w:firstLine="420" w:firstLineChars="200"/>
              <w:jc w:val="left"/>
              <w:rPr>
                <w:rFonts w:ascii="宋体" w:hAnsi="宋体" w:cs="宋体"/>
                <w:color w:val="auto"/>
                <w:highlight w:val="none"/>
              </w:rPr>
            </w:pPr>
            <w:r>
              <w:rPr>
                <w:rFonts w:hint="eastAsia"/>
                <w:color w:val="auto"/>
                <w:highlight w:val="none"/>
              </w:rPr>
              <w:t>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w:t>
            </w:r>
            <w:r>
              <w:rPr>
                <w:rFonts w:hint="eastAsia" w:ascii="宋体" w:hAnsi="宋体" w:cs="宋体"/>
                <w:color w:val="auto"/>
                <w:highlight w:val="none"/>
              </w:rPr>
              <w:t>供应商在法定质疑期内应一次性提出针对同一采购程序环节的质疑。否则质疑将不予受理。</w:t>
            </w:r>
          </w:p>
          <w:p>
            <w:pPr>
              <w:ind w:firstLine="420" w:firstLineChars="200"/>
              <w:jc w:val="left"/>
              <w:rPr>
                <w:rFonts w:ascii="宋体"/>
                <w:color w:val="auto"/>
                <w:highlight w:val="none"/>
              </w:rPr>
            </w:pPr>
            <w:r>
              <w:rPr>
                <w:rFonts w:hint="eastAsia" w:ascii="宋体" w:hAnsi="宋体" w:cs="宋体"/>
                <w:color w:val="auto"/>
                <w:highlight w:val="none"/>
              </w:rPr>
              <w:t>供应商如认为采购过程使自身的合法权益受到损害的，应于各采购程序环节结束之日起七个工作日内以书面形式向采购机构提出质疑；</w:t>
            </w:r>
          </w:p>
          <w:p>
            <w:pPr>
              <w:snapToGrid w:val="0"/>
              <w:ind w:firstLine="420" w:firstLineChars="200"/>
              <w:jc w:val="left"/>
              <w:rPr>
                <w:rFonts w:ascii="宋体"/>
                <w:snapToGrid w:val="0"/>
                <w:color w:val="auto"/>
                <w:kern w:val="0"/>
                <w:highlight w:val="none"/>
              </w:rPr>
            </w:pPr>
            <w:r>
              <w:rPr>
                <w:rFonts w:hint="eastAsia" w:ascii="宋体" w:hAnsi="宋体" w:cs="宋体"/>
                <w:color w:val="auto"/>
                <w:highlight w:val="none"/>
              </w:rPr>
              <w:t>供应商如认为中标结果使自身的合法权益受到损害的，应于中标或者成交结果公告期限届满之日起七个工作日内以书面形式向采购机构提出质疑</w:t>
            </w:r>
            <w:r>
              <w:rPr>
                <w:rFonts w:hint="eastAsia" w:ascii="宋体" w:hAnsi="宋体" w:cs="宋体"/>
                <w:snapToGrid w:val="0"/>
                <w:color w:val="auto"/>
                <w:kern w:val="0"/>
                <w:highlight w:val="none"/>
              </w:rPr>
              <w:t>。</w:t>
            </w:r>
            <w:r>
              <w:rPr>
                <w:rFonts w:hint="eastAsia"/>
                <w:color w:val="auto"/>
                <w:highlight w:val="none"/>
              </w:rPr>
              <w:t>质疑函范本请到浙江政府采购网下载专区下载</w:t>
            </w:r>
            <w:r>
              <w:rPr>
                <w:rFonts w:hint="eastAsia" w:ascii="宋体" w:hAnsi="宋体" w:cs="宋体"/>
                <w:color w:val="auto"/>
                <w:highlight w:val="none"/>
              </w:rPr>
              <w:t>。</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vAlign w:val="center"/>
          </w:tcPr>
          <w:p>
            <w:pPr>
              <w:snapToGrid w:val="0"/>
              <w:jc w:val="center"/>
              <w:rPr>
                <w:rFonts w:ascii="宋体"/>
                <w:snapToGrid w:val="0"/>
                <w:color w:val="auto"/>
                <w:kern w:val="0"/>
                <w:highlight w:val="none"/>
              </w:rPr>
            </w:pPr>
            <w:r>
              <w:rPr>
                <w:rFonts w:ascii="宋体" w:hAnsi="宋体" w:cs="宋体"/>
                <w:snapToGrid w:val="0"/>
                <w:color w:val="auto"/>
                <w:kern w:val="0"/>
                <w:highlight w:val="none"/>
              </w:rPr>
              <w:t>16</w:t>
            </w:r>
          </w:p>
        </w:tc>
        <w:tc>
          <w:tcPr>
            <w:tcW w:w="1800" w:type="dxa"/>
            <w:vAlign w:val="center"/>
          </w:tcPr>
          <w:p>
            <w:pPr>
              <w:snapToGrid w:val="0"/>
              <w:jc w:val="center"/>
              <w:rPr>
                <w:rFonts w:ascii="宋体"/>
                <w:snapToGrid w:val="0"/>
                <w:color w:val="auto"/>
                <w:kern w:val="0"/>
                <w:highlight w:val="none"/>
              </w:rPr>
            </w:pPr>
            <w:r>
              <w:rPr>
                <w:rFonts w:hint="eastAsia" w:ascii="宋体" w:hAnsi="宋体" w:cs="宋体"/>
                <w:snapToGrid w:val="0"/>
                <w:color w:val="auto"/>
                <w:kern w:val="0"/>
                <w:highlight w:val="none"/>
              </w:rPr>
              <w:t>投诉</w:t>
            </w:r>
          </w:p>
        </w:tc>
        <w:tc>
          <w:tcPr>
            <w:tcW w:w="6682" w:type="dxa"/>
            <w:vAlign w:val="center"/>
          </w:tcPr>
          <w:p>
            <w:pPr>
              <w:snapToGrid w:val="0"/>
              <w:ind w:firstLine="420" w:firstLineChars="200"/>
              <w:jc w:val="left"/>
              <w:rPr>
                <w:rFonts w:ascii="宋体"/>
                <w:snapToGrid w:val="0"/>
                <w:color w:val="auto"/>
                <w:kern w:val="0"/>
                <w:highlight w:val="none"/>
              </w:rPr>
            </w:pPr>
            <w:r>
              <w:rPr>
                <w:rFonts w:hint="eastAsia" w:ascii="宋体" w:hAnsi="宋体" w:cs="宋体"/>
                <w:snapToGrid w:val="0"/>
                <w:color w:val="auto"/>
                <w:kern w:val="0"/>
                <w:highlight w:val="none"/>
              </w:rPr>
              <w:t>根据《政府采购法》第五十五条的规定，质疑供应商对采购人、招标代理机构的答复不满意或者采购人、招标代理机构未在规定的时间内作出答复的，可以在答复期满后十五个工作日内向同级政府采购监督管理部门投诉。</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vAlign w:val="center"/>
          </w:tcPr>
          <w:p>
            <w:pPr>
              <w:snapToGrid w:val="0"/>
              <w:jc w:val="center"/>
              <w:rPr>
                <w:rFonts w:ascii="宋体"/>
                <w:snapToGrid w:val="0"/>
                <w:color w:val="auto"/>
                <w:kern w:val="0"/>
                <w:highlight w:val="none"/>
              </w:rPr>
            </w:pPr>
            <w:r>
              <w:rPr>
                <w:rFonts w:ascii="宋体" w:hAnsi="宋体" w:cs="宋体"/>
                <w:snapToGrid w:val="0"/>
                <w:color w:val="auto"/>
                <w:kern w:val="0"/>
                <w:highlight w:val="none"/>
              </w:rPr>
              <w:t>17</w:t>
            </w:r>
          </w:p>
        </w:tc>
        <w:tc>
          <w:tcPr>
            <w:tcW w:w="1800" w:type="dxa"/>
            <w:vAlign w:val="center"/>
          </w:tcPr>
          <w:p>
            <w:pPr>
              <w:snapToGrid w:val="0"/>
              <w:jc w:val="center"/>
              <w:rPr>
                <w:rFonts w:ascii="宋体"/>
                <w:snapToGrid w:val="0"/>
                <w:color w:val="auto"/>
                <w:kern w:val="0"/>
                <w:highlight w:val="none"/>
              </w:rPr>
            </w:pPr>
            <w:r>
              <w:rPr>
                <w:rFonts w:hint="eastAsia" w:ascii="宋体" w:hAnsi="宋体" w:cs="宋体"/>
                <w:snapToGrid w:val="0"/>
                <w:color w:val="auto"/>
                <w:kern w:val="0"/>
                <w:highlight w:val="none"/>
              </w:rPr>
              <w:t>特别说明</w:t>
            </w:r>
          </w:p>
        </w:tc>
        <w:tc>
          <w:tcPr>
            <w:tcW w:w="6682" w:type="dxa"/>
            <w:vAlign w:val="center"/>
          </w:tcPr>
          <w:p>
            <w:pPr>
              <w:pStyle w:val="15"/>
              <w:snapToGrid w:val="0"/>
              <w:ind w:firstLine="420" w:firstLineChars="200"/>
              <w:jc w:val="left"/>
              <w:rPr>
                <w:rFonts w:hAnsi="宋体" w:cs="Times New Roman"/>
                <w:color w:val="auto"/>
                <w:kern w:val="0"/>
                <w:highlight w:val="none"/>
              </w:rPr>
            </w:pPr>
            <w:r>
              <w:rPr>
                <w:rFonts w:hint="eastAsia" w:hAnsi="宋体"/>
                <w:color w:val="auto"/>
                <w:kern w:val="0"/>
                <w:highlight w:val="none"/>
              </w:rPr>
              <w:t>供应商应无条件的、认真仔细的阅读本磋商文件及其澄清答疑、修改答复的补充文件，严格按照磋商文件及补充文件的规定和要求编制响应文件。在编制响应文件过程中，应严格遵循实事求是、诚信投标的原则，针对磋商文件中的采购需求、合同条款等各项内容进行确认，如有偏离，应如实填写响应偏离表。</w:t>
            </w:r>
          </w:p>
          <w:p>
            <w:pPr>
              <w:pStyle w:val="15"/>
              <w:snapToGrid w:val="0"/>
              <w:ind w:firstLine="420" w:firstLineChars="200"/>
              <w:jc w:val="left"/>
              <w:rPr>
                <w:rFonts w:hAnsi="宋体" w:cs="Times New Roman"/>
                <w:color w:val="auto"/>
                <w:kern w:val="0"/>
                <w:highlight w:val="none"/>
              </w:rPr>
            </w:pPr>
            <w:r>
              <w:rPr>
                <w:rFonts w:hint="eastAsia" w:hAnsi="宋体"/>
                <w:color w:val="auto"/>
                <w:kern w:val="0"/>
                <w:highlight w:val="none"/>
              </w:rPr>
              <w:t>该项目结果公告期间，供应商不得通过非正当途径、更不得通过非正当手段获取法律法规规定评标委员会（包括其他相关人员）应当保密的相关内容。即便由此获得资料并作为向采购人或招标代理机构或监督管理部门提出异（质）疑或投诉或法院起诉的理由，均属于非法索取的依据。</w:t>
            </w:r>
          </w:p>
          <w:p>
            <w:pPr>
              <w:pStyle w:val="15"/>
              <w:snapToGrid w:val="0"/>
              <w:ind w:firstLine="420" w:firstLineChars="200"/>
              <w:jc w:val="left"/>
              <w:rPr>
                <w:rFonts w:hAnsi="宋体" w:cs="Times New Roman"/>
                <w:color w:val="auto"/>
                <w:kern w:val="0"/>
                <w:highlight w:val="none"/>
              </w:rPr>
            </w:pPr>
            <w:r>
              <w:rPr>
                <w:rFonts w:hint="eastAsia" w:hAnsi="宋体"/>
                <w:color w:val="auto"/>
                <w:kern w:val="0"/>
                <w:highlight w:val="none"/>
              </w:rPr>
              <w:t>质疑、投诉人未按前列进行质疑、投诉（申诉），均属于扰乱政府采购市场不良行为。</w:t>
            </w:r>
          </w:p>
          <w:p>
            <w:pPr>
              <w:pStyle w:val="15"/>
              <w:snapToGrid w:val="0"/>
              <w:ind w:firstLine="420" w:firstLineChars="200"/>
              <w:jc w:val="left"/>
              <w:rPr>
                <w:rFonts w:hAnsi="宋体" w:cs="Times New Roman"/>
                <w:b/>
                <w:bCs/>
                <w:color w:val="auto"/>
                <w:kern w:val="0"/>
                <w:highlight w:val="none"/>
              </w:rPr>
            </w:pPr>
            <w:r>
              <w:rPr>
                <w:rFonts w:hint="eastAsia" w:hAnsi="宋体"/>
                <w:color w:val="auto"/>
                <w:kern w:val="0"/>
                <w:highlight w:val="none"/>
              </w:rPr>
              <w:t>磋商文件中凡标注“</w:t>
            </w:r>
            <w:r>
              <w:rPr>
                <w:rFonts w:hint="eastAsia" w:hAnsi="宋体"/>
                <w:color w:val="auto"/>
                <w:highlight w:val="none"/>
              </w:rPr>
              <w:t>★</w:t>
            </w:r>
            <w:r>
              <w:rPr>
                <w:rFonts w:hint="eastAsia" w:hAnsi="宋体"/>
                <w:color w:val="auto"/>
                <w:kern w:val="0"/>
                <w:highlight w:val="none"/>
              </w:rPr>
              <w:t>”的条款均为实质性要求，不响应的响应文件将作无效标处理。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29" w:hRule="atLeast"/>
          <w:jc w:val="center"/>
        </w:trPr>
        <w:tc>
          <w:tcPr>
            <w:tcW w:w="648" w:type="dxa"/>
            <w:vAlign w:val="center"/>
          </w:tcPr>
          <w:p>
            <w:pPr>
              <w:snapToGrid w:val="0"/>
              <w:jc w:val="center"/>
              <w:rPr>
                <w:rFonts w:ascii="宋体"/>
                <w:snapToGrid w:val="0"/>
                <w:color w:val="auto"/>
                <w:kern w:val="0"/>
                <w:highlight w:val="none"/>
              </w:rPr>
            </w:pPr>
            <w:r>
              <w:rPr>
                <w:rFonts w:ascii="宋体" w:hAnsi="宋体" w:cs="宋体"/>
                <w:snapToGrid w:val="0"/>
                <w:color w:val="auto"/>
                <w:kern w:val="0"/>
                <w:highlight w:val="none"/>
              </w:rPr>
              <w:t>1</w:t>
            </w:r>
            <w:r>
              <w:rPr>
                <w:rFonts w:hint="eastAsia" w:ascii="宋体" w:hAnsi="宋体" w:cs="宋体"/>
                <w:snapToGrid w:val="0"/>
                <w:color w:val="auto"/>
                <w:kern w:val="0"/>
                <w:highlight w:val="none"/>
              </w:rPr>
              <w:t>8</w:t>
            </w:r>
          </w:p>
        </w:tc>
        <w:tc>
          <w:tcPr>
            <w:tcW w:w="1800" w:type="dxa"/>
            <w:vAlign w:val="center"/>
          </w:tcPr>
          <w:p>
            <w:pPr>
              <w:snapToGrid w:val="0"/>
              <w:jc w:val="center"/>
              <w:rPr>
                <w:rFonts w:ascii="宋体"/>
                <w:color w:val="auto"/>
                <w:highlight w:val="none"/>
              </w:rPr>
            </w:pPr>
            <w:r>
              <w:rPr>
                <w:rFonts w:hint="eastAsia" w:ascii="宋体" w:hAnsi="宋体" w:cs="宋体"/>
                <w:color w:val="auto"/>
                <w:highlight w:val="none"/>
              </w:rPr>
              <w:t>支</w:t>
            </w:r>
          </w:p>
          <w:p>
            <w:pPr>
              <w:snapToGrid w:val="0"/>
              <w:jc w:val="center"/>
              <w:rPr>
                <w:rFonts w:ascii="宋体"/>
                <w:color w:val="auto"/>
                <w:highlight w:val="none"/>
              </w:rPr>
            </w:pPr>
            <w:r>
              <w:rPr>
                <w:rFonts w:hint="eastAsia" w:ascii="宋体" w:hAnsi="宋体" w:cs="宋体"/>
                <w:color w:val="auto"/>
                <w:highlight w:val="none"/>
              </w:rPr>
              <w:t>持</w:t>
            </w:r>
          </w:p>
          <w:p>
            <w:pPr>
              <w:snapToGrid w:val="0"/>
              <w:jc w:val="center"/>
              <w:rPr>
                <w:rFonts w:ascii="宋体"/>
                <w:color w:val="auto"/>
                <w:highlight w:val="none"/>
              </w:rPr>
            </w:pPr>
            <w:r>
              <w:rPr>
                <w:rFonts w:hint="eastAsia" w:ascii="宋体" w:hAnsi="宋体" w:cs="宋体"/>
                <w:color w:val="auto"/>
                <w:highlight w:val="none"/>
              </w:rPr>
              <w:t>中</w:t>
            </w:r>
          </w:p>
          <w:p>
            <w:pPr>
              <w:snapToGrid w:val="0"/>
              <w:jc w:val="center"/>
              <w:rPr>
                <w:rFonts w:ascii="宋体"/>
                <w:color w:val="auto"/>
                <w:highlight w:val="none"/>
              </w:rPr>
            </w:pPr>
            <w:r>
              <w:rPr>
                <w:rFonts w:hint="eastAsia" w:ascii="宋体" w:hAnsi="宋体" w:cs="宋体"/>
                <w:color w:val="auto"/>
                <w:highlight w:val="none"/>
              </w:rPr>
              <w:t>小</w:t>
            </w:r>
          </w:p>
          <w:p>
            <w:pPr>
              <w:snapToGrid w:val="0"/>
              <w:jc w:val="center"/>
              <w:rPr>
                <w:rFonts w:ascii="宋体"/>
                <w:color w:val="auto"/>
                <w:highlight w:val="none"/>
              </w:rPr>
            </w:pPr>
            <w:r>
              <w:rPr>
                <w:rFonts w:hint="eastAsia" w:ascii="宋体" w:hAnsi="宋体" w:cs="宋体"/>
                <w:color w:val="auto"/>
                <w:highlight w:val="none"/>
              </w:rPr>
              <w:t>企</w:t>
            </w:r>
          </w:p>
          <w:p>
            <w:pPr>
              <w:snapToGrid w:val="0"/>
              <w:jc w:val="center"/>
              <w:rPr>
                <w:rFonts w:ascii="宋体"/>
                <w:color w:val="auto"/>
                <w:highlight w:val="none"/>
              </w:rPr>
            </w:pPr>
            <w:r>
              <w:rPr>
                <w:rFonts w:hint="eastAsia" w:ascii="宋体" w:hAnsi="宋体" w:cs="宋体"/>
                <w:color w:val="auto"/>
                <w:highlight w:val="none"/>
              </w:rPr>
              <w:t>业</w:t>
            </w:r>
          </w:p>
          <w:p>
            <w:pPr>
              <w:snapToGrid w:val="0"/>
              <w:jc w:val="center"/>
              <w:rPr>
                <w:rFonts w:ascii="宋体"/>
                <w:color w:val="auto"/>
                <w:highlight w:val="none"/>
              </w:rPr>
            </w:pPr>
          </w:p>
        </w:tc>
        <w:tc>
          <w:tcPr>
            <w:tcW w:w="6682" w:type="dxa"/>
            <w:vAlign w:val="center"/>
          </w:tcPr>
          <w:p>
            <w:pPr>
              <w:ind w:firstLine="420" w:firstLineChars="200"/>
              <w:rPr>
                <w:rFonts w:ascii="宋体" w:hAnsi="宋体" w:cs="宋体"/>
                <w:color w:val="auto"/>
                <w:highlight w:val="none"/>
              </w:rPr>
            </w:pPr>
            <w:r>
              <w:rPr>
                <w:rFonts w:hint="eastAsia" w:ascii="宋体" w:hAnsi="宋体" w:cs="宋体"/>
                <w:color w:val="auto"/>
                <w:highlight w:val="none"/>
              </w:rPr>
              <w:t>小微企业是指在中华人民共和国境内依法设立，依据国务院批准的中小企业划分标准确定的小型企业和微型企业，但与大企业的负责人为同一人，或者与大企业存在直接控股、管理关系的除外。</w:t>
            </w:r>
          </w:p>
          <w:p>
            <w:pPr>
              <w:ind w:firstLine="420" w:firstLineChars="200"/>
              <w:rPr>
                <w:rFonts w:ascii="宋体" w:hAnsi="宋体" w:cs="宋体"/>
                <w:color w:val="auto"/>
                <w:highlight w:val="none"/>
              </w:rPr>
            </w:pPr>
            <w:r>
              <w:rPr>
                <w:rFonts w:hint="eastAsia" w:ascii="宋体" w:hAnsi="宋体" w:cs="宋体"/>
                <w:color w:val="auto"/>
                <w:highlight w:val="none"/>
              </w:rPr>
              <w:t>符合中小企业划分标准的个体工商户，在政府采购活动中视同中小企业。</w:t>
            </w:r>
          </w:p>
          <w:p>
            <w:pPr>
              <w:bidi w:val="0"/>
              <w:spacing w:line="240" w:lineRule="auto"/>
              <w:ind w:firstLine="420" w:firstLineChars="200"/>
              <w:rPr>
                <w:color w:val="auto"/>
                <w:highlight w:val="none"/>
              </w:rPr>
            </w:pPr>
            <w:r>
              <w:rPr>
                <w:rFonts w:hint="eastAsia"/>
                <w:color w:val="auto"/>
                <w:highlight w:val="none"/>
              </w:rPr>
              <w:t>在货物采购项目中，货物由小微企业制造，即货物由小微企业生产且使用该小微企业商号或者注册商标。供应商提供的货物既有中小企业制造货物，也有大型企业制造货物的，不享受中小企业扶持政策。</w:t>
            </w:r>
          </w:p>
          <w:p>
            <w:pPr>
              <w:bidi w:val="0"/>
              <w:spacing w:line="240" w:lineRule="auto"/>
              <w:ind w:firstLine="420" w:firstLineChars="200"/>
              <w:rPr>
                <w:color w:val="auto"/>
                <w:highlight w:val="none"/>
              </w:rPr>
            </w:pPr>
            <w:r>
              <w:rPr>
                <w:color w:val="auto"/>
                <w:highlight w:val="none"/>
              </w:rPr>
              <w:t>在服务采购项目中，服务由小微企业承接，即提供服务的人员为小微企业依照《中华人民共和国劳动合同法》订立劳动合同的从业人员。</w:t>
            </w:r>
          </w:p>
          <w:p>
            <w:pPr>
              <w:pStyle w:val="3"/>
              <w:ind w:firstLine="420" w:firstLineChars="200"/>
              <w:rPr>
                <w:color w:val="auto"/>
                <w:highlight w:val="none"/>
              </w:rPr>
            </w:pPr>
            <w:bookmarkStart w:id="10" w:name="_Toc14212"/>
            <w:bookmarkStart w:id="11" w:name="_Toc16526"/>
            <w:r>
              <w:rPr>
                <w:rFonts w:hint="eastAsia" w:ascii="Times New Roman"/>
                <w:b w:val="0"/>
                <w:color w:val="auto"/>
                <w:sz w:val="21"/>
                <w:szCs w:val="20"/>
                <w:highlight w:val="none"/>
              </w:rPr>
              <w:t>联合体各方均为小型、微型企业的，联合体视同为小型、微型企业。</w:t>
            </w:r>
            <w:bookmarkEnd w:id="10"/>
            <w:bookmarkEnd w:id="11"/>
          </w:p>
          <w:p>
            <w:pPr>
              <w:ind w:firstLine="420" w:firstLineChars="200"/>
              <w:rPr>
                <w:rFonts w:ascii="宋体" w:hAnsi="宋体" w:cs="宋体"/>
                <w:color w:val="auto"/>
                <w:highlight w:val="none"/>
              </w:rPr>
            </w:pPr>
            <w:r>
              <w:rPr>
                <w:rFonts w:hint="eastAsia" w:ascii="宋体" w:hAnsi="宋体" w:cs="宋体"/>
                <w:color w:val="auto"/>
                <w:highlight w:val="none"/>
              </w:rPr>
              <w:t>符合上述条件的中小微型企业应按照招标文件附件11的格式要求提供《中小企业声明函》。符合《关于促进残疾人就业政府采购政策的通知》（财库〔2017〕141号）规定的条件并提供《残疾人福利性单位声明函》（附件13）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根据浙江省财政厅发布的《浙江省财政厅关于进一步加大政府采购支持中小企业力度 助力扎实稳住经济的通知》（浙财采监〔2022〕8号）规定，货物和服务项目中未预留份额专门面向中小企业采购的，以及预留份额项目中的非预留部分采购包，采购单位、采购代理机构应结合项目实际，对符合规定的小微企业报价原则上按最高优惠幅度20%给予扣除，用扣除后的价格参加评审；对于联合协议或者分包意向协议约定小微企业的合同份额占到合同总金额30%以上的，采购单位、采购代理机构应结合项目实际，对联合体或者大中型企业的报价原则上按最高优惠幅度6%给予扣除，用扣除后的价格参加评审。</w:t>
            </w:r>
          </w:p>
          <w:p>
            <w:pPr>
              <w:ind w:firstLine="420" w:firstLineChars="200"/>
              <w:rPr>
                <w:rFonts w:ascii="宋体"/>
                <w:color w:val="auto"/>
                <w:highlight w:val="none"/>
              </w:rPr>
            </w:pPr>
            <w:r>
              <w:rPr>
                <w:rFonts w:hint="eastAsia" w:ascii="宋体" w:hAnsi="宋体" w:eastAsia="宋体" w:cs="宋体"/>
                <w:color w:val="auto"/>
                <w:sz w:val="21"/>
                <w:szCs w:val="21"/>
                <w:highlight w:val="none"/>
              </w:rPr>
              <w:t>组成联合体或者接受分包的小微企业与联合体内其他企业、分包企业之间存在直接控股、管理关系的，不享受价格扣除优惠政策。</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37" w:hRule="atLeast"/>
          <w:jc w:val="center"/>
        </w:trPr>
        <w:tc>
          <w:tcPr>
            <w:tcW w:w="648" w:type="dxa"/>
            <w:vAlign w:val="center"/>
          </w:tcPr>
          <w:p>
            <w:pPr>
              <w:snapToGrid w:val="0"/>
              <w:jc w:val="center"/>
              <w:rPr>
                <w:rFonts w:hint="default" w:ascii="宋体" w:hAnsi="宋体" w:eastAsia="宋体" w:cs="宋体"/>
                <w:snapToGrid w:val="0"/>
                <w:color w:val="auto"/>
                <w:kern w:val="0"/>
                <w:highlight w:val="none"/>
                <w:lang w:val="en-US" w:eastAsia="zh-CN"/>
              </w:rPr>
            </w:pPr>
            <w:r>
              <w:rPr>
                <w:rFonts w:hint="eastAsia" w:ascii="宋体" w:hAnsi="宋体" w:cs="宋体"/>
                <w:snapToGrid w:val="0"/>
                <w:color w:val="auto"/>
                <w:kern w:val="0"/>
                <w:highlight w:val="none"/>
                <w:lang w:val="en-US" w:eastAsia="zh-CN"/>
              </w:rPr>
              <w:t>19</w:t>
            </w:r>
          </w:p>
        </w:tc>
        <w:tc>
          <w:tcPr>
            <w:tcW w:w="1800" w:type="dxa"/>
            <w:vAlign w:val="center"/>
          </w:tcPr>
          <w:p>
            <w:pPr>
              <w:snapToGrid w:val="0"/>
              <w:jc w:val="center"/>
              <w:rPr>
                <w:rFonts w:ascii="宋体"/>
                <w:b w:val="0"/>
                <w:bCs w:val="0"/>
                <w:color w:val="auto"/>
                <w:highlight w:val="none"/>
              </w:rPr>
            </w:pPr>
            <w:r>
              <w:rPr>
                <w:rFonts w:hint="eastAsia" w:ascii="宋体" w:hAnsi="宋体" w:cs="宋体"/>
                <w:b w:val="0"/>
                <w:bCs w:val="0"/>
                <w:color w:val="auto"/>
                <w:highlight w:val="none"/>
              </w:rPr>
              <w:t>是否允许分包</w:t>
            </w:r>
          </w:p>
        </w:tc>
        <w:tc>
          <w:tcPr>
            <w:tcW w:w="6682" w:type="dxa"/>
            <w:vAlign w:val="center"/>
          </w:tcPr>
          <w:p>
            <w:pPr>
              <w:ind w:firstLine="420" w:firstLineChars="200"/>
              <w:jc w:val="left"/>
              <w:rPr>
                <w:rFonts w:ascii="宋体"/>
                <w:b w:val="0"/>
                <w:bCs w:val="0"/>
                <w:color w:val="auto"/>
                <w:sz w:val="21"/>
                <w:szCs w:val="21"/>
                <w:highlight w:val="none"/>
              </w:rPr>
            </w:pPr>
            <w:r>
              <w:rPr>
                <w:rFonts w:hint="eastAsia" w:ascii="宋体" w:hAnsi="宋体" w:cs="宋体"/>
                <w:b w:val="0"/>
                <w:bCs w:val="0"/>
                <w:color w:val="auto"/>
                <w:sz w:val="21"/>
                <w:szCs w:val="21"/>
                <w:highlight w:val="none"/>
              </w:rPr>
              <w:t>本项目</w:t>
            </w:r>
            <w:r>
              <w:rPr>
                <w:rFonts w:hint="eastAsia" w:ascii="宋体" w:hAnsi="宋体" w:cs="宋体"/>
                <w:b w:val="0"/>
                <w:bCs w:val="0"/>
                <w:color w:val="auto"/>
                <w:sz w:val="21"/>
                <w:szCs w:val="21"/>
                <w:highlight w:val="none"/>
                <w:u w:val="single"/>
              </w:rPr>
              <w:t>不允许</w:t>
            </w:r>
            <w:r>
              <w:rPr>
                <w:rFonts w:hint="eastAsia" w:ascii="宋体" w:hAnsi="宋体" w:cs="宋体"/>
                <w:b w:val="0"/>
                <w:bCs w:val="0"/>
                <w:color w:val="auto"/>
                <w:sz w:val="21"/>
                <w:szCs w:val="21"/>
                <w:highlight w:val="none"/>
              </w:rPr>
              <w:t>分包</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32" w:hRule="atLeast"/>
          <w:jc w:val="center"/>
        </w:trPr>
        <w:tc>
          <w:tcPr>
            <w:tcW w:w="648" w:type="dxa"/>
            <w:vAlign w:val="center"/>
          </w:tcPr>
          <w:p>
            <w:pPr>
              <w:snapToGrid w:val="0"/>
              <w:jc w:val="center"/>
              <w:rPr>
                <w:rFonts w:hint="eastAsia" w:ascii="宋体" w:eastAsia="宋体"/>
                <w:snapToGrid w:val="0"/>
                <w:color w:val="auto"/>
                <w:kern w:val="0"/>
                <w:highlight w:val="none"/>
                <w:lang w:eastAsia="zh-CN"/>
              </w:rPr>
            </w:pPr>
            <w:r>
              <w:rPr>
                <w:rFonts w:hint="eastAsia" w:ascii="宋体" w:hAnsi="宋体" w:cs="宋体"/>
                <w:snapToGrid w:val="0"/>
                <w:color w:val="auto"/>
                <w:kern w:val="0"/>
                <w:highlight w:val="none"/>
              </w:rPr>
              <w:t>2</w:t>
            </w:r>
            <w:r>
              <w:rPr>
                <w:rFonts w:hint="eastAsia" w:ascii="宋体" w:hAnsi="宋体" w:cs="宋体"/>
                <w:snapToGrid w:val="0"/>
                <w:color w:val="auto"/>
                <w:kern w:val="0"/>
                <w:highlight w:val="none"/>
                <w:lang w:val="en-US" w:eastAsia="zh-CN"/>
              </w:rPr>
              <w:t>0</w:t>
            </w:r>
          </w:p>
        </w:tc>
        <w:tc>
          <w:tcPr>
            <w:tcW w:w="1800" w:type="dxa"/>
            <w:tcBorders>
              <w:top w:val="single" w:color="auto" w:sz="4" w:space="0"/>
            </w:tcBorders>
            <w:vAlign w:val="center"/>
          </w:tcPr>
          <w:p>
            <w:pPr>
              <w:snapToGrid w:val="0"/>
              <w:jc w:val="center"/>
              <w:rPr>
                <w:rFonts w:ascii="宋体"/>
                <w:b w:val="0"/>
                <w:bCs w:val="0"/>
                <w:color w:val="auto"/>
                <w:highlight w:val="none"/>
              </w:rPr>
            </w:pPr>
            <w:r>
              <w:rPr>
                <w:rFonts w:hint="eastAsia" w:ascii="宋体" w:hAnsi="宋体" w:cs="宋体"/>
                <w:b w:val="0"/>
                <w:bCs w:val="0"/>
                <w:color w:val="auto"/>
                <w:highlight w:val="none"/>
              </w:rPr>
              <w:t>是否提供演示</w:t>
            </w:r>
          </w:p>
        </w:tc>
        <w:tc>
          <w:tcPr>
            <w:tcW w:w="6682" w:type="dxa"/>
            <w:tcBorders>
              <w:top w:val="single" w:color="auto" w:sz="4" w:space="0"/>
            </w:tcBorders>
            <w:vAlign w:val="center"/>
          </w:tcPr>
          <w:p>
            <w:pPr>
              <w:spacing w:line="240" w:lineRule="auto"/>
              <w:ind w:firstLine="420" w:firstLineChars="200"/>
              <w:jc w:val="left"/>
              <w:rPr>
                <w:rFonts w:ascii="宋体"/>
                <w:b w:val="0"/>
                <w:bCs w:val="0"/>
                <w:color w:val="auto"/>
                <w:sz w:val="21"/>
                <w:szCs w:val="21"/>
                <w:highlight w:val="none"/>
              </w:rPr>
            </w:pPr>
            <w:r>
              <w:rPr>
                <w:rFonts w:hint="eastAsia" w:ascii="宋体" w:hAnsi="宋体" w:cs="宋体"/>
                <w:b w:val="0"/>
                <w:bCs w:val="0"/>
                <w:color w:val="auto"/>
                <w:sz w:val="21"/>
                <w:szCs w:val="21"/>
                <w:highlight w:val="none"/>
              </w:rPr>
              <w:t>本项目</w:t>
            </w:r>
            <w:r>
              <w:rPr>
                <w:rFonts w:hint="eastAsia" w:ascii="宋体" w:hAnsi="宋体" w:cs="宋体"/>
                <w:b w:val="0"/>
                <w:bCs w:val="0"/>
                <w:color w:val="auto"/>
                <w:sz w:val="21"/>
                <w:szCs w:val="21"/>
                <w:highlight w:val="none"/>
                <w:u w:val="single"/>
                <w:lang w:val="en-US" w:eastAsia="zh-CN"/>
              </w:rPr>
              <w:t>不</w:t>
            </w:r>
            <w:r>
              <w:rPr>
                <w:rFonts w:hint="eastAsia" w:ascii="宋体" w:hAnsi="宋体" w:cs="宋体"/>
                <w:b w:val="0"/>
                <w:bCs w:val="0"/>
                <w:color w:val="auto"/>
                <w:sz w:val="21"/>
                <w:szCs w:val="21"/>
                <w:highlight w:val="none"/>
                <w:u w:val="single"/>
              </w:rPr>
              <w:t>需要</w:t>
            </w:r>
            <w:r>
              <w:rPr>
                <w:rFonts w:hint="eastAsia" w:ascii="宋体" w:hAnsi="宋体" w:cs="宋体"/>
                <w:b w:val="0"/>
                <w:bCs w:val="0"/>
                <w:color w:val="auto"/>
                <w:sz w:val="21"/>
                <w:szCs w:val="21"/>
                <w:highlight w:val="none"/>
              </w:rPr>
              <w:t>演示。</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vMerge w:val="restart"/>
            <w:vAlign w:val="center"/>
          </w:tcPr>
          <w:p>
            <w:pPr>
              <w:snapToGrid w:val="0"/>
              <w:jc w:val="center"/>
              <w:rPr>
                <w:rFonts w:hint="default" w:ascii="宋体" w:hAnsi="宋体" w:eastAsia="宋体" w:cs="宋体"/>
                <w:snapToGrid w:val="0"/>
                <w:color w:val="auto"/>
                <w:kern w:val="0"/>
                <w:highlight w:val="none"/>
                <w:lang w:val="en-US" w:eastAsia="zh-CN"/>
              </w:rPr>
            </w:pPr>
            <w:r>
              <w:rPr>
                <w:rFonts w:hint="eastAsia" w:ascii="宋体" w:hAnsi="宋体" w:cs="宋体"/>
                <w:snapToGrid w:val="0"/>
                <w:color w:val="auto"/>
                <w:kern w:val="0"/>
                <w:highlight w:val="none"/>
                <w:lang w:val="en-US" w:eastAsia="zh-CN"/>
              </w:rPr>
              <w:t>21</w:t>
            </w:r>
          </w:p>
        </w:tc>
        <w:tc>
          <w:tcPr>
            <w:tcW w:w="1800" w:type="dxa"/>
            <w:vMerge w:val="restart"/>
            <w:vAlign w:val="center"/>
          </w:tcPr>
          <w:p>
            <w:pPr>
              <w:snapToGrid w:val="0"/>
              <w:spacing w:line="24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预付款</w:t>
            </w:r>
          </w:p>
        </w:tc>
        <w:tc>
          <w:tcPr>
            <w:tcW w:w="6682" w:type="dxa"/>
            <w:vAlign w:val="center"/>
          </w:tcPr>
          <w:p>
            <w:pPr>
              <w:ind w:firstLine="420" w:firstLineChars="200"/>
              <w:jc w:val="left"/>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本项目</w:t>
            </w:r>
            <w:r>
              <w:rPr>
                <w:rFonts w:hint="eastAsia" w:ascii="宋体" w:hAnsi="宋体" w:cs="宋体"/>
                <w:color w:val="auto"/>
                <w:sz w:val="20"/>
                <w:szCs w:val="20"/>
                <w:highlight w:val="none"/>
                <w:lang w:eastAsia="zh-CN"/>
              </w:rPr>
              <w:t>█</w:t>
            </w:r>
            <w:r>
              <w:rPr>
                <w:rFonts w:hint="eastAsia" w:ascii="宋体" w:hAnsi="宋体" w:eastAsia="宋体" w:cs="宋体"/>
                <w:color w:val="auto"/>
                <w:sz w:val="21"/>
                <w:szCs w:val="21"/>
                <w:highlight w:val="none"/>
                <w:lang w:val="en-US" w:eastAsia="zh-CN"/>
              </w:rPr>
              <w:t>是</w:t>
            </w:r>
            <w:r>
              <w:rPr>
                <w:rFonts w:hint="eastAsia" w:ascii="宋体" w:hAnsi="宋体" w:eastAsia="宋体" w:cs="宋体"/>
                <w:color w:val="auto"/>
                <w:sz w:val="21"/>
                <w:szCs w:val="21"/>
                <w:highlight w:val="none"/>
              </w:rPr>
              <w:t xml:space="preserve"> </w:t>
            </w:r>
            <w:r>
              <w:rPr>
                <w:rFonts w:hint="eastAsia" w:ascii="宋体" w:hAnsi="宋体" w:cs="宋体"/>
                <w:color w:val="auto"/>
                <w:sz w:val="21"/>
                <w:szCs w:val="21"/>
                <w:highlight w:val="none"/>
                <w:lang w:val="en-US" w:eastAsia="zh-CN"/>
              </w:rPr>
              <w:t>口</w:t>
            </w:r>
            <w:r>
              <w:rPr>
                <w:rFonts w:hint="eastAsia" w:ascii="宋体" w:hAnsi="宋体" w:eastAsia="宋体" w:cs="宋体"/>
                <w:color w:val="auto"/>
                <w:sz w:val="21"/>
                <w:szCs w:val="21"/>
                <w:highlight w:val="none"/>
                <w:lang w:val="en-US" w:eastAsia="zh-CN"/>
              </w:rPr>
              <w:t>否 涉及预付款，预付款比例为</w:t>
            </w:r>
            <w:r>
              <w:rPr>
                <w:rFonts w:hint="eastAsia" w:ascii="宋体" w:hAnsi="宋体" w:eastAsia="宋体" w:cs="宋体"/>
                <w:color w:val="auto"/>
                <w:sz w:val="21"/>
                <w:szCs w:val="21"/>
                <w:highlight w:val="none"/>
                <w:u w:val="single"/>
                <w:lang w:val="en-US" w:eastAsia="zh-CN"/>
              </w:rPr>
              <w:t xml:space="preserve"> </w:t>
            </w:r>
            <w:r>
              <w:rPr>
                <w:rFonts w:hint="eastAsia" w:ascii="宋体" w:hAnsi="宋体" w:cs="宋体"/>
                <w:color w:val="auto"/>
                <w:sz w:val="21"/>
                <w:szCs w:val="21"/>
                <w:highlight w:val="none"/>
                <w:u w:val="single"/>
                <w:lang w:val="en-US" w:eastAsia="zh-CN"/>
              </w:rPr>
              <w:t>4</w:t>
            </w:r>
            <w:r>
              <w:rPr>
                <w:rFonts w:hint="eastAsia" w:ascii="宋体" w:hAnsi="宋体" w:eastAsia="宋体" w:cs="宋体"/>
                <w:color w:val="auto"/>
                <w:sz w:val="21"/>
                <w:szCs w:val="21"/>
                <w:highlight w:val="none"/>
                <w:u w:val="single"/>
                <w:lang w:val="en-US" w:eastAsia="zh-CN"/>
              </w:rPr>
              <w:t xml:space="preserve">0 </w:t>
            </w:r>
            <w:r>
              <w:rPr>
                <w:rFonts w:hint="eastAsia" w:ascii="宋体" w:hAnsi="宋体" w:eastAsia="宋体" w:cs="宋体"/>
                <w:color w:val="auto"/>
                <w:sz w:val="21"/>
                <w:szCs w:val="21"/>
                <w:highlight w:val="none"/>
                <w:lang w:val="en-US" w:eastAsia="zh-CN"/>
              </w:rPr>
              <w:t>%</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vMerge w:val="continue"/>
            <w:vAlign w:val="center"/>
          </w:tcPr>
          <w:p>
            <w:pPr>
              <w:snapToGrid w:val="0"/>
              <w:jc w:val="center"/>
              <w:rPr>
                <w:rFonts w:hint="eastAsia" w:ascii="宋体" w:hAnsi="宋体" w:cs="宋体"/>
                <w:snapToGrid w:val="0"/>
                <w:color w:val="auto"/>
                <w:kern w:val="0"/>
                <w:highlight w:val="none"/>
              </w:rPr>
            </w:pPr>
          </w:p>
        </w:tc>
        <w:tc>
          <w:tcPr>
            <w:tcW w:w="1800" w:type="dxa"/>
            <w:vMerge w:val="continue"/>
            <w:vAlign w:val="center"/>
          </w:tcPr>
          <w:p>
            <w:pPr>
              <w:snapToGrid w:val="0"/>
              <w:spacing w:line="240" w:lineRule="auto"/>
              <w:jc w:val="center"/>
              <w:rPr>
                <w:rFonts w:hint="eastAsia" w:ascii="宋体" w:hAnsi="宋体" w:eastAsia="宋体" w:cs="宋体"/>
                <w:color w:val="auto"/>
                <w:kern w:val="2"/>
                <w:sz w:val="21"/>
                <w:szCs w:val="21"/>
                <w:highlight w:val="none"/>
                <w:lang w:val="en-US" w:eastAsia="zh-CN" w:bidi="ar-SA"/>
              </w:rPr>
            </w:pPr>
          </w:p>
        </w:tc>
        <w:tc>
          <w:tcPr>
            <w:tcW w:w="6682" w:type="dxa"/>
            <w:vAlign w:val="top"/>
          </w:tcPr>
          <w:p>
            <w:pPr>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根据《浙江省财政厅关于进一步发挥政府采购政策功能全力推动经济稳进提质的通知》</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rPr>
              <w:t>浙财采监〔2022）3号</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rPr>
              <w:t>文件第</w:t>
            </w:r>
            <w:r>
              <w:rPr>
                <w:rFonts w:hint="eastAsia" w:ascii="宋体" w:hAnsi="宋体" w:cs="宋体"/>
                <w:color w:val="auto"/>
                <w:sz w:val="21"/>
                <w:szCs w:val="21"/>
                <w:highlight w:val="none"/>
                <w:lang w:eastAsia="zh-CN"/>
              </w:rPr>
              <w:t>二条第</w:t>
            </w:r>
            <w:r>
              <w:rPr>
                <w:rFonts w:hint="eastAsia" w:ascii="宋体" w:hAnsi="宋体" w:eastAsia="宋体" w:cs="宋体"/>
                <w:color w:val="auto"/>
                <w:sz w:val="21"/>
                <w:szCs w:val="21"/>
                <w:highlight w:val="none"/>
              </w:rPr>
              <w:t>五</w:t>
            </w:r>
            <w:r>
              <w:rPr>
                <w:rFonts w:hint="eastAsia" w:ascii="宋体" w:hAnsi="宋体" w:cs="宋体"/>
                <w:color w:val="auto"/>
                <w:sz w:val="21"/>
                <w:szCs w:val="21"/>
                <w:highlight w:val="none"/>
                <w:lang w:eastAsia="zh-CN"/>
              </w:rPr>
              <w:t>点</w:t>
            </w:r>
            <w:r>
              <w:rPr>
                <w:rFonts w:hint="eastAsia" w:ascii="宋体" w:hAnsi="宋体" w:eastAsia="宋体" w:cs="宋体"/>
                <w:color w:val="auto"/>
                <w:sz w:val="21"/>
                <w:szCs w:val="21"/>
                <w:highlight w:val="none"/>
              </w:rPr>
              <w:t>关于“进一步提高政府采购预付款比例”的规定</w:t>
            </w:r>
            <w:r>
              <w:rPr>
                <w:rFonts w:hint="eastAsia" w:ascii="宋体" w:hAnsi="宋体" w:cs="宋体"/>
                <w:color w:val="auto"/>
                <w:sz w:val="21"/>
                <w:szCs w:val="21"/>
                <w:highlight w:val="none"/>
                <w:lang w:eastAsia="zh-CN"/>
              </w:rPr>
              <w:t>：</w:t>
            </w:r>
          </w:p>
          <w:p>
            <w:pPr>
              <w:ind w:firstLine="420" w:firstLineChars="200"/>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1、采购单位</w:t>
            </w:r>
            <w:r>
              <w:rPr>
                <w:rFonts w:hint="eastAsia" w:ascii="宋体" w:hAnsi="宋体" w:cs="宋体"/>
                <w:color w:val="auto"/>
                <w:sz w:val="21"/>
                <w:szCs w:val="21"/>
                <w:highlight w:val="none"/>
                <w:lang w:eastAsia="zh-CN"/>
              </w:rPr>
              <w:t>应当在政府采购合同中约定预付款；</w:t>
            </w:r>
          </w:p>
          <w:p>
            <w:pPr>
              <w:ind w:firstLine="420" w:firstLineChars="200"/>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项目涉及中小企业合同预付款的</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合同签订后，采购人可以</w:t>
            </w:r>
            <w:r>
              <w:rPr>
                <w:rFonts w:hint="eastAsia" w:ascii="宋体" w:hAnsi="宋体" w:cs="宋体"/>
                <w:color w:val="auto"/>
                <w:sz w:val="21"/>
                <w:szCs w:val="21"/>
                <w:highlight w:val="none"/>
                <w:lang w:eastAsia="zh-CN"/>
              </w:rPr>
              <w:t>根据项目特点、供应商诚信等因素</w:t>
            </w:r>
            <w:r>
              <w:rPr>
                <w:rFonts w:hint="eastAsia" w:ascii="宋体" w:hAnsi="宋体" w:eastAsia="宋体" w:cs="宋体"/>
                <w:color w:val="auto"/>
                <w:sz w:val="21"/>
                <w:szCs w:val="21"/>
                <w:highlight w:val="none"/>
              </w:rPr>
              <w:t>要求中标人</w:t>
            </w:r>
            <w:r>
              <w:rPr>
                <w:rFonts w:hint="eastAsia" w:ascii="宋体" w:hAnsi="宋体" w:cs="宋体"/>
                <w:color w:val="auto"/>
                <w:sz w:val="21"/>
                <w:szCs w:val="21"/>
                <w:highlight w:val="none"/>
                <w:lang w:val="en-US" w:eastAsia="zh-CN"/>
              </w:rPr>
              <w:t>提交</w:t>
            </w:r>
            <w:r>
              <w:rPr>
                <w:rFonts w:hint="eastAsia" w:ascii="宋体" w:hAnsi="宋体" w:eastAsia="宋体" w:cs="宋体"/>
                <w:color w:val="auto"/>
                <w:sz w:val="21"/>
                <w:szCs w:val="21"/>
                <w:highlight w:val="none"/>
              </w:rPr>
              <w:t>银行、保险公司等金融机构出具的预付款保函或其他担保措施，采购人</w:t>
            </w:r>
            <w:r>
              <w:rPr>
                <w:rFonts w:hint="eastAsia" w:ascii="宋体" w:hAnsi="宋体" w:cs="宋体"/>
                <w:color w:val="auto"/>
                <w:sz w:val="21"/>
                <w:szCs w:val="21"/>
                <w:highlight w:val="none"/>
                <w:lang w:eastAsia="zh-CN"/>
              </w:rPr>
              <w:t>在合同生效以及具备实施条件后</w:t>
            </w:r>
            <w:r>
              <w:rPr>
                <w:rFonts w:hint="eastAsia" w:ascii="宋体" w:hAnsi="宋体" w:cs="宋体"/>
                <w:color w:val="auto"/>
                <w:sz w:val="21"/>
                <w:szCs w:val="21"/>
                <w:highlight w:val="none"/>
                <w:lang w:val="en-US" w:eastAsia="zh-CN"/>
              </w:rPr>
              <w:t>7个工作日内</w:t>
            </w:r>
            <w:r>
              <w:rPr>
                <w:rFonts w:hint="eastAsia" w:ascii="宋体" w:hAnsi="宋体" w:eastAsia="宋体" w:cs="宋体"/>
                <w:color w:val="auto"/>
                <w:sz w:val="21"/>
                <w:szCs w:val="21"/>
                <w:highlight w:val="none"/>
              </w:rPr>
              <w:t>向中标人支付</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rPr>
              <w:t>0%-70%的合同款作为预付款（项目为分年安排预算的，预付款按年度计划支付资金额的上述比例执行）；项目如以人工投入为主，采购人</w:t>
            </w:r>
            <w:r>
              <w:rPr>
                <w:rFonts w:hint="eastAsia" w:ascii="宋体" w:hAnsi="宋体" w:cs="宋体"/>
                <w:color w:val="auto"/>
                <w:sz w:val="21"/>
                <w:szCs w:val="21"/>
                <w:highlight w:val="none"/>
                <w:lang w:eastAsia="zh-CN"/>
              </w:rPr>
              <w:t>在合同生效以及具备实施条件后</w:t>
            </w:r>
            <w:r>
              <w:rPr>
                <w:rFonts w:hint="eastAsia" w:ascii="宋体" w:hAnsi="宋体" w:cs="宋体"/>
                <w:color w:val="auto"/>
                <w:sz w:val="21"/>
                <w:szCs w:val="21"/>
                <w:highlight w:val="none"/>
                <w:lang w:val="en-US" w:eastAsia="zh-CN"/>
              </w:rPr>
              <w:t>7个工作日内</w:t>
            </w:r>
            <w:r>
              <w:rPr>
                <w:rFonts w:hint="eastAsia" w:ascii="宋体" w:hAnsi="宋体" w:eastAsia="宋体" w:cs="宋体"/>
                <w:color w:val="auto"/>
                <w:sz w:val="21"/>
                <w:szCs w:val="21"/>
                <w:highlight w:val="none"/>
              </w:rPr>
              <w:t>向中标人支付20%-70%的合同款作为预付款。</w:t>
            </w:r>
          </w:p>
          <w:p>
            <w:pPr>
              <w:ind w:firstLine="420" w:firstLineChars="200"/>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本项目涉及投标人为大型企业，或者以人工投入为主且实行按月定期结算支付款项的，预付款可低于上述比例或者不约定预付款</w:t>
            </w:r>
            <w:r>
              <w:rPr>
                <w:rFonts w:hint="eastAsia" w:ascii="宋体" w:hAnsi="宋体" w:cs="宋体"/>
                <w:color w:val="auto"/>
                <w:sz w:val="21"/>
                <w:szCs w:val="21"/>
                <w:highlight w:val="none"/>
                <w:lang w:eastAsia="zh-CN"/>
              </w:rPr>
              <w:t>（相应字样应在合同中体现）</w:t>
            </w:r>
            <w:r>
              <w:rPr>
                <w:rFonts w:hint="eastAsia" w:ascii="宋体" w:hAnsi="宋体" w:eastAsia="宋体" w:cs="宋体"/>
                <w:color w:val="auto"/>
                <w:sz w:val="21"/>
                <w:szCs w:val="21"/>
                <w:highlight w:val="none"/>
              </w:rPr>
              <w:t>。</w:t>
            </w:r>
          </w:p>
          <w:p>
            <w:pPr>
              <w:ind w:firstLine="420" w:firstLineChars="200"/>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rPr>
              <w:t>在签订合同时，中标人明确表示无需预付款或者主动要求降低预付款比例的，</w:t>
            </w:r>
            <w:r>
              <w:rPr>
                <w:rFonts w:hint="eastAsia" w:ascii="宋体" w:hAnsi="宋体" w:cs="宋体"/>
                <w:color w:val="auto"/>
                <w:sz w:val="21"/>
                <w:szCs w:val="21"/>
                <w:highlight w:val="none"/>
                <w:lang w:eastAsia="zh-CN"/>
              </w:rPr>
              <w:t>应</w:t>
            </w:r>
            <w:r>
              <w:rPr>
                <w:rFonts w:hint="eastAsia" w:ascii="宋体" w:hAnsi="宋体" w:eastAsia="宋体" w:cs="宋体"/>
                <w:color w:val="auto"/>
                <w:sz w:val="21"/>
                <w:szCs w:val="21"/>
                <w:highlight w:val="none"/>
              </w:rPr>
              <w:t>提交相应申请函经采购人确认后，可不适用前述规定。</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vAlign w:val="center"/>
          </w:tcPr>
          <w:p>
            <w:pPr>
              <w:snapToGrid w:val="0"/>
              <w:jc w:val="center"/>
              <w:rPr>
                <w:rFonts w:hint="eastAsia" w:ascii="宋体" w:eastAsia="宋体"/>
                <w:snapToGrid w:val="0"/>
                <w:color w:val="auto"/>
                <w:kern w:val="0"/>
                <w:highlight w:val="none"/>
                <w:lang w:val="en-US" w:eastAsia="zh-CN"/>
              </w:rPr>
            </w:pPr>
            <w:r>
              <w:rPr>
                <w:rFonts w:hint="eastAsia" w:ascii="宋体" w:hAnsi="宋体" w:cs="宋体"/>
                <w:snapToGrid w:val="0"/>
                <w:color w:val="auto"/>
                <w:kern w:val="0"/>
                <w:highlight w:val="none"/>
              </w:rPr>
              <w:t>2</w:t>
            </w:r>
            <w:r>
              <w:rPr>
                <w:rFonts w:hint="eastAsia" w:ascii="宋体" w:hAnsi="宋体" w:cs="宋体"/>
                <w:snapToGrid w:val="0"/>
                <w:color w:val="auto"/>
                <w:kern w:val="0"/>
                <w:highlight w:val="none"/>
                <w:lang w:val="en-US" w:eastAsia="zh-CN"/>
              </w:rPr>
              <w:t>2</w:t>
            </w:r>
          </w:p>
        </w:tc>
        <w:tc>
          <w:tcPr>
            <w:tcW w:w="1800" w:type="dxa"/>
            <w:vAlign w:val="center"/>
          </w:tcPr>
          <w:p>
            <w:pPr>
              <w:snapToGrid w:val="0"/>
              <w:jc w:val="center"/>
              <w:rPr>
                <w:rFonts w:ascii="宋体"/>
                <w:color w:val="auto"/>
                <w:highlight w:val="none"/>
              </w:rPr>
            </w:pPr>
            <w:r>
              <w:rPr>
                <w:rFonts w:hint="eastAsia" w:ascii="宋体" w:hAnsi="宋体" w:cs="宋体"/>
                <w:color w:val="auto"/>
                <w:highlight w:val="none"/>
              </w:rPr>
              <w:t>供应商信用信息查询渠道及截止时点、信用信息查询记录和证据留存的具体方式、信用信息的使用规则</w:t>
            </w:r>
          </w:p>
        </w:tc>
        <w:tc>
          <w:tcPr>
            <w:tcW w:w="6682" w:type="dxa"/>
            <w:vAlign w:val="center"/>
          </w:tcPr>
          <w:p>
            <w:pPr>
              <w:ind w:firstLine="420" w:firstLineChars="200"/>
              <w:rPr>
                <w:rFonts w:ascii="宋体"/>
                <w:color w:val="auto"/>
                <w:highlight w:val="none"/>
              </w:rPr>
            </w:pPr>
            <w:r>
              <w:rPr>
                <w:rFonts w:ascii="宋体" w:hAnsi="宋体" w:cs="宋体"/>
                <w:color w:val="auto"/>
                <w:highlight w:val="none"/>
              </w:rPr>
              <w:t>1</w:t>
            </w:r>
            <w:r>
              <w:rPr>
                <w:rFonts w:hint="eastAsia" w:ascii="宋体" w:hAnsi="宋体" w:cs="宋体"/>
                <w:color w:val="auto"/>
                <w:highlight w:val="none"/>
              </w:rPr>
              <w:t>、查询渠道：信用中国（网址：</w:t>
            </w:r>
            <w:r>
              <w:rPr>
                <w:rFonts w:ascii="宋体" w:hAnsi="宋体" w:cs="宋体"/>
                <w:color w:val="auto"/>
                <w:highlight w:val="none"/>
              </w:rPr>
              <w:t>http://www.creditchina.gov.cn</w:t>
            </w:r>
            <w:r>
              <w:rPr>
                <w:rFonts w:hint="eastAsia" w:ascii="宋体" w:hAnsi="宋体" w:cs="宋体"/>
                <w:color w:val="auto"/>
                <w:highlight w:val="none"/>
              </w:rPr>
              <w:t>）、中国政府采购网</w:t>
            </w:r>
            <w:r>
              <w:rPr>
                <w:rFonts w:ascii="宋体" w:hAnsi="宋体" w:cs="宋体"/>
                <w:color w:val="auto"/>
                <w:highlight w:val="none"/>
              </w:rPr>
              <w:t>(</w:t>
            </w:r>
            <w:r>
              <w:rPr>
                <w:rFonts w:hint="eastAsia" w:ascii="宋体" w:hAnsi="宋体" w:cs="宋体"/>
                <w:color w:val="auto"/>
                <w:highlight w:val="none"/>
              </w:rPr>
              <w:t>网址：</w:t>
            </w:r>
            <w:r>
              <w:rPr>
                <w:rFonts w:ascii="宋体" w:hAnsi="宋体" w:cs="宋体"/>
                <w:color w:val="auto"/>
                <w:highlight w:val="none"/>
              </w:rPr>
              <w:t>http://www.ccgp.gov.cn</w:t>
            </w:r>
            <w:r>
              <w:rPr>
                <w:rFonts w:hint="eastAsia" w:ascii="宋体" w:hAnsi="宋体" w:cs="宋体"/>
                <w:color w:val="auto"/>
                <w:highlight w:val="none"/>
              </w:rPr>
              <w:t>）。</w:t>
            </w:r>
          </w:p>
          <w:p>
            <w:pPr>
              <w:ind w:firstLine="420" w:firstLineChars="200"/>
              <w:rPr>
                <w:rFonts w:ascii="宋体"/>
                <w:color w:val="auto"/>
                <w:highlight w:val="none"/>
              </w:rPr>
            </w:pPr>
            <w:r>
              <w:rPr>
                <w:rFonts w:ascii="宋体" w:hAnsi="宋体" w:cs="宋体"/>
                <w:color w:val="auto"/>
                <w:highlight w:val="none"/>
              </w:rPr>
              <w:t>2</w:t>
            </w:r>
            <w:r>
              <w:rPr>
                <w:rFonts w:hint="eastAsia" w:ascii="宋体" w:hAnsi="宋体" w:cs="宋体"/>
                <w:color w:val="auto"/>
                <w:highlight w:val="none"/>
              </w:rPr>
              <w:t>、截止时点：开标后评标前。</w:t>
            </w:r>
          </w:p>
          <w:p>
            <w:pPr>
              <w:ind w:firstLine="420" w:firstLineChars="200"/>
              <w:rPr>
                <w:rFonts w:ascii="宋体"/>
                <w:color w:val="auto"/>
                <w:highlight w:val="none"/>
              </w:rPr>
            </w:pPr>
            <w:r>
              <w:rPr>
                <w:rFonts w:ascii="宋体" w:hAnsi="宋体" w:cs="宋体"/>
                <w:color w:val="auto"/>
                <w:highlight w:val="none"/>
              </w:rPr>
              <w:t>3</w:t>
            </w:r>
            <w:r>
              <w:rPr>
                <w:rFonts w:hint="eastAsia" w:ascii="宋体" w:hAnsi="宋体" w:cs="宋体"/>
                <w:color w:val="auto"/>
                <w:highlight w:val="none"/>
              </w:rPr>
              <w:t>、信用信息查询记录和证据留存的具体方式：由采购组织机构在规定查询时间内打印信用信息查询记录并归入项目档案。</w:t>
            </w:r>
          </w:p>
          <w:p>
            <w:pPr>
              <w:ind w:firstLine="420" w:firstLineChars="200"/>
              <w:rPr>
                <w:rFonts w:ascii="宋体"/>
                <w:color w:val="auto"/>
                <w:highlight w:val="none"/>
              </w:rPr>
            </w:pPr>
            <w:r>
              <w:rPr>
                <w:rFonts w:ascii="宋体" w:hAnsi="宋体" w:cs="宋体"/>
                <w:color w:val="auto"/>
                <w:highlight w:val="none"/>
              </w:rPr>
              <w:t>4</w:t>
            </w:r>
            <w:r>
              <w:rPr>
                <w:rFonts w:hint="eastAsia" w:ascii="宋体" w:hAnsi="宋体" w:cs="宋体"/>
                <w:color w:val="auto"/>
                <w:highlight w:val="none"/>
              </w:rPr>
              <w:t>、使用规则：对列入失信被执行人、重大税收违法案件当事人名单、政府采购严重违法失信行为记录名单及其他不符合《中华人民共和国政府采购法》第二十二条规定条件的供应商，将被拒绝其参与政府采购活动。</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vAlign w:val="center"/>
          </w:tcPr>
          <w:p>
            <w:pPr>
              <w:snapToGrid w:val="0"/>
              <w:jc w:val="center"/>
              <w:rPr>
                <w:rFonts w:hint="eastAsia" w:ascii="宋体" w:eastAsia="宋体"/>
                <w:snapToGrid w:val="0"/>
                <w:color w:val="auto"/>
                <w:kern w:val="0"/>
                <w:highlight w:val="none"/>
                <w:lang w:eastAsia="zh-CN"/>
              </w:rPr>
            </w:pPr>
            <w:r>
              <w:rPr>
                <w:rFonts w:hint="eastAsia" w:ascii="宋体" w:hAnsi="宋体" w:cs="宋体"/>
                <w:snapToGrid w:val="0"/>
                <w:color w:val="auto"/>
                <w:kern w:val="0"/>
                <w:highlight w:val="none"/>
              </w:rPr>
              <w:t>2</w:t>
            </w:r>
            <w:r>
              <w:rPr>
                <w:rFonts w:hint="eastAsia" w:ascii="宋体" w:hAnsi="宋体" w:cs="宋体"/>
                <w:snapToGrid w:val="0"/>
                <w:color w:val="auto"/>
                <w:kern w:val="0"/>
                <w:highlight w:val="none"/>
                <w:lang w:val="en-US" w:eastAsia="zh-CN"/>
              </w:rPr>
              <w:t>3</w:t>
            </w:r>
          </w:p>
        </w:tc>
        <w:tc>
          <w:tcPr>
            <w:tcW w:w="1800" w:type="dxa"/>
            <w:vAlign w:val="center"/>
          </w:tcPr>
          <w:p>
            <w:pPr>
              <w:snapToGrid w:val="0"/>
              <w:jc w:val="center"/>
              <w:rPr>
                <w:rFonts w:ascii="宋体"/>
                <w:color w:val="auto"/>
                <w:highlight w:val="none"/>
              </w:rPr>
            </w:pPr>
            <w:r>
              <w:rPr>
                <w:rFonts w:hint="eastAsia" w:ascii="宋体" w:hAnsi="宋体" w:cs="宋体"/>
                <w:color w:val="auto"/>
                <w:highlight w:val="none"/>
              </w:rPr>
              <w:t>金融支持</w:t>
            </w:r>
          </w:p>
        </w:tc>
        <w:tc>
          <w:tcPr>
            <w:tcW w:w="6682" w:type="dxa"/>
            <w:vAlign w:val="center"/>
          </w:tcPr>
          <w:p>
            <w:pPr>
              <w:ind w:firstLine="420" w:firstLineChars="200"/>
              <w:rPr>
                <w:rFonts w:ascii="宋体"/>
                <w:color w:val="auto"/>
                <w:highlight w:val="none"/>
              </w:rPr>
            </w:pPr>
            <w:r>
              <w:rPr>
                <w:rFonts w:hint="eastAsia" w:ascii="宋体" w:hAnsi="宋体" w:cs="宋体"/>
                <w:color w:val="auto"/>
                <w:highlight w:val="none"/>
              </w:rPr>
              <w:t>为支持和促进中小企业发展，进一步发挥政府采购政策功能，浙江省财政厅出台浙财采监〔</w:t>
            </w:r>
            <w:r>
              <w:rPr>
                <w:rFonts w:ascii="宋体" w:hAnsi="宋体" w:cs="宋体"/>
                <w:color w:val="auto"/>
                <w:highlight w:val="none"/>
              </w:rPr>
              <w:t>2020</w:t>
            </w:r>
            <w:r>
              <w:rPr>
                <w:rFonts w:hint="eastAsia" w:ascii="宋体" w:hAnsi="宋体" w:cs="宋体"/>
                <w:color w:val="auto"/>
                <w:highlight w:val="none"/>
              </w:rPr>
              <w:t>〕</w:t>
            </w:r>
            <w:r>
              <w:rPr>
                <w:rFonts w:ascii="宋体" w:hAnsi="宋体" w:cs="宋体"/>
                <w:color w:val="auto"/>
                <w:highlight w:val="none"/>
              </w:rPr>
              <w:t xml:space="preserve">3 </w:t>
            </w:r>
            <w:r>
              <w:rPr>
                <w:rFonts w:hint="eastAsia" w:ascii="宋体" w:hAnsi="宋体" w:cs="宋体"/>
                <w:color w:val="auto"/>
                <w:highlight w:val="none"/>
              </w:rPr>
              <w:t>号文件，企业若有融资意向，可登陆政采云平台融资服务（</w:t>
            </w:r>
            <w:r>
              <w:rPr>
                <w:rFonts w:ascii="宋体" w:hAnsi="宋体" w:cs="宋体"/>
                <w:color w:val="auto"/>
                <w:highlight w:val="none"/>
              </w:rPr>
              <w:t>https://jinrong.zcygov.cn/</w:t>
            </w:r>
            <w:r>
              <w:rPr>
                <w:rFonts w:hint="eastAsia" w:ascii="宋体" w:hAnsi="宋体" w:cs="宋体"/>
                <w:color w:val="auto"/>
                <w:highlight w:val="none"/>
              </w:rPr>
              <w:t>），查看相应融资政策文件及各相关银行服务方案。</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tcBorders>
              <w:bottom w:val="double" w:color="auto" w:sz="4" w:space="0"/>
            </w:tcBorders>
            <w:vAlign w:val="center"/>
          </w:tcPr>
          <w:p>
            <w:pPr>
              <w:snapToGrid w:val="0"/>
              <w:jc w:val="center"/>
              <w:rPr>
                <w:rFonts w:hint="eastAsia" w:ascii="宋体" w:eastAsia="宋体"/>
                <w:snapToGrid w:val="0"/>
                <w:color w:val="auto"/>
                <w:kern w:val="0"/>
                <w:highlight w:val="none"/>
                <w:lang w:eastAsia="zh-CN"/>
              </w:rPr>
            </w:pPr>
            <w:r>
              <w:rPr>
                <w:rFonts w:hint="eastAsia" w:ascii="宋体" w:hAnsi="宋体" w:cs="宋体"/>
                <w:snapToGrid w:val="0"/>
                <w:color w:val="auto"/>
                <w:kern w:val="0"/>
                <w:highlight w:val="none"/>
              </w:rPr>
              <w:t>2</w:t>
            </w:r>
            <w:r>
              <w:rPr>
                <w:rFonts w:hint="eastAsia" w:ascii="宋体" w:hAnsi="宋体" w:cs="宋体"/>
                <w:snapToGrid w:val="0"/>
                <w:color w:val="auto"/>
                <w:kern w:val="0"/>
                <w:highlight w:val="none"/>
                <w:lang w:val="en-US" w:eastAsia="zh-CN"/>
              </w:rPr>
              <w:t>4</w:t>
            </w:r>
          </w:p>
        </w:tc>
        <w:tc>
          <w:tcPr>
            <w:tcW w:w="1800" w:type="dxa"/>
            <w:tcBorders>
              <w:bottom w:val="double" w:color="auto" w:sz="4" w:space="0"/>
            </w:tcBorders>
            <w:vAlign w:val="center"/>
          </w:tcPr>
          <w:p>
            <w:pPr>
              <w:snapToGrid w:val="0"/>
              <w:jc w:val="center"/>
              <w:rPr>
                <w:rFonts w:ascii="宋体"/>
                <w:color w:val="auto"/>
                <w:highlight w:val="none"/>
              </w:rPr>
            </w:pPr>
            <w:r>
              <w:rPr>
                <w:rFonts w:hint="eastAsia" w:ascii="宋体" w:hAnsi="宋体" w:cs="宋体"/>
                <w:color w:val="auto"/>
                <w:szCs w:val="21"/>
                <w:highlight w:val="none"/>
              </w:rPr>
              <w:t>其他</w:t>
            </w:r>
          </w:p>
        </w:tc>
        <w:tc>
          <w:tcPr>
            <w:tcW w:w="6682" w:type="dxa"/>
            <w:tcBorders>
              <w:bottom w:val="double" w:color="auto" w:sz="4" w:space="0"/>
            </w:tcBorders>
            <w:vAlign w:val="center"/>
          </w:tcPr>
          <w:p>
            <w:pPr>
              <w:ind w:firstLine="420" w:firstLineChars="200"/>
              <w:rPr>
                <w:rFonts w:hint="eastAsia" w:ascii="宋体" w:hAnsi="宋体" w:cs="宋体"/>
                <w:b w:val="0"/>
                <w:bCs/>
                <w:color w:val="auto"/>
                <w:szCs w:val="21"/>
                <w:highlight w:val="none"/>
              </w:rPr>
            </w:pPr>
            <w:r>
              <w:rPr>
                <w:rFonts w:hint="eastAsia" w:ascii="宋体" w:hAnsi="宋体" w:cs="宋体"/>
                <w:b w:val="0"/>
                <w:bCs/>
                <w:color w:val="auto"/>
                <w:szCs w:val="21"/>
                <w:highlight w:val="none"/>
                <w:lang w:val="en-US" w:eastAsia="zh-CN"/>
              </w:rPr>
              <w:t>1、</w:t>
            </w:r>
            <w:r>
              <w:rPr>
                <w:rFonts w:hint="eastAsia" w:ascii="宋体" w:hAnsi="宋体" w:cs="宋体"/>
                <w:b w:val="0"/>
                <w:bCs/>
                <w:color w:val="auto"/>
                <w:szCs w:val="21"/>
                <w:highlight w:val="none"/>
              </w:rPr>
              <w:t>本招标文件要求提供的身份证复印件皆需提供正反面，否则按不提供处理。</w:t>
            </w:r>
          </w:p>
          <w:p>
            <w:pPr>
              <w:ind w:firstLine="420" w:firstLineChars="200"/>
              <w:rPr>
                <w:rFonts w:ascii="宋体"/>
                <w:b/>
                <w:bCs/>
                <w:color w:val="auto"/>
                <w:highlight w:val="none"/>
              </w:rPr>
            </w:pPr>
            <w:r>
              <w:rPr>
                <w:rFonts w:hint="eastAsia" w:ascii="宋体" w:hAnsi="宋体" w:cs="宋体"/>
                <w:b w:val="0"/>
                <w:bCs/>
                <w:color w:val="auto"/>
                <w:szCs w:val="21"/>
                <w:highlight w:val="none"/>
                <w:lang w:val="en-US" w:eastAsia="zh-CN"/>
              </w:rPr>
              <w:t>2、本项目</w:t>
            </w:r>
            <w:r>
              <w:rPr>
                <w:rFonts w:hint="eastAsia" w:ascii="宋体" w:hAnsi="宋体" w:cs="宋体"/>
                <w:b w:val="0"/>
                <w:bCs/>
                <w:color w:val="auto"/>
                <w:szCs w:val="21"/>
                <w:highlight w:val="none"/>
              </w:rPr>
              <w:t>货物</w:t>
            </w:r>
            <w:r>
              <w:rPr>
                <w:rFonts w:hint="eastAsia" w:ascii="宋体" w:hAnsi="宋体" w:cs="宋体"/>
                <w:b w:val="0"/>
                <w:bCs/>
                <w:color w:val="auto"/>
                <w:szCs w:val="21"/>
                <w:highlight w:val="none"/>
                <w:lang w:val="en-US" w:eastAsia="zh-CN"/>
              </w:rPr>
              <w:t>如</w:t>
            </w:r>
            <w:r>
              <w:rPr>
                <w:rFonts w:hint="eastAsia" w:ascii="宋体" w:hAnsi="宋体" w:cs="宋体"/>
                <w:b w:val="0"/>
                <w:bCs/>
                <w:color w:val="auto"/>
                <w:szCs w:val="21"/>
                <w:highlight w:val="none"/>
              </w:rPr>
              <w:t>涉及柴油动力移动源，柴油动力移动源应当符合低排放要求</w:t>
            </w:r>
            <w:r>
              <w:rPr>
                <w:rFonts w:hint="eastAsia" w:ascii="宋体" w:hAnsi="宋体" w:cs="宋体"/>
                <w:b w:val="0"/>
                <w:bCs/>
                <w:color w:val="auto"/>
                <w:szCs w:val="21"/>
                <w:highlight w:val="none"/>
                <w:lang w:eastAsia="zh-CN"/>
              </w:rPr>
              <w:t>。</w:t>
            </w:r>
          </w:p>
        </w:tc>
      </w:tr>
    </w:tbl>
    <w:p>
      <w:pPr>
        <w:pStyle w:val="4"/>
        <w:spacing w:line="360" w:lineRule="auto"/>
        <w:rPr>
          <w:rFonts w:ascii="宋体"/>
          <w:color w:val="auto"/>
          <w:highlight w:val="none"/>
        </w:rPr>
        <w:sectPr>
          <w:footerReference r:id="rId4" w:type="default"/>
          <w:pgSz w:w="11906" w:h="16838"/>
          <w:pgMar w:top="1440" w:right="1800" w:bottom="1440" w:left="1800" w:header="851" w:footer="992" w:gutter="0"/>
          <w:pgNumType w:start="1"/>
          <w:cols w:space="425" w:num="1"/>
          <w:docGrid w:type="lines" w:linePitch="312" w:charSpace="0"/>
        </w:sectPr>
      </w:pPr>
      <w:r>
        <w:rPr>
          <w:rFonts w:hint="eastAsia" w:ascii="宋体" w:hAnsi="宋体" w:cs="宋体"/>
          <w:color w:val="auto"/>
          <w:sz w:val="24"/>
          <w:szCs w:val="24"/>
          <w:highlight w:val="none"/>
        </w:rPr>
        <w:t>注：以上内容如有变化将另行通知。如通知其中某一内容发生变化，其余未提及的将不作变动。</w:t>
      </w:r>
    </w:p>
    <w:p>
      <w:pPr>
        <w:pStyle w:val="3"/>
        <w:numPr>
          <w:ilvl w:val="0"/>
          <w:numId w:val="9"/>
        </w:numPr>
        <w:spacing w:line="336" w:lineRule="auto"/>
        <w:jc w:val="center"/>
        <w:rPr>
          <w:rFonts w:hAnsi="宋体" w:cs="Times New Roman"/>
          <w:color w:val="auto"/>
          <w:highlight w:val="none"/>
        </w:rPr>
      </w:pPr>
      <w:r>
        <w:rPr>
          <w:rFonts w:hAnsi="宋体"/>
          <w:color w:val="auto"/>
          <w:highlight w:val="none"/>
        </w:rPr>
        <w:t xml:space="preserve"> </w:t>
      </w:r>
      <w:bookmarkStart w:id="12" w:name="_Toc25187"/>
      <w:bookmarkStart w:id="13" w:name="_Toc8810"/>
      <w:r>
        <w:rPr>
          <w:rFonts w:hint="eastAsia" w:hAnsi="宋体"/>
          <w:color w:val="auto"/>
          <w:highlight w:val="none"/>
        </w:rPr>
        <w:t>总则</w:t>
      </w:r>
      <w:bookmarkEnd w:id="12"/>
      <w:bookmarkEnd w:id="13"/>
    </w:p>
    <w:p>
      <w:pPr>
        <w:spacing w:line="336" w:lineRule="auto"/>
        <w:ind w:firstLine="480" w:firstLineChars="200"/>
        <w:rPr>
          <w:color w:val="auto"/>
          <w:highlight w:val="none"/>
        </w:rPr>
      </w:pPr>
      <w:r>
        <w:rPr>
          <w:rFonts w:hint="eastAsia" w:cs="宋体"/>
          <w:color w:val="auto"/>
          <w:sz w:val="24"/>
          <w:szCs w:val="24"/>
          <w:highlight w:val="none"/>
        </w:rPr>
        <w:t>本次招标工作是按照《中华人民共和国政府采购法》、《中华人民共和国政府采购法实施条例》《政府采购竞争性磋商采购方式管理暂行办法》等相关法律、组织和实施，并由政府采购管理部门指导和监督。</w:t>
      </w:r>
    </w:p>
    <w:p>
      <w:pPr>
        <w:spacing w:line="336" w:lineRule="auto"/>
        <w:ind w:firstLine="482" w:firstLineChars="200"/>
        <w:rPr>
          <w:rFonts w:ascii="宋体"/>
          <w:b/>
          <w:bCs/>
          <w:color w:val="auto"/>
          <w:sz w:val="24"/>
          <w:szCs w:val="24"/>
          <w:highlight w:val="none"/>
        </w:rPr>
      </w:pPr>
      <w:r>
        <w:rPr>
          <w:rFonts w:ascii="宋体" w:hAnsi="宋体" w:cs="宋体"/>
          <w:b/>
          <w:bCs/>
          <w:color w:val="auto"/>
          <w:sz w:val="24"/>
          <w:szCs w:val="24"/>
          <w:highlight w:val="none"/>
        </w:rPr>
        <w:t>1</w:t>
      </w:r>
      <w:r>
        <w:rPr>
          <w:rFonts w:hint="eastAsia" w:ascii="宋体" w:hAnsi="宋体" w:cs="宋体"/>
          <w:b/>
          <w:bCs/>
          <w:color w:val="auto"/>
          <w:sz w:val="24"/>
          <w:szCs w:val="24"/>
          <w:highlight w:val="none"/>
        </w:rPr>
        <w:t>、适用范围</w:t>
      </w:r>
    </w:p>
    <w:p>
      <w:pPr>
        <w:spacing w:line="336" w:lineRule="auto"/>
        <w:ind w:firstLine="480" w:firstLineChars="200"/>
        <w:rPr>
          <w:rFonts w:ascii="宋体"/>
          <w:color w:val="auto"/>
          <w:sz w:val="24"/>
          <w:szCs w:val="24"/>
          <w:highlight w:val="none"/>
        </w:rPr>
      </w:pPr>
      <w:r>
        <w:rPr>
          <w:rFonts w:ascii="宋体" w:hAnsi="宋体" w:cs="宋体"/>
          <w:color w:val="auto"/>
          <w:sz w:val="24"/>
          <w:szCs w:val="24"/>
          <w:highlight w:val="none"/>
        </w:rPr>
        <w:t>1.1</w:t>
      </w:r>
      <w:r>
        <w:rPr>
          <w:rFonts w:hint="eastAsia" w:ascii="宋体" w:hAnsi="宋体" w:cs="宋体"/>
          <w:color w:val="auto"/>
          <w:sz w:val="24"/>
          <w:szCs w:val="24"/>
          <w:highlight w:val="none"/>
        </w:rPr>
        <w:t>本次磋商工作仅适用于</w:t>
      </w:r>
      <w:r>
        <w:rPr>
          <w:rFonts w:hint="eastAsia" w:ascii="宋体" w:hAnsi="宋体" w:cs="宋体"/>
          <w:color w:val="auto"/>
          <w:sz w:val="24"/>
          <w:szCs w:val="24"/>
          <w:highlight w:val="none"/>
          <w:u w:val="single"/>
          <w:lang w:eastAsia="zh-CN"/>
        </w:rPr>
        <w:t>驿亭镇村庄规划编制项目</w:t>
      </w:r>
      <w:r>
        <w:rPr>
          <w:rFonts w:hint="eastAsia" w:ascii="宋体" w:hAnsi="宋体" w:cs="宋体"/>
          <w:color w:val="auto"/>
          <w:sz w:val="24"/>
          <w:szCs w:val="24"/>
          <w:highlight w:val="none"/>
        </w:rPr>
        <w:t>。</w:t>
      </w:r>
    </w:p>
    <w:p>
      <w:pPr>
        <w:pStyle w:val="25"/>
        <w:spacing w:line="336" w:lineRule="auto"/>
        <w:ind w:firstLine="480" w:firstLineChars="200"/>
        <w:rPr>
          <w:color w:val="auto"/>
          <w:highlight w:val="none"/>
        </w:rPr>
      </w:pPr>
      <w:r>
        <w:rPr>
          <w:rFonts w:ascii="宋体" w:hAnsi="宋体" w:cs="宋体"/>
          <w:color w:val="auto"/>
          <w:sz w:val="24"/>
          <w:szCs w:val="24"/>
          <w:highlight w:val="none"/>
        </w:rPr>
        <w:t>1.2</w:t>
      </w:r>
      <w:r>
        <w:rPr>
          <w:rFonts w:hint="eastAsia" w:ascii="宋体" w:hAnsi="宋体" w:cs="宋体"/>
          <w:color w:val="auto"/>
          <w:sz w:val="24"/>
          <w:szCs w:val="24"/>
          <w:highlight w:val="none"/>
        </w:rPr>
        <w:t>本项目采购方式采用竞争性磋商方式。</w:t>
      </w:r>
    </w:p>
    <w:p>
      <w:pPr>
        <w:spacing w:line="336" w:lineRule="auto"/>
        <w:ind w:firstLine="482" w:firstLineChars="200"/>
        <w:rPr>
          <w:rFonts w:ascii="宋体"/>
          <w:b/>
          <w:bCs/>
          <w:color w:val="auto"/>
          <w:sz w:val="24"/>
          <w:szCs w:val="24"/>
          <w:highlight w:val="none"/>
        </w:rPr>
      </w:pPr>
      <w:r>
        <w:rPr>
          <w:rFonts w:ascii="宋体" w:hAnsi="宋体" w:cs="宋体"/>
          <w:b/>
          <w:bCs/>
          <w:color w:val="auto"/>
          <w:sz w:val="24"/>
          <w:szCs w:val="24"/>
          <w:highlight w:val="none"/>
        </w:rPr>
        <w:t>2</w:t>
      </w:r>
      <w:r>
        <w:rPr>
          <w:rFonts w:hint="eastAsia" w:ascii="宋体" w:hAnsi="宋体" w:cs="宋体"/>
          <w:b/>
          <w:bCs/>
          <w:color w:val="auto"/>
          <w:sz w:val="24"/>
          <w:szCs w:val="24"/>
          <w:highlight w:val="none"/>
        </w:rPr>
        <w:t>、定义</w:t>
      </w:r>
    </w:p>
    <w:p>
      <w:pPr>
        <w:spacing w:line="336" w:lineRule="auto"/>
        <w:ind w:firstLine="480" w:firstLineChars="200"/>
        <w:rPr>
          <w:rFonts w:ascii="宋体"/>
          <w:color w:val="auto"/>
          <w:sz w:val="24"/>
          <w:szCs w:val="24"/>
          <w:highlight w:val="none"/>
          <w:u w:val="single"/>
        </w:rPr>
      </w:pPr>
      <w:r>
        <w:rPr>
          <w:rFonts w:ascii="宋体" w:hAnsi="宋体" w:cs="宋体"/>
          <w:color w:val="auto"/>
          <w:sz w:val="24"/>
          <w:szCs w:val="24"/>
          <w:highlight w:val="none"/>
        </w:rPr>
        <w:t>2.1</w:t>
      </w:r>
      <w:r>
        <w:rPr>
          <w:rFonts w:hint="eastAsia" w:ascii="宋体" w:hAnsi="宋体" w:cs="宋体"/>
          <w:color w:val="auto"/>
          <w:sz w:val="24"/>
          <w:szCs w:val="24"/>
          <w:highlight w:val="none"/>
        </w:rPr>
        <w:t>“</w:t>
      </w:r>
      <w:r>
        <w:rPr>
          <w:rFonts w:hint="eastAsia" w:ascii="宋体" w:hAnsi="宋体" w:cs="宋体"/>
          <w:color w:val="auto"/>
          <w:sz w:val="24"/>
          <w:szCs w:val="24"/>
          <w:highlight w:val="none"/>
          <w:lang w:val="zh-CN"/>
        </w:rPr>
        <w:t>采购人”系指</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eastAsia="zh-CN"/>
        </w:rPr>
        <w:t>上虞区驿亭镇人民政府</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rPr>
        <w:t>。采购人委托</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rPr>
        <w:t>浙江宇康工程管理咨询有限公司</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rPr>
        <w:t>为本项目采购代理机构。</w:t>
      </w:r>
    </w:p>
    <w:p>
      <w:pPr>
        <w:spacing w:line="336" w:lineRule="auto"/>
        <w:ind w:firstLine="480" w:firstLineChars="200"/>
        <w:rPr>
          <w:rFonts w:ascii="宋体"/>
          <w:color w:val="auto"/>
          <w:sz w:val="24"/>
          <w:szCs w:val="24"/>
          <w:highlight w:val="none"/>
        </w:rPr>
      </w:pPr>
      <w:r>
        <w:rPr>
          <w:rFonts w:ascii="宋体" w:hAnsi="宋体" w:cs="宋体"/>
          <w:color w:val="auto"/>
          <w:sz w:val="24"/>
          <w:szCs w:val="24"/>
          <w:highlight w:val="none"/>
        </w:rPr>
        <w:t>2.2</w:t>
      </w:r>
      <w:r>
        <w:rPr>
          <w:rFonts w:hint="eastAsia" w:ascii="宋体" w:hAnsi="宋体" w:cs="宋体"/>
          <w:color w:val="auto"/>
          <w:sz w:val="24"/>
          <w:szCs w:val="24"/>
          <w:highlight w:val="none"/>
        </w:rPr>
        <w:t>“磋商供应商”系指响应本次采购，参加本次竞争性磋商的供应商。</w:t>
      </w:r>
    </w:p>
    <w:p>
      <w:pPr>
        <w:spacing w:line="336" w:lineRule="auto"/>
        <w:ind w:firstLine="480" w:firstLineChars="200"/>
        <w:rPr>
          <w:rFonts w:ascii="宋体"/>
          <w:color w:val="auto"/>
          <w:sz w:val="24"/>
          <w:szCs w:val="24"/>
          <w:highlight w:val="none"/>
          <w:lang w:val="zh-CN"/>
        </w:rPr>
      </w:pPr>
      <w:r>
        <w:rPr>
          <w:rFonts w:ascii="宋体" w:hAnsi="宋体" w:cs="宋体"/>
          <w:color w:val="auto"/>
          <w:sz w:val="24"/>
          <w:szCs w:val="24"/>
          <w:highlight w:val="none"/>
        </w:rPr>
        <w:t>2.3</w:t>
      </w:r>
      <w:r>
        <w:rPr>
          <w:rFonts w:hint="eastAsia" w:ascii="宋体" w:hAnsi="宋体" w:cs="宋体"/>
          <w:color w:val="auto"/>
          <w:sz w:val="24"/>
          <w:szCs w:val="24"/>
          <w:highlight w:val="none"/>
          <w:lang w:val="zh-CN"/>
        </w:rPr>
        <w:t>“服务”系指</w:t>
      </w:r>
      <w:r>
        <w:rPr>
          <w:rFonts w:hint="eastAsia" w:ascii="宋体" w:hAnsi="宋体" w:cs="宋体"/>
          <w:color w:val="auto"/>
          <w:sz w:val="24"/>
          <w:szCs w:val="24"/>
          <w:highlight w:val="none"/>
        </w:rPr>
        <w:t>磋商供应商按合同规定，须承担的服务的义务</w:t>
      </w:r>
      <w:r>
        <w:rPr>
          <w:rFonts w:hint="eastAsia" w:ascii="宋体" w:hAnsi="宋体" w:cs="宋体"/>
          <w:color w:val="auto"/>
          <w:sz w:val="24"/>
          <w:szCs w:val="24"/>
          <w:highlight w:val="none"/>
          <w:lang w:val="zh-CN"/>
        </w:rPr>
        <w:t>。</w:t>
      </w:r>
    </w:p>
    <w:p>
      <w:pPr>
        <w:spacing w:line="336" w:lineRule="auto"/>
        <w:ind w:firstLine="482" w:firstLineChars="200"/>
        <w:rPr>
          <w:rFonts w:ascii="宋体"/>
          <w:b/>
          <w:bCs/>
          <w:color w:val="auto"/>
          <w:sz w:val="24"/>
          <w:szCs w:val="24"/>
          <w:highlight w:val="none"/>
        </w:rPr>
      </w:pPr>
      <w:r>
        <w:rPr>
          <w:rFonts w:ascii="宋体" w:hAnsi="宋体" w:cs="宋体"/>
          <w:b/>
          <w:bCs/>
          <w:color w:val="auto"/>
          <w:sz w:val="24"/>
          <w:szCs w:val="24"/>
          <w:highlight w:val="none"/>
        </w:rPr>
        <w:t>3</w:t>
      </w:r>
      <w:r>
        <w:rPr>
          <w:rFonts w:hint="eastAsia" w:ascii="宋体" w:hAnsi="宋体" w:cs="宋体"/>
          <w:b/>
          <w:bCs/>
          <w:color w:val="auto"/>
          <w:sz w:val="24"/>
          <w:szCs w:val="24"/>
          <w:highlight w:val="none"/>
        </w:rPr>
        <w:t>、采购项目概况</w:t>
      </w:r>
      <w:r>
        <w:rPr>
          <w:rFonts w:ascii="宋体"/>
          <w:b/>
          <w:bCs/>
          <w:color w:val="auto"/>
          <w:sz w:val="24"/>
          <w:szCs w:val="24"/>
          <w:highlight w:val="none"/>
        </w:rPr>
        <w:tab/>
      </w:r>
      <w:r>
        <w:rPr>
          <w:rFonts w:ascii="宋体"/>
          <w:b/>
          <w:bCs/>
          <w:color w:val="auto"/>
          <w:sz w:val="24"/>
          <w:szCs w:val="24"/>
          <w:highlight w:val="none"/>
        </w:rPr>
        <w:tab/>
      </w:r>
    </w:p>
    <w:p>
      <w:pPr>
        <w:spacing w:line="336"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详见竞争性磋商公告相关内容，主要要求参见本文件第</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rPr>
        <w:t>三</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rPr>
        <w:t>部分。</w:t>
      </w:r>
    </w:p>
    <w:p>
      <w:pPr>
        <w:adjustRightInd w:val="0"/>
        <w:spacing w:line="336" w:lineRule="auto"/>
        <w:ind w:firstLine="482" w:firstLineChars="200"/>
        <w:rPr>
          <w:rFonts w:ascii="宋体"/>
          <w:b/>
          <w:bCs/>
          <w:color w:val="auto"/>
          <w:sz w:val="24"/>
          <w:szCs w:val="24"/>
          <w:highlight w:val="none"/>
        </w:rPr>
      </w:pPr>
      <w:r>
        <w:rPr>
          <w:rFonts w:ascii="宋体" w:hAnsi="宋体" w:cs="宋体"/>
          <w:b/>
          <w:bCs/>
          <w:color w:val="auto"/>
          <w:sz w:val="24"/>
          <w:szCs w:val="24"/>
          <w:highlight w:val="none"/>
        </w:rPr>
        <w:t>4</w:t>
      </w:r>
      <w:r>
        <w:rPr>
          <w:rFonts w:hint="eastAsia" w:ascii="宋体" w:hAnsi="宋体" w:cs="宋体"/>
          <w:b/>
          <w:bCs/>
          <w:color w:val="auto"/>
          <w:sz w:val="24"/>
          <w:szCs w:val="24"/>
          <w:highlight w:val="none"/>
        </w:rPr>
        <w:t>、合格的磋商供应商</w:t>
      </w:r>
    </w:p>
    <w:p>
      <w:pPr>
        <w:spacing w:line="336" w:lineRule="auto"/>
        <w:ind w:firstLine="480" w:firstLineChars="200"/>
        <w:rPr>
          <w:rFonts w:ascii="宋体"/>
          <w:color w:val="auto"/>
          <w:sz w:val="24"/>
          <w:szCs w:val="24"/>
          <w:highlight w:val="none"/>
        </w:rPr>
      </w:pPr>
      <w:bookmarkStart w:id="14" w:name="_Toc209520993"/>
      <w:bookmarkStart w:id="15" w:name="_Toc197163261"/>
      <w:bookmarkStart w:id="16" w:name="_Toc193523219"/>
      <w:bookmarkStart w:id="17" w:name="_Toc197053926"/>
      <w:bookmarkStart w:id="18" w:name="_Toc208913145"/>
      <w:bookmarkStart w:id="19" w:name="_Toc207946571"/>
      <w:bookmarkStart w:id="20" w:name="_Toc208287611"/>
      <w:bookmarkStart w:id="21" w:name="_Toc211412066"/>
      <w:bookmarkStart w:id="22" w:name="_Toc209504018"/>
      <w:bookmarkStart w:id="23" w:name="_Toc193538208"/>
      <w:bookmarkStart w:id="24" w:name="_Toc204683265"/>
      <w:bookmarkStart w:id="25" w:name="_Toc209435242"/>
      <w:bookmarkStart w:id="26" w:name="_Toc197657950"/>
      <w:bookmarkStart w:id="27" w:name="_Toc197156227"/>
      <w:r>
        <w:rPr>
          <w:rFonts w:hint="eastAsia" w:ascii="宋体" w:hAnsi="宋体" w:cs="宋体"/>
          <w:color w:val="auto"/>
          <w:sz w:val="24"/>
          <w:szCs w:val="24"/>
          <w:highlight w:val="none"/>
        </w:rPr>
        <w:t>详见竞争性磋商采购公告磋商供应商的资格要求规定。</w:t>
      </w:r>
      <w:bookmarkEnd w:id="14"/>
      <w:bookmarkEnd w:id="15"/>
      <w:bookmarkEnd w:id="16"/>
      <w:bookmarkEnd w:id="17"/>
      <w:bookmarkEnd w:id="18"/>
      <w:bookmarkEnd w:id="19"/>
      <w:bookmarkEnd w:id="20"/>
      <w:bookmarkEnd w:id="21"/>
      <w:bookmarkEnd w:id="22"/>
      <w:bookmarkEnd w:id="23"/>
      <w:bookmarkEnd w:id="24"/>
      <w:bookmarkEnd w:id="25"/>
      <w:bookmarkEnd w:id="26"/>
      <w:bookmarkEnd w:id="27"/>
    </w:p>
    <w:p>
      <w:pPr>
        <w:spacing w:line="336" w:lineRule="auto"/>
        <w:ind w:firstLine="482" w:firstLineChars="200"/>
        <w:rPr>
          <w:rFonts w:ascii="宋体"/>
          <w:b/>
          <w:bCs/>
          <w:color w:val="auto"/>
          <w:sz w:val="24"/>
          <w:szCs w:val="24"/>
          <w:highlight w:val="none"/>
        </w:rPr>
      </w:pPr>
      <w:r>
        <w:rPr>
          <w:rFonts w:ascii="宋体" w:hAnsi="宋体" w:cs="宋体"/>
          <w:b/>
          <w:bCs/>
          <w:color w:val="auto"/>
          <w:sz w:val="24"/>
          <w:szCs w:val="24"/>
          <w:highlight w:val="none"/>
        </w:rPr>
        <w:t>5</w:t>
      </w:r>
      <w:r>
        <w:rPr>
          <w:rFonts w:hint="eastAsia" w:ascii="宋体" w:hAnsi="宋体" w:cs="宋体"/>
          <w:b/>
          <w:bCs/>
          <w:color w:val="auto"/>
          <w:sz w:val="24"/>
          <w:szCs w:val="24"/>
          <w:highlight w:val="none"/>
        </w:rPr>
        <w:t>、磋商费用</w:t>
      </w:r>
    </w:p>
    <w:p>
      <w:pPr>
        <w:spacing w:line="336"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磋商供应商应承担其参加磋商所涉及的一切费用，不管结果如何，采购人对上述费用不负任何责任。</w:t>
      </w:r>
    </w:p>
    <w:p>
      <w:pPr>
        <w:pStyle w:val="3"/>
        <w:numPr>
          <w:ilvl w:val="0"/>
          <w:numId w:val="9"/>
        </w:numPr>
        <w:spacing w:line="336" w:lineRule="auto"/>
        <w:jc w:val="center"/>
        <w:rPr>
          <w:rFonts w:cs="Times New Roman"/>
          <w:color w:val="auto"/>
          <w:highlight w:val="none"/>
        </w:rPr>
      </w:pPr>
      <w:bookmarkStart w:id="28" w:name="_Toc32689"/>
      <w:bookmarkStart w:id="29" w:name="_Toc416992151"/>
      <w:bookmarkStart w:id="30" w:name="_Toc25923"/>
      <w:r>
        <w:rPr>
          <w:color w:val="auto"/>
          <w:highlight w:val="none"/>
        </w:rPr>
        <w:t xml:space="preserve"> </w:t>
      </w:r>
      <w:bookmarkStart w:id="31" w:name="_Toc22123"/>
      <w:bookmarkStart w:id="32" w:name="_Toc11814"/>
      <w:r>
        <w:rPr>
          <w:rFonts w:hint="eastAsia"/>
          <w:color w:val="auto"/>
          <w:highlight w:val="none"/>
        </w:rPr>
        <w:t>竞争性磋商文件</w:t>
      </w:r>
      <w:bookmarkEnd w:id="28"/>
      <w:bookmarkEnd w:id="29"/>
      <w:bookmarkEnd w:id="30"/>
      <w:bookmarkEnd w:id="31"/>
      <w:bookmarkEnd w:id="32"/>
    </w:p>
    <w:p>
      <w:pPr>
        <w:adjustRightInd w:val="0"/>
        <w:spacing w:line="336" w:lineRule="auto"/>
        <w:ind w:firstLine="482" w:firstLineChars="200"/>
        <w:rPr>
          <w:rFonts w:ascii="宋体"/>
          <w:b/>
          <w:bCs/>
          <w:color w:val="auto"/>
          <w:sz w:val="24"/>
          <w:szCs w:val="24"/>
          <w:highlight w:val="none"/>
        </w:rPr>
      </w:pPr>
      <w:r>
        <w:rPr>
          <w:rFonts w:ascii="宋体" w:hAnsi="宋体" w:cs="宋体"/>
          <w:b/>
          <w:bCs/>
          <w:color w:val="auto"/>
          <w:sz w:val="24"/>
          <w:szCs w:val="24"/>
          <w:highlight w:val="none"/>
        </w:rPr>
        <w:t>6</w:t>
      </w:r>
      <w:r>
        <w:rPr>
          <w:rFonts w:hint="eastAsia" w:ascii="宋体" w:hAnsi="宋体" w:cs="宋体"/>
          <w:b/>
          <w:bCs/>
          <w:color w:val="auto"/>
          <w:sz w:val="24"/>
          <w:szCs w:val="24"/>
          <w:highlight w:val="none"/>
        </w:rPr>
        <w:t>、磋商文件的组成</w:t>
      </w:r>
    </w:p>
    <w:p>
      <w:pPr>
        <w:adjustRightInd w:val="0"/>
        <w:spacing w:line="336" w:lineRule="auto"/>
        <w:ind w:firstLine="480" w:firstLineChars="200"/>
        <w:rPr>
          <w:rFonts w:ascii="宋体"/>
          <w:color w:val="auto"/>
          <w:sz w:val="24"/>
          <w:szCs w:val="24"/>
          <w:highlight w:val="none"/>
        </w:rPr>
      </w:pPr>
      <w:r>
        <w:rPr>
          <w:rFonts w:ascii="宋体" w:hAnsi="宋体" w:cs="宋体"/>
          <w:color w:val="auto"/>
          <w:sz w:val="24"/>
          <w:szCs w:val="24"/>
          <w:highlight w:val="none"/>
        </w:rPr>
        <w:t>6.1</w:t>
      </w:r>
      <w:r>
        <w:rPr>
          <w:rFonts w:hint="eastAsia" w:ascii="宋体" w:hAnsi="宋体" w:cs="宋体"/>
          <w:color w:val="auto"/>
          <w:sz w:val="24"/>
          <w:szCs w:val="24"/>
          <w:highlight w:val="none"/>
        </w:rPr>
        <w:t>本磋商文件包括目录所示内容及所有按本须知发出的补充资料（如果有）。</w:t>
      </w:r>
    </w:p>
    <w:p>
      <w:pPr>
        <w:adjustRightInd w:val="0"/>
        <w:spacing w:line="336" w:lineRule="auto"/>
        <w:ind w:firstLine="480" w:firstLineChars="200"/>
        <w:rPr>
          <w:rFonts w:ascii="宋体"/>
          <w:color w:val="auto"/>
          <w:sz w:val="24"/>
          <w:szCs w:val="24"/>
          <w:highlight w:val="none"/>
        </w:rPr>
      </w:pPr>
      <w:r>
        <w:rPr>
          <w:rFonts w:ascii="宋体" w:hAnsi="宋体" w:cs="宋体"/>
          <w:color w:val="auto"/>
          <w:sz w:val="24"/>
          <w:szCs w:val="24"/>
          <w:highlight w:val="none"/>
        </w:rPr>
        <w:t>6.2</w:t>
      </w:r>
      <w:r>
        <w:rPr>
          <w:rFonts w:hint="eastAsia" w:ascii="宋体" w:hAnsi="宋体" w:cs="宋体"/>
          <w:color w:val="auto"/>
          <w:sz w:val="24"/>
          <w:szCs w:val="24"/>
          <w:highlight w:val="none"/>
        </w:rPr>
        <w:t>除上述所列内容外，采购人及采购代理机构的任何工作人员对磋商供应商所作的任何口头解释、介绍、答复，只能供磋商供应商参考，对采购人和磋商供应商无任何约束力。</w:t>
      </w:r>
    </w:p>
    <w:p>
      <w:pPr>
        <w:adjustRightInd w:val="0"/>
        <w:spacing w:line="336" w:lineRule="auto"/>
        <w:ind w:firstLine="480" w:firstLineChars="200"/>
        <w:rPr>
          <w:rFonts w:ascii="宋体"/>
          <w:color w:val="auto"/>
          <w:sz w:val="24"/>
          <w:szCs w:val="24"/>
          <w:highlight w:val="none"/>
        </w:rPr>
      </w:pPr>
      <w:r>
        <w:rPr>
          <w:rFonts w:ascii="宋体" w:hAnsi="宋体" w:cs="宋体"/>
          <w:color w:val="auto"/>
          <w:sz w:val="24"/>
          <w:szCs w:val="24"/>
          <w:highlight w:val="none"/>
        </w:rPr>
        <w:t>6.3</w:t>
      </w:r>
      <w:r>
        <w:rPr>
          <w:rFonts w:hint="eastAsia" w:ascii="宋体" w:hAnsi="宋体" w:cs="宋体"/>
          <w:color w:val="auto"/>
          <w:sz w:val="24"/>
          <w:szCs w:val="24"/>
          <w:highlight w:val="none"/>
        </w:rPr>
        <w:t>磋商供应商应仔细阅读磋商文件的所有内容，按照文件要求提交响应文件，并保证所提交的全部资料的真实性。不按磋商文件的要求提供的响应文件和资料，可能导致磋商被拒绝。</w:t>
      </w:r>
    </w:p>
    <w:p>
      <w:pPr>
        <w:spacing w:line="336" w:lineRule="auto"/>
        <w:ind w:firstLine="480" w:firstLineChars="200"/>
        <w:rPr>
          <w:rFonts w:ascii="宋体"/>
          <w:color w:val="auto"/>
          <w:sz w:val="24"/>
          <w:szCs w:val="24"/>
          <w:highlight w:val="none"/>
        </w:rPr>
      </w:pPr>
      <w:r>
        <w:rPr>
          <w:rFonts w:ascii="宋体" w:hAnsi="宋体" w:cs="宋体"/>
          <w:color w:val="auto"/>
          <w:sz w:val="24"/>
          <w:szCs w:val="24"/>
          <w:highlight w:val="none"/>
        </w:rPr>
        <w:t>6.4</w:t>
      </w:r>
      <w:r>
        <w:rPr>
          <w:rFonts w:hint="eastAsia" w:ascii="宋体" w:hAnsi="宋体" w:cs="宋体"/>
          <w:color w:val="auto"/>
          <w:sz w:val="24"/>
          <w:szCs w:val="24"/>
          <w:highlight w:val="none"/>
        </w:rPr>
        <w:t>磋商文件是磋商过程进行的有效依据，也是成交后签订合同的依据，对双方均具有约束力，凡不遵守磋商文件规定或对磋商文件的实质性内容不响应的报价，将可能被拒绝或以无效标处理。本磋商文件由采购人或采购代理机构进行解释。</w:t>
      </w:r>
    </w:p>
    <w:p>
      <w:pPr>
        <w:adjustRightInd w:val="0"/>
        <w:spacing w:line="336" w:lineRule="auto"/>
        <w:ind w:firstLine="472" w:firstLineChars="196"/>
        <w:rPr>
          <w:rFonts w:ascii="宋体"/>
          <w:b/>
          <w:bCs/>
          <w:color w:val="auto"/>
          <w:sz w:val="24"/>
          <w:szCs w:val="24"/>
          <w:highlight w:val="none"/>
        </w:rPr>
      </w:pPr>
      <w:r>
        <w:rPr>
          <w:rFonts w:ascii="宋体" w:hAnsi="宋体" w:cs="宋体"/>
          <w:b/>
          <w:bCs/>
          <w:color w:val="auto"/>
          <w:sz w:val="24"/>
          <w:szCs w:val="24"/>
          <w:highlight w:val="none"/>
        </w:rPr>
        <w:t>7</w:t>
      </w:r>
      <w:r>
        <w:rPr>
          <w:rFonts w:hint="eastAsia" w:ascii="宋体" w:hAnsi="宋体" w:cs="宋体"/>
          <w:b/>
          <w:bCs/>
          <w:color w:val="auto"/>
          <w:sz w:val="24"/>
          <w:szCs w:val="24"/>
          <w:highlight w:val="none"/>
        </w:rPr>
        <w:t>、磋商文件的澄清与修改</w:t>
      </w:r>
    </w:p>
    <w:p>
      <w:pPr>
        <w:pStyle w:val="12"/>
        <w:spacing w:line="336" w:lineRule="auto"/>
        <w:ind w:firstLine="480" w:firstLineChars="200"/>
        <w:rPr>
          <w:rFonts w:cs="Times New Roman"/>
          <w:color w:val="auto"/>
          <w:highlight w:val="none"/>
        </w:rPr>
      </w:pPr>
      <w:r>
        <w:rPr>
          <w:color w:val="auto"/>
          <w:highlight w:val="none"/>
        </w:rPr>
        <w:t>7.1</w:t>
      </w:r>
      <w:r>
        <w:rPr>
          <w:rFonts w:hint="eastAsia"/>
          <w:color w:val="auto"/>
          <w:highlight w:val="none"/>
        </w:rPr>
        <w:t>磋商供应商在收到竞争性磋商文件后，若有问题需要澄清或认为有必要与采购人进行技术交流，应于前附表规定时间前，将问题按前附表要求发至指定邮箱里。（电子邮件只作方便工作之用，与书面文件有不一致的，以书面文件为准）。截止期后的疑问将不予受理、答复。</w:t>
      </w:r>
    </w:p>
    <w:p>
      <w:pPr>
        <w:pStyle w:val="12"/>
        <w:spacing w:line="336" w:lineRule="auto"/>
        <w:ind w:right="-252" w:rightChars="-120" w:firstLine="480" w:firstLineChars="200"/>
        <w:rPr>
          <w:rFonts w:cs="Times New Roman"/>
          <w:color w:val="auto"/>
          <w:highlight w:val="none"/>
        </w:rPr>
      </w:pPr>
      <w:r>
        <w:rPr>
          <w:color w:val="auto"/>
          <w:highlight w:val="none"/>
        </w:rPr>
        <w:t>7.2</w:t>
      </w:r>
      <w:r>
        <w:rPr>
          <w:rFonts w:hint="eastAsia"/>
          <w:color w:val="auto"/>
          <w:highlight w:val="none"/>
        </w:rPr>
        <w:t>磋商供应商要求解释或澄清的问题应以书面形式，并加盖公章、写明日期。</w:t>
      </w:r>
    </w:p>
    <w:p>
      <w:pPr>
        <w:adjustRightInd w:val="0"/>
        <w:spacing w:line="336" w:lineRule="auto"/>
        <w:ind w:firstLine="480" w:firstLineChars="200"/>
        <w:rPr>
          <w:rFonts w:ascii="宋体"/>
          <w:color w:val="auto"/>
          <w:sz w:val="24"/>
          <w:szCs w:val="24"/>
          <w:highlight w:val="none"/>
        </w:rPr>
      </w:pPr>
      <w:r>
        <w:rPr>
          <w:rFonts w:ascii="宋体" w:hAnsi="宋体" w:cs="宋体"/>
          <w:color w:val="auto"/>
          <w:sz w:val="24"/>
          <w:szCs w:val="24"/>
          <w:highlight w:val="none"/>
        </w:rPr>
        <w:t>7.3</w:t>
      </w:r>
      <w:r>
        <w:rPr>
          <w:rFonts w:hint="eastAsia" w:ascii="宋体" w:hAnsi="宋体" w:cs="宋体"/>
          <w:color w:val="auto"/>
          <w:sz w:val="24"/>
          <w:szCs w:val="24"/>
          <w:highlight w:val="none"/>
        </w:rPr>
        <w:t>提交响应文件截止之日前，采购人、采购代理机构或者磋商小组可以对已发出的磋商文件进行必要的澄清或者修改，澄清或者修改的内容作为磋商文件的组成部分。</w:t>
      </w:r>
    </w:p>
    <w:p>
      <w:pPr>
        <w:adjustRightInd w:val="0"/>
        <w:spacing w:line="336" w:lineRule="auto"/>
        <w:ind w:firstLine="480" w:firstLineChars="200"/>
        <w:rPr>
          <w:rFonts w:ascii="宋体"/>
          <w:color w:val="auto"/>
          <w:sz w:val="24"/>
          <w:szCs w:val="24"/>
          <w:highlight w:val="none"/>
        </w:rPr>
      </w:pPr>
      <w:r>
        <w:rPr>
          <w:rFonts w:ascii="宋体" w:hAnsi="宋体" w:cs="宋体"/>
          <w:color w:val="auto"/>
          <w:sz w:val="24"/>
          <w:szCs w:val="24"/>
          <w:highlight w:val="none"/>
        </w:rPr>
        <w:t>7.4</w:t>
      </w:r>
      <w:r>
        <w:rPr>
          <w:rFonts w:hint="eastAsia" w:ascii="宋体" w:hAnsi="宋体" w:cs="宋体"/>
          <w:color w:val="auto"/>
          <w:sz w:val="24"/>
          <w:szCs w:val="24"/>
          <w:highlight w:val="none"/>
        </w:rPr>
        <w:t>竞争性磋商文件的澄清修改文件及更正补充公告，请自行登录浙江政府采购网或绍兴市上虞区公共资源交易中心网站，在采购公告页面中下载。</w:t>
      </w:r>
    </w:p>
    <w:p>
      <w:pPr>
        <w:adjustRightInd w:val="0"/>
        <w:spacing w:line="336" w:lineRule="auto"/>
        <w:ind w:firstLine="480" w:firstLineChars="200"/>
        <w:rPr>
          <w:rFonts w:ascii="宋体"/>
          <w:color w:val="auto"/>
          <w:sz w:val="24"/>
          <w:szCs w:val="24"/>
          <w:highlight w:val="none"/>
        </w:rPr>
      </w:pPr>
      <w:r>
        <w:rPr>
          <w:rFonts w:ascii="宋体" w:hAnsi="宋体" w:cs="宋体"/>
          <w:color w:val="auto"/>
          <w:sz w:val="24"/>
          <w:szCs w:val="24"/>
          <w:highlight w:val="none"/>
        </w:rPr>
        <w:t>7.5</w:t>
      </w:r>
      <w:r>
        <w:rPr>
          <w:rFonts w:hint="eastAsia" w:ascii="宋体" w:hAnsi="宋体" w:cs="宋体"/>
          <w:color w:val="auto"/>
          <w:sz w:val="24"/>
          <w:szCs w:val="24"/>
          <w:highlight w:val="none"/>
        </w:rPr>
        <w:t>澄清或者修改的内容可能影响响应文件编制的，采购人、采购代理机构将在提交响应文件截止时间至少</w:t>
      </w:r>
      <w:r>
        <w:rPr>
          <w:rFonts w:ascii="宋体" w:hAnsi="宋体" w:cs="宋体"/>
          <w:color w:val="auto"/>
          <w:sz w:val="24"/>
          <w:szCs w:val="24"/>
          <w:highlight w:val="none"/>
        </w:rPr>
        <w:t>5</w:t>
      </w:r>
      <w:r>
        <w:rPr>
          <w:rFonts w:hint="eastAsia" w:ascii="宋体" w:hAnsi="宋体" w:cs="宋体"/>
          <w:color w:val="auto"/>
          <w:sz w:val="24"/>
          <w:szCs w:val="24"/>
          <w:highlight w:val="none"/>
        </w:rPr>
        <w:t>日前，以公告形式通知所有获取磋商文件的供应商；不足</w:t>
      </w:r>
      <w:r>
        <w:rPr>
          <w:rFonts w:ascii="宋体" w:hAnsi="宋体" w:cs="宋体"/>
          <w:color w:val="auto"/>
          <w:sz w:val="24"/>
          <w:szCs w:val="24"/>
          <w:highlight w:val="none"/>
        </w:rPr>
        <w:t>5</w:t>
      </w:r>
      <w:r>
        <w:rPr>
          <w:rFonts w:hint="eastAsia" w:ascii="宋体" w:hAnsi="宋体" w:cs="宋体"/>
          <w:color w:val="auto"/>
          <w:sz w:val="24"/>
          <w:szCs w:val="24"/>
          <w:highlight w:val="none"/>
        </w:rPr>
        <w:t>日的，采购人、采购代理机构可能会顺延提交首次响应文件截止时间。澄清或者修改的内容未对原磋商文件作出重大修改或不会影响响应文件编制的，递交首次响应文件截止时间不变。</w:t>
      </w:r>
    </w:p>
    <w:p>
      <w:pPr>
        <w:adjustRightInd w:val="0"/>
        <w:spacing w:line="336" w:lineRule="auto"/>
        <w:ind w:firstLine="480" w:firstLineChars="200"/>
        <w:rPr>
          <w:rFonts w:ascii="宋体"/>
          <w:color w:val="auto"/>
          <w:sz w:val="24"/>
          <w:szCs w:val="24"/>
          <w:highlight w:val="none"/>
        </w:rPr>
      </w:pPr>
      <w:r>
        <w:rPr>
          <w:rFonts w:ascii="宋体" w:hAnsi="宋体" w:cs="宋体"/>
          <w:color w:val="auto"/>
          <w:sz w:val="24"/>
          <w:szCs w:val="24"/>
          <w:highlight w:val="none"/>
        </w:rPr>
        <w:t>7.6</w:t>
      </w:r>
      <w:r>
        <w:rPr>
          <w:rFonts w:hint="eastAsia" w:ascii="宋体" w:hAnsi="宋体" w:cs="宋体"/>
          <w:color w:val="auto"/>
          <w:sz w:val="24"/>
          <w:szCs w:val="24"/>
          <w:highlight w:val="none"/>
        </w:rPr>
        <w:t>竞争性磋商文件澄清、答复、修改、补充的内容为竞争性磋商文件的组成部分。</w:t>
      </w:r>
    </w:p>
    <w:p>
      <w:pPr>
        <w:pStyle w:val="4"/>
        <w:spacing w:line="336" w:lineRule="auto"/>
        <w:rPr>
          <w:rFonts w:ascii="宋体"/>
          <w:color w:val="auto"/>
          <w:sz w:val="24"/>
          <w:szCs w:val="24"/>
          <w:highlight w:val="none"/>
        </w:rPr>
      </w:pPr>
      <w:r>
        <w:rPr>
          <w:rFonts w:ascii="宋体" w:hAnsi="宋体" w:cs="宋体"/>
          <w:color w:val="auto"/>
          <w:sz w:val="24"/>
          <w:szCs w:val="24"/>
          <w:highlight w:val="none"/>
        </w:rPr>
        <w:t>7.7</w:t>
      </w:r>
      <w:r>
        <w:rPr>
          <w:rFonts w:hint="eastAsia" w:ascii="宋体" w:hAnsi="宋体" w:cs="宋体"/>
          <w:color w:val="auto"/>
          <w:sz w:val="24"/>
          <w:szCs w:val="24"/>
          <w:highlight w:val="none"/>
        </w:rPr>
        <w:t>磋商文件发售截止日后，经采购人同意后购买磋商文件的磋商供应商不得对磋商文件和补充文件提出答疑或质疑。</w:t>
      </w:r>
    </w:p>
    <w:p>
      <w:pPr>
        <w:pStyle w:val="3"/>
        <w:numPr>
          <w:ilvl w:val="0"/>
          <w:numId w:val="9"/>
        </w:numPr>
        <w:spacing w:line="336" w:lineRule="auto"/>
        <w:jc w:val="center"/>
        <w:rPr>
          <w:rFonts w:cs="Times New Roman"/>
          <w:color w:val="auto"/>
          <w:highlight w:val="none"/>
        </w:rPr>
      </w:pPr>
      <w:bookmarkStart w:id="33" w:name="_Toc1828"/>
      <w:bookmarkStart w:id="34" w:name="_Toc23975"/>
      <w:bookmarkStart w:id="35" w:name="_Toc1202"/>
      <w:bookmarkStart w:id="36" w:name="_Toc1729"/>
      <w:bookmarkStart w:id="37" w:name="_Toc26027"/>
      <w:bookmarkStart w:id="38" w:name="_Toc11692"/>
      <w:bookmarkStart w:id="39" w:name="_Toc18702"/>
      <w:bookmarkStart w:id="40" w:name="_Toc11093"/>
      <w:bookmarkStart w:id="41" w:name="_Toc6079"/>
      <w:bookmarkStart w:id="42" w:name="_Toc6273"/>
      <w:bookmarkStart w:id="43" w:name="_Toc23135"/>
      <w:bookmarkStart w:id="44" w:name="_Toc14650"/>
      <w:bookmarkStart w:id="45" w:name="_Toc11669"/>
      <w:bookmarkStart w:id="46" w:name="_Toc31748"/>
      <w:bookmarkStart w:id="47" w:name="_Toc8860"/>
      <w:bookmarkStart w:id="48" w:name="_Toc10669"/>
      <w:bookmarkStart w:id="49" w:name="_Toc7126"/>
      <w:bookmarkStart w:id="50" w:name="_Toc391298957"/>
      <w:bookmarkStart w:id="51" w:name="_Toc6457"/>
      <w:bookmarkStart w:id="52" w:name="_Toc26603"/>
      <w:bookmarkStart w:id="53" w:name="_Toc24622"/>
      <w:bookmarkStart w:id="54" w:name="_Toc10810"/>
      <w:r>
        <w:rPr>
          <w:color w:val="auto"/>
          <w:highlight w:val="none"/>
        </w:rPr>
        <w:t xml:space="preserve"> </w:t>
      </w:r>
      <w:bookmarkStart w:id="55" w:name="_Toc24702"/>
      <w:bookmarkStart w:id="56" w:name="_Toc11515"/>
      <w:r>
        <w:rPr>
          <w:rFonts w:hint="eastAsia"/>
          <w:color w:val="auto"/>
          <w:highlight w:val="none"/>
        </w:rPr>
        <w:t>竞争性磋商响应文件的编写</w:t>
      </w:r>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p>
    <w:p>
      <w:pPr>
        <w:spacing w:line="336" w:lineRule="auto"/>
        <w:ind w:firstLine="480" w:firstLineChars="200"/>
        <w:rPr>
          <w:rFonts w:ascii="宋体"/>
          <w:color w:val="auto"/>
          <w:sz w:val="24"/>
          <w:szCs w:val="24"/>
          <w:highlight w:val="none"/>
        </w:rPr>
      </w:pPr>
      <w:r>
        <w:rPr>
          <w:rFonts w:ascii="宋体" w:hAnsi="宋体" w:cs="宋体"/>
          <w:color w:val="auto"/>
          <w:sz w:val="24"/>
          <w:szCs w:val="24"/>
          <w:highlight w:val="none"/>
        </w:rPr>
        <w:t>8</w:t>
      </w:r>
      <w:r>
        <w:rPr>
          <w:rFonts w:hint="eastAsia" w:ascii="宋体" w:hAnsi="宋体" w:cs="宋体"/>
          <w:color w:val="auto"/>
          <w:sz w:val="24"/>
          <w:szCs w:val="24"/>
          <w:highlight w:val="none"/>
        </w:rPr>
        <w:t>、要求</w:t>
      </w:r>
    </w:p>
    <w:p>
      <w:pPr>
        <w:spacing w:line="336" w:lineRule="auto"/>
        <w:ind w:firstLine="480" w:firstLineChars="200"/>
        <w:rPr>
          <w:rFonts w:ascii="宋体"/>
          <w:color w:val="auto"/>
          <w:sz w:val="24"/>
          <w:szCs w:val="24"/>
          <w:highlight w:val="none"/>
        </w:rPr>
      </w:pPr>
      <w:r>
        <w:rPr>
          <w:rFonts w:ascii="宋体" w:hAnsi="宋体" w:cs="宋体"/>
          <w:color w:val="auto"/>
          <w:sz w:val="24"/>
          <w:szCs w:val="24"/>
          <w:highlight w:val="none"/>
        </w:rPr>
        <w:t>8.1</w:t>
      </w:r>
      <w:r>
        <w:rPr>
          <w:rFonts w:hint="eastAsia" w:ascii="宋体" w:hAnsi="宋体" w:cs="宋体"/>
          <w:color w:val="auto"/>
          <w:sz w:val="24"/>
          <w:szCs w:val="24"/>
          <w:highlight w:val="none"/>
        </w:rPr>
        <w:t>供应商应仔细阅读竞争性磋商文件的所有内容，按照竞争性磋商文件的要求提交竞争性磋商响应文件。竞争性磋商响应文件应对竞争性磋商文件的要求做出实质性响应，并保证所提供的全部资料的真实性，否则视其为虚假响应，其响应将被否决。</w:t>
      </w:r>
    </w:p>
    <w:p>
      <w:pPr>
        <w:spacing w:line="336" w:lineRule="auto"/>
        <w:ind w:firstLine="480" w:firstLineChars="200"/>
        <w:rPr>
          <w:rFonts w:ascii="宋体"/>
          <w:color w:val="auto"/>
          <w:sz w:val="24"/>
          <w:szCs w:val="24"/>
          <w:highlight w:val="none"/>
        </w:rPr>
      </w:pPr>
      <w:r>
        <w:rPr>
          <w:rFonts w:ascii="宋体" w:hAnsi="宋体" w:cs="宋体"/>
          <w:color w:val="auto"/>
          <w:sz w:val="24"/>
          <w:szCs w:val="24"/>
          <w:highlight w:val="none"/>
        </w:rPr>
        <w:t>8.2</w:t>
      </w:r>
      <w:r>
        <w:rPr>
          <w:rFonts w:hint="eastAsia" w:ascii="宋体" w:hAnsi="宋体" w:cs="宋体"/>
          <w:color w:val="auto"/>
          <w:sz w:val="24"/>
          <w:szCs w:val="24"/>
          <w:highlight w:val="none"/>
        </w:rPr>
        <w:t>报价</w:t>
      </w:r>
    </w:p>
    <w:p>
      <w:pPr>
        <w:spacing w:line="336" w:lineRule="auto"/>
        <w:ind w:firstLine="480" w:firstLineChars="200"/>
        <w:rPr>
          <w:rFonts w:ascii="宋体"/>
          <w:b/>
          <w:bCs/>
          <w:color w:val="auto"/>
          <w:sz w:val="24"/>
          <w:szCs w:val="24"/>
          <w:highlight w:val="none"/>
          <w:shd w:val="clear" w:color="FFFFFF" w:fill="D9D9D9"/>
        </w:rPr>
      </w:pPr>
      <w:r>
        <w:rPr>
          <w:rFonts w:ascii="宋体" w:hAnsi="宋体" w:cs="宋体"/>
          <w:color w:val="auto"/>
          <w:sz w:val="24"/>
          <w:szCs w:val="24"/>
          <w:highlight w:val="none"/>
        </w:rPr>
        <w:t>8.2.1</w:t>
      </w:r>
      <w:r>
        <w:rPr>
          <w:rFonts w:hint="eastAsia" w:ascii="宋体" w:hAnsi="宋体" w:cs="宋体"/>
          <w:color w:val="auto"/>
          <w:sz w:val="24"/>
          <w:szCs w:val="24"/>
          <w:highlight w:val="none"/>
        </w:rPr>
        <w:t>本次报价非一次性报价，报价币种为人民币。在磋商后根据磋商情况（包括细化采购方案和要求，增补部分采购内容等），供应商须二次报价（最终报价），</w:t>
      </w:r>
      <w:r>
        <w:rPr>
          <w:rFonts w:hint="eastAsia" w:ascii="宋体" w:hAnsi="宋体" w:cs="宋体"/>
          <w:b/>
          <w:bCs/>
          <w:color w:val="auto"/>
          <w:sz w:val="24"/>
          <w:szCs w:val="24"/>
          <w:highlight w:val="none"/>
        </w:rPr>
        <w:t>如果供应商在规定时间</w:t>
      </w:r>
      <w:r>
        <w:rPr>
          <w:rFonts w:ascii="宋体" w:hAnsi="宋体" w:cs="宋体"/>
          <w:b/>
          <w:bCs/>
          <w:color w:val="auto"/>
          <w:sz w:val="24"/>
          <w:szCs w:val="24"/>
          <w:highlight w:val="none"/>
        </w:rPr>
        <w:t>30</w:t>
      </w:r>
      <w:r>
        <w:rPr>
          <w:rFonts w:hint="eastAsia" w:ascii="宋体" w:hAnsi="宋体" w:cs="宋体"/>
          <w:b/>
          <w:bCs/>
          <w:color w:val="auto"/>
          <w:sz w:val="24"/>
          <w:szCs w:val="24"/>
          <w:highlight w:val="none"/>
        </w:rPr>
        <w:t>分钟内未提交第二次报价，视该供应商放弃本次投标，作无效标处理</w:t>
      </w:r>
      <w:r>
        <w:rPr>
          <w:rFonts w:hint="eastAsia" w:ascii="宋体" w:hAnsi="宋体" w:cs="宋体"/>
          <w:color w:val="auto"/>
          <w:sz w:val="24"/>
          <w:szCs w:val="24"/>
          <w:highlight w:val="none"/>
        </w:rPr>
        <w:t>。</w:t>
      </w:r>
    </w:p>
    <w:p>
      <w:pPr>
        <w:pStyle w:val="54"/>
        <w:tabs>
          <w:tab w:val="left" w:pos="0"/>
        </w:tabs>
        <w:spacing w:line="336" w:lineRule="auto"/>
        <w:ind w:firstLine="480"/>
        <w:rPr>
          <w:rFonts w:ascii="宋体"/>
          <w:color w:val="auto"/>
          <w:highlight w:val="none"/>
          <w:u w:val="single"/>
        </w:rPr>
      </w:pPr>
      <w:r>
        <w:rPr>
          <w:rFonts w:ascii="宋体" w:hAnsi="宋体" w:cs="宋体"/>
          <w:color w:val="auto"/>
          <w:highlight w:val="none"/>
          <w:u w:val="single"/>
        </w:rPr>
        <w:t>8.2.2</w:t>
      </w:r>
      <w:r>
        <w:rPr>
          <w:rFonts w:hint="eastAsia" w:ascii="宋体" w:hAnsi="宋体" w:cs="宋体"/>
          <w:color w:val="auto"/>
          <w:highlight w:val="none"/>
          <w:u w:val="single"/>
        </w:rPr>
        <w:t>投标报价应包含项目所需全部服务，不得缺漏，是履行合同的最终价格</w:t>
      </w:r>
      <w:r>
        <w:rPr>
          <w:rFonts w:hint="eastAsia" w:ascii="宋体" w:hAnsi="宋体" w:cs="宋体"/>
          <w:color w:val="auto"/>
          <w:highlight w:val="none"/>
          <w:u w:val="single"/>
          <w:lang w:eastAsia="zh-CN"/>
        </w:rPr>
        <w:t>，</w:t>
      </w:r>
      <w:r>
        <w:rPr>
          <w:rFonts w:hint="eastAsia" w:ascii="宋体" w:hAnsi="宋体" w:cs="宋体"/>
          <w:color w:val="auto"/>
          <w:highlight w:val="none"/>
          <w:u w:val="single"/>
          <w:lang w:val="en-US" w:eastAsia="zh-CN"/>
        </w:rPr>
        <w:t>包括本项目所需相关资料收集、专家论证咨询费、评审会务费、人工、差旅、场租费、设备（仪器）等产生的费用、规费、税金及不可预见费等一切相关费用</w:t>
      </w:r>
      <w:r>
        <w:rPr>
          <w:rFonts w:hint="eastAsia" w:ascii="宋体" w:hAnsi="宋体" w:cs="宋体"/>
          <w:color w:val="auto"/>
          <w:highlight w:val="none"/>
          <w:u w:val="single"/>
        </w:rPr>
        <w:t>。</w:t>
      </w:r>
      <w:r>
        <w:rPr>
          <w:rFonts w:hint="eastAsia" w:cs="宋体"/>
          <w:color w:val="auto"/>
          <w:highlight w:val="none"/>
        </w:rPr>
        <w:t>投标报价为供应商所能承受的最低、最终报价，供应商不得再要求追加任何费用。</w:t>
      </w:r>
    </w:p>
    <w:p>
      <w:pPr>
        <w:spacing w:line="336"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投标报价固定是指供应商所填写的投标报价在合同实施期间不因市场因素而变动，供应商在计算报价时可考虑一定的风险系数（由供应商自行考虑）。</w:t>
      </w:r>
    </w:p>
    <w:p>
      <w:pPr>
        <w:spacing w:line="336" w:lineRule="auto"/>
        <w:ind w:firstLine="480" w:firstLineChars="200"/>
        <w:rPr>
          <w:rFonts w:ascii="宋体"/>
          <w:color w:val="auto"/>
          <w:highlight w:val="none"/>
        </w:rPr>
      </w:pPr>
      <w:r>
        <w:rPr>
          <w:rFonts w:ascii="宋体" w:hAnsi="宋体" w:cs="宋体"/>
          <w:color w:val="auto"/>
          <w:sz w:val="24"/>
          <w:szCs w:val="24"/>
          <w:highlight w:val="none"/>
        </w:rPr>
        <w:t>8.2.3</w:t>
      </w:r>
      <w:r>
        <w:rPr>
          <w:rFonts w:hint="eastAsia" w:ascii="宋体" w:hAnsi="宋体" w:cs="宋体"/>
          <w:color w:val="auto"/>
          <w:sz w:val="24"/>
          <w:szCs w:val="24"/>
          <w:highlight w:val="none"/>
        </w:rPr>
        <w:t>供应商的报价作为供应商计算单价或总价的依据，应是完成技术文件中的所有要求，不得以任何理由予以重复，供应商对报价若有说明应在报价一览表备注处注明。任何有选择的报价方案及价格将不予接受。</w:t>
      </w:r>
    </w:p>
    <w:p>
      <w:pPr>
        <w:pStyle w:val="15"/>
        <w:spacing w:line="336" w:lineRule="auto"/>
        <w:ind w:firstLine="482" w:firstLineChars="200"/>
        <w:rPr>
          <w:rFonts w:hAnsi="宋体" w:cs="Times New Roman"/>
          <w:b/>
          <w:bCs/>
          <w:color w:val="auto"/>
          <w:sz w:val="24"/>
          <w:szCs w:val="24"/>
          <w:highlight w:val="none"/>
          <w:u w:val="single"/>
        </w:rPr>
      </w:pPr>
      <w:r>
        <w:rPr>
          <w:rFonts w:hAnsi="宋体"/>
          <w:b/>
          <w:bCs/>
          <w:color w:val="auto"/>
          <w:sz w:val="24"/>
          <w:szCs w:val="24"/>
          <w:highlight w:val="none"/>
        </w:rPr>
        <w:t>9</w:t>
      </w:r>
      <w:r>
        <w:rPr>
          <w:rFonts w:hint="eastAsia" w:hAnsi="宋体"/>
          <w:b/>
          <w:bCs/>
          <w:color w:val="auto"/>
          <w:sz w:val="24"/>
          <w:szCs w:val="24"/>
          <w:highlight w:val="none"/>
        </w:rPr>
        <w:t>、响应文件的组成</w:t>
      </w:r>
      <w:r>
        <w:rPr>
          <w:rFonts w:hint="eastAsia" w:hAnsi="宋体"/>
          <w:b/>
          <w:bCs/>
          <w:color w:val="auto"/>
          <w:sz w:val="24"/>
          <w:szCs w:val="24"/>
          <w:highlight w:val="none"/>
          <w:u w:val="single"/>
        </w:rPr>
        <w:t>（供应商应根据采购文件的要求提供相应的内容且设置关联定位，供应商可查看《供应商</w:t>
      </w:r>
      <w:r>
        <w:rPr>
          <w:rFonts w:hAnsi="宋体"/>
          <w:b/>
          <w:bCs/>
          <w:color w:val="auto"/>
          <w:sz w:val="24"/>
          <w:szCs w:val="24"/>
          <w:highlight w:val="none"/>
          <w:u w:val="single"/>
        </w:rPr>
        <w:t>-</w:t>
      </w:r>
      <w:r>
        <w:rPr>
          <w:rFonts w:hint="eastAsia" w:hAnsi="宋体"/>
          <w:b/>
          <w:bCs/>
          <w:color w:val="auto"/>
          <w:sz w:val="24"/>
          <w:szCs w:val="24"/>
          <w:highlight w:val="none"/>
          <w:u w:val="single"/>
        </w:rPr>
        <w:t>政府采购项目电子交易操作指南》进行操作：</w:t>
      </w:r>
      <w:r>
        <w:rPr>
          <w:rFonts w:hAnsi="宋体"/>
          <w:b/>
          <w:bCs/>
          <w:color w:val="auto"/>
          <w:sz w:val="24"/>
          <w:szCs w:val="24"/>
          <w:highlight w:val="none"/>
          <w:u w:val="single"/>
        </w:rPr>
        <w:t>https://help.zcygov.cn/web/site_2/2018/12-28/2573.html</w:t>
      </w:r>
      <w:r>
        <w:rPr>
          <w:rFonts w:hint="eastAsia" w:hAnsi="宋体"/>
          <w:b/>
          <w:bCs/>
          <w:color w:val="auto"/>
          <w:sz w:val="24"/>
          <w:szCs w:val="24"/>
          <w:highlight w:val="none"/>
          <w:u w:val="single"/>
        </w:rPr>
        <w:t>）</w:t>
      </w:r>
    </w:p>
    <w:p>
      <w:pPr>
        <w:pStyle w:val="54"/>
        <w:tabs>
          <w:tab w:val="left" w:pos="0"/>
        </w:tabs>
        <w:spacing w:before="0" w:line="336" w:lineRule="auto"/>
        <w:ind w:firstLine="480"/>
        <w:rPr>
          <w:rFonts w:ascii="宋体"/>
          <w:color w:val="auto"/>
          <w:highlight w:val="none"/>
        </w:rPr>
      </w:pPr>
      <w:r>
        <w:rPr>
          <w:rFonts w:hint="eastAsia" w:ascii="宋体" w:hAnsi="宋体" w:cs="宋体"/>
          <w:color w:val="auto"/>
          <w:highlight w:val="none"/>
        </w:rPr>
        <w:t>响应文件应当包括以下主要内容：资格文件、商务技术文件、报价文件。</w:t>
      </w:r>
    </w:p>
    <w:p>
      <w:pPr>
        <w:pStyle w:val="54"/>
        <w:numPr>
          <w:ilvl w:val="0"/>
          <w:numId w:val="10"/>
        </w:numPr>
        <w:spacing w:before="0" w:line="336" w:lineRule="auto"/>
        <w:ind w:firstLine="480"/>
        <w:rPr>
          <w:rFonts w:ascii="宋体"/>
          <w:color w:val="auto"/>
          <w:highlight w:val="none"/>
        </w:rPr>
      </w:pPr>
      <w:r>
        <w:rPr>
          <w:rFonts w:hint="eastAsia" w:ascii="宋体" w:hAnsi="宋体" w:cs="宋体"/>
          <w:color w:val="auto"/>
          <w:highlight w:val="none"/>
        </w:rPr>
        <w:t>资格文件包括以下内容：</w:t>
      </w:r>
    </w:p>
    <w:p>
      <w:pPr>
        <w:pStyle w:val="54"/>
        <w:numPr>
          <w:ilvl w:val="0"/>
          <w:numId w:val="11"/>
        </w:numPr>
        <w:spacing w:before="0" w:line="336" w:lineRule="auto"/>
        <w:ind w:firstLine="480"/>
        <w:rPr>
          <w:rFonts w:ascii="宋体"/>
          <w:color w:val="auto"/>
          <w:highlight w:val="none"/>
        </w:rPr>
      </w:pPr>
      <w:r>
        <w:rPr>
          <w:rFonts w:hint="eastAsia" w:ascii="宋体" w:hAnsi="宋体" w:cs="宋体"/>
          <w:color w:val="auto"/>
          <w:highlight w:val="none"/>
        </w:rPr>
        <w:t>法定代表人授权书（格式见附件）；如法定代表人直接参加投标并对相应文件签字的（签字是指线下签字扫描后上传或者线上进行电子签章），只需提供其身份证复印件，否则则应提供授权代表身份证复印件；</w:t>
      </w:r>
    </w:p>
    <w:p>
      <w:pPr>
        <w:pStyle w:val="54"/>
        <w:numPr>
          <w:ilvl w:val="0"/>
          <w:numId w:val="11"/>
        </w:numPr>
        <w:spacing w:before="0" w:line="336" w:lineRule="auto"/>
        <w:ind w:firstLine="480"/>
        <w:rPr>
          <w:rFonts w:ascii="宋体"/>
          <w:color w:val="auto"/>
          <w:highlight w:val="none"/>
        </w:rPr>
      </w:pPr>
      <w:r>
        <w:rPr>
          <w:rFonts w:hint="eastAsia" w:ascii="宋体" w:hAnsi="宋体" w:cs="宋体"/>
          <w:color w:val="auto"/>
          <w:highlight w:val="none"/>
        </w:rPr>
        <w:t>营业执照</w:t>
      </w:r>
      <w:r>
        <w:rPr>
          <w:rFonts w:ascii="宋体" w:hAnsi="宋体" w:cs="宋体"/>
          <w:color w:val="auto"/>
          <w:highlight w:val="none"/>
        </w:rPr>
        <w:t>(</w:t>
      </w:r>
      <w:r>
        <w:rPr>
          <w:rFonts w:hint="eastAsia" w:ascii="宋体" w:hAnsi="宋体" w:cs="宋体"/>
          <w:color w:val="auto"/>
          <w:highlight w:val="none"/>
        </w:rPr>
        <w:t>或事业法人登记证或其他工商等登记证明材料</w:t>
      </w:r>
      <w:r>
        <w:rPr>
          <w:rFonts w:ascii="宋体" w:hAnsi="宋体" w:cs="宋体"/>
          <w:color w:val="auto"/>
          <w:highlight w:val="none"/>
        </w:rPr>
        <w:t>)</w:t>
      </w:r>
      <w:r>
        <w:rPr>
          <w:rFonts w:hint="eastAsia" w:ascii="宋体" w:hAnsi="宋体" w:cs="宋体"/>
          <w:color w:val="auto"/>
          <w:highlight w:val="none"/>
        </w:rPr>
        <w:t>复印件、税务登记证</w:t>
      </w:r>
      <w:r>
        <w:rPr>
          <w:rFonts w:ascii="宋体" w:hAnsi="宋体" w:cs="宋体"/>
          <w:color w:val="auto"/>
          <w:highlight w:val="none"/>
        </w:rPr>
        <w:t>(</w:t>
      </w:r>
      <w:r>
        <w:rPr>
          <w:rFonts w:hint="eastAsia" w:ascii="宋体" w:hAnsi="宋体" w:cs="宋体"/>
          <w:color w:val="auto"/>
          <w:highlight w:val="none"/>
        </w:rPr>
        <w:t>或其它缴纳证明材料</w:t>
      </w:r>
      <w:r>
        <w:rPr>
          <w:rFonts w:ascii="宋体" w:hAnsi="宋体" w:cs="宋体"/>
          <w:color w:val="auto"/>
          <w:highlight w:val="none"/>
        </w:rPr>
        <w:t>)</w:t>
      </w:r>
      <w:r>
        <w:rPr>
          <w:rFonts w:hint="eastAsia" w:ascii="宋体" w:hAnsi="宋体" w:cs="宋体"/>
          <w:color w:val="auto"/>
          <w:highlight w:val="none"/>
        </w:rPr>
        <w:t>复印件、社保登记证（或其它缴纳证明材料）复印件；实施“五证合一、一照一码”登记制度改革的，只需提供改革后取得的营业执照复印件；事业单位的，则提供有效的《事业单位法人证书》副本复印件并加盖单位公章；</w:t>
      </w:r>
    </w:p>
    <w:p>
      <w:pPr>
        <w:pStyle w:val="54"/>
        <w:spacing w:before="0" w:line="336" w:lineRule="auto"/>
        <w:ind w:firstLine="480"/>
        <w:rPr>
          <w:rFonts w:ascii="宋体"/>
          <w:color w:val="auto"/>
          <w:highlight w:val="none"/>
        </w:rPr>
      </w:pPr>
      <w:r>
        <w:rPr>
          <w:rFonts w:hint="eastAsia" w:ascii="宋体" w:hAnsi="宋体" w:cs="宋体"/>
          <w:color w:val="auto"/>
          <w:highlight w:val="none"/>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响应文件中提供相关材料），证明其具备实际承担责任的能力和法定的缔结合同能力，可以独立参加政府采购活动，由单位负责人签署相关文件材料；</w:t>
      </w:r>
    </w:p>
    <w:p>
      <w:pPr>
        <w:pStyle w:val="54"/>
        <w:numPr>
          <w:ilvl w:val="0"/>
          <w:numId w:val="11"/>
        </w:numPr>
        <w:spacing w:before="0" w:line="336" w:lineRule="auto"/>
        <w:ind w:firstLine="480"/>
        <w:rPr>
          <w:rFonts w:ascii="宋体"/>
          <w:color w:val="auto"/>
          <w:highlight w:val="none"/>
        </w:rPr>
      </w:pPr>
      <w:r>
        <w:rPr>
          <w:rFonts w:hint="eastAsia" w:ascii="宋体" w:hAnsi="宋体" w:cs="宋体"/>
          <w:color w:val="auto"/>
          <w:highlight w:val="none"/>
        </w:rPr>
        <w:t>具有履行合同所必需的产品和专业技术能力的承诺函；</w:t>
      </w:r>
    </w:p>
    <w:p>
      <w:pPr>
        <w:pStyle w:val="54"/>
        <w:numPr>
          <w:ilvl w:val="0"/>
          <w:numId w:val="11"/>
        </w:numPr>
        <w:spacing w:before="0" w:line="336" w:lineRule="auto"/>
        <w:ind w:firstLine="480"/>
        <w:rPr>
          <w:rFonts w:ascii="宋体"/>
          <w:color w:val="auto"/>
          <w:highlight w:val="none"/>
        </w:rPr>
      </w:pPr>
      <w:r>
        <w:rPr>
          <w:rFonts w:hint="eastAsia" w:ascii="宋体" w:hAnsi="宋体" w:cs="宋体"/>
          <w:color w:val="auto"/>
          <w:sz w:val="24"/>
          <w:szCs w:val="24"/>
          <w:highlight w:val="none"/>
        </w:rPr>
        <w:t>投标人承诺函（格式见附件）</w:t>
      </w:r>
      <w:r>
        <w:rPr>
          <w:rFonts w:hint="eastAsia" w:ascii="宋体" w:hAnsi="宋体" w:cs="宋体"/>
          <w:color w:val="auto"/>
          <w:highlight w:val="none"/>
          <w:lang w:eastAsia="zh-CN"/>
        </w:rPr>
        <w:t>；</w:t>
      </w:r>
    </w:p>
    <w:p>
      <w:pPr>
        <w:pStyle w:val="54"/>
        <w:numPr>
          <w:ilvl w:val="0"/>
          <w:numId w:val="11"/>
        </w:numPr>
        <w:spacing w:before="0" w:line="336" w:lineRule="auto"/>
        <w:ind w:firstLine="480"/>
        <w:rPr>
          <w:rFonts w:ascii="宋体"/>
          <w:color w:val="auto"/>
          <w:highlight w:val="none"/>
        </w:rPr>
      </w:pPr>
      <w:r>
        <w:rPr>
          <w:rFonts w:hint="eastAsia" w:ascii="宋体" w:hAnsi="宋体"/>
          <w:color w:val="auto"/>
          <w:sz w:val="24"/>
          <w:szCs w:val="24"/>
          <w:highlight w:val="none"/>
        </w:rPr>
        <w:t>土地规划编制</w:t>
      </w:r>
      <w:r>
        <w:rPr>
          <w:rFonts w:hint="eastAsia" w:ascii="宋体" w:hAnsi="宋体"/>
          <w:color w:val="auto"/>
          <w:sz w:val="24"/>
          <w:szCs w:val="24"/>
          <w:highlight w:val="none"/>
          <w:lang w:val="en-US" w:eastAsia="zh-CN"/>
        </w:rPr>
        <w:t>乙级及以上资质</w:t>
      </w:r>
      <w:r>
        <w:rPr>
          <w:rFonts w:hint="eastAsia" w:ascii="宋体" w:hAnsi="宋体"/>
          <w:color w:val="auto"/>
          <w:sz w:val="24"/>
          <w:szCs w:val="24"/>
          <w:highlight w:val="none"/>
        </w:rPr>
        <w:t>和城乡规划编制乙级及以上资质</w:t>
      </w:r>
      <w:r>
        <w:rPr>
          <w:rFonts w:hint="eastAsia" w:ascii="宋体" w:hAnsi="宋体"/>
          <w:color w:val="auto"/>
          <w:sz w:val="24"/>
          <w:szCs w:val="24"/>
          <w:highlight w:val="none"/>
          <w:lang w:val="en-US" w:eastAsia="zh-CN"/>
        </w:rPr>
        <w:t>资质证书扫描件加盖公章；</w:t>
      </w:r>
    </w:p>
    <w:p>
      <w:pPr>
        <w:pStyle w:val="54"/>
        <w:numPr>
          <w:ilvl w:val="0"/>
          <w:numId w:val="11"/>
        </w:numPr>
        <w:spacing w:before="0" w:line="336" w:lineRule="auto"/>
        <w:ind w:firstLine="480"/>
        <w:rPr>
          <w:rFonts w:hint="eastAsia" w:ascii="宋体" w:hAnsi="宋体" w:cs="宋体"/>
          <w:color w:val="auto"/>
          <w:highlight w:val="none"/>
        </w:rPr>
      </w:pPr>
      <w:r>
        <w:rPr>
          <w:rFonts w:hint="eastAsia" w:ascii="宋体" w:hAnsi="宋体" w:cs="宋体"/>
          <w:color w:val="auto"/>
          <w:highlight w:val="none"/>
        </w:rPr>
        <w:t>中小企业声明函（格式见附件）；</w:t>
      </w:r>
    </w:p>
    <w:p>
      <w:pPr>
        <w:pStyle w:val="54"/>
        <w:numPr>
          <w:ilvl w:val="0"/>
          <w:numId w:val="11"/>
        </w:numPr>
        <w:spacing w:before="0" w:line="336" w:lineRule="auto"/>
        <w:ind w:firstLine="480"/>
        <w:rPr>
          <w:rFonts w:hint="eastAsia" w:ascii="宋体" w:hAnsi="宋体" w:cs="宋体"/>
          <w:color w:val="auto"/>
          <w:highlight w:val="none"/>
        </w:rPr>
      </w:pPr>
      <w:r>
        <w:rPr>
          <w:rFonts w:hint="eastAsia" w:ascii="宋体" w:hAnsi="宋体" w:cs="宋体"/>
          <w:color w:val="auto"/>
          <w:highlight w:val="none"/>
        </w:rPr>
        <w:t>残疾人福利性单位声明函(如有)（格式见附件）；</w:t>
      </w:r>
    </w:p>
    <w:p>
      <w:pPr>
        <w:pStyle w:val="54"/>
        <w:numPr>
          <w:ilvl w:val="0"/>
          <w:numId w:val="11"/>
        </w:numPr>
        <w:spacing w:before="0" w:line="336" w:lineRule="auto"/>
        <w:ind w:firstLine="480"/>
        <w:rPr>
          <w:rFonts w:ascii="宋体"/>
          <w:color w:val="auto"/>
          <w:highlight w:val="none"/>
        </w:rPr>
      </w:pPr>
      <w:r>
        <w:rPr>
          <w:rFonts w:hint="eastAsia" w:ascii="宋体" w:hAnsi="宋体" w:cs="宋体"/>
          <w:color w:val="auto"/>
          <w:highlight w:val="none"/>
        </w:rPr>
        <w:t>监狱企业证明文件(如有)（格式见附件）</w:t>
      </w:r>
      <w:r>
        <w:rPr>
          <w:rFonts w:hint="eastAsia" w:ascii="宋体" w:hAnsi="宋体" w:cs="宋体"/>
          <w:color w:val="auto"/>
          <w:highlight w:val="none"/>
          <w:lang w:eastAsia="zh-CN"/>
        </w:rPr>
        <w:t>；</w:t>
      </w:r>
    </w:p>
    <w:p>
      <w:pPr>
        <w:pStyle w:val="54"/>
        <w:numPr>
          <w:ilvl w:val="0"/>
          <w:numId w:val="11"/>
        </w:numPr>
        <w:spacing w:before="0" w:line="336" w:lineRule="auto"/>
        <w:ind w:firstLine="480"/>
        <w:rPr>
          <w:rFonts w:ascii="宋体"/>
          <w:color w:val="auto"/>
          <w:highlight w:val="none"/>
        </w:rPr>
      </w:pPr>
      <w:r>
        <w:rPr>
          <w:rFonts w:hint="eastAsia" w:ascii="宋体" w:hAnsi="宋体" w:cs="宋体"/>
          <w:color w:val="auto"/>
          <w:highlight w:val="none"/>
          <w:lang w:val="en-US" w:eastAsia="zh-CN"/>
        </w:rPr>
        <w:t>联合体协议书</w:t>
      </w:r>
      <w:r>
        <w:rPr>
          <w:rFonts w:hint="eastAsia" w:ascii="宋体" w:hAnsi="宋体" w:cs="宋体"/>
          <w:color w:val="auto"/>
          <w:highlight w:val="none"/>
        </w:rPr>
        <w:t>(如有)</w:t>
      </w:r>
      <w:r>
        <w:rPr>
          <w:rFonts w:hint="eastAsia" w:ascii="宋体" w:hAnsi="宋体" w:cs="宋体"/>
          <w:color w:val="auto"/>
          <w:highlight w:val="none"/>
          <w:lang w:val="en-US" w:eastAsia="zh-CN"/>
        </w:rPr>
        <w:t>（格式见附件）</w:t>
      </w:r>
      <w:r>
        <w:rPr>
          <w:rFonts w:hint="eastAsia" w:ascii="宋体" w:hAnsi="宋体" w:cs="宋体"/>
          <w:color w:val="auto"/>
          <w:highlight w:val="none"/>
        </w:rPr>
        <w:t>。</w:t>
      </w:r>
    </w:p>
    <w:p>
      <w:pPr>
        <w:pStyle w:val="54"/>
        <w:numPr>
          <w:ilvl w:val="0"/>
          <w:numId w:val="10"/>
        </w:numPr>
        <w:spacing w:before="0" w:line="336" w:lineRule="auto"/>
        <w:ind w:firstLine="480"/>
        <w:rPr>
          <w:rFonts w:ascii="宋体"/>
          <w:color w:val="auto"/>
          <w:highlight w:val="none"/>
        </w:rPr>
      </w:pPr>
      <w:r>
        <w:rPr>
          <w:rFonts w:hint="eastAsia" w:ascii="宋体" w:hAnsi="宋体" w:cs="宋体"/>
          <w:color w:val="auto"/>
          <w:highlight w:val="none"/>
        </w:rPr>
        <w:t>商务技术文件，本次磋商需要供应商提供以下项所列的技术文件：</w:t>
      </w:r>
    </w:p>
    <w:p>
      <w:pPr>
        <w:pStyle w:val="54"/>
        <w:numPr>
          <w:ilvl w:val="0"/>
          <w:numId w:val="12"/>
        </w:numPr>
        <w:spacing w:before="0" w:line="336" w:lineRule="auto"/>
        <w:ind w:left="0" w:leftChars="0" w:firstLine="480" w:firstLineChars="200"/>
        <w:rPr>
          <w:rFonts w:ascii="宋体"/>
          <w:color w:val="auto"/>
          <w:highlight w:val="none"/>
        </w:rPr>
      </w:pPr>
      <w:r>
        <w:rPr>
          <w:rFonts w:hint="eastAsia" w:ascii="宋体" w:hAnsi="宋体" w:cs="宋体"/>
          <w:color w:val="auto"/>
          <w:highlight w:val="none"/>
        </w:rPr>
        <w:t>评分对应表（格式见附件，主要用于评委对应评分内容）</w:t>
      </w:r>
      <w:r>
        <w:rPr>
          <w:rFonts w:hint="eastAsia" w:ascii="宋体" w:hAnsi="宋体" w:cs="宋体"/>
          <w:color w:val="auto"/>
          <w:highlight w:val="none"/>
          <w:lang w:eastAsia="zh-CN"/>
        </w:rPr>
        <w:t>；</w:t>
      </w:r>
    </w:p>
    <w:p>
      <w:pPr>
        <w:pStyle w:val="54"/>
        <w:numPr>
          <w:ilvl w:val="0"/>
          <w:numId w:val="12"/>
        </w:numPr>
        <w:spacing w:before="0" w:line="336" w:lineRule="auto"/>
        <w:ind w:left="0" w:leftChars="0" w:firstLine="480" w:firstLineChars="200"/>
        <w:rPr>
          <w:rFonts w:ascii="宋体"/>
          <w:color w:val="auto"/>
          <w:highlight w:val="none"/>
        </w:rPr>
      </w:pPr>
      <w:r>
        <w:rPr>
          <w:rFonts w:hint="eastAsia" w:ascii="宋体" w:hAnsi="宋体" w:cs="宋体"/>
          <w:color w:val="auto"/>
          <w:highlight w:val="none"/>
        </w:rPr>
        <w:t>供应商商务技术文件中资信分自评表（格式见附件）；</w:t>
      </w:r>
    </w:p>
    <w:p>
      <w:pPr>
        <w:pStyle w:val="54"/>
        <w:numPr>
          <w:ilvl w:val="0"/>
          <w:numId w:val="12"/>
        </w:numPr>
        <w:spacing w:before="0" w:line="336" w:lineRule="auto"/>
        <w:ind w:left="0" w:leftChars="0" w:firstLine="480" w:firstLineChars="200"/>
        <w:rPr>
          <w:rFonts w:ascii="宋体"/>
          <w:color w:val="auto"/>
          <w:highlight w:val="none"/>
        </w:rPr>
      </w:pPr>
      <w:r>
        <w:rPr>
          <w:rFonts w:hint="eastAsia" w:ascii="宋体" w:hAnsi="宋体" w:cs="宋体"/>
          <w:color w:val="auto"/>
          <w:highlight w:val="none"/>
        </w:rPr>
        <w:t>磋商项目明细清单（格式见附件）；</w:t>
      </w:r>
    </w:p>
    <w:p>
      <w:pPr>
        <w:pStyle w:val="54"/>
        <w:numPr>
          <w:ilvl w:val="0"/>
          <w:numId w:val="12"/>
        </w:numPr>
        <w:spacing w:before="0" w:line="336" w:lineRule="auto"/>
        <w:ind w:left="0" w:leftChars="0" w:firstLine="480" w:firstLineChars="200"/>
        <w:rPr>
          <w:rFonts w:ascii="宋体"/>
          <w:color w:val="auto"/>
          <w:highlight w:val="none"/>
        </w:rPr>
      </w:pPr>
      <w:r>
        <w:rPr>
          <w:rFonts w:hint="eastAsia" w:ascii="宋体" w:hAnsi="宋体" w:cs="宋体"/>
          <w:color w:val="auto"/>
          <w:highlight w:val="none"/>
        </w:rPr>
        <w:t>技术响应及建议表（格式见附件）；</w:t>
      </w:r>
    </w:p>
    <w:p>
      <w:pPr>
        <w:pStyle w:val="54"/>
        <w:numPr>
          <w:ilvl w:val="0"/>
          <w:numId w:val="12"/>
        </w:numPr>
        <w:spacing w:before="0" w:line="336" w:lineRule="auto"/>
        <w:ind w:left="0" w:leftChars="0" w:firstLine="480" w:firstLineChars="200"/>
        <w:rPr>
          <w:rFonts w:ascii="宋体" w:hAnsi="宋体" w:cs="宋体"/>
          <w:color w:val="auto"/>
          <w:highlight w:val="none"/>
        </w:rPr>
      </w:pPr>
      <w:r>
        <w:rPr>
          <w:rFonts w:hint="eastAsia" w:ascii="宋体" w:hAnsi="宋体" w:cs="宋体"/>
          <w:color w:val="auto"/>
          <w:highlight w:val="none"/>
        </w:rPr>
        <w:t>商务响应表（格式见附件）；</w:t>
      </w:r>
    </w:p>
    <w:p>
      <w:pPr>
        <w:pStyle w:val="54"/>
        <w:numPr>
          <w:ilvl w:val="0"/>
          <w:numId w:val="12"/>
        </w:numPr>
        <w:tabs>
          <w:tab w:val="left" w:pos="0"/>
        </w:tabs>
        <w:spacing w:before="0" w:line="336" w:lineRule="auto"/>
        <w:ind w:left="0" w:leftChars="0" w:firstLine="480" w:firstLineChars="200"/>
        <w:rPr>
          <w:rFonts w:hint="eastAsia" w:ascii="宋体" w:hAnsi="宋体" w:cs="宋体"/>
          <w:color w:val="auto"/>
          <w:highlight w:val="none"/>
          <w:lang w:eastAsia="zh-CN"/>
        </w:rPr>
      </w:pPr>
      <w:r>
        <w:rPr>
          <w:rFonts w:hint="eastAsia" w:ascii="宋体" w:hAnsi="宋体" w:eastAsia="宋体" w:cs="宋体"/>
          <w:color w:val="auto"/>
          <w:highlight w:val="none"/>
        </w:rPr>
        <w:t>项目组人员清单</w:t>
      </w:r>
      <w:r>
        <w:rPr>
          <w:rFonts w:hint="eastAsia" w:ascii="宋体" w:hAnsi="宋体" w:cs="宋体"/>
          <w:color w:val="auto"/>
          <w:highlight w:val="none"/>
        </w:rPr>
        <w:t>（格式见附件）</w:t>
      </w:r>
      <w:r>
        <w:rPr>
          <w:rFonts w:hint="eastAsia" w:ascii="宋体" w:hAnsi="宋体" w:cs="宋体"/>
          <w:color w:val="auto"/>
          <w:highlight w:val="none"/>
          <w:lang w:eastAsia="zh-CN"/>
        </w:rPr>
        <w:t>；</w:t>
      </w:r>
    </w:p>
    <w:p>
      <w:pPr>
        <w:pStyle w:val="54"/>
        <w:numPr>
          <w:ilvl w:val="0"/>
          <w:numId w:val="12"/>
        </w:numPr>
        <w:tabs>
          <w:tab w:val="left" w:pos="0"/>
        </w:tabs>
        <w:spacing w:before="0" w:line="336" w:lineRule="auto"/>
        <w:ind w:left="0" w:leftChars="0" w:firstLine="480" w:firstLineChars="200"/>
        <w:rPr>
          <w:rFonts w:hint="eastAsia" w:ascii="宋体" w:hAnsi="宋体" w:cs="宋体"/>
          <w:color w:val="auto"/>
          <w:highlight w:val="none"/>
          <w:lang w:eastAsia="zh-CN"/>
        </w:rPr>
      </w:pPr>
      <w:r>
        <w:rPr>
          <w:rFonts w:hint="eastAsia" w:ascii="宋体" w:hAnsi="宋体" w:cs="宋体"/>
          <w:color w:val="auto"/>
          <w:highlight w:val="none"/>
          <w:lang w:eastAsia="zh-CN"/>
        </w:rPr>
        <w:t>项目方案及工作思路；</w:t>
      </w:r>
    </w:p>
    <w:p>
      <w:pPr>
        <w:pStyle w:val="54"/>
        <w:numPr>
          <w:ilvl w:val="0"/>
          <w:numId w:val="12"/>
        </w:numPr>
        <w:tabs>
          <w:tab w:val="left" w:pos="0"/>
        </w:tabs>
        <w:spacing w:before="0" w:line="336" w:lineRule="auto"/>
        <w:ind w:left="0" w:leftChars="0" w:firstLine="480" w:firstLineChars="200"/>
        <w:rPr>
          <w:rFonts w:hint="eastAsia" w:ascii="宋体" w:hAnsi="宋体" w:cs="宋体"/>
          <w:color w:val="auto"/>
          <w:highlight w:val="none"/>
          <w:lang w:eastAsia="zh-CN"/>
        </w:rPr>
      </w:pPr>
      <w:r>
        <w:rPr>
          <w:rFonts w:hint="eastAsia" w:ascii="宋体" w:hAnsi="宋体" w:cs="宋体"/>
          <w:color w:val="auto"/>
          <w:highlight w:val="none"/>
          <w:lang w:eastAsia="zh-CN"/>
        </w:rPr>
        <w:t>项目进度计划；</w:t>
      </w:r>
    </w:p>
    <w:p>
      <w:pPr>
        <w:pStyle w:val="54"/>
        <w:numPr>
          <w:ilvl w:val="0"/>
          <w:numId w:val="12"/>
        </w:numPr>
        <w:tabs>
          <w:tab w:val="left" w:pos="0"/>
        </w:tabs>
        <w:spacing w:before="0" w:line="336" w:lineRule="auto"/>
        <w:ind w:left="0" w:leftChars="0" w:firstLine="480" w:firstLineChars="200"/>
        <w:rPr>
          <w:rFonts w:hint="eastAsia" w:ascii="宋体" w:hAnsi="宋体" w:cs="宋体"/>
          <w:color w:val="auto"/>
          <w:highlight w:val="none"/>
          <w:lang w:eastAsia="zh-CN"/>
        </w:rPr>
      </w:pPr>
      <w:r>
        <w:rPr>
          <w:rFonts w:hint="eastAsia" w:ascii="宋体" w:hAnsi="宋体" w:cs="宋体"/>
          <w:color w:val="auto"/>
          <w:highlight w:val="none"/>
          <w:lang w:eastAsia="zh-CN"/>
        </w:rPr>
        <w:t>项目质量管理；</w:t>
      </w:r>
    </w:p>
    <w:p>
      <w:pPr>
        <w:pStyle w:val="54"/>
        <w:numPr>
          <w:ilvl w:val="0"/>
          <w:numId w:val="12"/>
        </w:numPr>
        <w:tabs>
          <w:tab w:val="left" w:pos="0"/>
        </w:tabs>
        <w:spacing w:before="0" w:line="336" w:lineRule="auto"/>
        <w:ind w:left="0" w:leftChars="0" w:firstLine="480" w:firstLineChars="200"/>
        <w:rPr>
          <w:rFonts w:hint="eastAsia" w:ascii="宋体" w:hAnsi="宋体" w:cs="宋体"/>
          <w:color w:val="auto"/>
          <w:highlight w:val="none"/>
          <w:lang w:eastAsia="zh-CN"/>
        </w:rPr>
      </w:pPr>
      <w:r>
        <w:rPr>
          <w:rFonts w:hint="eastAsia" w:ascii="宋体" w:hAnsi="宋体" w:cs="宋体"/>
          <w:color w:val="auto"/>
          <w:highlight w:val="none"/>
          <w:lang w:eastAsia="zh-CN"/>
        </w:rPr>
        <w:t>服务承诺；</w:t>
      </w:r>
    </w:p>
    <w:p>
      <w:pPr>
        <w:pStyle w:val="54"/>
        <w:numPr>
          <w:ilvl w:val="0"/>
          <w:numId w:val="12"/>
        </w:numPr>
        <w:tabs>
          <w:tab w:val="left" w:pos="0"/>
        </w:tabs>
        <w:spacing w:before="0" w:line="336" w:lineRule="auto"/>
        <w:ind w:left="0" w:leftChars="0" w:firstLine="480" w:firstLineChars="200"/>
        <w:rPr>
          <w:rFonts w:hint="eastAsia" w:ascii="宋体" w:hAnsi="宋体" w:cs="宋体"/>
          <w:color w:val="auto"/>
          <w:highlight w:val="none"/>
          <w:lang w:eastAsia="zh-CN"/>
        </w:rPr>
      </w:pPr>
      <w:r>
        <w:rPr>
          <w:rFonts w:hint="eastAsia" w:ascii="宋体" w:hAnsi="宋体" w:cs="宋体"/>
          <w:color w:val="auto"/>
          <w:highlight w:val="none"/>
          <w:lang w:eastAsia="zh-CN"/>
        </w:rPr>
        <w:t>成果编制要求；</w:t>
      </w:r>
    </w:p>
    <w:p>
      <w:pPr>
        <w:pStyle w:val="54"/>
        <w:numPr>
          <w:ilvl w:val="0"/>
          <w:numId w:val="12"/>
        </w:numPr>
        <w:tabs>
          <w:tab w:val="left" w:pos="0"/>
        </w:tabs>
        <w:spacing w:before="0" w:line="336" w:lineRule="auto"/>
        <w:ind w:left="0" w:leftChars="0" w:firstLine="480" w:firstLineChars="200"/>
        <w:rPr>
          <w:rFonts w:hint="eastAsia" w:ascii="宋体" w:hAnsi="宋体" w:cs="宋体"/>
          <w:color w:val="auto"/>
          <w:highlight w:val="none"/>
        </w:rPr>
      </w:pPr>
      <w:r>
        <w:rPr>
          <w:rFonts w:hint="eastAsia" w:ascii="宋体" w:hAnsi="宋体" w:cs="宋体"/>
          <w:color w:val="auto"/>
          <w:highlight w:val="none"/>
          <w:lang w:eastAsia="zh-CN"/>
        </w:rPr>
        <w:t>人员配置；</w:t>
      </w:r>
    </w:p>
    <w:p>
      <w:pPr>
        <w:pStyle w:val="54"/>
        <w:numPr>
          <w:ilvl w:val="0"/>
          <w:numId w:val="12"/>
        </w:numPr>
        <w:tabs>
          <w:tab w:val="left" w:pos="0"/>
        </w:tabs>
        <w:spacing w:before="0" w:line="336" w:lineRule="auto"/>
        <w:ind w:left="0" w:leftChars="0" w:firstLine="480" w:firstLineChars="200"/>
        <w:rPr>
          <w:rFonts w:hint="eastAsia" w:ascii="宋体" w:hAnsi="宋体" w:cs="宋体"/>
          <w:color w:val="auto"/>
          <w:highlight w:val="none"/>
        </w:rPr>
      </w:pPr>
      <w:r>
        <w:rPr>
          <w:rFonts w:hint="eastAsia" w:ascii="宋体" w:hAnsi="宋体" w:cs="宋体"/>
          <w:color w:val="auto"/>
          <w:highlight w:val="none"/>
          <w:lang w:val="en-US" w:eastAsia="zh-CN"/>
        </w:rPr>
        <w:t>同类业绩；</w:t>
      </w:r>
    </w:p>
    <w:p>
      <w:pPr>
        <w:pStyle w:val="54"/>
        <w:numPr>
          <w:ilvl w:val="0"/>
          <w:numId w:val="12"/>
        </w:numPr>
        <w:tabs>
          <w:tab w:val="left" w:pos="0"/>
        </w:tabs>
        <w:spacing w:before="0" w:line="336" w:lineRule="auto"/>
        <w:ind w:left="0" w:leftChars="0" w:firstLine="480" w:firstLineChars="200"/>
        <w:rPr>
          <w:rFonts w:hint="eastAsia" w:ascii="宋体" w:hAnsi="宋体" w:cs="宋体"/>
          <w:color w:val="auto"/>
          <w:highlight w:val="none"/>
        </w:rPr>
      </w:pPr>
      <w:r>
        <w:rPr>
          <w:rFonts w:hint="eastAsia" w:ascii="宋体" w:hAnsi="宋体" w:cs="宋体"/>
          <w:color w:val="auto"/>
          <w:highlight w:val="none"/>
          <w:lang w:val="en-US" w:eastAsia="zh-CN"/>
        </w:rPr>
        <w:t>企业资质</w:t>
      </w:r>
    </w:p>
    <w:p>
      <w:pPr>
        <w:pStyle w:val="54"/>
        <w:numPr>
          <w:ilvl w:val="0"/>
          <w:numId w:val="12"/>
        </w:numPr>
        <w:tabs>
          <w:tab w:val="left" w:pos="0"/>
        </w:tabs>
        <w:spacing w:before="0" w:line="336" w:lineRule="auto"/>
        <w:ind w:left="0" w:leftChars="0" w:firstLine="480" w:firstLineChars="200"/>
        <w:rPr>
          <w:rFonts w:hint="eastAsia" w:ascii="宋体" w:hAnsi="宋体" w:cs="宋体"/>
          <w:color w:val="auto"/>
          <w:highlight w:val="none"/>
        </w:rPr>
      </w:pPr>
      <w:r>
        <w:rPr>
          <w:rFonts w:hint="eastAsia" w:ascii="宋体" w:hAnsi="宋体" w:cs="宋体"/>
          <w:color w:val="auto"/>
          <w:highlight w:val="none"/>
          <w:lang w:val="en-US" w:eastAsia="zh-CN"/>
        </w:rPr>
        <w:t>认证证书；</w:t>
      </w:r>
    </w:p>
    <w:p>
      <w:pPr>
        <w:pStyle w:val="54"/>
        <w:numPr>
          <w:ilvl w:val="0"/>
          <w:numId w:val="12"/>
        </w:numPr>
        <w:tabs>
          <w:tab w:val="left" w:pos="0"/>
        </w:tabs>
        <w:spacing w:before="0" w:line="336" w:lineRule="auto"/>
        <w:ind w:left="0" w:leftChars="0" w:firstLine="480" w:firstLineChars="200"/>
        <w:rPr>
          <w:rFonts w:hint="eastAsia" w:ascii="宋体" w:hAnsi="宋体" w:cs="宋体"/>
          <w:color w:val="auto"/>
          <w:highlight w:val="none"/>
        </w:rPr>
      </w:pPr>
      <w:r>
        <w:rPr>
          <w:rFonts w:hint="eastAsia" w:ascii="宋体" w:hAnsi="宋体" w:cs="宋体"/>
          <w:color w:val="auto"/>
          <w:highlight w:val="none"/>
          <w:lang w:val="en-US" w:eastAsia="zh-CN"/>
        </w:rPr>
        <w:t>人员证书；</w:t>
      </w:r>
    </w:p>
    <w:p>
      <w:pPr>
        <w:pStyle w:val="54"/>
        <w:numPr>
          <w:ilvl w:val="0"/>
          <w:numId w:val="12"/>
        </w:numPr>
        <w:tabs>
          <w:tab w:val="left" w:pos="0"/>
        </w:tabs>
        <w:spacing w:before="0" w:line="336" w:lineRule="auto"/>
        <w:ind w:left="0" w:leftChars="0" w:firstLine="480" w:firstLineChars="200"/>
        <w:rPr>
          <w:rFonts w:hint="eastAsia" w:ascii="宋体" w:hAnsi="宋体" w:cs="宋体"/>
          <w:color w:val="auto"/>
          <w:highlight w:val="none"/>
        </w:rPr>
      </w:pPr>
      <w:r>
        <w:rPr>
          <w:rFonts w:hint="eastAsia" w:ascii="宋体" w:hAnsi="宋体" w:cs="宋体"/>
          <w:color w:val="auto"/>
          <w:highlight w:val="none"/>
        </w:rPr>
        <w:t xml:space="preserve">投标方认为需要的其他文件资料。 </w:t>
      </w:r>
    </w:p>
    <w:p>
      <w:pPr>
        <w:pStyle w:val="54"/>
        <w:tabs>
          <w:tab w:val="left" w:pos="0"/>
        </w:tabs>
        <w:spacing w:before="0" w:line="336" w:lineRule="auto"/>
        <w:ind w:firstLine="480"/>
        <w:rPr>
          <w:rFonts w:ascii="宋体"/>
          <w:color w:val="auto"/>
          <w:highlight w:val="none"/>
        </w:rPr>
      </w:pPr>
      <w:r>
        <w:rPr>
          <w:rFonts w:hint="eastAsia" w:ascii="宋体" w:hAnsi="宋体" w:cs="宋体"/>
          <w:color w:val="auto"/>
          <w:highlight w:val="none"/>
        </w:rPr>
        <w:t>注：以上内容应与评标办法中内容具有一致性。</w:t>
      </w:r>
    </w:p>
    <w:p>
      <w:pPr>
        <w:pStyle w:val="54"/>
        <w:tabs>
          <w:tab w:val="left" w:pos="0"/>
        </w:tabs>
        <w:spacing w:before="0" w:line="336" w:lineRule="auto"/>
        <w:ind w:firstLine="480"/>
        <w:rPr>
          <w:rFonts w:ascii="宋体"/>
          <w:color w:val="auto"/>
          <w:highlight w:val="none"/>
        </w:rPr>
      </w:pPr>
      <w:r>
        <w:rPr>
          <w:rFonts w:hint="eastAsia" w:ascii="宋体" w:hAnsi="宋体" w:cs="宋体"/>
          <w:color w:val="auto"/>
          <w:highlight w:val="none"/>
        </w:rPr>
        <w:t>如果本项目涉及软件采购，还需提供相关完整配置方案（软件名称、品牌、规格型号、数量、主要技术参数等），提供主要磋商产品的技术参数证明材料（如官网截图、产品彩页、技术说明等），明确表示该项指标所涉及的软件是标准配置还是选择配置。</w:t>
      </w:r>
    </w:p>
    <w:p>
      <w:pPr>
        <w:pStyle w:val="54"/>
        <w:tabs>
          <w:tab w:val="left" w:pos="0"/>
        </w:tabs>
        <w:spacing w:before="0" w:line="336" w:lineRule="auto"/>
        <w:ind w:firstLine="480"/>
        <w:rPr>
          <w:rFonts w:ascii="宋体"/>
          <w:color w:val="auto"/>
          <w:highlight w:val="none"/>
        </w:rPr>
      </w:pPr>
      <w:r>
        <w:rPr>
          <w:rFonts w:hint="eastAsia" w:ascii="宋体" w:hAnsi="宋体" w:cs="宋体"/>
          <w:color w:val="auto"/>
          <w:highlight w:val="none"/>
        </w:rPr>
        <w:t>供应商在响应文件中应对项目技术规范和服务要求中所提出各项要求进行答复、说明和解释。如果供应商在技术偏离表中注明无偏离，评标结束后、签订采购合同前又认为其实际产品与响应技术需求不一致的，视为供应商在磋商响应文件有效期内对其响应文件进行了实质性修改，其磋商将被追认为无效磋商。</w:t>
      </w:r>
      <w:r>
        <w:rPr>
          <w:rFonts w:hint="eastAsia" w:ascii="宋体" w:hAnsi="宋体" w:cs="宋体"/>
          <w:b/>
          <w:bCs/>
          <w:color w:val="auto"/>
          <w:highlight w:val="none"/>
        </w:rPr>
        <w:t>采购代理机构将把这一情况报送采购监管部门。实质性指标、关键性指标和重要指标需提供证明材料，如技术偏离表中仅复制粘贴而未说明或提供证明材料的，其产生的影响直至被认定为未实质性响应的后果将由供应商自行承担。</w:t>
      </w:r>
    </w:p>
    <w:p>
      <w:pPr>
        <w:pStyle w:val="54"/>
        <w:numPr>
          <w:ilvl w:val="0"/>
          <w:numId w:val="10"/>
        </w:numPr>
        <w:spacing w:before="0" w:line="336" w:lineRule="auto"/>
        <w:ind w:firstLine="480"/>
        <w:rPr>
          <w:rFonts w:ascii="宋体"/>
          <w:color w:val="auto"/>
          <w:highlight w:val="none"/>
        </w:rPr>
      </w:pPr>
      <w:r>
        <w:rPr>
          <w:rFonts w:hint="eastAsia" w:ascii="宋体" w:hAnsi="宋体" w:cs="宋体"/>
          <w:color w:val="auto"/>
          <w:highlight w:val="none"/>
        </w:rPr>
        <w:t>报价文件包括以下内容：</w:t>
      </w:r>
    </w:p>
    <w:p>
      <w:pPr>
        <w:pStyle w:val="54"/>
        <w:numPr>
          <w:ilvl w:val="0"/>
          <w:numId w:val="13"/>
        </w:numPr>
        <w:spacing w:before="0" w:line="336" w:lineRule="auto"/>
        <w:ind w:firstLine="480"/>
        <w:rPr>
          <w:rFonts w:ascii="宋体"/>
          <w:color w:val="auto"/>
          <w:highlight w:val="none"/>
        </w:rPr>
      </w:pPr>
      <w:r>
        <w:rPr>
          <w:rFonts w:hint="eastAsia" w:ascii="宋体" w:hAnsi="宋体" w:cs="宋体"/>
          <w:color w:val="auto"/>
          <w:highlight w:val="none"/>
        </w:rPr>
        <w:t>磋商函（格式见附件）；</w:t>
      </w:r>
    </w:p>
    <w:p>
      <w:pPr>
        <w:pStyle w:val="54"/>
        <w:numPr>
          <w:ilvl w:val="0"/>
          <w:numId w:val="13"/>
        </w:numPr>
        <w:spacing w:before="0" w:line="336" w:lineRule="auto"/>
        <w:ind w:firstLine="480"/>
        <w:rPr>
          <w:rFonts w:ascii="宋体"/>
          <w:color w:val="auto"/>
          <w:highlight w:val="none"/>
        </w:rPr>
      </w:pPr>
      <w:r>
        <w:rPr>
          <w:rFonts w:hint="eastAsia" w:ascii="宋体" w:hAnsi="宋体" w:cs="宋体"/>
          <w:color w:val="auto"/>
          <w:highlight w:val="none"/>
        </w:rPr>
        <w:t>报价一览表（格式见附件）；</w:t>
      </w:r>
    </w:p>
    <w:p>
      <w:pPr>
        <w:pStyle w:val="54"/>
        <w:numPr>
          <w:ilvl w:val="0"/>
          <w:numId w:val="13"/>
        </w:numPr>
        <w:spacing w:before="0" w:line="336" w:lineRule="auto"/>
        <w:ind w:firstLine="480"/>
        <w:rPr>
          <w:rFonts w:ascii="宋体"/>
          <w:color w:val="auto"/>
          <w:highlight w:val="none"/>
        </w:rPr>
      </w:pPr>
      <w:r>
        <w:rPr>
          <w:rFonts w:hint="eastAsia" w:ascii="宋体" w:hAnsi="宋体" w:cs="宋体"/>
          <w:color w:val="auto"/>
          <w:highlight w:val="none"/>
        </w:rPr>
        <w:t>磋商报价明细表（格式见附件）。</w:t>
      </w:r>
    </w:p>
    <w:p>
      <w:pPr>
        <w:pStyle w:val="54"/>
        <w:spacing w:before="0" w:line="336" w:lineRule="auto"/>
        <w:ind w:firstLine="241" w:firstLineChars="100"/>
        <w:rPr>
          <w:rFonts w:ascii="宋体"/>
          <w:b/>
          <w:bCs/>
          <w:color w:val="auto"/>
          <w:highlight w:val="none"/>
          <w:u w:val="single"/>
        </w:rPr>
      </w:pPr>
      <w:r>
        <w:rPr>
          <w:rFonts w:hint="eastAsia" w:ascii="宋体" w:hAnsi="宋体" w:cs="宋体"/>
          <w:b/>
          <w:bCs/>
          <w:color w:val="auto"/>
          <w:highlight w:val="none"/>
          <w:u w:val="single"/>
        </w:rPr>
        <w:t>注：“资格文件”、“商务技术文件”、“报价文件”须分</w:t>
      </w:r>
      <w:r>
        <w:rPr>
          <w:rFonts w:ascii="宋体" w:hAnsi="宋体" w:cs="宋体"/>
          <w:b/>
          <w:bCs/>
          <w:color w:val="auto"/>
          <w:highlight w:val="none"/>
          <w:u w:val="single"/>
        </w:rPr>
        <w:t>3</w:t>
      </w:r>
      <w:r>
        <w:rPr>
          <w:rFonts w:hint="eastAsia" w:ascii="宋体" w:hAnsi="宋体" w:cs="宋体"/>
          <w:b/>
          <w:bCs/>
          <w:color w:val="auto"/>
          <w:highlight w:val="none"/>
          <w:u w:val="single"/>
        </w:rPr>
        <w:t>个</w:t>
      </w:r>
      <w:r>
        <w:rPr>
          <w:rFonts w:ascii="宋体" w:hAnsi="宋体" w:cs="宋体"/>
          <w:b/>
          <w:bCs/>
          <w:color w:val="auto"/>
          <w:highlight w:val="none"/>
          <w:u w:val="single"/>
        </w:rPr>
        <w:t>PDF</w:t>
      </w:r>
      <w:r>
        <w:rPr>
          <w:rFonts w:hint="eastAsia" w:ascii="宋体" w:hAnsi="宋体" w:cs="宋体"/>
          <w:b/>
          <w:bCs/>
          <w:color w:val="auto"/>
          <w:highlight w:val="none"/>
          <w:u w:val="single"/>
        </w:rPr>
        <w:t>格式分别导入。</w:t>
      </w:r>
    </w:p>
    <w:p>
      <w:pPr>
        <w:pStyle w:val="54"/>
        <w:spacing w:before="0" w:line="336" w:lineRule="auto"/>
        <w:ind w:left="420" w:leftChars="200" w:firstLine="0" w:firstLineChars="0"/>
        <w:rPr>
          <w:rFonts w:ascii="宋体"/>
          <w:b/>
          <w:bCs/>
          <w:color w:val="auto"/>
          <w:highlight w:val="none"/>
        </w:rPr>
      </w:pPr>
      <w:r>
        <w:rPr>
          <w:rFonts w:ascii="宋体" w:hAnsi="宋体" w:cs="宋体"/>
          <w:b/>
          <w:bCs/>
          <w:color w:val="auto"/>
          <w:highlight w:val="none"/>
        </w:rPr>
        <w:t>10</w:t>
      </w:r>
      <w:r>
        <w:rPr>
          <w:rFonts w:hint="eastAsia" w:ascii="宋体" w:hAnsi="宋体" w:cs="宋体"/>
          <w:b/>
          <w:bCs/>
          <w:color w:val="auto"/>
          <w:highlight w:val="none"/>
        </w:rPr>
        <w:t>、响应文件有效期</w:t>
      </w:r>
    </w:p>
    <w:p>
      <w:pPr>
        <w:pStyle w:val="54"/>
        <w:spacing w:before="0" w:line="336" w:lineRule="auto"/>
        <w:ind w:left="420" w:leftChars="200" w:firstLine="0" w:firstLineChars="0"/>
        <w:rPr>
          <w:rFonts w:ascii="宋体"/>
          <w:color w:val="auto"/>
          <w:highlight w:val="none"/>
        </w:rPr>
      </w:pPr>
      <w:r>
        <w:rPr>
          <w:rFonts w:ascii="宋体" w:hAnsi="宋体" w:cs="宋体"/>
          <w:color w:val="auto"/>
          <w:highlight w:val="none"/>
        </w:rPr>
        <w:t xml:space="preserve">10.1 </w:t>
      </w:r>
      <w:r>
        <w:rPr>
          <w:rFonts w:hint="eastAsia" w:ascii="宋体" w:hAnsi="宋体" w:cs="宋体"/>
          <w:color w:val="auto"/>
          <w:highlight w:val="none"/>
        </w:rPr>
        <w:t>响应文件未在磋商响应截止时间前完成传输的或者未按时解密的，视为放弃磋商；响应文件解密失败后未提供备份文件或者备份文件也出现异常情况无法进行评审的，亦视为放弃磋商。</w:t>
      </w:r>
    </w:p>
    <w:p>
      <w:pPr>
        <w:pStyle w:val="54"/>
        <w:spacing w:before="0" w:line="336" w:lineRule="auto"/>
        <w:ind w:left="420" w:leftChars="200" w:firstLine="0" w:firstLineChars="0"/>
        <w:rPr>
          <w:rFonts w:ascii="宋体"/>
          <w:color w:val="auto"/>
          <w:highlight w:val="none"/>
        </w:rPr>
      </w:pPr>
      <w:r>
        <w:rPr>
          <w:rFonts w:ascii="宋体" w:hAnsi="宋体" w:cs="宋体"/>
          <w:color w:val="auto"/>
          <w:highlight w:val="none"/>
        </w:rPr>
        <w:t xml:space="preserve">10.2 </w:t>
      </w:r>
      <w:r>
        <w:rPr>
          <w:rFonts w:hint="eastAsia" w:ascii="宋体" w:hAnsi="宋体" w:cs="宋体"/>
          <w:color w:val="auto"/>
          <w:highlight w:val="none"/>
        </w:rPr>
        <w:t>响应文件上传后，自磋商响应截止日期起，在前附表所列的磋商响应文件有效期内有效。</w:t>
      </w:r>
    </w:p>
    <w:p>
      <w:pPr>
        <w:pStyle w:val="54"/>
        <w:spacing w:before="0" w:line="336" w:lineRule="auto"/>
        <w:ind w:left="420" w:leftChars="200" w:firstLine="0" w:firstLineChars="0"/>
        <w:rPr>
          <w:rFonts w:ascii="宋体"/>
          <w:color w:val="auto"/>
          <w:highlight w:val="none"/>
        </w:rPr>
      </w:pPr>
      <w:r>
        <w:rPr>
          <w:rFonts w:ascii="宋体" w:hAnsi="宋体" w:cs="宋体"/>
          <w:color w:val="auto"/>
          <w:highlight w:val="none"/>
        </w:rPr>
        <w:t xml:space="preserve">10.3 </w:t>
      </w:r>
      <w:r>
        <w:rPr>
          <w:rFonts w:hint="eastAsia" w:ascii="宋体" w:hAnsi="宋体" w:cs="宋体"/>
          <w:color w:val="auto"/>
          <w:highlight w:val="none"/>
        </w:rPr>
        <w:t>在原定有效期满之前，如果出现特殊情况，采购代理机构可以以书面形式向磋商供应商提出延长磋商有效期的要求，磋商供应商对此须以书面形式予以答复。</w:t>
      </w:r>
    </w:p>
    <w:p>
      <w:pPr>
        <w:pStyle w:val="54"/>
        <w:spacing w:before="0" w:line="336" w:lineRule="auto"/>
        <w:ind w:left="420" w:leftChars="200" w:firstLine="0" w:firstLineChars="0"/>
        <w:rPr>
          <w:rFonts w:ascii="宋体"/>
          <w:b/>
          <w:bCs/>
          <w:color w:val="auto"/>
          <w:highlight w:val="none"/>
        </w:rPr>
      </w:pPr>
      <w:r>
        <w:rPr>
          <w:rFonts w:ascii="宋体" w:hAnsi="宋体" w:cs="宋体"/>
          <w:b/>
          <w:bCs/>
          <w:color w:val="auto"/>
          <w:highlight w:val="none"/>
        </w:rPr>
        <w:t>11</w:t>
      </w:r>
      <w:r>
        <w:rPr>
          <w:rFonts w:hint="eastAsia" w:ascii="宋体" w:hAnsi="宋体" w:cs="宋体"/>
          <w:b/>
          <w:bCs/>
          <w:color w:val="auto"/>
          <w:highlight w:val="none"/>
        </w:rPr>
        <w:t>、供应商如有下列情况之一者列入不良行为记录：</w:t>
      </w:r>
    </w:p>
    <w:p>
      <w:pPr>
        <w:pStyle w:val="54"/>
        <w:spacing w:before="0" w:line="336" w:lineRule="auto"/>
        <w:ind w:left="420" w:leftChars="200" w:firstLine="0" w:firstLineChars="0"/>
        <w:rPr>
          <w:rFonts w:ascii="宋体"/>
          <w:color w:val="auto"/>
          <w:highlight w:val="none"/>
        </w:rPr>
      </w:pPr>
      <w:r>
        <w:rPr>
          <w:rFonts w:ascii="宋体" w:hAnsi="宋体" w:cs="宋体"/>
          <w:color w:val="auto"/>
          <w:highlight w:val="none"/>
        </w:rPr>
        <w:t xml:space="preserve">11.1 </w:t>
      </w:r>
      <w:r>
        <w:rPr>
          <w:rFonts w:hint="eastAsia" w:ascii="宋体" w:hAnsi="宋体" w:cs="宋体"/>
          <w:color w:val="auto"/>
          <w:highlight w:val="none"/>
        </w:rPr>
        <w:t>供应商在磋商响应文件有效期内撤回投标的；</w:t>
      </w:r>
    </w:p>
    <w:p>
      <w:pPr>
        <w:pStyle w:val="54"/>
        <w:spacing w:before="0" w:line="336" w:lineRule="auto"/>
        <w:ind w:left="420" w:leftChars="200" w:firstLine="0" w:firstLineChars="0"/>
        <w:rPr>
          <w:rFonts w:ascii="宋体"/>
          <w:color w:val="auto"/>
          <w:highlight w:val="none"/>
        </w:rPr>
      </w:pPr>
      <w:r>
        <w:rPr>
          <w:rFonts w:ascii="宋体" w:hAnsi="宋体" w:cs="宋体"/>
          <w:color w:val="auto"/>
          <w:highlight w:val="none"/>
        </w:rPr>
        <w:t xml:space="preserve">11.2 </w:t>
      </w:r>
      <w:r>
        <w:rPr>
          <w:rFonts w:hint="eastAsia" w:ascii="宋体" w:hAnsi="宋体" w:cs="宋体"/>
          <w:color w:val="auto"/>
          <w:highlight w:val="none"/>
        </w:rPr>
        <w:t>供应商或中标候选人放弃中标或中标候选人资格的；</w:t>
      </w:r>
    </w:p>
    <w:p>
      <w:pPr>
        <w:pStyle w:val="54"/>
        <w:spacing w:before="0" w:line="336" w:lineRule="auto"/>
        <w:ind w:left="420" w:leftChars="200" w:firstLine="0" w:firstLineChars="0"/>
        <w:rPr>
          <w:rFonts w:ascii="宋体"/>
          <w:color w:val="auto"/>
          <w:highlight w:val="none"/>
        </w:rPr>
      </w:pPr>
      <w:r>
        <w:rPr>
          <w:rFonts w:ascii="宋体" w:hAnsi="宋体" w:cs="宋体"/>
          <w:color w:val="auto"/>
          <w:highlight w:val="none"/>
        </w:rPr>
        <w:t xml:space="preserve">11.3 </w:t>
      </w:r>
      <w:r>
        <w:rPr>
          <w:rFonts w:hint="eastAsia" w:ascii="宋体" w:hAnsi="宋体" w:cs="宋体"/>
          <w:color w:val="auto"/>
          <w:highlight w:val="none"/>
        </w:rPr>
        <w:t>擅自修改或拒绝接受已经确认的条款；</w:t>
      </w:r>
    </w:p>
    <w:p>
      <w:pPr>
        <w:pStyle w:val="54"/>
        <w:spacing w:before="0" w:line="336" w:lineRule="auto"/>
        <w:ind w:left="420" w:leftChars="200" w:firstLine="0" w:firstLineChars="0"/>
        <w:rPr>
          <w:rFonts w:ascii="宋体"/>
          <w:color w:val="auto"/>
          <w:highlight w:val="none"/>
        </w:rPr>
      </w:pPr>
      <w:r>
        <w:rPr>
          <w:rFonts w:ascii="宋体" w:hAnsi="宋体" w:cs="宋体"/>
          <w:color w:val="auto"/>
          <w:highlight w:val="none"/>
        </w:rPr>
        <w:t xml:space="preserve">11.4 </w:t>
      </w:r>
      <w:r>
        <w:rPr>
          <w:rFonts w:hint="eastAsia" w:ascii="宋体" w:hAnsi="宋体" w:cs="宋体"/>
          <w:color w:val="auto"/>
          <w:highlight w:val="none"/>
        </w:rPr>
        <w:t>成交供应商未按规定与采购人签订合同；</w:t>
      </w:r>
    </w:p>
    <w:p>
      <w:pPr>
        <w:pStyle w:val="54"/>
        <w:spacing w:before="0" w:line="336" w:lineRule="auto"/>
        <w:ind w:left="420" w:leftChars="200" w:firstLine="0" w:firstLineChars="0"/>
        <w:rPr>
          <w:rFonts w:ascii="宋体"/>
          <w:color w:val="auto"/>
          <w:highlight w:val="none"/>
        </w:rPr>
      </w:pPr>
      <w:r>
        <w:rPr>
          <w:rFonts w:ascii="宋体" w:hAnsi="宋体" w:cs="宋体"/>
          <w:color w:val="auto"/>
          <w:highlight w:val="none"/>
        </w:rPr>
        <w:t>11.</w:t>
      </w:r>
      <w:r>
        <w:rPr>
          <w:rFonts w:hint="eastAsia" w:ascii="宋体" w:hAnsi="宋体" w:cs="宋体"/>
          <w:color w:val="auto"/>
          <w:highlight w:val="none"/>
        </w:rPr>
        <w:t>5</w:t>
      </w:r>
      <w:r>
        <w:rPr>
          <w:rFonts w:ascii="宋体" w:hAnsi="宋体" w:cs="宋体"/>
          <w:color w:val="auto"/>
          <w:highlight w:val="none"/>
        </w:rPr>
        <w:t xml:space="preserve"> </w:t>
      </w:r>
      <w:r>
        <w:rPr>
          <w:rFonts w:hint="eastAsia" w:ascii="宋体" w:hAnsi="宋体" w:cs="宋体"/>
          <w:color w:val="auto"/>
          <w:highlight w:val="none"/>
        </w:rPr>
        <w:t>供应商采取提供虚假资料等不正当手段的；</w:t>
      </w:r>
    </w:p>
    <w:p>
      <w:pPr>
        <w:pStyle w:val="54"/>
        <w:spacing w:before="0" w:line="336" w:lineRule="auto"/>
        <w:ind w:left="420" w:leftChars="200" w:firstLine="0" w:firstLineChars="0"/>
        <w:rPr>
          <w:rFonts w:ascii="宋体"/>
          <w:color w:val="auto"/>
          <w:highlight w:val="none"/>
        </w:rPr>
      </w:pPr>
      <w:r>
        <w:rPr>
          <w:rFonts w:ascii="宋体" w:hAnsi="宋体" w:cs="宋体"/>
          <w:color w:val="auto"/>
          <w:highlight w:val="none"/>
        </w:rPr>
        <w:t>11.</w:t>
      </w:r>
      <w:r>
        <w:rPr>
          <w:rFonts w:hint="eastAsia" w:ascii="宋体" w:hAnsi="宋体" w:cs="宋体"/>
          <w:color w:val="auto"/>
          <w:highlight w:val="none"/>
        </w:rPr>
        <w:t>6</w:t>
      </w:r>
      <w:r>
        <w:rPr>
          <w:rFonts w:ascii="宋体" w:hAnsi="宋体" w:cs="宋体"/>
          <w:color w:val="auto"/>
          <w:highlight w:val="none"/>
        </w:rPr>
        <w:t xml:space="preserve"> </w:t>
      </w:r>
      <w:r>
        <w:rPr>
          <w:rFonts w:hint="eastAsia" w:ascii="宋体" w:hAnsi="宋体" w:cs="宋体"/>
          <w:color w:val="auto"/>
          <w:highlight w:val="none"/>
        </w:rPr>
        <w:t>供应商在投标过程中串通投标的。</w:t>
      </w:r>
    </w:p>
    <w:p>
      <w:pPr>
        <w:pStyle w:val="54"/>
        <w:spacing w:before="0" w:line="336" w:lineRule="auto"/>
        <w:ind w:left="420" w:leftChars="200" w:firstLine="0" w:firstLineChars="0"/>
        <w:rPr>
          <w:rFonts w:ascii="宋体"/>
          <w:b/>
          <w:bCs/>
          <w:color w:val="auto"/>
          <w:highlight w:val="none"/>
        </w:rPr>
      </w:pPr>
      <w:r>
        <w:rPr>
          <w:rFonts w:ascii="宋体" w:hAnsi="宋体" w:cs="宋体"/>
          <w:b/>
          <w:bCs/>
          <w:color w:val="auto"/>
          <w:highlight w:val="none"/>
        </w:rPr>
        <w:t>12</w:t>
      </w:r>
      <w:r>
        <w:rPr>
          <w:rFonts w:hint="eastAsia" w:ascii="宋体" w:hAnsi="宋体" w:cs="宋体"/>
          <w:b/>
          <w:bCs/>
          <w:color w:val="auto"/>
          <w:highlight w:val="none"/>
        </w:rPr>
        <w:t>、响应文件的编制和签署</w:t>
      </w:r>
    </w:p>
    <w:p>
      <w:pPr>
        <w:pStyle w:val="54"/>
        <w:spacing w:before="0" w:line="336" w:lineRule="auto"/>
        <w:ind w:left="420" w:leftChars="200" w:firstLine="0" w:firstLineChars="0"/>
        <w:rPr>
          <w:rFonts w:ascii="宋体"/>
          <w:color w:val="auto"/>
          <w:highlight w:val="none"/>
        </w:rPr>
      </w:pPr>
      <w:r>
        <w:rPr>
          <w:rFonts w:ascii="宋体" w:hAnsi="宋体" w:cs="宋体"/>
          <w:color w:val="auto"/>
          <w:highlight w:val="none"/>
        </w:rPr>
        <w:t xml:space="preserve">12.1 </w:t>
      </w:r>
      <w:r>
        <w:rPr>
          <w:rFonts w:hint="eastAsia" w:ascii="宋体" w:hAnsi="宋体" w:cs="宋体"/>
          <w:color w:val="auto"/>
          <w:highlight w:val="none"/>
        </w:rPr>
        <w:t>按磋商文件</w:t>
      </w:r>
      <w:r>
        <w:rPr>
          <w:rFonts w:ascii="宋体" w:hAnsi="宋体" w:cs="宋体"/>
          <w:color w:val="auto"/>
          <w:highlight w:val="none"/>
        </w:rPr>
        <w:t>9.1</w:t>
      </w:r>
      <w:r>
        <w:rPr>
          <w:rFonts w:hint="eastAsia" w:ascii="宋体" w:hAnsi="宋体" w:cs="宋体"/>
          <w:color w:val="auto"/>
          <w:highlight w:val="none"/>
        </w:rPr>
        <w:t>条、</w:t>
      </w:r>
      <w:r>
        <w:rPr>
          <w:rFonts w:ascii="宋体" w:hAnsi="宋体" w:cs="宋体"/>
          <w:color w:val="auto"/>
          <w:highlight w:val="none"/>
        </w:rPr>
        <w:t>9.2</w:t>
      </w:r>
      <w:r>
        <w:rPr>
          <w:rFonts w:hint="eastAsia" w:ascii="宋体" w:hAnsi="宋体" w:cs="宋体"/>
          <w:color w:val="auto"/>
          <w:highlight w:val="none"/>
        </w:rPr>
        <w:t>条、</w:t>
      </w:r>
      <w:r>
        <w:rPr>
          <w:rFonts w:ascii="宋体" w:hAnsi="宋体" w:cs="宋体"/>
          <w:color w:val="auto"/>
          <w:highlight w:val="none"/>
        </w:rPr>
        <w:t>9.3</w:t>
      </w:r>
      <w:r>
        <w:rPr>
          <w:rFonts w:hint="eastAsia" w:ascii="宋体" w:hAnsi="宋体" w:cs="宋体"/>
          <w:color w:val="auto"/>
          <w:highlight w:val="none"/>
        </w:rPr>
        <w:t>条要求提供的各种文件，响应文件分为资格文件、商务技术文件和报价文件三部分。</w:t>
      </w:r>
    </w:p>
    <w:p>
      <w:pPr>
        <w:pStyle w:val="54"/>
        <w:spacing w:before="0" w:line="336" w:lineRule="auto"/>
        <w:ind w:left="420" w:leftChars="200" w:firstLine="0" w:firstLineChars="0"/>
        <w:rPr>
          <w:rFonts w:ascii="宋体"/>
          <w:color w:val="auto"/>
          <w:highlight w:val="none"/>
        </w:rPr>
      </w:pPr>
      <w:r>
        <w:rPr>
          <w:rFonts w:ascii="宋体" w:hAnsi="宋体" w:cs="宋体"/>
          <w:color w:val="auto"/>
          <w:highlight w:val="none"/>
        </w:rPr>
        <w:t xml:space="preserve">12.2 </w:t>
      </w:r>
      <w:r>
        <w:rPr>
          <w:rFonts w:hint="eastAsia" w:ascii="宋体" w:hAnsi="宋体" w:cs="宋体"/>
          <w:color w:val="auto"/>
          <w:highlight w:val="none"/>
        </w:rPr>
        <w:t>响应文件须按附件格式要求进行电子签章，供应商应写全称。（电子磋商响应文件中所须加盖公章部分均应采用电子签章）</w:t>
      </w:r>
    </w:p>
    <w:p>
      <w:pPr>
        <w:pStyle w:val="54"/>
        <w:spacing w:before="0" w:line="336" w:lineRule="auto"/>
        <w:ind w:left="420" w:leftChars="200" w:firstLine="0" w:firstLineChars="0"/>
        <w:rPr>
          <w:rFonts w:ascii="宋体"/>
          <w:color w:val="auto"/>
          <w:highlight w:val="none"/>
        </w:rPr>
      </w:pPr>
      <w:r>
        <w:rPr>
          <w:rFonts w:ascii="宋体" w:hAnsi="宋体" w:cs="宋体"/>
          <w:color w:val="auto"/>
          <w:highlight w:val="none"/>
        </w:rPr>
        <w:t xml:space="preserve">12.3 </w:t>
      </w:r>
      <w:r>
        <w:rPr>
          <w:rFonts w:hint="eastAsia" w:ascii="宋体" w:hAnsi="宋体" w:cs="宋体"/>
          <w:color w:val="auto"/>
          <w:highlight w:val="none"/>
        </w:rPr>
        <w:t>全套响应文件应无涂改和行间插字，除非这些删改是根据采购代理机构要求进行，或者是供应商造成的必须修改的错误。所修改处应由法定代表人或其授权代表签字盖章予以确认。</w:t>
      </w:r>
    </w:p>
    <w:p>
      <w:pPr>
        <w:pStyle w:val="54"/>
        <w:spacing w:before="0" w:line="336" w:lineRule="auto"/>
        <w:ind w:left="420" w:leftChars="200" w:firstLine="0" w:firstLineChars="0"/>
        <w:rPr>
          <w:rFonts w:ascii="宋体"/>
          <w:color w:val="auto"/>
          <w:highlight w:val="none"/>
        </w:rPr>
      </w:pPr>
      <w:r>
        <w:rPr>
          <w:rFonts w:ascii="宋体" w:hAnsi="宋体" w:cs="宋体"/>
          <w:color w:val="auto"/>
          <w:highlight w:val="none"/>
        </w:rPr>
        <w:t xml:space="preserve">12.4 </w:t>
      </w:r>
      <w:r>
        <w:rPr>
          <w:rFonts w:hint="eastAsia" w:ascii="宋体" w:hAnsi="宋体" w:cs="宋体"/>
          <w:color w:val="auto"/>
          <w:highlight w:val="none"/>
        </w:rPr>
        <w:t>由于字迹模糊或表达不清引起的后果由供应商负责。</w:t>
      </w:r>
    </w:p>
    <w:p>
      <w:pPr>
        <w:pStyle w:val="54"/>
        <w:spacing w:before="0" w:line="336" w:lineRule="auto"/>
        <w:ind w:left="420" w:leftChars="200" w:firstLine="0" w:firstLineChars="0"/>
        <w:rPr>
          <w:rFonts w:ascii="宋体"/>
          <w:b/>
          <w:bCs/>
          <w:color w:val="auto"/>
          <w:highlight w:val="none"/>
        </w:rPr>
      </w:pPr>
      <w:r>
        <w:rPr>
          <w:rFonts w:ascii="宋体" w:hAnsi="宋体" w:cs="宋体"/>
          <w:b/>
          <w:bCs/>
          <w:color w:val="auto"/>
          <w:highlight w:val="none"/>
        </w:rPr>
        <w:t>13</w:t>
      </w:r>
      <w:r>
        <w:rPr>
          <w:rFonts w:hint="eastAsia" w:ascii="宋体" w:hAnsi="宋体" w:cs="宋体"/>
          <w:b/>
          <w:bCs/>
          <w:color w:val="auto"/>
          <w:highlight w:val="none"/>
        </w:rPr>
        <w:t>、响应文件的形式</w:t>
      </w:r>
    </w:p>
    <w:p>
      <w:pPr>
        <w:pStyle w:val="54"/>
        <w:spacing w:before="0" w:line="336" w:lineRule="auto"/>
        <w:ind w:left="420" w:leftChars="200" w:firstLine="0" w:firstLineChars="0"/>
        <w:rPr>
          <w:rFonts w:ascii="宋体"/>
          <w:color w:val="auto"/>
          <w:highlight w:val="none"/>
        </w:rPr>
      </w:pPr>
      <w:r>
        <w:rPr>
          <w:rFonts w:hint="eastAsia" w:ascii="宋体" w:hAnsi="宋体" w:cs="宋体"/>
          <w:color w:val="auto"/>
          <w:highlight w:val="none"/>
        </w:rPr>
        <w:t>响应文件为电子磋商响应文件，电子磋商响应文件按“政采云供应商项目采购</w:t>
      </w:r>
      <w:r>
        <w:rPr>
          <w:rFonts w:ascii="宋体" w:cs="宋体"/>
          <w:color w:val="auto"/>
          <w:highlight w:val="none"/>
        </w:rPr>
        <w:t>-</w:t>
      </w:r>
      <w:r>
        <w:rPr>
          <w:rFonts w:hint="eastAsia" w:ascii="宋体" w:hAnsi="宋体" w:cs="宋体"/>
          <w:color w:val="auto"/>
          <w:highlight w:val="none"/>
        </w:rPr>
        <w:t>电子招投标操作指南”及本磋商文件要求制作、加密传输。</w:t>
      </w:r>
    </w:p>
    <w:p>
      <w:pPr>
        <w:pStyle w:val="3"/>
        <w:numPr>
          <w:ilvl w:val="0"/>
          <w:numId w:val="9"/>
        </w:numPr>
        <w:spacing w:line="336" w:lineRule="auto"/>
        <w:jc w:val="center"/>
        <w:rPr>
          <w:rFonts w:cs="Times New Roman"/>
          <w:color w:val="auto"/>
          <w:highlight w:val="none"/>
        </w:rPr>
      </w:pPr>
      <w:bookmarkStart w:id="57" w:name="_Toc1420"/>
      <w:r>
        <w:rPr>
          <w:color w:val="auto"/>
          <w:highlight w:val="none"/>
        </w:rPr>
        <w:t xml:space="preserve"> </w:t>
      </w:r>
      <w:bookmarkStart w:id="58" w:name="_Toc882"/>
      <w:bookmarkStart w:id="59" w:name="_Toc21266"/>
      <w:r>
        <w:rPr>
          <w:rFonts w:hint="eastAsia"/>
          <w:color w:val="auto"/>
          <w:highlight w:val="none"/>
        </w:rPr>
        <w:t>响应文件的递交</w:t>
      </w:r>
      <w:bookmarkEnd w:id="57"/>
      <w:bookmarkEnd w:id="58"/>
      <w:bookmarkEnd w:id="59"/>
    </w:p>
    <w:p>
      <w:pPr>
        <w:pStyle w:val="15"/>
        <w:spacing w:line="336" w:lineRule="auto"/>
        <w:ind w:left="420" w:leftChars="200"/>
        <w:rPr>
          <w:rFonts w:hAnsi="宋体" w:cs="Times New Roman"/>
          <w:b/>
          <w:bCs/>
          <w:color w:val="auto"/>
          <w:sz w:val="24"/>
          <w:szCs w:val="24"/>
          <w:highlight w:val="none"/>
        </w:rPr>
      </w:pPr>
      <w:r>
        <w:rPr>
          <w:rFonts w:hAnsi="宋体"/>
          <w:b/>
          <w:bCs/>
          <w:color w:val="auto"/>
          <w:sz w:val="24"/>
          <w:szCs w:val="24"/>
          <w:highlight w:val="none"/>
        </w:rPr>
        <w:t>14</w:t>
      </w:r>
      <w:r>
        <w:rPr>
          <w:rFonts w:hint="eastAsia" w:hAnsi="宋体"/>
          <w:b/>
          <w:bCs/>
          <w:color w:val="auto"/>
          <w:sz w:val="24"/>
          <w:szCs w:val="24"/>
          <w:highlight w:val="none"/>
        </w:rPr>
        <w:t>、磋商响应截止期</w:t>
      </w:r>
    </w:p>
    <w:p>
      <w:pPr>
        <w:pStyle w:val="54"/>
        <w:numPr>
          <w:ilvl w:val="0"/>
          <w:numId w:val="14"/>
        </w:numPr>
        <w:spacing w:before="0" w:line="336" w:lineRule="auto"/>
        <w:ind w:firstLine="480"/>
        <w:rPr>
          <w:rFonts w:ascii="宋体"/>
          <w:color w:val="auto"/>
          <w:highlight w:val="none"/>
        </w:rPr>
      </w:pPr>
      <w:r>
        <w:rPr>
          <w:rFonts w:hint="eastAsia" w:ascii="宋体" w:hAnsi="宋体" w:cs="宋体"/>
          <w:color w:val="auto"/>
          <w:highlight w:val="none"/>
        </w:rPr>
        <w:t>响应文件必须在规定的磋商响应截止时间前在政采云系统内完成传输，以纸质、电报、电话、传真形式的投标概不接受。为应对响应文件解密失败等异常情况，供应商可指派授权代表在磋商响应截止时间之前到达开标地点提交备份文件。</w:t>
      </w:r>
    </w:p>
    <w:p>
      <w:pPr>
        <w:pStyle w:val="54"/>
        <w:numPr>
          <w:ilvl w:val="0"/>
          <w:numId w:val="14"/>
        </w:numPr>
        <w:spacing w:before="0" w:line="336" w:lineRule="auto"/>
        <w:ind w:firstLine="480"/>
        <w:rPr>
          <w:rFonts w:ascii="宋体"/>
          <w:color w:val="auto"/>
          <w:highlight w:val="none"/>
        </w:rPr>
      </w:pPr>
      <w:r>
        <w:rPr>
          <w:rFonts w:hint="eastAsia" w:ascii="宋体" w:hAnsi="宋体" w:cs="宋体"/>
          <w:color w:val="auto"/>
          <w:highlight w:val="none"/>
        </w:rPr>
        <w:t>采购人因故推迟磋商响应截止时间，将以公告形式通知。在这种情况下，采购人和供应商的权利和义务将受到新的截止时间的约束。</w:t>
      </w:r>
    </w:p>
    <w:p>
      <w:pPr>
        <w:pStyle w:val="15"/>
        <w:spacing w:line="336" w:lineRule="auto"/>
        <w:ind w:left="420" w:leftChars="200"/>
        <w:rPr>
          <w:rFonts w:hAnsi="宋体" w:cs="Times New Roman"/>
          <w:b/>
          <w:bCs/>
          <w:color w:val="auto"/>
          <w:sz w:val="24"/>
          <w:szCs w:val="24"/>
          <w:highlight w:val="none"/>
        </w:rPr>
      </w:pPr>
      <w:r>
        <w:rPr>
          <w:rFonts w:hAnsi="宋体"/>
          <w:b/>
          <w:bCs/>
          <w:color w:val="auto"/>
          <w:sz w:val="24"/>
          <w:szCs w:val="24"/>
          <w:highlight w:val="none"/>
        </w:rPr>
        <w:t>15</w:t>
      </w:r>
      <w:r>
        <w:rPr>
          <w:rFonts w:hint="eastAsia" w:hAnsi="宋体"/>
          <w:b/>
          <w:bCs/>
          <w:color w:val="auto"/>
          <w:sz w:val="24"/>
          <w:szCs w:val="24"/>
          <w:highlight w:val="none"/>
        </w:rPr>
        <w:t>、响应文件的修改、撤销</w:t>
      </w:r>
    </w:p>
    <w:p>
      <w:pPr>
        <w:pStyle w:val="15"/>
        <w:spacing w:line="336" w:lineRule="auto"/>
        <w:ind w:firstLine="480" w:firstLineChars="200"/>
        <w:rPr>
          <w:rFonts w:hAnsi="宋体" w:cs="Times New Roman"/>
          <w:color w:val="auto"/>
          <w:sz w:val="24"/>
          <w:szCs w:val="24"/>
          <w:highlight w:val="none"/>
        </w:rPr>
      </w:pPr>
      <w:r>
        <w:rPr>
          <w:rFonts w:hint="eastAsia" w:hAnsi="宋体"/>
          <w:color w:val="auto"/>
          <w:sz w:val="24"/>
          <w:szCs w:val="24"/>
          <w:highlight w:val="none"/>
        </w:rPr>
        <w:t>供应商应当在磋商响应截止时间前完成电子交易文件的传输递交，磋商响应截止时间前可以补充、修改或者撤回电子交易文件。补充或者修改电子交易文件的，应当先行撤回原文件，补充、修改后重新传输递交。磋商响应截止时间前未完成传输的，视为响应文件撤回。</w:t>
      </w:r>
    </w:p>
    <w:p>
      <w:pPr>
        <w:pStyle w:val="3"/>
        <w:numPr>
          <w:ilvl w:val="0"/>
          <w:numId w:val="9"/>
        </w:numPr>
        <w:spacing w:line="336" w:lineRule="auto"/>
        <w:jc w:val="center"/>
        <w:rPr>
          <w:rFonts w:hAnsi="宋体" w:cs="Times New Roman"/>
          <w:color w:val="auto"/>
          <w:highlight w:val="none"/>
        </w:rPr>
      </w:pPr>
      <w:r>
        <w:rPr>
          <w:color w:val="auto"/>
          <w:highlight w:val="none"/>
        </w:rPr>
        <w:t xml:space="preserve"> </w:t>
      </w:r>
      <w:bookmarkStart w:id="60" w:name="_Toc24120"/>
      <w:bookmarkStart w:id="61" w:name="_Toc31933"/>
      <w:r>
        <w:rPr>
          <w:rFonts w:hint="eastAsia"/>
          <w:color w:val="auto"/>
          <w:highlight w:val="none"/>
        </w:rPr>
        <w:t>磋商无效的情形</w:t>
      </w:r>
      <w:bookmarkEnd w:id="60"/>
      <w:bookmarkEnd w:id="61"/>
    </w:p>
    <w:p>
      <w:pPr>
        <w:pStyle w:val="15"/>
        <w:snapToGrid w:val="0"/>
        <w:spacing w:line="336" w:lineRule="auto"/>
        <w:ind w:firstLine="482" w:firstLineChars="200"/>
        <w:rPr>
          <w:rFonts w:hAnsi="宋体" w:cs="Times New Roman"/>
          <w:b/>
          <w:bCs/>
          <w:color w:val="auto"/>
          <w:sz w:val="24"/>
          <w:szCs w:val="24"/>
          <w:highlight w:val="none"/>
        </w:rPr>
      </w:pPr>
      <w:r>
        <w:rPr>
          <w:rFonts w:hAnsi="宋体"/>
          <w:b/>
          <w:bCs/>
          <w:color w:val="auto"/>
          <w:sz w:val="24"/>
          <w:szCs w:val="24"/>
          <w:highlight w:val="none"/>
        </w:rPr>
        <w:t>16</w:t>
      </w:r>
      <w:r>
        <w:rPr>
          <w:rFonts w:hint="eastAsia" w:hAnsi="宋体"/>
          <w:b/>
          <w:bCs/>
          <w:color w:val="auto"/>
          <w:sz w:val="24"/>
          <w:szCs w:val="24"/>
          <w:highlight w:val="none"/>
        </w:rPr>
        <w:t>、无效响应</w:t>
      </w:r>
    </w:p>
    <w:p>
      <w:pPr>
        <w:pStyle w:val="15"/>
        <w:snapToGrid w:val="0"/>
        <w:spacing w:line="336" w:lineRule="auto"/>
        <w:ind w:firstLine="480" w:firstLineChars="200"/>
        <w:rPr>
          <w:rFonts w:hAnsi="宋体" w:cs="Times New Roman"/>
          <w:color w:val="auto"/>
          <w:sz w:val="24"/>
          <w:szCs w:val="24"/>
          <w:highlight w:val="none"/>
        </w:rPr>
      </w:pPr>
      <w:r>
        <w:rPr>
          <w:rFonts w:hint="eastAsia" w:hAnsi="宋体"/>
          <w:color w:val="auto"/>
          <w:sz w:val="24"/>
          <w:szCs w:val="24"/>
          <w:highlight w:val="none"/>
        </w:rPr>
        <w:t>经过审查，凡不符合有关规定，不响应磋商文件的实质性条款，存在以下重大偏离之一的，经磋商小组认定，并由采购人报采购办、监督办备案，将因未通过资格性或符合性审查而被作为无效响应处理：</w:t>
      </w:r>
    </w:p>
    <w:p>
      <w:pPr>
        <w:spacing w:line="336" w:lineRule="auto"/>
        <w:ind w:firstLine="482" w:firstLineChars="200"/>
        <w:rPr>
          <w:rFonts w:ascii="宋体"/>
          <w:b/>
          <w:bCs/>
          <w:color w:val="auto"/>
          <w:sz w:val="24"/>
          <w:szCs w:val="24"/>
          <w:highlight w:val="none"/>
        </w:rPr>
      </w:pPr>
      <w:r>
        <w:rPr>
          <w:rFonts w:ascii="宋体" w:hAnsi="宋体" w:cs="宋体"/>
          <w:b/>
          <w:bCs/>
          <w:color w:val="auto"/>
          <w:sz w:val="24"/>
          <w:szCs w:val="24"/>
          <w:highlight w:val="none"/>
        </w:rPr>
        <w:t>16.1</w:t>
      </w:r>
      <w:r>
        <w:rPr>
          <w:rFonts w:hint="eastAsia" w:ascii="宋体" w:hAnsi="宋体" w:cs="宋体"/>
          <w:b/>
          <w:bCs/>
          <w:color w:val="auto"/>
          <w:sz w:val="24"/>
          <w:szCs w:val="24"/>
          <w:highlight w:val="none"/>
        </w:rPr>
        <w:t>未按照磋商文件规定要求签署、盖章的；</w:t>
      </w:r>
    </w:p>
    <w:p>
      <w:pPr>
        <w:spacing w:line="336" w:lineRule="auto"/>
        <w:ind w:firstLine="482" w:firstLineChars="200"/>
        <w:rPr>
          <w:rFonts w:ascii="宋体"/>
          <w:b/>
          <w:bCs/>
          <w:color w:val="auto"/>
          <w:sz w:val="24"/>
          <w:szCs w:val="24"/>
          <w:highlight w:val="none"/>
        </w:rPr>
      </w:pPr>
      <w:r>
        <w:rPr>
          <w:rFonts w:ascii="宋体" w:hAnsi="宋体" w:cs="宋体"/>
          <w:b/>
          <w:bCs/>
          <w:color w:val="auto"/>
          <w:sz w:val="24"/>
          <w:szCs w:val="24"/>
          <w:highlight w:val="none"/>
        </w:rPr>
        <w:t>16.2</w:t>
      </w:r>
      <w:r>
        <w:rPr>
          <w:rFonts w:hint="eastAsia" w:ascii="宋体" w:hAnsi="宋体" w:cs="宋体"/>
          <w:b/>
          <w:bCs/>
          <w:color w:val="auto"/>
          <w:sz w:val="24"/>
          <w:szCs w:val="24"/>
          <w:highlight w:val="none"/>
        </w:rPr>
        <w:t>《法定代表人授权书》填写不全、错误、未加盖供应商公章（公章和签字或盖章缺一不可）；</w:t>
      </w:r>
      <w:r>
        <w:rPr>
          <w:rFonts w:ascii="宋体" w:hAnsi="宋体" w:cs="宋体"/>
          <w:b/>
          <w:bCs/>
          <w:color w:val="auto"/>
          <w:sz w:val="24"/>
          <w:szCs w:val="24"/>
          <w:highlight w:val="none"/>
        </w:rPr>
        <w:t xml:space="preserve"> </w:t>
      </w:r>
    </w:p>
    <w:p>
      <w:pPr>
        <w:spacing w:line="336" w:lineRule="auto"/>
        <w:ind w:firstLine="482" w:firstLineChars="200"/>
        <w:rPr>
          <w:rFonts w:ascii="宋体"/>
          <w:b/>
          <w:bCs/>
          <w:color w:val="auto"/>
          <w:sz w:val="24"/>
          <w:szCs w:val="24"/>
          <w:highlight w:val="none"/>
        </w:rPr>
      </w:pPr>
      <w:r>
        <w:rPr>
          <w:rFonts w:ascii="宋体" w:hAnsi="宋体" w:cs="宋体"/>
          <w:b/>
          <w:bCs/>
          <w:color w:val="auto"/>
          <w:sz w:val="24"/>
          <w:szCs w:val="24"/>
          <w:highlight w:val="none"/>
        </w:rPr>
        <w:t>16.3</w:t>
      </w:r>
      <w:r>
        <w:rPr>
          <w:rFonts w:hint="eastAsia" w:ascii="宋体" w:hAnsi="宋体" w:cs="宋体"/>
          <w:b/>
          <w:bCs/>
          <w:color w:val="auto"/>
          <w:sz w:val="24"/>
          <w:szCs w:val="24"/>
          <w:highlight w:val="none"/>
        </w:rPr>
        <w:t>个体工商户的身份证明与营业执照不一致的；</w:t>
      </w:r>
    </w:p>
    <w:p>
      <w:pPr>
        <w:spacing w:line="336" w:lineRule="auto"/>
        <w:ind w:firstLine="482" w:firstLineChars="200"/>
        <w:rPr>
          <w:rFonts w:ascii="宋体"/>
          <w:b/>
          <w:bCs/>
          <w:color w:val="auto"/>
          <w:sz w:val="24"/>
          <w:szCs w:val="24"/>
          <w:highlight w:val="none"/>
        </w:rPr>
      </w:pPr>
      <w:r>
        <w:rPr>
          <w:rFonts w:ascii="宋体" w:hAnsi="宋体" w:cs="宋体"/>
          <w:b/>
          <w:bCs/>
          <w:color w:val="auto"/>
          <w:sz w:val="24"/>
          <w:szCs w:val="24"/>
          <w:highlight w:val="none"/>
        </w:rPr>
        <w:t>16.4</w:t>
      </w:r>
      <w:r>
        <w:rPr>
          <w:rFonts w:hint="eastAsia" w:ascii="宋体" w:hAnsi="宋体" w:cs="宋体"/>
          <w:b/>
          <w:bCs/>
          <w:color w:val="auto"/>
          <w:sz w:val="24"/>
          <w:szCs w:val="24"/>
          <w:highlight w:val="none"/>
        </w:rPr>
        <w:t>响应文件中的磋商函未加盖供应商的企业公章或填写不全的；</w:t>
      </w:r>
    </w:p>
    <w:p>
      <w:pPr>
        <w:spacing w:line="336" w:lineRule="auto"/>
        <w:ind w:firstLine="482" w:firstLineChars="200"/>
        <w:rPr>
          <w:rFonts w:ascii="宋体"/>
          <w:b/>
          <w:bCs/>
          <w:color w:val="auto"/>
          <w:sz w:val="24"/>
          <w:szCs w:val="24"/>
          <w:highlight w:val="none"/>
        </w:rPr>
      </w:pPr>
      <w:r>
        <w:rPr>
          <w:rFonts w:ascii="宋体" w:hAnsi="宋体" w:cs="宋体"/>
          <w:b/>
          <w:bCs/>
          <w:color w:val="auto"/>
          <w:sz w:val="24"/>
          <w:szCs w:val="24"/>
          <w:highlight w:val="none"/>
        </w:rPr>
        <w:t>16.5</w:t>
      </w:r>
      <w:r>
        <w:rPr>
          <w:rFonts w:hint="eastAsia" w:ascii="宋体" w:hAnsi="宋体" w:cs="宋体"/>
          <w:b/>
          <w:bCs/>
          <w:color w:val="auto"/>
          <w:sz w:val="24"/>
          <w:szCs w:val="24"/>
          <w:highlight w:val="none"/>
        </w:rPr>
        <w:t>报价一经涂改，未在涂改处加盖投标单位公章或者未经法定代表人或其授权代表签字或盖章的；</w:t>
      </w:r>
    </w:p>
    <w:p>
      <w:pPr>
        <w:spacing w:line="336" w:lineRule="auto"/>
        <w:ind w:firstLine="482" w:firstLineChars="200"/>
        <w:rPr>
          <w:rFonts w:ascii="宋体"/>
          <w:b/>
          <w:bCs/>
          <w:color w:val="auto"/>
          <w:sz w:val="24"/>
          <w:szCs w:val="24"/>
          <w:highlight w:val="none"/>
        </w:rPr>
      </w:pPr>
      <w:r>
        <w:rPr>
          <w:rFonts w:ascii="宋体" w:hAnsi="宋体" w:cs="宋体"/>
          <w:b/>
          <w:bCs/>
          <w:color w:val="auto"/>
          <w:sz w:val="24"/>
          <w:szCs w:val="24"/>
          <w:highlight w:val="none"/>
        </w:rPr>
        <w:t>16.6</w:t>
      </w:r>
      <w:r>
        <w:rPr>
          <w:rFonts w:hint="eastAsia" w:ascii="宋体" w:hAnsi="宋体" w:cs="宋体"/>
          <w:b/>
          <w:bCs/>
          <w:color w:val="auto"/>
          <w:sz w:val="24"/>
          <w:szCs w:val="24"/>
          <w:highlight w:val="none"/>
        </w:rPr>
        <w:t>因未按规定的格式填写，内容不全或主要实质性内容字迹模糊辨认不清</w:t>
      </w:r>
      <w:r>
        <w:rPr>
          <w:rFonts w:ascii="宋体" w:cs="宋体"/>
          <w:b/>
          <w:bCs/>
          <w:color w:val="auto"/>
          <w:sz w:val="24"/>
          <w:szCs w:val="24"/>
          <w:highlight w:val="none"/>
        </w:rPr>
        <w:t>,</w:t>
      </w:r>
      <w:r>
        <w:rPr>
          <w:rFonts w:hint="eastAsia" w:ascii="宋体" w:hAnsi="宋体" w:cs="宋体"/>
          <w:b/>
          <w:bCs/>
          <w:color w:val="auto"/>
          <w:sz w:val="24"/>
          <w:szCs w:val="24"/>
          <w:highlight w:val="none"/>
        </w:rPr>
        <w:t>经评标委员会认定为无法评审的；</w:t>
      </w:r>
    </w:p>
    <w:p>
      <w:pPr>
        <w:spacing w:line="336" w:lineRule="auto"/>
        <w:ind w:firstLine="482" w:firstLineChars="200"/>
        <w:rPr>
          <w:rFonts w:ascii="宋体"/>
          <w:b/>
          <w:bCs/>
          <w:color w:val="auto"/>
          <w:sz w:val="24"/>
          <w:szCs w:val="24"/>
          <w:highlight w:val="none"/>
        </w:rPr>
      </w:pPr>
      <w:r>
        <w:rPr>
          <w:rFonts w:ascii="宋体" w:hAnsi="宋体" w:cs="宋体"/>
          <w:b/>
          <w:bCs/>
          <w:color w:val="auto"/>
          <w:sz w:val="24"/>
          <w:szCs w:val="24"/>
          <w:highlight w:val="none"/>
        </w:rPr>
        <w:t>16.7</w:t>
      </w:r>
      <w:r>
        <w:rPr>
          <w:rFonts w:hint="eastAsia" w:ascii="宋体" w:hAnsi="宋体" w:cs="宋体"/>
          <w:b/>
          <w:bCs/>
          <w:color w:val="auto"/>
          <w:sz w:val="24"/>
          <w:szCs w:val="24"/>
          <w:highlight w:val="none"/>
        </w:rPr>
        <w:t>出现同一标的物或本次采购产品</w:t>
      </w:r>
      <w:r>
        <w:rPr>
          <w:rFonts w:ascii="宋体" w:hAnsi="宋体" w:cs="宋体"/>
          <w:b/>
          <w:bCs/>
          <w:color w:val="auto"/>
          <w:sz w:val="24"/>
          <w:szCs w:val="24"/>
          <w:highlight w:val="none"/>
        </w:rPr>
        <w:t>(</w:t>
      </w:r>
      <w:r>
        <w:rPr>
          <w:rFonts w:hint="eastAsia" w:ascii="宋体" w:hAnsi="宋体" w:cs="宋体"/>
          <w:b/>
          <w:bCs/>
          <w:color w:val="auto"/>
          <w:sz w:val="24"/>
          <w:szCs w:val="24"/>
          <w:highlight w:val="none"/>
        </w:rPr>
        <w:t>服务</w:t>
      </w:r>
      <w:r>
        <w:rPr>
          <w:rFonts w:ascii="宋体" w:hAnsi="宋体" w:cs="宋体"/>
          <w:b/>
          <w:bCs/>
          <w:color w:val="auto"/>
          <w:sz w:val="24"/>
          <w:szCs w:val="24"/>
          <w:highlight w:val="none"/>
        </w:rPr>
        <w:t>)</w:t>
      </w:r>
      <w:r>
        <w:rPr>
          <w:rFonts w:hint="eastAsia" w:ascii="宋体" w:hAnsi="宋体" w:cs="宋体"/>
          <w:b/>
          <w:bCs/>
          <w:color w:val="auto"/>
          <w:sz w:val="24"/>
          <w:szCs w:val="24"/>
          <w:highlight w:val="none"/>
        </w:rPr>
        <w:t>内的主要产品</w:t>
      </w:r>
      <w:r>
        <w:rPr>
          <w:rFonts w:ascii="宋体" w:hAnsi="宋体" w:cs="宋体"/>
          <w:b/>
          <w:bCs/>
          <w:color w:val="auto"/>
          <w:sz w:val="24"/>
          <w:szCs w:val="24"/>
          <w:highlight w:val="none"/>
        </w:rPr>
        <w:t>(</w:t>
      </w:r>
      <w:r>
        <w:rPr>
          <w:rFonts w:hint="eastAsia" w:ascii="宋体" w:hAnsi="宋体" w:cs="宋体"/>
          <w:b/>
          <w:bCs/>
          <w:color w:val="auto"/>
          <w:sz w:val="24"/>
          <w:szCs w:val="24"/>
          <w:highlight w:val="none"/>
        </w:rPr>
        <w:t>重要组成部分</w:t>
      </w:r>
      <w:r>
        <w:rPr>
          <w:rFonts w:ascii="宋体" w:hAnsi="宋体" w:cs="宋体"/>
          <w:b/>
          <w:bCs/>
          <w:color w:val="auto"/>
          <w:sz w:val="24"/>
          <w:szCs w:val="24"/>
          <w:highlight w:val="none"/>
        </w:rPr>
        <w:t>)</w:t>
      </w:r>
      <w:r>
        <w:rPr>
          <w:rFonts w:hint="eastAsia" w:ascii="宋体" w:hAnsi="宋体" w:cs="宋体"/>
          <w:b/>
          <w:bCs/>
          <w:color w:val="auto"/>
          <w:sz w:val="24"/>
          <w:szCs w:val="24"/>
          <w:highlight w:val="none"/>
        </w:rPr>
        <w:t>出现技术、商务描述不一致或前后描述不一致，经评标委员会认定后为无法评审的；</w:t>
      </w:r>
    </w:p>
    <w:p>
      <w:pPr>
        <w:spacing w:line="336" w:lineRule="auto"/>
        <w:ind w:firstLine="482" w:firstLineChars="200"/>
        <w:rPr>
          <w:rFonts w:ascii="宋体"/>
          <w:b/>
          <w:bCs/>
          <w:color w:val="auto"/>
          <w:sz w:val="24"/>
          <w:szCs w:val="24"/>
          <w:highlight w:val="none"/>
        </w:rPr>
      </w:pPr>
      <w:r>
        <w:rPr>
          <w:rFonts w:ascii="宋体" w:hAnsi="宋体" w:cs="宋体"/>
          <w:b/>
          <w:bCs/>
          <w:color w:val="auto"/>
          <w:sz w:val="24"/>
          <w:szCs w:val="24"/>
          <w:highlight w:val="none"/>
        </w:rPr>
        <w:t>16.8</w:t>
      </w:r>
      <w:r>
        <w:rPr>
          <w:rFonts w:hint="eastAsia" w:ascii="宋体" w:hAnsi="宋体" w:cs="宋体"/>
          <w:b/>
          <w:bCs/>
          <w:color w:val="auto"/>
          <w:sz w:val="24"/>
          <w:szCs w:val="24"/>
          <w:highlight w:val="none"/>
        </w:rPr>
        <w:t>响应详细配置清单响应表不真实填写或弄虚作假的；改变磋商文件提供的清单中的计量单位、工程数量；</w:t>
      </w:r>
    </w:p>
    <w:p>
      <w:pPr>
        <w:spacing w:line="336" w:lineRule="auto"/>
        <w:ind w:firstLine="482" w:firstLineChars="200"/>
        <w:rPr>
          <w:rFonts w:ascii="宋体"/>
          <w:b/>
          <w:bCs/>
          <w:color w:val="auto"/>
          <w:sz w:val="24"/>
          <w:szCs w:val="24"/>
          <w:highlight w:val="none"/>
        </w:rPr>
      </w:pPr>
      <w:r>
        <w:rPr>
          <w:rFonts w:ascii="宋体" w:hAnsi="宋体" w:cs="宋体"/>
          <w:b/>
          <w:bCs/>
          <w:color w:val="auto"/>
          <w:sz w:val="24"/>
          <w:szCs w:val="24"/>
          <w:highlight w:val="none"/>
        </w:rPr>
        <w:t>16.9</w:t>
      </w:r>
      <w:r>
        <w:rPr>
          <w:rFonts w:hint="eastAsia" w:ascii="宋体" w:hAnsi="宋体" w:cs="宋体"/>
          <w:b/>
          <w:bCs/>
          <w:color w:val="auto"/>
          <w:sz w:val="24"/>
          <w:szCs w:val="24"/>
          <w:highlight w:val="none"/>
        </w:rPr>
        <w:t>对采购产品技术规格未详细应答，致使其技术文件无法评审的；</w:t>
      </w:r>
    </w:p>
    <w:p>
      <w:pPr>
        <w:spacing w:line="336" w:lineRule="auto"/>
        <w:ind w:firstLine="482" w:firstLineChars="200"/>
        <w:rPr>
          <w:rFonts w:ascii="宋体"/>
          <w:b/>
          <w:bCs/>
          <w:color w:val="auto"/>
          <w:sz w:val="24"/>
          <w:szCs w:val="24"/>
          <w:highlight w:val="none"/>
        </w:rPr>
      </w:pPr>
      <w:r>
        <w:rPr>
          <w:rFonts w:ascii="宋体" w:hAnsi="宋体" w:cs="宋体"/>
          <w:b/>
          <w:bCs/>
          <w:color w:val="auto"/>
          <w:sz w:val="24"/>
          <w:szCs w:val="24"/>
          <w:highlight w:val="none"/>
        </w:rPr>
        <w:t>16.10</w:t>
      </w:r>
      <w:r>
        <w:rPr>
          <w:rFonts w:hint="eastAsia" w:ascii="宋体" w:hAnsi="宋体" w:cs="宋体"/>
          <w:b/>
          <w:bCs/>
          <w:color w:val="auto"/>
          <w:sz w:val="24"/>
          <w:szCs w:val="24"/>
          <w:highlight w:val="none"/>
        </w:rPr>
        <w:t>响应文件有采购方不能接受的条件；</w:t>
      </w:r>
    </w:p>
    <w:p>
      <w:pPr>
        <w:spacing w:line="336" w:lineRule="auto"/>
        <w:ind w:firstLine="482" w:firstLineChars="200"/>
        <w:rPr>
          <w:rFonts w:ascii="宋体"/>
          <w:b/>
          <w:bCs/>
          <w:color w:val="auto"/>
          <w:sz w:val="24"/>
          <w:szCs w:val="24"/>
          <w:highlight w:val="none"/>
        </w:rPr>
      </w:pPr>
      <w:r>
        <w:rPr>
          <w:rFonts w:ascii="宋体" w:hAnsi="宋体" w:cs="宋体"/>
          <w:b/>
          <w:bCs/>
          <w:color w:val="auto"/>
          <w:sz w:val="24"/>
          <w:szCs w:val="24"/>
          <w:highlight w:val="none"/>
        </w:rPr>
        <w:t>16.11</w:t>
      </w:r>
      <w:r>
        <w:rPr>
          <w:rFonts w:hint="eastAsia" w:ascii="宋体" w:hAnsi="宋体" w:cs="宋体"/>
          <w:b/>
          <w:bCs/>
          <w:color w:val="auto"/>
          <w:sz w:val="24"/>
          <w:szCs w:val="24"/>
          <w:highlight w:val="none"/>
        </w:rPr>
        <w:t>评标委员会认为供应商的报价明显低于其他通过符合性审查供应商的报价，有可能影响产品质量或者不能诚信履约的，应当要求其在评标现场合理的时间内通过政采云平台提供线上说明，必要时提交相关证明材料。</w:t>
      </w:r>
    </w:p>
    <w:p>
      <w:pPr>
        <w:spacing w:line="336" w:lineRule="auto"/>
        <w:ind w:firstLine="482" w:firstLineChars="200"/>
        <w:rPr>
          <w:rFonts w:ascii="宋体"/>
          <w:b/>
          <w:bCs/>
          <w:color w:val="auto"/>
          <w:sz w:val="24"/>
          <w:szCs w:val="24"/>
          <w:highlight w:val="none"/>
        </w:rPr>
      </w:pPr>
      <w:r>
        <w:rPr>
          <w:rFonts w:ascii="宋体" w:hAnsi="宋体" w:cs="宋体"/>
          <w:b/>
          <w:bCs/>
          <w:color w:val="auto"/>
          <w:sz w:val="24"/>
          <w:szCs w:val="24"/>
          <w:highlight w:val="none"/>
        </w:rPr>
        <w:t>16.12</w:t>
      </w:r>
      <w:r>
        <w:rPr>
          <w:rFonts w:hint="eastAsia" w:ascii="宋体" w:hAnsi="宋体" w:cs="宋体"/>
          <w:b/>
          <w:bCs/>
          <w:color w:val="auto"/>
          <w:sz w:val="24"/>
          <w:szCs w:val="24"/>
          <w:highlight w:val="none"/>
        </w:rPr>
        <w:t>磋商报价超过预算金额或最高限价的；</w:t>
      </w:r>
    </w:p>
    <w:p>
      <w:pPr>
        <w:spacing w:line="336" w:lineRule="auto"/>
        <w:ind w:firstLine="482" w:firstLineChars="200"/>
        <w:rPr>
          <w:rFonts w:ascii="宋体"/>
          <w:b/>
          <w:bCs/>
          <w:color w:val="auto"/>
          <w:sz w:val="24"/>
          <w:szCs w:val="24"/>
          <w:highlight w:val="none"/>
        </w:rPr>
      </w:pPr>
      <w:r>
        <w:rPr>
          <w:rFonts w:ascii="宋体" w:hAnsi="宋体" w:cs="宋体"/>
          <w:b/>
          <w:bCs/>
          <w:color w:val="auto"/>
          <w:sz w:val="24"/>
          <w:szCs w:val="24"/>
          <w:highlight w:val="none"/>
        </w:rPr>
        <w:t>16.13</w:t>
      </w:r>
      <w:r>
        <w:rPr>
          <w:rFonts w:hint="eastAsia" w:ascii="宋体" w:hAnsi="宋体" w:cs="宋体"/>
          <w:b/>
          <w:bCs/>
          <w:color w:val="auto"/>
          <w:sz w:val="24"/>
          <w:szCs w:val="24"/>
          <w:highlight w:val="none"/>
        </w:rPr>
        <w:t>响应文件“商务技术文件资料”部分中出现《报价一览表》或《磋商报价明细表》相关内容的；</w:t>
      </w:r>
    </w:p>
    <w:p>
      <w:pPr>
        <w:spacing w:line="336" w:lineRule="auto"/>
        <w:ind w:firstLine="482" w:firstLineChars="200"/>
        <w:rPr>
          <w:rFonts w:ascii="宋体"/>
          <w:b/>
          <w:bCs/>
          <w:color w:val="auto"/>
          <w:sz w:val="24"/>
          <w:szCs w:val="24"/>
          <w:highlight w:val="none"/>
        </w:rPr>
      </w:pPr>
      <w:r>
        <w:rPr>
          <w:rFonts w:ascii="宋体" w:hAnsi="宋体" w:cs="宋体"/>
          <w:b/>
          <w:bCs/>
          <w:color w:val="auto"/>
          <w:sz w:val="24"/>
          <w:szCs w:val="24"/>
          <w:highlight w:val="none"/>
        </w:rPr>
        <w:t>16.14</w:t>
      </w:r>
      <w:r>
        <w:rPr>
          <w:rFonts w:hint="eastAsia" w:ascii="宋体" w:hAnsi="宋体" w:cs="宋体"/>
          <w:b/>
          <w:bCs/>
          <w:color w:val="auto"/>
          <w:sz w:val="24"/>
          <w:szCs w:val="24"/>
          <w:highlight w:val="none"/>
        </w:rPr>
        <w:t>评标委员会认定有重大偏差或实质性不响应磋商文件要求的，即“★”的关键性指标及技术参数要求负偏离或缺漏；</w:t>
      </w:r>
    </w:p>
    <w:p>
      <w:pPr>
        <w:spacing w:line="336" w:lineRule="auto"/>
        <w:ind w:firstLine="482" w:firstLineChars="200"/>
        <w:rPr>
          <w:rFonts w:ascii="宋体"/>
          <w:b/>
          <w:bCs/>
          <w:color w:val="auto"/>
          <w:sz w:val="24"/>
          <w:szCs w:val="24"/>
          <w:highlight w:val="none"/>
        </w:rPr>
      </w:pPr>
      <w:r>
        <w:rPr>
          <w:rFonts w:ascii="宋体" w:hAnsi="宋体" w:cs="宋体"/>
          <w:b/>
          <w:bCs/>
          <w:color w:val="auto"/>
          <w:sz w:val="24"/>
          <w:szCs w:val="24"/>
          <w:highlight w:val="none"/>
        </w:rPr>
        <w:t>16.15</w:t>
      </w:r>
      <w:r>
        <w:rPr>
          <w:rFonts w:hint="eastAsia" w:ascii="宋体" w:hAnsi="宋体" w:cs="宋体"/>
          <w:b/>
          <w:bCs/>
          <w:color w:val="auto"/>
          <w:sz w:val="24"/>
          <w:szCs w:val="24"/>
          <w:highlight w:val="none"/>
        </w:rPr>
        <w:t>供应商拒绝按磋商文件规定的修正原则对响应文件进行修改的；</w:t>
      </w:r>
    </w:p>
    <w:p>
      <w:pPr>
        <w:spacing w:line="336" w:lineRule="auto"/>
        <w:ind w:firstLine="482" w:firstLineChars="200"/>
        <w:rPr>
          <w:rFonts w:ascii="宋体"/>
          <w:b/>
          <w:bCs/>
          <w:color w:val="auto"/>
          <w:sz w:val="24"/>
          <w:szCs w:val="24"/>
          <w:highlight w:val="none"/>
        </w:rPr>
      </w:pPr>
      <w:r>
        <w:rPr>
          <w:rFonts w:ascii="宋体" w:hAnsi="宋体" w:cs="宋体"/>
          <w:b/>
          <w:bCs/>
          <w:color w:val="auto"/>
          <w:sz w:val="24"/>
          <w:szCs w:val="24"/>
          <w:highlight w:val="none"/>
        </w:rPr>
        <w:t>16.16</w:t>
      </w:r>
      <w:r>
        <w:rPr>
          <w:rFonts w:hint="eastAsia" w:ascii="宋体" w:hAnsi="宋体" w:cs="宋体"/>
          <w:b/>
          <w:bCs/>
          <w:color w:val="auto"/>
          <w:sz w:val="24"/>
          <w:szCs w:val="24"/>
          <w:highlight w:val="none"/>
        </w:rPr>
        <w:t>有下列情形之一的，视为供应商串通投标，其投标无效：</w:t>
      </w:r>
    </w:p>
    <w:p>
      <w:pPr>
        <w:spacing w:line="336" w:lineRule="auto"/>
        <w:ind w:firstLine="482" w:firstLineChars="200"/>
        <w:rPr>
          <w:rFonts w:ascii="宋体"/>
          <w:b/>
          <w:bCs/>
          <w:color w:val="auto"/>
          <w:sz w:val="24"/>
          <w:szCs w:val="24"/>
          <w:highlight w:val="none"/>
        </w:rPr>
      </w:pPr>
      <w:r>
        <w:rPr>
          <w:rFonts w:ascii="宋体" w:hAnsi="宋体" w:cs="宋体"/>
          <w:b/>
          <w:bCs/>
          <w:color w:val="auto"/>
          <w:sz w:val="24"/>
          <w:szCs w:val="24"/>
          <w:highlight w:val="none"/>
        </w:rPr>
        <w:t>16.16.1</w:t>
      </w:r>
      <w:r>
        <w:rPr>
          <w:rFonts w:hint="eastAsia" w:ascii="宋体" w:hAnsi="宋体" w:cs="宋体"/>
          <w:b/>
          <w:bCs/>
          <w:color w:val="auto"/>
          <w:sz w:val="24"/>
          <w:szCs w:val="24"/>
          <w:highlight w:val="none"/>
        </w:rPr>
        <w:t>不同供应商的响应文件由同一单位或者个人编制；</w:t>
      </w:r>
    </w:p>
    <w:p>
      <w:pPr>
        <w:spacing w:line="336" w:lineRule="auto"/>
        <w:ind w:firstLine="482" w:firstLineChars="200"/>
        <w:rPr>
          <w:rFonts w:ascii="宋体"/>
          <w:b/>
          <w:bCs/>
          <w:color w:val="auto"/>
          <w:sz w:val="24"/>
          <w:szCs w:val="24"/>
          <w:highlight w:val="none"/>
        </w:rPr>
      </w:pPr>
      <w:r>
        <w:rPr>
          <w:rFonts w:ascii="宋体" w:hAnsi="宋体" w:cs="宋体"/>
          <w:b/>
          <w:bCs/>
          <w:color w:val="auto"/>
          <w:sz w:val="24"/>
          <w:szCs w:val="24"/>
          <w:highlight w:val="none"/>
        </w:rPr>
        <w:t>16.16.2</w:t>
      </w:r>
      <w:r>
        <w:rPr>
          <w:rFonts w:hint="eastAsia" w:ascii="宋体" w:hAnsi="宋体" w:cs="宋体"/>
          <w:b/>
          <w:bCs/>
          <w:color w:val="auto"/>
          <w:sz w:val="24"/>
          <w:szCs w:val="24"/>
          <w:highlight w:val="none"/>
        </w:rPr>
        <w:t>不同供应商委托同一单位或者个人办理投标事宜；</w:t>
      </w:r>
    </w:p>
    <w:p>
      <w:pPr>
        <w:spacing w:line="336" w:lineRule="auto"/>
        <w:ind w:firstLine="482" w:firstLineChars="200"/>
        <w:rPr>
          <w:rFonts w:ascii="宋体"/>
          <w:b/>
          <w:bCs/>
          <w:color w:val="auto"/>
          <w:sz w:val="24"/>
          <w:szCs w:val="24"/>
          <w:highlight w:val="none"/>
        </w:rPr>
      </w:pPr>
      <w:r>
        <w:rPr>
          <w:rFonts w:ascii="宋体" w:hAnsi="宋体" w:cs="宋体"/>
          <w:b/>
          <w:bCs/>
          <w:color w:val="auto"/>
          <w:sz w:val="24"/>
          <w:szCs w:val="24"/>
          <w:highlight w:val="none"/>
        </w:rPr>
        <w:t>16.16.3</w:t>
      </w:r>
      <w:r>
        <w:rPr>
          <w:rFonts w:hint="eastAsia" w:ascii="宋体" w:hAnsi="宋体" w:cs="宋体"/>
          <w:b/>
          <w:bCs/>
          <w:color w:val="auto"/>
          <w:sz w:val="24"/>
          <w:szCs w:val="24"/>
          <w:highlight w:val="none"/>
        </w:rPr>
        <w:t>不同供应商的响应文件载明的项目管理成员或者联系人员为同一人；</w:t>
      </w:r>
    </w:p>
    <w:p>
      <w:pPr>
        <w:spacing w:line="336" w:lineRule="auto"/>
        <w:ind w:firstLine="482" w:firstLineChars="200"/>
        <w:rPr>
          <w:rFonts w:ascii="宋体"/>
          <w:b/>
          <w:bCs/>
          <w:color w:val="auto"/>
          <w:sz w:val="24"/>
          <w:szCs w:val="24"/>
          <w:highlight w:val="none"/>
        </w:rPr>
      </w:pPr>
      <w:r>
        <w:rPr>
          <w:rFonts w:ascii="宋体" w:hAnsi="宋体" w:cs="宋体"/>
          <w:b/>
          <w:bCs/>
          <w:color w:val="auto"/>
          <w:sz w:val="24"/>
          <w:szCs w:val="24"/>
          <w:highlight w:val="none"/>
        </w:rPr>
        <w:t>16.16.4</w:t>
      </w:r>
      <w:r>
        <w:rPr>
          <w:rFonts w:hint="eastAsia" w:ascii="宋体" w:hAnsi="宋体" w:cs="宋体"/>
          <w:b/>
          <w:bCs/>
          <w:color w:val="auto"/>
          <w:sz w:val="24"/>
          <w:szCs w:val="24"/>
          <w:highlight w:val="none"/>
        </w:rPr>
        <w:t>不同供应商的响应文件异常一致或者投标报价呈规律性差异；</w:t>
      </w:r>
    </w:p>
    <w:p>
      <w:pPr>
        <w:spacing w:line="336" w:lineRule="auto"/>
        <w:ind w:firstLine="482" w:firstLineChars="200"/>
        <w:rPr>
          <w:rFonts w:ascii="宋体" w:hAnsi="宋体" w:cs="宋体"/>
          <w:b/>
          <w:bCs/>
          <w:color w:val="auto"/>
          <w:sz w:val="24"/>
          <w:szCs w:val="24"/>
          <w:highlight w:val="none"/>
        </w:rPr>
      </w:pPr>
      <w:r>
        <w:rPr>
          <w:rFonts w:ascii="宋体" w:hAnsi="宋体" w:cs="宋体"/>
          <w:b/>
          <w:bCs/>
          <w:color w:val="auto"/>
          <w:sz w:val="24"/>
          <w:szCs w:val="24"/>
          <w:highlight w:val="none"/>
        </w:rPr>
        <w:t>16.16.5</w:t>
      </w:r>
      <w:r>
        <w:rPr>
          <w:rFonts w:hint="eastAsia" w:ascii="宋体" w:hAnsi="宋体" w:cs="宋体"/>
          <w:b/>
          <w:bCs/>
          <w:color w:val="auto"/>
          <w:sz w:val="24"/>
          <w:szCs w:val="24"/>
          <w:highlight w:val="none"/>
        </w:rPr>
        <w:t>不同供应商提供的响应文件出自同一终端设备的，或在相同</w:t>
      </w:r>
      <w:r>
        <w:rPr>
          <w:rFonts w:ascii="宋体" w:hAnsi="宋体" w:cs="宋体"/>
          <w:b/>
          <w:bCs/>
          <w:color w:val="auto"/>
          <w:sz w:val="24"/>
          <w:szCs w:val="24"/>
          <w:highlight w:val="none"/>
        </w:rPr>
        <w:t>Internet</w:t>
      </w:r>
      <w:r>
        <w:rPr>
          <w:rFonts w:hint="eastAsia" w:ascii="宋体" w:hAnsi="宋体" w:cs="宋体"/>
          <w:b/>
          <w:bCs/>
          <w:color w:val="auto"/>
          <w:sz w:val="24"/>
          <w:szCs w:val="24"/>
          <w:highlight w:val="none"/>
        </w:rPr>
        <w:t>主机分配地址（相同</w:t>
      </w:r>
      <w:r>
        <w:rPr>
          <w:rFonts w:ascii="宋体" w:hAnsi="宋体" w:cs="宋体"/>
          <w:b/>
          <w:bCs/>
          <w:color w:val="auto"/>
          <w:sz w:val="24"/>
          <w:szCs w:val="24"/>
          <w:highlight w:val="none"/>
        </w:rPr>
        <w:t>IP</w:t>
      </w:r>
      <w:r>
        <w:rPr>
          <w:rFonts w:hint="eastAsia" w:ascii="宋体" w:hAnsi="宋体" w:cs="宋体"/>
          <w:b/>
          <w:bCs/>
          <w:color w:val="auto"/>
          <w:sz w:val="24"/>
          <w:szCs w:val="24"/>
          <w:highlight w:val="none"/>
        </w:rPr>
        <w:t>地址）报名或网上投标的，且经询标澄清供应商无令人信服的理由和可靠证据证明其合理性的，经评标委员会半数以上成员确认有串通投标嫌疑的。</w:t>
      </w:r>
    </w:p>
    <w:p>
      <w:pPr>
        <w:tabs>
          <w:tab w:val="left" w:pos="3870"/>
          <w:tab w:val="left" w:pos="4085"/>
        </w:tabs>
        <w:snapToGrid w:val="0"/>
        <w:spacing w:line="336" w:lineRule="auto"/>
        <w:ind w:firstLine="482" w:firstLineChars="200"/>
        <w:jc w:val="left"/>
        <w:rPr>
          <w:rFonts w:ascii="宋体" w:hAnsi="宋体" w:cs="宋体"/>
          <w:b/>
          <w:color w:val="auto"/>
          <w:sz w:val="24"/>
          <w:highlight w:val="none"/>
        </w:rPr>
      </w:pPr>
      <w:r>
        <w:rPr>
          <w:rFonts w:hint="eastAsia" w:ascii="宋体" w:hAnsi="宋体" w:cs="宋体"/>
          <w:b/>
          <w:bCs/>
          <w:color w:val="auto"/>
          <w:sz w:val="24"/>
          <w:szCs w:val="24"/>
          <w:highlight w:val="none"/>
        </w:rPr>
        <w:t>16.17</w:t>
      </w:r>
      <w:r>
        <w:rPr>
          <w:rFonts w:hint="eastAsia" w:ascii="宋体" w:hAnsi="宋体" w:cs="宋体"/>
          <w:b/>
          <w:color w:val="auto"/>
          <w:sz w:val="24"/>
          <w:highlight w:val="none"/>
        </w:rPr>
        <w:t>员工工资标准低于上虞区最低工资标准的；</w:t>
      </w:r>
    </w:p>
    <w:p>
      <w:pPr>
        <w:tabs>
          <w:tab w:val="left" w:pos="3870"/>
          <w:tab w:val="left" w:pos="4085"/>
        </w:tabs>
        <w:snapToGrid w:val="0"/>
        <w:spacing w:line="336" w:lineRule="auto"/>
        <w:ind w:firstLine="482" w:firstLineChars="200"/>
        <w:jc w:val="left"/>
        <w:rPr>
          <w:rFonts w:ascii="宋体" w:hAnsi="宋体" w:cs="宋体"/>
          <w:b/>
          <w:bCs/>
          <w:color w:val="auto"/>
          <w:sz w:val="24"/>
          <w:szCs w:val="24"/>
          <w:highlight w:val="none"/>
        </w:rPr>
      </w:pPr>
      <w:r>
        <w:rPr>
          <w:rFonts w:hint="eastAsia" w:ascii="宋体" w:hAnsi="宋体" w:cs="宋体"/>
          <w:b/>
          <w:bCs/>
          <w:color w:val="auto"/>
          <w:sz w:val="24"/>
          <w:szCs w:val="24"/>
          <w:highlight w:val="none"/>
        </w:rPr>
        <w:t>16.18 其他违反法律、法规的情形。</w:t>
      </w:r>
    </w:p>
    <w:p>
      <w:pPr>
        <w:pStyle w:val="3"/>
        <w:numPr>
          <w:ilvl w:val="0"/>
          <w:numId w:val="9"/>
        </w:numPr>
        <w:spacing w:line="336" w:lineRule="auto"/>
        <w:jc w:val="center"/>
        <w:rPr>
          <w:rFonts w:cs="Times New Roman"/>
          <w:color w:val="auto"/>
          <w:highlight w:val="none"/>
        </w:rPr>
      </w:pPr>
      <w:r>
        <w:rPr>
          <w:color w:val="auto"/>
          <w:highlight w:val="none"/>
        </w:rPr>
        <w:t xml:space="preserve"> </w:t>
      </w:r>
      <w:bookmarkStart w:id="62" w:name="_Toc21752"/>
      <w:bookmarkStart w:id="63" w:name="_Toc14679"/>
      <w:r>
        <w:rPr>
          <w:rFonts w:hint="eastAsia"/>
          <w:color w:val="auto"/>
          <w:highlight w:val="none"/>
        </w:rPr>
        <w:t>采购中止的情形</w:t>
      </w:r>
      <w:bookmarkEnd w:id="62"/>
      <w:bookmarkEnd w:id="63"/>
    </w:p>
    <w:p>
      <w:pPr>
        <w:pStyle w:val="15"/>
        <w:spacing w:line="336" w:lineRule="auto"/>
        <w:ind w:left="420" w:leftChars="200"/>
        <w:rPr>
          <w:rFonts w:hAnsi="宋体" w:cs="Times New Roman"/>
          <w:b/>
          <w:bCs/>
          <w:color w:val="auto"/>
          <w:sz w:val="24"/>
          <w:szCs w:val="24"/>
          <w:highlight w:val="none"/>
        </w:rPr>
      </w:pPr>
      <w:r>
        <w:rPr>
          <w:rFonts w:hAnsi="宋体"/>
          <w:b/>
          <w:bCs/>
          <w:color w:val="auto"/>
          <w:sz w:val="24"/>
          <w:szCs w:val="24"/>
          <w:highlight w:val="none"/>
        </w:rPr>
        <w:t>17</w:t>
      </w:r>
      <w:r>
        <w:rPr>
          <w:rFonts w:hint="eastAsia" w:hAnsi="宋体"/>
          <w:b/>
          <w:bCs/>
          <w:color w:val="auto"/>
          <w:sz w:val="24"/>
          <w:szCs w:val="24"/>
          <w:highlight w:val="none"/>
        </w:rPr>
        <w:t>、</w:t>
      </w:r>
      <w:r>
        <w:rPr>
          <w:rFonts w:hint="eastAsia" w:hAnsi="宋体"/>
          <w:b/>
          <w:bCs/>
          <w:color w:val="auto"/>
          <w:sz w:val="24"/>
          <w:szCs w:val="24"/>
          <w:highlight w:val="none"/>
          <w:lang w:val="zh-CN"/>
        </w:rPr>
        <w:t>中止电子交易活动和</w:t>
      </w:r>
      <w:r>
        <w:rPr>
          <w:rFonts w:hint="eastAsia" w:hAnsi="宋体"/>
          <w:b/>
          <w:bCs/>
          <w:color w:val="auto"/>
          <w:sz w:val="24"/>
          <w:szCs w:val="24"/>
          <w:highlight w:val="none"/>
        </w:rPr>
        <w:t>重新组织采购</w:t>
      </w:r>
    </w:p>
    <w:p>
      <w:pPr>
        <w:pStyle w:val="54"/>
        <w:tabs>
          <w:tab w:val="left" w:pos="0"/>
        </w:tabs>
        <w:spacing w:before="0" w:line="336" w:lineRule="auto"/>
        <w:ind w:left="420" w:leftChars="200" w:firstLine="0" w:firstLineChars="0"/>
        <w:rPr>
          <w:rFonts w:ascii="宋体"/>
          <w:color w:val="auto"/>
          <w:highlight w:val="none"/>
          <w:lang w:val="zh-CN"/>
        </w:rPr>
      </w:pPr>
      <w:r>
        <w:rPr>
          <w:rFonts w:ascii="宋体" w:hAnsi="宋体" w:cs="宋体"/>
          <w:color w:val="auto"/>
          <w:highlight w:val="none"/>
        </w:rPr>
        <w:t>17.1</w:t>
      </w:r>
      <w:r>
        <w:rPr>
          <w:rFonts w:hint="eastAsia" w:ascii="宋体" w:hAnsi="宋体" w:cs="宋体"/>
          <w:color w:val="auto"/>
          <w:highlight w:val="none"/>
          <w:lang w:val="zh-CN"/>
        </w:rPr>
        <w:t>采购过程中出现以下情形，导致电子交易平台无法正常运行，或者无法保证电子交易的公平、公正和安全时，采购组织机构可中止电子交易活动：</w:t>
      </w:r>
    </w:p>
    <w:p>
      <w:pPr>
        <w:numPr>
          <w:ilvl w:val="0"/>
          <w:numId w:val="15"/>
        </w:numPr>
        <w:tabs>
          <w:tab w:val="left" w:pos="0"/>
        </w:tabs>
        <w:spacing w:line="336"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电子交易平台发生故障而无法登录访问的；</w:t>
      </w:r>
      <w:r>
        <w:rPr>
          <w:rFonts w:ascii="宋体" w:hAnsi="宋体" w:cs="宋体"/>
          <w:color w:val="auto"/>
          <w:sz w:val="24"/>
          <w:szCs w:val="24"/>
          <w:highlight w:val="none"/>
        </w:rPr>
        <w:t xml:space="preserve"> </w:t>
      </w:r>
    </w:p>
    <w:p>
      <w:pPr>
        <w:numPr>
          <w:ilvl w:val="0"/>
          <w:numId w:val="15"/>
        </w:numPr>
        <w:tabs>
          <w:tab w:val="left" w:pos="0"/>
        </w:tabs>
        <w:spacing w:line="336"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电子交易平台应用或数据库出现错误，不能进行正常操作的；</w:t>
      </w:r>
    </w:p>
    <w:p>
      <w:pPr>
        <w:numPr>
          <w:ilvl w:val="0"/>
          <w:numId w:val="15"/>
        </w:numPr>
        <w:tabs>
          <w:tab w:val="left" w:pos="0"/>
        </w:tabs>
        <w:spacing w:line="336"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电子交易平台发现严重安全漏洞，有潜在泄密危险的；</w:t>
      </w:r>
    </w:p>
    <w:p>
      <w:pPr>
        <w:numPr>
          <w:ilvl w:val="0"/>
          <w:numId w:val="15"/>
        </w:numPr>
        <w:tabs>
          <w:tab w:val="left" w:pos="0"/>
        </w:tabs>
        <w:spacing w:line="336"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病毒发作导致不能进行正常操作的；</w:t>
      </w:r>
      <w:r>
        <w:rPr>
          <w:rFonts w:ascii="宋体" w:hAnsi="宋体" w:cs="宋体"/>
          <w:color w:val="auto"/>
          <w:sz w:val="24"/>
          <w:szCs w:val="24"/>
          <w:highlight w:val="none"/>
        </w:rPr>
        <w:t xml:space="preserve"> </w:t>
      </w:r>
    </w:p>
    <w:p>
      <w:pPr>
        <w:numPr>
          <w:ilvl w:val="0"/>
          <w:numId w:val="15"/>
        </w:numPr>
        <w:tabs>
          <w:tab w:val="left" w:pos="0"/>
        </w:tabs>
        <w:spacing w:line="336"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其他无法保证电子交易的公平、公正和安全的情况。</w:t>
      </w:r>
    </w:p>
    <w:p>
      <w:pPr>
        <w:pStyle w:val="54"/>
        <w:tabs>
          <w:tab w:val="left" w:pos="0"/>
        </w:tabs>
        <w:spacing w:before="0" w:line="336" w:lineRule="auto"/>
        <w:ind w:firstLine="480"/>
        <w:rPr>
          <w:rFonts w:ascii="宋体"/>
          <w:color w:val="auto"/>
          <w:highlight w:val="none"/>
        </w:rPr>
      </w:pPr>
      <w:r>
        <w:rPr>
          <w:rFonts w:ascii="宋体" w:hAnsi="宋体" w:cs="宋体"/>
          <w:color w:val="auto"/>
          <w:highlight w:val="none"/>
        </w:rPr>
        <w:t>17.2</w:t>
      </w:r>
      <w:r>
        <w:rPr>
          <w:rFonts w:hint="eastAsia" w:ascii="宋体" w:hAnsi="宋体" w:cs="宋体"/>
          <w:color w:val="auto"/>
          <w:highlight w:val="none"/>
        </w:rPr>
        <w:t>磋商小组发现磋商文件存在歧义、重大缺陷导致评标工作无法进行，或者磋商文件内容违反国家有关强制性规定的，将停止评标工作，并与采购人、采购代理机构沟通并作书面记录。采购人、采购代理机构确认后，将修改磋商文件，重新组织采购活动。</w:t>
      </w:r>
    </w:p>
    <w:p>
      <w:pPr>
        <w:pStyle w:val="3"/>
        <w:numPr>
          <w:ilvl w:val="0"/>
          <w:numId w:val="9"/>
        </w:numPr>
        <w:spacing w:line="336" w:lineRule="auto"/>
        <w:jc w:val="center"/>
        <w:rPr>
          <w:rFonts w:cs="Times New Roman"/>
          <w:color w:val="auto"/>
          <w:highlight w:val="none"/>
        </w:rPr>
      </w:pPr>
      <w:r>
        <w:rPr>
          <w:color w:val="auto"/>
          <w:highlight w:val="none"/>
        </w:rPr>
        <w:t xml:space="preserve"> </w:t>
      </w:r>
      <w:bookmarkStart w:id="64" w:name="_Toc14029"/>
      <w:bookmarkStart w:id="65" w:name="_Toc23879"/>
      <w:r>
        <w:rPr>
          <w:rFonts w:hint="eastAsia"/>
          <w:color w:val="auto"/>
          <w:highlight w:val="none"/>
        </w:rPr>
        <w:t>确定成交供应商与签订合同</w:t>
      </w:r>
      <w:bookmarkEnd w:id="64"/>
      <w:bookmarkEnd w:id="65"/>
    </w:p>
    <w:p>
      <w:pPr>
        <w:snapToGrid w:val="0"/>
        <w:spacing w:line="336" w:lineRule="auto"/>
        <w:ind w:firstLine="482" w:firstLineChars="200"/>
        <w:rPr>
          <w:rFonts w:ascii="宋体"/>
          <w:b/>
          <w:bCs/>
          <w:color w:val="auto"/>
          <w:sz w:val="24"/>
          <w:szCs w:val="24"/>
          <w:highlight w:val="none"/>
        </w:rPr>
      </w:pPr>
      <w:r>
        <w:rPr>
          <w:rFonts w:ascii="宋体" w:hAnsi="宋体" w:cs="宋体"/>
          <w:b/>
          <w:bCs/>
          <w:color w:val="auto"/>
          <w:sz w:val="24"/>
          <w:szCs w:val="24"/>
          <w:highlight w:val="none"/>
        </w:rPr>
        <w:t>18</w:t>
      </w:r>
      <w:r>
        <w:rPr>
          <w:rFonts w:hint="eastAsia" w:ascii="宋体" w:hAnsi="宋体" w:cs="宋体"/>
          <w:b/>
          <w:bCs/>
          <w:color w:val="auto"/>
          <w:sz w:val="24"/>
          <w:szCs w:val="24"/>
          <w:highlight w:val="none"/>
        </w:rPr>
        <w:t>、推荐成交候选供应商</w:t>
      </w:r>
    </w:p>
    <w:p>
      <w:pPr>
        <w:snapToGrid w:val="0"/>
        <w:spacing w:line="336" w:lineRule="auto"/>
        <w:ind w:firstLine="480" w:firstLineChars="200"/>
        <w:rPr>
          <w:rFonts w:ascii="宋体"/>
          <w:color w:val="auto"/>
          <w:sz w:val="24"/>
          <w:szCs w:val="24"/>
          <w:highlight w:val="none"/>
        </w:rPr>
      </w:pPr>
      <w:r>
        <w:rPr>
          <w:rFonts w:ascii="宋体" w:hAnsi="宋体" w:cs="宋体"/>
          <w:color w:val="auto"/>
          <w:sz w:val="24"/>
          <w:szCs w:val="24"/>
          <w:highlight w:val="none"/>
        </w:rPr>
        <w:t xml:space="preserve">18.1 </w:t>
      </w:r>
      <w:r>
        <w:rPr>
          <w:rFonts w:hint="eastAsia" w:ascii="宋体" w:hAnsi="宋体" w:cs="宋体"/>
          <w:color w:val="auto"/>
          <w:sz w:val="24"/>
          <w:szCs w:val="24"/>
          <w:highlight w:val="none"/>
        </w:rPr>
        <w:t>磋商小组应当根据综合评分情况，按照评审得分由高到低顺序推荐</w:t>
      </w:r>
      <w:r>
        <w:rPr>
          <w:rFonts w:ascii="宋体" w:hAnsi="宋体" w:cs="宋体"/>
          <w:color w:val="auto"/>
          <w:sz w:val="24"/>
          <w:szCs w:val="24"/>
          <w:highlight w:val="none"/>
        </w:rPr>
        <w:t>1</w:t>
      </w:r>
      <w:r>
        <w:rPr>
          <w:rFonts w:hint="eastAsia" w:ascii="宋体" w:hAnsi="宋体" w:cs="宋体"/>
          <w:color w:val="auto"/>
          <w:sz w:val="24"/>
          <w:szCs w:val="24"/>
          <w:highlight w:val="none"/>
        </w:rPr>
        <w:t>名或以上成交候选供应商，并编写评审报告。评审得分相同的，按照最后报价由低到高的顺序推荐。评审得分且最后报价相同的，按照技术指标优劣顺序推荐。</w:t>
      </w:r>
    </w:p>
    <w:p>
      <w:pPr>
        <w:snapToGrid w:val="0"/>
        <w:spacing w:line="336" w:lineRule="auto"/>
        <w:ind w:firstLine="480" w:firstLineChars="200"/>
        <w:rPr>
          <w:rFonts w:ascii="宋体"/>
          <w:color w:val="auto"/>
          <w:sz w:val="24"/>
          <w:szCs w:val="24"/>
          <w:highlight w:val="none"/>
        </w:rPr>
      </w:pPr>
      <w:r>
        <w:rPr>
          <w:rFonts w:ascii="宋体" w:hAnsi="宋体" w:cs="宋体"/>
          <w:color w:val="auto"/>
          <w:sz w:val="24"/>
          <w:szCs w:val="24"/>
          <w:highlight w:val="none"/>
        </w:rPr>
        <w:t xml:space="preserve">18.2 </w:t>
      </w:r>
      <w:r>
        <w:rPr>
          <w:rFonts w:hint="eastAsia" w:ascii="宋体" w:hAnsi="宋体" w:cs="宋体"/>
          <w:color w:val="auto"/>
          <w:sz w:val="24"/>
          <w:szCs w:val="24"/>
          <w:highlight w:val="none"/>
        </w:rPr>
        <w:t>采购代理机构应当在评审结束后</w:t>
      </w:r>
      <w:r>
        <w:rPr>
          <w:rFonts w:ascii="宋体" w:hAnsi="宋体" w:cs="宋体"/>
          <w:color w:val="auto"/>
          <w:sz w:val="24"/>
          <w:szCs w:val="24"/>
          <w:highlight w:val="none"/>
        </w:rPr>
        <w:t>2</w:t>
      </w:r>
      <w:r>
        <w:rPr>
          <w:rFonts w:hint="eastAsia" w:ascii="宋体" w:hAnsi="宋体" w:cs="宋体"/>
          <w:color w:val="auto"/>
          <w:sz w:val="24"/>
          <w:szCs w:val="24"/>
          <w:highlight w:val="none"/>
        </w:rPr>
        <w:t>个工作日内将评审报告送采购人确认。</w:t>
      </w:r>
    </w:p>
    <w:p>
      <w:pPr>
        <w:snapToGrid w:val="0"/>
        <w:spacing w:line="336" w:lineRule="auto"/>
        <w:ind w:firstLine="482" w:firstLineChars="200"/>
        <w:rPr>
          <w:rFonts w:ascii="宋体"/>
          <w:b/>
          <w:bCs/>
          <w:color w:val="auto"/>
          <w:sz w:val="24"/>
          <w:szCs w:val="24"/>
          <w:highlight w:val="none"/>
        </w:rPr>
      </w:pPr>
      <w:r>
        <w:rPr>
          <w:rFonts w:ascii="宋体" w:hAnsi="宋体" w:cs="宋体"/>
          <w:b/>
          <w:bCs/>
          <w:color w:val="auto"/>
          <w:sz w:val="24"/>
          <w:szCs w:val="24"/>
          <w:highlight w:val="none"/>
        </w:rPr>
        <w:t>19</w:t>
      </w:r>
      <w:r>
        <w:rPr>
          <w:rFonts w:hint="eastAsia" w:ascii="宋体" w:hAnsi="宋体" w:cs="宋体"/>
          <w:b/>
          <w:bCs/>
          <w:color w:val="auto"/>
          <w:sz w:val="24"/>
          <w:szCs w:val="24"/>
          <w:highlight w:val="none"/>
        </w:rPr>
        <w:t>、确定成交供应商</w:t>
      </w:r>
    </w:p>
    <w:p>
      <w:pPr>
        <w:adjustRightInd w:val="0"/>
        <w:spacing w:line="336" w:lineRule="auto"/>
        <w:ind w:firstLine="480" w:firstLineChars="200"/>
        <w:rPr>
          <w:rFonts w:ascii="宋体"/>
          <w:color w:val="auto"/>
          <w:sz w:val="24"/>
          <w:szCs w:val="24"/>
          <w:highlight w:val="none"/>
        </w:rPr>
      </w:pPr>
      <w:r>
        <w:rPr>
          <w:rFonts w:ascii="宋体" w:hAnsi="宋体" w:cs="宋体"/>
          <w:color w:val="auto"/>
          <w:sz w:val="24"/>
          <w:szCs w:val="24"/>
          <w:highlight w:val="none"/>
        </w:rPr>
        <w:t>19.1</w:t>
      </w:r>
      <w:r>
        <w:rPr>
          <w:rFonts w:hint="eastAsia" w:ascii="宋体" w:hAnsi="宋体" w:cs="宋体"/>
          <w:color w:val="auto"/>
          <w:sz w:val="24"/>
          <w:szCs w:val="24"/>
          <w:highlight w:val="none"/>
        </w:rPr>
        <w:t>采购人应当在收到评审报告后</w:t>
      </w:r>
      <w:r>
        <w:rPr>
          <w:rFonts w:ascii="宋体" w:hAnsi="宋体" w:cs="宋体"/>
          <w:color w:val="auto"/>
          <w:sz w:val="24"/>
          <w:szCs w:val="24"/>
          <w:highlight w:val="none"/>
        </w:rPr>
        <w:t>5</w:t>
      </w:r>
      <w:r>
        <w:rPr>
          <w:rFonts w:hint="eastAsia" w:ascii="宋体" w:hAnsi="宋体" w:cs="宋体"/>
          <w:color w:val="auto"/>
          <w:sz w:val="24"/>
          <w:szCs w:val="24"/>
          <w:highlight w:val="none"/>
        </w:rPr>
        <w:t>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pPr>
        <w:adjustRightInd w:val="0"/>
        <w:spacing w:line="336" w:lineRule="auto"/>
        <w:ind w:firstLine="480" w:firstLineChars="200"/>
        <w:rPr>
          <w:rFonts w:ascii="宋体"/>
          <w:color w:val="auto"/>
          <w:sz w:val="24"/>
          <w:szCs w:val="24"/>
          <w:highlight w:val="none"/>
        </w:rPr>
      </w:pPr>
      <w:r>
        <w:rPr>
          <w:rFonts w:ascii="宋体" w:hAnsi="宋体" w:cs="宋体"/>
          <w:color w:val="auto"/>
          <w:sz w:val="24"/>
          <w:szCs w:val="24"/>
          <w:highlight w:val="none"/>
        </w:rPr>
        <w:t>19.2</w:t>
      </w:r>
      <w:r>
        <w:rPr>
          <w:rFonts w:hint="eastAsia" w:ascii="宋体" w:hAnsi="宋体" w:cs="宋体"/>
          <w:color w:val="auto"/>
          <w:sz w:val="24"/>
          <w:szCs w:val="24"/>
          <w:highlight w:val="none"/>
        </w:rPr>
        <w:t>采购人或者采购代理机构应当在成交供应商确定后</w:t>
      </w:r>
      <w:r>
        <w:rPr>
          <w:rFonts w:ascii="宋体" w:hAnsi="宋体" w:cs="宋体"/>
          <w:color w:val="auto"/>
          <w:sz w:val="24"/>
          <w:szCs w:val="24"/>
          <w:highlight w:val="none"/>
        </w:rPr>
        <w:t>2</w:t>
      </w:r>
      <w:r>
        <w:rPr>
          <w:rFonts w:hint="eastAsia" w:ascii="宋体" w:hAnsi="宋体" w:cs="宋体"/>
          <w:color w:val="auto"/>
          <w:sz w:val="24"/>
          <w:szCs w:val="24"/>
          <w:highlight w:val="none"/>
        </w:rPr>
        <w:t>个工作日内，在省级以上财政部门指定的政府采购信息发布媒体上公告成交结果，同时向成交供应商发出成交通知书。</w:t>
      </w:r>
    </w:p>
    <w:p>
      <w:pPr>
        <w:adjustRightInd w:val="0"/>
        <w:spacing w:line="336" w:lineRule="auto"/>
        <w:ind w:firstLine="482" w:firstLineChars="200"/>
        <w:rPr>
          <w:rFonts w:ascii="宋体"/>
          <w:b/>
          <w:bCs/>
          <w:color w:val="auto"/>
          <w:sz w:val="24"/>
          <w:szCs w:val="24"/>
          <w:highlight w:val="none"/>
        </w:rPr>
      </w:pPr>
      <w:r>
        <w:rPr>
          <w:rFonts w:ascii="宋体" w:hAnsi="宋体" w:cs="宋体"/>
          <w:b/>
          <w:bCs/>
          <w:color w:val="auto"/>
          <w:sz w:val="24"/>
          <w:szCs w:val="24"/>
          <w:highlight w:val="none"/>
        </w:rPr>
        <w:t>20</w:t>
      </w:r>
      <w:r>
        <w:rPr>
          <w:rFonts w:hint="eastAsia" w:ascii="宋体" w:hAnsi="宋体" w:cs="宋体"/>
          <w:b/>
          <w:bCs/>
          <w:color w:val="auto"/>
          <w:sz w:val="24"/>
          <w:szCs w:val="24"/>
          <w:highlight w:val="none"/>
        </w:rPr>
        <w:t>、签订合同</w:t>
      </w:r>
    </w:p>
    <w:p>
      <w:pPr>
        <w:pStyle w:val="54"/>
        <w:snapToGrid w:val="0"/>
        <w:spacing w:before="0" w:line="336" w:lineRule="auto"/>
        <w:ind w:firstLine="480"/>
        <w:rPr>
          <w:rFonts w:ascii="宋体"/>
          <w:color w:val="auto"/>
          <w:highlight w:val="none"/>
        </w:rPr>
      </w:pPr>
      <w:r>
        <w:rPr>
          <w:rFonts w:ascii="宋体" w:hAnsi="宋体" w:cs="宋体"/>
          <w:color w:val="auto"/>
          <w:highlight w:val="none"/>
        </w:rPr>
        <w:t xml:space="preserve">20.1. </w:t>
      </w:r>
      <w:r>
        <w:rPr>
          <w:rFonts w:hint="eastAsia" w:ascii="宋体" w:hAnsi="宋体" w:cs="宋体"/>
          <w:color w:val="auto"/>
          <w:highlight w:val="none"/>
        </w:rPr>
        <w:t>采购人与成交供应商应当在成交通知书发出之日起</w:t>
      </w:r>
      <w:r>
        <w:rPr>
          <w:rFonts w:ascii="宋体" w:hAnsi="宋体" w:cs="宋体"/>
          <w:color w:val="auto"/>
          <w:highlight w:val="none"/>
        </w:rPr>
        <w:t>30</w:t>
      </w:r>
      <w:r>
        <w:rPr>
          <w:rFonts w:hint="eastAsia" w:ascii="宋体" w:hAnsi="宋体" w:cs="宋体"/>
          <w:color w:val="auto"/>
          <w:highlight w:val="none"/>
        </w:rPr>
        <w:t>日内，按照磋商文件确定的合同文本以及采购标的、规格型号、采购金额、采购数量、技术和服务要求等事项签订政府采购合同。</w:t>
      </w:r>
    </w:p>
    <w:p>
      <w:pPr>
        <w:pStyle w:val="54"/>
        <w:snapToGrid w:val="0"/>
        <w:spacing w:before="0" w:line="336" w:lineRule="auto"/>
        <w:ind w:firstLine="480"/>
        <w:rPr>
          <w:rFonts w:ascii="宋体"/>
          <w:color w:val="auto"/>
          <w:highlight w:val="none"/>
        </w:rPr>
      </w:pPr>
      <w:r>
        <w:rPr>
          <w:rFonts w:ascii="宋体" w:hAnsi="宋体" w:cs="宋体"/>
          <w:color w:val="auto"/>
          <w:highlight w:val="none"/>
        </w:rPr>
        <w:t xml:space="preserve">20.2. </w:t>
      </w:r>
      <w:r>
        <w:rPr>
          <w:rFonts w:hint="eastAsia" w:ascii="宋体" w:hAnsi="宋体" w:cs="宋体"/>
          <w:color w:val="auto"/>
          <w:highlight w:val="none"/>
        </w:rPr>
        <w:t>成交供应商拒绝签订政府采购合同的，采购人可以按照《政府采购竞争性磋商采购方式管理暂行办法》（财库〔</w:t>
      </w:r>
      <w:r>
        <w:rPr>
          <w:rFonts w:ascii="宋体" w:hAnsi="宋体" w:cs="宋体"/>
          <w:color w:val="auto"/>
          <w:highlight w:val="none"/>
        </w:rPr>
        <w:t>2014</w:t>
      </w:r>
      <w:r>
        <w:rPr>
          <w:rFonts w:hint="eastAsia" w:ascii="宋体" w:hAnsi="宋体" w:cs="宋体"/>
          <w:color w:val="auto"/>
          <w:highlight w:val="none"/>
        </w:rPr>
        <w:t>〕</w:t>
      </w:r>
      <w:r>
        <w:rPr>
          <w:rFonts w:ascii="宋体" w:hAnsi="宋体" w:cs="宋体"/>
          <w:color w:val="auto"/>
          <w:highlight w:val="none"/>
        </w:rPr>
        <w:t>214</w:t>
      </w:r>
      <w:r>
        <w:rPr>
          <w:rFonts w:hint="eastAsia" w:ascii="宋体" w:hAnsi="宋体" w:cs="宋体"/>
          <w:color w:val="auto"/>
          <w:highlight w:val="none"/>
        </w:rPr>
        <w:t>号）第二十八条第二款规定的原则确定其他供应商作为成交供应商并签订政府采购合同，也可以重新开展采购活动。拒绝签订政府采购合同的成交供应商不得参加对该项目重新开展的采购活动。</w:t>
      </w:r>
    </w:p>
    <w:p>
      <w:pPr>
        <w:adjustRightInd w:val="0"/>
        <w:snapToGrid w:val="0"/>
        <w:spacing w:line="336" w:lineRule="auto"/>
        <w:ind w:firstLine="482" w:firstLineChars="200"/>
        <w:rPr>
          <w:rFonts w:ascii="宋体"/>
          <w:b/>
          <w:bCs/>
          <w:color w:val="auto"/>
          <w:sz w:val="24"/>
          <w:szCs w:val="24"/>
          <w:highlight w:val="none"/>
        </w:rPr>
      </w:pPr>
      <w:r>
        <w:rPr>
          <w:rFonts w:ascii="宋体" w:hAnsi="宋体" w:cs="宋体"/>
          <w:b/>
          <w:bCs/>
          <w:color w:val="auto"/>
          <w:sz w:val="24"/>
          <w:szCs w:val="24"/>
          <w:highlight w:val="none"/>
        </w:rPr>
        <w:t>21</w:t>
      </w:r>
      <w:r>
        <w:rPr>
          <w:rFonts w:hint="eastAsia" w:ascii="宋体" w:hAnsi="宋体" w:cs="宋体"/>
          <w:b/>
          <w:bCs/>
          <w:color w:val="auto"/>
          <w:sz w:val="24"/>
          <w:szCs w:val="24"/>
          <w:highlight w:val="none"/>
        </w:rPr>
        <w:t>、解释权</w:t>
      </w:r>
    </w:p>
    <w:p>
      <w:pPr>
        <w:adjustRightInd w:val="0"/>
        <w:spacing w:line="336"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磋商文件的解释权均属于</w:t>
      </w:r>
      <w:r>
        <w:rPr>
          <w:rFonts w:hint="eastAsia" w:ascii="宋体" w:hAnsi="宋体" w:cs="宋体"/>
          <w:color w:val="auto"/>
          <w:sz w:val="24"/>
          <w:szCs w:val="24"/>
          <w:highlight w:val="none"/>
          <w:u w:val="single"/>
          <w:lang w:eastAsia="zh-CN"/>
        </w:rPr>
        <w:t>上虞区驿亭镇人民政府</w:t>
      </w:r>
      <w:r>
        <w:rPr>
          <w:rFonts w:hint="eastAsia" w:ascii="宋体" w:hAnsi="宋体" w:cs="宋体"/>
          <w:color w:val="auto"/>
          <w:sz w:val="24"/>
          <w:szCs w:val="24"/>
          <w:highlight w:val="none"/>
        </w:rPr>
        <w:t>和</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rPr>
        <w:t>浙江宇康工程管理咨询有限公司</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rPr>
        <w:t>。</w:t>
      </w:r>
    </w:p>
    <w:p>
      <w:pPr>
        <w:pStyle w:val="12"/>
        <w:rPr>
          <w:rFonts w:cs="Times New Roman"/>
          <w:color w:val="auto"/>
          <w:highlight w:val="none"/>
        </w:rPr>
      </w:pPr>
    </w:p>
    <w:p>
      <w:pPr>
        <w:pStyle w:val="2"/>
        <w:jc w:val="center"/>
        <w:rPr>
          <w:rFonts w:cs="Times New Roman"/>
          <w:color w:val="auto"/>
          <w:sz w:val="36"/>
          <w:szCs w:val="36"/>
          <w:highlight w:val="none"/>
        </w:rPr>
      </w:pPr>
      <w:r>
        <w:rPr>
          <w:color w:val="auto"/>
          <w:sz w:val="36"/>
          <w:szCs w:val="36"/>
          <w:highlight w:val="none"/>
        </w:rPr>
        <w:br w:type="page"/>
      </w:r>
      <w:bookmarkStart w:id="66" w:name="_Toc21248"/>
      <w:bookmarkStart w:id="67" w:name="_Toc10923"/>
      <w:r>
        <w:rPr>
          <w:rFonts w:hint="eastAsia"/>
          <w:color w:val="auto"/>
          <w:sz w:val="36"/>
          <w:szCs w:val="36"/>
          <w:highlight w:val="none"/>
        </w:rPr>
        <w:t xml:space="preserve">第三部分 </w:t>
      </w:r>
      <w:r>
        <w:rPr>
          <w:rFonts w:hint="eastAsia" w:cs="宋体"/>
          <w:color w:val="auto"/>
          <w:sz w:val="36"/>
          <w:szCs w:val="36"/>
          <w:highlight w:val="none"/>
        </w:rPr>
        <w:t>采购内容及要求</w:t>
      </w:r>
      <w:bookmarkEnd w:id="66"/>
      <w:bookmarkEnd w:id="67"/>
    </w:p>
    <w:p>
      <w:pPr>
        <w:pStyle w:val="3"/>
        <w:jc w:val="center"/>
        <w:rPr>
          <w:color w:val="auto"/>
          <w:highlight w:val="none"/>
        </w:rPr>
      </w:pPr>
      <w:bookmarkStart w:id="68" w:name="_Toc25073"/>
      <w:bookmarkStart w:id="69" w:name="_Toc918"/>
      <w:bookmarkStart w:id="70" w:name="_Toc15284"/>
      <w:r>
        <w:rPr>
          <w:rFonts w:hint="eastAsia"/>
          <w:color w:val="auto"/>
          <w:highlight w:val="none"/>
        </w:rPr>
        <w:t xml:space="preserve">第一章 </w:t>
      </w:r>
      <w:bookmarkStart w:id="71" w:name="_Toc506107120"/>
      <w:r>
        <w:rPr>
          <w:rFonts w:hint="eastAsia"/>
          <w:color w:val="auto"/>
          <w:highlight w:val="none"/>
        </w:rPr>
        <w:t>采购内容及要求</w:t>
      </w:r>
      <w:bookmarkEnd w:id="68"/>
      <w:bookmarkEnd w:id="69"/>
      <w:bookmarkEnd w:id="71"/>
    </w:p>
    <w:p>
      <w:pPr>
        <w:spacing w:line="360" w:lineRule="auto"/>
        <w:outlineLvl w:val="0"/>
        <w:rPr>
          <w:rFonts w:hint="eastAsia" w:ascii="宋体" w:hAnsi="宋体" w:eastAsia="宋体" w:cs="Arial"/>
          <w:b/>
          <w:bCs/>
          <w:color w:val="auto"/>
          <w:sz w:val="24"/>
          <w:highlight w:val="none"/>
          <w:lang w:eastAsia="zh-CN"/>
        </w:rPr>
      </w:pPr>
      <w:bookmarkStart w:id="72" w:name="_Toc12163"/>
      <w:r>
        <w:rPr>
          <w:rFonts w:hint="eastAsia" w:ascii="宋体" w:hAnsi="宋体" w:cs="Arial"/>
          <w:b/>
          <w:bCs/>
          <w:color w:val="auto"/>
          <w:sz w:val="24"/>
          <w:highlight w:val="none"/>
          <w:lang w:val="en-US" w:eastAsia="zh-CN"/>
        </w:rPr>
        <w:t>一、</w:t>
      </w:r>
      <w:r>
        <w:rPr>
          <w:rFonts w:hint="eastAsia" w:ascii="宋体" w:hAnsi="宋体" w:cs="Arial"/>
          <w:b/>
          <w:bCs/>
          <w:color w:val="auto"/>
          <w:sz w:val="24"/>
          <w:highlight w:val="none"/>
        </w:rPr>
        <w:t>项目</w:t>
      </w:r>
      <w:r>
        <w:rPr>
          <w:rFonts w:hint="eastAsia" w:ascii="宋体" w:hAnsi="宋体" w:cs="Arial"/>
          <w:b/>
          <w:bCs/>
          <w:color w:val="auto"/>
          <w:sz w:val="24"/>
          <w:highlight w:val="none"/>
          <w:lang w:val="en-US" w:eastAsia="zh-CN"/>
        </w:rPr>
        <w:t>背景</w:t>
      </w:r>
      <w:bookmarkEnd w:id="72"/>
    </w:p>
    <w:p>
      <w:pPr>
        <w:pStyle w:val="26"/>
        <w:spacing w:after="0" w:line="360" w:lineRule="auto"/>
        <w:ind w:firstLine="480"/>
        <w:rPr>
          <w:color w:val="auto"/>
          <w:highlight w:val="none"/>
        </w:rPr>
      </w:pPr>
      <w:r>
        <w:rPr>
          <w:rFonts w:hint="eastAsia"/>
          <w:color w:val="auto"/>
          <w:highlight w:val="none"/>
        </w:rPr>
        <w:t>村庄规划是法定规划，是国土空间规划体系中乡村地区的详细规划，是表达农民生产生活愿望的蓝图；是协调农村空间保护利用的平台；是提升优化农业空间布局的手段；是依规完善乡村空间治理、核发乡村建设工程规划许可、进行各项建设等的法定依据。</w:t>
      </w:r>
    </w:p>
    <w:p>
      <w:pPr>
        <w:pStyle w:val="26"/>
        <w:spacing w:after="0" w:line="360" w:lineRule="auto"/>
        <w:ind w:firstLine="480"/>
        <w:rPr>
          <w:rFonts w:hint="eastAsia"/>
          <w:color w:val="auto"/>
          <w:highlight w:val="none"/>
        </w:rPr>
      </w:pPr>
      <w:r>
        <w:rPr>
          <w:rFonts w:hint="eastAsia"/>
          <w:color w:val="auto"/>
          <w:highlight w:val="none"/>
        </w:rPr>
        <w:t>根据《中央农办 农业农村部 自然资源部 国家发展改革委 财政部关于统筹推进村庄规划工作的意见》（农规发〔2019〕1号）、《浙江省自然资源厅关于科学有序推进村庄规划编制工作的通知》以及绍兴市、上虞区2</w:t>
      </w:r>
      <w:r>
        <w:rPr>
          <w:color w:val="auto"/>
          <w:highlight w:val="none"/>
        </w:rPr>
        <w:t>02</w:t>
      </w:r>
      <w:r>
        <w:rPr>
          <w:rFonts w:hint="eastAsia"/>
          <w:color w:val="auto"/>
          <w:highlight w:val="none"/>
        </w:rPr>
        <w:t>2年度开展“多规合一”的实用性村庄规划试点编制工作要求，拟开展</w:t>
      </w:r>
      <w:r>
        <w:rPr>
          <w:rFonts w:hint="eastAsia"/>
          <w:color w:val="auto"/>
          <w:highlight w:val="none"/>
          <w:lang w:eastAsia="zh-CN"/>
        </w:rPr>
        <w:t>驿亭镇</w:t>
      </w:r>
      <w:r>
        <w:rPr>
          <w:rFonts w:hint="eastAsia"/>
          <w:color w:val="auto"/>
          <w:highlight w:val="none"/>
        </w:rPr>
        <w:t>“多规合一”实用性村庄规划编制工作。</w:t>
      </w:r>
    </w:p>
    <w:tbl>
      <w:tblPr>
        <w:tblStyle w:val="27"/>
        <w:tblW w:w="9307" w:type="dxa"/>
        <w:jc w:val="center"/>
        <w:tblBorders>
          <w:top w:val="single" w:color="000000" w:sz="4" w:space="0"/>
          <w:left w:val="single" w:color="000000" w:sz="4" w:space="0"/>
          <w:bottom w:val="single" w:color="000000" w:sz="4" w:space="0"/>
          <w:right w:val="single" w:color="000000" w:sz="4" w:space="0"/>
          <w:insideH w:val="single" w:color="A6A6A6" w:sz="4" w:space="0"/>
          <w:insideV w:val="single" w:color="A6A6A6" w:sz="4" w:space="0"/>
        </w:tblBorders>
        <w:tblLayout w:type="fixed"/>
        <w:tblCellMar>
          <w:top w:w="0" w:type="dxa"/>
          <w:left w:w="108" w:type="dxa"/>
          <w:bottom w:w="0" w:type="dxa"/>
          <w:right w:w="108" w:type="dxa"/>
        </w:tblCellMar>
      </w:tblPr>
      <w:tblGrid>
        <w:gridCol w:w="1402"/>
        <w:gridCol w:w="2010"/>
        <w:gridCol w:w="825"/>
        <w:gridCol w:w="795"/>
        <w:gridCol w:w="1275"/>
        <w:gridCol w:w="3000"/>
      </w:tblGrid>
      <w:tr>
        <w:tblPrEx>
          <w:tblBorders>
            <w:top w:val="single" w:color="000000" w:sz="4" w:space="0"/>
            <w:left w:val="single" w:color="000000" w:sz="4" w:space="0"/>
            <w:bottom w:val="single" w:color="000000" w:sz="4" w:space="0"/>
            <w:right w:val="single" w:color="000000" w:sz="4" w:space="0"/>
            <w:insideH w:val="single" w:color="A6A6A6" w:sz="4" w:space="0"/>
            <w:insideV w:val="single" w:color="A6A6A6" w:sz="4" w:space="0"/>
          </w:tblBorders>
          <w:tblCellMar>
            <w:top w:w="0" w:type="dxa"/>
            <w:left w:w="108" w:type="dxa"/>
            <w:bottom w:w="0" w:type="dxa"/>
            <w:right w:w="108" w:type="dxa"/>
          </w:tblCellMar>
        </w:tblPrEx>
        <w:trPr>
          <w:trHeight w:val="938" w:hRule="atLeast"/>
          <w:jc w:val="center"/>
        </w:trPr>
        <w:tc>
          <w:tcPr>
            <w:tcW w:w="1402" w:type="dxa"/>
            <w:tcBorders>
              <w:top w:val="single" w:color="000000" w:sz="4" w:space="0"/>
            </w:tcBorders>
            <w:vAlign w:val="center"/>
          </w:tcPr>
          <w:p>
            <w:pPr>
              <w:adjustRightInd w:val="0"/>
              <w:spacing w:line="360" w:lineRule="auto"/>
              <w:jc w:val="center"/>
              <w:rPr>
                <w:rFonts w:ascii="宋体"/>
                <w:color w:val="auto"/>
                <w:sz w:val="22"/>
                <w:szCs w:val="22"/>
                <w:highlight w:val="none"/>
              </w:rPr>
            </w:pPr>
            <w:r>
              <w:rPr>
                <w:rFonts w:hint="eastAsia" w:ascii="宋体" w:hAnsi="宋体" w:cs="宋体"/>
                <w:color w:val="auto"/>
                <w:sz w:val="22"/>
                <w:szCs w:val="22"/>
                <w:highlight w:val="none"/>
                <w:lang w:val="en-US" w:eastAsia="zh-CN"/>
              </w:rPr>
              <w:t>项目编</w:t>
            </w:r>
            <w:r>
              <w:rPr>
                <w:rFonts w:hint="eastAsia" w:ascii="宋体" w:hAnsi="宋体" w:cs="宋体"/>
                <w:color w:val="auto"/>
                <w:sz w:val="22"/>
                <w:szCs w:val="22"/>
                <w:highlight w:val="none"/>
              </w:rPr>
              <w:t>号</w:t>
            </w:r>
          </w:p>
        </w:tc>
        <w:tc>
          <w:tcPr>
            <w:tcW w:w="2010" w:type="dxa"/>
            <w:tcBorders>
              <w:top w:val="single" w:color="000000" w:sz="4" w:space="0"/>
            </w:tcBorders>
            <w:vAlign w:val="center"/>
          </w:tcPr>
          <w:p>
            <w:pPr>
              <w:adjustRightInd w:val="0"/>
              <w:spacing w:line="360" w:lineRule="auto"/>
              <w:jc w:val="center"/>
              <w:rPr>
                <w:rFonts w:ascii="宋体"/>
                <w:color w:val="auto"/>
                <w:sz w:val="22"/>
                <w:szCs w:val="22"/>
                <w:highlight w:val="none"/>
              </w:rPr>
            </w:pPr>
            <w:r>
              <w:rPr>
                <w:rFonts w:hint="eastAsia" w:ascii="宋体" w:hAnsi="宋体" w:cs="宋体"/>
                <w:color w:val="auto"/>
                <w:sz w:val="22"/>
                <w:szCs w:val="22"/>
                <w:highlight w:val="none"/>
              </w:rPr>
              <w:t>项目名称</w:t>
            </w:r>
          </w:p>
        </w:tc>
        <w:tc>
          <w:tcPr>
            <w:tcW w:w="825" w:type="dxa"/>
            <w:tcBorders>
              <w:top w:val="single" w:color="000000" w:sz="4" w:space="0"/>
            </w:tcBorders>
            <w:vAlign w:val="center"/>
          </w:tcPr>
          <w:p>
            <w:pPr>
              <w:adjustRightInd w:val="0"/>
              <w:spacing w:line="360" w:lineRule="auto"/>
              <w:jc w:val="center"/>
              <w:rPr>
                <w:rFonts w:ascii="宋体"/>
                <w:color w:val="auto"/>
                <w:sz w:val="22"/>
                <w:szCs w:val="22"/>
                <w:highlight w:val="none"/>
              </w:rPr>
            </w:pPr>
            <w:r>
              <w:rPr>
                <w:rFonts w:hint="eastAsia" w:ascii="宋体" w:hAnsi="宋体" w:cs="宋体"/>
                <w:color w:val="auto"/>
                <w:sz w:val="22"/>
                <w:szCs w:val="22"/>
                <w:highlight w:val="none"/>
              </w:rPr>
              <w:t>数量</w:t>
            </w:r>
          </w:p>
        </w:tc>
        <w:tc>
          <w:tcPr>
            <w:tcW w:w="795" w:type="dxa"/>
            <w:tcBorders>
              <w:top w:val="single" w:color="000000" w:sz="4" w:space="0"/>
            </w:tcBorders>
            <w:vAlign w:val="center"/>
          </w:tcPr>
          <w:p>
            <w:pPr>
              <w:adjustRightInd w:val="0"/>
              <w:spacing w:line="360" w:lineRule="auto"/>
              <w:jc w:val="center"/>
              <w:rPr>
                <w:rFonts w:ascii="宋体"/>
                <w:color w:val="auto"/>
                <w:sz w:val="22"/>
                <w:szCs w:val="22"/>
                <w:highlight w:val="none"/>
              </w:rPr>
            </w:pPr>
            <w:r>
              <w:rPr>
                <w:rFonts w:hint="eastAsia" w:ascii="宋体" w:hAnsi="宋体" w:cs="宋体"/>
                <w:color w:val="auto"/>
                <w:sz w:val="22"/>
                <w:szCs w:val="22"/>
                <w:highlight w:val="none"/>
              </w:rPr>
              <w:t>单位</w:t>
            </w:r>
          </w:p>
        </w:tc>
        <w:tc>
          <w:tcPr>
            <w:tcW w:w="1275" w:type="dxa"/>
            <w:tcBorders>
              <w:top w:val="single" w:color="000000" w:sz="4" w:space="0"/>
            </w:tcBorders>
            <w:vAlign w:val="center"/>
          </w:tcPr>
          <w:p>
            <w:pPr>
              <w:adjustRightInd w:val="0"/>
              <w:spacing w:line="360" w:lineRule="auto"/>
              <w:jc w:val="center"/>
              <w:rPr>
                <w:rFonts w:ascii="宋体"/>
                <w:color w:val="auto"/>
                <w:sz w:val="22"/>
                <w:szCs w:val="22"/>
                <w:highlight w:val="none"/>
              </w:rPr>
            </w:pPr>
            <w:r>
              <w:rPr>
                <w:rFonts w:hint="eastAsia" w:ascii="宋体" w:hAnsi="宋体" w:cs="宋体"/>
                <w:color w:val="auto"/>
                <w:sz w:val="22"/>
                <w:szCs w:val="22"/>
                <w:highlight w:val="none"/>
              </w:rPr>
              <w:t>最高限价</w:t>
            </w:r>
            <w:r>
              <w:rPr>
                <w:rFonts w:ascii="宋体" w:hAnsi="宋体" w:cs="宋体"/>
                <w:color w:val="auto"/>
                <w:sz w:val="22"/>
                <w:szCs w:val="22"/>
                <w:highlight w:val="none"/>
              </w:rPr>
              <w:t>(</w:t>
            </w:r>
            <w:r>
              <w:rPr>
                <w:rFonts w:hint="eastAsia" w:ascii="宋体" w:hAnsi="宋体" w:cs="宋体"/>
                <w:color w:val="auto"/>
                <w:sz w:val="22"/>
                <w:szCs w:val="22"/>
                <w:highlight w:val="none"/>
              </w:rPr>
              <w:t>万元</w:t>
            </w:r>
            <w:r>
              <w:rPr>
                <w:rFonts w:ascii="宋体" w:hAnsi="宋体" w:cs="宋体"/>
                <w:color w:val="auto"/>
                <w:sz w:val="22"/>
                <w:szCs w:val="22"/>
                <w:highlight w:val="none"/>
              </w:rPr>
              <w:t>)</w:t>
            </w:r>
          </w:p>
        </w:tc>
        <w:tc>
          <w:tcPr>
            <w:tcW w:w="3000" w:type="dxa"/>
            <w:tcBorders>
              <w:top w:val="single" w:color="000000" w:sz="4" w:space="0"/>
            </w:tcBorders>
            <w:vAlign w:val="center"/>
          </w:tcPr>
          <w:p>
            <w:pPr>
              <w:adjustRightInd w:val="0"/>
              <w:spacing w:line="360" w:lineRule="auto"/>
              <w:jc w:val="center"/>
              <w:rPr>
                <w:rFonts w:ascii="宋体"/>
                <w:color w:val="auto"/>
                <w:sz w:val="22"/>
                <w:szCs w:val="22"/>
                <w:highlight w:val="none"/>
              </w:rPr>
            </w:pPr>
            <w:r>
              <w:rPr>
                <w:rFonts w:hint="eastAsia" w:ascii="宋体"/>
                <w:color w:val="auto"/>
                <w:sz w:val="22"/>
                <w:szCs w:val="22"/>
                <w:highlight w:val="none"/>
              </w:rPr>
              <w:t>备注</w:t>
            </w:r>
          </w:p>
        </w:tc>
      </w:tr>
      <w:tr>
        <w:tblPrEx>
          <w:tblBorders>
            <w:top w:val="single" w:color="000000" w:sz="4" w:space="0"/>
            <w:left w:val="single" w:color="000000" w:sz="4" w:space="0"/>
            <w:bottom w:val="single" w:color="000000" w:sz="4" w:space="0"/>
            <w:right w:val="single" w:color="000000" w:sz="4" w:space="0"/>
            <w:insideH w:val="single" w:color="A6A6A6" w:sz="4" w:space="0"/>
            <w:insideV w:val="single" w:color="A6A6A6" w:sz="4" w:space="0"/>
          </w:tblBorders>
          <w:tblCellMar>
            <w:top w:w="0" w:type="dxa"/>
            <w:left w:w="108" w:type="dxa"/>
            <w:bottom w:w="0" w:type="dxa"/>
            <w:right w:w="108" w:type="dxa"/>
          </w:tblCellMar>
        </w:tblPrEx>
        <w:trPr>
          <w:trHeight w:val="938" w:hRule="atLeast"/>
          <w:jc w:val="center"/>
        </w:trPr>
        <w:tc>
          <w:tcPr>
            <w:tcW w:w="1402" w:type="dxa"/>
            <w:vAlign w:val="center"/>
          </w:tcPr>
          <w:p>
            <w:pPr>
              <w:adjustRightInd w:val="0"/>
              <w:spacing w:line="360" w:lineRule="auto"/>
              <w:jc w:val="center"/>
              <w:rPr>
                <w:rFonts w:ascii="宋体"/>
                <w:color w:val="auto"/>
                <w:sz w:val="22"/>
                <w:szCs w:val="22"/>
                <w:highlight w:val="none"/>
              </w:rPr>
            </w:pPr>
            <w:r>
              <w:rPr>
                <w:rFonts w:hint="eastAsia" w:hAnsi="宋体" w:cs="Times New Roman"/>
                <w:color w:val="auto"/>
                <w:sz w:val="22"/>
                <w:szCs w:val="22"/>
                <w:highlight w:val="none"/>
                <w:lang w:val="en-US" w:eastAsia="zh-CN"/>
              </w:rPr>
              <w:t>FSJZCS2022134-001</w:t>
            </w:r>
          </w:p>
        </w:tc>
        <w:tc>
          <w:tcPr>
            <w:tcW w:w="2010" w:type="dxa"/>
            <w:vAlign w:val="center"/>
          </w:tcPr>
          <w:p>
            <w:pPr>
              <w:pStyle w:val="15"/>
              <w:snapToGrid w:val="0"/>
              <w:spacing w:before="120" w:after="120"/>
              <w:jc w:val="center"/>
              <w:rPr>
                <w:rFonts w:hint="default" w:hAnsi="宋体" w:cs="Times New Roman"/>
                <w:color w:val="auto"/>
                <w:sz w:val="22"/>
                <w:szCs w:val="22"/>
                <w:highlight w:val="none"/>
                <w:lang w:val="en-US" w:eastAsia="zh-CN"/>
              </w:rPr>
            </w:pPr>
            <w:r>
              <w:rPr>
                <w:rFonts w:hint="eastAsia" w:hAnsi="宋体" w:cs="Times New Roman"/>
                <w:color w:val="auto"/>
                <w:sz w:val="22"/>
                <w:szCs w:val="22"/>
                <w:highlight w:val="none"/>
                <w:lang w:val="en-US" w:eastAsia="zh-CN"/>
              </w:rPr>
              <w:t>驿亭镇</w:t>
            </w:r>
            <w:r>
              <w:rPr>
                <w:rFonts w:hint="default" w:hAnsi="宋体" w:cs="Times New Roman"/>
                <w:color w:val="auto"/>
                <w:sz w:val="22"/>
                <w:szCs w:val="22"/>
                <w:highlight w:val="none"/>
                <w:lang w:val="en-US" w:eastAsia="zh-CN"/>
              </w:rPr>
              <w:t>村庄规划编制项目</w:t>
            </w:r>
            <w:r>
              <w:rPr>
                <w:rFonts w:hint="eastAsia" w:hAnsi="宋体" w:cs="Times New Roman"/>
                <w:color w:val="auto"/>
                <w:sz w:val="22"/>
                <w:szCs w:val="22"/>
                <w:highlight w:val="none"/>
                <w:lang w:val="en-US" w:eastAsia="zh-CN"/>
              </w:rPr>
              <w:t>标段一</w:t>
            </w:r>
          </w:p>
        </w:tc>
        <w:tc>
          <w:tcPr>
            <w:tcW w:w="825" w:type="dxa"/>
            <w:vAlign w:val="center"/>
          </w:tcPr>
          <w:p>
            <w:pPr>
              <w:widowControl/>
              <w:spacing w:before="100" w:after="100" w:line="312" w:lineRule="auto"/>
              <w:jc w:val="center"/>
              <w:rPr>
                <w:rFonts w:hint="eastAsia" w:ascii="宋体" w:hAnsi="Times New Roman" w:eastAsia="宋体" w:cs="Times New Roman"/>
                <w:color w:val="auto"/>
                <w:kern w:val="2"/>
                <w:sz w:val="22"/>
                <w:szCs w:val="22"/>
                <w:highlight w:val="none"/>
                <w:lang w:val="en-US" w:eastAsia="zh-CN" w:bidi="ar-SA"/>
              </w:rPr>
            </w:pPr>
            <w:r>
              <w:rPr>
                <w:rFonts w:hint="eastAsia" w:ascii="宋体"/>
                <w:color w:val="auto"/>
                <w:sz w:val="22"/>
                <w:szCs w:val="22"/>
                <w:highlight w:val="none"/>
                <w:lang w:val="en-US" w:eastAsia="zh-CN"/>
              </w:rPr>
              <w:t>1</w:t>
            </w:r>
          </w:p>
        </w:tc>
        <w:tc>
          <w:tcPr>
            <w:tcW w:w="795" w:type="dxa"/>
            <w:vAlign w:val="center"/>
          </w:tcPr>
          <w:p>
            <w:pPr>
              <w:adjustRightInd w:val="0"/>
              <w:spacing w:line="360" w:lineRule="auto"/>
              <w:jc w:val="center"/>
              <w:rPr>
                <w:rFonts w:hint="eastAsia" w:ascii="宋体" w:eastAsia="宋体"/>
                <w:color w:val="auto"/>
                <w:sz w:val="22"/>
                <w:szCs w:val="22"/>
                <w:highlight w:val="none"/>
                <w:lang w:eastAsia="zh-CN"/>
              </w:rPr>
            </w:pPr>
            <w:r>
              <w:rPr>
                <w:rFonts w:hint="eastAsia" w:ascii="宋体" w:hAnsi="宋体" w:cs="宋体"/>
                <w:color w:val="auto"/>
                <w:sz w:val="22"/>
                <w:szCs w:val="22"/>
                <w:highlight w:val="none"/>
                <w:lang w:val="en-US" w:eastAsia="zh-CN"/>
              </w:rPr>
              <w:t>项</w:t>
            </w:r>
          </w:p>
        </w:tc>
        <w:tc>
          <w:tcPr>
            <w:tcW w:w="1275" w:type="dxa"/>
            <w:vAlign w:val="center"/>
          </w:tcPr>
          <w:p>
            <w:pPr>
              <w:pStyle w:val="15"/>
              <w:snapToGrid w:val="0"/>
              <w:spacing w:before="120" w:after="120"/>
              <w:jc w:val="center"/>
              <w:rPr>
                <w:rFonts w:hint="default" w:ascii="宋体" w:eastAsia="宋体"/>
                <w:color w:val="auto"/>
                <w:sz w:val="22"/>
                <w:szCs w:val="22"/>
                <w:highlight w:val="none"/>
                <w:lang w:val="en-US" w:eastAsia="zh-CN"/>
              </w:rPr>
            </w:pPr>
            <w:r>
              <w:rPr>
                <w:rFonts w:hint="eastAsia" w:hAnsi="宋体" w:cs="Times New Roman"/>
                <w:color w:val="auto"/>
                <w:sz w:val="22"/>
                <w:szCs w:val="22"/>
                <w:highlight w:val="none"/>
                <w:lang w:val="en-US" w:eastAsia="zh-CN"/>
              </w:rPr>
              <w:t>60</w:t>
            </w:r>
          </w:p>
        </w:tc>
        <w:tc>
          <w:tcPr>
            <w:tcW w:w="3000" w:type="dxa"/>
            <w:vAlign w:val="center"/>
          </w:tcPr>
          <w:p>
            <w:pPr>
              <w:pStyle w:val="15"/>
              <w:snapToGrid w:val="0"/>
              <w:spacing w:before="120" w:after="120"/>
              <w:jc w:val="center"/>
              <w:rPr>
                <w:rFonts w:hint="eastAsia" w:ascii="宋体" w:hAnsi="宋体" w:eastAsia="宋体" w:cs="Times New Roman"/>
                <w:color w:val="auto"/>
                <w:sz w:val="22"/>
                <w:szCs w:val="22"/>
                <w:highlight w:val="none"/>
                <w:lang w:val="en-US" w:eastAsia="zh-CN"/>
              </w:rPr>
            </w:pPr>
            <w:r>
              <w:rPr>
                <w:rFonts w:hint="eastAsia" w:ascii="宋体" w:hAnsi="宋体" w:eastAsia="宋体" w:cs="Times New Roman"/>
                <w:color w:val="auto"/>
                <w:sz w:val="22"/>
                <w:szCs w:val="22"/>
                <w:highlight w:val="none"/>
                <w:lang w:val="en-US" w:eastAsia="zh-CN"/>
              </w:rPr>
              <w:t>五夫村、联桥村、 贾家村村域全部国土空间。</w:t>
            </w:r>
          </w:p>
        </w:tc>
      </w:tr>
      <w:tr>
        <w:tblPrEx>
          <w:tblBorders>
            <w:top w:val="single" w:color="000000" w:sz="4" w:space="0"/>
            <w:left w:val="single" w:color="000000" w:sz="4" w:space="0"/>
            <w:bottom w:val="single" w:color="000000" w:sz="4" w:space="0"/>
            <w:right w:val="single" w:color="000000" w:sz="4" w:space="0"/>
            <w:insideH w:val="single" w:color="A6A6A6" w:sz="4" w:space="0"/>
            <w:insideV w:val="single" w:color="A6A6A6" w:sz="4" w:space="0"/>
          </w:tblBorders>
          <w:tblCellMar>
            <w:top w:w="0" w:type="dxa"/>
            <w:left w:w="108" w:type="dxa"/>
            <w:bottom w:w="0" w:type="dxa"/>
            <w:right w:w="108" w:type="dxa"/>
          </w:tblCellMar>
        </w:tblPrEx>
        <w:trPr>
          <w:trHeight w:val="938" w:hRule="atLeast"/>
          <w:jc w:val="center"/>
        </w:trPr>
        <w:tc>
          <w:tcPr>
            <w:tcW w:w="1402" w:type="dxa"/>
            <w:vAlign w:val="center"/>
          </w:tcPr>
          <w:p>
            <w:pPr>
              <w:adjustRightInd w:val="0"/>
              <w:spacing w:line="360" w:lineRule="auto"/>
              <w:jc w:val="center"/>
              <w:rPr>
                <w:rFonts w:hint="eastAsia" w:ascii="宋体" w:hAnsi="宋体" w:eastAsia="宋体" w:cs="宋体"/>
                <w:color w:val="auto"/>
                <w:sz w:val="22"/>
                <w:szCs w:val="22"/>
                <w:highlight w:val="none"/>
                <w:lang w:val="en-US" w:eastAsia="zh-CN"/>
              </w:rPr>
            </w:pPr>
            <w:r>
              <w:rPr>
                <w:rFonts w:hint="eastAsia" w:hAnsi="宋体" w:cs="Times New Roman"/>
                <w:color w:val="auto"/>
                <w:sz w:val="22"/>
                <w:szCs w:val="22"/>
                <w:highlight w:val="none"/>
                <w:lang w:val="en-US" w:eastAsia="zh-CN"/>
              </w:rPr>
              <w:t>FSJZCS2022134-002</w:t>
            </w:r>
          </w:p>
        </w:tc>
        <w:tc>
          <w:tcPr>
            <w:tcW w:w="2010" w:type="dxa"/>
            <w:vAlign w:val="center"/>
          </w:tcPr>
          <w:p>
            <w:pPr>
              <w:pStyle w:val="15"/>
              <w:snapToGrid w:val="0"/>
              <w:spacing w:before="120" w:after="120"/>
              <w:jc w:val="center"/>
              <w:rPr>
                <w:rFonts w:hint="eastAsia" w:hAnsi="宋体" w:cs="Times New Roman"/>
                <w:color w:val="auto"/>
                <w:sz w:val="22"/>
                <w:szCs w:val="22"/>
                <w:highlight w:val="none"/>
                <w:lang w:val="en-US" w:eastAsia="zh-CN"/>
              </w:rPr>
            </w:pPr>
            <w:r>
              <w:rPr>
                <w:rFonts w:hint="eastAsia" w:hAnsi="宋体" w:cs="Times New Roman"/>
                <w:color w:val="auto"/>
                <w:sz w:val="22"/>
                <w:szCs w:val="22"/>
                <w:highlight w:val="none"/>
                <w:lang w:val="en-US" w:eastAsia="zh-CN"/>
              </w:rPr>
              <w:t>驿亭镇</w:t>
            </w:r>
            <w:r>
              <w:rPr>
                <w:rFonts w:hint="default" w:hAnsi="宋体" w:cs="Times New Roman"/>
                <w:color w:val="auto"/>
                <w:sz w:val="22"/>
                <w:szCs w:val="22"/>
                <w:highlight w:val="none"/>
                <w:lang w:val="en-US" w:eastAsia="zh-CN"/>
              </w:rPr>
              <w:t>村庄规划编制项目</w:t>
            </w:r>
            <w:r>
              <w:rPr>
                <w:rFonts w:hint="eastAsia" w:hAnsi="宋体" w:cs="Times New Roman"/>
                <w:color w:val="auto"/>
                <w:sz w:val="22"/>
                <w:szCs w:val="22"/>
                <w:highlight w:val="none"/>
                <w:lang w:val="en-US" w:eastAsia="zh-CN"/>
              </w:rPr>
              <w:t>标段二</w:t>
            </w:r>
          </w:p>
        </w:tc>
        <w:tc>
          <w:tcPr>
            <w:tcW w:w="825" w:type="dxa"/>
            <w:vAlign w:val="center"/>
          </w:tcPr>
          <w:p>
            <w:pPr>
              <w:widowControl/>
              <w:spacing w:before="100" w:after="100" w:line="312" w:lineRule="auto"/>
              <w:jc w:val="center"/>
              <w:rPr>
                <w:rFonts w:hint="eastAsia" w:ascii="宋体" w:hAnsi="宋体" w:eastAsia="宋体" w:cs="宋体"/>
                <w:color w:val="auto"/>
                <w:kern w:val="0"/>
                <w:sz w:val="22"/>
                <w:szCs w:val="22"/>
                <w:highlight w:val="none"/>
                <w:lang w:val="en-US" w:eastAsia="zh-CN" w:bidi="ar-SA"/>
              </w:rPr>
            </w:pPr>
            <w:r>
              <w:rPr>
                <w:rFonts w:hint="eastAsia" w:ascii="宋体" w:hAnsi="宋体" w:cs="宋体"/>
                <w:color w:val="auto"/>
                <w:kern w:val="0"/>
                <w:sz w:val="22"/>
                <w:szCs w:val="22"/>
                <w:highlight w:val="none"/>
                <w:lang w:val="en-US" w:eastAsia="zh-CN"/>
              </w:rPr>
              <w:t>1</w:t>
            </w:r>
          </w:p>
        </w:tc>
        <w:tc>
          <w:tcPr>
            <w:tcW w:w="795" w:type="dxa"/>
            <w:vAlign w:val="center"/>
          </w:tcPr>
          <w:p>
            <w:pPr>
              <w:adjustRightInd w:val="0"/>
              <w:spacing w:line="360" w:lineRule="auto"/>
              <w:jc w:val="center"/>
              <w:rPr>
                <w:rFonts w:hint="eastAsia"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项</w:t>
            </w:r>
          </w:p>
        </w:tc>
        <w:tc>
          <w:tcPr>
            <w:tcW w:w="1275" w:type="dxa"/>
            <w:vAlign w:val="center"/>
          </w:tcPr>
          <w:p>
            <w:pPr>
              <w:pStyle w:val="15"/>
              <w:snapToGrid w:val="0"/>
              <w:spacing w:before="120" w:after="120"/>
              <w:jc w:val="center"/>
              <w:rPr>
                <w:rFonts w:hint="default" w:ascii="宋体"/>
                <w:color w:val="auto"/>
                <w:sz w:val="22"/>
                <w:szCs w:val="22"/>
                <w:highlight w:val="none"/>
                <w:lang w:val="en-US" w:eastAsia="zh-CN"/>
              </w:rPr>
            </w:pPr>
            <w:r>
              <w:rPr>
                <w:rFonts w:hint="eastAsia" w:hAnsi="宋体" w:cs="Times New Roman"/>
                <w:color w:val="auto"/>
                <w:sz w:val="22"/>
                <w:szCs w:val="22"/>
                <w:highlight w:val="none"/>
                <w:lang w:val="en-US" w:eastAsia="zh-CN"/>
              </w:rPr>
              <w:t>40</w:t>
            </w:r>
          </w:p>
        </w:tc>
        <w:tc>
          <w:tcPr>
            <w:tcW w:w="3000" w:type="dxa"/>
            <w:vAlign w:val="center"/>
          </w:tcPr>
          <w:p>
            <w:pPr>
              <w:pStyle w:val="15"/>
              <w:snapToGrid w:val="0"/>
              <w:spacing w:before="120" w:after="120"/>
              <w:jc w:val="center"/>
              <w:rPr>
                <w:rFonts w:hint="eastAsia" w:ascii="宋体" w:hAnsi="宋体" w:eastAsia="宋体" w:cs="Times New Roman"/>
                <w:color w:val="auto"/>
                <w:sz w:val="22"/>
                <w:szCs w:val="22"/>
                <w:highlight w:val="none"/>
                <w:lang w:val="en-US" w:eastAsia="zh-CN"/>
              </w:rPr>
            </w:pPr>
            <w:r>
              <w:rPr>
                <w:rFonts w:hint="eastAsia" w:ascii="宋体" w:hAnsi="宋体" w:eastAsia="宋体" w:cs="Times New Roman"/>
                <w:color w:val="auto"/>
                <w:sz w:val="22"/>
                <w:szCs w:val="22"/>
                <w:highlight w:val="none"/>
                <w:lang w:val="en-US" w:eastAsia="zh-CN"/>
              </w:rPr>
              <w:t>鲁溪闸村、杨溪村村域全部国土空间</w:t>
            </w:r>
          </w:p>
        </w:tc>
      </w:tr>
      <w:tr>
        <w:tblPrEx>
          <w:tblBorders>
            <w:top w:val="single" w:color="000000" w:sz="4" w:space="0"/>
            <w:left w:val="single" w:color="000000" w:sz="4" w:space="0"/>
            <w:bottom w:val="single" w:color="000000" w:sz="4" w:space="0"/>
            <w:right w:val="single" w:color="000000" w:sz="4" w:space="0"/>
            <w:insideH w:val="single" w:color="A6A6A6" w:sz="4" w:space="0"/>
            <w:insideV w:val="single" w:color="A6A6A6" w:sz="4" w:space="0"/>
          </w:tblBorders>
          <w:tblCellMar>
            <w:top w:w="0" w:type="dxa"/>
            <w:left w:w="108" w:type="dxa"/>
            <w:bottom w:w="0" w:type="dxa"/>
            <w:right w:w="108" w:type="dxa"/>
          </w:tblCellMar>
        </w:tblPrEx>
        <w:trPr>
          <w:trHeight w:val="938" w:hRule="atLeast"/>
          <w:jc w:val="center"/>
        </w:trPr>
        <w:tc>
          <w:tcPr>
            <w:tcW w:w="1402" w:type="dxa"/>
            <w:vAlign w:val="center"/>
          </w:tcPr>
          <w:p>
            <w:pPr>
              <w:adjustRightInd w:val="0"/>
              <w:spacing w:line="360" w:lineRule="auto"/>
              <w:jc w:val="center"/>
              <w:rPr>
                <w:rFonts w:hint="eastAsia" w:ascii="宋体" w:hAnsi="宋体" w:eastAsia="宋体" w:cs="宋体"/>
                <w:color w:val="auto"/>
                <w:sz w:val="22"/>
                <w:szCs w:val="22"/>
                <w:highlight w:val="none"/>
                <w:lang w:val="en-US" w:eastAsia="zh-CN"/>
              </w:rPr>
            </w:pPr>
            <w:r>
              <w:rPr>
                <w:rFonts w:hint="eastAsia" w:hAnsi="宋体" w:cs="Times New Roman"/>
                <w:color w:val="auto"/>
                <w:sz w:val="22"/>
                <w:szCs w:val="22"/>
                <w:highlight w:val="none"/>
                <w:lang w:val="en-US" w:eastAsia="zh-CN"/>
              </w:rPr>
              <w:t>FSJZCS2022134-003</w:t>
            </w:r>
          </w:p>
        </w:tc>
        <w:tc>
          <w:tcPr>
            <w:tcW w:w="2010" w:type="dxa"/>
            <w:vAlign w:val="center"/>
          </w:tcPr>
          <w:p>
            <w:pPr>
              <w:pStyle w:val="15"/>
              <w:snapToGrid w:val="0"/>
              <w:spacing w:before="120" w:after="120"/>
              <w:jc w:val="center"/>
              <w:rPr>
                <w:rFonts w:hint="eastAsia" w:hAnsi="宋体" w:cs="Times New Roman"/>
                <w:color w:val="auto"/>
                <w:sz w:val="22"/>
                <w:szCs w:val="22"/>
                <w:highlight w:val="none"/>
                <w:lang w:val="en-US" w:eastAsia="zh-CN"/>
              </w:rPr>
            </w:pPr>
            <w:r>
              <w:rPr>
                <w:rFonts w:hint="eastAsia" w:hAnsi="宋体" w:cs="Times New Roman"/>
                <w:color w:val="auto"/>
                <w:sz w:val="22"/>
                <w:szCs w:val="22"/>
                <w:highlight w:val="none"/>
                <w:lang w:val="en-US" w:eastAsia="zh-CN"/>
              </w:rPr>
              <w:t>驿亭镇</w:t>
            </w:r>
            <w:r>
              <w:rPr>
                <w:rFonts w:hint="default" w:hAnsi="宋体" w:cs="Times New Roman"/>
                <w:color w:val="auto"/>
                <w:sz w:val="22"/>
                <w:szCs w:val="22"/>
                <w:highlight w:val="none"/>
                <w:lang w:val="en-US" w:eastAsia="zh-CN"/>
              </w:rPr>
              <w:t>村庄规划编制项目</w:t>
            </w:r>
            <w:r>
              <w:rPr>
                <w:rFonts w:hint="eastAsia" w:hAnsi="宋体" w:cs="Times New Roman"/>
                <w:color w:val="auto"/>
                <w:sz w:val="22"/>
                <w:szCs w:val="22"/>
                <w:highlight w:val="none"/>
                <w:lang w:val="en-US" w:eastAsia="zh-CN"/>
              </w:rPr>
              <w:t>标段三</w:t>
            </w:r>
          </w:p>
        </w:tc>
        <w:tc>
          <w:tcPr>
            <w:tcW w:w="825" w:type="dxa"/>
            <w:vAlign w:val="center"/>
          </w:tcPr>
          <w:p>
            <w:pPr>
              <w:widowControl/>
              <w:spacing w:before="100" w:after="100" w:line="312" w:lineRule="auto"/>
              <w:jc w:val="center"/>
              <w:rPr>
                <w:rFonts w:hint="eastAsia" w:ascii="宋体" w:hAnsi="宋体" w:eastAsia="宋体" w:cs="宋体"/>
                <w:color w:val="auto"/>
                <w:kern w:val="0"/>
                <w:sz w:val="22"/>
                <w:szCs w:val="22"/>
                <w:highlight w:val="none"/>
                <w:lang w:val="en-US" w:eastAsia="zh-CN" w:bidi="ar-SA"/>
              </w:rPr>
            </w:pPr>
            <w:r>
              <w:rPr>
                <w:rFonts w:hint="eastAsia" w:ascii="宋体" w:hAnsi="宋体" w:cs="宋体"/>
                <w:color w:val="auto"/>
                <w:kern w:val="0"/>
                <w:sz w:val="22"/>
                <w:szCs w:val="22"/>
                <w:highlight w:val="none"/>
                <w:lang w:val="en-US" w:eastAsia="zh-CN"/>
              </w:rPr>
              <w:t>1</w:t>
            </w:r>
          </w:p>
        </w:tc>
        <w:tc>
          <w:tcPr>
            <w:tcW w:w="795" w:type="dxa"/>
            <w:vAlign w:val="center"/>
          </w:tcPr>
          <w:p>
            <w:pPr>
              <w:adjustRightInd w:val="0"/>
              <w:spacing w:line="360" w:lineRule="auto"/>
              <w:jc w:val="center"/>
              <w:rPr>
                <w:rFonts w:hint="eastAsia"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项</w:t>
            </w:r>
          </w:p>
        </w:tc>
        <w:tc>
          <w:tcPr>
            <w:tcW w:w="1275" w:type="dxa"/>
            <w:vAlign w:val="center"/>
          </w:tcPr>
          <w:p>
            <w:pPr>
              <w:pStyle w:val="15"/>
              <w:snapToGrid w:val="0"/>
              <w:spacing w:before="120" w:after="120"/>
              <w:jc w:val="center"/>
              <w:rPr>
                <w:rFonts w:hint="default" w:ascii="宋体"/>
                <w:color w:val="auto"/>
                <w:sz w:val="22"/>
                <w:szCs w:val="22"/>
                <w:highlight w:val="none"/>
                <w:lang w:val="en-US" w:eastAsia="zh-CN"/>
              </w:rPr>
            </w:pPr>
            <w:r>
              <w:rPr>
                <w:rFonts w:hint="eastAsia" w:hAnsi="宋体" w:cs="Times New Roman"/>
                <w:color w:val="auto"/>
                <w:sz w:val="22"/>
                <w:szCs w:val="22"/>
                <w:highlight w:val="none"/>
                <w:lang w:val="en-US" w:eastAsia="zh-CN"/>
              </w:rPr>
              <w:t>40</w:t>
            </w:r>
          </w:p>
        </w:tc>
        <w:tc>
          <w:tcPr>
            <w:tcW w:w="3000" w:type="dxa"/>
            <w:vAlign w:val="center"/>
          </w:tcPr>
          <w:p>
            <w:pPr>
              <w:pStyle w:val="15"/>
              <w:snapToGrid w:val="0"/>
              <w:spacing w:before="120" w:after="120"/>
              <w:jc w:val="center"/>
              <w:rPr>
                <w:rFonts w:hint="eastAsia" w:ascii="宋体" w:hAnsi="宋体" w:eastAsia="宋体" w:cs="Times New Roman"/>
                <w:color w:val="auto"/>
                <w:sz w:val="22"/>
                <w:szCs w:val="22"/>
                <w:highlight w:val="none"/>
                <w:lang w:val="en-US" w:eastAsia="zh-CN"/>
              </w:rPr>
            </w:pPr>
            <w:r>
              <w:rPr>
                <w:rFonts w:hint="eastAsia" w:ascii="宋体" w:hAnsi="宋体" w:eastAsia="宋体" w:cs="Times New Roman"/>
                <w:color w:val="auto"/>
                <w:sz w:val="22"/>
                <w:szCs w:val="22"/>
                <w:highlight w:val="none"/>
                <w:lang w:val="en-US" w:eastAsia="zh-CN"/>
              </w:rPr>
              <w:t>五好村、 五洲村村域全部国土空间。</w:t>
            </w:r>
          </w:p>
        </w:tc>
      </w:tr>
      <w:tr>
        <w:tblPrEx>
          <w:tblBorders>
            <w:top w:val="single" w:color="000000" w:sz="4" w:space="0"/>
            <w:left w:val="single" w:color="000000" w:sz="4" w:space="0"/>
            <w:bottom w:val="single" w:color="000000" w:sz="4" w:space="0"/>
            <w:right w:val="single" w:color="000000" w:sz="4" w:space="0"/>
            <w:insideH w:val="single" w:color="A6A6A6" w:sz="4" w:space="0"/>
            <w:insideV w:val="single" w:color="A6A6A6" w:sz="4" w:space="0"/>
          </w:tblBorders>
          <w:tblCellMar>
            <w:top w:w="0" w:type="dxa"/>
            <w:left w:w="108" w:type="dxa"/>
            <w:bottom w:w="0" w:type="dxa"/>
            <w:right w:w="108" w:type="dxa"/>
          </w:tblCellMar>
        </w:tblPrEx>
        <w:trPr>
          <w:trHeight w:val="947" w:hRule="atLeast"/>
          <w:jc w:val="center"/>
        </w:trPr>
        <w:tc>
          <w:tcPr>
            <w:tcW w:w="1402" w:type="dxa"/>
            <w:vAlign w:val="center"/>
          </w:tcPr>
          <w:p>
            <w:pPr>
              <w:adjustRightInd w:val="0"/>
              <w:spacing w:line="360" w:lineRule="auto"/>
              <w:jc w:val="center"/>
              <w:rPr>
                <w:rFonts w:hint="eastAsia" w:hAnsi="宋体" w:cs="Times New Roman"/>
                <w:color w:val="auto"/>
                <w:sz w:val="22"/>
                <w:szCs w:val="22"/>
                <w:highlight w:val="none"/>
                <w:lang w:val="en-US" w:eastAsia="zh-CN"/>
              </w:rPr>
            </w:pPr>
            <w:r>
              <w:rPr>
                <w:rFonts w:hint="eastAsia" w:hAnsi="宋体" w:cs="Times New Roman"/>
                <w:color w:val="auto"/>
                <w:sz w:val="22"/>
                <w:szCs w:val="22"/>
                <w:highlight w:val="none"/>
                <w:lang w:val="en-US" w:eastAsia="zh-CN"/>
              </w:rPr>
              <w:t>FSJZCS2022134-004</w:t>
            </w:r>
          </w:p>
        </w:tc>
        <w:tc>
          <w:tcPr>
            <w:tcW w:w="2010" w:type="dxa"/>
            <w:vAlign w:val="center"/>
          </w:tcPr>
          <w:p>
            <w:pPr>
              <w:pStyle w:val="15"/>
              <w:snapToGrid w:val="0"/>
              <w:spacing w:before="120" w:after="120"/>
              <w:jc w:val="center"/>
              <w:rPr>
                <w:rFonts w:hint="eastAsia" w:hAnsi="宋体" w:cs="宋体"/>
                <w:color w:val="auto"/>
                <w:sz w:val="22"/>
                <w:szCs w:val="22"/>
                <w:highlight w:val="none"/>
                <w:lang w:val="en-US" w:eastAsia="zh-CN"/>
              </w:rPr>
            </w:pPr>
            <w:r>
              <w:rPr>
                <w:rFonts w:hint="eastAsia" w:hAnsi="宋体" w:cs="Times New Roman"/>
                <w:color w:val="auto"/>
                <w:sz w:val="22"/>
                <w:szCs w:val="22"/>
                <w:highlight w:val="none"/>
                <w:lang w:val="en-US" w:eastAsia="zh-CN"/>
              </w:rPr>
              <w:t>驿亭镇</w:t>
            </w:r>
            <w:r>
              <w:rPr>
                <w:rFonts w:hint="default" w:hAnsi="宋体" w:cs="Times New Roman"/>
                <w:color w:val="auto"/>
                <w:sz w:val="22"/>
                <w:szCs w:val="22"/>
                <w:highlight w:val="none"/>
                <w:lang w:val="en-US" w:eastAsia="zh-CN"/>
              </w:rPr>
              <w:t>村庄规划编制项目</w:t>
            </w:r>
            <w:r>
              <w:rPr>
                <w:rFonts w:hint="eastAsia" w:hAnsi="宋体" w:cs="Times New Roman"/>
                <w:color w:val="auto"/>
                <w:sz w:val="22"/>
                <w:szCs w:val="22"/>
                <w:highlight w:val="none"/>
                <w:lang w:val="en-US" w:eastAsia="zh-CN"/>
              </w:rPr>
              <w:t>标段四</w:t>
            </w:r>
          </w:p>
        </w:tc>
        <w:tc>
          <w:tcPr>
            <w:tcW w:w="825" w:type="dxa"/>
            <w:vAlign w:val="center"/>
          </w:tcPr>
          <w:p>
            <w:pPr>
              <w:widowControl/>
              <w:spacing w:before="100" w:after="100" w:line="312" w:lineRule="auto"/>
              <w:jc w:val="center"/>
              <w:rPr>
                <w:rFonts w:hint="eastAsia" w:ascii="宋体" w:hAnsi="宋体" w:cs="宋体"/>
                <w:color w:val="auto"/>
                <w:kern w:val="0"/>
                <w:sz w:val="22"/>
                <w:szCs w:val="22"/>
                <w:highlight w:val="none"/>
                <w:lang w:val="en-US" w:eastAsia="zh-CN"/>
              </w:rPr>
            </w:pPr>
            <w:r>
              <w:rPr>
                <w:rFonts w:hint="eastAsia" w:ascii="宋体" w:hAnsi="宋体" w:cs="宋体"/>
                <w:color w:val="auto"/>
                <w:kern w:val="0"/>
                <w:sz w:val="22"/>
                <w:szCs w:val="22"/>
                <w:highlight w:val="none"/>
                <w:lang w:val="en-US" w:eastAsia="zh-CN"/>
              </w:rPr>
              <w:t>1</w:t>
            </w:r>
          </w:p>
        </w:tc>
        <w:tc>
          <w:tcPr>
            <w:tcW w:w="795" w:type="dxa"/>
            <w:vAlign w:val="center"/>
          </w:tcPr>
          <w:p>
            <w:pPr>
              <w:adjustRightInd w:val="0"/>
              <w:spacing w:line="360" w:lineRule="auto"/>
              <w:jc w:val="center"/>
              <w:rPr>
                <w:rFonts w:hint="eastAsia"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项</w:t>
            </w:r>
          </w:p>
        </w:tc>
        <w:tc>
          <w:tcPr>
            <w:tcW w:w="1275" w:type="dxa"/>
            <w:vAlign w:val="center"/>
          </w:tcPr>
          <w:p>
            <w:pPr>
              <w:pStyle w:val="15"/>
              <w:snapToGrid w:val="0"/>
              <w:spacing w:before="120" w:after="120"/>
              <w:jc w:val="center"/>
              <w:rPr>
                <w:rFonts w:hint="default" w:ascii="宋体" w:hAnsi="宋体" w:eastAsia="宋体" w:cs="宋体"/>
                <w:i w:val="0"/>
                <w:color w:val="auto"/>
                <w:kern w:val="0"/>
                <w:sz w:val="22"/>
                <w:szCs w:val="22"/>
                <w:highlight w:val="none"/>
                <w:u w:val="none"/>
                <w:lang w:val="en-US" w:eastAsia="zh-CN" w:bidi="ar"/>
              </w:rPr>
            </w:pPr>
            <w:r>
              <w:rPr>
                <w:rFonts w:hint="eastAsia" w:hAnsi="宋体" w:cs="Times New Roman"/>
                <w:color w:val="auto"/>
                <w:sz w:val="22"/>
                <w:szCs w:val="22"/>
                <w:highlight w:val="none"/>
                <w:lang w:val="en-US" w:eastAsia="zh-CN"/>
              </w:rPr>
              <w:t>60</w:t>
            </w:r>
          </w:p>
        </w:tc>
        <w:tc>
          <w:tcPr>
            <w:tcW w:w="3000" w:type="dxa"/>
            <w:vAlign w:val="center"/>
          </w:tcPr>
          <w:p>
            <w:pPr>
              <w:pStyle w:val="15"/>
              <w:snapToGrid w:val="0"/>
              <w:spacing w:before="120" w:after="120"/>
              <w:jc w:val="center"/>
              <w:rPr>
                <w:rFonts w:hint="default" w:ascii="宋体" w:hAnsi="宋体" w:eastAsia="宋体" w:cs="Times New Roman"/>
                <w:color w:val="auto"/>
                <w:sz w:val="22"/>
                <w:szCs w:val="22"/>
                <w:highlight w:val="none"/>
                <w:lang w:val="en-US" w:eastAsia="zh-CN"/>
              </w:rPr>
            </w:pPr>
            <w:r>
              <w:rPr>
                <w:rFonts w:hint="eastAsia" w:ascii="宋体" w:hAnsi="宋体" w:eastAsia="宋体" w:cs="Times New Roman"/>
                <w:color w:val="auto"/>
                <w:sz w:val="22"/>
                <w:szCs w:val="22"/>
                <w:highlight w:val="none"/>
                <w:lang w:val="en-US" w:eastAsia="zh-CN"/>
              </w:rPr>
              <w:t>春晖村、 白马湖村、西陡门村村域全部国土空间。</w:t>
            </w:r>
          </w:p>
        </w:tc>
      </w:tr>
      <w:tr>
        <w:tblPrEx>
          <w:tblBorders>
            <w:top w:val="single" w:color="000000" w:sz="4" w:space="0"/>
            <w:left w:val="single" w:color="000000" w:sz="4" w:space="0"/>
            <w:bottom w:val="single" w:color="000000" w:sz="4" w:space="0"/>
            <w:right w:val="single" w:color="000000" w:sz="4" w:space="0"/>
            <w:insideH w:val="single" w:color="A6A6A6" w:sz="4" w:space="0"/>
            <w:insideV w:val="single" w:color="A6A6A6" w:sz="4" w:space="0"/>
          </w:tblBorders>
          <w:tblCellMar>
            <w:top w:w="0" w:type="dxa"/>
            <w:left w:w="108" w:type="dxa"/>
            <w:bottom w:w="0" w:type="dxa"/>
            <w:right w:w="108" w:type="dxa"/>
          </w:tblCellMar>
        </w:tblPrEx>
        <w:trPr>
          <w:trHeight w:val="947" w:hRule="atLeast"/>
          <w:jc w:val="center"/>
        </w:trPr>
        <w:tc>
          <w:tcPr>
            <w:tcW w:w="1402" w:type="dxa"/>
            <w:tcBorders>
              <w:bottom w:val="single" w:color="000000" w:sz="4" w:space="0"/>
            </w:tcBorders>
            <w:vAlign w:val="center"/>
          </w:tcPr>
          <w:p>
            <w:pPr>
              <w:adjustRightInd w:val="0"/>
              <w:spacing w:line="360" w:lineRule="auto"/>
              <w:jc w:val="center"/>
              <w:rPr>
                <w:rFonts w:hint="eastAsia" w:hAnsi="宋体" w:cs="Times New Roman"/>
                <w:color w:val="auto"/>
                <w:sz w:val="22"/>
                <w:szCs w:val="22"/>
                <w:highlight w:val="none"/>
                <w:lang w:val="en-US" w:eastAsia="zh-CN"/>
              </w:rPr>
            </w:pPr>
            <w:r>
              <w:rPr>
                <w:rFonts w:hint="eastAsia" w:hAnsi="宋体" w:cs="Times New Roman"/>
                <w:color w:val="auto"/>
                <w:sz w:val="22"/>
                <w:szCs w:val="22"/>
                <w:highlight w:val="none"/>
                <w:lang w:val="en-US" w:eastAsia="zh-CN"/>
              </w:rPr>
              <w:t>FSJZCS2022134-005</w:t>
            </w:r>
          </w:p>
        </w:tc>
        <w:tc>
          <w:tcPr>
            <w:tcW w:w="2010" w:type="dxa"/>
            <w:tcBorders>
              <w:bottom w:val="single" w:color="000000" w:sz="4" w:space="0"/>
            </w:tcBorders>
            <w:vAlign w:val="center"/>
          </w:tcPr>
          <w:p>
            <w:pPr>
              <w:pStyle w:val="15"/>
              <w:snapToGrid w:val="0"/>
              <w:spacing w:before="120" w:after="120"/>
              <w:jc w:val="center"/>
              <w:rPr>
                <w:rFonts w:hint="default" w:ascii="宋体" w:hAnsi="宋体" w:eastAsia="宋体" w:cs="宋体"/>
                <w:color w:val="auto"/>
                <w:kern w:val="2"/>
                <w:sz w:val="22"/>
                <w:szCs w:val="22"/>
                <w:highlight w:val="none"/>
                <w:lang w:val="en-US" w:eastAsia="zh-CN" w:bidi="ar-SA"/>
              </w:rPr>
            </w:pPr>
            <w:r>
              <w:rPr>
                <w:rFonts w:hint="eastAsia" w:hAnsi="宋体" w:cs="Times New Roman"/>
                <w:color w:val="auto"/>
                <w:sz w:val="22"/>
                <w:szCs w:val="22"/>
                <w:highlight w:val="none"/>
                <w:lang w:val="en-US" w:eastAsia="zh-CN"/>
              </w:rPr>
              <w:t>驿亭镇</w:t>
            </w:r>
            <w:r>
              <w:rPr>
                <w:rFonts w:hint="default" w:hAnsi="宋体" w:cs="Times New Roman"/>
                <w:color w:val="auto"/>
                <w:sz w:val="22"/>
                <w:szCs w:val="22"/>
                <w:highlight w:val="none"/>
                <w:lang w:val="en-US" w:eastAsia="zh-CN"/>
              </w:rPr>
              <w:t>村庄规划编制项目</w:t>
            </w:r>
            <w:r>
              <w:rPr>
                <w:rFonts w:hint="eastAsia" w:hAnsi="宋体" w:cs="Times New Roman"/>
                <w:color w:val="auto"/>
                <w:sz w:val="22"/>
                <w:szCs w:val="22"/>
                <w:highlight w:val="none"/>
                <w:lang w:val="en-US" w:eastAsia="zh-CN"/>
              </w:rPr>
              <w:t>标段五</w:t>
            </w:r>
          </w:p>
        </w:tc>
        <w:tc>
          <w:tcPr>
            <w:tcW w:w="825" w:type="dxa"/>
            <w:tcBorders>
              <w:bottom w:val="single" w:color="000000" w:sz="4" w:space="0"/>
            </w:tcBorders>
            <w:vAlign w:val="center"/>
          </w:tcPr>
          <w:p>
            <w:pPr>
              <w:widowControl/>
              <w:spacing w:before="100" w:after="100" w:line="312" w:lineRule="auto"/>
              <w:jc w:val="center"/>
              <w:rPr>
                <w:rFonts w:hint="eastAsia" w:ascii="宋体" w:hAnsi="宋体" w:eastAsia="宋体" w:cs="宋体"/>
                <w:color w:val="auto"/>
                <w:kern w:val="0"/>
                <w:sz w:val="22"/>
                <w:szCs w:val="22"/>
                <w:highlight w:val="none"/>
                <w:lang w:val="en-US" w:eastAsia="zh-CN" w:bidi="ar-SA"/>
              </w:rPr>
            </w:pPr>
            <w:r>
              <w:rPr>
                <w:rFonts w:hint="eastAsia" w:ascii="宋体" w:hAnsi="宋体" w:cs="宋体"/>
                <w:color w:val="auto"/>
                <w:kern w:val="0"/>
                <w:sz w:val="22"/>
                <w:szCs w:val="22"/>
                <w:highlight w:val="none"/>
                <w:lang w:val="en-US" w:eastAsia="zh-CN"/>
              </w:rPr>
              <w:t>1</w:t>
            </w:r>
          </w:p>
        </w:tc>
        <w:tc>
          <w:tcPr>
            <w:tcW w:w="795" w:type="dxa"/>
            <w:tcBorders>
              <w:bottom w:val="single" w:color="000000" w:sz="4" w:space="0"/>
            </w:tcBorders>
            <w:vAlign w:val="center"/>
          </w:tcPr>
          <w:p>
            <w:pPr>
              <w:adjustRightInd w:val="0"/>
              <w:spacing w:line="360" w:lineRule="auto"/>
              <w:jc w:val="center"/>
              <w:rPr>
                <w:rFonts w:hint="eastAsia" w:ascii="宋体" w:hAnsi="宋体" w:eastAsia="宋体" w:cs="宋体"/>
                <w:color w:val="auto"/>
                <w:kern w:val="2"/>
                <w:sz w:val="22"/>
                <w:szCs w:val="22"/>
                <w:highlight w:val="none"/>
                <w:lang w:val="en-US" w:eastAsia="zh-CN" w:bidi="ar-SA"/>
              </w:rPr>
            </w:pPr>
            <w:r>
              <w:rPr>
                <w:rFonts w:hint="eastAsia" w:ascii="宋体" w:hAnsi="宋体" w:cs="宋体"/>
                <w:color w:val="auto"/>
                <w:sz w:val="22"/>
                <w:szCs w:val="22"/>
                <w:highlight w:val="none"/>
                <w:lang w:val="en-US" w:eastAsia="zh-CN"/>
              </w:rPr>
              <w:t>项</w:t>
            </w:r>
          </w:p>
        </w:tc>
        <w:tc>
          <w:tcPr>
            <w:tcW w:w="1275" w:type="dxa"/>
            <w:tcBorders>
              <w:bottom w:val="single" w:color="000000" w:sz="4" w:space="0"/>
            </w:tcBorders>
            <w:vAlign w:val="center"/>
          </w:tcPr>
          <w:p>
            <w:pPr>
              <w:pStyle w:val="15"/>
              <w:snapToGrid w:val="0"/>
              <w:spacing w:before="120" w:after="120"/>
              <w:jc w:val="center"/>
              <w:rPr>
                <w:rFonts w:hint="eastAsia" w:ascii="宋体" w:hAnsi="宋体" w:eastAsia="宋体" w:cs="宋体"/>
                <w:i w:val="0"/>
                <w:color w:val="auto"/>
                <w:kern w:val="0"/>
                <w:sz w:val="22"/>
                <w:szCs w:val="22"/>
                <w:highlight w:val="none"/>
                <w:u w:val="none"/>
                <w:lang w:val="en-US" w:eastAsia="zh-CN" w:bidi="ar"/>
              </w:rPr>
            </w:pPr>
            <w:r>
              <w:rPr>
                <w:rFonts w:hint="eastAsia" w:hAnsi="宋体" w:cs="Times New Roman"/>
                <w:color w:val="auto"/>
                <w:sz w:val="22"/>
                <w:szCs w:val="22"/>
                <w:highlight w:val="none"/>
                <w:lang w:val="en-US" w:eastAsia="zh-CN"/>
              </w:rPr>
              <w:t>40</w:t>
            </w:r>
          </w:p>
        </w:tc>
        <w:tc>
          <w:tcPr>
            <w:tcW w:w="3000" w:type="dxa"/>
            <w:tcBorders>
              <w:bottom w:val="single" w:color="000000" w:sz="4" w:space="0"/>
            </w:tcBorders>
            <w:vAlign w:val="center"/>
          </w:tcPr>
          <w:p>
            <w:pPr>
              <w:pStyle w:val="15"/>
              <w:snapToGrid w:val="0"/>
              <w:spacing w:before="120" w:after="120"/>
              <w:jc w:val="center"/>
              <w:rPr>
                <w:rFonts w:hint="eastAsia" w:ascii="宋体" w:hAnsi="宋体" w:eastAsia="宋体" w:cs="Times New Roman"/>
                <w:color w:val="auto"/>
                <w:kern w:val="2"/>
                <w:sz w:val="22"/>
                <w:szCs w:val="22"/>
                <w:highlight w:val="none"/>
                <w:lang w:val="en-US" w:eastAsia="zh-CN" w:bidi="ar-SA"/>
              </w:rPr>
            </w:pPr>
            <w:r>
              <w:rPr>
                <w:rFonts w:hint="eastAsia" w:ascii="宋体" w:hAnsi="宋体" w:eastAsia="宋体" w:cs="Times New Roman"/>
                <w:color w:val="auto"/>
                <w:sz w:val="22"/>
                <w:szCs w:val="22"/>
                <w:highlight w:val="none"/>
                <w:lang w:val="en-US" w:eastAsia="zh-CN"/>
              </w:rPr>
              <w:t>二都村、新杨梅村村域全部国土空间</w:t>
            </w:r>
          </w:p>
        </w:tc>
      </w:tr>
    </w:tbl>
    <w:p>
      <w:pPr>
        <w:numPr>
          <w:ilvl w:val="0"/>
          <w:numId w:val="0"/>
        </w:numPr>
        <w:bidi w:val="0"/>
        <w:spacing w:line="360" w:lineRule="auto"/>
        <w:rPr>
          <w:rFonts w:hint="default" w:ascii="宋体" w:hAnsi="宋体" w:eastAsia="宋体" w:cs="宋体"/>
          <w:b/>
          <w:bCs/>
          <w:color w:val="auto"/>
          <w:sz w:val="24"/>
          <w:szCs w:val="32"/>
          <w:highlight w:val="none"/>
          <w:lang w:val="en-US" w:eastAsia="zh-CN"/>
        </w:rPr>
      </w:pPr>
      <w:r>
        <w:rPr>
          <w:rFonts w:hint="eastAsia" w:ascii="宋体" w:hAnsi="宋体" w:eastAsia="宋体" w:cs="宋体"/>
          <w:b/>
          <w:bCs/>
          <w:color w:val="auto"/>
          <w:sz w:val="24"/>
          <w:szCs w:val="32"/>
          <w:highlight w:val="none"/>
          <w:lang w:val="en-US" w:eastAsia="zh-CN"/>
        </w:rPr>
        <w:t xml:space="preserve">注：投标人可以投标任一标段，但只允许中标其中一个标段（如某供应商成交标段一，则取消标段二的成交资格，但标段一的成交供应商不影响参加标段二的评审；若标段一成交供应商失去标段一成交资格，则不影响参加标段二的评审，仍拥有标段二的成交资格），中标顺序按开标顺序。 </w:t>
      </w:r>
    </w:p>
    <w:p>
      <w:pPr>
        <w:numPr>
          <w:ilvl w:val="0"/>
          <w:numId w:val="16"/>
        </w:numPr>
        <w:spacing w:line="360" w:lineRule="auto"/>
        <w:outlineLvl w:val="0"/>
        <w:rPr>
          <w:rFonts w:hint="eastAsia" w:ascii="宋体" w:hAnsi="宋体" w:cs="Arial"/>
          <w:b/>
          <w:bCs/>
          <w:color w:val="auto"/>
          <w:sz w:val="24"/>
          <w:highlight w:val="none"/>
          <w:lang w:val="en-US" w:eastAsia="zh-CN"/>
        </w:rPr>
      </w:pPr>
      <w:bookmarkStart w:id="73" w:name="_Toc23008"/>
      <w:r>
        <w:rPr>
          <w:rFonts w:hint="eastAsia" w:ascii="宋体" w:hAnsi="宋体" w:cs="Arial"/>
          <w:b/>
          <w:bCs/>
          <w:color w:val="auto"/>
          <w:sz w:val="24"/>
          <w:highlight w:val="none"/>
          <w:lang w:val="en-US" w:eastAsia="zh-CN"/>
        </w:rPr>
        <w:t>任务要求</w:t>
      </w:r>
      <w:bookmarkEnd w:id="73"/>
    </w:p>
    <w:p>
      <w:pPr>
        <w:spacing w:line="360" w:lineRule="auto"/>
        <w:outlineLvl w:val="0"/>
        <w:rPr>
          <w:rFonts w:ascii="宋体" w:hAnsi="宋体" w:cs="Arial"/>
          <w:b/>
          <w:bCs/>
          <w:color w:val="auto"/>
          <w:sz w:val="24"/>
          <w:highlight w:val="none"/>
        </w:rPr>
      </w:pPr>
      <w:bookmarkStart w:id="74" w:name="_Toc6604"/>
      <w:r>
        <w:rPr>
          <w:rFonts w:hint="eastAsia" w:ascii="宋体" w:hAnsi="宋体" w:cs="Arial"/>
          <w:b/>
          <w:bCs/>
          <w:color w:val="auto"/>
          <w:sz w:val="24"/>
          <w:highlight w:val="none"/>
        </w:rPr>
        <w:t>（一）项目概况</w:t>
      </w:r>
      <w:bookmarkEnd w:id="74"/>
    </w:p>
    <w:p>
      <w:pPr>
        <w:pStyle w:val="26"/>
        <w:spacing w:after="0"/>
        <w:ind w:firstLine="480"/>
        <w:rPr>
          <w:color w:val="auto"/>
          <w:highlight w:val="none"/>
        </w:rPr>
      </w:pPr>
      <w:r>
        <w:rPr>
          <w:rFonts w:hint="eastAsia"/>
          <w:color w:val="auto"/>
          <w:highlight w:val="none"/>
        </w:rPr>
        <w:t>村庄规划是法定规划，是国土空间规划体系中乡村地区的详细规划，是表达农民生产生活愿望的蓝图；是协调农村空间保护利用的平台；是提升优化农业空间布局的手段；是依规完善乡村空间治理、核发乡村建设工程规划许可、进行各项建设等的法定依据。</w:t>
      </w:r>
    </w:p>
    <w:p>
      <w:pPr>
        <w:pStyle w:val="26"/>
        <w:spacing w:after="0"/>
        <w:ind w:firstLine="480"/>
        <w:rPr>
          <w:color w:val="auto"/>
          <w:highlight w:val="none"/>
        </w:rPr>
      </w:pPr>
      <w:r>
        <w:rPr>
          <w:rFonts w:hint="eastAsia"/>
          <w:color w:val="auto"/>
          <w:highlight w:val="none"/>
        </w:rPr>
        <w:t>根据《中央农办 农业农村部 自然资源部 国家发展改革委 财政部关于统筹推进村庄规划工作的意见》（农规发〔2019〕1号）、《浙江省自然资源厅关于科学有序推进村庄规划编制工作的通知》以及绍兴市、上虞区2</w:t>
      </w:r>
      <w:r>
        <w:rPr>
          <w:color w:val="auto"/>
          <w:highlight w:val="none"/>
        </w:rPr>
        <w:t>02</w:t>
      </w:r>
      <w:r>
        <w:rPr>
          <w:rFonts w:hint="eastAsia"/>
          <w:color w:val="auto"/>
          <w:highlight w:val="none"/>
        </w:rPr>
        <w:t>2年度开展“多规合一”的实用性村庄规划试点编制工作要求，拟开展百官街道“多规合一”实用性村庄规划编制工作。</w:t>
      </w:r>
    </w:p>
    <w:p>
      <w:pPr>
        <w:spacing w:line="360" w:lineRule="auto"/>
        <w:outlineLvl w:val="0"/>
        <w:rPr>
          <w:rFonts w:hint="eastAsia" w:ascii="宋体" w:hAnsi="宋体" w:eastAsia="宋体" w:cs="Arial"/>
          <w:b/>
          <w:bCs/>
          <w:color w:val="auto"/>
          <w:sz w:val="24"/>
          <w:highlight w:val="none"/>
        </w:rPr>
      </w:pPr>
      <w:bookmarkStart w:id="75" w:name="_Toc169"/>
      <w:r>
        <w:rPr>
          <w:rFonts w:hint="eastAsia" w:ascii="宋体" w:hAnsi="宋体" w:eastAsia="宋体" w:cs="Arial"/>
          <w:b/>
          <w:bCs/>
          <w:color w:val="auto"/>
          <w:sz w:val="24"/>
          <w:highlight w:val="none"/>
          <w:lang w:eastAsia="zh-CN"/>
        </w:rPr>
        <w:t>（</w:t>
      </w:r>
      <w:r>
        <w:rPr>
          <w:rFonts w:hint="eastAsia" w:ascii="宋体" w:hAnsi="宋体" w:eastAsia="宋体" w:cs="Arial"/>
          <w:b/>
          <w:bCs/>
          <w:color w:val="auto"/>
          <w:sz w:val="24"/>
          <w:highlight w:val="none"/>
          <w:lang w:val="en-US" w:eastAsia="zh-CN"/>
        </w:rPr>
        <w:t>二</w:t>
      </w:r>
      <w:r>
        <w:rPr>
          <w:rFonts w:hint="eastAsia" w:ascii="宋体" w:hAnsi="宋体" w:eastAsia="宋体" w:cs="Arial"/>
          <w:b/>
          <w:bCs/>
          <w:color w:val="auto"/>
          <w:sz w:val="24"/>
          <w:highlight w:val="none"/>
          <w:lang w:eastAsia="zh-CN"/>
        </w:rPr>
        <w:t>）</w:t>
      </w:r>
      <w:r>
        <w:rPr>
          <w:rFonts w:hint="eastAsia" w:ascii="宋体" w:hAnsi="宋体" w:cs="Arial"/>
          <w:b/>
          <w:bCs/>
          <w:color w:val="auto"/>
          <w:sz w:val="24"/>
          <w:highlight w:val="none"/>
          <w:lang w:val="en-US" w:eastAsia="zh-CN"/>
        </w:rPr>
        <w:t>具体</w:t>
      </w:r>
      <w:r>
        <w:rPr>
          <w:rFonts w:hint="eastAsia" w:ascii="宋体" w:hAnsi="宋体" w:eastAsia="宋体" w:cs="Arial"/>
          <w:b/>
          <w:bCs/>
          <w:color w:val="auto"/>
          <w:sz w:val="24"/>
          <w:highlight w:val="none"/>
        </w:rPr>
        <w:t>要求</w:t>
      </w:r>
      <w:bookmarkEnd w:id="75"/>
    </w:p>
    <w:p>
      <w:pPr>
        <w:spacing w:line="500" w:lineRule="exact"/>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为全面实施乡村振兴战略，有序推进村庄规划编制，按照产业兴旺、生态宜居、乡风文明、治理有效、生活富裕的总要求，深化“千万工程”，全力打造土地综合整治与生态修复升级版，改善农村人居环境，促进“两山”转化，建设未来村庄，开展“多规合一”的实用性村庄规划编制工作。</w:t>
      </w:r>
    </w:p>
    <w:p>
      <w:pPr>
        <w:adjustRightInd w:val="0"/>
        <w:snapToGrid w:val="0"/>
        <w:spacing w:line="500" w:lineRule="exact"/>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规划内容：村庄规划编制内容分为村域规划、农村居民点和重要区块规划两个部分，一般设为：目标和定位，空间控制底线和强制性内容，用地布局，公共服务设施与基础设施布局，景观风貌与村庄设计要求，区块管控，地块法定图则，实施项目，规划实施保障。（规划内容和深度要求最终按省厅具体下发技术规范为准）</w:t>
      </w:r>
    </w:p>
    <w:p>
      <w:pPr>
        <w:adjustRightInd w:val="0"/>
        <w:snapToGrid w:val="0"/>
        <w:spacing w:line="500" w:lineRule="exact"/>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时间安排及质量要求</w:t>
      </w:r>
    </w:p>
    <w:p>
      <w:pPr>
        <w:adjustRightInd w:val="0"/>
        <w:snapToGrid w:val="0"/>
        <w:spacing w:line="500" w:lineRule="exact"/>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1、时间安排：积极配合</w:t>
      </w:r>
      <w:r>
        <w:rPr>
          <w:rFonts w:ascii="宋体" w:hAnsi="宋体" w:cs="宋体"/>
          <w:color w:val="auto"/>
          <w:sz w:val="24"/>
          <w:highlight w:val="none"/>
        </w:rPr>
        <w:t>采购人</w:t>
      </w:r>
      <w:r>
        <w:rPr>
          <w:rFonts w:hint="eastAsia" w:ascii="宋体" w:hAnsi="宋体" w:cs="宋体"/>
          <w:color w:val="auto"/>
          <w:sz w:val="24"/>
          <w:highlight w:val="none"/>
        </w:rPr>
        <w:t>，按要求上报。</w:t>
      </w:r>
    </w:p>
    <w:p>
      <w:pPr>
        <w:snapToGrid w:val="0"/>
        <w:spacing w:line="500" w:lineRule="exact"/>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2、服务质量：</w:t>
      </w:r>
    </w:p>
    <w:p>
      <w:pPr>
        <w:snapToGrid w:val="0"/>
        <w:spacing w:line="500" w:lineRule="exact"/>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（1）及时分析落实采购人及专家、部门对规划成果提出的审查意见。</w:t>
      </w:r>
    </w:p>
    <w:p>
      <w:pPr>
        <w:pStyle w:val="8"/>
        <w:numPr>
          <w:ilvl w:val="0"/>
          <w:numId w:val="0"/>
        </w:numPr>
        <w:tabs>
          <w:tab w:val="left" w:pos="1440"/>
        </w:tabs>
        <w:spacing w:before="0" w:after="0" w:line="500" w:lineRule="exact"/>
        <w:ind w:firstLine="480" w:firstLineChars="200"/>
        <w:rPr>
          <w:rFonts w:hint="eastAsia" w:ascii="宋体" w:hAnsi="宋体" w:eastAsia="宋体" w:cs="宋体"/>
          <w:b w:val="0"/>
          <w:color w:val="auto"/>
          <w:highlight w:val="none"/>
        </w:rPr>
      </w:pPr>
      <w:r>
        <w:rPr>
          <w:rFonts w:hint="eastAsia" w:ascii="宋体" w:hAnsi="宋体" w:cs="宋体"/>
          <w:b w:val="0"/>
          <w:color w:val="auto"/>
          <w:highlight w:val="none"/>
        </w:rPr>
        <w:t>（2）</w:t>
      </w:r>
      <w:r>
        <w:rPr>
          <w:rFonts w:hint="eastAsia" w:ascii="宋体" w:hAnsi="宋体" w:eastAsia="宋体" w:cs="宋体"/>
          <w:b w:val="0"/>
          <w:color w:val="auto"/>
          <w:highlight w:val="none"/>
        </w:rPr>
        <w:t>积极配合采购人为推进项目安排的座谈、现场调研等活动。</w:t>
      </w:r>
    </w:p>
    <w:p>
      <w:pPr>
        <w:pStyle w:val="8"/>
        <w:numPr>
          <w:ilvl w:val="0"/>
          <w:numId w:val="0"/>
        </w:numPr>
        <w:tabs>
          <w:tab w:val="left" w:pos="1440"/>
        </w:tabs>
        <w:spacing w:before="0" w:after="0" w:line="500" w:lineRule="exact"/>
        <w:ind w:firstLine="480" w:firstLineChars="200"/>
        <w:rPr>
          <w:rFonts w:hint="eastAsia" w:ascii="宋体" w:hAnsi="宋体" w:eastAsia="宋体" w:cs="宋体"/>
          <w:b w:val="0"/>
          <w:color w:val="auto"/>
          <w:highlight w:val="none"/>
        </w:rPr>
      </w:pPr>
      <w:r>
        <w:rPr>
          <w:rFonts w:hint="eastAsia" w:ascii="宋体" w:hAnsi="宋体" w:cs="宋体"/>
          <w:b w:val="0"/>
          <w:color w:val="auto"/>
          <w:highlight w:val="none"/>
        </w:rPr>
        <w:t>（3）</w:t>
      </w:r>
      <w:r>
        <w:rPr>
          <w:rFonts w:hint="eastAsia" w:ascii="宋体" w:hAnsi="宋体" w:eastAsia="宋体" w:cs="宋体"/>
          <w:b w:val="0"/>
          <w:color w:val="auto"/>
          <w:highlight w:val="none"/>
        </w:rPr>
        <w:t>快速准确提交采购人不定时提出的有关阶段性成果。</w:t>
      </w:r>
    </w:p>
    <w:p>
      <w:pPr>
        <w:pStyle w:val="8"/>
        <w:numPr>
          <w:ilvl w:val="0"/>
          <w:numId w:val="0"/>
        </w:numPr>
        <w:tabs>
          <w:tab w:val="left" w:pos="1440"/>
        </w:tabs>
        <w:spacing w:before="0" w:after="0" w:line="500" w:lineRule="exact"/>
        <w:ind w:firstLine="480" w:firstLineChars="200"/>
        <w:rPr>
          <w:rFonts w:hint="eastAsia" w:ascii="宋体" w:hAnsi="宋体" w:eastAsia="宋体" w:cs="宋体"/>
          <w:b w:val="0"/>
          <w:color w:val="auto"/>
          <w:highlight w:val="none"/>
        </w:rPr>
      </w:pPr>
      <w:r>
        <w:rPr>
          <w:rFonts w:hint="eastAsia" w:ascii="宋体" w:hAnsi="宋体" w:eastAsia="宋体" w:cs="宋体"/>
          <w:b w:val="0"/>
          <w:color w:val="auto"/>
          <w:highlight w:val="none"/>
        </w:rPr>
        <w:t>（4）成果质量要求执行国家或行业标准、规范，确保项目成果质量符合浙江省自然资源厅要求。</w:t>
      </w:r>
    </w:p>
    <w:p>
      <w:pPr>
        <w:pStyle w:val="8"/>
        <w:numPr>
          <w:ilvl w:val="0"/>
          <w:numId w:val="0"/>
        </w:numPr>
        <w:tabs>
          <w:tab w:val="left" w:pos="1440"/>
        </w:tabs>
        <w:spacing w:before="0" w:after="0" w:line="500" w:lineRule="exact"/>
        <w:ind w:firstLine="480" w:firstLineChars="200"/>
        <w:rPr>
          <w:rFonts w:hint="eastAsia"/>
          <w:color w:val="auto"/>
          <w:highlight w:val="none"/>
        </w:rPr>
      </w:pPr>
      <w:r>
        <w:rPr>
          <w:rFonts w:hint="eastAsia" w:ascii="宋体" w:hAnsi="宋体" w:eastAsia="宋体" w:cs="宋体"/>
          <w:b w:val="0"/>
          <w:color w:val="auto"/>
          <w:highlight w:val="none"/>
        </w:rPr>
        <w:t>（5）须按上级文件规定的工作规范、规程操作，并通过上级部门的审查。</w:t>
      </w:r>
    </w:p>
    <w:p>
      <w:pPr>
        <w:spacing w:line="360" w:lineRule="auto"/>
        <w:outlineLvl w:val="0"/>
        <w:rPr>
          <w:rFonts w:ascii="宋体" w:hAnsi="宋体" w:cs="Arial"/>
          <w:b/>
          <w:bCs/>
          <w:color w:val="auto"/>
          <w:sz w:val="24"/>
          <w:highlight w:val="none"/>
        </w:rPr>
      </w:pPr>
      <w:bookmarkStart w:id="76" w:name="_Toc27937"/>
      <w:r>
        <w:rPr>
          <w:rFonts w:hint="eastAsia" w:ascii="宋体" w:hAnsi="宋体" w:cs="Arial"/>
          <w:b/>
          <w:bCs/>
          <w:color w:val="auto"/>
          <w:sz w:val="24"/>
          <w:highlight w:val="none"/>
        </w:rPr>
        <w:t>（</w:t>
      </w:r>
      <w:r>
        <w:rPr>
          <w:rFonts w:hint="eastAsia" w:ascii="宋体" w:hAnsi="宋体" w:cs="Arial"/>
          <w:b/>
          <w:bCs/>
          <w:color w:val="auto"/>
          <w:sz w:val="24"/>
          <w:highlight w:val="none"/>
          <w:lang w:val="en-US" w:eastAsia="zh-CN"/>
        </w:rPr>
        <w:t>三</w:t>
      </w:r>
      <w:r>
        <w:rPr>
          <w:rFonts w:hint="eastAsia" w:ascii="宋体" w:hAnsi="宋体" w:cs="Arial"/>
          <w:b/>
          <w:bCs/>
          <w:color w:val="auto"/>
          <w:sz w:val="24"/>
          <w:highlight w:val="none"/>
        </w:rPr>
        <w:t>）规划期限</w:t>
      </w:r>
      <w:bookmarkEnd w:id="76"/>
    </w:p>
    <w:p>
      <w:pPr>
        <w:pStyle w:val="26"/>
        <w:ind w:firstLine="480"/>
        <w:rPr>
          <w:rFonts w:hint="eastAsia"/>
          <w:color w:val="auto"/>
          <w:highlight w:val="none"/>
        </w:rPr>
      </w:pPr>
      <w:r>
        <w:rPr>
          <w:rFonts w:hint="eastAsia"/>
          <w:color w:val="auto"/>
          <w:highlight w:val="none"/>
        </w:rPr>
        <w:t>本规划期限与上虞区国土空间总体规划期限一致。</w:t>
      </w:r>
    </w:p>
    <w:p>
      <w:pPr>
        <w:spacing w:line="360" w:lineRule="auto"/>
        <w:outlineLvl w:val="0"/>
        <w:rPr>
          <w:rFonts w:ascii="宋体" w:hAnsi="宋体" w:cs="Arial"/>
          <w:b/>
          <w:bCs/>
          <w:color w:val="auto"/>
          <w:sz w:val="24"/>
          <w:highlight w:val="none"/>
        </w:rPr>
      </w:pPr>
      <w:bookmarkStart w:id="77" w:name="_Toc17854"/>
      <w:r>
        <w:rPr>
          <w:rFonts w:hint="eastAsia" w:ascii="宋体" w:hAnsi="宋体" w:cs="Arial"/>
          <w:b/>
          <w:bCs/>
          <w:color w:val="auto"/>
          <w:sz w:val="24"/>
          <w:highlight w:val="none"/>
        </w:rPr>
        <w:t>（</w:t>
      </w:r>
      <w:r>
        <w:rPr>
          <w:rFonts w:hint="eastAsia" w:ascii="宋体" w:hAnsi="宋体" w:cs="Arial"/>
          <w:b/>
          <w:bCs/>
          <w:color w:val="auto"/>
          <w:sz w:val="24"/>
          <w:highlight w:val="none"/>
          <w:lang w:val="en-US" w:eastAsia="zh-CN"/>
        </w:rPr>
        <w:t>四</w:t>
      </w:r>
      <w:r>
        <w:rPr>
          <w:rFonts w:hint="eastAsia" w:ascii="宋体" w:hAnsi="宋体" w:cs="Arial"/>
          <w:b/>
          <w:bCs/>
          <w:color w:val="auto"/>
          <w:sz w:val="24"/>
          <w:highlight w:val="none"/>
        </w:rPr>
        <w:t>）规划底数底图</w:t>
      </w:r>
      <w:bookmarkEnd w:id="77"/>
    </w:p>
    <w:p>
      <w:pPr>
        <w:pStyle w:val="26"/>
        <w:ind w:firstLine="480"/>
        <w:rPr>
          <w:color w:val="auto"/>
          <w:highlight w:val="none"/>
        </w:rPr>
      </w:pPr>
      <w:r>
        <w:rPr>
          <w:rFonts w:hint="eastAsia"/>
          <w:color w:val="auto"/>
          <w:highlight w:val="none"/>
        </w:rPr>
        <w:t>以第三次全国国土调查成果为基础，结合基础测绘、遥感影像、地形数据、地理国情普查、农村宅基地和农村土地承包经营权确权登记工作成果以及实地补充调查，统一采用2000国家大地坐标系和1985国家高程基准数据标准。</w:t>
      </w:r>
    </w:p>
    <w:p>
      <w:pPr>
        <w:spacing w:line="360" w:lineRule="auto"/>
        <w:outlineLvl w:val="0"/>
        <w:rPr>
          <w:rFonts w:ascii="宋体" w:hAnsi="宋体" w:cs="Arial"/>
          <w:b/>
          <w:bCs/>
          <w:color w:val="auto"/>
          <w:sz w:val="24"/>
          <w:highlight w:val="none"/>
        </w:rPr>
      </w:pPr>
      <w:bookmarkStart w:id="78" w:name="_Toc7753"/>
      <w:r>
        <w:rPr>
          <w:rFonts w:hint="eastAsia" w:ascii="宋体" w:hAnsi="宋体" w:cs="Arial"/>
          <w:b/>
          <w:bCs/>
          <w:color w:val="auto"/>
          <w:sz w:val="24"/>
          <w:highlight w:val="none"/>
        </w:rPr>
        <w:t>（</w:t>
      </w:r>
      <w:r>
        <w:rPr>
          <w:rFonts w:hint="eastAsia" w:ascii="宋体" w:hAnsi="宋体" w:cs="Arial"/>
          <w:b/>
          <w:bCs/>
          <w:color w:val="auto"/>
          <w:sz w:val="24"/>
          <w:highlight w:val="none"/>
          <w:lang w:val="en-US" w:eastAsia="zh-CN"/>
        </w:rPr>
        <w:t>五</w:t>
      </w:r>
      <w:r>
        <w:rPr>
          <w:rFonts w:hint="eastAsia" w:ascii="宋体" w:hAnsi="宋体" w:cs="Arial"/>
          <w:b/>
          <w:bCs/>
          <w:color w:val="auto"/>
          <w:sz w:val="24"/>
          <w:highlight w:val="none"/>
        </w:rPr>
        <w:t>）规划范围</w:t>
      </w:r>
      <w:bookmarkEnd w:id="78"/>
    </w:p>
    <w:p>
      <w:pPr>
        <w:pStyle w:val="26"/>
        <w:ind w:firstLine="480"/>
        <w:rPr>
          <w:rFonts w:ascii="宋体" w:hAnsi="宋体"/>
          <w:color w:val="auto"/>
          <w:kern w:val="0"/>
          <w:sz w:val="24"/>
          <w:szCs w:val="24"/>
          <w:highlight w:val="none"/>
        </w:rPr>
      </w:pPr>
      <w:r>
        <w:rPr>
          <w:rFonts w:hint="eastAsia" w:ascii="宋体" w:hAnsi="宋体"/>
          <w:color w:val="auto"/>
          <w:kern w:val="0"/>
          <w:sz w:val="24"/>
          <w:szCs w:val="24"/>
          <w:highlight w:val="none"/>
        </w:rPr>
        <w:t>标段一：五夫村、联桥村、 贾家村全域</w:t>
      </w:r>
      <w:r>
        <w:rPr>
          <w:rFonts w:hint="eastAsia"/>
          <w:color w:val="auto"/>
          <w:sz w:val="24"/>
          <w:szCs w:val="24"/>
          <w:highlight w:val="none"/>
        </w:rPr>
        <w:t>国土空间</w:t>
      </w:r>
      <w:r>
        <w:rPr>
          <w:rFonts w:hint="eastAsia" w:ascii="宋体" w:hAnsi="宋体"/>
          <w:color w:val="auto"/>
          <w:kern w:val="0"/>
          <w:sz w:val="24"/>
          <w:szCs w:val="24"/>
          <w:highlight w:val="none"/>
        </w:rPr>
        <w:t>。</w:t>
      </w:r>
    </w:p>
    <w:p>
      <w:pPr>
        <w:pStyle w:val="26"/>
        <w:ind w:firstLine="480"/>
        <w:rPr>
          <w:color w:val="auto"/>
          <w:sz w:val="24"/>
          <w:szCs w:val="24"/>
          <w:highlight w:val="none"/>
        </w:rPr>
      </w:pPr>
      <w:r>
        <w:rPr>
          <w:rFonts w:hint="eastAsia"/>
          <w:color w:val="auto"/>
          <w:sz w:val="24"/>
          <w:szCs w:val="24"/>
          <w:highlight w:val="none"/>
        </w:rPr>
        <w:t>标段二：</w:t>
      </w:r>
      <w:r>
        <w:rPr>
          <w:rFonts w:hint="eastAsia" w:ascii="宋体" w:hAnsi="宋体" w:eastAsia="宋体" w:cs="Times New Roman"/>
          <w:color w:val="auto"/>
          <w:sz w:val="24"/>
          <w:szCs w:val="24"/>
          <w:highlight w:val="none"/>
          <w:lang w:val="en-US" w:eastAsia="zh-CN"/>
        </w:rPr>
        <w:t>鲁溪闸村、杨溪村</w:t>
      </w:r>
      <w:r>
        <w:rPr>
          <w:rFonts w:hint="eastAsia"/>
          <w:color w:val="auto"/>
          <w:sz w:val="24"/>
          <w:szCs w:val="24"/>
          <w:highlight w:val="none"/>
        </w:rPr>
        <w:t>村域全部国土空间。</w:t>
      </w:r>
    </w:p>
    <w:p>
      <w:pPr>
        <w:pStyle w:val="26"/>
        <w:ind w:firstLine="480"/>
        <w:rPr>
          <w:rFonts w:hint="eastAsia"/>
          <w:color w:val="auto"/>
          <w:sz w:val="24"/>
          <w:szCs w:val="24"/>
          <w:highlight w:val="none"/>
        </w:rPr>
      </w:pPr>
      <w:r>
        <w:rPr>
          <w:rFonts w:hint="eastAsia"/>
          <w:color w:val="auto"/>
          <w:sz w:val="24"/>
          <w:szCs w:val="24"/>
          <w:highlight w:val="none"/>
        </w:rPr>
        <w:t>标段三：</w:t>
      </w:r>
      <w:r>
        <w:rPr>
          <w:rFonts w:hint="eastAsia" w:ascii="宋体" w:hAnsi="宋体" w:eastAsia="宋体" w:cs="Times New Roman"/>
          <w:color w:val="auto"/>
          <w:sz w:val="24"/>
          <w:szCs w:val="24"/>
          <w:highlight w:val="none"/>
          <w:lang w:val="en-US" w:eastAsia="zh-CN"/>
        </w:rPr>
        <w:t>五好村、 五洲村</w:t>
      </w:r>
      <w:r>
        <w:rPr>
          <w:rFonts w:hint="eastAsia"/>
          <w:color w:val="auto"/>
          <w:sz w:val="24"/>
          <w:szCs w:val="24"/>
          <w:highlight w:val="none"/>
        </w:rPr>
        <w:t>村域全部国土空间。</w:t>
      </w:r>
    </w:p>
    <w:p>
      <w:pPr>
        <w:pStyle w:val="26"/>
        <w:ind w:firstLine="480"/>
        <w:rPr>
          <w:rFonts w:hint="eastAsia"/>
          <w:color w:val="auto"/>
          <w:sz w:val="24"/>
          <w:szCs w:val="24"/>
          <w:highlight w:val="none"/>
        </w:rPr>
      </w:pPr>
      <w:r>
        <w:rPr>
          <w:rFonts w:hint="eastAsia"/>
          <w:color w:val="auto"/>
          <w:sz w:val="24"/>
          <w:szCs w:val="24"/>
          <w:highlight w:val="none"/>
        </w:rPr>
        <w:t>标段</w:t>
      </w:r>
      <w:r>
        <w:rPr>
          <w:rFonts w:hint="eastAsia"/>
          <w:color w:val="auto"/>
          <w:sz w:val="24"/>
          <w:szCs w:val="24"/>
          <w:highlight w:val="none"/>
          <w:lang w:val="en-US" w:eastAsia="zh-CN"/>
        </w:rPr>
        <w:t>四</w:t>
      </w:r>
      <w:r>
        <w:rPr>
          <w:rFonts w:hint="eastAsia"/>
          <w:color w:val="auto"/>
          <w:sz w:val="24"/>
          <w:szCs w:val="24"/>
          <w:highlight w:val="none"/>
        </w:rPr>
        <w:t>：</w:t>
      </w:r>
      <w:r>
        <w:rPr>
          <w:rFonts w:hint="eastAsia" w:ascii="宋体" w:hAnsi="宋体" w:eastAsia="宋体" w:cs="Times New Roman"/>
          <w:color w:val="auto"/>
          <w:sz w:val="24"/>
          <w:szCs w:val="24"/>
          <w:highlight w:val="none"/>
          <w:lang w:val="en-US" w:eastAsia="zh-CN"/>
        </w:rPr>
        <w:t>春晖村、 白马湖村、西陡门</w:t>
      </w:r>
      <w:r>
        <w:rPr>
          <w:rFonts w:hint="eastAsia"/>
          <w:color w:val="auto"/>
          <w:sz w:val="24"/>
          <w:szCs w:val="24"/>
          <w:highlight w:val="none"/>
        </w:rPr>
        <w:t>全域国土空间。</w:t>
      </w:r>
    </w:p>
    <w:p>
      <w:pPr>
        <w:pStyle w:val="26"/>
        <w:ind w:firstLine="480"/>
        <w:rPr>
          <w:rFonts w:hint="eastAsia" w:eastAsia="宋体"/>
          <w:color w:val="auto"/>
          <w:highlight w:val="none"/>
          <w:lang w:eastAsia="zh-CN"/>
        </w:rPr>
      </w:pPr>
      <w:r>
        <w:rPr>
          <w:rFonts w:hint="eastAsia"/>
          <w:color w:val="auto"/>
          <w:sz w:val="24"/>
          <w:szCs w:val="24"/>
          <w:highlight w:val="none"/>
        </w:rPr>
        <w:t>标段</w:t>
      </w:r>
      <w:r>
        <w:rPr>
          <w:rFonts w:hint="eastAsia"/>
          <w:color w:val="auto"/>
          <w:sz w:val="24"/>
          <w:szCs w:val="24"/>
          <w:highlight w:val="none"/>
          <w:lang w:val="en-US" w:eastAsia="zh-CN"/>
        </w:rPr>
        <w:t>五</w:t>
      </w:r>
      <w:r>
        <w:rPr>
          <w:rFonts w:hint="eastAsia"/>
          <w:color w:val="auto"/>
          <w:sz w:val="24"/>
          <w:szCs w:val="24"/>
          <w:highlight w:val="none"/>
        </w:rPr>
        <w:t>：</w:t>
      </w:r>
      <w:r>
        <w:rPr>
          <w:rFonts w:hint="eastAsia" w:ascii="宋体" w:hAnsi="宋体" w:eastAsia="宋体" w:cs="Times New Roman"/>
          <w:color w:val="auto"/>
          <w:sz w:val="24"/>
          <w:szCs w:val="24"/>
          <w:highlight w:val="none"/>
          <w:lang w:val="en-US" w:eastAsia="zh-CN"/>
        </w:rPr>
        <w:t>二都村、新杨梅村</w:t>
      </w:r>
      <w:r>
        <w:rPr>
          <w:rFonts w:hint="eastAsia"/>
          <w:color w:val="auto"/>
          <w:sz w:val="24"/>
          <w:szCs w:val="24"/>
          <w:highlight w:val="none"/>
        </w:rPr>
        <w:t>村域全部国土空间。</w:t>
      </w:r>
    </w:p>
    <w:p>
      <w:pPr>
        <w:spacing w:line="360" w:lineRule="auto"/>
        <w:outlineLvl w:val="0"/>
        <w:rPr>
          <w:rFonts w:ascii="宋体" w:hAnsi="宋体" w:cs="Arial"/>
          <w:b/>
          <w:bCs/>
          <w:color w:val="auto"/>
          <w:sz w:val="24"/>
          <w:highlight w:val="none"/>
        </w:rPr>
      </w:pPr>
      <w:bookmarkStart w:id="79" w:name="_Toc30769"/>
      <w:r>
        <w:rPr>
          <w:rFonts w:hint="eastAsia" w:ascii="宋体" w:hAnsi="宋体" w:cs="Arial"/>
          <w:b/>
          <w:bCs/>
          <w:color w:val="auto"/>
          <w:sz w:val="24"/>
          <w:highlight w:val="none"/>
        </w:rPr>
        <w:t>（</w:t>
      </w:r>
      <w:r>
        <w:rPr>
          <w:rFonts w:hint="eastAsia" w:ascii="宋体" w:hAnsi="宋体" w:cs="Arial"/>
          <w:b/>
          <w:bCs/>
          <w:color w:val="auto"/>
          <w:sz w:val="24"/>
          <w:highlight w:val="none"/>
          <w:lang w:val="en-US" w:eastAsia="zh-CN"/>
        </w:rPr>
        <w:t>六</w:t>
      </w:r>
      <w:r>
        <w:rPr>
          <w:rFonts w:hint="eastAsia" w:ascii="宋体" w:hAnsi="宋体" w:cs="Arial"/>
          <w:b/>
          <w:bCs/>
          <w:color w:val="auto"/>
          <w:sz w:val="24"/>
          <w:highlight w:val="none"/>
        </w:rPr>
        <w:t>）规划技术要求</w:t>
      </w:r>
      <w:bookmarkEnd w:id="79"/>
    </w:p>
    <w:p>
      <w:pPr>
        <w:pStyle w:val="26"/>
        <w:ind w:firstLine="480"/>
        <w:rPr>
          <w:color w:val="auto"/>
          <w:highlight w:val="none"/>
        </w:rPr>
      </w:pPr>
      <w:r>
        <w:rPr>
          <w:rFonts w:hint="eastAsia"/>
          <w:color w:val="auto"/>
          <w:highlight w:val="none"/>
        </w:rPr>
        <w:t>符合《浙江省村庄规划编制技术要点（试行）》。</w:t>
      </w:r>
    </w:p>
    <w:p>
      <w:pPr>
        <w:spacing w:line="360" w:lineRule="auto"/>
        <w:outlineLvl w:val="0"/>
        <w:rPr>
          <w:rFonts w:ascii="宋体" w:hAnsi="宋体" w:cs="Arial"/>
          <w:b/>
          <w:bCs/>
          <w:color w:val="auto"/>
          <w:sz w:val="24"/>
          <w:highlight w:val="none"/>
        </w:rPr>
      </w:pPr>
      <w:bookmarkStart w:id="80" w:name="_Toc24531"/>
      <w:r>
        <w:rPr>
          <w:rFonts w:hint="eastAsia" w:ascii="宋体" w:hAnsi="宋体" w:cs="Arial"/>
          <w:b/>
          <w:bCs/>
          <w:color w:val="auto"/>
          <w:sz w:val="24"/>
          <w:highlight w:val="none"/>
        </w:rPr>
        <w:t>（</w:t>
      </w:r>
      <w:r>
        <w:rPr>
          <w:rFonts w:hint="eastAsia" w:ascii="宋体" w:hAnsi="宋体" w:cs="Arial"/>
          <w:b/>
          <w:bCs/>
          <w:color w:val="auto"/>
          <w:sz w:val="24"/>
          <w:highlight w:val="none"/>
          <w:lang w:val="en-US" w:eastAsia="zh-CN"/>
        </w:rPr>
        <w:t>七</w:t>
      </w:r>
      <w:r>
        <w:rPr>
          <w:rFonts w:hint="eastAsia" w:ascii="宋体" w:hAnsi="宋体" w:cs="Arial"/>
          <w:b/>
          <w:bCs/>
          <w:color w:val="auto"/>
          <w:sz w:val="24"/>
          <w:highlight w:val="none"/>
        </w:rPr>
        <w:t>）成果要求</w:t>
      </w:r>
      <w:bookmarkEnd w:id="80"/>
    </w:p>
    <w:p>
      <w:pPr>
        <w:adjustRightInd w:val="0"/>
        <w:snapToGrid w:val="0"/>
        <w:spacing w:line="500" w:lineRule="exact"/>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提交成果</w:t>
      </w:r>
    </w:p>
    <w:p>
      <w:pPr>
        <w:adjustRightInd w:val="0"/>
        <w:snapToGrid w:val="0"/>
        <w:spacing w:line="500" w:lineRule="exact"/>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按编制成果详实情况，分管理者层面（政府）和使用者层面（村民）两套成果。</w:t>
      </w:r>
    </w:p>
    <w:p>
      <w:pPr>
        <w:adjustRightInd w:val="0"/>
        <w:snapToGrid w:val="0"/>
        <w:spacing w:line="500" w:lineRule="exact"/>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1、管理者层面的成果</w:t>
      </w:r>
    </w:p>
    <w:p>
      <w:pPr>
        <w:adjustRightInd w:val="0"/>
        <w:snapToGrid w:val="0"/>
        <w:spacing w:line="500" w:lineRule="exact"/>
        <w:ind w:left="480"/>
        <w:jc w:val="left"/>
        <w:rPr>
          <w:rFonts w:hint="eastAsia" w:ascii="宋体" w:hAnsi="宋体" w:cs="宋体"/>
          <w:color w:val="auto"/>
          <w:sz w:val="24"/>
          <w:highlight w:val="none"/>
        </w:rPr>
      </w:pPr>
      <w:r>
        <w:rPr>
          <w:rFonts w:hint="eastAsia" w:ascii="宋体" w:hAnsi="宋体" w:cs="宋体"/>
          <w:color w:val="auto"/>
          <w:sz w:val="24"/>
          <w:highlight w:val="none"/>
        </w:rPr>
        <w:t>（1）文本</w:t>
      </w:r>
    </w:p>
    <w:p>
      <w:pPr>
        <w:adjustRightInd w:val="0"/>
        <w:snapToGrid w:val="0"/>
        <w:spacing w:line="500" w:lineRule="exact"/>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规划文本包括文本条文、附表。应符合《村庄规划技术指南》要点要求，内容言简意赅。强制性内容应当以黑体加粗标注。</w:t>
      </w:r>
    </w:p>
    <w:p>
      <w:pPr>
        <w:adjustRightInd w:val="0"/>
        <w:snapToGrid w:val="0"/>
        <w:spacing w:line="240" w:lineRule="auto"/>
        <w:jc w:val="left"/>
        <w:rPr>
          <w:rFonts w:hint="eastAsia" w:ascii="宋体" w:hAnsi="宋体" w:eastAsia="宋体" w:cs="宋体"/>
          <w:color w:val="auto"/>
          <w:sz w:val="24"/>
          <w:highlight w:val="none"/>
          <w:lang w:eastAsia="zh-CN"/>
        </w:rPr>
      </w:pPr>
      <w:r>
        <w:rPr>
          <w:color w:val="auto"/>
          <w:highlight w:val="none"/>
        </w:rPr>
        <w:drawing>
          <wp:inline distT="0" distB="0" distL="114300" distR="114300">
            <wp:extent cx="5271770" cy="4149090"/>
            <wp:effectExtent l="0" t="0" r="5080" b="3810"/>
            <wp:docPr id="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pic:cNvPicPr>
                      <a:picLocks noChangeAspect="1"/>
                    </pic:cNvPicPr>
                  </pic:nvPicPr>
                  <pic:blipFill>
                    <a:blip r:embed="rId8"/>
                    <a:stretch>
                      <a:fillRect/>
                    </a:stretch>
                  </pic:blipFill>
                  <pic:spPr>
                    <a:xfrm>
                      <a:off x="0" y="0"/>
                      <a:ext cx="5271770" cy="4149090"/>
                    </a:xfrm>
                    <a:prstGeom prst="rect">
                      <a:avLst/>
                    </a:prstGeom>
                    <a:noFill/>
                    <a:ln>
                      <a:noFill/>
                    </a:ln>
                  </pic:spPr>
                </pic:pic>
              </a:graphicData>
            </a:graphic>
          </wp:inline>
        </w:drawing>
      </w:r>
    </w:p>
    <w:p>
      <w:pPr>
        <w:adjustRightInd w:val="0"/>
        <w:snapToGrid w:val="0"/>
        <w:spacing w:line="500" w:lineRule="exact"/>
        <w:ind w:left="480"/>
        <w:jc w:val="left"/>
        <w:rPr>
          <w:rFonts w:hint="eastAsia" w:ascii="宋体" w:hAnsi="宋体" w:cs="宋体"/>
          <w:color w:val="auto"/>
          <w:sz w:val="24"/>
          <w:highlight w:val="none"/>
        </w:rPr>
      </w:pPr>
      <w:r>
        <w:rPr>
          <w:rFonts w:hint="eastAsia" w:ascii="宋体" w:hAnsi="宋体" w:cs="宋体"/>
          <w:color w:val="auto"/>
          <w:sz w:val="24"/>
          <w:highlight w:val="none"/>
        </w:rPr>
        <w:t>（2）管制规则</w:t>
      </w:r>
    </w:p>
    <w:p>
      <w:pPr>
        <w:adjustRightInd w:val="0"/>
        <w:snapToGrid w:val="0"/>
        <w:spacing w:line="500" w:lineRule="exact"/>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管制规则包括村庄各类国土空间管制要求、农民建设管理。村容风貌提升、乡风文明建设、乡村治理措施等内容。管制规则的重点是对生态空间、农业空间、建设空间、历史文化传承和保护空间及其他管制空间提出管控要求和措施。如实反映村庄规划中关于各类空间及其管制要求、约束性指标、村庄风貌、产业引导等内容。</w:t>
      </w:r>
    </w:p>
    <w:p>
      <w:pPr>
        <w:adjustRightInd w:val="0"/>
        <w:snapToGrid w:val="0"/>
        <w:spacing w:line="500" w:lineRule="exact"/>
        <w:ind w:left="480"/>
        <w:jc w:val="left"/>
        <w:rPr>
          <w:rFonts w:hint="eastAsia" w:ascii="宋体" w:hAnsi="宋体" w:cs="宋体"/>
          <w:color w:val="auto"/>
          <w:sz w:val="24"/>
          <w:highlight w:val="none"/>
        </w:rPr>
      </w:pPr>
      <w:r>
        <w:rPr>
          <w:rFonts w:hint="eastAsia" w:ascii="宋体" w:hAnsi="宋体" w:cs="宋体"/>
          <w:color w:val="auto"/>
          <w:sz w:val="24"/>
          <w:highlight w:val="none"/>
        </w:rPr>
        <w:t>（3）数据库</w:t>
      </w:r>
    </w:p>
    <w:p>
      <w:pPr>
        <w:adjustRightInd w:val="0"/>
        <w:snapToGrid w:val="0"/>
        <w:spacing w:line="500" w:lineRule="exact"/>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建立村庄规划成果数据库，纳入国土空间规划“一张图”统一管控。</w:t>
      </w:r>
    </w:p>
    <w:p>
      <w:pPr>
        <w:adjustRightInd w:val="0"/>
        <w:snapToGrid w:val="0"/>
        <w:spacing w:line="500" w:lineRule="exact"/>
        <w:ind w:left="480"/>
        <w:jc w:val="left"/>
        <w:rPr>
          <w:rFonts w:hint="eastAsia" w:ascii="宋体" w:hAnsi="宋体" w:cs="宋体"/>
          <w:color w:val="auto"/>
          <w:sz w:val="24"/>
          <w:highlight w:val="none"/>
        </w:rPr>
      </w:pPr>
      <w:r>
        <w:rPr>
          <w:rFonts w:hint="eastAsia" w:ascii="宋体" w:hAnsi="宋体" w:cs="宋体"/>
          <w:color w:val="auto"/>
          <w:sz w:val="24"/>
          <w:highlight w:val="none"/>
        </w:rPr>
        <w:t>（4）图纸</w:t>
      </w:r>
    </w:p>
    <w:p>
      <w:pPr>
        <w:adjustRightInd w:val="0"/>
        <w:snapToGrid w:val="0"/>
        <w:spacing w:line="500" w:lineRule="exact"/>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根据需要，绘制村庄规划图纸，其中国土空间现状图、国土空间规划图、空间控制线规划图、法定图则是必备的图纸。</w:t>
      </w:r>
    </w:p>
    <w:p>
      <w:pPr>
        <w:adjustRightInd w:val="0"/>
        <w:snapToGrid w:val="0"/>
        <w:spacing w:line="500" w:lineRule="exact"/>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2、村民层面</w:t>
      </w:r>
    </w:p>
    <w:p>
      <w:pPr>
        <w:adjustRightInd w:val="0"/>
        <w:snapToGrid w:val="0"/>
        <w:spacing w:line="500" w:lineRule="exact"/>
        <w:ind w:left="480"/>
        <w:jc w:val="left"/>
        <w:rPr>
          <w:rFonts w:hint="eastAsia" w:ascii="宋体" w:hAnsi="宋体" w:cs="宋体"/>
          <w:color w:val="auto"/>
          <w:sz w:val="24"/>
          <w:highlight w:val="none"/>
        </w:rPr>
      </w:pPr>
      <w:r>
        <w:rPr>
          <w:rFonts w:hint="eastAsia" w:ascii="宋体" w:hAnsi="宋体" w:cs="宋体"/>
          <w:color w:val="auto"/>
          <w:sz w:val="24"/>
          <w:highlight w:val="none"/>
        </w:rPr>
        <w:t>（1）一图读懂村庄规划</w:t>
      </w:r>
    </w:p>
    <w:p>
      <w:pPr>
        <w:adjustRightInd w:val="0"/>
        <w:snapToGrid w:val="0"/>
        <w:spacing w:line="500" w:lineRule="exact"/>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通俗易懂、图文并茂的表达村庄规划的主要内容，包括图纸和简要的文字介绍。</w:t>
      </w:r>
    </w:p>
    <w:p>
      <w:pPr>
        <w:adjustRightInd w:val="0"/>
        <w:snapToGrid w:val="0"/>
        <w:spacing w:line="500" w:lineRule="exact"/>
        <w:ind w:left="480"/>
        <w:jc w:val="left"/>
        <w:rPr>
          <w:rFonts w:hint="eastAsia" w:ascii="宋体" w:hAnsi="宋体" w:cs="宋体"/>
          <w:color w:val="auto"/>
          <w:sz w:val="24"/>
          <w:highlight w:val="none"/>
        </w:rPr>
      </w:pPr>
      <w:r>
        <w:rPr>
          <w:rFonts w:hint="eastAsia" w:ascii="宋体" w:hAnsi="宋体" w:cs="宋体"/>
          <w:color w:val="auto"/>
          <w:sz w:val="24"/>
          <w:highlight w:val="none"/>
        </w:rPr>
        <w:t>（2）村规民约</w:t>
      </w:r>
    </w:p>
    <w:p>
      <w:pPr>
        <w:pStyle w:val="26"/>
        <w:ind w:firstLine="480"/>
        <w:rPr>
          <w:rFonts w:hint="eastAsia" w:ascii="宋体" w:hAnsi="宋体" w:eastAsia="宋体" w:cs="宋体"/>
          <w:color w:val="auto"/>
          <w:highlight w:val="none"/>
        </w:rPr>
      </w:pPr>
      <w:r>
        <w:rPr>
          <w:rFonts w:hint="eastAsia" w:ascii="宋体" w:hAnsi="宋体" w:cs="宋体"/>
          <w:color w:val="auto"/>
          <w:sz w:val="24"/>
          <w:highlight w:val="none"/>
        </w:rPr>
        <w:t>村规民约内容应包括规划核心要求，如生态保护、耕地和永久基本农田保护、历史文化保护、建设空间管制、村庄安全和防灾减灾等，并应做到“行文易懂、内容好记、管理可行”</w:t>
      </w:r>
      <w:r>
        <w:rPr>
          <w:rFonts w:hint="eastAsia" w:ascii="宋体" w:hAnsi="宋体" w:eastAsia="宋体" w:cs="宋体"/>
          <w:color w:val="auto"/>
          <w:highlight w:val="none"/>
        </w:rPr>
        <w:t>。</w:t>
      </w:r>
    </w:p>
    <w:p>
      <w:pPr>
        <w:pStyle w:val="3"/>
        <w:numPr>
          <w:ilvl w:val="0"/>
          <w:numId w:val="0"/>
        </w:numPr>
        <w:spacing w:line="360" w:lineRule="auto"/>
        <w:ind w:leftChars="0"/>
        <w:jc w:val="center"/>
        <w:rPr>
          <w:rFonts w:hint="eastAsia" w:ascii="宋体" w:hAnsi="宋体" w:eastAsia="宋体" w:cs="宋体"/>
          <w:color w:val="auto"/>
          <w:kern w:val="0"/>
          <w:highlight w:val="none"/>
          <w:lang w:eastAsia="zh-CN"/>
        </w:rPr>
      </w:pPr>
      <w:bookmarkStart w:id="81" w:name="_Toc2249"/>
    </w:p>
    <w:p>
      <w:pPr>
        <w:pStyle w:val="3"/>
        <w:numPr>
          <w:ilvl w:val="0"/>
          <w:numId w:val="0"/>
        </w:numPr>
        <w:spacing w:line="360" w:lineRule="auto"/>
        <w:ind w:leftChars="0"/>
        <w:jc w:val="center"/>
        <w:rPr>
          <w:rFonts w:hint="eastAsia" w:ascii="宋体" w:hAnsi="宋体" w:eastAsia="宋体" w:cs="宋体"/>
          <w:color w:val="auto"/>
          <w:kern w:val="0"/>
          <w:highlight w:val="none"/>
        </w:rPr>
      </w:pPr>
      <w:bookmarkStart w:id="82" w:name="_Toc10510"/>
      <w:r>
        <w:rPr>
          <w:rFonts w:hint="eastAsia" w:ascii="宋体" w:hAnsi="宋体" w:eastAsia="宋体" w:cs="宋体"/>
          <w:color w:val="auto"/>
          <w:kern w:val="0"/>
          <w:highlight w:val="none"/>
          <w:lang w:eastAsia="zh-CN"/>
        </w:rPr>
        <w:t>第二章</w:t>
      </w:r>
      <w:r>
        <w:rPr>
          <w:rFonts w:hint="eastAsia" w:ascii="宋体" w:hAnsi="宋体" w:eastAsia="宋体" w:cs="宋体"/>
          <w:color w:val="auto"/>
          <w:highlight w:val="none"/>
        </w:rPr>
        <w:t>　</w:t>
      </w:r>
      <w:r>
        <w:rPr>
          <w:rFonts w:hint="eastAsia" w:ascii="宋体" w:hAnsi="宋体" w:eastAsia="宋体" w:cs="宋体"/>
          <w:color w:val="auto"/>
          <w:kern w:val="0"/>
          <w:highlight w:val="none"/>
        </w:rPr>
        <w:t>付款方式及要求</w:t>
      </w:r>
      <w:bookmarkEnd w:id="81"/>
      <w:bookmarkEnd w:id="82"/>
    </w:p>
    <w:p>
      <w:pPr>
        <w:autoSpaceDE w:val="0"/>
        <w:autoSpaceDN w:val="0"/>
        <w:adjustRightInd w:val="0"/>
        <w:spacing w:line="360" w:lineRule="auto"/>
        <w:jc w:val="left"/>
        <w:rPr>
          <w:rFonts w:hint="eastAsia" w:ascii="宋体" w:hAnsi="宋体" w:eastAsia="宋体" w:cs="宋体"/>
          <w:b/>
          <w:bCs/>
          <w:color w:val="auto"/>
          <w:sz w:val="24"/>
          <w:highlight w:val="none"/>
        </w:rPr>
      </w:pPr>
    </w:p>
    <w:p>
      <w:pPr>
        <w:spacing w:line="360" w:lineRule="auto"/>
        <w:ind w:firstLine="360" w:firstLineChars="150"/>
        <w:rPr>
          <w:rFonts w:ascii="宋体" w:hAnsi="宋体" w:cs="Arial"/>
          <w:color w:val="auto"/>
          <w:sz w:val="24"/>
          <w:highlight w:val="none"/>
        </w:rPr>
      </w:pPr>
      <w:r>
        <w:rPr>
          <w:rFonts w:hint="eastAsia" w:ascii="宋体" w:hAnsi="宋体" w:cs="Arial"/>
          <w:color w:val="auto"/>
          <w:sz w:val="24"/>
          <w:highlight w:val="none"/>
        </w:rPr>
        <w:t>在合同生效以及具备实施条件后7个工作日内支付预付款40%</w:t>
      </w:r>
      <w:r>
        <w:rPr>
          <w:rFonts w:hint="eastAsia" w:ascii="宋体" w:hAnsi="宋体" w:cs="Arial"/>
          <w:color w:val="auto"/>
          <w:sz w:val="24"/>
          <w:highlight w:val="none"/>
          <w:lang w:eastAsia="zh-CN"/>
        </w:rPr>
        <w:t>；</w:t>
      </w:r>
      <w:r>
        <w:rPr>
          <w:rFonts w:hint="eastAsia" w:ascii="宋体" w:hAnsi="宋体" w:cs="Arial"/>
          <w:color w:val="auto"/>
          <w:sz w:val="24"/>
          <w:highlight w:val="none"/>
          <w:lang w:val="en-US" w:eastAsia="zh-CN"/>
        </w:rPr>
        <w:t>成交供应商</w:t>
      </w:r>
      <w:r>
        <w:rPr>
          <w:rFonts w:hint="eastAsia" w:ascii="宋体" w:hAnsi="宋体" w:cs="Arial"/>
          <w:color w:val="auto"/>
          <w:sz w:val="24"/>
          <w:highlight w:val="none"/>
        </w:rPr>
        <w:t>提交项目成果后</w:t>
      </w:r>
      <w:r>
        <w:rPr>
          <w:rFonts w:hint="eastAsia" w:ascii="宋体" w:hAnsi="宋体" w:cs="Arial"/>
          <w:color w:val="auto"/>
          <w:sz w:val="24"/>
          <w:highlight w:val="none"/>
          <w:lang w:val="en-US" w:eastAsia="zh-CN"/>
        </w:rPr>
        <w:t>30</w:t>
      </w:r>
      <w:r>
        <w:rPr>
          <w:rFonts w:hint="eastAsia" w:ascii="宋体" w:hAnsi="宋体" w:cs="Arial"/>
          <w:color w:val="auto"/>
          <w:sz w:val="24"/>
          <w:highlight w:val="none"/>
        </w:rPr>
        <w:t>日内</w:t>
      </w:r>
      <w:r>
        <w:rPr>
          <w:rFonts w:hint="eastAsia" w:ascii="宋体" w:hAnsi="宋体" w:cs="Arial"/>
          <w:color w:val="auto"/>
          <w:sz w:val="24"/>
          <w:highlight w:val="none"/>
          <w:lang w:val="en-US" w:eastAsia="zh-CN"/>
        </w:rPr>
        <w:t>采购人</w:t>
      </w:r>
      <w:r>
        <w:rPr>
          <w:rFonts w:hint="eastAsia" w:ascii="宋体" w:hAnsi="宋体" w:cs="Arial"/>
          <w:color w:val="auto"/>
          <w:sz w:val="24"/>
          <w:highlight w:val="none"/>
        </w:rPr>
        <w:t>支付</w:t>
      </w:r>
      <w:r>
        <w:rPr>
          <w:rFonts w:hint="eastAsia" w:ascii="宋体" w:hAnsi="宋体" w:cs="Arial"/>
          <w:color w:val="auto"/>
          <w:sz w:val="24"/>
          <w:highlight w:val="none"/>
          <w:lang w:val="en-US" w:eastAsia="zh-CN"/>
        </w:rPr>
        <w:t>合同款</w:t>
      </w:r>
      <w:r>
        <w:rPr>
          <w:rFonts w:hint="eastAsia" w:ascii="宋体" w:hAnsi="宋体" w:cs="Arial"/>
          <w:color w:val="auto"/>
          <w:sz w:val="24"/>
          <w:highlight w:val="none"/>
        </w:rPr>
        <w:t>30%，</w:t>
      </w:r>
      <w:r>
        <w:rPr>
          <w:rFonts w:hint="eastAsia" w:ascii="宋体" w:hAnsi="宋体" w:cs="Arial"/>
          <w:color w:val="auto"/>
          <w:sz w:val="24"/>
          <w:highlight w:val="none"/>
          <w:lang w:val="en-US" w:eastAsia="zh-CN"/>
        </w:rPr>
        <w:t>成交供应商</w:t>
      </w:r>
      <w:r>
        <w:rPr>
          <w:rFonts w:hint="eastAsia" w:ascii="宋体" w:hAnsi="宋体" w:cs="Arial"/>
          <w:color w:val="auto"/>
          <w:sz w:val="24"/>
          <w:highlight w:val="none"/>
        </w:rPr>
        <w:t>提交的成果通过</w:t>
      </w:r>
      <w:r>
        <w:rPr>
          <w:rFonts w:hint="eastAsia" w:ascii="宋体" w:hAnsi="宋体" w:cs="Arial"/>
          <w:color w:val="auto"/>
          <w:sz w:val="24"/>
          <w:highlight w:val="none"/>
          <w:lang w:val="en-US" w:eastAsia="zh-CN"/>
        </w:rPr>
        <w:t>采购人</w:t>
      </w:r>
      <w:r>
        <w:rPr>
          <w:rFonts w:hint="eastAsia" w:ascii="宋体" w:hAnsi="宋体" w:cs="Arial"/>
          <w:color w:val="auto"/>
          <w:sz w:val="24"/>
          <w:highlight w:val="none"/>
        </w:rPr>
        <w:t>验收后10个工作日内</w:t>
      </w:r>
      <w:r>
        <w:rPr>
          <w:rFonts w:hint="eastAsia" w:ascii="宋体" w:hAnsi="宋体" w:cs="Arial"/>
          <w:color w:val="auto"/>
          <w:sz w:val="24"/>
          <w:highlight w:val="none"/>
          <w:lang w:val="en-US" w:eastAsia="zh-CN"/>
        </w:rPr>
        <w:t>一次性付清余款</w:t>
      </w:r>
      <w:r>
        <w:rPr>
          <w:rFonts w:hint="eastAsia" w:ascii="宋体" w:hAnsi="宋体" w:eastAsia="宋体" w:cs="宋体"/>
          <w:b/>
          <w:bCs/>
          <w:color w:val="auto"/>
          <w:sz w:val="24"/>
          <w:szCs w:val="24"/>
          <w:highlight w:val="none"/>
        </w:rPr>
        <w:t>。</w:t>
      </w:r>
    </w:p>
    <w:p>
      <w:pPr>
        <w:pStyle w:val="2"/>
        <w:jc w:val="center"/>
        <w:rPr>
          <w:rFonts w:hint="eastAsia" w:cs="宋体"/>
          <w:color w:val="auto"/>
          <w:sz w:val="36"/>
          <w:szCs w:val="36"/>
          <w:highlight w:val="none"/>
        </w:rPr>
        <w:sectPr>
          <w:pgSz w:w="11906" w:h="16838"/>
          <w:pgMar w:top="1440" w:right="1800" w:bottom="1440" w:left="1800" w:header="851" w:footer="992" w:gutter="0"/>
          <w:cols w:space="425" w:num="1"/>
          <w:docGrid w:type="lines" w:linePitch="312" w:charSpace="0"/>
        </w:sectPr>
      </w:pPr>
    </w:p>
    <w:p>
      <w:pPr>
        <w:pStyle w:val="2"/>
        <w:jc w:val="center"/>
        <w:rPr>
          <w:rFonts w:cs="Times New Roman"/>
          <w:color w:val="auto"/>
          <w:sz w:val="36"/>
          <w:szCs w:val="36"/>
          <w:highlight w:val="none"/>
        </w:rPr>
      </w:pPr>
      <w:bookmarkStart w:id="83" w:name="_Toc27753"/>
      <w:r>
        <w:rPr>
          <w:rFonts w:hint="eastAsia" w:cs="宋体"/>
          <w:color w:val="auto"/>
          <w:sz w:val="36"/>
          <w:szCs w:val="36"/>
          <w:highlight w:val="none"/>
        </w:rPr>
        <w:t>第四部分 磋商原则及磋商方法</w:t>
      </w:r>
      <w:bookmarkEnd w:id="70"/>
      <w:bookmarkEnd w:id="83"/>
    </w:p>
    <w:p>
      <w:pPr>
        <w:pStyle w:val="3"/>
        <w:numPr>
          <w:ilvl w:val="0"/>
          <w:numId w:val="17"/>
        </w:numPr>
        <w:jc w:val="center"/>
        <w:rPr>
          <w:rFonts w:cs="Times New Roman"/>
          <w:color w:val="auto"/>
          <w:highlight w:val="none"/>
        </w:rPr>
      </w:pPr>
      <w:bookmarkStart w:id="84" w:name="_Toc1265"/>
      <w:r>
        <w:rPr>
          <w:rFonts w:hint="eastAsia"/>
          <w:color w:val="auto"/>
          <w:highlight w:val="none"/>
        </w:rPr>
        <w:t xml:space="preserve"> </w:t>
      </w:r>
      <w:bookmarkStart w:id="85" w:name="_Toc9953"/>
      <w:r>
        <w:rPr>
          <w:rFonts w:hint="eastAsia"/>
          <w:color w:val="auto"/>
          <w:highlight w:val="none"/>
        </w:rPr>
        <w:t>磋商原则</w:t>
      </w:r>
      <w:bookmarkEnd w:id="84"/>
      <w:bookmarkEnd w:id="85"/>
    </w:p>
    <w:p>
      <w:pPr>
        <w:pStyle w:val="4"/>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1</w:t>
      </w:r>
      <w:r>
        <w:rPr>
          <w:rFonts w:hint="eastAsia" w:ascii="宋体" w:hAnsi="宋体" w:cs="宋体"/>
          <w:color w:val="auto"/>
          <w:sz w:val="24"/>
          <w:szCs w:val="24"/>
          <w:highlight w:val="none"/>
        </w:rPr>
        <w:t>、本次竞争性磋商本着公平、公正、科学、择优的原则，邀请各磋商方参加报价。</w:t>
      </w:r>
    </w:p>
    <w:p>
      <w:pPr>
        <w:pStyle w:val="4"/>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2</w:t>
      </w:r>
      <w:r>
        <w:rPr>
          <w:rFonts w:hint="eastAsia" w:ascii="宋体" w:hAnsi="宋体" w:cs="宋体"/>
          <w:color w:val="auto"/>
          <w:sz w:val="24"/>
          <w:szCs w:val="24"/>
          <w:highlight w:val="none"/>
        </w:rPr>
        <w:t>、磋商小组将严格按照竞争性磋商文件的要求，对供应商的响应性文件进行认真评审；磋商小组对响应性文件的评审仅依据响应性文件本身，而不依据响应性文件以外的任何因素。</w:t>
      </w:r>
    </w:p>
    <w:p>
      <w:pPr>
        <w:pStyle w:val="4"/>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3</w:t>
      </w:r>
      <w:r>
        <w:rPr>
          <w:rFonts w:hint="eastAsia" w:ascii="宋体" w:hAnsi="宋体" w:cs="宋体"/>
          <w:color w:val="auto"/>
          <w:sz w:val="24"/>
          <w:szCs w:val="24"/>
          <w:highlight w:val="none"/>
        </w:rPr>
        <w:t>、磋商小组按照统一的磋商原则和磋商方法，用同一标准对所有响应性文件进行评审。</w:t>
      </w:r>
    </w:p>
    <w:p>
      <w:pPr>
        <w:pStyle w:val="15"/>
        <w:spacing w:line="360" w:lineRule="auto"/>
        <w:ind w:firstLine="482" w:firstLineChars="200"/>
        <w:rPr>
          <w:rFonts w:hAnsi="宋体" w:cs="Times New Roman"/>
          <w:b/>
          <w:bCs/>
          <w:color w:val="auto"/>
          <w:sz w:val="24"/>
          <w:szCs w:val="24"/>
          <w:highlight w:val="none"/>
        </w:rPr>
      </w:pPr>
      <w:r>
        <w:rPr>
          <w:rFonts w:hAnsi="宋体"/>
          <w:b/>
          <w:bCs/>
          <w:color w:val="auto"/>
          <w:sz w:val="24"/>
          <w:szCs w:val="24"/>
          <w:highlight w:val="none"/>
        </w:rPr>
        <w:t>4</w:t>
      </w:r>
      <w:r>
        <w:rPr>
          <w:rFonts w:hint="eastAsia" w:hAnsi="宋体"/>
          <w:b/>
          <w:bCs/>
          <w:color w:val="auto"/>
          <w:sz w:val="24"/>
          <w:szCs w:val="24"/>
          <w:highlight w:val="none"/>
        </w:rPr>
        <w:t>、评审</w:t>
      </w:r>
    </w:p>
    <w:p>
      <w:pPr>
        <w:pStyle w:val="15"/>
        <w:spacing w:line="360" w:lineRule="auto"/>
        <w:ind w:firstLine="480" w:firstLineChars="200"/>
        <w:rPr>
          <w:rFonts w:hAnsi="宋体" w:cs="Times New Roman"/>
          <w:color w:val="auto"/>
          <w:sz w:val="24"/>
          <w:szCs w:val="24"/>
          <w:highlight w:val="none"/>
        </w:rPr>
      </w:pPr>
      <w:r>
        <w:rPr>
          <w:rFonts w:hAnsi="宋体"/>
          <w:color w:val="auto"/>
          <w:sz w:val="24"/>
          <w:szCs w:val="24"/>
          <w:highlight w:val="none"/>
        </w:rPr>
        <w:t>4.1</w:t>
      </w:r>
      <w:r>
        <w:rPr>
          <w:rFonts w:hint="eastAsia" w:hAnsi="宋体"/>
          <w:color w:val="auto"/>
          <w:sz w:val="24"/>
          <w:szCs w:val="24"/>
          <w:highlight w:val="none"/>
        </w:rPr>
        <w:t>在磋商响应截止时间前按规定提交响应文件的供应商在三家（含）以上的，由采购人或采购代理机构组织进行开标。</w:t>
      </w:r>
    </w:p>
    <w:p>
      <w:pPr>
        <w:pStyle w:val="15"/>
        <w:spacing w:line="360" w:lineRule="auto"/>
        <w:ind w:firstLine="482" w:firstLineChars="200"/>
        <w:rPr>
          <w:rFonts w:hAnsi="宋体" w:cs="Times New Roman"/>
          <w:color w:val="auto"/>
          <w:sz w:val="24"/>
          <w:szCs w:val="24"/>
          <w:highlight w:val="none"/>
        </w:rPr>
      </w:pPr>
      <w:r>
        <w:rPr>
          <w:rFonts w:hAnsi="宋体"/>
          <w:b/>
          <w:bCs/>
          <w:color w:val="auto"/>
          <w:sz w:val="24"/>
          <w:szCs w:val="24"/>
          <w:highlight w:val="none"/>
        </w:rPr>
        <w:t>4.2</w:t>
      </w:r>
      <w:r>
        <w:rPr>
          <w:rFonts w:hint="eastAsia" w:hAnsi="宋体"/>
          <w:b/>
          <w:bCs/>
          <w:color w:val="auto"/>
          <w:sz w:val="24"/>
          <w:szCs w:val="24"/>
          <w:highlight w:val="none"/>
        </w:rPr>
        <w:t>供应商登录政采云平台，用“项目采购</w:t>
      </w:r>
      <w:r>
        <w:rPr>
          <w:rFonts w:hAnsi="宋体"/>
          <w:b/>
          <w:bCs/>
          <w:color w:val="auto"/>
          <w:sz w:val="24"/>
          <w:szCs w:val="24"/>
          <w:highlight w:val="none"/>
        </w:rPr>
        <w:t>-</w:t>
      </w:r>
      <w:r>
        <w:rPr>
          <w:rFonts w:hint="eastAsia" w:hAnsi="宋体"/>
          <w:b/>
          <w:bCs/>
          <w:color w:val="auto"/>
          <w:sz w:val="24"/>
          <w:szCs w:val="24"/>
          <w:highlight w:val="none"/>
        </w:rPr>
        <w:t>开标评标”功能对电子磋商响应文件进行在线解密。在线解密电子磋商响应文件时间为开标时间起</w:t>
      </w:r>
      <w:r>
        <w:rPr>
          <w:rFonts w:hAnsi="宋体"/>
          <w:b/>
          <w:bCs/>
          <w:color w:val="auto"/>
          <w:sz w:val="24"/>
          <w:szCs w:val="24"/>
          <w:highlight w:val="none"/>
        </w:rPr>
        <w:t>30</w:t>
      </w:r>
      <w:r>
        <w:rPr>
          <w:rFonts w:hint="eastAsia" w:hAnsi="宋体"/>
          <w:b/>
          <w:bCs/>
          <w:color w:val="auto"/>
          <w:sz w:val="24"/>
          <w:szCs w:val="24"/>
          <w:highlight w:val="none"/>
        </w:rPr>
        <w:t>分钟内。若电子磋商响应文件解密失败，则由采购代理机构工作人员上传供应商提供的备份文件。</w:t>
      </w:r>
      <w:r>
        <w:rPr>
          <w:rFonts w:hint="eastAsia" w:hAnsi="宋体"/>
          <w:color w:val="auto"/>
          <w:sz w:val="24"/>
          <w:szCs w:val="24"/>
          <w:highlight w:val="none"/>
        </w:rPr>
        <w:t>备份文件（后缀名为</w:t>
      </w:r>
      <w:r>
        <w:rPr>
          <w:rFonts w:hAnsi="宋体"/>
          <w:color w:val="auto"/>
          <w:sz w:val="24"/>
          <w:szCs w:val="24"/>
          <w:highlight w:val="none"/>
        </w:rPr>
        <w:t>.bfbs</w:t>
      </w:r>
      <w:r>
        <w:rPr>
          <w:rFonts w:hint="eastAsia" w:hAnsi="宋体"/>
          <w:color w:val="auto"/>
          <w:sz w:val="24"/>
          <w:szCs w:val="24"/>
          <w:highlight w:val="none"/>
        </w:rPr>
        <w:t>）须存储在</w:t>
      </w:r>
      <w:r>
        <w:rPr>
          <w:rFonts w:hAnsi="宋体"/>
          <w:color w:val="auto"/>
          <w:sz w:val="24"/>
          <w:szCs w:val="24"/>
          <w:highlight w:val="none"/>
        </w:rPr>
        <w:t>U</w:t>
      </w:r>
      <w:r>
        <w:rPr>
          <w:rFonts w:hint="eastAsia" w:hAnsi="宋体"/>
          <w:color w:val="auto"/>
          <w:sz w:val="24"/>
          <w:szCs w:val="24"/>
          <w:highlight w:val="none"/>
        </w:rPr>
        <w:t>盘中，与上传的电子磋商响应文件一致，用信封进行密封并盖章</w:t>
      </w:r>
      <w:r>
        <w:rPr>
          <w:rFonts w:hint="eastAsia" w:hAnsi="宋体"/>
          <w:b/>
          <w:bCs/>
          <w:color w:val="auto"/>
          <w:sz w:val="24"/>
          <w:szCs w:val="24"/>
          <w:highlight w:val="none"/>
        </w:rPr>
        <w:t>（信封内仅需放入存储备份文件的</w:t>
      </w:r>
      <w:r>
        <w:rPr>
          <w:rFonts w:hAnsi="宋体"/>
          <w:b/>
          <w:bCs/>
          <w:color w:val="auto"/>
          <w:sz w:val="24"/>
          <w:szCs w:val="24"/>
          <w:highlight w:val="none"/>
        </w:rPr>
        <w:t>U</w:t>
      </w:r>
      <w:r>
        <w:rPr>
          <w:rFonts w:hint="eastAsia" w:hAnsi="宋体"/>
          <w:b/>
          <w:bCs/>
          <w:color w:val="auto"/>
          <w:sz w:val="24"/>
          <w:szCs w:val="24"/>
          <w:highlight w:val="none"/>
        </w:rPr>
        <w:t>盘）</w:t>
      </w:r>
      <w:r>
        <w:rPr>
          <w:rFonts w:hint="eastAsia" w:hAnsi="宋体"/>
          <w:color w:val="auto"/>
          <w:sz w:val="24"/>
          <w:szCs w:val="24"/>
          <w:highlight w:val="none"/>
        </w:rPr>
        <w:t>，由授权代表在磋商响应截止时间前递交至开标地点。</w:t>
      </w:r>
    </w:p>
    <w:p>
      <w:pPr>
        <w:pStyle w:val="15"/>
        <w:spacing w:line="360" w:lineRule="auto"/>
        <w:ind w:firstLine="480" w:firstLineChars="200"/>
        <w:rPr>
          <w:rFonts w:hAnsi="宋体" w:cs="Times New Roman"/>
          <w:color w:val="auto"/>
          <w:sz w:val="24"/>
          <w:szCs w:val="24"/>
          <w:highlight w:val="none"/>
        </w:rPr>
      </w:pPr>
      <w:r>
        <w:rPr>
          <w:rFonts w:hAnsi="宋体"/>
          <w:color w:val="auto"/>
          <w:sz w:val="24"/>
          <w:szCs w:val="24"/>
          <w:highlight w:val="none"/>
        </w:rPr>
        <w:t>4.3</w:t>
      </w:r>
      <w:r>
        <w:rPr>
          <w:rFonts w:hint="eastAsia" w:hAnsi="宋体"/>
          <w:color w:val="auto"/>
          <w:sz w:val="24"/>
          <w:szCs w:val="24"/>
          <w:highlight w:val="none"/>
        </w:rPr>
        <w:t>采购人按磋商文件规定的时间、地点公开开标。开标仪式由采购人或采购代理机构主持及有关人员参加。</w:t>
      </w:r>
    </w:p>
    <w:p>
      <w:pPr>
        <w:pStyle w:val="54"/>
        <w:spacing w:before="0"/>
        <w:ind w:firstLine="480"/>
        <w:rPr>
          <w:rFonts w:ascii="宋体"/>
          <w:color w:val="auto"/>
          <w:highlight w:val="none"/>
        </w:rPr>
      </w:pPr>
      <w:r>
        <w:rPr>
          <w:rFonts w:ascii="宋体" w:hAnsi="宋体" w:cs="宋体"/>
          <w:color w:val="auto"/>
          <w:highlight w:val="none"/>
        </w:rPr>
        <w:t>4.4</w:t>
      </w:r>
      <w:r>
        <w:rPr>
          <w:rFonts w:hint="eastAsia" w:ascii="宋体" w:hAnsi="宋体" w:cs="宋体"/>
          <w:color w:val="auto"/>
          <w:highlight w:val="none"/>
        </w:rPr>
        <w:t>本项目为电子投标项目，供应商一般不需要参加现场投标和开标，若供应商需要指派授权代表递交备份文件，则授权代表应随身携带法定代表人授权书原件于</w:t>
      </w:r>
      <w:r>
        <w:rPr>
          <w:rFonts w:hint="eastAsia" w:hAnsi="宋体" w:cs="宋体"/>
          <w:color w:val="auto"/>
          <w:highlight w:val="none"/>
        </w:rPr>
        <w:t>磋商响应</w:t>
      </w:r>
      <w:r>
        <w:rPr>
          <w:rFonts w:hint="eastAsia" w:ascii="宋体" w:hAnsi="宋体" w:cs="宋体"/>
          <w:color w:val="auto"/>
          <w:highlight w:val="none"/>
        </w:rPr>
        <w:t>截止时间前到达开标地点递交备份文件。若电子磋商响应文件正常解锁，则</w:t>
      </w:r>
      <w:r>
        <w:rPr>
          <w:rFonts w:ascii="宋体" w:hAnsi="宋体" w:cs="宋体"/>
          <w:color w:val="auto"/>
          <w:highlight w:val="none"/>
        </w:rPr>
        <w:t>U</w:t>
      </w:r>
      <w:r>
        <w:rPr>
          <w:rFonts w:hint="eastAsia" w:ascii="宋体" w:hAnsi="宋体" w:cs="宋体"/>
          <w:color w:val="auto"/>
          <w:highlight w:val="none"/>
        </w:rPr>
        <w:t>盘退还给供应商；若解锁失败，则由采购代理机构将</w:t>
      </w:r>
      <w:r>
        <w:rPr>
          <w:rFonts w:ascii="宋体" w:hAnsi="宋体" w:cs="宋体"/>
          <w:color w:val="auto"/>
          <w:highlight w:val="none"/>
        </w:rPr>
        <w:t>U</w:t>
      </w:r>
      <w:r>
        <w:rPr>
          <w:rFonts w:hint="eastAsia" w:ascii="宋体" w:hAnsi="宋体" w:cs="宋体"/>
          <w:color w:val="auto"/>
          <w:highlight w:val="none"/>
        </w:rPr>
        <w:t>盘中的备份文件上传，该</w:t>
      </w:r>
      <w:r>
        <w:rPr>
          <w:rFonts w:ascii="宋体" w:hAnsi="宋体" w:cs="宋体"/>
          <w:color w:val="auto"/>
          <w:highlight w:val="none"/>
        </w:rPr>
        <w:t>U</w:t>
      </w:r>
      <w:r>
        <w:rPr>
          <w:rFonts w:hint="eastAsia" w:ascii="宋体" w:hAnsi="宋体" w:cs="宋体"/>
          <w:color w:val="auto"/>
          <w:highlight w:val="none"/>
        </w:rPr>
        <w:t>盘将由采购代理机构保存。</w:t>
      </w:r>
    </w:p>
    <w:p>
      <w:pPr>
        <w:pStyle w:val="54"/>
        <w:spacing w:before="0"/>
        <w:ind w:firstLine="480"/>
        <w:rPr>
          <w:rFonts w:ascii="宋体"/>
          <w:color w:val="auto"/>
          <w:highlight w:val="none"/>
        </w:rPr>
      </w:pPr>
      <w:r>
        <w:rPr>
          <w:rFonts w:ascii="宋体" w:hAnsi="宋体" w:cs="宋体"/>
          <w:color w:val="auto"/>
          <w:highlight w:val="none"/>
        </w:rPr>
        <w:t>4.5</w:t>
      </w:r>
      <w:r>
        <w:rPr>
          <w:rFonts w:hint="eastAsia" w:ascii="宋体" w:hAnsi="宋体" w:cs="宋体"/>
          <w:color w:val="auto"/>
          <w:highlight w:val="none"/>
        </w:rPr>
        <w:t>两个以上的自然人、法人或者其他组织组成一个联合体，以一个供应商的身份共同参加政府采购活动的，应当对所有联合体成员进行信用记录查询，联合体成员存在不良信用记录的，视同联合体存在不良信用记录。</w:t>
      </w:r>
    </w:p>
    <w:p>
      <w:pPr>
        <w:spacing w:line="360" w:lineRule="auto"/>
        <w:ind w:firstLine="480"/>
        <w:rPr>
          <w:rFonts w:ascii="宋体"/>
          <w:color w:val="auto"/>
          <w:sz w:val="24"/>
          <w:szCs w:val="24"/>
          <w:highlight w:val="none"/>
        </w:rPr>
      </w:pPr>
      <w:r>
        <w:rPr>
          <w:rFonts w:ascii="宋体" w:hAnsi="宋体" w:cs="宋体"/>
          <w:color w:val="auto"/>
          <w:sz w:val="24"/>
          <w:szCs w:val="24"/>
          <w:highlight w:val="none"/>
        </w:rPr>
        <w:t>5</w:t>
      </w:r>
      <w:r>
        <w:rPr>
          <w:rFonts w:hint="eastAsia" w:ascii="宋体" w:hAnsi="宋体" w:cs="宋体"/>
          <w:color w:val="auto"/>
          <w:sz w:val="24"/>
          <w:szCs w:val="24"/>
          <w:highlight w:val="none"/>
        </w:rPr>
        <w:t>、组建磋商小组</w:t>
      </w:r>
    </w:p>
    <w:p>
      <w:pPr>
        <w:pStyle w:val="54"/>
        <w:spacing w:before="0"/>
        <w:ind w:firstLine="480"/>
        <w:rPr>
          <w:rFonts w:ascii="宋体"/>
          <w:color w:val="auto"/>
          <w:highlight w:val="none"/>
        </w:rPr>
      </w:pPr>
      <w:r>
        <w:rPr>
          <w:rFonts w:ascii="宋体" w:hAnsi="宋体" w:cs="宋体"/>
          <w:color w:val="auto"/>
          <w:highlight w:val="none"/>
        </w:rPr>
        <w:t>5.1</w:t>
      </w:r>
      <w:r>
        <w:rPr>
          <w:rFonts w:hint="eastAsia" w:ascii="宋体" w:hAnsi="宋体" w:cs="宋体"/>
          <w:color w:val="auto"/>
          <w:highlight w:val="none"/>
        </w:rPr>
        <w:t>磋商小组由采购人代表和评审专家共</w:t>
      </w:r>
      <w:r>
        <w:rPr>
          <w:rFonts w:ascii="宋体" w:hAnsi="宋体" w:cs="宋体"/>
          <w:color w:val="auto"/>
          <w:highlight w:val="none"/>
        </w:rPr>
        <w:t>3</w:t>
      </w:r>
      <w:r>
        <w:rPr>
          <w:rFonts w:hint="eastAsia" w:ascii="宋体" w:hAnsi="宋体" w:cs="宋体"/>
          <w:color w:val="auto"/>
          <w:highlight w:val="none"/>
        </w:rPr>
        <w:t>人或以上单数组成，其中评审专家人数不少于磋商小组成员总数的</w:t>
      </w:r>
      <w:r>
        <w:rPr>
          <w:rFonts w:ascii="宋体" w:hAnsi="宋体" w:cs="宋体"/>
          <w:color w:val="auto"/>
          <w:highlight w:val="none"/>
        </w:rPr>
        <w:t>2/3</w:t>
      </w:r>
      <w:r>
        <w:rPr>
          <w:rFonts w:hint="eastAsia" w:ascii="宋体" w:hAnsi="宋体" w:cs="宋体"/>
          <w:color w:val="auto"/>
          <w:highlight w:val="none"/>
        </w:rPr>
        <w:t>。</w:t>
      </w:r>
    </w:p>
    <w:p>
      <w:pPr>
        <w:pStyle w:val="54"/>
        <w:tabs>
          <w:tab w:val="left" w:pos="0"/>
        </w:tabs>
        <w:spacing w:before="0"/>
        <w:ind w:firstLine="480"/>
        <w:rPr>
          <w:rFonts w:ascii="宋体"/>
          <w:color w:val="auto"/>
          <w:highlight w:val="none"/>
          <w:lang w:val="zh-CN"/>
        </w:rPr>
      </w:pPr>
      <w:r>
        <w:rPr>
          <w:rFonts w:ascii="宋体" w:hAnsi="宋体" w:cs="宋体"/>
          <w:color w:val="auto"/>
          <w:highlight w:val="none"/>
        </w:rPr>
        <w:t>5.2</w:t>
      </w:r>
      <w:r>
        <w:rPr>
          <w:rFonts w:hint="eastAsia" w:ascii="宋体" w:hAnsi="宋体" w:cs="宋体"/>
          <w:color w:val="auto"/>
          <w:highlight w:val="none"/>
          <w:lang w:val="zh-CN"/>
        </w:rPr>
        <w:t>评标工作由评标委员会负责，并推选产生的组长主持；</w:t>
      </w:r>
    </w:p>
    <w:p>
      <w:pPr>
        <w:pStyle w:val="4"/>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5.3</w:t>
      </w:r>
      <w:r>
        <w:rPr>
          <w:rFonts w:hint="eastAsia" w:ascii="宋体" w:hAnsi="宋体" w:cs="宋体"/>
          <w:color w:val="auto"/>
          <w:sz w:val="24"/>
          <w:szCs w:val="24"/>
          <w:highlight w:val="none"/>
          <w:lang w:val="zh-CN"/>
        </w:rPr>
        <w:t>本次评标为在线评标。</w:t>
      </w:r>
    </w:p>
    <w:p>
      <w:pPr>
        <w:pStyle w:val="3"/>
        <w:numPr>
          <w:ilvl w:val="0"/>
          <w:numId w:val="17"/>
        </w:numPr>
        <w:jc w:val="center"/>
        <w:rPr>
          <w:rFonts w:cs="Times New Roman"/>
          <w:color w:val="auto"/>
          <w:highlight w:val="none"/>
        </w:rPr>
      </w:pPr>
      <w:r>
        <w:rPr>
          <w:color w:val="auto"/>
          <w:highlight w:val="none"/>
        </w:rPr>
        <w:t xml:space="preserve"> </w:t>
      </w:r>
      <w:bookmarkStart w:id="86" w:name="_Toc10093"/>
      <w:bookmarkStart w:id="87" w:name="_Toc1227"/>
      <w:r>
        <w:rPr>
          <w:rFonts w:hint="eastAsia"/>
          <w:color w:val="auto"/>
          <w:highlight w:val="none"/>
        </w:rPr>
        <w:t>磋商程序</w:t>
      </w:r>
      <w:bookmarkEnd w:id="86"/>
      <w:bookmarkEnd w:id="87"/>
    </w:p>
    <w:p>
      <w:pPr>
        <w:snapToGrid w:val="0"/>
        <w:spacing w:line="360" w:lineRule="auto"/>
        <w:ind w:firstLine="480"/>
        <w:rPr>
          <w:rFonts w:ascii="宋体"/>
          <w:b/>
          <w:bCs/>
          <w:color w:val="auto"/>
          <w:sz w:val="24"/>
          <w:szCs w:val="24"/>
          <w:highlight w:val="none"/>
        </w:rPr>
      </w:pPr>
      <w:r>
        <w:rPr>
          <w:rFonts w:ascii="宋体" w:hAnsi="宋体" w:cs="宋体"/>
          <w:b/>
          <w:bCs/>
          <w:color w:val="auto"/>
          <w:sz w:val="24"/>
          <w:szCs w:val="24"/>
          <w:highlight w:val="none"/>
        </w:rPr>
        <w:t>1</w:t>
      </w:r>
      <w:r>
        <w:rPr>
          <w:rFonts w:hint="eastAsia" w:ascii="宋体" w:hAnsi="宋体" w:cs="宋体"/>
          <w:b/>
          <w:bCs/>
          <w:color w:val="auto"/>
          <w:sz w:val="24"/>
          <w:szCs w:val="24"/>
          <w:highlight w:val="none"/>
        </w:rPr>
        <w:t>、对所有响应文件的初审</w:t>
      </w:r>
    </w:p>
    <w:p>
      <w:pPr>
        <w:adjustRightInd w:val="0"/>
        <w:snapToGrid w:val="0"/>
        <w:spacing w:line="360" w:lineRule="auto"/>
        <w:ind w:firstLine="480"/>
        <w:rPr>
          <w:rFonts w:ascii="宋体"/>
          <w:color w:val="auto"/>
          <w:sz w:val="24"/>
          <w:szCs w:val="24"/>
          <w:highlight w:val="none"/>
        </w:rPr>
      </w:pPr>
      <w:r>
        <w:rPr>
          <w:rFonts w:ascii="宋体" w:hAnsi="宋体" w:cs="宋体"/>
          <w:color w:val="auto"/>
          <w:sz w:val="24"/>
          <w:szCs w:val="24"/>
          <w:highlight w:val="none"/>
        </w:rPr>
        <w:t>1.1</w:t>
      </w:r>
      <w:r>
        <w:rPr>
          <w:rFonts w:hint="eastAsia" w:ascii="宋体" w:hAnsi="宋体" w:cs="宋体"/>
          <w:color w:val="auto"/>
          <w:sz w:val="24"/>
          <w:szCs w:val="24"/>
          <w:highlight w:val="none"/>
        </w:rPr>
        <w:t>资格审查</w:t>
      </w:r>
    </w:p>
    <w:p>
      <w:pPr>
        <w:adjustRightInd w:val="0"/>
        <w:snapToGrid w:val="0"/>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1</w:t>
      </w:r>
      <w:r>
        <w:rPr>
          <w:rFonts w:hint="eastAsia" w:ascii="宋体" w:hAnsi="宋体" w:cs="宋体"/>
          <w:color w:val="auto"/>
          <w:sz w:val="24"/>
          <w:szCs w:val="24"/>
          <w:highlight w:val="none"/>
        </w:rPr>
        <w:t>）开标后，磋商小组将依法对供应商的资格进行审查。</w:t>
      </w:r>
    </w:p>
    <w:p>
      <w:pPr>
        <w:adjustRightInd w:val="0"/>
        <w:snapToGrid w:val="0"/>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2</w:t>
      </w:r>
      <w:r>
        <w:rPr>
          <w:rFonts w:hint="eastAsia" w:ascii="宋体" w:hAnsi="宋体" w:cs="宋体"/>
          <w:color w:val="auto"/>
          <w:sz w:val="24"/>
          <w:szCs w:val="24"/>
          <w:highlight w:val="none"/>
        </w:rPr>
        <w:t>）磋商小组依据法律法规和磋商文件的规定，对供应商的基本资格条件、特定资格条件进行审查。</w:t>
      </w:r>
    </w:p>
    <w:p>
      <w:pPr>
        <w:adjustRightInd w:val="0"/>
        <w:snapToGrid w:val="0"/>
        <w:spacing w:line="360" w:lineRule="auto"/>
        <w:ind w:firstLine="480" w:firstLineChars="200"/>
        <w:rPr>
          <w:rFonts w:asci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3</w:t>
      </w:r>
      <w:r>
        <w:rPr>
          <w:rFonts w:hint="eastAsia" w:ascii="宋体" w:hAnsi="宋体" w:cs="宋体"/>
          <w:color w:val="auto"/>
          <w:sz w:val="24"/>
          <w:szCs w:val="24"/>
          <w:highlight w:val="none"/>
        </w:rPr>
        <w:t>）供应商未按照磋商文件要求提供与基本资格条件、特定资格条件相应的有效资格证明材料的，视为供应商不具备磋商文件中规定的资格要求，其磋商无效。并将无效原由告知相关供应商</w:t>
      </w:r>
      <w:r>
        <w:rPr>
          <w:rFonts w:ascii="宋体" w:cs="宋体"/>
          <w:color w:val="auto"/>
          <w:sz w:val="24"/>
          <w:szCs w:val="24"/>
          <w:highlight w:val="none"/>
        </w:rPr>
        <w:t>.</w:t>
      </w:r>
    </w:p>
    <w:p>
      <w:pPr>
        <w:adjustRightInd w:val="0"/>
        <w:snapToGrid w:val="0"/>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4</w:t>
      </w:r>
      <w:r>
        <w:rPr>
          <w:rFonts w:hint="eastAsia" w:ascii="宋体" w:hAnsi="宋体" w:cs="宋体"/>
          <w:color w:val="auto"/>
          <w:sz w:val="24"/>
          <w:szCs w:val="24"/>
          <w:highlight w:val="none"/>
        </w:rPr>
        <w:t>）采购人或采购代理机构将通过“信用中国”网站</w:t>
      </w:r>
      <w:r>
        <w:rPr>
          <w:rFonts w:ascii="宋体" w:hAnsi="宋体" w:cs="宋体"/>
          <w:color w:val="auto"/>
          <w:sz w:val="24"/>
          <w:szCs w:val="24"/>
          <w:highlight w:val="none"/>
        </w:rPr>
        <w:t>(www.creditchina.gov.cn)</w:t>
      </w:r>
      <w:r>
        <w:rPr>
          <w:rFonts w:hint="eastAsia" w:ascii="宋体" w:hAnsi="宋体" w:cs="宋体"/>
          <w:color w:val="auto"/>
          <w:sz w:val="24"/>
          <w:szCs w:val="24"/>
          <w:highlight w:val="none"/>
        </w:rPr>
        <w:t>、中国政府采购网</w:t>
      </w:r>
      <w:r>
        <w:rPr>
          <w:rFonts w:ascii="宋体" w:hAnsi="宋体" w:cs="宋体"/>
          <w:color w:val="auto"/>
          <w:sz w:val="24"/>
          <w:szCs w:val="24"/>
          <w:highlight w:val="none"/>
        </w:rPr>
        <w:t>(www.ccgp.gov.cn)</w:t>
      </w:r>
      <w:r>
        <w:rPr>
          <w:rFonts w:hint="eastAsia" w:ascii="宋体" w:hAnsi="宋体" w:cs="宋体"/>
          <w:color w:val="auto"/>
          <w:sz w:val="24"/>
          <w:szCs w:val="24"/>
          <w:highlight w:val="none"/>
        </w:rPr>
        <w:t>渠道查询供应商磋商开标后评标前的信用记录，经查询供应商列入失信被执行人名单、重大税收违法案件当事人名单、政府采购严重违法失信行为记录名单的，其磋商无效。</w:t>
      </w:r>
    </w:p>
    <w:p>
      <w:pPr>
        <w:adjustRightInd w:val="0"/>
        <w:snapToGrid w:val="0"/>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5</w:t>
      </w:r>
      <w:r>
        <w:rPr>
          <w:rFonts w:hint="eastAsia" w:ascii="宋体" w:hAnsi="宋体" w:cs="宋体"/>
          <w:color w:val="auto"/>
          <w:sz w:val="24"/>
          <w:szCs w:val="24"/>
          <w:highlight w:val="none"/>
        </w:rPr>
        <w:t>）磋商小组出具《供应商资格审查意见表》，供应商未按照磋商文件要求提供与基本资格条件、特定资格条件相应的有效资格证明材料的，视为供应商不具备磋商文件中规定的资格要求，其磋商无效。</w:t>
      </w:r>
    </w:p>
    <w:p>
      <w:pPr>
        <w:adjustRightInd w:val="0"/>
        <w:snapToGrid w:val="0"/>
        <w:spacing w:line="360" w:lineRule="auto"/>
        <w:ind w:firstLine="480"/>
        <w:rPr>
          <w:rFonts w:ascii="宋体"/>
          <w:color w:val="auto"/>
          <w:sz w:val="24"/>
          <w:szCs w:val="24"/>
          <w:highlight w:val="none"/>
        </w:rPr>
      </w:pPr>
      <w:r>
        <w:rPr>
          <w:rFonts w:ascii="宋体" w:hAnsi="宋体" w:cs="宋体"/>
          <w:color w:val="auto"/>
          <w:sz w:val="24"/>
          <w:szCs w:val="24"/>
          <w:highlight w:val="none"/>
        </w:rPr>
        <w:t>1.2</w:t>
      </w:r>
      <w:r>
        <w:rPr>
          <w:rFonts w:hint="eastAsia" w:ascii="宋体" w:hAnsi="宋体" w:cs="宋体"/>
          <w:color w:val="auto"/>
          <w:sz w:val="24"/>
          <w:szCs w:val="24"/>
          <w:highlight w:val="none"/>
        </w:rPr>
        <w:t>符合性审查：磋商小组依据磋商文件的规定，从响应文件的有效性、完整性和对磋商文件的响应程度进行审查，以确定是否对磋商文件的要求作出实质性响应。出现以下情况的，视为符合性不通过，磋商无效。</w:t>
      </w:r>
    </w:p>
    <w:p>
      <w:pPr>
        <w:adjustRightInd w:val="0"/>
        <w:snapToGrid w:val="0"/>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1</w:t>
      </w:r>
      <w:r>
        <w:rPr>
          <w:rFonts w:hint="eastAsia" w:ascii="宋体" w:hAnsi="宋体" w:cs="宋体"/>
          <w:color w:val="auto"/>
          <w:sz w:val="24"/>
          <w:szCs w:val="24"/>
          <w:highlight w:val="none"/>
        </w:rPr>
        <w:t>）响应文件无法定代表人或其委托授权代表签名或盖章。</w:t>
      </w:r>
    </w:p>
    <w:p>
      <w:pPr>
        <w:adjustRightInd w:val="0"/>
        <w:snapToGrid w:val="0"/>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2</w:t>
      </w:r>
      <w:r>
        <w:rPr>
          <w:rFonts w:hint="eastAsia" w:ascii="宋体" w:hAnsi="宋体" w:cs="宋体"/>
          <w:color w:val="auto"/>
          <w:sz w:val="24"/>
          <w:szCs w:val="24"/>
          <w:highlight w:val="none"/>
        </w:rPr>
        <w:t>）响应文件内容虚假的。</w:t>
      </w:r>
    </w:p>
    <w:p>
      <w:pPr>
        <w:adjustRightInd w:val="0"/>
        <w:snapToGrid w:val="0"/>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3</w:t>
      </w:r>
      <w:r>
        <w:rPr>
          <w:rFonts w:hint="eastAsia" w:ascii="宋体" w:hAnsi="宋体" w:cs="宋体"/>
          <w:color w:val="auto"/>
          <w:sz w:val="24"/>
          <w:szCs w:val="24"/>
          <w:highlight w:val="none"/>
        </w:rPr>
        <w:t>）响应文件有采购人不能接受的附加条件的。</w:t>
      </w:r>
    </w:p>
    <w:p>
      <w:pPr>
        <w:adjustRightInd w:val="0"/>
        <w:snapToGrid w:val="0"/>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4</w:t>
      </w:r>
      <w:r>
        <w:rPr>
          <w:rFonts w:hint="eastAsia" w:ascii="宋体" w:hAnsi="宋体" w:cs="宋体"/>
          <w:color w:val="auto"/>
          <w:sz w:val="24"/>
          <w:szCs w:val="24"/>
          <w:highlight w:val="none"/>
        </w:rPr>
        <w:t>）磋商有效期、服务期等商务条款不能满足磋商文件要求的。</w:t>
      </w:r>
    </w:p>
    <w:p>
      <w:pPr>
        <w:widowControl/>
        <w:spacing w:line="360" w:lineRule="auto"/>
        <w:ind w:firstLine="482"/>
        <w:jc w:val="left"/>
        <w:rPr>
          <w:rFonts w:ascii="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5</w:t>
      </w:r>
      <w:r>
        <w:rPr>
          <w:rFonts w:hint="eastAsia" w:ascii="宋体" w:hAnsi="宋体" w:cs="宋体"/>
          <w:color w:val="auto"/>
          <w:sz w:val="24"/>
          <w:szCs w:val="24"/>
          <w:highlight w:val="none"/>
        </w:rPr>
        <w:t>）投标价格超出预算或最高限价，导致采购单位无法支付的。</w:t>
      </w:r>
    </w:p>
    <w:p>
      <w:pPr>
        <w:widowControl/>
        <w:spacing w:line="360" w:lineRule="auto"/>
        <w:ind w:firstLine="482"/>
        <w:jc w:val="left"/>
        <w:rPr>
          <w:rFonts w:ascii="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6</w:t>
      </w:r>
      <w:r>
        <w:rPr>
          <w:rFonts w:hint="eastAsia" w:ascii="宋体" w:hAnsi="宋体" w:cs="宋体"/>
          <w:color w:val="auto"/>
          <w:sz w:val="24"/>
          <w:szCs w:val="24"/>
          <w:highlight w:val="none"/>
        </w:rPr>
        <w:t>）磋商文件明确规定的其他无效条款的。</w:t>
      </w:r>
    </w:p>
    <w:p>
      <w:pPr>
        <w:adjustRightInd w:val="0"/>
        <w:snapToGrid w:val="0"/>
        <w:spacing w:line="360" w:lineRule="auto"/>
        <w:ind w:firstLine="480"/>
        <w:rPr>
          <w:rFonts w:ascii="宋体"/>
          <w:color w:val="auto"/>
          <w:sz w:val="24"/>
          <w:szCs w:val="24"/>
          <w:highlight w:val="none"/>
        </w:rPr>
      </w:pPr>
      <w:r>
        <w:rPr>
          <w:rFonts w:ascii="宋体" w:hAnsi="宋体" w:cs="宋体"/>
          <w:color w:val="auto"/>
          <w:sz w:val="24"/>
          <w:szCs w:val="24"/>
          <w:highlight w:val="none"/>
        </w:rPr>
        <w:t xml:space="preserve">1.3 </w:t>
      </w:r>
      <w:r>
        <w:rPr>
          <w:rFonts w:hint="eastAsia" w:ascii="宋体" w:hAnsi="宋体" w:cs="宋体"/>
          <w:color w:val="auto"/>
          <w:sz w:val="24"/>
          <w:szCs w:val="24"/>
          <w:highlight w:val="none"/>
        </w:rPr>
        <w:t>磋商小组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pStyle w:val="54"/>
        <w:tabs>
          <w:tab w:val="left" w:pos="0"/>
        </w:tabs>
        <w:spacing w:before="0"/>
        <w:ind w:firstLine="480"/>
        <w:rPr>
          <w:rFonts w:ascii="宋体"/>
          <w:color w:val="auto"/>
          <w:highlight w:val="none"/>
        </w:rPr>
      </w:pPr>
      <w:r>
        <w:rPr>
          <w:rFonts w:ascii="宋体" w:hAnsi="宋体" w:cs="宋体"/>
          <w:color w:val="auto"/>
          <w:highlight w:val="none"/>
        </w:rPr>
        <w:t>1.4</w:t>
      </w:r>
      <w:r>
        <w:rPr>
          <w:rFonts w:hint="eastAsia" w:ascii="宋体" w:hAnsi="宋体" w:cs="宋体"/>
          <w:color w:val="auto"/>
          <w:highlight w:val="none"/>
        </w:rPr>
        <w:t>磋商小组要求供应商澄清、说明或者更正响应文件应当以书面形式发出。供应商的澄清、说明或者更正应当由法定代表人或其授权代表签字或者加盖公章。由授权代表签字的，应当附法定代表人授权书。</w:t>
      </w:r>
    </w:p>
    <w:p>
      <w:pPr>
        <w:snapToGrid w:val="0"/>
        <w:spacing w:line="360" w:lineRule="auto"/>
        <w:ind w:firstLine="480"/>
        <w:rPr>
          <w:rFonts w:ascii="宋体"/>
          <w:b/>
          <w:bCs/>
          <w:color w:val="auto"/>
          <w:sz w:val="24"/>
          <w:szCs w:val="24"/>
          <w:highlight w:val="none"/>
          <w:lang w:val="zh-CN"/>
        </w:rPr>
      </w:pPr>
      <w:r>
        <w:rPr>
          <w:rFonts w:ascii="宋体" w:hAnsi="宋体" w:cs="宋体"/>
          <w:b/>
          <w:bCs/>
          <w:color w:val="auto"/>
          <w:sz w:val="24"/>
          <w:szCs w:val="24"/>
          <w:highlight w:val="none"/>
        </w:rPr>
        <w:t>2</w:t>
      </w:r>
      <w:r>
        <w:rPr>
          <w:rFonts w:hint="eastAsia" w:ascii="宋体" w:hAnsi="宋体" w:cs="宋体"/>
          <w:b/>
          <w:bCs/>
          <w:color w:val="auto"/>
          <w:sz w:val="24"/>
          <w:szCs w:val="24"/>
          <w:highlight w:val="none"/>
          <w:lang w:val="zh-CN"/>
        </w:rPr>
        <w:t>、磋商</w:t>
      </w:r>
    </w:p>
    <w:p>
      <w:pPr>
        <w:snapToGrid w:val="0"/>
        <w:spacing w:line="360" w:lineRule="auto"/>
        <w:ind w:firstLine="480"/>
        <w:rPr>
          <w:rFonts w:ascii="宋体"/>
          <w:color w:val="auto"/>
          <w:sz w:val="24"/>
          <w:szCs w:val="24"/>
          <w:highlight w:val="none"/>
        </w:rPr>
      </w:pPr>
      <w:r>
        <w:rPr>
          <w:rFonts w:ascii="宋体" w:hAnsi="宋体" w:cs="宋体"/>
          <w:color w:val="auto"/>
          <w:sz w:val="24"/>
          <w:szCs w:val="24"/>
          <w:highlight w:val="none"/>
        </w:rPr>
        <w:t xml:space="preserve">2.1 </w:t>
      </w:r>
      <w:r>
        <w:rPr>
          <w:rFonts w:hint="eastAsia" w:ascii="宋体" w:hAnsi="宋体" w:cs="宋体"/>
          <w:color w:val="auto"/>
          <w:sz w:val="24"/>
          <w:szCs w:val="24"/>
          <w:highlight w:val="none"/>
        </w:rPr>
        <w:t>初审合格的供应商进入下一步的磋商活动。</w:t>
      </w:r>
    </w:p>
    <w:p>
      <w:pPr>
        <w:snapToGrid w:val="0"/>
        <w:spacing w:line="360" w:lineRule="auto"/>
        <w:ind w:firstLine="480"/>
        <w:rPr>
          <w:rFonts w:ascii="宋体"/>
          <w:color w:val="auto"/>
          <w:sz w:val="24"/>
          <w:szCs w:val="24"/>
          <w:highlight w:val="none"/>
        </w:rPr>
      </w:pPr>
      <w:r>
        <w:rPr>
          <w:rFonts w:ascii="宋体" w:hAnsi="宋体" w:cs="宋体"/>
          <w:color w:val="auto"/>
          <w:sz w:val="24"/>
          <w:szCs w:val="24"/>
          <w:highlight w:val="none"/>
        </w:rPr>
        <w:t xml:space="preserve">2.2 </w:t>
      </w:r>
      <w:r>
        <w:rPr>
          <w:rFonts w:hint="eastAsia" w:ascii="宋体" w:hAnsi="宋体" w:cs="宋体"/>
          <w:color w:val="auto"/>
          <w:sz w:val="24"/>
          <w:szCs w:val="24"/>
          <w:highlight w:val="none"/>
        </w:rPr>
        <w:t>磋商小组所有成员应当集中与单一供应商分别进行磋商，并给予所有参加磋商的供应商平等的磋商机会。</w:t>
      </w:r>
    </w:p>
    <w:p>
      <w:pPr>
        <w:snapToGrid w:val="0"/>
        <w:spacing w:line="360" w:lineRule="auto"/>
        <w:ind w:firstLine="480"/>
        <w:rPr>
          <w:rFonts w:ascii="宋体"/>
          <w:color w:val="auto"/>
          <w:sz w:val="24"/>
          <w:szCs w:val="24"/>
          <w:highlight w:val="none"/>
        </w:rPr>
      </w:pPr>
      <w:r>
        <w:rPr>
          <w:rFonts w:ascii="宋体" w:hAnsi="宋体" w:cs="宋体"/>
          <w:color w:val="auto"/>
          <w:sz w:val="24"/>
          <w:szCs w:val="24"/>
          <w:highlight w:val="none"/>
        </w:rPr>
        <w:t xml:space="preserve">2.3 </w:t>
      </w:r>
      <w:r>
        <w:rPr>
          <w:rFonts w:hint="eastAsia" w:ascii="宋体" w:hAnsi="宋体" w:cs="宋体"/>
          <w:color w:val="auto"/>
          <w:sz w:val="24"/>
          <w:szCs w:val="24"/>
          <w:highlight w:val="none"/>
        </w:rPr>
        <w:t>以递交响应文件的时间先后决定磋商顺序。磋商时先听取由供应商拟派的项目负责人就项目采购的重点内容进行磋商，磋商过程中由磋商小组成员提出相关问题，并由供应商拟派项目负责人进行回复与承诺。</w:t>
      </w:r>
      <w:r>
        <w:rPr>
          <w:rFonts w:ascii="宋体" w:hAnsi="宋体" w:cs="宋体"/>
          <w:color w:val="auto"/>
          <w:sz w:val="24"/>
          <w:szCs w:val="24"/>
          <w:highlight w:val="none"/>
        </w:rPr>
        <w:t xml:space="preserve"> </w:t>
      </w:r>
    </w:p>
    <w:p>
      <w:pPr>
        <w:snapToGrid w:val="0"/>
        <w:spacing w:line="360" w:lineRule="auto"/>
        <w:ind w:firstLine="480"/>
        <w:rPr>
          <w:rFonts w:ascii="宋体"/>
          <w:color w:val="auto"/>
          <w:sz w:val="24"/>
          <w:szCs w:val="24"/>
          <w:highlight w:val="none"/>
        </w:rPr>
      </w:pPr>
      <w:r>
        <w:rPr>
          <w:rFonts w:ascii="宋体" w:hAnsi="宋体" w:cs="宋体"/>
          <w:color w:val="auto"/>
          <w:sz w:val="24"/>
          <w:szCs w:val="24"/>
          <w:highlight w:val="none"/>
        </w:rPr>
        <w:t xml:space="preserve">2.4 </w:t>
      </w:r>
      <w:r>
        <w:rPr>
          <w:rFonts w:hint="eastAsia" w:ascii="宋体" w:hAnsi="宋体" w:cs="宋体"/>
          <w:color w:val="auto"/>
          <w:sz w:val="24"/>
          <w:szCs w:val="24"/>
          <w:highlight w:val="none"/>
        </w:rPr>
        <w:t>在磋商过程中，磋商小组可以根据磋商文件和磋商情况实质性变动采购需求中的技术、服务要求以及合同草案条款。实质性变动的内容，须经采购人代表确认。</w:t>
      </w:r>
    </w:p>
    <w:p>
      <w:pPr>
        <w:snapToGrid w:val="0"/>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 xml:space="preserve">2.5 </w:t>
      </w:r>
      <w:r>
        <w:rPr>
          <w:rFonts w:hint="eastAsia" w:ascii="宋体" w:hAnsi="宋体" w:cs="宋体"/>
          <w:color w:val="auto"/>
          <w:sz w:val="24"/>
          <w:szCs w:val="24"/>
          <w:highlight w:val="none"/>
        </w:rPr>
        <w:t>磋商文件作出的实质性变动是磋商文件的有效组成部分，磋商小组应当及时以书面形式同时通知所有参加磋商的供应商。</w:t>
      </w:r>
    </w:p>
    <w:p>
      <w:pPr>
        <w:snapToGrid w:val="0"/>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 xml:space="preserve">2.6 </w:t>
      </w:r>
      <w:r>
        <w:rPr>
          <w:rFonts w:hint="eastAsia" w:ascii="宋体" w:hAnsi="宋体" w:cs="宋体"/>
          <w:color w:val="auto"/>
          <w:sz w:val="24"/>
          <w:szCs w:val="24"/>
          <w:highlight w:val="none"/>
        </w:rPr>
        <w:t>供应商应当按照磋商文件的变动情况和磋商小组的要求重新提交响应文件，并由其法定代表人或授权代表签字或者加盖公章。由授权代表签字的，应当附法定代表人授权书。供应商为自然人的，应当由本人签字并附身份证明。</w:t>
      </w:r>
    </w:p>
    <w:p>
      <w:pPr>
        <w:snapToGrid w:val="0"/>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 xml:space="preserve">2.7 </w:t>
      </w:r>
      <w:r>
        <w:rPr>
          <w:rFonts w:hint="eastAsia" w:ascii="宋体" w:hAnsi="宋体" w:cs="宋体"/>
          <w:color w:val="auto"/>
          <w:sz w:val="24"/>
          <w:szCs w:val="24"/>
          <w:highlight w:val="none"/>
        </w:rPr>
        <w:t>符合《政府采购竞争性磋商采购方式管理暂行办法》（财库〔</w:t>
      </w:r>
      <w:r>
        <w:rPr>
          <w:rFonts w:ascii="宋体" w:hAnsi="宋体" w:cs="宋体"/>
          <w:color w:val="auto"/>
          <w:sz w:val="24"/>
          <w:szCs w:val="24"/>
          <w:highlight w:val="none"/>
        </w:rPr>
        <w:t>2014</w:t>
      </w:r>
      <w:r>
        <w:rPr>
          <w:rFonts w:hint="eastAsia" w:ascii="宋体" w:hAnsi="宋体" w:cs="宋体"/>
          <w:color w:val="auto"/>
          <w:sz w:val="24"/>
          <w:szCs w:val="24"/>
          <w:highlight w:val="none"/>
        </w:rPr>
        <w:t>〕</w:t>
      </w:r>
      <w:r>
        <w:rPr>
          <w:rFonts w:ascii="宋体" w:hAnsi="宋体" w:cs="宋体"/>
          <w:color w:val="auto"/>
          <w:sz w:val="24"/>
          <w:szCs w:val="24"/>
          <w:highlight w:val="none"/>
        </w:rPr>
        <w:t>214</w:t>
      </w:r>
      <w:r>
        <w:rPr>
          <w:rFonts w:hint="eastAsia" w:ascii="宋体" w:hAnsi="宋体" w:cs="宋体"/>
          <w:color w:val="auto"/>
          <w:sz w:val="24"/>
          <w:szCs w:val="24"/>
          <w:highlight w:val="none"/>
        </w:rPr>
        <w:t>号）第三条第四项即“市场竞争不充分的科研项目，以及需要扶持的科技成果转化项目”情形的，提交最后报价的供应商可以为</w:t>
      </w:r>
      <w:r>
        <w:rPr>
          <w:rFonts w:ascii="宋体" w:hAnsi="宋体" w:cs="宋体"/>
          <w:color w:val="auto"/>
          <w:sz w:val="24"/>
          <w:szCs w:val="24"/>
          <w:highlight w:val="none"/>
        </w:rPr>
        <w:t>2</w:t>
      </w:r>
      <w:r>
        <w:rPr>
          <w:rFonts w:hint="eastAsia" w:ascii="宋体" w:hAnsi="宋体" w:cs="宋体"/>
          <w:color w:val="auto"/>
          <w:sz w:val="24"/>
          <w:szCs w:val="24"/>
          <w:highlight w:val="none"/>
        </w:rPr>
        <w:t>家。</w:t>
      </w:r>
    </w:p>
    <w:p>
      <w:pPr>
        <w:snapToGrid w:val="0"/>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 xml:space="preserve">2.8 </w:t>
      </w:r>
      <w:r>
        <w:rPr>
          <w:rFonts w:hint="eastAsia" w:ascii="宋体" w:hAnsi="宋体" w:cs="宋体"/>
          <w:color w:val="auto"/>
          <w:sz w:val="24"/>
          <w:szCs w:val="24"/>
          <w:highlight w:val="none"/>
        </w:rPr>
        <w:t>采用竞争性磋商采购方式采购的政府购买服务项目（含政府和社会资本合作项目），在采购过程中符合要求的供应商（社会资本）只有</w:t>
      </w:r>
      <w:r>
        <w:rPr>
          <w:rFonts w:ascii="宋体" w:hAnsi="宋体" w:cs="宋体"/>
          <w:color w:val="auto"/>
          <w:sz w:val="24"/>
          <w:szCs w:val="24"/>
          <w:highlight w:val="none"/>
        </w:rPr>
        <w:t>2</w:t>
      </w:r>
      <w:r>
        <w:rPr>
          <w:rFonts w:hint="eastAsia" w:ascii="宋体" w:hAnsi="宋体" w:cs="宋体"/>
          <w:color w:val="auto"/>
          <w:sz w:val="24"/>
          <w:szCs w:val="24"/>
          <w:highlight w:val="none"/>
        </w:rPr>
        <w:t>家的，竞争性磋商采购活动可以继续进行。采购过程中符合要求的供应商（社会资本）只有</w:t>
      </w:r>
      <w:r>
        <w:rPr>
          <w:rFonts w:ascii="宋体" w:hAnsi="宋体" w:cs="宋体"/>
          <w:color w:val="auto"/>
          <w:sz w:val="24"/>
          <w:szCs w:val="24"/>
          <w:highlight w:val="none"/>
        </w:rPr>
        <w:t>1</w:t>
      </w:r>
      <w:r>
        <w:rPr>
          <w:rFonts w:hint="eastAsia" w:ascii="宋体" w:hAnsi="宋体" w:cs="宋体"/>
          <w:color w:val="auto"/>
          <w:sz w:val="24"/>
          <w:szCs w:val="24"/>
          <w:highlight w:val="none"/>
        </w:rPr>
        <w:t>家的，采购人（项目实施机构）或者采购代理机构应当终止竞争性磋商采购活动，发布项目终止公告并说明原因，重新开展采购活动。</w:t>
      </w:r>
    </w:p>
    <w:p>
      <w:pPr>
        <w:snapToGrid w:val="0"/>
        <w:spacing w:line="360" w:lineRule="auto"/>
        <w:ind w:firstLine="480"/>
        <w:rPr>
          <w:rFonts w:ascii="宋体"/>
          <w:b/>
          <w:bCs/>
          <w:color w:val="auto"/>
          <w:sz w:val="24"/>
          <w:szCs w:val="24"/>
          <w:highlight w:val="none"/>
          <w:lang w:val="zh-CN"/>
        </w:rPr>
      </w:pPr>
      <w:r>
        <w:rPr>
          <w:rFonts w:ascii="宋体" w:hAnsi="宋体" w:cs="宋体"/>
          <w:b/>
          <w:bCs/>
          <w:color w:val="auto"/>
          <w:sz w:val="24"/>
          <w:szCs w:val="24"/>
          <w:highlight w:val="none"/>
        </w:rPr>
        <w:t>3</w:t>
      </w:r>
      <w:r>
        <w:rPr>
          <w:rFonts w:hint="eastAsia" w:ascii="宋体" w:hAnsi="宋体" w:cs="宋体"/>
          <w:b/>
          <w:bCs/>
          <w:color w:val="auto"/>
          <w:sz w:val="24"/>
          <w:szCs w:val="24"/>
          <w:highlight w:val="none"/>
          <w:lang w:val="zh-CN"/>
        </w:rPr>
        <w:t>、最后报价</w:t>
      </w:r>
    </w:p>
    <w:p>
      <w:pPr>
        <w:snapToGrid w:val="0"/>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3.1</w:t>
      </w:r>
      <w:r>
        <w:rPr>
          <w:rFonts w:hint="eastAsia" w:ascii="宋体" w:hAnsi="宋体" w:cs="宋体"/>
          <w:color w:val="auto"/>
          <w:sz w:val="24"/>
          <w:szCs w:val="24"/>
          <w:highlight w:val="none"/>
        </w:rPr>
        <w:t>商务技术汇总后，供应商开启报价文件，磋商小组应当要求所有实质性响应的供应商在规定时间内提交最后报价。</w:t>
      </w:r>
    </w:p>
    <w:p>
      <w:pPr>
        <w:snapToGrid w:val="0"/>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3.2</w:t>
      </w:r>
      <w:r>
        <w:rPr>
          <w:rFonts w:hint="eastAsia" w:ascii="宋体" w:hAnsi="宋体" w:cs="宋体"/>
          <w:color w:val="auto"/>
          <w:sz w:val="24"/>
          <w:szCs w:val="24"/>
          <w:highlight w:val="none"/>
        </w:rPr>
        <w:t>最后报价是供应商响应文件的有效组成部分，若最后报价高于响应文件报价文件报价，则以第一次报价计入评分。</w:t>
      </w:r>
    </w:p>
    <w:p>
      <w:pPr>
        <w:snapToGrid w:val="0"/>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3.3</w:t>
      </w:r>
      <w:r>
        <w:rPr>
          <w:rFonts w:hint="eastAsia" w:ascii="宋体" w:hAnsi="宋体" w:cs="宋体"/>
          <w:color w:val="auto"/>
          <w:sz w:val="24"/>
          <w:szCs w:val="24"/>
          <w:highlight w:val="none"/>
        </w:rPr>
        <w:t>已提交响应文件的供应商，在提交最后报价之前，若因磋商文件实质性变动导致供应商无法满足采购需求的，允许供应商退出磋商。</w:t>
      </w:r>
    </w:p>
    <w:p>
      <w:pPr>
        <w:pStyle w:val="4"/>
        <w:spacing w:line="360" w:lineRule="auto"/>
        <w:ind w:firstLine="482" w:firstLineChars="200"/>
        <w:rPr>
          <w:rFonts w:ascii="宋体"/>
          <w:b/>
          <w:bCs/>
          <w:color w:val="auto"/>
          <w:sz w:val="24"/>
          <w:szCs w:val="24"/>
          <w:highlight w:val="none"/>
        </w:rPr>
      </w:pPr>
      <w:r>
        <w:rPr>
          <w:rFonts w:ascii="宋体" w:hAnsi="宋体" w:cs="宋体"/>
          <w:b/>
          <w:bCs/>
          <w:color w:val="auto"/>
          <w:sz w:val="24"/>
          <w:szCs w:val="24"/>
          <w:highlight w:val="none"/>
        </w:rPr>
        <w:t>4</w:t>
      </w:r>
      <w:r>
        <w:rPr>
          <w:rFonts w:hint="eastAsia" w:ascii="宋体" w:hAnsi="宋体" w:cs="宋体"/>
          <w:b/>
          <w:bCs/>
          <w:color w:val="auto"/>
          <w:sz w:val="24"/>
          <w:szCs w:val="24"/>
          <w:highlight w:val="none"/>
        </w:rPr>
        <w:t>、电子评标</w:t>
      </w:r>
    </w:p>
    <w:p>
      <w:pPr>
        <w:pStyle w:val="4"/>
        <w:spacing w:line="360" w:lineRule="auto"/>
        <w:ind w:firstLine="0"/>
        <w:rPr>
          <w:rFonts w:ascii="宋体"/>
          <w:color w:val="auto"/>
          <w:sz w:val="24"/>
          <w:szCs w:val="24"/>
          <w:highlight w:val="none"/>
        </w:rPr>
      </w:pPr>
      <w:r>
        <w:rPr>
          <w:rFonts w:ascii="宋体" w:hAnsi="宋体" w:cs="宋体"/>
          <w:color w:val="auto"/>
          <w:sz w:val="24"/>
          <w:szCs w:val="24"/>
          <w:highlight w:val="none"/>
        </w:rPr>
        <w:t xml:space="preserve">    4.1</w:t>
      </w:r>
      <w:r>
        <w:rPr>
          <w:rFonts w:hint="eastAsia" w:ascii="宋体" w:hAnsi="宋体" w:cs="宋体"/>
          <w:color w:val="auto"/>
          <w:sz w:val="24"/>
          <w:szCs w:val="24"/>
          <w:highlight w:val="none"/>
        </w:rPr>
        <w:t>磋商活动由采购代理机构主持</w:t>
      </w:r>
      <w:r>
        <w:rPr>
          <w:rFonts w:ascii="宋体" w:cs="宋体"/>
          <w:color w:val="auto"/>
          <w:sz w:val="24"/>
          <w:szCs w:val="24"/>
          <w:highlight w:val="none"/>
        </w:rPr>
        <w:t>,</w:t>
      </w:r>
      <w:r>
        <w:rPr>
          <w:rFonts w:hint="eastAsia" w:ascii="宋体" w:hAnsi="宋体" w:cs="宋体"/>
          <w:color w:val="auto"/>
          <w:sz w:val="24"/>
          <w:szCs w:val="24"/>
          <w:highlight w:val="none"/>
        </w:rPr>
        <w:t>磋商响应截止时间后</w:t>
      </w:r>
      <w:r>
        <w:rPr>
          <w:rFonts w:ascii="宋体" w:cs="宋体"/>
          <w:color w:val="auto"/>
          <w:sz w:val="24"/>
          <w:szCs w:val="24"/>
          <w:highlight w:val="none"/>
        </w:rPr>
        <w:t>,</w:t>
      </w:r>
      <w:r>
        <w:rPr>
          <w:rFonts w:hint="eastAsia" w:ascii="宋体" w:hAnsi="宋体" w:cs="宋体"/>
          <w:color w:val="auto"/>
          <w:sz w:val="24"/>
          <w:szCs w:val="24"/>
          <w:highlight w:val="none"/>
        </w:rPr>
        <w:t>供应商登录政采云平台对电子响应文件进行在线解密；</w:t>
      </w:r>
    </w:p>
    <w:p>
      <w:pPr>
        <w:pStyle w:val="4"/>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4.2</w:t>
      </w:r>
      <w:r>
        <w:rPr>
          <w:rFonts w:hint="eastAsia" w:ascii="宋体" w:hAnsi="宋体" w:cs="宋体"/>
          <w:color w:val="auto"/>
          <w:sz w:val="24"/>
          <w:szCs w:val="24"/>
          <w:highlight w:val="none"/>
        </w:rPr>
        <w:t>响应文件解密结束</w:t>
      </w:r>
      <w:r>
        <w:rPr>
          <w:rFonts w:ascii="宋体" w:cs="宋体"/>
          <w:color w:val="auto"/>
          <w:sz w:val="24"/>
          <w:szCs w:val="24"/>
          <w:highlight w:val="none"/>
        </w:rPr>
        <w:t>,</w:t>
      </w:r>
      <w:r>
        <w:rPr>
          <w:rFonts w:hint="eastAsia" w:ascii="宋体" w:hAnsi="宋体" w:cs="宋体"/>
          <w:color w:val="auto"/>
          <w:sz w:val="24"/>
          <w:szCs w:val="24"/>
          <w:highlight w:val="none"/>
        </w:rPr>
        <w:t>开启响应文件</w:t>
      </w:r>
      <w:r>
        <w:rPr>
          <w:rFonts w:ascii="宋体" w:cs="宋体"/>
          <w:color w:val="auto"/>
          <w:sz w:val="24"/>
          <w:szCs w:val="24"/>
          <w:highlight w:val="none"/>
        </w:rPr>
        <w:t>,</w:t>
      </w:r>
      <w:r>
        <w:rPr>
          <w:rFonts w:hint="eastAsia" w:ascii="宋体" w:hAnsi="宋体" w:cs="宋体"/>
          <w:color w:val="auto"/>
          <w:sz w:val="24"/>
          <w:szCs w:val="24"/>
          <w:highlight w:val="none"/>
        </w:rPr>
        <w:t>磋商小组对资格和商务技术响应文件进行资格审查和符合性审查；</w:t>
      </w:r>
    </w:p>
    <w:p>
      <w:pPr>
        <w:pStyle w:val="4"/>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4.3</w:t>
      </w:r>
      <w:r>
        <w:rPr>
          <w:rFonts w:hint="eastAsia" w:ascii="宋体" w:hAnsi="宋体" w:cs="宋体"/>
          <w:color w:val="auto"/>
          <w:sz w:val="24"/>
          <w:szCs w:val="24"/>
          <w:highlight w:val="none"/>
        </w:rPr>
        <w:t>供应商按递交磋商响应文件的前后顺序决定磋商的顺序</w:t>
      </w:r>
      <w:r>
        <w:rPr>
          <w:rFonts w:ascii="宋体" w:cs="宋体"/>
          <w:color w:val="auto"/>
          <w:sz w:val="24"/>
          <w:szCs w:val="24"/>
          <w:highlight w:val="none"/>
        </w:rPr>
        <w:t>,</w:t>
      </w:r>
      <w:r>
        <w:rPr>
          <w:rFonts w:hint="eastAsia" w:ascii="宋体" w:hAnsi="宋体" w:cs="宋体"/>
          <w:color w:val="auto"/>
          <w:sz w:val="24"/>
          <w:szCs w:val="24"/>
          <w:highlight w:val="none"/>
        </w:rPr>
        <w:t>就价格、服务等认为需要磋商的内容进行磋商</w:t>
      </w:r>
      <w:r>
        <w:rPr>
          <w:rFonts w:ascii="宋体" w:cs="宋体"/>
          <w:color w:val="auto"/>
          <w:sz w:val="24"/>
          <w:szCs w:val="24"/>
          <w:highlight w:val="none"/>
        </w:rPr>
        <w:t>,</w:t>
      </w:r>
      <w:r>
        <w:rPr>
          <w:rFonts w:hint="eastAsia" w:ascii="宋体" w:hAnsi="宋体" w:cs="宋体"/>
          <w:color w:val="auto"/>
          <w:sz w:val="24"/>
          <w:szCs w:val="24"/>
          <w:highlight w:val="none"/>
        </w:rPr>
        <w:t>供应商逐家回答磋商小组的提问</w:t>
      </w:r>
      <w:r>
        <w:rPr>
          <w:rFonts w:ascii="宋体" w:cs="宋体"/>
          <w:color w:val="auto"/>
          <w:sz w:val="24"/>
          <w:szCs w:val="24"/>
          <w:highlight w:val="none"/>
        </w:rPr>
        <w:t>,</w:t>
      </w:r>
      <w:r>
        <w:rPr>
          <w:rFonts w:hint="eastAsia" w:ascii="宋体" w:hAnsi="宋体" w:cs="宋体"/>
          <w:color w:val="auto"/>
          <w:sz w:val="24"/>
          <w:szCs w:val="24"/>
          <w:highlight w:val="none"/>
        </w:rPr>
        <w:t>供应商作出最终承诺；</w:t>
      </w:r>
    </w:p>
    <w:p>
      <w:pPr>
        <w:pStyle w:val="4"/>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4.4</w:t>
      </w:r>
      <w:r>
        <w:rPr>
          <w:rFonts w:hint="eastAsia" w:ascii="宋体" w:hAnsi="宋体" w:cs="宋体"/>
          <w:color w:val="auto"/>
          <w:sz w:val="24"/>
          <w:szCs w:val="24"/>
          <w:highlight w:val="none"/>
        </w:rPr>
        <w:t>磋商小组对商务技术响应文件进行评审；</w:t>
      </w:r>
    </w:p>
    <w:p>
      <w:pPr>
        <w:pStyle w:val="4"/>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4.5</w:t>
      </w:r>
      <w:r>
        <w:rPr>
          <w:rFonts w:hint="eastAsia" w:ascii="宋体" w:hAnsi="宋体" w:cs="宋体"/>
          <w:color w:val="auto"/>
          <w:sz w:val="24"/>
          <w:szCs w:val="24"/>
          <w:highlight w:val="none"/>
        </w:rPr>
        <w:t>商务技术汇总后，供应商开启报价文件，进行磋商二次报价（最终报价），</w:t>
      </w:r>
      <w:r>
        <w:rPr>
          <w:rFonts w:hint="eastAsia" w:ascii="宋体" w:hAnsi="宋体" w:cs="宋体"/>
          <w:b/>
          <w:bCs/>
          <w:color w:val="auto"/>
          <w:sz w:val="24"/>
          <w:szCs w:val="24"/>
          <w:highlight w:val="none"/>
        </w:rPr>
        <w:t>如果供应商在规定时间</w:t>
      </w:r>
      <w:r>
        <w:rPr>
          <w:rFonts w:ascii="宋体" w:hAnsi="宋体" w:cs="宋体"/>
          <w:b/>
          <w:bCs/>
          <w:color w:val="auto"/>
          <w:sz w:val="24"/>
          <w:szCs w:val="24"/>
          <w:highlight w:val="none"/>
        </w:rPr>
        <w:t>30</w:t>
      </w:r>
      <w:r>
        <w:rPr>
          <w:rFonts w:hint="eastAsia" w:ascii="宋体" w:hAnsi="宋体" w:cs="宋体"/>
          <w:b/>
          <w:bCs/>
          <w:color w:val="auto"/>
          <w:sz w:val="24"/>
          <w:szCs w:val="24"/>
          <w:highlight w:val="none"/>
        </w:rPr>
        <w:t>分钟内未提交第二次报价，视该供应商放弃本次投标，作无效标处理</w:t>
      </w:r>
      <w:r>
        <w:rPr>
          <w:rFonts w:hint="eastAsia" w:ascii="宋体" w:hAnsi="宋体" w:cs="宋体"/>
          <w:color w:val="auto"/>
          <w:sz w:val="24"/>
          <w:szCs w:val="24"/>
          <w:highlight w:val="none"/>
        </w:rPr>
        <w:t>；</w:t>
      </w:r>
    </w:p>
    <w:p>
      <w:pPr>
        <w:pStyle w:val="4"/>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4.6</w:t>
      </w:r>
      <w:r>
        <w:rPr>
          <w:rFonts w:hint="eastAsia" w:ascii="宋体" w:hAnsi="宋体" w:cs="宋体"/>
          <w:color w:val="auto"/>
          <w:sz w:val="24"/>
          <w:szCs w:val="24"/>
          <w:highlight w:val="none"/>
        </w:rPr>
        <w:t>在系统上开启最终报价情况；</w:t>
      </w:r>
    </w:p>
    <w:p>
      <w:pPr>
        <w:pStyle w:val="4"/>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4.7</w:t>
      </w:r>
      <w:r>
        <w:rPr>
          <w:rFonts w:hint="eastAsia" w:ascii="宋体" w:hAnsi="宋体" w:cs="宋体"/>
          <w:color w:val="auto"/>
          <w:sz w:val="24"/>
          <w:szCs w:val="24"/>
          <w:highlight w:val="none"/>
        </w:rPr>
        <w:t>磋商小组对报价情况进行评审；</w:t>
      </w:r>
    </w:p>
    <w:p>
      <w:pPr>
        <w:pStyle w:val="4"/>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4.8</w:t>
      </w:r>
      <w:r>
        <w:rPr>
          <w:rFonts w:hint="eastAsia" w:ascii="宋体" w:hAnsi="宋体" w:cs="宋体"/>
          <w:color w:val="auto"/>
          <w:sz w:val="24"/>
          <w:szCs w:val="24"/>
          <w:highlight w:val="none"/>
        </w:rPr>
        <w:t>在系统上公开资格和商务技术评审结果；</w:t>
      </w:r>
    </w:p>
    <w:p>
      <w:pPr>
        <w:pStyle w:val="4"/>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4.9</w:t>
      </w:r>
      <w:r>
        <w:rPr>
          <w:rFonts w:hint="eastAsia" w:ascii="宋体" w:hAnsi="宋体" w:cs="宋体"/>
          <w:color w:val="auto"/>
          <w:sz w:val="24"/>
          <w:szCs w:val="24"/>
          <w:highlight w:val="none"/>
        </w:rPr>
        <w:t>在系统上公布评审结果。</w:t>
      </w:r>
    </w:p>
    <w:p>
      <w:pPr>
        <w:pStyle w:val="4"/>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4.10</w:t>
      </w:r>
      <w:r>
        <w:rPr>
          <w:rFonts w:hint="eastAsia" w:ascii="宋体" w:hAnsi="宋体" w:cs="宋体"/>
          <w:color w:val="auto"/>
          <w:sz w:val="24"/>
          <w:szCs w:val="24"/>
          <w:highlight w:val="none"/>
        </w:rPr>
        <w:t>开标会结束。</w:t>
      </w:r>
    </w:p>
    <w:p>
      <w:pPr>
        <w:snapToGrid w:val="0"/>
        <w:spacing w:line="360" w:lineRule="auto"/>
        <w:ind w:firstLine="480" w:firstLineChars="200"/>
        <w:rPr>
          <w:rFonts w:ascii="宋体"/>
          <w:b/>
          <w:bCs/>
          <w:color w:val="auto"/>
          <w:sz w:val="24"/>
          <w:szCs w:val="24"/>
          <w:highlight w:val="none"/>
        </w:rPr>
      </w:pPr>
      <w:r>
        <w:rPr>
          <w:rFonts w:hint="eastAsia" w:ascii="宋体" w:hAnsi="宋体" w:cs="宋体"/>
          <w:color w:val="auto"/>
          <w:sz w:val="24"/>
          <w:szCs w:val="24"/>
          <w:highlight w:val="none"/>
        </w:rPr>
        <w:t>特别说明</w:t>
      </w:r>
      <w:r>
        <w:rPr>
          <w:rFonts w:ascii="宋体" w:hAnsi="宋体" w:cs="宋体"/>
          <w:color w:val="auto"/>
          <w:sz w:val="24"/>
          <w:szCs w:val="24"/>
          <w:highlight w:val="none"/>
        </w:rPr>
        <w:t>:</w:t>
      </w:r>
      <w:r>
        <w:rPr>
          <w:rFonts w:hint="eastAsia" w:ascii="宋体" w:hAnsi="宋体" w:cs="宋体"/>
          <w:color w:val="auto"/>
          <w:sz w:val="24"/>
          <w:szCs w:val="24"/>
          <w:highlight w:val="none"/>
        </w:rPr>
        <w:t>政采云如对电子化开标及评审程序有调整的</w:t>
      </w:r>
      <w:r>
        <w:rPr>
          <w:rFonts w:ascii="宋体" w:cs="宋体"/>
          <w:color w:val="auto"/>
          <w:sz w:val="24"/>
          <w:szCs w:val="24"/>
          <w:highlight w:val="none"/>
        </w:rPr>
        <w:t>,</w:t>
      </w:r>
      <w:r>
        <w:rPr>
          <w:rFonts w:hint="eastAsia" w:ascii="宋体" w:hAnsi="宋体" w:cs="宋体"/>
          <w:color w:val="auto"/>
          <w:sz w:val="24"/>
          <w:szCs w:val="24"/>
          <w:highlight w:val="none"/>
        </w:rPr>
        <w:t>按调整后的程序操作。</w:t>
      </w:r>
    </w:p>
    <w:p>
      <w:pPr>
        <w:snapToGrid w:val="0"/>
        <w:spacing w:line="360" w:lineRule="auto"/>
        <w:ind w:firstLine="482" w:firstLineChars="200"/>
        <w:rPr>
          <w:rFonts w:ascii="宋体"/>
          <w:b/>
          <w:bCs/>
          <w:color w:val="auto"/>
          <w:sz w:val="24"/>
          <w:szCs w:val="24"/>
          <w:highlight w:val="none"/>
        </w:rPr>
      </w:pPr>
      <w:r>
        <w:rPr>
          <w:rFonts w:ascii="宋体" w:hAnsi="宋体" w:cs="宋体"/>
          <w:b/>
          <w:bCs/>
          <w:color w:val="auto"/>
          <w:sz w:val="24"/>
          <w:szCs w:val="24"/>
          <w:highlight w:val="none"/>
        </w:rPr>
        <w:t>5</w:t>
      </w:r>
      <w:r>
        <w:rPr>
          <w:rFonts w:ascii="宋体" w:cs="宋体"/>
          <w:b/>
          <w:bCs/>
          <w:color w:val="auto"/>
          <w:sz w:val="24"/>
          <w:szCs w:val="24"/>
          <w:highlight w:val="none"/>
        </w:rPr>
        <w:t>.</w:t>
      </w:r>
      <w:r>
        <w:rPr>
          <w:rFonts w:hint="eastAsia" w:ascii="宋体" w:hAnsi="宋体" w:cs="宋体"/>
          <w:b/>
          <w:bCs/>
          <w:color w:val="auto"/>
          <w:sz w:val="24"/>
          <w:szCs w:val="24"/>
          <w:highlight w:val="none"/>
        </w:rPr>
        <w:t>综合评分</w:t>
      </w:r>
    </w:p>
    <w:p>
      <w:pPr>
        <w:tabs>
          <w:tab w:val="left" w:pos="-1080"/>
          <w:tab w:val="left" w:pos="180"/>
          <w:tab w:val="left" w:pos="1080"/>
        </w:tabs>
        <w:snapToGrid w:val="0"/>
        <w:spacing w:line="360" w:lineRule="auto"/>
        <w:ind w:firstLine="480"/>
        <w:rPr>
          <w:rFonts w:ascii="宋体"/>
          <w:color w:val="auto"/>
          <w:kern w:val="0"/>
          <w:sz w:val="24"/>
          <w:szCs w:val="24"/>
          <w:highlight w:val="none"/>
        </w:rPr>
      </w:pPr>
      <w:r>
        <w:rPr>
          <w:rFonts w:ascii="宋体" w:hAnsi="宋体" w:cs="宋体"/>
          <w:color w:val="auto"/>
          <w:sz w:val="24"/>
          <w:szCs w:val="24"/>
          <w:highlight w:val="none"/>
        </w:rPr>
        <w:t>5.1</w:t>
      </w:r>
      <w:r>
        <w:rPr>
          <w:rFonts w:hint="eastAsia" w:ascii="宋体" w:hAnsi="宋体" w:cs="宋体"/>
          <w:color w:val="auto"/>
          <w:sz w:val="24"/>
          <w:szCs w:val="24"/>
          <w:highlight w:val="none"/>
        </w:rPr>
        <w:t>本评标办法采用综合评标法，由商务技术分和报价分合计组成，其中商务技术分</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rPr>
        <w:t>80</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rPr>
        <w:t>分、报价分</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rPr>
        <w:t>20</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rPr>
        <w:t>分；满分为</w:t>
      </w:r>
      <w:r>
        <w:rPr>
          <w:rFonts w:ascii="宋体" w:hAnsi="宋体" w:cs="宋体"/>
          <w:color w:val="auto"/>
          <w:sz w:val="24"/>
          <w:szCs w:val="24"/>
          <w:highlight w:val="none"/>
        </w:rPr>
        <w:t>100</w:t>
      </w:r>
      <w:r>
        <w:rPr>
          <w:rFonts w:hint="eastAsia" w:ascii="宋体" w:hAnsi="宋体" w:cs="宋体"/>
          <w:color w:val="auto"/>
          <w:sz w:val="24"/>
          <w:szCs w:val="24"/>
          <w:highlight w:val="none"/>
        </w:rPr>
        <w:t>分。</w:t>
      </w:r>
    </w:p>
    <w:p>
      <w:pPr>
        <w:spacing w:line="360" w:lineRule="auto"/>
        <w:ind w:firstLine="480"/>
        <w:rPr>
          <w:rFonts w:ascii="宋体"/>
          <w:color w:val="auto"/>
          <w:sz w:val="24"/>
          <w:szCs w:val="24"/>
          <w:highlight w:val="none"/>
        </w:rPr>
      </w:pPr>
      <w:r>
        <w:rPr>
          <w:rFonts w:ascii="宋体" w:hAnsi="宋体" w:cs="宋体"/>
          <w:color w:val="auto"/>
          <w:sz w:val="24"/>
          <w:szCs w:val="24"/>
          <w:highlight w:val="none"/>
        </w:rPr>
        <w:t>5.2</w:t>
      </w:r>
      <w:r>
        <w:rPr>
          <w:rFonts w:hint="eastAsia" w:ascii="宋体" w:hAnsi="宋体" w:cs="宋体"/>
          <w:color w:val="auto"/>
          <w:sz w:val="24"/>
          <w:szCs w:val="24"/>
          <w:highlight w:val="none"/>
        </w:rPr>
        <w:t>经初步评审合格的响应文件，磋商小组根据竞争性磋商文件确定的评审标准和方法，对其商务技术部分作进一步评审、比较、打分。</w:t>
      </w:r>
    </w:p>
    <w:p>
      <w:pPr>
        <w:pStyle w:val="15"/>
        <w:spacing w:line="360" w:lineRule="auto"/>
        <w:ind w:firstLine="480" w:firstLineChars="200"/>
        <w:rPr>
          <w:rFonts w:hAnsi="宋体" w:cs="Times New Roman"/>
          <w:color w:val="auto"/>
          <w:sz w:val="24"/>
          <w:szCs w:val="24"/>
          <w:highlight w:val="none"/>
        </w:rPr>
      </w:pPr>
      <w:r>
        <w:rPr>
          <w:rFonts w:hAnsi="宋体"/>
          <w:color w:val="auto"/>
          <w:sz w:val="24"/>
          <w:szCs w:val="24"/>
          <w:highlight w:val="none"/>
        </w:rPr>
        <w:t>5.3</w:t>
      </w:r>
      <w:r>
        <w:rPr>
          <w:rFonts w:hint="eastAsia" w:hAnsi="宋体"/>
          <w:color w:val="auto"/>
          <w:sz w:val="24"/>
          <w:szCs w:val="24"/>
          <w:highlight w:val="none"/>
        </w:rPr>
        <w:t>磋商小组成员首先分别对每个供应商商务技术部分进行评审打分，然后计算出算术平均值（保留</w:t>
      </w:r>
      <w:r>
        <w:rPr>
          <w:rFonts w:hAnsi="宋体"/>
          <w:color w:val="auto"/>
          <w:sz w:val="24"/>
          <w:szCs w:val="24"/>
          <w:highlight w:val="none"/>
        </w:rPr>
        <w:t>2</w:t>
      </w:r>
      <w:r>
        <w:rPr>
          <w:rFonts w:hint="eastAsia" w:hAnsi="宋体"/>
          <w:color w:val="auto"/>
          <w:sz w:val="24"/>
          <w:szCs w:val="24"/>
          <w:highlight w:val="none"/>
        </w:rPr>
        <w:t>位小数），即为供应商的商务技术得分，后计算二次报价，计算公式：投标价格分</w:t>
      </w:r>
      <w:r>
        <w:rPr>
          <w:rFonts w:hAnsi="宋体"/>
          <w:color w:val="auto"/>
          <w:sz w:val="24"/>
          <w:szCs w:val="24"/>
          <w:highlight w:val="none"/>
        </w:rPr>
        <w:t>=(</w:t>
      </w:r>
      <w:r>
        <w:rPr>
          <w:rFonts w:hint="eastAsia" w:hAnsi="宋体"/>
          <w:color w:val="auto"/>
          <w:sz w:val="24"/>
          <w:szCs w:val="24"/>
          <w:highlight w:val="none"/>
        </w:rPr>
        <w:t>最佳报价</w:t>
      </w:r>
      <w:r>
        <w:rPr>
          <w:rFonts w:hAnsi="宋体"/>
          <w:color w:val="auto"/>
          <w:sz w:val="24"/>
          <w:szCs w:val="24"/>
          <w:highlight w:val="none"/>
        </w:rPr>
        <w:t>/</w:t>
      </w:r>
      <w:r>
        <w:rPr>
          <w:rFonts w:hint="eastAsia" w:hAnsi="宋体"/>
          <w:color w:val="auto"/>
          <w:sz w:val="24"/>
          <w:szCs w:val="24"/>
          <w:highlight w:val="none"/>
        </w:rPr>
        <w:t>投标报价</w:t>
      </w:r>
      <w:r>
        <w:rPr>
          <w:rFonts w:hAnsi="宋体"/>
          <w:color w:val="auto"/>
          <w:sz w:val="24"/>
          <w:szCs w:val="24"/>
          <w:highlight w:val="none"/>
        </w:rPr>
        <w:t>)*</w:t>
      </w:r>
      <w:r>
        <w:rPr>
          <w:rFonts w:hint="eastAsia" w:hAnsi="宋体"/>
          <w:color w:val="auto"/>
          <w:sz w:val="24"/>
          <w:szCs w:val="24"/>
          <w:highlight w:val="none"/>
        </w:rPr>
        <w:t>价格权值</w:t>
      </w:r>
      <w:r>
        <w:rPr>
          <w:rFonts w:hAnsi="宋体"/>
          <w:color w:val="auto"/>
          <w:sz w:val="24"/>
          <w:szCs w:val="24"/>
          <w:highlight w:val="none"/>
        </w:rPr>
        <w:t>*100</w:t>
      </w:r>
      <w:r>
        <w:rPr>
          <w:rFonts w:hint="eastAsia" w:hAnsi="宋体"/>
          <w:color w:val="auto"/>
          <w:sz w:val="24"/>
          <w:szCs w:val="24"/>
          <w:highlight w:val="none"/>
        </w:rPr>
        <w:t>。，综合得分</w:t>
      </w:r>
      <w:r>
        <w:rPr>
          <w:rFonts w:hAnsi="宋体"/>
          <w:color w:val="auto"/>
          <w:sz w:val="24"/>
          <w:szCs w:val="24"/>
          <w:highlight w:val="none"/>
        </w:rPr>
        <w:t>=</w:t>
      </w:r>
      <w:r>
        <w:rPr>
          <w:rFonts w:hint="eastAsia" w:hAnsi="宋体"/>
          <w:color w:val="auto"/>
          <w:sz w:val="24"/>
          <w:szCs w:val="24"/>
          <w:highlight w:val="none"/>
        </w:rPr>
        <w:t>商务技术分</w:t>
      </w:r>
      <w:r>
        <w:rPr>
          <w:rFonts w:hAnsi="宋体"/>
          <w:color w:val="auto"/>
          <w:sz w:val="24"/>
          <w:szCs w:val="24"/>
          <w:highlight w:val="none"/>
        </w:rPr>
        <w:t>+</w:t>
      </w:r>
      <w:r>
        <w:rPr>
          <w:rFonts w:hint="eastAsia" w:hAnsi="宋体"/>
          <w:color w:val="auto"/>
          <w:sz w:val="24"/>
          <w:szCs w:val="24"/>
          <w:highlight w:val="none"/>
        </w:rPr>
        <w:t>报价分，以综合得分（保留</w:t>
      </w:r>
      <w:r>
        <w:rPr>
          <w:rFonts w:hAnsi="宋体"/>
          <w:color w:val="auto"/>
          <w:sz w:val="24"/>
          <w:szCs w:val="24"/>
          <w:highlight w:val="none"/>
        </w:rPr>
        <w:t>2</w:t>
      </w:r>
      <w:r>
        <w:rPr>
          <w:rFonts w:hint="eastAsia" w:hAnsi="宋体"/>
          <w:color w:val="auto"/>
          <w:sz w:val="24"/>
          <w:szCs w:val="24"/>
          <w:highlight w:val="none"/>
        </w:rPr>
        <w:t>位小数）由高到低进行排序后推荐第一名为成交供应商候选人；得分相同的，按报价由低到高的顺序排列；得分且报价相同的，在响应文件满足磋商文件全部实质性要求前提下，按照评审因素的量化指标评审得分最高的供应商；确定成交供应商候选人，并提交评审结果。</w:t>
      </w:r>
    </w:p>
    <w:p>
      <w:pPr>
        <w:pStyle w:val="15"/>
        <w:spacing w:line="360" w:lineRule="auto"/>
        <w:ind w:left="420" w:leftChars="200"/>
        <w:rPr>
          <w:rFonts w:hAnsi="宋体" w:cs="Times New Roman"/>
          <w:b/>
          <w:bCs/>
          <w:color w:val="auto"/>
          <w:sz w:val="24"/>
          <w:szCs w:val="24"/>
          <w:highlight w:val="none"/>
        </w:rPr>
      </w:pPr>
      <w:r>
        <w:rPr>
          <w:rFonts w:hAnsi="宋体"/>
          <w:b/>
          <w:bCs/>
          <w:color w:val="auto"/>
          <w:sz w:val="24"/>
          <w:szCs w:val="24"/>
          <w:highlight w:val="none"/>
        </w:rPr>
        <w:t>6</w:t>
      </w:r>
      <w:r>
        <w:rPr>
          <w:rFonts w:hint="eastAsia" w:hAnsi="宋体"/>
          <w:b/>
          <w:bCs/>
          <w:color w:val="auto"/>
          <w:sz w:val="24"/>
          <w:szCs w:val="24"/>
          <w:highlight w:val="none"/>
        </w:rPr>
        <w:t>、修正原则</w:t>
      </w:r>
    </w:p>
    <w:p>
      <w:pPr>
        <w:pStyle w:val="54"/>
        <w:spacing w:before="0"/>
        <w:ind w:left="420" w:leftChars="200" w:firstLine="0" w:firstLineChars="0"/>
        <w:rPr>
          <w:rFonts w:ascii="宋体"/>
          <w:color w:val="auto"/>
          <w:highlight w:val="none"/>
          <w:lang w:val="zh-CN"/>
        </w:rPr>
      </w:pPr>
      <w:r>
        <w:rPr>
          <w:rFonts w:hint="eastAsia" w:ascii="宋体" w:hAnsi="宋体" w:cs="宋体"/>
          <w:color w:val="auto"/>
          <w:highlight w:val="none"/>
        </w:rPr>
        <w:t>响应</w:t>
      </w:r>
      <w:r>
        <w:rPr>
          <w:rFonts w:hint="eastAsia" w:ascii="宋体" w:hAnsi="宋体" w:cs="宋体"/>
          <w:color w:val="auto"/>
          <w:highlight w:val="none"/>
          <w:lang w:val="zh-CN"/>
        </w:rPr>
        <w:t>文件报价出现前后不一致的，按照下列规定修正：</w:t>
      </w:r>
    </w:p>
    <w:p>
      <w:pPr>
        <w:pStyle w:val="54"/>
        <w:tabs>
          <w:tab w:val="left" w:pos="0"/>
        </w:tabs>
        <w:spacing w:before="0"/>
        <w:ind w:firstLine="480"/>
        <w:rPr>
          <w:rFonts w:ascii="宋体"/>
          <w:color w:val="auto"/>
          <w:highlight w:val="none"/>
          <w:lang w:val="zh-CN"/>
        </w:rPr>
      </w:pPr>
      <w:r>
        <w:rPr>
          <w:rFonts w:ascii="宋体" w:hAnsi="宋体" w:cs="宋体"/>
          <w:color w:val="auto"/>
          <w:highlight w:val="none"/>
        </w:rPr>
        <w:t>6.1</w:t>
      </w:r>
      <w:r>
        <w:rPr>
          <w:rFonts w:hint="eastAsia" w:ascii="宋体" w:hAnsi="宋体" w:cs="宋体"/>
          <w:color w:val="auto"/>
          <w:highlight w:val="none"/>
        </w:rPr>
        <w:t>响应</w:t>
      </w:r>
      <w:r>
        <w:rPr>
          <w:rFonts w:hint="eastAsia" w:ascii="宋体" w:hAnsi="宋体" w:cs="宋体"/>
          <w:color w:val="auto"/>
          <w:highlight w:val="none"/>
          <w:lang w:val="zh-CN"/>
        </w:rPr>
        <w:t>文件中</w:t>
      </w:r>
      <w:r>
        <w:rPr>
          <w:rFonts w:hint="eastAsia" w:ascii="宋体" w:hAnsi="宋体" w:cs="宋体"/>
          <w:color w:val="auto"/>
          <w:highlight w:val="none"/>
        </w:rPr>
        <w:t>报价</w:t>
      </w:r>
      <w:r>
        <w:rPr>
          <w:rFonts w:hint="eastAsia" w:ascii="宋体" w:hAnsi="宋体" w:cs="宋体"/>
          <w:color w:val="auto"/>
          <w:highlight w:val="none"/>
          <w:lang w:val="zh-CN"/>
        </w:rPr>
        <w:t>一览表内容与</w:t>
      </w:r>
      <w:r>
        <w:rPr>
          <w:rFonts w:hint="eastAsia" w:ascii="宋体" w:hAnsi="宋体" w:cs="宋体"/>
          <w:color w:val="auto"/>
          <w:highlight w:val="none"/>
        </w:rPr>
        <w:t>响应</w:t>
      </w:r>
      <w:r>
        <w:rPr>
          <w:rFonts w:hint="eastAsia" w:ascii="宋体" w:hAnsi="宋体" w:cs="宋体"/>
          <w:color w:val="auto"/>
          <w:highlight w:val="none"/>
          <w:lang w:val="zh-CN"/>
        </w:rPr>
        <w:t>文件中相应内容不一致的，以</w:t>
      </w:r>
      <w:r>
        <w:rPr>
          <w:rFonts w:hint="eastAsia" w:ascii="宋体" w:hAnsi="宋体" w:cs="宋体"/>
          <w:color w:val="auto"/>
          <w:highlight w:val="none"/>
        </w:rPr>
        <w:t>报价</w:t>
      </w:r>
      <w:r>
        <w:rPr>
          <w:rFonts w:hint="eastAsia" w:ascii="宋体" w:hAnsi="宋体" w:cs="宋体"/>
          <w:color w:val="auto"/>
          <w:highlight w:val="none"/>
          <w:lang w:val="zh-CN"/>
        </w:rPr>
        <w:t>一览表为准；</w:t>
      </w:r>
    </w:p>
    <w:p>
      <w:pPr>
        <w:pStyle w:val="54"/>
        <w:tabs>
          <w:tab w:val="left" w:pos="0"/>
        </w:tabs>
        <w:spacing w:before="0"/>
        <w:ind w:firstLine="480"/>
        <w:rPr>
          <w:rFonts w:ascii="宋体"/>
          <w:color w:val="auto"/>
          <w:highlight w:val="none"/>
          <w:lang w:val="zh-CN"/>
        </w:rPr>
      </w:pPr>
      <w:r>
        <w:rPr>
          <w:rFonts w:ascii="宋体" w:hAnsi="宋体" w:cs="宋体"/>
          <w:color w:val="auto"/>
          <w:highlight w:val="none"/>
        </w:rPr>
        <w:t>6.2</w:t>
      </w:r>
      <w:r>
        <w:rPr>
          <w:rFonts w:hint="eastAsia" w:ascii="宋体" w:hAnsi="宋体" w:cs="宋体"/>
          <w:color w:val="auto"/>
          <w:highlight w:val="none"/>
          <w:lang w:val="zh-CN"/>
        </w:rPr>
        <w:t>大写金额和小写金额不一致的，以大写金额为准；</w:t>
      </w:r>
    </w:p>
    <w:p>
      <w:pPr>
        <w:pStyle w:val="54"/>
        <w:tabs>
          <w:tab w:val="left" w:pos="0"/>
        </w:tabs>
        <w:spacing w:before="0"/>
        <w:ind w:firstLine="480"/>
        <w:rPr>
          <w:rFonts w:ascii="宋体"/>
          <w:color w:val="auto"/>
          <w:highlight w:val="none"/>
          <w:lang w:val="zh-CN"/>
        </w:rPr>
      </w:pPr>
      <w:r>
        <w:rPr>
          <w:rFonts w:ascii="宋体" w:hAnsi="宋体" w:cs="宋体"/>
          <w:color w:val="auto"/>
          <w:highlight w:val="none"/>
        </w:rPr>
        <w:t>6.3</w:t>
      </w:r>
      <w:r>
        <w:rPr>
          <w:rFonts w:hint="eastAsia" w:ascii="宋体" w:hAnsi="宋体" w:cs="宋体"/>
          <w:color w:val="auto"/>
          <w:highlight w:val="none"/>
          <w:lang w:val="zh-CN"/>
        </w:rPr>
        <w:t>单价金额小数点或者百分比有明显错位的，以</w:t>
      </w:r>
      <w:r>
        <w:rPr>
          <w:rFonts w:hint="eastAsia" w:ascii="宋体" w:hAnsi="宋体" w:cs="宋体"/>
          <w:color w:val="auto"/>
          <w:highlight w:val="none"/>
        </w:rPr>
        <w:t>报价</w:t>
      </w:r>
      <w:r>
        <w:rPr>
          <w:rFonts w:hint="eastAsia" w:ascii="宋体" w:hAnsi="宋体" w:cs="宋体"/>
          <w:color w:val="auto"/>
          <w:highlight w:val="none"/>
          <w:lang w:val="zh-CN"/>
        </w:rPr>
        <w:t>一览表的总价为准，并修改单价；</w:t>
      </w:r>
    </w:p>
    <w:p>
      <w:pPr>
        <w:pStyle w:val="54"/>
        <w:tabs>
          <w:tab w:val="left" w:pos="0"/>
        </w:tabs>
        <w:spacing w:before="0"/>
        <w:ind w:firstLine="480"/>
        <w:rPr>
          <w:rFonts w:ascii="宋体"/>
          <w:color w:val="auto"/>
          <w:highlight w:val="none"/>
          <w:lang w:val="zh-CN"/>
        </w:rPr>
      </w:pPr>
      <w:r>
        <w:rPr>
          <w:rFonts w:ascii="宋体" w:hAnsi="宋体" w:cs="宋体"/>
          <w:color w:val="auto"/>
          <w:highlight w:val="none"/>
        </w:rPr>
        <w:t>6.4</w:t>
      </w:r>
      <w:r>
        <w:rPr>
          <w:rFonts w:hint="eastAsia" w:ascii="宋体" w:hAnsi="宋体" w:cs="宋体"/>
          <w:color w:val="auto"/>
          <w:highlight w:val="none"/>
          <w:lang w:val="zh-CN"/>
        </w:rPr>
        <w:t>总价金额与按单价汇总金额不一致的，以单价金额计算结果为准。</w:t>
      </w:r>
    </w:p>
    <w:p>
      <w:pPr>
        <w:pStyle w:val="54"/>
        <w:spacing w:before="0"/>
        <w:ind w:firstLine="480"/>
        <w:rPr>
          <w:rFonts w:ascii="宋体"/>
          <w:color w:val="auto"/>
          <w:highlight w:val="none"/>
          <w:lang w:val="zh-CN"/>
        </w:rPr>
      </w:pPr>
      <w:r>
        <w:rPr>
          <w:rFonts w:hint="eastAsia" w:ascii="宋体" w:hAnsi="宋体" w:cs="宋体"/>
          <w:color w:val="auto"/>
          <w:highlight w:val="none"/>
          <w:lang w:val="zh-CN"/>
        </w:rPr>
        <w:t>同时出现两种以上不一致的，按照前款规定的顺序修正。修正后的报价按照财政部公布第</w:t>
      </w:r>
      <w:r>
        <w:rPr>
          <w:rFonts w:ascii="宋体" w:hAnsi="宋体" w:cs="宋体"/>
          <w:color w:val="auto"/>
          <w:highlight w:val="none"/>
          <w:lang w:val="zh-CN"/>
        </w:rPr>
        <w:t>87</w:t>
      </w:r>
      <w:r>
        <w:rPr>
          <w:rFonts w:hint="eastAsia" w:ascii="宋体" w:hAnsi="宋体" w:cs="宋体"/>
          <w:color w:val="auto"/>
          <w:highlight w:val="none"/>
          <w:lang w:val="zh-CN"/>
        </w:rPr>
        <w:t>号令</w:t>
      </w:r>
      <w:r>
        <w:rPr>
          <w:rFonts w:ascii="宋体" w:hAnsi="宋体" w:cs="宋体"/>
          <w:color w:val="auto"/>
          <w:highlight w:val="none"/>
          <w:lang w:val="zh-CN"/>
        </w:rPr>
        <w:t xml:space="preserve"> </w:t>
      </w:r>
      <w:r>
        <w:rPr>
          <w:rFonts w:hint="eastAsia" w:ascii="宋体" w:hAnsi="宋体" w:cs="宋体"/>
          <w:color w:val="auto"/>
          <w:highlight w:val="none"/>
          <w:lang w:val="zh-CN"/>
        </w:rPr>
        <w:t>《政府采购产品和服务招标投标管理办法》第五十一条第二款的规定经</w:t>
      </w:r>
      <w:r>
        <w:rPr>
          <w:rFonts w:hint="eastAsia" w:ascii="宋体" w:hAnsi="宋体" w:cs="宋体"/>
          <w:color w:val="auto"/>
          <w:highlight w:val="none"/>
        </w:rPr>
        <w:t>供应商</w:t>
      </w:r>
      <w:r>
        <w:rPr>
          <w:rFonts w:hint="eastAsia" w:ascii="宋体" w:hAnsi="宋体" w:cs="宋体"/>
          <w:color w:val="auto"/>
          <w:highlight w:val="none"/>
          <w:lang w:val="zh-CN"/>
        </w:rPr>
        <w:t>确认后产生约束力，</w:t>
      </w:r>
      <w:r>
        <w:rPr>
          <w:rFonts w:hint="eastAsia" w:ascii="宋体" w:hAnsi="宋体" w:cs="宋体"/>
          <w:color w:val="auto"/>
          <w:highlight w:val="none"/>
        </w:rPr>
        <w:t>供应商</w:t>
      </w:r>
      <w:r>
        <w:rPr>
          <w:rFonts w:hint="eastAsia" w:ascii="宋体" w:hAnsi="宋体" w:cs="宋体"/>
          <w:color w:val="auto"/>
          <w:highlight w:val="none"/>
          <w:lang w:val="zh-CN"/>
        </w:rPr>
        <w:t>不确认的，其</w:t>
      </w:r>
      <w:r>
        <w:rPr>
          <w:rFonts w:hint="eastAsia" w:ascii="宋体" w:hAnsi="宋体" w:cs="宋体"/>
          <w:color w:val="auto"/>
          <w:highlight w:val="none"/>
        </w:rPr>
        <w:t>磋商</w:t>
      </w:r>
      <w:r>
        <w:rPr>
          <w:rFonts w:hint="eastAsia" w:ascii="宋体" w:hAnsi="宋体" w:cs="宋体"/>
          <w:color w:val="auto"/>
          <w:highlight w:val="none"/>
          <w:lang w:val="zh-CN"/>
        </w:rPr>
        <w:t>无效。</w:t>
      </w:r>
    </w:p>
    <w:p>
      <w:pPr>
        <w:pStyle w:val="15"/>
        <w:spacing w:line="360" w:lineRule="auto"/>
        <w:ind w:left="420" w:leftChars="200"/>
        <w:rPr>
          <w:rFonts w:hAnsi="宋体" w:cs="Times New Roman"/>
          <w:b/>
          <w:bCs/>
          <w:color w:val="auto"/>
          <w:sz w:val="24"/>
          <w:szCs w:val="24"/>
          <w:highlight w:val="none"/>
        </w:rPr>
      </w:pPr>
      <w:r>
        <w:rPr>
          <w:rFonts w:hAnsi="宋体"/>
          <w:b/>
          <w:bCs/>
          <w:color w:val="auto"/>
          <w:sz w:val="24"/>
          <w:szCs w:val="24"/>
          <w:highlight w:val="none"/>
        </w:rPr>
        <w:t>7</w:t>
      </w:r>
      <w:r>
        <w:rPr>
          <w:rFonts w:hint="eastAsia" w:hAnsi="宋体"/>
          <w:b/>
          <w:bCs/>
          <w:color w:val="auto"/>
          <w:sz w:val="24"/>
          <w:szCs w:val="24"/>
          <w:highlight w:val="none"/>
        </w:rPr>
        <w:t>、响应文件的澄清</w:t>
      </w:r>
    </w:p>
    <w:p>
      <w:pPr>
        <w:pStyle w:val="54"/>
        <w:tabs>
          <w:tab w:val="left" w:pos="0"/>
        </w:tabs>
        <w:spacing w:before="0"/>
        <w:ind w:firstLine="480"/>
        <w:rPr>
          <w:rFonts w:ascii="宋体"/>
          <w:color w:val="auto"/>
          <w:highlight w:val="none"/>
          <w:lang w:val="zh-CN"/>
        </w:rPr>
      </w:pPr>
      <w:r>
        <w:rPr>
          <w:rFonts w:ascii="宋体" w:hAnsi="宋体" w:cs="宋体"/>
          <w:color w:val="auto"/>
          <w:highlight w:val="none"/>
        </w:rPr>
        <w:t>7.1</w:t>
      </w:r>
      <w:r>
        <w:rPr>
          <w:rFonts w:hint="eastAsia" w:ascii="宋体" w:hAnsi="宋体" w:cs="宋体"/>
          <w:color w:val="auto"/>
          <w:highlight w:val="none"/>
          <w:lang w:val="zh-CN"/>
        </w:rPr>
        <w:t>评审中因</w:t>
      </w:r>
      <w:r>
        <w:rPr>
          <w:rFonts w:hint="eastAsia" w:ascii="宋体" w:hAnsi="宋体" w:cs="宋体"/>
          <w:color w:val="auto"/>
          <w:highlight w:val="none"/>
        </w:rPr>
        <w:t>响应</w:t>
      </w:r>
      <w:r>
        <w:rPr>
          <w:rFonts w:hint="eastAsia" w:ascii="宋体" w:hAnsi="宋体" w:cs="宋体"/>
          <w:color w:val="auto"/>
          <w:highlight w:val="none"/>
          <w:lang w:val="zh-CN"/>
        </w:rPr>
        <w:t>文件含义不明、表述不一致或有明显计算错误等内容需要供应商作出澄清、说明或者补正的，</w:t>
      </w:r>
      <w:r>
        <w:rPr>
          <w:rFonts w:hint="eastAsia" w:ascii="宋体" w:hAnsi="宋体" w:cs="宋体"/>
          <w:color w:val="auto"/>
          <w:highlight w:val="none"/>
        </w:rPr>
        <w:t>磋商小组</w:t>
      </w:r>
      <w:r>
        <w:rPr>
          <w:rFonts w:hint="eastAsia" w:ascii="宋体" w:hAnsi="宋体" w:cs="宋体"/>
          <w:color w:val="auto"/>
          <w:highlight w:val="none"/>
          <w:lang w:val="zh-CN"/>
        </w:rPr>
        <w:t>和供应商应当通过政采云平台交换数据电文，给予供应商提交澄清说明或补正的时间不少于半小时，供应商已经明确表示澄清说明或补正完毕的除外。</w:t>
      </w:r>
    </w:p>
    <w:p>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lang w:val="zh-CN"/>
        </w:rPr>
        <w:t>供应商通过政采云平台交换的数据电文必须进行电子签章。</w:t>
      </w:r>
    </w:p>
    <w:p>
      <w:pPr>
        <w:pStyle w:val="3"/>
        <w:numPr>
          <w:ilvl w:val="0"/>
          <w:numId w:val="17"/>
        </w:numPr>
        <w:jc w:val="center"/>
        <w:rPr>
          <w:rFonts w:cs="Times New Roman"/>
          <w:color w:val="auto"/>
          <w:highlight w:val="none"/>
        </w:rPr>
      </w:pPr>
      <w:r>
        <w:rPr>
          <w:color w:val="auto"/>
          <w:highlight w:val="none"/>
        </w:rPr>
        <w:t xml:space="preserve"> </w:t>
      </w:r>
      <w:bookmarkStart w:id="88" w:name="_Toc12816"/>
      <w:bookmarkStart w:id="89" w:name="_Toc12872"/>
      <w:r>
        <w:rPr>
          <w:rFonts w:hint="eastAsia"/>
          <w:color w:val="auto"/>
          <w:highlight w:val="none"/>
        </w:rPr>
        <w:t>注意事项</w:t>
      </w:r>
      <w:bookmarkEnd w:id="88"/>
      <w:bookmarkEnd w:id="89"/>
    </w:p>
    <w:p>
      <w:pPr>
        <w:pStyle w:val="4"/>
        <w:spacing w:line="360" w:lineRule="auto"/>
        <w:rPr>
          <w:b/>
          <w:bCs/>
          <w:color w:val="auto"/>
          <w:sz w:val="24"/>
          <w:szCs w:val="24"/>
          <w:highlight w:val="none"/>
        </w:rPr>
      </w:pPr>
      <w:r>
        <w:rPr>
          <w:rFonts w:hint="eastAsia" w:cs="宋体"/>
          <w:b/>
          <w:bCs/>
          <w:color w:val="auto"/>
          <w:sz w:val="24"/>
          <w:szCs w:val="24"/>
          <w:highlight w:val="none"/>
        </w:rPr>
        <w:t>评审时如发现供应商的报价明显低于其他通过符合性审查供应商的报价，有可能影响产品质量或者不能诚信履约的，磋商小组可要求该供应商书面说明并提供相关证明材料。该供应商不能合理说明原因并提供证明材料的，评审小组应将该供应商的磋商响应文件作无效处理，同时采购组织机构应将该情况报同级财政部门，并视情将其列入不良供应商名单。</w:t>
      </w:r>
    </w:p>
    <w:p>
      <w:pPr>
        <w:pStyle w:val="3"/>
        <w:numPr>
          <w:ilvl w:val="0"/>
          <w:numId w:val="18"/>
        </w:numPr>
        <w:jc w:val="center"/>
        <w:rPr>
          <w:rFonts w:cs="Times New Roman"/>
          <w:color w:val="auto"/>
          <w:highlight w:val="none"/>
        </w:rPr>
      </w:pPr>
      <w:r>
        <w:rPr>
          <w:color w:val="auto"/>
          <w:highlight w:val="none"/>
        </w:rPr>
        <w:t xml:space="preserve"> </w:t>
      </w:r>
      <w:bookmarkStart w:id="90" w:name="_Toc13782"/>
      <w:bookmarkStart w:id="91" w:name="_Toc18066"/>
      <w:r>
        <w:rPr>
          <w:rFonts w:hint="eastAsia"/>
          <w:color w:val="auto"/>
          <w:highlight w:val="none"/>
        </w:rPr>
        <w:t>评分细则</w:t>
      </w:r>
      <w:bookmarkEnd w:id="90"/>
      <w:bookmarkEnd w:id="91"/>
    </w:p>
    <w:p>
      <w:pPr>
        <w:spacing w:line="360" w:lineRule="auto"/>
        <w:ind w:firstLine="482" w:firstLineChars="200"/>
        <w:rPr>
          <w:rFonts w:ascii="宋体"/>
          <w:b/>
          <w:bCs/>
          <w:color w:val="auto"/>
          <w:sz w:val="24"/>
          <w:szCs w:val="24"/>
          <w:highlight w:val="none"/>
        </w:rPr>
      </w:pPr>
      <w:r>
        <w:rPr>
          <w:rFonts w:hint="eastAsia" w:ascii="宋体" w:hAnsi="宋体" w:cs="宋体"/>
          <w:b/>
          <w:bCs/>
          <w:color w:val="auto"/>
          <w:sz w:val="24"/>
          <w:szCs w:val="24"/>
          <w:highlight w:val="none"/>
        </w:rPr>
        <w:t>一、报价文件评分标准（</w:t>
      </w:r>
      <w:r>
        <w:rPr>
          <w:rFonts w:hint="eastAsia" w:ascii="宋体" w:hAnsi="宋体" w:cs="宋体"/>
          <w:b/>
          <w:bCs/>
          <w:color w:val="auto"/>
          <w:sz w:val="24"/>
          <w:szCs w:val="24"/>
          <w:highlight w:val="none"/>
          <w:u w:val="single"/>
        </w:rPr>
        <w:t>20</w:t>
      </w:r>
      <w:r>
        <w:rPr>
          <w:rFonts w:ascii="宋体" w:hAnsi="宋体" w:cs="宋体"/>
          <w:b/>
          <w:bCs/>
          <w:color w:val="auto"/>
          <w:sz w:val="24"/>
          <w:szCs w:val="24"/>
          <w:highlight w:val="none"/>
          <w:u w:val="single"/>
        </w:rPr>
        <w:t xml:space="preserve"> </w:t>
      </w:r>
      <w:r>
        <w:rPr>
          <w:rFonts w:hint="eastAsia" w:ascii="宋体" w:hAnsi="宋体" w:cs="宋体"/>
          <w:b/>
          <w:bCs/>
          <w:color w:val="auto"/>
          <w:sz w:val="24"/>
          <w:szCs w:val="24"/>
          <w:highlight w:val="none"/>
        </w:rPr>
        <w:t>分）</w:t>
      </w:r>
    </w:p>
    <w:p>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报价文件主要是对供应商的有效报价进行评议，其评分标准及分值设置规则如下：</w:t>
      </w:r>
    </w:p>
    <w:p>
      <w:pP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1</w:t>
      </w:r>
      <w:r>
        <w:rPr>
          <w:rFonts w:hint="eastAsia" w:ascii="宋体" w:hAnsi="宋体" w:cs="宋体"/>
          <w:color w:val="auto"/>
          <w:sz w:val="24"/>
          <w:szCs w:val="24"/>
          <w:highlight w:val="none"/>
        </w:rPr>
        <w:t>、本次采购最高限价规定如下：</w:t>
      </w:r>
    </w:p>
    <w:p>
      <w:pPr>
        <w:spacing w:line="360" w:lineRule="auto"/>
        <w:ind w:firstLine="480" w:firstLineChars="200"/>
        <w:rPr>
          <w:rFonts w:hint="eastAsia" w:ascii="宋体" w:hAnsi="宋体" w:cs="宋体"/>
          <w:b/>
          <w:bCs/>
          <w:color w:val="auto"/>
          <w:sz w:val="24"/>
          <w:szCs w:val="24"/>
          <w:highlight w:val="none"/>
        </w:rPr>
      </w:pPr>
      <w:r>
        <w:rPr>
          <w:rFonts w:hint="eastAsia" w:ascii="宋体" w:hAnsi="宋体" w:cs="宋体"/>
          <w:color w:val="auto"/>
          <w:sz w:val="24"/>
          <w:szCs w:val="24"/>
          <w:highlight w:val="none"/>
        </w:rPr>
        <w:t>本项目投标报价的最高限价</w:t>
      </w:r>
      <w:r>
        <w:rPr>
          <w:rFonts w:hint="eastAsia" w:ascii="宋体" w:hAnsi="宋体" w:cs="宋体"/>
          <w:b/>
          <w:bCs/>
          <w:color w:val="auto"/>
          <w:sz w:val="24"/>
          <w:szCs w:val="24"/>
          <w:highlight w:val="none"/>
        </w:rPr>
        <w:t>为人民币</w:t>
      </w:r>
      <w:r>
        <w:rPr>
          <w:rFonts w:hint="eastAsia" w:ascii="宋体" w:hAnsi="宋体" w:cs="宋体"/>
          <w:b/>
          <w:bCs/>
          <w:color w:val="auto"/>
          <w:sz w:val="24"/>
          <w:szCs w:val="24"/>
          <w:highlight w:val="none"/>
          <w:u w:val="single"/>
        </w:rPr>
        <w:t xml:space="preserve"> </w:t>
      </w:r>
      <w:r>
        <w:rPr>
          <w:rFonts w:hint="eastAsia" w:ascii="宋体" w:hAnsi="宋体" w:cs="宋体"/>
          <w:b/>
          <w:bCs/>
          <w:color w:val="auto"/>
          <w:sz w:val="24"/>
          <w:szCs w:val="24"/>
          <w:highlight w:val="none"/>
          <w:u w:val="single"/>
          <w:lang w:val="en-US" w:eastAsia="zh-CN"/>
        </w:rPr>
        <w:t>贰佰肆拾</w:t>
      </w:r>
      <w:r>
        <w:rPr>
          <w:rFonts w:hint="eastAsia" w:ascii="宋体" w:hAnsi="宋体" w:cs="宋体"/>
          <w:b/>
          <w:bCs/>
          <w:color w:val="auto"/>
          <w:sz w:val="24"/>
          <w:szCs w:val="24"/>
          <w:highlight w:val="none"/>
          <w:u w:val="single"/>
        </w:rPr>
        <w:t xml:space="preserve">万元整 </w:t>
      </w:r>
      <w:r>
        <w:rPr>
          <w:rFonts w:hint="eastAsia" w:ascii="宋体" w:hAnsi="宋体" w:cs="宋体"/>
          <w:b/>
          <w:bCs/>
          <w:color w:val="auto"/>
          <w:sz w:val="24"/>
          <w:szCs w:val="24"/>
          <w:highlight w:val="none"/>
        </w:rPr>
        <w:t>（小写</w:t>
      </w:r>
      <w:r>
        <w:rPr>
          <w:rFonts w:hint="eastAsia" w:ascii="宋体" w:hAnsi="宋体" w:cs="宋体"/>
          <w:b/>
          <w:bCs/>
          <w:color w:val="auto"/>
          <w:sz w:val="24"/>
          <w:szCs w:val="24"/>
          <w:highlight w:val="none"/>
          <w:u w:val="single"/>
          <w:lang w:val="en-US" w:eastAsia="zh-CN"/>
        </w:rPr>
        <w:t>240</w:t>
      </w:r>
      <w:r>
        <w:rPr>
          <w:rFonts w:hint="eastAsia" w:ascii="宋体" w:hAnsi="宋体" w:cs="宋体"/>
          <w:b/>
          <w:bCs/>
          <w:color w:val="auto"/>
          <w:sz w:val="24"/>
          <w:szCs w:val="24"/>
          <w:highlight w:val="none"/>
          <w:u w:val="single"/>
        </w:rPr>
        <w:t>0000</w:t>
      </w:r>
      <w:r>
        <w:rPr>
          <w:rFonts w:ascii="宋体" w:hAnsi="宋体" w:cs="宋体"/>
          <w:b/>
          <w:bCs/>
          <w:color w:val="auto"/>
          <w:sz w:val="24"/>
          <w:szCs w:val="24"/>
          <w:highlight w:val="none"/>
          <w:u w:val="single"/>
        </w:rPr>
        <w:t xml:space="preserve">.00 </w:t>
      </w:r>
      <w:r>
        <w:rPr>
          <w:rFonts w:hint="eastAsia" w:ascii="宋体" w:hAnsi="宋体" w:cs="宋体"/>
          <w:b/>
          <w:bCs/>
          <w:color w:val="auto"/>
          <w:sz w:val="24"/>
          <w:szCs w:val="24"/>
          <w:highlight w:val="none"/>
        </w:rPr>
        <w:t>元）。</w:t>
      </w:r>
    </w:p>
    <w:p>
      <w:pPr>
        <w:spacing w:line="360" w:lineRule="auto"/>
        <w:ind w:firstLine="482" w:firstLineChars="200"/>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标</w:t>
      </w:r>
      <w:r>
        <w:rPr>
          <w:rFonts w:hint="eastAsia" w:ascii="宋体" w:hAnsi="宋体" w:cs="宋体"/>
          <w:b/>
          <w:bCs/>
          <w:color w:val="auto"/>
          <w:sz w:val="24"/>
          <w:szCs w:val="24"/>
          <w:highlight w:val="none"/>
          <w:lang w:val="en-US" w:eastAsia="zh-CN"/>
        </w:rPr>
        <w:t>段一</w:t>
      </w:r>
      <w:r>
        <w:rPr>
          <w:rFonts w:hint="eastAsia" w:ascii="宋体" w:hAnsi="宋体" w:cs="宋体"/>
          <w:b/>
          <w:bCs/>
          <w:color w:val="auto"/>
          <w:sz w:val="24"/>
          <w:szCs w:val="24"/>
          <w:highlight w:val="none"/>
        </w:rPr>
        <w:t>最高限价为人民币</w:t>
      </w:r>
      <w:r>
        <w:rPr>
          <w:rFonts w:hint="eastAsia" w:ascii="宋体" w:hAnsi="宋体" w:cs="宋体"/>
          <w:b/>
          <w:bCs/>
          <w:color w:val="auto"/>
          <w:sz w:val="24"/>
          <w:szCs w:val="24"/>
          <w:highlight w:val="none"/>
          <w:u w:val="single"/>
        </w:rPr>
        <w:t xml:space="preserve"> </w:t>
      </w:r>
      <w:r>
        <w:rPr>
          <w:rFonts w:hint="eastAsia" w:ascii="宋体" w:hAnsi="宋体" w:cs="宋体"/>
          <w:b/>
          <w:bCs/>
          <w:color w:val="auto"/>
          <w:sz w:val="24"/>
          <w:szCs w:val="24"/>
          <w:highlight w:val="none"/>
          <w:u w:val="single"/>
          <w:lang w:val="en-US" w:eastAsia="zh-CN"/>
        </w:rPr>
        <w:t>陆拾万</w:t>
      </w:r>
      <w:r>
        <w:rPr>
          <w:rFonts w:hint="eastAsia" w:ascii="宋体" w:hAnsi="宋体" w:cs="宋体"/>
          <w:b/>
          <w:bCs/>
          <w:color w:val="auto"/>
          <w:sz w:val="24"/>
          <w:szCs w:val="24"/>
          <w:highlight w:val="none"/>
          <w:u w:val="single"/>
        </w:rPr>
        <w:t xml:space="preserve"> </w:t>
      </w:r>
      <w:r>
        <w:rPr>
          <w:rFonts w:hint="eastAsia" w:ascii="宋体" w:hAnsi="宋体" w:cs="宋体"/>
          <w:b/>
          <w:bCs/>
          <w:color w:val="auto"/>
          <w:sz w:val="24"/>
          <w:szCs w:val="24"/>
          <w:highlight w:val="none"/>
        </w:rPr>
        <w:t>元</w:t>
      </w:r>
      <w:r>
        <w:rPr>
          <w:rFonts w:hint="eastAsia" w:ascii="宋体" w:hAnsi="宋体" w:cs="宋体"/>
          <w:b/>
          <w:bCs/>
          <w:color w:val="auto"/>
          <w:sz w:val="24"/>
          <w:szCs w:val="24"/>
          <w:highlight w:val="none"/>
          <w:lang w:val="en-US" w:eastAsia="zh-CN"/>
        </w:rPr>
        <w:t>整</w:t>
      </w:r>
      <w:r>
        <w:rPr>
          <w:rFonts w:hint="eastAsia" w:ascii="宋体" w:hAnsi="宋体" w:cs="宋体"/>
          <w:b/>
          <w:bCs/>
          <w:color w:val="auto"/>
          <w:sz w:val="24"/>
          <w:szCs w:val="24"/>
          <w:highlight w:val="none"/>
        </w:rPr>
        <w:t>（小写</w:t>
      </w:r>
      <w:r>
        <w:rPr>
          <w:rFonts w:hint="eastAsia" w:ascii="宋体" w:hAnsi="宋体" w:cs="宋体"/>
          <w:b/>
          <w:bCs/>
          <w:color w:val="auto"/>
          <w:sz w:val="24"/>
          <w:szCs w:val="24"/>
          <w:highlight w:val="none"/>
          <w:u w:val="single"/>
        </w:rPr>
        <w:t xml:space="preserve"> </w:t>
      </w:r>
      <w:r>
        <w:rPr>
          <w:rFonts w:hint="eastAsia" w:ascii="宋体" w:hAnsi="宋体" w:cs="宋体"/>
          <w:b/>
          <w:bCs/>
          <w:color w:val="auto"/>
          <w:sz w:val="24"/>
          <w:szCs w:val="24"/>
          <w:highlight w:val="none"/>
          <w:u w:val="single"/>
          <w:lang w:val="en-US" w:eastAsia="zh-CN"/>
        </w:rPr>
        <w:t>600</w:t>
      </w:r>
      <w:r>
        <w:rPr>
          <w:rFonts w:hint="eastAsia" w:ascii="宋体" w:hAnsi="宋体" w:cs="宋体"/>
          <w:b/>
          <w:bCs/>
          <w:color w:val="auto"/>
          <w:sz w:val="24"/>
          <w:szCs w:val="24"/>
          <w:highlight w:val="none"/>
          <w:u w:val="single"/>
        </w:rPr>
        <w:t>000.00</w:t>
      </w:r>
      <w:r>
        <w:rPr>
          <w:rFonts w:hint="eastAsia" w:ascii="宋体" w:hAnsi="宋体" w:cs="宋体"/>
          <w:b/>
          <w:bCs/>
          <w:color w:val="auto"/>
          <w:sz w:val="24"/>
          <w:szCs w:val="24"/>
          <w:highlight w:val="none"/>
        </w:rPr>
        <w:t xml:space="preserve"> 元）；</w:t>
      </w:r>
    </w:p>
    <w:p>
      <w:pPr>
        <w:spacing w:line="360" w:lineRule="auto"/>
        <w:ind w:firstLine="482" w:firstLineChars="200"/>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标</w:t>
      </w:r>
      <w:r>
        <w:rPr>
          <w:rFonts w:hint="eastAsia" w:ascii="宋体" w:hAnsi="宋体" w:cs="宋体"/>
          <w:b/>
          <w:bCs/>
          <w:color w:val="auto"/>
          <w:sz w:val="24"/>
          <w:szCs w:val="24"/>
          <w:highlight w:val="none"/>
          <w:lang w:val="en-US" w:eastAsia="zh-CN"/>
        </w:rPr>
        <w:t>段</w:t>
      </w:r>
      <w:r>
        <w:rPr>
          <w:rFonts w:hint="eastAsia" w:ascii="宋体" w:hAnsi="宋体" w:cs="宋体"/>
          <w:b/>
          <w:bCs/>
          <w:color w:val="auto"/>
          <w:sz w:val="24"/>
          <w:szCs w:val="24"/>
          <w:highlight w:val="none"/>
        </w:rPr>
        <w:t>二最高限价为人民币</w:t>
      </w:r>
      <w:r>
        <w:rPr>
          <w:rFonts w:hint="eastAsia" w:ascii="宋体" w:hAnsi="宋体" w:cs="宋体"/>
          <w:b/>
          <w:bCs/>
          <w:color w:val="auto"/>
          <w:sz w:val="24"/>
          <w:szCs w:val="24"/>
          <w:highlight w:val="none"/>
          <w:u w:val="single"/>
        </w:rPr>
        <w:t xml:space="preserve"> </w:t>
      </w:r>
      <w:r>
        <w:rPr>
          <w:rFonts w:hint="eastAsia" w:ascii="宋体" w:hAnsi="宋体" w:cs="宋体"/>
          <w:b/>
          <w:bCs/>
          <w:color w:val="auto"/>
          <w:sz w:val="24"/>
          <w:szCs w:val="24"/>
          <w:highlight w:val="none"/>
          <w:u w:val="single"/>
          <w:lang w:val="en-US" w:eastAsia="zh-CN"/>
        </w:rPr>
        <w:t>肆拾万</w:t>
      </w:r>
      <w:r>
        <w:rPr>
          <w:rFonts w:hint="eastAsia" w:ascii="宋体" w:hAnsi="宋体" w:cs="宋体"/>
          <w:b/>
          <w:bCs/>
          <w:color w:val="auto"/>
          <w:sz w:val="24"/>
          <w:szCs w:val="24"/>
          <w:highlight w:val="none"/>
          <w:u w:val="single"/>
        </w:rPr>
        <w:t xml:space="preserve"> </w:t>
      </w:r>
      <w:r>
        <w:rPr>
          <w:rFonts w:hint="eastAsia" w:ascii="宋体" w:hAnsi="宋体" w:cs="宋体"/>
          <w:b/>
          <w:bCs/>
          <w:color w:val="auto"/>
          <w:sz w:val="24"/>
          <w:szCs w:val="24"/>
          <w:highlight w:val="none"/>
        </w:rPr>
        <w:t>元</w:t>
      </w:r>
      <w:r>
        <w:rPr>
          <w:rFonts w:hint="eastAsia" w:ascii="宋体" w:hAnsi="宋体" w:cs="宋体"/>
          <w:b/>
          <w:bCs/>
          <w:color w:val="auto"/>
          <w:sz w:val="24"/>
          <w:szCs w:val="24"/>
          <w:highlight w:val="none"/>
          <w:lang w:val="en-US" w:eastAsia="zh-CN"/>
        </w:rPr>
        <w:t>整</w:t>
      </w:r>
      <w:r>
        <w:rPr>
          <w:rFonts w:hint="eastAsia" w:ascii="宋体" w:hAnsi="宋体" w:cs="宋体"/>
          <w:b/>
          <w:bCs/>
          <w:color w:val="auto"/>
          <w:sz w:val="24"/>
          <w:szCs w:val="24"/>
          <w:highlight w:val="none"/>
        </w:rPr>
        <w:t>（小写</w:t>
      </w:r>
      <w:r>
        <w:rPr>
          <w:rFonts w:hint="eastAsia" w:ascii="宋体" w:hAnsi="宋体" w:cs="宋体"/>
          <w:b/>
          <w:bCs/>
          <w:color w:val="auto"/>
          <w:sz w:val="24"/>
          <w:szCs w:val="24"/>
          <w:highlight w:val="none"/>
          <w:lang w:val="en-US" w:eastAsia="zh-CN"/>
        </w:rPr>
        <w:t xml:space="preserve"> </w:t>
      </w:r>
      <w:r>
        <w:rPr>
          <w:rFonts w:hint="eastAsia" w:ascii="宋体" w:hAnsi="宋体" w:cs="宋体"/>
          <w:b/>
          <w:bCs/>
          <w:color w:val="auto"/>
          <w:sz w:val="24"/>
          <w:szCs w:val="24"/>
          <w:highlight w:val="none"/>
          <w:u w:val="single"/>
          <w:lang w:val="en-US" w:eastAsia="zh-CN"/>
        </w:rPr>
        <w:t>4000</w:t>
      </w:r>
      <w:r>
        <w:rPr>
          <w:rFonts w:hint="eastAsia" w:ascii="宋体" w:hAnsi="宋体" w:cs="宋体"/>
          <w:b/>
          <w:bCs/>
          <w:color w:val="auto"/>
          <w:sz w:val="24"/>
          <w:szCs w:val="24"/>
          <w:highlight w:val="none"/>
          <w:u w:val="single"/>
        </w:rPr>
        <w:t xml:space="preserve">00.00 </w:t>
      </w:r>
      <w:r>
        <w:rPr>
          <w:rFonts w:hint="eastAsia" w:ascii="宋体" w:hAnsi="宋体" w:cs="宋体"/>
          <w:b/>
          <w:bCs/>
          <w:color w:val="auto"/>
          <w:sz w:val="24"/>
          <w:szCs w:val="24"/>
          <w:highlight w:val="none"/>
        </w:rPr>
        <w:t>元）；</w:t>
      </w:r>
    </w:p>
    <w:p>
      <w:pPr>
        <w:spacing w:line="360" w:lineRule="auto"/>
        <w:ind w:firstLine="482" w:firstLineChars="200"/>
        <w:rPr>
          <w:rFonts w:hint="eastAsia" w:ascii="宋体" w:hAnsi="宋体" w:cs="宋体"/>
          <w:b/>
          <w:bCs/>
          <w:color w:val="auto"/>
          <w:sz w:val="24"/>
          <w:szCs w:val="24"/>
          <w:highlight w:val="none"/>
          <w:lang w:eastAsia="zh-CN"/>
        </w:rPr>
      </w:pPr>
      <w:r>
        <w:rPr>
          <w:rFonts w:hint="eastAsia" w:ascii="宋体" w:hAnsi="宋体" w:cs="宋体"/>
          <w:b/>
          <w:bCs/>
          <w:color w:val="auto"/>
          <w:sz w:val="24"/>
          <w:szCs w:val="24"/>
          <w:highlight w:val="none"/>
        </w:rPr>
        <w:t>标</w:t>
      </w:r>
      <w:r>
        <w:rPr>
          <w:rFonts w:hint="eastAsia" w:ascii="宋体" w:hAnsi="宋体" w:cs="宋体"/>
          <w:b/>
          <w:bCs/>
          <w:color w:val="auto"/>
          <w:sz w:val="24"/>
          <w:szCs w:val="24"/>
          <w:highlight w:val="none"/>
          <w:lang w:val="en-US" w:eastAsia="zh-CN"/>
        </w:rPr>
        <w:t>段三</w:t>
      </w:r>
      <w:r>
        <w:rPr>
          <w:rFonts w:hint="eastAsia" w:ascii="宋体" w:hAnsi="宋体" w:cs="宋体"/>
          <w:b/>
          <w:bCs/>
          <w:color w:val="auto"/>
          <w:sz w:val="24"/>
          <w:szCs w:val="24"/>
          <w:highlight w:val="none"/>
        </w:rPr>
        <w:t>最高限价为人民币</w:t>
      </w:r>
      <w:r>
        <w:rPr>
          <w:rFonts w:hint="eastAsia" w:ascii="宋体" w:hAnsi="宋体" w:cs="宋体"/>
          <w:b/>
          <w:bCs/>
          <w:color w:val="auto"/>
          <w:sz w:val="24"/>
          <w:szCs w:val="24"/>
          <w:highlight w:val="none"/>
          <w:u w:val="single"/>
        </w:rPr>
        <w:t xml:space="preserve"> </w:t>
      </w:r>
      <w:r>
        <w:rPr>
          <w:rFonts w:hint="eastAsia" w:ascii="宋体" w:hAnsi="宋体" w:cs="宋体"/>
          <w:b/>
          <w:bCs/>
          <w:color w:val="auto"/>
          <w:sz w:val="24"/>
          <w:szCs w:val="24"/>
          <w:highlight w:val="none"/>
          <w:u w:val="single"/>
          <w:lang w:val="en-US" w:eastAsia="zh-CN"/>
        </w:rPr>
        <w:t>肆拾万</w:t>
      </w:r>
      <w:r>
        <w:rPr>
          <w:rFonts w:hint="eastAsia" w:ascii="宋体" w:hAnsi="宋体" w:cs="宋体"/>
          <w:b/>
          <w:bCs/>
          <w:color w:val="auto"/>
          <w:sz w:val="24"/>
          <w:szCs w:val="24"/>
          <w:highlight w:val="none"/>
          <w:u w:val="single"/>
        </w:rPr>
        <w:t xml:space="preserve"> </w:t>
      </w:r>
      <w:r>
        <w:rPr>
          <w:rFonts w:hint="eastAsia" w:ascii="宋体" w:hAnsi="宋体" w:cs="宋体"/>
          <w:b/>
          <w:bCs/>
          <w:color w:val="auto"/>
          <w:sz w:val="24"/>
          <w:szCs w:val="24"/>
          <w:highlight w:val="none"/>
        </w:rPr>
        <w:t>元</w:t>
      </w:r>
      <w:r>
        <w:rPr>
          <w:rFonts w:hint="eastAsia" w:ascii="宋体" w:hAnsi="宋体" w:cs="宋体"/>
          <w:b/>
          <w:bCs/>
          <w:color w:val="auto"/>
          <w:sz w:val="24"/>
          <w:szCs w:val="24"/>
          <w:highlight w:val="none"/>
          <w:lang w:val="en-US" w:eastAsia="zh-CN"/>
        </w:rPr>
        <w:t>整</w:t>
      </w:r>
      <w:r>
        <w:rPr>
          <w:rFonts w:hint="eastAsia" w:ascii="宋体" w:hAnsi="宋体" w:cs="宋体"/>
          <w:b/>
          <w:bCs/>
          <w:color w:val="auto"/>
          <w:sz w:val="24"/>
          <w:szCs w:val="24"/>
          <w:highlight w:val="none"/>
        </w:rPr>
        <w:t>（小写</w:t>
      </w:r>
      <w:r>
        <w:rPr>
          <w:rFonts w:hint="eastAsia" w:ascii="宋体" w:hAnsi="宋体" w:cs="宋体"/>
          <w:b/>
          <w:bCs/>
          <w:color w:val="auto"/>
          <w:sz w:val="24"/>
          <w:szCs w:val="24"/>
          <w:highlight w:val="none"/>
          <w:lang w:val="en-US" w:eastAsia="zh-CN"/>
        </w:rPr>
        <w:t xml:space="preserve"> </w:t>
      </w:r>
      <w:r>
        <w:rPr>
          <w:rFonts w:hint="eastAsia" w:ascii="宋体" w:hAnsi="宋体" w:cs="宋体"/>
          <w:b/>
          <w:bCs/>
          <w:color w:val="auto"/>
          <w:sz w:val="24"/>
          <w:szCs w:val="24"/>
          <w:highlight w:val="none"/>
          <w:u w:val="single"/>
          <w:lang w:val="en-US" w:eastAsia="zh-CN"/>
        </w:rPr>
        <w:t>4000</w:t>
      </w:r>
      <w:r>
        <w:rPr>
          <w:rFonts w:hint="eastAsia" w:ascii="宋体" w:hAnsi="宋体" w:cs="宋体"/>
          <w:b/>
          <w:bCs/>
          <w:color w:val="auto"/>
          <w:sz w:val="24"/>
          <w:szCs w:val="24"/>
          <w:highlight w:val="none"/>
          <w:u w:val="single"/>
        </w:rPr>
        <w:t xml:space="preserve">00.00 </w:t>
      </w:r>
      <w:r>
        <w:rPr>
          <w:rFonts w:hint="eastAsia" w:ascii="宋体" w:hAnsi="宋体" w:cs="宋体"/>
          <w:b/>
          <w:bCs/>
          <w:color w:val="auto"/>
          <w:sz w:val="24"/>
          <w:szCs w:val="24"/>
          <w:highlight w:val="none"/>
        </w:rPr>
        <w:t>元）</w:t>
      </w:r>
      <w:r>
        <w:rPr>
          <w:rFonts w:hint="eastAsia" w:ascii="宋体" w:hAnsi="宋体" w:cs="宋体"/>
          <w:b/>
          <w:bCs/>
          <w:color w:val="auto"/>
          <w:sz w:val="24"/>
          <w:szCs w:val="24"/>
          <w:highlight w:val="none"/>
          <w:lang w:eastAsia="zh-CN"/>
        </w:rPr>
        <w:t>；</w:t>
      </w:r>
    </w:p>
    <w:p>
      <w:pPr>
        <w:spacing w:line="360" w:lineRule="auto"/>
        <w:ind w:firstLine="482" w:firstLineChars="200"/>
        <w:rPr>
          <w:rFonts w:hint="eastAsia" w:ascii="宋体" w:hAnsi="宋体" w:eastAsia="宋体" w:cs="宋体"/>
          <w:b/>
          <w:bCs/>
          <w:color w:val="auto"/>
          <w:sz w:val="24"/>
          <w:szCs w:val="24"/>
          <w:highlight w:val="none"/>
          <w:lang w:eastAsia="zh-CN"/>
        </w:rPr>
      </w:pPr>
      <w:r>
        <w:rPr>
          <w:rFonts w:hint="eastAsia" w:ascii="宋体" w:hAnsi="宋体" w:cs="宋体"/>
          <w:b/>
          <w:bCs/>
          <w:color w:val="auto"/>
          <w:sz w:val="24"/>
          <w:szCs w:val="24"/>
          <w:highlight w:val="none"/>
        </w:rPr>
        <w:t>标</w:t>
      </w:r>
      <w:r>
        <w:rPr>
          <w:rFonts w:hint="eastAsia" w:ascii="宋体" w:hAnsi="宋体" w:cs="宋体"/>
          <w:b/>
          <w:bCs/>
          <w:color w:val="auto"/>
          <w:sz w:val="24"/>
          <w:szCs w:val="24"/>
          <w:highlight w:val="none"/>
          <w:lang w:val="en-US" w:eastAsia="zh-CN"/>
        </w:rPr>
        <w:t>段四</w:t>
      </w:r>
      <w:r>
        <w:rPr>
          <w:rFonts w:hint="eastAsia" w:ascii="宋体" w:hAnsi="宋体" w:cs="宋体"/>
          <w:b/>
          <w:bCs/>
          <w:color w:val="auto"/>
          <w:sz w:val="24"/>
          <w:szCs w:val="24"/>
          <w:highlight w:val="none"/>
        </w:rPr>
        <w:t>最高限价为人民币</w:t>
      </w:r>
      <w:r>
        <w:rPr>
          <w:rFonts w:hint="eastAsia" w:ascii="宋体" w:hAnsi="宋体" w:cs="宋体"/>
          <w:b/>
          <w:bCs/>
          <w:color w:val="auto"/>
          <w:sz w:val="24"/>
          <w:szCs w:val="24"/>
          <w:highlight w:val="none"/>
          <w:u w:val="single"/>
        </w:rPr>
        <w:t xml:space="preserve"> </w:t>
      </w:r>
      <w:r>
        <w:rPr>
          <w:rFonts w:hint="eastAsia" w:ascii="宋体" w:hAnsi="宋体" w:cs="宋体"/>
          <w:b/>
          <w:bCs/>
          <w:color w:val="auto"/>
          <w:sz w:val="24"/>
          <w:szCs w:val="24"/>
          <w:highlight w:val="none"/>
          <w:u w:val="single"/>
          <w:lang w:val="en-US" w:eastAsia="zh-CN"/>
        </w:rPr>
        <w:t>陆拾万</w:t>
      </w:r>
      <w:r>
        <w:rPr>
          <w:rFonts w:hint="eastAsia" w:ascii="宋体" w:hAnsi="宋体" w:cs="宋体"/>
          <w:b/>
          <w:bCs/>
          <w:color w:val="auto"/>
          <w:sz w:val="24"/>
          <w:szCs w:val="24"/>
          <w:highlight w:val="none"/>
          <w:u w:val="single"/>
        </w:rPr>
        <w:t xml:space="preserve"> </w:t>
      </w:r>
      <w:r>
        <w:rPr>
          <w:rFonts w:hint="eastAsia" w:ascii="宋体" w:hAnsi="宋体" w:cs="宋体"/>
          <w:b/>
          <w:bCs/>
          <w:color w:val="auto"/>
          <w:sz w:val="24"/>
          <w:szCs w:val="24"/>
          <w:highlight w:val="none"/>
        </w:rPr>
        <w:t>元</w:t>
      </w:r>
      <w:r>
        <w:rPr>
          <w:rFonts w:hint="eastAsia" w:ascii="宋体" w:hAnsi="宋体" w:cs="宋体"/>
          <w:b/>
          <w:bCs/>
          <w:color w:val="auto"/>
          <w:sz w:val="24"/>
          <w:szCs w:val="24"/>
          <w:highlight w:val="none"/>
          <w:lang w:val="en-US" w:eastAsia="zh-CN"/>
        </w:rPr>
        <w:t>整</w:t>
      </w:r>
      <w:r>
        <w:rPr>
          <w:rFonts w:hint="eastAsia" w:ascii="宋体" w:hAnsi="宋体" w:cs="宋体"/>
          <w:b/>
          <w:bCs/>
          <w:color w:val="auto"/>
          <w:sz w:val="24"/>
          <w:szCs w:val="24"/>
          <w:highlight w:val="none"/>
        </w:rPr>
        <w:t>（小写</w:t>
      </w:r>
      <w:r>
        <w:rPr>
          <w:rFonts w:hint="eastAsia" w:ascii="宋体" w:hAnsi="宋体" w:cs="宋体"/>
          <w:b/>
          <w:bCs/>
          <w:color w:val="auto"/>
          <w:sz w:val="24"/>
          <w:szCs w:val="24"/>
          <w:highlight w:val="none"/>
          <w:u w:val="single"/>
        </w:rPr>
        <w:t xml:space="preserve"> </w:t>
      </w:r>
      <w:r>
        <w:rPr>
          <w:rFonts w:hint="eastAsia" w:ascii="宋体" w:hAnsi="宋体" w:cs="宋体"/>
          <w:b/>
          <w:bCs/>
          <w:color w:val="auto"/>
          <w:sz w:val="24"/>
          <w:szCs w:val="24"/>
          <w:highlight w:val="none"/>
          <w:u w:val="single"/>
          <w:lang w:val="en-US" w:eastAsia="zh-CN"/>
        </w:rPr>
        <w:t>600</w:t>
      </w:r>
      <w:r>
        <w:rPr>
          <w:rFonts w:hint="eastAsia" w:ascii="宋体" w:hAnsi="宋体" w:cs="宋体"/>
          <w:b/>
          <w:bCs/>
          <w:color w:val="auto"/>
          <w:sz w:val="24"/>
          <w:szCs w:val="24"/>
          <w:highlight w:val="none"/>
          <w:u w:val="single"/>
        </w:rPr>
        <w:t>000.00</w:t>
      </w:r>
      <w:r>
        <w:rPr>
          <w:rFonts w:hint="eastAsia" w:ascii="宋体" w:hAnsi="宋体" w:cs="宋体"/>
          <w:b/>
          <w:bCs/>
          <w:color w:val="auto"/>
          <w:sz w:val="24"/>
          <w:szCs w:val="24"/>
          <w:highlight w:val="none"/>
        </w:rPr>
        <w:t xml:space="preserve"> 元）</w:t>
      </w:r>
      <w:r>
        <w:rPr>
          <w:rFonts w:hint="eastAsia" w:ascii="宋体" w:hAnsi="宋体" w:cs="宋体"/>
          <w:b/>
          <w:bCs/>
          <w:color w:val="auto"/>
          <w:sz w:val="24"/>
          <w:szCs w:val="24"/>
          <w:highlight w:val="none"/>
          <w:lang w:eastAsia="zh-CN"/>
        </w:rPr>
        <w:t>；</w:t>
      </w:r>
    </w:p>
    <w:p>
      <w:pPr>
        <w:pStyle w:val="10"/>
        <w:spacing w:line="360" w:lineRule="auto"/>
        <w:ind w:firstLine="482" w:firstLineChars="200"/>
        <w:rPr>
          <w:rFonts w:hint="eastAsia" w:ascii="宋体" w:hAnsi="宋体" w:cs="宋体"/>
          <w:b/>
          <w:bCs/>
          <w:color w:val="auto"/>
          <w:sz w:val="24"/>
          <w:szCs w:val="24"/>
          <w:highlight w:val="none"/>
          <w:lang w:eastAsia="zh-CN"/>
        </w:rPr>
      </w:pPr>
      <w:r>
        <w:rPr>
          <w:rFonts w:hint="eastAsia" w:ascii="宋体" w:hAnsi="宋体" w:cs="宋体"/>
          <w:b/>
          <w:bCs/>
          <w:color w:val="auto"/>
          <w:sz w:val="24"/>
          <w:szCs w:val="24"/>
          <w:highlight w:val="none"/>
        </w:rPr>
        <w:t>标</w:t>
      </w:r>
      <w:r>
        <w:rPr>
          <w:rFonts w:hint="eastAsia" w:ascii="宋体" w:hAnsi="宋体" w:cs="宋体"/>
          <w:b/>
          <w:bCs/>
          <w:color w:val="auto"/>
          <w:sz w:val="24"/>
          <w:szCs w:val="24"/>
          <w:highlight w:val="none"/>
          <w:lang w:val="en-US" w:eastAsia="zh-CN"/>
        </w:rPr>
        <w:t>段五</w:t>
      </w:r>
      <w:r>
        <w:rPr>
          <w:rFonts w:hint="eastAsia" w:ascii="宋体" w:hAnsi="宋体" w:cs="宋体"/>
          <w:b/>
          <w:bCs/>
          <w:color w:val="auto"/>
          <w:sz w:val="24"/>
          <w:szCs w:val="24"/>
          <w:highlight w:val="none"/>
        </w:rPr>
        <w:t>最高限价为人民币</w:t>
      </w:r>
      <w:r>
        <w:rPr>
          <w:rFonts w:hint="eastAsia" w:ascii="宋体" w:hAnsi="宋体" w:cs="宋体"/>
          <w:b/>
          <w:bCs/>
          <w:color w:val="auto"/>
          <w:sz w:val="24"/>
          <w:szCs w:val="24"/>
          <w:highlight w:val="none"/>
          <w:u w:val="single"/>
        </w:rPr>
        <w:t xml:space="preserve"> </w:t>
      </w:r>
      <w:r>
        <w:rPr>
          <w:rFonts w:hint="eastAsia" w:ascii="宋体" w:hAnsi="宋体" w:cs="宋体"/>
          <w:b/>
          <w:bCs/>
          <w:color w:val="auto"/>
          <w:sz w:val="24"/>
          <w:szCs w:val="24"/>
          <w:highlight w:val="none"/>
          <w:u w:val="single"/>
          <w:lang w:val="en-US" w:eastAsia="zh-CN"/>
        </w:rPr>
        <w:t>肆拾万</w:t>
      </w:r>
      <w:r>
        <w:rPr>
          <w:rFonts w:hint="eastAsia" w:ascii="宋体" w:hAnsi="宋体" w:cs="宋体"/>
          <w:b/>
          <w:bCs/>
          <w:color w:val="auto"/>
          <w:sz w:val="24"/>
          <w:szCs w:val="24"/>
          <w:highlight w:val="none"/>
          <w:u w:val="single"/>
        </w:rPr>
        <w:t xml:space="preserve"> </w:t>
      </w:r>
      <w:r>
        <w:rPr>
          <w:rFonts w:hint="eastAsia" w:ascii="宋体" w:hAnsi="宋体" w:cs="宋体"/>
          <w:b/>
          <w:bCs/>
          <w:color w:val="auto"/>
          <w:sz w:val="24"/>
          <w:szCs w:val="24"/>
          <w:highlight w:val="none"/>
        </w:rPr>
        <w:t>元</w:t>
      </w:r>
      <w:r>
        <w:rPr>
          <w:rFonts w:hint="eastAsia" w:ascii="宋体" w:hAnsi="宋体" w:cs="宋体"/>
          <w:b/>
          <w:bCs/>
          <w:color w:val="auto"/>
          <w:sz w:val="24"/>
          <w:szCs w:val="24"/>
          <w:highlight w:val="none"/>
          <w:lang w:val="en-US" w:eastAsia="zh-CN"/>
        </w:rPr>
        <w:t>整</w:t>
      </w:r>
      <w:r>
        <w:rPr>
          <w:rFonts w:hint="eastAsia" w:ascii="宋体" w:hAnsi="宋体" w:cs="宋体"/>
          <w:b/>
          <w:bCs/>
          <w:color w:val="auto"/>
          <w:sz w:val="24"/>
          <w:szCs w:val="24"/>
          <w:highlight w:val="none"/>
        </w:rPr>
        <w:t>（小写</w:t>
      </w:r>
      <w:r>
        <w:rPr>
          <w:rFonts w:hint="eastAsia" w:ascii="宋体" w:hAnsi="宋体" w:cs="宋体"/>
          <w:b/>
          <w:bCs/>
          <w:color w:val="auto"/>
          <w:sz w:val="24"/>
          <w:szCs w:val="24"/>
          <w:highlight w:val="none"/>
          <w:lang w:val="en-US" w:eastAsia="zh-CN"/>
        </w:rPr>
        <w:t xml:space="preserve"> </w:t>
      </w:r>
      <w:r>
        <w:rPr>
          <w:rFonts w:hint="eastAsia" w:ascii="宋体" w:hAnsi="宋体" w:cs="宋体"/>
          <w:b/>
          <w:bCs/>
          <w:color w:val="auto"/>
          <w:sz w:val="24"/>
          <w:szCs w:val="24"/>
          <w:highlight w:val="none"/>
          <w:u w:val="single"/>
          <w:lang w:val="en-US" w:eastAsia="zh-CN"/>
        </w:rPr>
        <w:t>4000</w:t>
      </w:r>
      <w:r>
        <w:rPr>
          <w:rFonts w:hint="eastAsia" w:ascii="宋体" w:hAnsi="宋体" w:cs="宋体"/>
          <w:b/>
          <w:bCs/>
          <w:color w:val="auto"/>
          <w:sz w:val="24"/>
          <w:szCs w:val="24"/>
          <w:highlight w:val="none"/>
          <w:u w:val="single"/>
        </w:rPr>
        <w:t xml:space="preserve">00.00 </w:t>
      </w:r>
      <w:r>
        <w:rPr>
          <w:rFonts w:hint="eastAsia" w:ascii="宋体" w:hAnsi="宋体" w:cs="宋体"/>
          <w:b/>
          <w:bCs/>
          <w:color w:val="auto"/>
          <w:sz w:val="24"/>
          <w:szCs w:val="24"/>
          <w:highlight w:val="none"/>
        </w:rPr>
        <w:t>元）</w:t>
      </w:r>
      <w:r>
        <w:rPr>
          <w:rFonts w:hint="eastAsia" w:ascii="宋体" w:hAnsi="宋体" w:cs="宋体"/>
          <w:b/>
          <w:bCs/>
          <w:color w:val="auto"/>
          <w:sz w:val="24"/>
          <w:szCs w:val="24"/>
          <w:highlight w:val="none"/>
          <w:lang w:eastAsia="zh-CN"/>
        </w:rPr>
        <w:t>。</w:t>
      </w:r>
    </w:p>
    <w:p>
      <w:pPr>
        <w:spacing w:line="360" w:lineRule="auto"/>
        <w:ind w:firstLine="482" w:firstLineChars="200"/>
        <w:rPr>
          <w:rFonts w:ascii="宋体"/>
          <w:b/>
          <w:bCs/>
          <w:color w:val="auto"/>
          <w:sz w:val="24"/>
          <w:szCs w:val="24"/>
          <w:highlight w:val="none"/>
        </w:rPr>
      </w:pPr>
      <w:r>
        <w:rPr>
          <w:rFonts w:hint="eastAsia" w:ascii="宋体" w:hAnsi="宋体" w:cs="宋体"/>
          <w:b/>
          <w:bCs/>
          <w:color w:val="auto"/>
          <w:sz w:val="24"/>
          <w:szCs w:val="24"/>
          <w:highlight w:val="none"/>
        </w:rPr>
        <w:t>最高限价由采购人根据市场价格的调查设定，并且不高于本项目财政预算。</w:t>
      </w:r>
    </w:p>
    <w:p>
      <w:pP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2</w:t>
      </w:r>
      <w:r>
        <w:rPr>
          <w:rFonts w:hint="eastAsia" w:ascii="宋体" w:hAnsi="宋体" w:cs="宋体"/>
          <w:color w:val="auto"/>
          <w:sz w:val="24"/>
          <w:szCs w:val="24"/>
          <w:highlight w:val="none"/>
        </w:rPr>
        <w:t>、供应商的报价在最高限价内的，为有效报价。</w:t>
      </w:r>
    </w:p>
    <w:p>
      <w:pP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3</w:t>
      </w:r>
      <w:r>
        <w:rPr>
          <w:rFonts w:hint="eastAsia" w:ascii="宋体" w:hAnsi="宋体" w:cs="宋体"/>
          <w:color w:val="auto"/>
          <w:sz w:val="24"/>
          <w:szCs w:val="24"/>
          <w:highlight w:val="none"/>
        </w:rPr>
        <w:t>、本次评标设有最佳报价。</w:t>
      </w:r>
      <w:r>
        <w:rPr>
          <w:rFonts w:hint="eastAsia" w:ascii="宋体" w:hAnsi="宋体" w:cs="宋体"/>
          <w:color w:val="auto"/>
          <w:highlight w:val="none"/>
        </w:rPr>
        <w:t>最</w:t>
      </w:r>
      <w:r>
        <w:rPr>
          <w:rFonts w:hint="eastAsia" w:ascii="宋体" w:hAnsi="宋体" w:cs="宋体"/>
          <w:color w:val="auto"/>
          <w:sz w:val="24"/>
          <w:szCs w:val="24"/>
          <w:highlight w:val="none"/>
        </w:rPr>
        <w:t>佳报价确定方式：根据所有入围供应商有效报价中的最低报价作为最佳报价。</w:t>
      </w:r>
    </w:p>
    <w:p>
      <w:pP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4</w:t>
      </w:r>
      <w:r>
        <w:rPr>
          <w:rFonts w:hint="eastAsia" w:ascii="宋体" w:hAnsi="宋体" w:cs="宋体"/>
          <w:color w:val="auto"/>
          <w:sz w:val="24"/>
          <w:szCs w:val="24"/>
          <w:highlight w:val="none"/>
        </w:rPr>
        <w:t>、最佳报价者的报价分为满分，其他供应商的有效报价与最佳报价相比，按下列方法计算其报价分：</w:t>
      </w:r>
    </w:p>
    <w:p>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投标价格分</w:t>
      </w:r>
      <w:r>
        <w:rPr>
          <w:rFonts w:ascii="宋体" w:hAnsi="宋体" w:cs="宋体"/>
          <w:color w:val="auto"/>
          <w:sz w:val="24"/>
          <w:szCs w:val="24"/>
          <w:highlight w:val="none"/>
        </w:rPr>
        <w:t>=(</w:t>
      </w:r>
      <w:r>
        <w:rPr>
          <w:rFonts w:hint="eastAsia" w:ascii="宋体" w:hAnsi="宋体" w:cs="宋体"/>
          <w:color w:val="auto"/>
          <w:sz w:val="24"/>
          <w:szCs w:val="24"/>
          <w:highlight w:val="none"/>
        </w:rPr>
        <w:t>最佳报价</w:t>
      </w:r>
      <w:r>
        <w:rPr>
          <w:rFonts w:ascii="宋体" w:hAnsi="宋体" w:cs="宋体"/>
          <w:color w:val="auto"/>
          <w:sz w:val="24"/>
          <w:szCs w:val="24"/>
          <w:highlight w:val="none"/>
        </w:rPr>
        <w:t>/</w:t>
      </w:r>
      <w:r>
        <w:rPr>
          <w:rFonts w:hint="eastAsia" w:ascii="宋体" w:hAnsi="宋体" w:cs="宋体"/>
          <w:color w:val="auto"/>
          <w:sz w:val="24"/>
          <w:szCs w:val="24"/>
          <w:highlight w:val="none"/>
        </w:rPr>
        <w:t>投标报价</w:t>
      </w:r>
      <w:r>
        <w:rPr>
          <w:rFonts w:ascii="宋体" w:hAnsi="宋体" w:cs="宋体"/>
          <w:color w:val="auto"/>
          <w:sz w:val="24"/>
          <w:szCs w:val="24"/>
          <w:highlight w:val="none"/>
        </w:rPr>
        <w:t>)*</w:t>
      </w:r>
      <w:r>
        <w:rPr>
          <w:rFonts w:hint="eastAsia" w:ascii="宋体" w:hAnsi="宋体" w:cs="宋体"/>
          <w:color w:val="auto"/>
          <w:sz w:val="24"/>
          <w:szCs w:val="24"/>
          <w:highlight w:val="none"/>
        </w:rPr>
        <w:t>价格权值</w:t>
      </w:r>
      <w:r>
        <w:rPr>
          <w:rFonts w:ascii="宋体" w:hAnsi="宋体" w:cs="宋体"/>
          <w:color w:val="auto"/>
          <w:sz w:val="24"/>
          <w:szCs w:val="24"/>
          <w:highlight w:val="none"/>
        </w:rPr>
        <w:t>*100</w:t>
      </w:r>
      <w:r>
        <w:rPr>
          <w:rFonts w:hint="eastAsia" w:ascii="宋体" w:hAnsi="宋体" w:cs="宋体"/>
          <w:color w:val="auto"/>
          <w:sz w:val="24"/>
          <w:szCs w:val="24"/>
          <w:highlight w:val="none"/>
        </w:rPr>
        <w:t>。</w:t>
      </w:r>
    </w:p>
    <w:p>
      <w:pP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5</w:t>
      </w:r>
      <w:r>
        <w:rPr>
          <w:rFonts w:hint="eastAsia" w:ascii="宋体" w:hAnsi="宋体" w:cs="宋体"/>
          <w:color w:val="auto"/>
          <w:sz w:val="24"/>
          <w:szCs w:val="24"/>
          <w:highlight w:val="none"/>
        </w:rPr>
        <w:t>、当报价一览表与磋商报价明细表报价不一致时，以报价一览表为准，磋商报价明细表报价予以修正并由授权代表签字确认，拒绝修正或确认的，则做无效标处理。</w:t>
      </w:r>
    </w:p>
    <w:p>
      <w:pP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6</w:t>
      </w:r>
      <w:r>
        <w:rPr>
          <w:rFonts w:hint="eastAsia" w:ascii="宋体" w:hAnsi="宋体" w:cs="宋体"/>
          <w:color w:val="auto"/>
          <w:sz w:val="24"/>
          <w:szCs w:val="24"/>
          <w:highlight w:val="none"/>
        </w:rPr>
        <w:t>、响应文件只允许有一个报价，磋商报价应按磋商文件中相关附表格式填报，该磋商报价应与明细报价汇总相等，且不允许出现报价优惠、赠送等字样（明细出现“</w:t>
      </w:r>
      <w:r>
        <w:rPr>
          <w:rFonts w:ascii="宋体" w:cs="宋体"/>
          <w:color w:val="auto"/>
          <w:sz w:val="24"/>
          <w:szCs w:val="24"/>
          <w:highlight w:val="none"/>
        </w:rPr>
        <w:t>0</w:t>
      </w:r>
      <w:r>
        <w:rPr>
          <w:rFonts w:hint="eastAsia" w:ascii="宋体" w:hAnsi="宋体" w:cs="宋体"/>
          <w:color w:val="auto"/>
          <w:sz w:val="24"/>
          <w:szCs w:val="24"/>
          <w:highlight w:val="none"/>
        </w:rPr>
        <w:t>”元，视同赠送）</w:t>
      </w:r>
      <w:r>
        <w:rPr>
          <w:rFonts w:ascii="宋体" w:cs="宋体"/>
          <w:color w:val="auto"/>
          <w:sz w:val="24"/>
          <w:szCs w:val="24"/>
          <w:highlight w:val="none"/>
        </w:rPr>
        <w:t>,</w:t>
      </w:r>
      <w:r>
        <w:rPr>
          <w:rFonts w:hint="eastAsia" w:ascii="宋体" w:hAnsi="宋体" w:cs="宋体"/>
          <w:color w:val="auto"/>
          <w:sz w:val="24"/>
          <w:szCs w:val="24"/>
          <w:highlight w:val="none"/>
        </w:rPr>
        <w:t>如出现则做</w:t>
      </w:r>
      <w:r>
        <w:rPr>
          <w:rFonts w:hint="eastAsia" w:ascii="宋体" w:hAnsi="宋体" w:cs="宋体"/>
          <w:b/>
          <w:bCs/>
          <w:color w:val="auto"/>
          <w:sz w:val="24"/>
          <w:szCs w:val="24"/>
          <w:highlight w:val="none"/>
        </w:rPr>
        <w:t>无效响应</w:t>
      </w:r>
      <w:r>
        <w:rPr>
          <w:rFonts w:hint="eastAsia" w:ascii="宋体" w:hAnsi="宋体" w:cs="宋体"/>
          <w:color w:val="auto"/>
          <w:sz w:val="24"/>
          <w:szCs w:val="24"/>
          <w:highlight w:val="none"/>
        </w:rPr>
        <w:t>处理。</w:t>
      </w:r>
    </w:p>
    <w:p>
      <w:pPr>
        <w:autoSpaceDE w:val="0"/>
        <w:autoSpaceDN w:val="0"/>
        <w:spacing w:line="360" w:lineRule="auto"/>
        <w:ind w:firstLine="482"/>
        <w:rPr>
          <w:rFonts w:ascii="宋体"/>
          <w:color w:val="auto"/>
          <w:sz w:val="24"/>
          <w:szCs w:val="24"/>
          <w:highlight w:val="none"/>
        </w:rPr>
      </w:pPr>
      <w:r>
        <w:rPr>
          <w:rFonts w:ascii="宋体" w:hAnsi="宋体" w:cs="宋体"/>
          <w:color w:val="auto"/>
          <w:sz w:val="24"/>
          <w:szCs w:val="24"/>
          <w:highlight w:val="none"/>
        </w:rPr>
        <w:t>7</w:t>
      </w:r>
      <w:r>
        <w:rPr>
          <w:rFonts w:hint="eastAsia" w:ascii="宋体" w:hAnsi="宋体" w:cs="宋体"/>
          <w:color w:val="auto"/>
          <w:sz w:val="24"/>
          <w:szCs w:val="24"/>
          <w:highlight w:val="none"/>
        </w:rPr>
        <w:t>、</w:t>
      </w:r>
      <w:r>
        <w:rPr>
          <w:rFonts w:hint="eastAsia" w:ascii="宋体" w:hAnsi="宋体" w:cs="宋体"/>
          <w:b/>
          <w:bCs/>
          <w:color w:val="auto"/>
          <w:sz w:val="24"/>
          <w:szCs w:val="24"/>
          <w:highlight w:val="none"/>
        </w:rPr>
        <w:t>投标价格的合理性</w:t>
      </w:r>
      <w:r>
        <w:rPr>
          <w:rFonts w:hint="eastAsia" w:ascii="宋体" w:hAnsi="宋体" w:cs="宋体"/>
          <w:color w:val="auto"/>
          <w:sz w:val="24"/>
          <w:szCs w:val="24"/>
          <w:highlight w:val="none"/>
        </w:rPr>
        <w:t>：</w:t>
      </w:r>
      <w:r>
        <w:rPr>
          <w:rFonts w:hint="eastAsia" w:ascii="Arial" w:hAnsi="Arial" w:cs="宋体"/>
          <w:color w:val="auto"/>
          <w:sz w:val="24"/>
          <w:szCs w:val="24"/>
          <w:highlight w:val="none"/>
        </w:rPr>
        <w:t>评标委员会认为供应商的报价明显低于其他通过符合性审查供应商的报价，有可能影响产品质量或者不能诚信履约的，应当要求其在评标现场合理的时间内提供书面说明，必要时提交相关证明材料；供应商不能证明其报价合理性的，评标委员会应当将其作为无效响应处理。</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8、价格扣除：小微企业是指在中华人民共和国境内依法设立，依据国务院批准的中小企业划分标准确定的小型企业和微型企业，但与大企业的负责人为同一人，或者与大企业存在直接控股、管理关系的除外。</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符合中小企业划分标准的个体工商户，在政府采购活动中视同中小企业。</w:t>
      </w:r>
    </w:p>
    <w:p>
      <w:pPr>
        <w:spacing w:line="360" w:lineRule="auto"/>
        <w:ind w:firstLine="480" w:firstLineChars="200"/>
        <w:rPr>
          <w:rFonts w:ascii="宋体" w:hAnsi="宋体" w:cs="宋体"/>
          <w:bCs/>
          <w:color w:val="auto"/>
          <w:sz w:val="24"/>
          <w:szCs w:val="32"/>
          <w:highlight w:val="none"/>
        </w:rPr>
      </w:pPr>
      <w:r>
        <w:rPr>
          <w:rFonts w:hint="eastAsia"/>
          <w:color w:val="auto"/>
          <w:sz w:val="24"/>
          <w:szCs w:val="24"/>
          <w:highlight w:val="none"/>
        </w:rPr>
        <w:t>在货物采购项目中，货物由小微企业制造，即货物由小微企业生产且使用该小微企业商号或者注册商标。供应商提供的货物既有中小企业制造货物，也有大型企业制造货物的，不享受中小企业扶持政策。</w:t>
      </w:r>
    </w:p>
    <w:p>
      <w:pPr>
        <w:spacing w:line="360" w:lineRule="auto"/>
        <w:ind w:firstLine="480" w:firstLineChars="200"/>
        <w:rPr>
          <w:color w:val="auto"/>
          <w:highlight w:val="none"/>
        </w:rPr>
      </w:pPr>
      <w:r>
        <w:rPr>
          <w:rFonts w:hint="eastAsia"/>
          <w:color w:val="auto"/>
          <w:sz w:val="24"/>
          <w:szCs w:val="24"/>
          <w:highlight w:val="none"/>
        </w:rPr>
        <w:t>在服务采购项目中，服务由小微企业承接，即提供服务的人员为小微企业依照《中华人民共和国劳动合同法》订立劳动合同的从业人员。</w:t>
      </w:r>
    </w:p>
    <w:p>
      <w:pPr>
        <w:ind w:firstLine="480" w:firstLineChars="200"/>
        <w:rPr>
          <w:color w:val="auto"/>
          <w:sz w:val="24"/>
          <w:szCs w:val="24"/>
          <w:highlight w:val="none"/>
        </w:rPr>
      </w:pPr>
      <w:r>
        <w:rPr>
          <w:rFonts w:hint="eastAsia"/>
          <w:color w:val="auto"/>
          <w:sz w:val="24"/>
          <w:szCs w:val="24"/>
          <w:highlight w:val="none"/>
        </w:rPr>
        <w:t>联合体各方均为小型、微型企业的，联合体视同为小型、微型企业。</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符合上述条件的中小微型企业应按照招标文件附件12的格式要求提供《中小企业声明函》。符合《关于促进残疾人就业政府采购政策的通知》（财库〔2017〕141号）规定的条件并提供《残疾人福利性单位声明函》（附件13）的残疾人福利性单位视同小型、微型企业；根据《关于政府采购支持监狱企业发展有关问题的通知》（财库[2014]68号）的规定，供应商提供由省级以上监狱管理局、戒毒管理局（含新疆生产建设兵团）出具的属于监狱企业证明文件的，视同为小型和微型企业。</w:t>
      </w:r>
    </w:p>
    <w:p>
      <w:pPr>
        <w:spacing w:line="360" w:lineRule="auto"/>
        <w:ind w:firstLine="480" w:firstLineChars="200"/>
        <w:rPr>
          <w:rFonts w:hint="eastAsia" w:ascii="宋体" w:hAnsi="宋体"/>
          <w:color w:val="auto"/>
          <w:sz w:val="24"/>
          <w:szCs w:val="21"/>
          <w:highlight w:val="none"/>
        </w:rPr>
      </w:pPr>
      <w:r>
        <w:rPr>
          <w:rFonts w:hint="eastAsia" w:ascii="宋体" w:hAnsi="宋体"/>
          <w:color w:val="auto"/>
          <w:sz w:val="24"/>
          <w:szCs w:val="21"/>
          <w:highlight w:val="none"/>
        </w:rPr>
        <w:t>根据浙江省财政厅发布的《浙江省财政厅关于进一步加大政府采购支持中小企业力度 助力扎实稳住经济的通知》（浙财采监〔2022〕8号）规定，货物和服务项目中未预留份额专门面向中小企业采购的，以及预留份额项目中的非预留部分采购包，采购单位、采购代理机构应结合项目实际，对符合规定的小微企业报价原则上按最高优惠幅度20%给予扣除，用扣除后的价格参加评审；对于联合协议或者分包意向协议约定小微企业的合同份额占到合同总金额30%以上的，采购单位、采购代理机构应结合项目实际，对联合体或者大中型企业的报价原则上按最高优惠幅度6%给予扣除，用扣除后的价格参加评审。（中标价及合同价仍以其投标报价为准）</w:t>
      </w:r>
    </w:p>
    <w:p>
      <w:pPr>
        <w:spacing w:line="360" w:lineRule="auto"/>
        <w:ind w:firstLine="480" w:firstLineChars="200"/>
        <w:rPr>
          <w:rFonts w:ascii="宋体"/>
          <w:color w:val="auto"/>
          <w:sz w:val="24"/>
          <w:szCs w:val="24"/>
          <w:highlight w:val="none"/>
        </w:rPr>
      </w:pPr>
      <w:r>
        <w:rPr>
          <w:rFonts w:hint="eastAsia" w:ascii="宋体" w:hAnsi="宋体"/>
          <w:color w:val="auto"/>
          <w:sz w:val="24"/>
          <w:szCs w:val="21"/>
          <w:highlight w:val="none"/>
        </w:rPr>
        <w:t>组成联合体或者接受分包的小微企业与联合体内其他企业、分包企业之间存在直接控股、管理关系的，不享受价格扣除优惠政策。联合体各方均为小型、微型企业的，联合体视同为小型、微型企业</w:t>
      </w:r>
      <w:r>
        <w:rPr>
          <w:rFonts w:hint="eastAsia" w:ascii="宋体" w:hAnsi="宋体" w:cs="宋体"/>
          <w:color w:val="auto"/>
          <w:sz w:val="24"/>
          <w:szCs w:val="24"/>
          <w:highlight w:val="none"/>
        </w:rPr>
        <w:t>。</w:t>
      </w:r>
    </w:p>
    <w:p>
      <w:pPr>
        <w:spacing w:line="360" w:lineRule="auto"/>
        <w:rPr>
          <w:rFonts w:ascii="宋体" w:hAnsi="宋体" w:cs="宋体"/>
          <w:b/>
          <w:bCs/>
          <w:color w:val="auto"/>
          <w:sz w:val="24"/>
          <w:szCs w:val="24"/>
          <w:highlight w:val="none"/>
        </w:rPr>
      </w:pPr>
    </w:p>
    <w:p>
      <w:pPr>
        <w:numPr>
          <w:ilvl w:val="0"/>
          <w:numId w:val="19"/>
        </w:numPr>
        <w:spacing w:line="360" w:lineRule="auto"/>
        <w:ind w:firstLine="482" w:firstLineChars="200"/>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商务技术文件评标内容及标准（</w:t>
      </w:r>
      <w:r>
        <w:rPr>
          <w:rFonts w:ascii="宋体" w:hAnsi="宋体" w:cs="宋体"/>
          <w:b/>
          <w:bCs/>
          <w:color w:val="auto"/>
          <w:sz w:val="24"/>
          <w:szCs w:val="24"/>
          <w:highlight w:val="none"/>
          <w:u w:val="single"/>
        </w:rPr>
        <w:t xml:space="preserve"> </w:t>
      </w:r>
      <w:r>
        <w:rPr>
          <w:rFonts w:hint="eastAsia" w:ascii="宋体" w:hAnsi="宋体" w:cs="宋体"/>
          <w:b/>
          <w:bCs/>
          <w:color w:val="auto"/>
          <w:sz w:val="24"/>
          <w:szCs w:val="24"/>
          <w:highlight w:val="none"/>
          <w:u w:val="single"/>
        </w:rPr>
        <w:t>80</w:t>
      </w:r>
      <w:r>
        <w:rPr>
          <w:rFonts w:ascii="宋体" w:hAnsi="宋体" w:cs="宋体"/>
          <w:b/>
          <w:bCs/>
          <w:color w:val="auto"/>
          <w:sz w:val="24"/>
          <w:szCs w:val="24"/>
          <w:highlight w:val="none"/>
          <w:u w:val="single"/>
        </w:rPr>
        <w:t xml:space="preserve"> </w:t>
      </w:r>
      <w:r>
        <w:rPr>
          <w:rFonts w:hint="eastAsia" w:ascii="宋体" w:hAnsi="宋体" w:cs="宋体"/>
          <w:b/>
          <w:bCs/>
          <w:color w:val="auto"/>
          <w:sz w:val="24"/>
          <w:szCs w:val="24"/>
          <w:highlight w:val="none"/>
        </w:rPr>
        <w:t>分）</w:t>
      </w:r>
      <w:r>
        <w:rPr>
          <w:rFonts w:hint="eastAsia" w:ascii="宋体" w:hAnsi="宋体" w:cs="宋体"/>
          <w:b/>
          <w:bCs/>
          <w:color w:val="auto"/>
          <w:sz w:val="24"/>
          <w:szCs w:val="24"/>
          <w:highlight w:val="none"/>
          <w:lang w:eastAsia="zh-CN"/>
        </w:rPr>
        <w:t>（</w:t>
      </w:r>
      <w:r>
        <w:rPr>
          <w:rFonts w:hint="eastAsia" w:ascii="宋体" w:hAnsi="宋体" w:cs="宋体"/>
          <w:b/>
          <w:bCs/>
          <w:color w:val="auto"/>
          <w:sz w:val="24"/>
          <w:highlight w:val="none"/>
        </w:rPr>
        <w:t>各标段</w:t>
      </w:r>
      <w:r>
        <w:rPr>
          <w:rFonts w:hint="eastAsia" w:ascii="宋体" w:hAnsi="宋体" w:cs="宋体"/>
          <w:b/>
          <w:bCs/>
          <w:color w:val="auto"/>
          <w:sz w:val="24"/>
          <w:highlight w:val="none"/>
          <w:lang w:val="en-US" w:eastAsia="zh-CN"/>
        </w:rPr>
        <w:t>标准</w:t>
      </w:r>
      <w:r>
        <w:rPr>
          <w:rFonts w:hint="eastAsia" w:ascii="宋体" w:hAnsi="宋体" w:cs="宋体"/>
          <w:b/>
          <w:bCs/>
          <w:color w:val="auto"/>
          <w:sz w:val="24"/>
          <w:highlight w:val="none"/>
        </w:rPr>
        <w:t>相同</w:t>
      </w:r>
      <w:r>
        <w:rPr>
          <w:rFonts w:hint="eastAsia" w:ascii="宋体" w:hAnsi="宋体" w:cs="宋体"/>
          <w:b/>
          <w:bCs/>
          <w:color w:val="auto"/>
          <w:sz w:val="24"/>
          <w:szCs w:val="24"/>
          <w:highlight w:val="none"/>
          <w:lang w:eastAsia="zh-CN"/>
        </w:rPr>
        <w:t>）</w:t>
      </w:r>
    </w:p>
    <w:p>
      <w:pPr>
        <w:numPr>
          <w:ilvl w:val="0"/>
          <w:numId w:val="20"/>
        </w:numPr>
        <w:spacing w:line="360" w:lineRule="auto"/>
        <w:ind w:firstLine="482" w:firstLineChars="200"/>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评分细则</w:t>
      </w:r>
    </w:p>
    <w:tbl>
      <w:tblPr>
        <w:tblStyle w:val="27"/>
        <w:tblW w:w="89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5"/>
        <w:gridCol w:w="1017"/>
        <w:gridCol w:w="5892"/>
        <w:gridCol w:w="7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spacing w:before="157" w:beforeLines="50" w:line="360" w:lineRule="auto"/>
              <w:jc w:val="center"/>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评分项目</w:t>
            </w:r>
          </w:p>
        </w:tc>
        <w:tc>
          <w:tcPr>
            <w:tcW w:w="690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spacing w:before="157" w:beforeLines="50" w:line="360" w:lineRule="auto"/>
              <w:jc w:val="center"/>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评标要点及说明</w:t>
            </w:r>
          </w:p>
        </w:tc>
        <w:tc>
          <w:tcPr>
            <w:tcW w:w="7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spacing w:before="157" w:beforeLines="50" w:line="360" w:lineRule="auto"/>
              <w:jc w:val="center"/>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45" w:type="dxa"/>
            <w:vMerge w:val="restart"/>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宋体" w:hAnsi="宋体" w:eastAsia="宋体" w:cs="宋体"/>
                <w:b w:val="0"/>
                <w:bCs w:val="0"/>
                <w:color w:val="auto"/>
                <w:sz w:val="24"/>
                <w:szCs w:val="24"/>
                <w:highlight w:val="none"/>
              </w:rPr>
            </w:pPr>
          </w:p>
          <w:p>
            <w:pPr>
              <w:keepNext w:val="0"/>
              <w:keepLines w:val="0"/>
              <w:pageBreakBefore w:val="0"/>
              <w:kinsoku/>
              <w:wordWrap/>
              <w:overflowPunct/>
              <w:topLinePunct w:val="0"/>
              <w:autoSpaceDE/>
              <w:autoSpaceDN/>
              <w:bidi w:val="0"/>
              <w:spacing w:line="360" w:lineRule="auto"/>
              <w:jc w:val="center"/>
              <w:textAlignment w:val="auto"/>
              <w:rPr>
                <w:rFonts w:hint="eastAsia" w:ascii="宋体" w:hAnsi="宋体" w:eastAsia="宋体" w:cs="宋体"/>
                <w:b w:val="0"/>
                <w:bCs w:val="0"/>
                <w:color w:val="auto"/>
                <w:sz w:val="24"/>
                <w:szCs w:val="24"/>
                <w:highlight w:val="none"/>
              </w:rPr>
            </w:pPr>
          </w:p>
          <w:p>
            <w:pPr>
              <w:keepNext w:val="0"/>
              <w:keepLines w:val="0"/>
              <w:pageBreakBefore w:val="0"/>
              <w:kinsoku/>
              <w:wordWrap/>
              <w:overflowPunct/>
              <w:topLinePunct w:val="0"/>
              <w:autoSpaceDE/>
              <w:autoSpaceDN/>
              <w:bidi w:val="0"/>
              <w:spacing w:line="360" w:lineRule="auto"/>
              <w:jc w:val="center"/>
              <w:textAlignment w:val="auto"/>
              <w:rPr>
                <w:rFonts w:hint="eastAsia" w:ascii="宋体" w:hAnsi="宋体" w:eastAsia="宋体" w:cs="宋体"/>
                <w:b w:val="0"/>
                <w:bCs w:val="0"/>
                <w:color w:val="auto"/>
                <w:sz w:val="24"/>
                <w:szCs w:val="24"/>
                <w:highlight w:val="none"/>
              </w:rPr>
            </w:pPr>
          </w:p>
          <w:p>
            <w:pPr>
              <w:keepNext w:val="0"/>
              <w:keepLines w:val="0"/>
              <w:pageBreakBefore w:val="0"/>
              <w:kinsoku/>
              <w:wordWrap/>
              <w:overflowPunct/>
              <w:topLinePunct w:val="0"/>
              <w:autoSpaceDE/>
              <w:autoSpaceDN/>
              <w:bidi w:val="0"/>
              <w:spacing w:line="360" w:lineRule="auto"/>
              <w:jc w:val="center"/>
              <w:textAlignment w:val="auto"/>
              <w:rPr>
                <w:rFonts w:hint="eastAsia" w:ascii="宋体" w:hAnsi="宋体" w:eastAsia="宋体" w:cs="宋体"/>
                <w:b w:val="0"/>
                <w:bCs w:val="0"/>
                <w:color w:val="auto"/>
                <w:sz w:val="24"/>
                <w:szCs w:val="24"/>
                <w:highlight w:val="none"/>
              </w:rPr>
            </w:pPr>
          </w:p>
          <w:p>
            <w:pPr>
              <w:keepNext w:val="0"/>
              <w:keepLines w:val="0"/>
              <w:pageBreakBefore w:val="0"/>
              <w:kinsoku/>
              <w:wordWrap/>
              <w:overflowPunct/>
              <w:topLinePunct w:val="0"/>
              <w:autoSpaceDE/>
              <w:autoSpaceDN/>
              <w:bidi w:val="0"/>
              <w:spacing w:line="360" w:lineRule="auto"/>
              <w:jc w:val="center"/>
              <w:textAlignment w:val="auto"/>
              <w:rPr>
                <w:rFonts w:hint="eastAsia" w:ascii="宋体" w:hAnsi="宋体" w:eastAsia="宋体" w:cs="宋体"/>
                <w:b w:val="0"/>
                <w:bCs w:val="0"/>
                <w:color w:val="auto"/>
                <w:sz w:val="24"/>
                <w:szCs w:val="24"/>
                <w:highlight w:val="none"/>
              </w:rPr>
            </w:pPr>
          </w:p>
          <w:p>
            <w:pPr>
              <w:keepNext w:val="0"/>
              <w:keepLines w:val="0"/>
              <w:pageBreakBefore w:val="0"/>
              <w:kinsoku/>
              <w:wordWrap/>
              <w:overflowPunct/>
              <w:topLinePunct w:val="0"/>
              <w:autoSpaceDE/>
              <w:autoSpaceDN/>
              <w:bidi w:val="0"/>
              <w:spacing w:line="360" w:lineRule="auto"/>
              <w:jc w:val="center"/>
              <w:textAlignment w:val="auto"/>
              <w:rPr>
                <w:rFonts w:hint="eastAsia" w:ascii="宋体" w:hAnsi="宋体" w:eastAsia="宋体" w:cs="宋体"/>
                <w:b w:val="0"/>
                <w:bCs w:val="0"/>
                <w:color w:val="auto"/>
                <w:sz w:val="24"/>
                <w:szCs w:val="24"/>
                <w:highlight w:val="none"/>
              </w:rPr>
            </w:pPr>
          </w:p>
          <w:p>
            <w:pPr>
              <w:keepNext w:val="0"/>
              <w:keepLines w:val="0"/>
              <w:pageBreakBefore w:val="0"/>
              <w:kinsoku/>
              <w:wordWrap/>
              <w:overflowPunct/>
              <w:topLinePunct w:val="0"/>
              <w:autoSpaceDE/>
              <w:autoSpaceDN/>
              <w:bidi w:val="0"/>
              <w:spacing w:line="360" w:lineRule="auto"/>
              <w:jc w:val="center"/>
              <w:textAlignment w:val="auto"/>
              <w:rPr>
                <w:rFonts w:hint="eastAsia" w:ascii="宋体" w:hAnsi="宋体" w:eastAsia="宋体" w:cs="宋体"/>
                <w:b w:val="0"/>
                <w:bCs w:val="0"/>
                <w:color w:val="auto"/>
                <w:sz w:val="24"/>
                <w:szCs w:val="24"/>
                <w:highlight w:val="none"/>
              </w:rPr>
            </w:pPr>
          </w:p>
          <w:p>
            <w:pPr>
              <w:keepNext w:val="0"/>
              <w:keepLines w:val="0"/>
              <w:pageBreakBefore w:val="0"/>
              <w:kinsoku/>
              <w:wordWrap/>
              <w:overflowPunct/>
              <w:topLinePunct w:val="0"/>
              <w:autoSpaceDE/>
              <w:autoSpaceDN/>
              <w:bidi w:val="0"/>
              <w:spacing w:line="360" w:lineRule="auto"/>
              <w:jc w:val="center"/>
              <w:textAlignment w:val="auto"/>
              <w:rPr>
                <w:rFonts w:hint="eastAsia" w:ascii="宋体" w:hAnsi="宋体" w:eastAsia="宋体" w:cs="宋体"/>
                <w:b w:val="0"/>
                <w:bCs w:val="0"/>
                <w:color w:val="auto"/>
                <w:sz w:val="24"/>
                <w:szCs w:val="24"/>
                <w:highlight w:val="none"/>
              </w:rPr>
            </w:pPr>
          </w:p>
          <w:p>
            <w:pPr>
              <w:keepNext w:val="0"/>
              <w:keepLines w:val="0"/>
              <w:pageBreakBefore w:val="0"/>
              <w:kinsoku/>
              <w:wordWrap/>
              <w:overflowPunct/>
              <w:topLinePunct w:val="0"/>
              <w:autoSpaceDE/>
              <w:autoSpaceDN/>
              <w:bidi w:val="0"/>
              <w:spacing w:line="360" w:lineRule="auto"/>
              <w:jc w:val="center"/>
              <w:textAlignment w:val="auto"/>
              <w:rPr>
                <w:rFonts w:hint="eastAsia" w:ascii="宋体" w:hAnsi="宋体" w:eastAsia="宋体" w:cs="宋体"/>
                <w:b w:val="0"/>
                <w:bCs w:val="0"/>
                <w:color w:val="auto"/>
                <w:sz w:val="24"/>
                <w:szCs w:val="24"/>
                <w:highlight w:val="none"/>
              </w:rPr>
            </w:pPr>
          </w:p>
          <w:p>
            <w:pPr>
              <w:keepNext w:val="0"/>
              <w:keepLines w:val="0"/>
              <w:pageBreakBefore w:val="0"/>
              <w:kinsoku/>
              <w:wordWrap/>
              <w:overflowPunct/>
              <w:topLinePunct w:val="0"/>
              <w:autoSpaceDE/>
              <w:autoSpaceDN/>
              <w:bidi w:val="0"/>
              <w:spacing w:line="360" w:lineRule="auto"/>
              <w:jc w:val="center"/>
              <w:textAlignment w:val="auto"/>
              <w:rPr>
                <w:rFonts w:hint="eastAsia" w:ascii="宋体" w:hAnsi="宋体" w:eastAsia="宋体" w:cs="宋体"/>
                <w:b w:val="0"/>
                <w:bCs w:val="0"/>
                <w:color w:val="auto"/>
                <w:sz w:val="24"/>
                <w:szCs w:val="24"/>
                <w:highlight w:val="none"/>
              </w:rPr>
            </w:pPr>
          </w:p>
          <w:p>
            <w:pPr>
              <w:keepNext w:val="0"/>
              <w:keepLines w:val="0"/>
              <w:pageBreakBefore w:val="0"/>
              <w:kinsoku/>
              <w:wordWrap/>
              <w:overflowPunct/>
              <w:topLinePunct w:val="0"/>
              <w:autoSpaceDE/>
              <w:autoSpaceDN/>
              <w:bidi w:val="0"/>
              <w:spacing w:line="360" w:lineRule="auto"/>
              <w:jc w:val="center"/>
              <w:textAlignment w:val="auto"/>
              <w:rPr>
                <w:rFonts w:hint="eastAsia" w:ascii="宋体" w:hAnsi="宋体" w:eastAsia="宋体" w:cs="宋体"/>
                <w:b w:val="0"/>
                <w:bCs w:val="0"/>
                <w:color w:val="auto"/>
                <w:sz w:val="24"/>
                <w:szCs w:val="24"/>
                <w:highlight w:val="none"/>
              </w:rPr>
            </w:pPr>
          </w:p>
          <w:p>
            <w:pPr>
              <w:keepNext w:val="0"/>
              <w:keepLines w:val="0"/>
              <w:pageBreakBefore w:val="0"/>
              <w:kinsoku/>
              <w:wordWrap/>
              <w:overflowPunct/>
              <w:topLinePunct w:val="0"/>
              <w:autoSpaceDE/>
              <w:autoSpaceDN/>
              <w:bidi w:val="0"/>
              <w:spacing w:line="360" w:lineRule="auto"/>
              <w:jc w:val="center"/>
              <w:textAlignment w:val="auto"/>
              <w:rPr>
                <w:rFonts w:hint="eastAsia" w:ascii="宋体" w:hAnsi="宋体" w:eastAsia="宋体" w:cs="宋体"/>
                <w:b w:val="0"/>
                <w:bCs w:val="0"/>
                <w:color w:val="auto"/>
                <w:sz w:val="24"/>
                <w:szCs w:val="24"/>
                <w:highlight w:val="none"/>
              </w:rPr>
            </w:pPr>
          </w:p>
          <w:p>
            <w:pPr>
              <w:keepNext w:val="0"/>
              <w:keepLines w:val="0"/>
              <w:pageBreakBefore w:val="0"/>
              <w:kinsoku/>
              <w:wordWrap/>
              <w:overflowPunct/>
              <w:topLinePunct w:val="0"/>
              <w:autoSpaceDE/>
              <w:autoSpaceDN/>
              <w:bidi w:val="0"/>
              <w:spacing w:line="360" w:lineRule="auto"/>
              <w:jc w:val="center"/>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技术</w:t>
            </w:r>
          </w:p>
          <w:p>
            <w:pPr>
              <w:keepNext w:val="0"/>
              <w:keepLines w:val="0"/>
              <w:pageBreakBefore w:val="0"/>
              <w:kinsoku/>
              <w:wordWrap/>
              <w:overflowPunct/>
              <w:topLinePunct w:val="0"/>
              <w:autoSpaceDE/>
              <w:autoSpaceDN/>
              <w:bidi w:val="0"/>
              <w:spacing w:line="360" w:lineRule="auto"/>
              <w:jc w:val="center"/>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w:t>
            </w:r>
            <w:r>
              <w:rPr>
                <w:rFonts w:hint="eastAsia" w:ascii="宋体" w:hAnsi="宋体" w:eastAsia="宋体" w:cs="宋体"/>
                <w:b w:val="0"/>
                <w:bCs w:val="0"/>
                <w:color w:val="auto"/>
                <w:sz w:val="24"/>
                <w:szCs w:val="24"/>
                <w:highlight w:val="none"/>
                <w:lang w:val="en-US" w:eastAsia="zh-CN"/>
              </w:rPr>
              <w:t>70</w:t>
            </w:r>
            <w:r>
              <w:rPr>
                <w:rFonts w:hint="eastAsia" w:ascii="宋体" w:hAnsi="宋体" w:eastAsia="宋体" w:cs="宋体"/>
                <w:b w:val="0"/>
                <w:bCs w:val="0"/>
                <w:color w:val="auto"/>
                <w:sz w:val="24"/>
                <w:szCs w:val="24"/>
                <w:highlight w:val="none"/>
              </w:rPr>
              <w:t>）</w:t>
            </w:r>
          </w:p>
        </w:tc>
        <w:tc>
          <w:tcPr>
            <w:tcW w:w="1017" w:type="dxa"/>
            <w:vMerge w:val="restart"/>
            <w:tcBorders>
              <w:top w:val="single" w:color="auto" w:sz="4" w:space="0"/>
              <w:left w:val="single" w:color="auto" w:sz="4" w:space="0"/>
              <w:right w:val="single" w:color="auto" w:sz="4" w:space="0"/>
            </w:tcBorders>
            <w:noWrap w:val="0"/>
            <w:vAlign w:val="center"/>
          </w:tcPr>
          <w:p>
            <w:pPr>
              <w:jc w:val="center"/>
              <w:rPr>
                <w:rFonts w:hint="eastAsia" w:ascii="宋体" w:hAnsi="宋体" w:eastAsia="宋体" w:cs="宋体"/>
                <w:b w:val="0"/>
                <w:bCs w:val="0"/>
                <w:color w:val="auto"/>
                <w:kern w:val="2"/>
                <w:sz w:val="24"/>
                <w:szCs w:val="24"/>
                <w:highlight w:val="none"/>
                <w:lang w:val="en-US" w:eastAsia="zh-CN" w:bidi="ar-SA"/>
              </w:rPr>
            </w:pPr>
            <w:r>
              <w:rPr>
                <w:rFonts w:hint="default" w:ascii="Times New Roman" w:hAnsi="Times New Roman" w:cs="Times New Roman"/>
                <w:color w:val="auto"/>
                <w:kern w:val="2"/>
                <w:sz w:val="24"/>
                <w:szCs w:val="24"/>
                <w:highlight w:val="none"/>
                <w:lang w:bidi="ar"/>
              </w:rPr>
              <w:t>项目方案及工作思路</w:t>
            </w:r>
          </w:p>
        </w:tc>
        <w:tc>
          <w:tcPr>
            <w:tcW w:w="5892" w:type="dxa"/>
            <w:tcBorders>
              <w:top w:val="single" w:color="auto" w:sz="4" w:space="0"/>
              <w:left w:val="single" w:color="auto" w:sz="4" w:space="0"/>
              <w:right w:val="single" w:color="auto" w:sz="4" w:space="0"/>
            </w:tcBorders>
            <w:noWrap w:val="0"/>
            <w:vAlign w:val="center"/>
          </w:tcPr>
          <w:p>
            <w:pPr>
              <w:spacing w:line="360" w:lineRule="auto"/>
              <w:ind w:firstLine="480" w:firstLineChars="200"/>
              <w:jc w:val="left"/>
              <w:rPr>
                <w:rFonts w:hint="eastAsia" w:ascii="宋体" w:hAnsi="宋体" w:eastAsia="宋体" w:cs="宋体"/>
                <w:b w:val="0"/>
                <w:bCs w:val="0"/>
                <w:color w:val="auto"/>
                <w:kern w:val="2"/>
                <w:sz w:val="24"/>
                <w:szCs w:val="24"/>
                <w:highlight w:val="none"/>
                <w:lang w:val="en-US" w:eastAsia="zh-CN" w:bidi="ar-SA"/>
              </w:rPr>
            </w:pPr>
            <w:r>
              <w:rPr>
                <w:rFonts w:hint="eastAsia" w:ascii="宋体" w:hAnsi="宋体" w:cs="宋体"/>
                <w:b w:val="0"/>
                <w:bCs/>
                <w:color w:val="auto"/>
                <w:sz w:val="24"/>
                <w:szCs w:val="24"/>
                <w:highlight w:val="none"/>
              </w:rPr>
              <w:t>对本项目的认识与理解：</w:t>
            </w:r>
            <w:r>
              <w:rPr>
                <w:rFonts w:hint="default" w:ascii="Times New Roman" w:hAnsi="Times New Roman" w:eastAsia="宋体" w:cs="Times New Roman"/>
                <w:color w:val="auto"/>
                <w:kern w:val="2"/>
                <w:sz w:val="24"/>
                <w:szCs w:val="24"/>
                <w:highlight w:val="none"/>
                <w:lang w:bidi="ar"/>
              </w:rPr>
              <w:t>评委根据供应商</w:t>
            </w:r>
            <w:r>
              <w:rPr>
                <w:rFonts w:hint="eastAsia" w:ascii="宋体" w:hAnsi="宋体" w:cs="宋体"/>
                <w:color w:val="auto"/>
                <w:sz w:val="24"/>
                <w:szCs w:val="24"/>
                <w:highlight w:val="none"/>
              </w:rPr>
              <w:t>对本项目招标</w:t>
            </w:r>
            <w:r>
              <w:rPr>
                <w:rFonts w:ascii="宋体" w:hAnsi="宋体" w:cs="宋体"/>
                <w:color w:val="auto"/>
                <w:sz w:val="24"/>
                <w:szCs w:val="24"/>
                <w:highlight w:val="none"/>
              </w:rPr>
              <w:t>需求</w:t>
            </w:r>
            <w:r>
              <w:rPr>
                <w:rFonts w:hint="eastAsia" w:ascii="宋体" w:hAnsi="宋体" w:cs="宋体"/>
                <w:color w:val="auto"/>
                <w:sz w:val="24"/>
                <w:szCs w:val="24"/>
                <w:highlight w:val="none"/>
              </w:rPr>
              <w:t>、工作任务的理解</w:t>
            </w:r>
            <w:r>
              <w:rPr>
                <w:rFonts w:hint="eastAsia" w:ascii="宋体" w:hAnsi="宋体" w:cs="宋体"/>
                <w:color w:val="auto"/>
                <w:sz w:val="24"/>
                <w:szCs w:val="24"/>
                <w:highlight w:val="none"/>
                <w:lang w:val="en-US" w:eastAsia="zh-CN"/>
              </w:rPr>
              <w:t>的</w:t>
            </w:r>
            <w:r>
              <w:rPr>
                <w:rFonts w:hint="eastAsia" w:ascii="宋体" w:hAnsi="宋体" w:cs="宋体"/>
                <w:color w:val="auto"/>
                <w:sz w:val="24"/>
                <w:szCs w:val="24"/>
                <w:highlight w:val="none"/>
              </w:rPr>
              <w:t>全面</w:t>
            </w:r>
            <w:r>
              <w:rPr>
                <w:rFonts w:hint="eastAsia" w:ascii="宋体" w:hAnsi="宋体" w:cs="宋体"/>
                <w:color w:val="auto"/>
                <w:sz w:val="24"/>
                <w:szCs w:val="24"/>
                <w:highlight w:val="none"/>
                <w:lang w:val="en-US" w:eastAsia="zh-CN"/>
              </w:rPr>
              <w:t>性</w:t>
            </w:r>
            <w:r>
              <w:rPr>
                <w:rFonts w:hint="eastAsia" w:ascii="宋体" w:hAnsi="宋体" w:cs="宋体"/>
                <w:color w:val="auto"/>
                <w:sz w:val="24"/>
                <w:szCs w:val="24"/>
                <w:highlight w:val="none"/>
              </w:rPr>
              <w:t>和准确</w:t>
            </w:r>
            <w:r>
              <w:rPr>
                <w:rFonts w:hint="eastAsia" w:ascii="宋体" w:hAnsi="宋体" w:cs="宋体"/>
                <w:color w:val="auto"/>
                <w:sz w:val="24"/>
                <w:szCs w:val="24"/>
                <w:highlight w:val="none"/>
                <w:lang w:val="en-US" w:eastAsia="zh-CN"/>
              </w:rPr>
              <w:t>性进行打分</w:t>
            </w:r>
            <w:r>
              <w:rPr>
                <w:rFonts w:hint="eastAsia" w:ascii="宋体" w:hAnsi="宋体" w:cs="宋体"/>
                <w:color w:val="auto"/>
                <w:sz w:val="24"/>
                <w:szCs w:val="24"/>
                <w:highlight w:val="none"/>
              </w:rPr>
              <w:t>，由评标委员会综合比较情况，酌情打分</w:t>
            </w:r>
            <w:r>
              <w:rPr>
                <w:rFonts w:hint="eastAsia" w:ascii="宋体" w:hAnsi="宋体" w:cs="宋体"/>
                <w:color w:val="auto"/>
                <w:sz w:val="24"/>
                <w:highlight w:val="none"/>
                <w:lang w:eastAsia="zh-CN"/>
              </w:rPr>
              <w:t>。</w:t>
            </w:r>
          </w:p>
        </w:tc>
        <w:tc>
          <w:tcPr>
            <w:tcW w:w="76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sz w:val="24"/>
                <w:szCs w:val="24"/>
                <w:highlight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45"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360" w:lineRule="auto"/>
              <w:jc w:val="left"/>
              <w:textAlignment w:val="auto"/>
              <w:rPr>
                <w:rFonts w:hint="eastAsia" w:ascii="宋体" w:hAnsi="宋体" w:eastAsia="宋体" w:cs="宋体"/>
                <w:b w:val="0"/>
                <w:bCs w:val="0"/>
                <w:color w:val="auto"/>
                <w:sz w:val="24"/>
                <w:szCs w:val="24"/>
                <w:highlight w:val="none"/>
              </w:rPr>
            </w:pPr>
          </w:p>
        </w:tc>
        <w:tc>
          <w:tcPr>
            <w:tcW w:w="1017" w:type="dxa"/>
            <w:vMerge w:val="continue"/>
            <w:tcBorders>
              <w:left w:val="single" w:color="auto" w:sz="4" w:space="0"/>
              <w:right w:val="single" w:color="auto" w:sz="4" w:space="0"/>
            </w:tcBorders>
            <w:noWrap w:val="0"/>
            <w:vAlign w:val="center"/>
          </w:tcPr>
          <w:p>
            <w:pPr>
              <w:jc w:val="center"/>
              <w:rPr>
                <w:rFonts w:hint="eastAsia" w:ascii="宋体" w:hAnsi="宋体" w:eastAsia="宋体" w:cs="宋体"/>
                <w:b w:val="0"/>
                <w:bCs w:val="0"/>
                <w:color w:val="auto"/>
                <w:sz w:val="24"/>
                <w:szCs w:val="24"/>
                <w:highlight w:val="none"/>
                <w:lang w:val="en-US" w:eastAsia="zh-CN"/>
              </w:rPr>
            </w:pPr>
          </w:p>
        </w:tc>
        <w:tc>
          <w:tcPr>
            <w:tcW w:w="5892" w:type="dxa"/>
            <w:tcBorders>
              <w:top w:val="single" w:color="auto" w:sz="4" w:space="0"/>
              <w:left w:val="single" w:color="auto" w:sz="4" w:space="0"/>
              <w:right w:val="single" w:color="auto" w:sz="4" w:space="0"/>
            </w:tcBorders>
            <w:noWrap w:val="0"/>
            <w:vAlign w:val="center"/>
          </w:tcPr>
          <w:p>
            <w:pPr>
              <w:spacing w:line="360" w:lineRule="auto"/>
              <w:ind w:firstLine="480" w:firstLineChars="200"/>
              <w:jc w:val="left"/>
              <w:rPr>
                <w:rFonts w:hint="eastAsia" w:ascii="宋体" w:hAnsi="宋体" w:eastAsia="宋体" w:cs="宋体"/>
                <w:b w:val="0"/>
                <w:bCs w:val="0"/>
                <w:color w:val="auto"/>
                <w:sz w:val="24"/>
                <w:szCs w:val="24"/>
                <w:highlight w:val="none"/>
                <w:lang w:val="en-US" w:eastAsia="zh-CN"/>
              </w:rPr>
            </w:pPr>
            <w:r>
              <w:rPr>
                <w:rFonts w:hint="default" w:ascii="宋体" w:hAnsi="宋体" w:cs="宋体"/>
                <w:color w:val="auto"/>
                <w:sz w:val="24"/>
                <w:szCs w:val="24"/>
                <w:highlight w:val="none"/>
              </w:rPr>
              <w:t>现状分析：评委根据供应商对村庄基本情况</w:t>
            </w:r>
            <w:r>
              <w:rPr>
                <w:rFonts w:hint="default" w:ascii="宋体" w:hAnsi="宋体" w:cs="宋体"/>
                <w:color w:val="auto"/>
                <w:sz w:val="24"/>
                <w:szCs w:val="24"/>
                <w:highlight w:val="none"/>
                <w:lang w:val="en-US" w:eastAsia="zh-CN"/>
              </w:rPr>
              <w:t>的分析，包括建设条件、空间意向、</w:t>
            </w:r>
            <w:r>
              <w:rPr>
                <w:rFonts w:hint="eastAsia" w:ascii="宋体" w:hAnsi="宋体" w:cs="宋体"/>
                <w:color w:val="auto"/>
                <w:sz w:val="24"/>
                <w:szCs w:val="24"/>
                <w:highlight w:val="none"/>
                <w:lang w:val="en-US" w:eastAsia="zh-CN"/>
              </w:rPr>
              <w:t>现状问题</w:t>
            </w:r>
            <w:r>
              <w:rPr>
                <w:rFonts w:hint="default" w:ascii="宋体" w:hAnsi="宋体" w:cs="宋体"/>
                <w:color w:val="auto"/>
                <w:sz w:val="24"/>
                <w:szCs w:val="24"/>
                <w:highlight w:val="none"/>
                <w:lang w:val="en-US" w:eastAsia="zh-CN"/>
              </w:rPr>
              <w:t>、服务设施</w:t>
            </w:r>
            <w:r>
              <w:rPr>
                <w:rFonts w:hint="default" w:ascii="宋体" w:hAnsi="宋体" w:cs="宋体"/>
                <w:color w:val="auto"/>
                <w:sz w:val="24"/>
                <w:szCs w:val="24"/>
                <w:highlight w:val="none"/>
              </w:rPr>
              <w:t>等</w:t>
            </w:r>
            <w:r>
              <w:rPr>
                <w:rFonts w:hint="default" w:ascii="宋体" w:hAnsi="宋体" w:cs="宋体"/>
                <w:color w:val="auto"/>
                <w:sz w:val="24"/>
                <w:szCs w:val="24"/>
                <w:highlight w:val="none"/>
                <w:lang w:val="en-US" w:eastAsia="zh-CN"/>
              </w:rPr>
              <w:t>问题研判</w:t>
            </w:r>
            <w:r>
              <w:rPr>
                <w:rFonts w:hint="eastAsia" w:ascii="宋体" w:hAnsi="宋体" w:cs="宋体"/>
                <w:color w:val="auto"/>
                <w:sz w:val="24"/>
                <w:szCs w:val="24"/>
                <w:highlight w:val="none"/>
                <w:lang w:val="en-US" w:eastAsia="zh-CN"/>
              </w:rPr>
              <w:t>对</w:t>
            </w:r>
            <w:r>
              <w:rPr>
                <w:rFonts w:hint="default" w:ascii="宋体" w:hAnsi="宋体" w:cs="宋体"/>
                <w:color w:val="auto"/>
                <w:sz w:val="24"/>
                <w:szCs w:val="24"/>
                <w:highlight w:val="none"/>
                <w:lang w:val="en-US" w:eastAsia="zh-CN"/>
              </w:rPr>
              <w:t>村庄现状情况</w:t>
            </w:r>
            <w:r>
              <w:rPr>
                <w:rFonts w:hint="eastAsia" w:ascii="宋体" w:hAnsi="宋体" w:cs="宋体"/>
                <w:color w:val="auto"/>
                <w:sz w:val="24"/>
                <w:szCs w:val="24"/>
                <w:highlight w:val="none"/>
                <w:lang w:val="en-US" w:eastAsia="zh-CN"/>
              </w:rPr>
              <w:t>的</w:t>
            </w:r>
            <w:r>
              <w:rPr>
                <w:rFonts w:hint="default" w:ascii="宋体" w:hAnsi="宋体" w:cs="宋体"/>
                <w:color w:val="auto"/>
                <w:sz w:val="24"/>
                <w:szCs w:val="24"/>
                <w:highlight w:val="none"/>
                <w:lang w:val="en-US" w:eastAsia="zh-CN"/>
              </w:rPr>
              <w:t>符合</w:t>
            </w:r>
            <w:r>
              <w:rPr>
                <w:rFonts w:hint="eastAsia" w:ascii="宋体" w:hAnsi="宋体" w:cs="宋体"/>
                <w:color w:val="auto"/>
                <w:sz w:val="24"/>
                <w:szCs w:val="24"/>
                <w:highlight w:val="none"/>
                <w:lang w:val="en-US" w:eastAsia="zh-CN"/>
              </w:rPr>
              <w:t>性</w:t>
            </w:r>
            <w:r>
              <w:rPr>
                <w:rFonts w:hint="default" w:ascii="宋体" w:hAnsi="宋体" w:cs="宋体"/>
                <w:color w:val="auto"/>
                <w:sz w:val="24"/>
                <w:szCs w:val="24"/>
                <w:highlight w:val="none"/>
              </w:rPr>
              <w:t>进行打分。</w:t>
            </w:r>
          </w:p>
        </w:tc>
        <w:tc>
          <w:tcPr>
            <w:tcW w:w="765" w:type="dxa"/>
            <w:tcBorders>
              <w:top w:val="single" w:color="auto" w:sz="4" w:space="0"/>
              <w:left w:val="single" w:color="auto" w:sz="4" w:space="0"/>
              <w:right w:val="single" w:color="auto" w:sz="4" w:space="0"/>
            </w:tcBorders>
            <w:noWrap w:val="0"/>
            <w:vAlign w:val="center"/>
          </w:tcPr>
          <w:p>
            <w:pPr>
              <w:spacing w:line="360" w:lineRule="auto"/>
              <w:jc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45"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360" w:lineRule="auto"/>
              <w:jc w:val="left"/>
              <w:textAlignment w:val="auto"/>
              <w:rPr>
                <w:rFonts w:hint="eastAsia" w:ascii="宋体" w:hAnsi="宋体" w:eastAsia="宋体" w:cs="宋体"/>
                <w:b w:val="0"/>
                <w:bCs w:val="0"/>
                <w:color w:val="auto"/>
                <w:sz w:val="24"/>
                <w:szCs w:val="24"/>
                <w:highlight w:val="none"/>
              </w:rPr>
            </w:pPr>
          </w:p>
        </w:tc>
        <w:tc>
          <w:tcPr>
            <w:tcW w:w="1017" w:type="dxa"/>
            <w:vMerge w:val="continue"/>
            <w:tcBorders>
              <w:top w:val="single" w:color="auto" w:sz="4" w:space="0"/>
              <w:left w:val="single" w:color="auto" w:sz="4" w:space="0"/>
              <w:right w:val="single" w:color="auto" w:sz="4" w:space="0"/>
            </w:tcBorders>
            <w:noWrap w:val="0"/>
            <w:vAlign w:val="center"/>
          </w:tcPr>
          <w:p>
            <w:pPr>
              <w:rPr>
                <w:rFonts w:hint="eastAsia" w:ascii="宋体" w:hAnsi="宋体" w:eastAsia="宋体" w:cs="宋体"/>
                <w:b w:val="0"/>
                <w:bCs w:val="0"/>
                <w:color w:val="auto"/>
                <w:sz w:val="24"/>
                <w:szCs w:val="24"/>
                <w:highlight w:val="none"/>
                <w:lang w:val="en-US" w:eastAsia="zh-CN"/>
              </w:rPr>
            </w:pPr>
          </w:p>
        </w:tc>
        <w:tc>
          <w:tcPr>
            <w:tcW w:w="5892" w:type="dxa"/>
            <w:tcBorders>
              <w:top w:val="single" w:color="auto" w:sz="4" w:space="0"/>
              <w:left w:val="single" w:color="auto" w:sz="4" w:space="0"/>
              <w:right w:val="single" w:color="auto" w:sz="4" w:space="0"/>
            </w:tcBorders>
            <w:noWrap w:val="0"/>
            <w:vAlign w:val="center"/>
          </w:tcPr>
          <w:p>
            <w:pPr>
              <w:spacing w:line="360" w:lineRule="auto"/>
              <w:ind w:firstLine="480" w:firstLineChars="200"/>
              <w:jc w:val="left"/>
              <w:rPr>
                <w:rFonts w:hint="eastAsia" w:ascii="宋体" w:hAnsi="宋体" w:eastAsia="宋体" w:cs="宋体"/>
                <w:b w:val="0"/>
                <w:bCs w:val="0"/>
                <w:color w:val="auto"/>
                <w:sz w:val="24"/>
                <w:szCs w:val="24"/>
                <w:highlight w:val="none"/>
                <w:lang w:val="en-US" w:eastAsia="zh-CN"/>
              </w:rPr>
            </w:pPr>
            <w:r>
              <w:rPr>
                <w:rFonts w:hint="eastAsia" w:ascii="宋体" w:hAnsi="宋体" w:cs="宋体"/>
                <w:color w:val="auto"/>
                <w:sz w:val="24"/>
                <w:szCs w:val="24"/>
                <w:highlight w:val="none"/>
                <w:lang w:val="en-US" w:eastAsia="zh-CN"/>
              </w:rPr>
              <w:t>定位判研</w:t>
            </w:r>
            <w:r>
              <w:rPr>
                <w:rFonts w:hint="default" w:ascii="宋体" w:hAnsi="宋体" w:cs="宋体"/>
                <w:color w:val="auto"/>
                <w:sz w:val="24"/>
                <w:szCs w:val="24"/>
                <w:highlight w:val="none"/>
              </w:rPr>
              <w:t>：评委根据供应商结合</w:t>
            </w:r>
            <w:r>
              <w:rPr>
                <w:rFonts w:hint="default" w:ascii="宋体" w:hAnsi="宋体" w:cs="宋体"/>
                <w:color w:val="auto"/>
                <w:sz w:val="24"/>
                <w:szCs w:val="24"/>
                <w:highlight w:val="none"/>
                <w:lang w:val="en-US" w:eastAsia="zh-CN"/>
              </w:rPr>
              <w:t>村庄实际情况判定村庄的目标定位</w:t>
            </w:r>
            <w:r>
              <w:rPr>
                <w:rFonts w:hint="default" w:ascii="宋体" w:hAnsi="宋体" w:cs="宋体"/>
                <w:color w:val="auto"/>
                <w:sz w:val="24"/>
                <w:szCs w:val="24"/>
                <w:highlight w:val="none"/>
              </w:rPr>
              <w:t>的科学性、合理性及可行性进行打分。</w:t>
            </w:r>
          </w:p>
        </w:tc>
        <w:tc>
          <w:tcPr>
            <w:tcW w:w="765" w:type="dxa"/>
            <w:tcBorders>
              <w:top w:val="single" w:color="auto" w:sz="4" w:space="0"/>
              <w:left w:val="single" w:color="auto" w:sz="4" w:space="0"/>
              <w:right w:val="single" w:color="auto" w:sz="4" w:space="0"/>
            </w:tcBorders>
            <w:noWrap w:val="0"/>
            <w:vAlign w:val="center"/>
          </w:tcPr>
          <w:p>
            <w:pPr>
              <w:spacing w:line="360" w:lineRule="auto"/>
              <w:jc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45"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360" w:lineRule="auto"/>
              <w:jc w:val="left"/>
              <w:textAlignment w:val="auto"/>
              <w:rPr>
                <w:rFonts w:hint="eastAsia" w:ascii="宋体" w:hAnsi="宋体" w:eastAsia="宋体" w:cs="宋体"/>
                <w:b w:val="0"/>
                <w:bCs w:val="0"/>
                <w:color w:val="auto"/>
                <w:sz w:val="24"/>
                <w:szCs w:val="24"/>
                <w:highlight w:val="none"/>
              </w:rPr>
            </w:pPr>
          </w:p>
        </w:tc>
        <w:tc>
          <w:tcPr>
            <w:tcW w:w="1017" w:type="dxa"/>
            <w:vMerge w:val="continue"/>
            <w:tcBorders>
              <w:left w:val="single" w:color="auto" w:sz="4" w:space="0"/>
              <w:right w:val="single" w:color="auto" w:sz="4" w:space="0"/>
            </w:tcBorders>
            <w:noWrap w:val="0"/>
            <w:vAlign w:val="center"/>
          </w:tcPr>
          <w:p>
            <w:pPr>
              <w:rPr>
                <w:rFonts w:hint="eastAsia" w:ascii="宋体" w:hAnsi="宋体" w:eastAsia="宋体" w:cs="宋体"/>
                <w:b w:val="0"/>
                <w:bCs w:val="0"/>
                <w:color w:val="auto"/>
                <w:sz w:val="24"/>
                <w:szCs w:val="24"/>
                <w:highlight w:val="none"/>
              </w:rPr>
            </w:pPr>
          </w:p>
        </w:tc>
        <w:tc>
          <w:tcPr>
            <w:tcW w:w="5892" w:type="dxa"/>
            <w:tcBorders>
              <w:top w:val="single" w:color="auto" w:sz="4" w:space="0"/>
              <w:left w:val="single" w:color="auto" w:sz="4" w:space="0"/>
              <w:right w:val="single" w:color="auto" w:sz="4" w:space="0"/>
            </w:tcBorders>
            <w:noWrap w:val="0"/>
            <w:vAlign w:val="center"/>
          </w:tcPr>
          <w:p>
            <w:pPr>
              <w:spacing w:line="360" w:lineRule="auto"/>
              <w:ind w:firstLine="480" w:firstLineChars="200"/>
              <w:jc w:val="left"/>
              <w:rPr>
                <w:rFonts w:hint="eastAsia" w:ascii="宋体" w:hAnsi="宋体" w:eastAsia="宋体" w:cs="宋体"/>
                <w:b w:val="0"/>
                <w:bCs w:val="0"/>
                <w:color w:val="auto"/>
                <w:sz w:val="24"/>
                <w:szCs w:val="24"/>
                <w:highlight w:val="none"/>
                <w:lang w:val="en-US" w:eastAsia="zh-CN"/>
              </w:rPr>
            </w:pPr>
            <w:r>
              <w:rPr>
                <w:rFonts w:hint="default" w:ascii="宋体" w:hAnsi="宋体" w:cs="宋体"/>
                <w:color w:val="auto"/>
                <w:sz w:val="24"/>
                <w:szCs w:val="24"/>
                <w:highlight w:val="none"/>
                <w:lang w:val="en-US" w:eastAsia="zh-CN"/>
              </w:rPr>
              <w:t>产业</w:t>
            </w:r>
            <w:r>
              <w:rPr>
                <w:rFonts w:hint="eastAsia" w:ascii="宋体" w:hAnsi="宋体" w:cs="宋体"/>
                <w:color w:val="auto"/>
                <w:sz w:val="24"/>
                <w:szCs w:val="24"/>
                <w:highlight w:val="none"/>
                <w:lang w:val="en-US" w:eastAsia="zh-CN"/>
              </w:rPr>
              <w:t>发展</w:t>
            </w:r>
            <w:r>
              <w:rPr>
                <w:rFonts w:hint="default" w:ascii="宋体" w:hAnsi="宋体" w:cs="宋体"/>
                <w:color w:val="auto"/>
                <w:sz w:val="24"/>
                <w:szCs w:val="24"/>
                <w:highlight w:val="none"/>
                <w:lang w:val="en-US" w:eastAsia="zh-CN"/>
              </w:rPr>
              <w:t>：评委根据供应商结合村庄现状产业情况分析村庄产业发展的科学性、合理性及可行性进行打分。</w:t>
            </w:r>
          </w:p>
        </w:tc>
        <w:tc>
          <w:tcPr>
            <w:tcW w:w="765" w:type="dxa"/>
            <w:tcBorders>
              <w:top w:val="single" w:color="auto" w:sz="4" w:space="0"/>
              <w:left w:val="single" w:color="auto" w:sz="4" w:space="0"/>
              <w:right w:val="single" w:color="auto" w:sz="4" w:space="0"/>
            </w:tcBorders>
            <w:noWrap w:val="0"/>
            <w:vAlign w:val="center"/>
          </w:tcPr>
          <w:p>
            <w:pPr>
              <w:spacing w:line="360" w:lineRule="auto"/>
              <w:jc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45"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360" w:lineRule="auto"/>
              <w:jc w:val="left"/>
              <w:textAlignment w:val="auto"/>
              <w:rPr>
                <w:rFonts w:hint="eastAsia" w:ascii="宋体" w:hAnsi="宋体" w:eastAsia="宋体" w:cs="宋体"/>
                <w:b w:val="0"/>
                <w:bCs w:val="0"/>
                <w:color w:val="auto"/>
                <w:sz w:val="24"/>
                <w:szCs w:val="24"/>
                <w:highlight w:val="none"/>
              </w:rPr>
            </w:pPr>
          </w:p>
        </w:tc>
        <w:tc>
          <w:tcPr>
            <w:tcW w:w="1017" w:type="dxa"/>
            <w:vMerge w:val="continue"/>
            <w:tcBorders>
              <w:left w:val="single" w:color="auto" w:sz="4" w:space="0"/>
              <w:right w:val="single" w:color="auto" w:sz="4" w:space="0"/>
            </w:tcBorders>
            <w:noWrap w:val="0"/>
            <w:vAlign w:val="center"/>
          </w:tcPr>
          <w:p>
            <w:pPr>
              <w:rPr>
                <w:rFonts w:hint="eastAsia" w:ascii="宋体" w:hAnsi="宋体" w:eastAsia="宋体" w:cs="宋体"/>
                <w:b w:val="0"/>
                <w:bCs w:val="0"/>
                <w:color w:val="auto"/>
                <w:sz w:val="24"/>
                <w:szCs w:val="24"/>
                <w:highlight w:val="none"/>
              </w:rPr>
            </w:pPr>
          </w:p>
        </w:tc>
        <w:tc>
          <w:tcPr>
            <w:tcW w:w="5892" w:type="dxa"/>
            <w:tcBorders>
              <w:top w:val="single" w:color="auto" w:sz="4" w:space="0"/>
              <w:left w:val="single" w:color="auto" w:sz="4" w:space="0"/>
              <w:right w:val="single" w:color="auto" w:sz="4" w:space="0"/>
            </w:tcBorders>
            <w:noWrap w:val="0"/>
            <w:vAlign w:val="center"/>
          </w:tcPr>
          <w:p>
            <w:pPr>
              <w:spacing w:line="360" w:lineRule="auto"/>
              <w:ind w:firstLine="480" w:firstLineChars="200"/>
              <w:jc w:val="left"/>
              <w:rPr>
                <w:rFonts w:hint="eastAsia" w:ascii="宋体" w:hAnsi="宋体" w:eastAsia="宋体" w:cs="宋体"/>
                <w:b w:val="0"/>
                <w:bCs w:val="0"/>
                <w:color w:val="auto"/>
                <w:sz w:val="24"/>
                <w:szCs w:val="24"/>
                <w:highlight w:val="none"/>
              </w:rPr>
            </w:pPr>
            <w:r>
              <w:rPr>
                <w:rFonts w:hint="eastAsia" w:ascii="宋体" w:hAnsi="宋体" w:cs="宋体"/>
                <w:color w:val="auto"/>
                <w:sz w:val="24"/>
                <w:szCs w:val="24"/>
                <w:highlight w:val="none"/>
                <w:lang w:val="en-US" w:eastAsia="zh-CN"/>
              </w:rPr>
              <w:t>规划衔接：</w:t>
            </w:r>
            <w:r>
              <w:rPr>
                <w:rFonts w:hint="default" w:ascii="宋体" w:hAnsi="宋体" w:cs="宋体"/>
                <w:color w:val="auto"/>
                <w:sz w:val="24"/>
                <w:szCs w:val="24"/>
                <w:highlight w:val="none"/>
                <w:lang w:val="en-US" w:eastAsia="zh-CN"/>
              </w:rPr>
              <w:t>评委根据供应商</w:t>
            </w:r>
            <w:r>
              <w:rPr>
                <w:rFonts w:hint="eastAsia" w:ascii="宋体" w:hAnsi="宋体" w:cs="宋体"/>
                <w:color w:val="auto"/>
                <w:sz w:val="24"/>
                <w:szCs w:val="24"/>
                <w:highlight w:val="none"/>
                <w:lang w:val="en-US" w:eastAsia="zh-CN"/>
              </w:rPr>
              <w:t>与各类相关规划的衔接分析科学性、合理性进行打分。</w:t>
            </w:r>
          </w:p>
        </w:tc>
        <w:tc>
          <w:tcPr>
            <w:tcW w:w="765" w:type="dxa"/>
            <w:tcBorders>
              <w:top w:val="single" w:color="auto" w:sz="4" w:space="0"/>
              <w:left w:val="single" w:color="auto" w:sz="4" w:space="0"/>
              <w:right w:val="single" w:color="auto" w:sz="4" w:space="0"/>
            </w:tcBorders>
            <w:noWrap w:val="0"/>
            <w:vAlign w:val="center"/>
          </w:tcPr>
          <w:p>
            <w:pPr>
              <w:spacing w:line="360" w:lineRule="auto"/>
              <w:jc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45"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360" w:lineRule="auto"/>
              <w:jc w:val="left"/>
              <w:textAlignment w:val="auto"/>
              <w:rPr>
                <w:rFonts w:hint="eastAsia" w:ascii="宋体" w:hAnsi="宋体" w:eastAsia="宋体" w:cs="宋体"/>
                <w:b w:val="0"/>
                <w:bCs w:val="0"/>
                <w:color w:val="auto"/>
                <w:sz w:val="24"/>
                <w:szCs w:val="24"/>
                <w:highlight w:val="none"/>
              </w:rPr>
            </w:pPr>
          </w:p>
        </w:tc>
        <w:tc>
          <w:tcPr>
            <w:tcW w:w="1017" w:type="dxa"/>
            <w:vMerge w:val="continue"/>
            <w:tcBorders>
              <w:left w:val="single" w:color="auto" w:sz="4" w:space="0"/>
              <w:right w:val="single" w:color="auto" w:sz="4" w:space="0"/>
            </w:tcBorders>
            <w:noWrap w:val="0"/>
            <w:vAlign w:val="center"/>
          </w:tcPr>
          <w:p>
            <w:pPr>
              <w:rPr>
                <w:rFonts w:hint="eastAsia" w:ascii="宋体" w:hAnsi="宋体" w:eastAsia="宋体" w:cs="宋体"/>
                <w:b w:val="0"/>
                <w:bCs w:val="0"/>
                <w:color w:val="auto"/>
                <w:sz w:val="24"/>
                <w:szCs w:val="24"/>
                <w:highlight w:val="none"/>
              </w:rPr>
            </w:pPr>
          </w:p>
        </w:tc>
        <w:tc>
          <w:tcPr>
            <w:tcW w:w="5892" w:type="dxa"/>
            <w:tcBorders>
              <w:top w:val="single" w:color="auto" w:sz="4" w:space="0"/>
              <w:left w:val="single" w:color="auto" w:sz="4" w:space="0"/>
              <w:right w:val="single" w:color="auto" w:sz="4" w:space="0"/>
            </w:tcBorders>
            <w:noWrap w:val="0"/>
            <w:vAlign w:val="center"/>
          </w:tcPr>
          <w:p>
            <w:pPr>
              <w:spacing w:line="360" w:lineRule="auto"/>
              <w:ind w:firstLine="480" w:firstLineChars="200"/>
              <w:jc w:val="left"/>
              <w:rPr>
                <w:rFonts w:hint="eastAsia" w:ascii="宋体" w:hAnsi="宋体" w:eastAsia="宋体" w:cs="宋体"/>
                <w:b w:val="0"/>
                <w:bCs w:val="0"/>
                <w:color w:val="auto"/>
                <w:sz w:val="24"/>
                <w:szCs w:val="24"/>
                <w:highlight w:val="none"/>
                <w:lang w:val="en-US" w:eastAsia="zh-CN"/>
              </w:rPr>
            </w:pPr>
            <w:r>
              <w:rPr>
                <w:rFonts w:hint="default" w:ascii="宋体" w:hAnsi="宋体" w:cs="宋体"/>
                <w:color w:val="auto"/>
                <w:sz w:val="24"/>
                <w:szCs w:val="24"/>
                <w:highlight w:val="none"/>
                <w:lang w:val="en-US" w:eastAsia="zh-CN"/>
              </w:rPr>
              <w:t>特色挖掘：评委根据供应商规划的乡村整体景观、特色风貌及村庄设计的科学性、合理性及可行性进行打分。</w:t>
            </w:r>
          </w:p>
        </w:tc>
        <w:tc>
          <w:tcPr>
            <w:tcW w:w="765" w:type="dxa"/>
            <w:tcBorders>
              <w:top w:val="single" w:color="auto" w:sz="4" w:space="0"/>
              <w:left w:val="single" w:color="auto" w:sz="4" w:space="0"/>
              <w:right w:val="single" w:color="auto" w:sz="4" w:space="0"/>
            </w:tcBorders>
            <w:noWrap w:val="0"/>
            <w:vAlign w:val="center"/>
          </w:tcPr>
          <w:p>
            <w:pPr>
              <w:spacing w:line="360" w:lineRule="auto"/>
              <w:jc w:val="center"/>
              <w:rPr>
                <w:rFonts w:hint="default"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45"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360" w:lineRule="auto"/>
              <w:jc w:val="left"/>
              <w:textAlignment w:val="auto"/>
              <w:rPr>
                <w:rFonts w:hint="eastAsia" w:ascii="宋体" w:hAnsi="宋体" w:eastAsia="宋体" w:cs="宋体"/>
                <w:b w:val="0"/>
                <w:bCs w:val="0"/>
                <w:color w:val="auto"/>
                <w:sz w:val="24"/>
                <w:szCs w:val="24"/>
                <w:highlight w:val="none"/>
              </w:rPr>
            </w:pPr>
          </w:p>
        </w:tc>
        <w:tc>
          <w:tcPr>
            <w:tcW w:w="1017" w:type="dxa"/>
            <w:vMerge w:val="continue"/>
            <w:tcBorders>
              <w:top w:val="single" w:color="auto" w:sz="4" w:space="0"/>
              <w:left w:val="single" w:color="auto" w:sz="4" w:space="0"/>
              <w:right w:val="single" w:color="auto" w:sz="4" w:space="0"/>
            </w:tcBorders>
            <w:noWrap w:val="0"/>
            <w:vAlign w:val="center"/>
          </w:tcPr>
          <w:p>
            <w:pPr>
              <w:rPr>
                <w:rFonts w:hint="eastAsia" w:ascii="宋体" w:hAnsi="宋体" w:eastAsia="宋体" w:cs="宋体"/>
                <w:b w:val="0"/>
                <w:bCs w:val="0"/>
                <w:color w:val="auto"/>
                <w:sz w:val="24"/>
                <w:szCs w:val="24"/>
                <w:highlight w:val="none"/>
                <w:lang w:val="en-US" w:eastAsia="zh-CN"/>
              </w:rPr>
            </w:pPr>
          </w:p>
        </w:tc>
        <w:tc>
          <w:tcPr>
            <w:tcW w:w="5892" w:type="dxa"/>
            <w:tcBorders>
              <w:top w:val="single" w:color="auto" w:sz="4" w:space="0"/>
              <w:left w:val="single" w:color="auto" w:sz="4" w:space="0"/>
              <w:right w:val="single" w:color="auto" w:sz="4" w:space="0"/>
            </w:tcBorders>
            <w:noWrap w:val="0"/>
            <w:vAlign w:val="center"/>
          </w:tcPr>
          <w:p>
            <w:pPr>
              <w:spacing w:line="360" w:lineRule="auto"/>
              <w:ind w:firstLine="480" w:firstLineChars="200"/>
              <w:jc w:val="left"/>
              <w:rPr>
                <w:rFonts w:hint="eastAsia" w:ascii="宋体" w:hAnsi="宋体" w:eastAsia="宋体" w:cs="宋体"/>
                <w:b w:val="0"/>
                <w:bCs w:val="0"/>
                <w:color w:val="auto"/>
                <w:sz w:val="24"/>
                <w:szCs w:val="24"/>
                <w:highlight w:val="none"/>
                <w:lang w:val="en-US" w:eastAsia="zh-CN"/>
              </w:rPr>
            </w:pPr>
            <w:r>
              <w:rPr>
                <w:rFonts w:hint="eastAsia" w:ascii="宋体" w:hAnsi="宋体" w:cs="宋体"/>
                <w:color w:val="auto"/>
                <w:sz w:val="24"/>
                <w:szCs w:val="24"/>
                <w:highlight w:val="none"/>
                <w:lang w:val="en-US" w:eastAsia="zh-CN"/>
              </w:rPr>
              <w:t>历史传承：评委根据供应商对村庄历史文化传承挖掘、乡村空间肌理保护分析的科学性、合理性进行打分。</w:t>
            </w:r>
          </w:p>
        </w:tc>
        <w:tc>
          <w:tcPr>
            <w:tcW w:w="765" w:type="dxa"/>
            <w:tcBorders>
              <w:top w:val="single" w:color="auto" w:sz="4" w:space="0"/>
              <w:left w:val="single" w:color="auto" w:sz="4" w:space="0"/>
              <w:right w:val="single" w:color="auto" w:sz="4" w:space="0"/>
            </w:tcBorders>
            <w:noWrap w:val="0"/>
            <w:vAlign w:val="center"/>
          </w:tcPr>
          <w:p>
            <w:pPr>
              <w:spacing w:line="360" w:lineRule="auto"/>
              <w:jc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45"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360" w:lineRule="auto"/>
              <w:jc w:val="left"/>
              <w:textAlignment w:val="auto"/>
              <w:rPr>
                <w:rFonts w:hint="eastAsia" w:ascii="宋体" w:hAnsi="宋体" w:eastAsia="宋体" w:cs="宋体"/>
                <w:b w:val="0"/>
                <w:bCs w:val="0"/>
                <w:color w:val="auto"/>
                <w:sz w:val="24"/>
                <w:szCs w:val="24"/>
                <w:highlight w:val="none"/>
              </w:rPr>
            </w:pPr>
          </w:p>
        </w:tc>
        <w:tc>
          <w:tcPr>
            <w:tcW w:w="1017" w:type="dxa"/>
            <w:vMerge w:val="continue"/>
            <w:tcBorders>
              <w:left w:val="single" w:color="auto" w:sz="4" w:space="0"/>
              <w:right w:val="single" w:color="auto" w:sz="4" w:space="0"/>
            </w:tcBorders>
            <w:noWrap w:val="0"/>
            <w:vAlign w:val="center"/>
          </w:tcPr>
          <w:p>
            <w:pPr>
              <w:rPr>
                <w:rFonts w:hint="eastAsia" w:ascii="宋体" w:hAnsi="宋体" w:eastAsia="宋体" w:cs="宋体"/>
                <w:b w:val="0"/>
                <w:bCs w:val="0"/>
                <w:color w:val="auto"/>
                <w:sz w:val="24"/>
                <w:szCs w:val="24"/>
                <w:highlight w:val="none"/>
                <w:lang w:val="en-US" w:eastAsia="zh-CN"/>
              </w:rPr>
            </w:pPr>
          </w:p>
        </w:tc>
        <w:tc>
          <w:tcPr>
            <w:tcW w:w="5892" w:type="dxa"/>
            <w:tcBorders>
              <w:top w:val="single" w:color="auto" w:sz="4" w:space="0"/>
              <w:left w:val="single" w:color="auto" w:sz="4" w:space="0"/>
              <w:right w:val="single" w:color="auto" w:sz="4" w:space="0"/>
            </w:tcBorders>
            <w:noWrap w:val="0"/>
            <w:vAlign w:val="center"/>
          </w:tcPr>
          <w:p>
            <w:pPr>
              <w:spacing w:line="360" w:lineRule="auto"/>
              <w:ind w:firstLine="480" w:firstLineChars="200"/>
              <w:jc w:val="left"/>
              <w:rPr>
                <w:rFonts w:hint="eastAsia" w:cs="Times New Roman"/>
                <w:color w:val="auto"/>
                <w:kern w:val="2"/>
                <w:sz w:val="24"/>
                <w:szCs w:val="24"/>
                <w:highlight w:val="none"/>
                <w:lang w:val="en-US" w:eastAsia="zh-CN" w:bidi="ar"/>
              </w:rPr>
            </w:pPr>
            <w:r>
              <w:rPr>
                <w:rFonts w:hint="default" w:ascii="宋体" w:hAnsi="宋体" w:cs="宋体"/>
                <w:color w:val="auto"/>
                <w:sz w:val="24"/>
                <w:szCs w:val="24"/>
                <w:highlight w:val="none"/>
              </w:rPr>
              <w:t>空间</w:t>
            </w:r>
            <w:r>
              <w:rPr>
                <w:rFonts w:hint="eastAsia" w:ascii="宋体" w:hAnsi="宋体" w:cs="宋体"/>
                <w:color w:val="auto"/>
                <w:sz w:val="24"/>
                <w:szCs w:val="24"/>
                <w:highlight w:val="none"/>
                <w:lang w:val="en-US" w:eastAsia="zh-CN"/>
              </w:rPr>
              <w:t>格局</w:t>
            </w:r>
            <w:r>
              <w:rPr>
                <w:rFonts w:hint="default" w:ascii="宋体" w:hAnsi="宋体" w:cs="宋体"/>
                <w:color w:val="auto"/>
                <w:sz w:val="24"/>
                <w:szCs w:val="24"/>
                <w:highlight w:val="none"/>
              </w:rPr>
              <w:t>：评委根据供应商对明确村庄</w:t>
            </w:r>
            <w:r>
              <w:rPr>
                <w:rFonts w:hint="eastAsia" w:ascii="宋体" w:hAnsi="宋体" w:cs="宋体"/>
                <w:color w:val="auto"/>
                <w:sz w:val="24"/>
                <w:szCs w:val="24"/>
                <w:highlight w:val="none"/>
                <w:lang w:val="en-US" w:eastAsia="zh-CN"/>
              </w:rPr>
              <w:t>国土空间格局、</w:t>
            </w:r>
            <w:r>
              <w:rPr>
                <w:rFonts w:hint="default" w:ascii="宋体" w:hAnsi="宋体" w:cs="宋体"/>
                <w:color w:val="auto"/>
                <w:sz w:val="24"/>
                <w:szCs w:val="24"/>
                <w:highlight w:val="none"/>
              </w:rPr>
              <w:t>空间控制底线和强制性内容的规划思路的科学性、合理性及可行性进行打分。</w:t>
            </w:r>
          </w:p>
        </w:tc>
        <w:tc>
          <w:tcPr>
            <w:tcW w:w="765" w:type="dxa"/>
            <w:tcBorders>
              <w:top w:val="single" w:color="auto" w:sz="4" w:space="0"/>
              <w:left w:val="single" w:color="auto" w:sz="4" w:space="0"/>
              <w:right w:val="single" w:color="auto" w:sz="4" w:space="0"/>
            </w:tcBorders>
            <w:noWrap w:val="0"/>
            <w:vAlign w:val="center"/>
          </w:tcPr>
          <w:p>
            <w:pPr>
              <w:spacing w:line="360" w:lineRule="auto"/>
              <w:jc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45"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360" w:lineRule="auto"/>
              <w:jc w:val="left"/>
              <w:textAlignment w:val="auto"/>
              <w:rPr>
                <w:rFonts w:hint="eastAsia" w:ascii="宋体" w:hAnsi="宋体" w:eastAsia="宋体" w:cs="宋体"/>
                <w:b w:val="0"/>
                <w:bCs w:val="0"/>
                <w:color w:val="auto"/>
                <w:sz w:val="24"/>
                <w:szCs w:val="24"/>
                <w:highlight w:val="none"/>
              </w:rPr>
            </w:pPr>
          </w:p>
        </w:tc>
        <w:tc>
          <w:tcPr>
            <w:tcW w:w="1017" w:type="dxa"/>
            <w:vMerge w:val="continue"/>
            <w:tcBorders>
              <w:left w:val="single" w:color="auto" w:sz="4" w:space="0"/>
              <w:right w:val="single" w:color="auto" w:sz="4" w:space="0"/>
            </w:tcBorders>
            <w:noWrap w:val="0"/>
            <w:vAlign w:val="center"/>
          </w:tcPr>
          <w:p>
            <w:pPr>
              <w:rPr>
                <w:rFonts w:hint="eastAsia" w:ascii="宋体" w:hAnsi="宋体" w:eastAsia="宋体" w:cs="宋体"/>
                <w:b w:val="0"/>
                <w:bCs w:val="0"/>
                <w:color w:val="auto"/>
                <w:sz w:val="24"/>
                <w:szCs w:val="24"/>
                <w:highlight w:val="none"/>
                <w:lang w:val="en-US" w:eastAsia="zh-CN"/>
              </w:rPr>
            </w:pPr>
          </w:p>
        </w:tc>
        <w:tc>
          <w:tcPr>
            <w:tcW w:w="5892" w:type="dxa"/>
            <w:tcBorders>
              <w:top w:val="single" w:color="auto" w:sz="4" w:space="0"/>
              <w:left w:val="single" w:color="auto" w:sz="4" w:space="0"/>
              <w:right w:val="single" w:color="auto" w:sz="4" w:space="0"/>
            </w:tcBorders>
            <w:noWrap w:val="0"/>
            <w:vAlign w:val="center"/>
          </w:tcPr>
          <w:p>
            <w:pPr>
              <w:spacing w:line="360" w:lineRule="auto"/>
              <w:ind w:firstLine="480" w:firstLineChars="200"/>
              <w:jc w:val="left"/>
              <w:rPr>
                <w:rFonts w:hint="eastAsia" w:cs="Times New Roman"/>
                <w:color w:val="auto"/>
                <w:kern w:val="2"/>
                <w:sz w:val="24"/>
                <w:szCs w:val="24"/>
                <w:highlight w:val="none"/>
                <w:lang w:val="en-US" w:eastAsia="zh-CN" w:bidi="ar"/>
              </w:rPr>
            </w:pPr>
            <w:r>
              <w:rPr>
                <w:rFonts w:hint="default" w:ascii="宋体" w:hAnsi="宋体" w:cs="宋体"/>
                <w:color w:val="auto"/>
                <w:sz w:val="24"/>
                <w:szCs w:val="24"/>
                <w:highlight w:val="none"/>
                <w:lang w:val="en-US" w:eastAsia="zh-CN"/>
              </w:rPr>
              <w:t>用地布局：评委根据供应商对村庄</w:t>
            </w:r>
            <w:r>
              <w:rPr>
                <w:rFonts w:hint="eastAsia" w:ascii="宋体" w:hAnsi="宋体" w:cs="宋体"/>
                <w:color w:val="auto"/>
                <w:sz w:val="24"/>
                <w:szCs w:val="24"/>
                <w:highlight w:val="none"/>
                <w:lang w:val="en-US" w:eastAsia="zh-CN"/>
              </w:rPr>
              <w:t>各类</w:t>
            </w:r>
            <w:r>
              <w:rPr>
                <w:rFonts w:hint="default" w:ascii="宋体" w:hAnsi="宋体" w:cs="宋体"/>
                <w:color w:val="auto"/>
                <w:sz w:val="24"/>
                <w:szCs w:val="24"/>
                <w:highlight w:val="none"/>
                <w:lang w:val="en-US" w:eastAsia="zh-CN"/>
              </w:rPr>
              <w:t>用地布局科学性、合理性及可行性进行打分。</w:t>
            </w:r>
          </w:p>
        </w:tc>
        <w:tc>
          <w:tcPr>
            <w:tcW w:w="765" w:type="dxa"/>
            <w:tcBorders>
              <w:top w:val="single" w:color="auto" w:sz="4" w:space="0"/>
              <w:left w:val="single" w:color="auto" w:sz="4" w:space="0"/>
              <w:right w:val="single" w:color="auto" w:sz="4" w:space="0"/>
            </w:tcBorders>
            <w:noWrap w:val="0"/>
            <w:vAlign w:val="center"/>
          </w:tcPr>
          <w:p>
            <w:pPr>
              <w:spacing w:line="360" w:lineRule="auto"/>
              <w:jc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45"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360" w:lineRule="auto"/>
              <w:jc w:val="left"/>
              <w:textAlignment w:val="auto"/>
              <w:rPr>
                <w:rFonts w:hint="eastAsia" w:ascii="宋体" w:hAnsi="宋体" w:eastAsia="宋体" w:cs="宋体"/>
                <w:b w:val="0"/>
                <w:bCs w:val="0"/>
                <w:color w:val="auto"/>
                <w:sz w:val="24"/>
                <w:szCs w:val="24"/>
                <w:highlight w:val="none"/>
              </w:rPr>
            </w:pPr>
          </w:p>
        </w:tc>
        <w:tc>
          <w:tcPr>
            <w:tcW w:w="1017" w:type="dxa"/>
            <w:vMerge w:val="continue"/>
            <w:tcBorders>
              <w:left w:val="single" w:color="auto" w:sz="4" w:space="0"/>
              <w:right w:val="single" w:color="auto" w:sz="4" w:space="0"/>
            </w:tcBorders>
            <w:noWrap w:val="0"/>
            <w:vAlign w:val="center"/>
          </w:tcPr>
          <w:p>
            <w:pPr>
              <w:rPr>
                <w:rFonts w:hint="eastAsia" w:ascii="宋体" w:hAnsi="宋体" w:eastAsia="宋体" w:cs="宋体"/>
                <w:b w:val="0"/>
                <w:bCs w:val="0"/>
                <w:color w:val="auto"/>
                <w:sz w:val="24"/>
                <w:szCs w:val="24"/>
                <w:highlight w:val="none"/>
                <w:lang w:val="en-US" w:eastAsia="zh-CN"/>
              </w:rPr>
            </w:pPr>
          </w:p>
        </w:tc>
        <w:tc>
          <w:tcPr>
            <w:tcW w:w="5892" w:type="dxa"/>
            <w:tcBorders>
              <w:top w:val="single" w:color="auto" w:sz="4" w:space="0"/>
              <w:left w:val="single" w:color="auto" w:sz="4" w:space="0"/>
              <w:right w:val="single" w:color="auto" w:sz="4" w:space="0"/>
            </w:tcBorders>
            <w:noWrap w:val="0"/>
            <w:vAlign w:val="center"/>
          </w:tcPr>
          <w:p>
            <w:pPr>
              <w:spacing w:line="360" w:lineRule="auto"/>
              <w:ind w:firstLine="480" w:firstLineChars="200"/>
              <w:jc w:val="left"/>
              <w:rPr>
                <w:rFonts w:hint="eastAsia" w:ascii="宋体" w:hAnsi="宋体" w:eastAsia="宋体" w:cs="宋体"/>
                <w:b w:val="0"/>
                <w:bCs w:val="0"/>
                <w:color w:val="auto"/>
                <w:sz w:val="24"/>
                <w:szCs w:val="24"/>
                <w:highlight w:val="none"/>
                <w:lang w:val="en-US" w:eastAsia="zh-CN"/>
              </w:rPr>
            </w:pPr>
            <w:r>
              <w:rPr>
                <w:rFonts w:hint="eastAsia" w:ascii="宋体" w:hAnsi="宋体" w:cs="宋体"/>
                <w:color w:val="auto"/>
                <w:sz w:val="24"/>
                <w:szCs w:val="24"/>
                <w:highlight w:val="none"/>
                <w:lang w:val="en-US" w:eastAsia="zh-CN"/>
              </w:rPr>
              <w:t>设施配套</w:t>
            </w:r>
            <w:r>
              <w:rPr>
                <w:rFonts w:hint="default" w:ascii="宋体" w:hAnsi="宋体" w:cs="宋体"/>
                <w:color w:val="auto"/>
                <w:sz w:val="24"/>
                <w:szCs w:val="24"/>
                <w:highlight w:val="none"/>
              </w:rPr>
              <w:t>：评委根据供应商结合村庄布局及村民实际需求规划的公共服务设施</w:t>
            </w:r>
            <w:r>
              <w:rPr>
                <w:rFonts w:hint="default" w:ascii="宋体" w:hAnsi="宋体" w:cs="宋体"/>
                <w:color w:val="auto"/>
                <w:sz w:val="24"/>
                <w:szCs w:val="24"/>
                <w:highlight w:val="none"/>
                <w:lang w:val="en-US" w:eastAsia="zh-CN"/>
              </w:rPr>
              <w:t>及基础设施布局</w:t>
            </w:r>
            <w:r>
              <w:rPr>
                <w:rFonts w:hint="default" w:ascii="宋体" w:hAnsi="宋体" w:cs="宋体"/>
                <w:color w:val="auto"/>
                <w:sz w:val="24"/>
                <w:szCs w:val="24"/>
                <w:highlight w:val="none"/>
              </w:rPr>
              <w:t>的科学性、合理性及可行性进行打分。</w:t>
            </w:r>
          </w:p>
        </w:tc>
        <w:tc>
          <w:tcPr>
            <w:tcW w:w="765" w:type="dxa"/>
            <w:tcBorders>
              <w:top w:val="single" w:color="auto" w:sz="4" w:space="0"/>
              <w:left w:val="single" w:color="auto" w:sz="4" w:space="0"/>
              <w:right w:val="single" w:color="auto" w:sz="4" w:space="0"/>
            </w:tcBorders>
            <w:noWrap w:val="0"/>
            <w:vAlign w:val="center"/>
          </w:tcPr>
          <w:p>
            <w:pPr>
              <w:spacing w:line="360" w:lineRule="auto"/>
              <w:jc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45"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360" w:lineRule="auto"/>
              <w:jc w:val="left"/>
              <w:textAlignment w:val="auto"/>
              <w:rPr>
                <w:rFonts w:hint="eastAsia" w:ascii="宋体" w:hAnsi="宋体" w:eastAsia="宋体" w:cs="宋体"/>
                <w:b w:val="0"/>
                <w:bCs w:val="0"/>
                <w:color w:val="auto"/>
                <w:sz w:val="24"/>
                <w:szCs w:val="24"/>
                <w:highlight w:val="none"/>
              </w:rPr>
            </w:pPr>
          </w:p>
        </w:tc>
        <w:tc>
          <w:tcPr>
            <w:tcW w:w="1017" w:type="dxa"/>
            <w:vMerge w:val="continue"/>
            <w:tcBorders>
              <w:top w:val="single" w:color="auto" w:sz="4" w:space="0"/>
              <w:left w:val="single" w:color="auto" w:sz="4" w:space="0"/>
              <w:right w:val="single" w:color="auto" w:sz="4" w:space="0"/>
            </w:tcBorders>
            <w:noWrap w:val="0"/>
            <w:vAlign w:val="center"/>
          </w:tcPr>
          <w:p>
            <w:pPr>
              <w:rPr>
                <w:rFonts w:hint="eastAsia" w:ascii="宋体" w:hAnsi="宋体" w:eastAsia="宋体" w:cs="宋体"/>
                <w:b w:val="0"/>
                <w:bCs w:val="0"/>
                <w:color w:val="auto"/>
                <w:sz w:val="24"/>
                <w:szCs w:val="24"/>
                <w:highlight w:val="none"/>
                <w:lang w:val="en-US" w:eastAsia="zh-CN"/>
              </w:rPr>
            </w:pPr>
          </w:p>
        </w:tc>
        <w:tc>
          <w:tcPr>
            <w:tcW w:w="5892" w:type="dxa"/>
            <w:tcBorders>
              <w:top w:val="single" w:color="auto" w:sz="4" w:space="0"/>
              <w:left w:val="single" w:color="auto" w:sz="4" w:space="0"/>
              <w:right w:val="single" w:color="auto" w:sz="4" w:space="0"/>
            </w:tcBorders>
            <w:noWrap w:val="0"/>
            <w:vAlign w:val="center"/>
          </w:tcPr>
          <w:p>
            <w:pPr>
              <w:spacing w:line="360" w:lineRule="auto"/>
              <w:ind w:firstLine="480" w:firstLineChars="200"/>
              <w:jc w:val="left"/>
              <w:rPr>
                <w:rFonts w:hint="eastAsia" w:ascii="宋体" w:hAnsi="宋体" w:eastAsia="宋体" w:cs="宋体"/>
                <w:b w:val="0"/>
                <w:bCs w:val="0"/>
                <w:color w:val="auto"/>
                <w:sz w:val="24"/>
                <w:szCs w:val="24"/>
                <w:highlight w:val="none"/>
                <w:lang w:val="en-US" w:eastAsia="zh-CN"/>
              </w:rPr>
            </w:pPr>
            <w:r>
              <w:rPr>
                <w:rFonts w:hint="default" w:ascii="宋体" w:hAnsi="宋体" w:cs="宋体"/>
                <w:color w:val="auto"/>
                <w:sz w:val="24"/>
                <w:szCs w:val="24"/>
                <w:highlight w:val="none"/>
              </w:rPr>
              <w:t>历史保护：评委根据供应商对村庄历史文化</w:t>
            </w:r>
            <w:r>
              <w:rPr>
                <w:rFonts w:hint="default" w:ascii="宋体" w:hAnsi="宋体" w:cs="宋体"/>
                <w:color w:val="auto"/>
                <w:sz w:val="24"/>
                <w:szCs w:val="24"/>
                <w:highlight w:val="none"/>
                <w:lang w:val="en-US" w:eastAsia="zh-CN"/>
              </w:rPr>
              <w:t>要素调查情况及</w:t>
            </w:r>
            <w:r>
              <w:rPr>
                <w:rFonts w:hint="default" w:ascii="宋体" w:hAnsi="宋体" w:cs="宋体"/>
                <w:color w:val="auto"/>
                <w:sz w:val="24"/>
                <w:szCs w:val="24"/>
                <w:highlight w:val="none"/>
              </w:rPr>
              <w:t>保护方案的科学性、合理性及可行性进行打分。</w:t>
            </w:r>
          </w:p>
        </w:tc>
        <w:tc>
          <w:tcPr>
            <w:tcW w:w="765" w:type="dxa"/>
            <w:tcBorders>
              <w:top w:val="single" w:color="auto" w:sz="4" w:space="0"/>
              <w:left w:val="single" w:color="auto" w:sz="4" w:space="0"/>
              <w:right w:val="single" w:color="auto" w:sz="4" w:space="0"/>
            </w:tcBorders>
            <w:noWrap w:val="0"/>
            <w:vAlign w:val="center"/>
          </w:tcPr>
          <w:p>
            <w:pPr>
              <w:spacing w:line="360" w:lineRule="auto"/>
              <w:jc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45"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360" w:lineRule="auto"/>
              <w:jc w:val="left"/>
              <w:textAlignment w:val="auto"/>
              <w:rPr>
                <w:rFonts w:hint="eastAsia" w:ascii="宋体" w:hAnsi="宋体" w:eastAsia="宋体" w:cs="宋体"/>
                <w:b w:val="0"/>
                <w:bCs w:val="0"/>
                <w:color w:val="auto"/>
                <w:sz w:val="24"/>
                <w:szCs w:val="24"/>
                <w:highlight w:val="none"/>
              </w:rPr>
            </w:pPr>
          </w:p>
        </w:tc>
        <w:tc>
          <w:tcPr>
            <w:tcW w:w="1017" w:type="dxa"/>
            <w:vMerge w:val="continue"/>
            <w:tcBorders>
              <w:top w:val="single" w:color="auto" w:sz="4" w:space="0"/>
              <w:left w:val="single" w:color="auto" w:sz="4" w:space="0"/>
              <w:right w:val="single" w:color="auto" w:sz="4" w:space="0"/>
            </w:tcBorders>
            <w:noWrap w:val="0"/>
            <w:vAlign w:val="center"/>
          </w:tcPr>
          <w:p>
            <w:pPr>
              <w:rPr>
                <w:rFonts w:hint="eastAsia" w:ascii="宋体" w:hAnsi="宋体" w:eastAsia="宋体" w:cs="宋体"/>
                <w:b w:val="0"/>
                <w:bCs w:val="0"/>
                <w:color w:val="auto"/>
                <w:sz w:val="24"/>
                <w:szCs w:val="24"/>
                <w:highlight w:val="none"/>
                <w:lang w:val="en-US" w:eastAsia="zh-CN"/>
              </w:rPr>
            </w:pPr>
          </w:p>
        </w:tc>
        <w:tc>
          <w:tcPr>
            <w:tcW w:w="5892" w:type="dxa"/>
            <w:tcBorders>
              <w:top w:val="single" w:color="auto" w:sz="4" w:space="0"/>
              <w:left w:val="single" w:color="auto" w:sz="4" w:space="0"/>
              <w:right w:val="single" w:color="auto" w:sz="4" w:space="0"/>
            </w:tcBorders>
            <w:noWrap w:val="0"/>
            <w:vAlign w:val="center"/>
          </w:tcPr>
          <w:p>
            <w:pPr>
              <w:spacing w:line="360" w:lineRule="auto"/>
              <w:ind w:firstLine="480" w:firstLineChars="200"/>
              <w:jc w:val="left"/>
              <w:rPr>
                <w:rFonts w:hint="eastAsia" w:ascii="宋体" w:hAnsi="宋体" w:eastAsia="宋体" w:cs="宋体"/>
                <w:b w:val="0"/>
                <w:bCs w:val="0"/>
                <w:color w:val="auto"/>
                <w:sz w:val="24"/>
                <w:szCs w:val="24"/>
                <w:highlight w:val="none"/>
                <w:lang w:val="en-US" w:eastAsia="zh-CN"/>
              </w:rPr>
            </w:pPr>
            <w:r>
              <w:rPr>
                <w:rFonts w:hint="eastAsia" w:ascii="宋体" w:hAnsi="宋体" w:cs="宋体"/>
                <w:color w:val="auto"/>
                <w:sz w:val="24"/>
                <w:szCs w:val="24"/>
                <w:highlight w:val="none"/>
                <w:lang w:val="en-US" w:eastAsia="zh-CN"/>
              </w:rPr>
              <w:t>风貌管控：</w:t>
            </w:r>
            <w:r>
              <w:rPr>
                <w:rFonts w:hint="default" w:ascii="宋体" w:hAnsi="宋体" w:cs="宋体"/>
                <w:color w:val="auto"/>
                <w:sz w:val="24"/>
                <w:szCs w:val="24"/>
                <w:highlight w:val="none"/>
              </w:rPr>
              <w:t>评委根据供应商</w:t>
            </w:r>
            <w:r>
              <w:rPr>
                <w:rFonts w:hint="eastAsia" w:ascii="宋体" w:hAnsi="宋体" w:cs="宋体"/>
                <w:color w:val="auto"/>
                <w:sz w:val="24"/>
                <w:szCs w:val="24"/>
                <w:highlight w:val="none"/>
                <w:lang w:val="en-US" w:eastAsia="zh-CN"/>
              </w:rPr>
              <w:t>对乡村民居、公共建筑风貌，乡村园林景观、乡土环境小品等设计指引的科学性、合理性及可行性进行打分。</w:t>
            </w:r>
          </w:p>
        </w:tc>
        <w:tc>
          <w:tcPr>
            <w:tcW w:w="765" w:type="dxa"/>
            <w:tcBorders>
              <w:top w:val="single" w:color="auto" w:sz="4" w:space="0"/>
              <w:left w:val="single" w:color="auto" w:sz="4" w:space="0"/>
              <w:right w:val="single" w:color="auto" w:sz="4" w:space="0"/>
            </w:tcBorders>
            <w:noWrap w:val="0"/>
            <w:vAlign w:val="center"/>
          </w:tcPr>
          <w:p>
            <w:pPr>
              <w:spacing w:line="360" w:lineRule="auto"/>
              <w:jc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45"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360" w:lineRule="auto"/>
              <w:jc w:val="left"/>
              <w:textAlignment w:val="auto"/>
              <w:rPr>
                <w:rFonts w:hint="eastAsia" w:ascii="宋体" w:hAnsi="宋体" w:eastAsia="宋体" w:cs="宋体"/>
                <w:b w:val="0"/>
                <w:bCs w:val="0"/>
                <w:color w:val="auto"/>
                <w:sz w:val="24"/>
                <w:szCs w:val="24"/>
                <w:highlight w:val="none"/>
              </w:rPr>
            </w:pPr>
          </w:p>
        </w:tc>
        <w:tc>
          <w:tcPr>
            <w:tcW w:w="1017" w:type="dxa"/>
            <w:tcBorders>
              <w:top w:val="single" w:color="auto" w:sz="4" w:space="0"/>
              <w:left w:val="single" w:color="auto" w:sz="4" w:space="0"/>
              <w:right w:val="single" w:color="auto" w:sz="4" w:space="0"/>
            </w:tcBorders>
            <w:noWrap w:val="0"/>
            <w:vAlign w:val="center"/>
          </w:tcPr>
          <w:p>
            <w:pPr>
              <w:spacing w:line="240" w:lineRule="auto"/>
              <w:jc w:val="center"/>
              <w:rPr>
                <w:rFonts w:hint="eastAsia" w:ascii="宋体" w:hAnsi="宋体" w:eastAsia="宋体" w:cs="宋体"/>
                <w:b w:val="0"/>
                <w:bCs w:val="0"/>
                <w:color w:val="auto"/>
                <w:sz w:val="24"/>
                <w:szCs w:val="24"/>
                <w:highlight w:val="none"/>
                <w:lang w:val="en-US" w:eastAsia="zh-CN"/>
              </w:rPr>
            </w:pPr>
            <w:r>
              <w:rPr>
                <w:rFonts w:hint="default" w:ascii="Times New Roman" w:hAnsi="Times New Roman" w:cs="Times New Roman"/>
                <w:color w:val="auto"/>
                <w:kern w:val="2"/>
                <w:sz w:val="24"/>
                <w:szCs w:val="24"/>
                <w:highlight w:val="none"/>
                <w:lang w:bidi="ar"/>
              </w:rPr>
              <w:t>项目进度计划</w:t>
            </w:r>
          </w:p>
        </w:tc>
        <w:tc>
          <w:tcPr>
            <w:tcW w:w="5892" w:type="dxa"/>
            <w:tcBorders>
              <w:top w:val="single" w:color="auto" w:sz="4" w:space="0"/>
              <w:left w:val="single" w:color="auto" w:sz="4" w:space="0"/>
              <w:right w:val="single" w:color="auto" w:sz="4" w:space="0"/>
            </w:tcBorders>
            <w:noWrap w:val="0"/>
            <w:vAlign w:val="center"/>
          </w:tcPr>
          <w:p>
            <w:pPr>
              <w:spacing w:line="360" w:lineRule="auto"/>
              <w:ind w:firstLine="480" w:firstLineChars="200"/>
              <w:rPr>
                <w:rFonts w:hint="eastAsia" w:ascii="宋体" w:hAnsi="宋体" w:eastAsia="宋体" w:cs="宋体"/>
                <w:b w:val="0"/>
                <w:bCs w:val="0"/>
                <w:color w:val="auto"/>
                <w:sz w:val="24"/>
                <w:szCs w:val="24"/>
                <w:highlight w:val="none"/>
                <w:lang w:val="en-US" w:eastAsia="zh-CN"/>
              </w:rPr>
            </w:pPr>
            <w:r>
              <w:rPr>
                <w:rFonts w:hint="default" w:ascii="Times New Roman" w:hAnsi="Times New Roman" w:cs="Times New Roman"/>
                <w:color w:val="auto"/>
                <w:kern w:val="2"/>
                <w:sz w:val="24"/>
                <w:szCs w:val="24"/>
                <w:highlight w:val="none"/>
                <w:lang w:bidi="ar"/>
              </w:rPr>
              <w:t>评委根据供应商对工作阶段的进度计划安排、关键时间节点等进度情况进行打分。</w:t>
            </w:r>
          </w:p>
        </w:tc>
        <w:tc>
          <w:tcPr>
            <w:tcW w:w="765" w:type="dxa"/>
            <w:tcBorders>
              <w:top w:val="single" w:color="auto" w:sz="4" w:space="0"/>
              <w:left w:val="single" w:color="auto" w:sz="4" w:space="0"/>
              <w:right w:val="single" w:color="auto" w:sz="4" w:space="0"/>
            </w:tcBorders>
            <w:noWrap w:val="0"/>
            <w:vAlign w:val="center"/>
          </w:tcPr>
          <w:p>
            <w:pPr>
              <w:spacing w:line="360" w:lineRule="auto"/>
              <w:jc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45"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360" w:lineRule="auto"/>
              <w:jc w:val="left"/>
              <w:textAlignment w:val="auto"/>
              <w:rPr>
                <w:rFonts w:hint="eastAsia" w:ascii="宋体" w:hAnsi="宋体" w:eastAsia="宋体" w:cs="宋体"/>
                <w:b w:val="0"/>
                <w:bCs w:val="0"/>
                <w:color w:val="auto"/>
                <w:sz w:val="24"/>
                <w:szCs w:val="24"/>
                <w:highlight w:val="none"/>
              </w:rPr>
            </w:pPr>
          </w:p>
        </w:tc>
        <w:tc>
          <w:tcPr>
            <w:tcW w:w="1017" w:type="dxa"/>
            <w:tcBorders>
              <w:top w:val="single" w:color="auto" w:sz="4" w:space="0"/>
              <w:left w:val="single" w:color="auto" w:sz="4" w:space="0"/>
              <w:right w:val="single" w:color="auto" w:sz="4" w:space="0"/>
            </w:tcBorders>
            <w:noWrap w:val="0"/>
            <w:vAlign w:val="center"/>
          </w:tcPr>
          <w:p>
            <w:pPr>
              <w:spacing w:line="240" w:lineRule="auto"/>
              <w:jc w:val="center"/>
              <w:rPr>
                <w:rFonts w:hint="default" w:ascii="Times New Roman" w:hAnsi="Times New Roman" w:cs="Times New Roman"/>
                <w:color w:val="auto"/>
                <w:kern w:val="2"/>
                <w:sz w:val="24"/>
                <w:szCs w:val="24"/>
                <w:highlight w:val="none"/>
                <w:lang w:bidi="ar"/>
              </w:rPr>
            </w:pPr>
            <w:r>
              <w:rPr>
                <w:rFonts w:hint="default" w:ascii="Times New Roman" w:hAnsi="Times New Roman" w:cs="Times New Roman"/>
                <w:color w:val="auto"/>
                <w:kern w:val="2"/>
                <w:sz w:val="24"/>
                <w:szCs w:val="24"/>
                <w:highlight w:val="none"/>
                <w:lang w:bidi="ar"/>
              </w:rPr>
              <w:t>项目质量管理</w:t>
            </w:r>
          </w:p>
        </w:tc>
        <w:tc>
          <w:tcPr>
            <w:tcW w:w="5892" w:type="dxa"/>
            <w:tcBorders>
              <w:top w:val="single" w:color="auto" w:sz="4" w:space="0"/>
              <w:left w:val="single" w:color="auto" w:sz="4" w:space="0"/>
              <w:right w:val="single" w:color="auto" w:sz="4" w:space="0"/>
            </w:tcBorders>
            <w:noWrap w:val="0"/>
            <w:vAlign w:val="center"/>
          </w:tcPr>
          <w:p>
            <w:pPr>
              <w:spacing w:line="360" w:lineRule="auto"/>
              <w:ind w:firstLine="480" w:firstLineChars="200"/>
              <w:rPr>
                <w:rFonts w:hint="default" w:ascii="Times New Roman" w:hAnsi="Times New Roman" w:cs="Times New Roman"/>
                <w:color w:val="auto"/>
                <w:kern w:val="2"/>
                <w:sz w:val="24"/>
                <w:szCs w:val="24"/>
                <w:highlight w:val="none"/>
                <w:lang w:bidi="ar"/>
              </w:rPr>
            </w:pPr>
            <w:r>
              <w:rPr>
                <w:rFonts w:hint="default" w:ascii="Times New Roman" w:hAnsi="Times New Roman" w:cs="Times New Roman"/>
                <w:color w:val="auto"/>
                <w:kern w:val="2"/>
                <w:sz w:val="24"/>
                <w:szCs w:val="24"/>
                <w:highlight w:val="none"/>
                <w:lang w:bidi="ar"/>
              </w:rPr>
              <w:t>项目实施需具备明确的管理组织构架、监督体系、质量保证措施，并具有详细可行的实施内容、工期保障措施，能实现本项目的全程管理（包括质量管理、设备管理、保密管理及档案管理等），评委根据该管理体系的完整性、可行性进行打分。</w:t>
            </w:r>
          </w:p>
        </w:tc>
        <w:tc>
          <w:tcPr>
            <w:tcW w:w="765" w:type="dxa"/>
            <w:tcBorders>
              <w:top w:val="single" w:color="auto" w:sz="4" w:space="0"/>
              <w:left w:val="single" w:color="auto" w:sz="4" w:space="0"/>
              <w:right w:val="single" w:color="auto" w:sz="4" w:space="0"/>
            </w:tcBorders>
            <w:noWrap w:val="0"/>
            <w:vAlign w:val="center"/>
          </w:tcPr>
          <w:p>
            <w:pPr>
              <w:spacing w:line="360" w:lineRule="auto"/>
              <w:jc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45"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360" w:lineRule="auto"/>
              <w:jc w:val="left"/>
              <w:textAlignment w:val="auto"/>
              <w:rPr>
                <w:rFonts w:hint="eastAsia" w:ascii="宋体" w:hAnsi="宋体" w:eastAsia="宋体" w:cs="宋体"/>
                <w:b w:val="0"/>
                <w:bCs w:val="0"/>
                <w:color w:val="auto"/>
                <w:sz w:val="24"/>
                <w:szCs w:val="24"/>
                <w:highlight w:val="none"/>
              </w:rPr>
            </w:pPr>
          </w:p>
        </w:tc>
        <w:tc>
          <w:tcPr>
            <w:tcW w:w="1017" w:type="dxa"/>
            <w:tcBorders>
              <w:top w:val="single" w:color="auto" w:sz="4" w:space="0"/>
              <w:left w:val="single" w:color="auto" w:sz="4" w:space="0"/>
              <w:right w:val="single" w:color="auto" w:sz="4" w:space="0"/>
            </w:tcBorders>
            <w:noWrap w:val="0"/>
            <w:vAlign w:val="center"/>
          </w:tcPr>
          <w:p>
            <w:pPr>
              <w:spacing w:line="240" w:lineRule="auto"/>
              <w:jc w:val="center"/>
              <w:rPr>
                <w:rFonts w:hint="default" w:ascii="Times New Roman" w:hAnsi="Times New Roman" w:cs="Times New Roman"/>
                <w:color w:val="auto"/>
                <w:kern w:val="2"/>
                <w:sz w:val="24"/>
                <w:szCs w:val="24"/>
                <w:highlight w:val="none"/>
                <w:lang w:bidi="ar"/>
              </w:rPr>
            </w:pPr>
            <w:r>
              <w:rPr>
                <w:rFonts w:hint="default" w:ascii="Times New Roman" w:hAnsi="Times New Roman" w:cs="Times New Roman"/>
                <w:color w:val="auto"/>
                <w:kern w:val="2"/>
                <w:sz w:val="24"/>
                <w:szCs w:val="24"/>
                <w:highlight w:val="none"/>
                <w:lang w:bidi="ar"/>
              </w:rPr>
              <w:t>服务</w:t>
            </w:r>
          </w:p>
          <w:p>
            <w:pPr>
              <w:spacing w:line="240" w:lineRule="auto"/>
              <w:jc w:val="center"/>
              <w:rPr>
                <w:rFonts w:hint="eastAsia" w:ascii="宋体" w:hAnsi="宋体" w:eastAsia="宋体" w:cs="宋体"/>
                <w:b w:val="0"/>
                <w:bCs w:val="0"/>
                <w:color w:val="auto"/>
                <w:sz w:val="24"/>
                <w:szCs w:val="24"/>
                <w:highlight w:val="none"/>
                <w:lang w:val="en-US" w:eastAsia="zh-CN"/>
              </w:rPr>
            </w:pPr>
            <w:r>
              <w:rPr>
                <w:rFonts w:hint="default" w:ascii="Times New Roman" w:hAnsi="Times New Roman" w:cs="Times New Roman"/>
                <w:color w:val="auto"/>
                <w:kern w:val="2"/>
                <w:sz w:val="24"/>
                <w:szCs w:val="24"/>
                <w:highlight w:val="none"/>
                <w:lang w:bidi="ar"/>
              </w:rPr>
              <w:t>承诺</w:t>
            </w:r>
          </w:p>
        </w:tc>
        <w:tc>
          <w:tcPr>
            <w:tcW w:w="5892" w:type="dxa"/>
            <w:tcBorders>
              <w:top w:val="single" w:color="auto" w:sz="4" w:space="0"/>
              <w:left w:val="single" w:color="auto" w:sz="4" w:space="0"/>
              <w:right w:val="single" w:color="auto" w:sz="4" w:space="0"/>
            </w:tcBorders>
            <w:noWrap w:val="0"/>
            <w:vAlign w:val="center"/>
          </w:tcPr>
          <w:p>
            <w:pPr>
              <w:spacing w:line="360" w:lineRule="auto"/>
              <w:ind w:firstLine="480" w:firstLineChars="200"/>
              <w:rPr>
                <w:rFonts w:hint="eastAsia" w:ascii="宋体" w:hAnsi="宋体" w:eastAsia="宋体" w:cs="宋体"/>
                <w:b w:val="0"/>
                <w:bCs w:val="0"/>
                <w:color w:val="auto"/>
                <w:sz w:val="24"/>
                <w:szCs w:val="24"/>
                <w:highlight w:val="none"/>
                <w:lang w:val="en-US" w:eastAsia="zh-CN"/>
              </w:rPr>
            </w:pPr>
            <w:r>
              <w:rPr>
                <w:rFonts w:hint="default" w:ascii="Times New Roman" w:hAnsi="Times New Roman" w:cs="Times New Roman"/>
                <w:color w:val="auto"/>
                <w:kern w:val="2"/>
                <w:sz w:val="24"/>
                <w:szCs w:val="24"/>
                <w:highlight w:val="none"/>
                <w:lang w:bidi="ar"/>
              </w:rPr>
              <w:t>评委根据供应商承诺的服务方案完整性、可行性进行打分。</w:t>
            </w:r>
          </w:p>
        </w:tc>
        <w:tc>
          <w:tcPr>
            <w:tcW w:w="765" w:type="dxa"/>
            <w:tcBorders>
              <w:top w:val="single" w:color="auto" w:sz="4" w:space="0"/>
              <w:left w:val="single" w:color="auto" w:sz="4" w:space="0"/>
              <w:right w:val="single" w:color="auto" w:sz="4" w:space="0"/>
            </w:tcBorders>
            <w:noWrap w:val="0"/>
            <w:vAlign w:val="center"/>
          </w:tcPr>
          <w:p>
            <w:pPr>
              <w:spacing w:line="360" w:lineRule="auto"/>
              <w:jc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45"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360" w:lineRule="auto"/>
              <w:jc w:val="left"/>
              <w:textAlignment w:val="auto"/>
              <w:rPr>
                <w:rFonts w:hint="eastAsia" w:ascii="宋体" w:hAnsi="宋体" w:eastAsia="宋体" w:cs="宋体"/>
                <w:b w:val="0"/>
                <w:bCs w:val="0"/>
                <w:color w:val="auto"/>
                <w:sz w:val="24"/>
                <w:szCs w:val="24"/>
                <w:highlight w:val="none"/>
              </w:rPr>
            </w:pPr>
          </w:p>
        </w:tc>
        <w:tc>
          <w:tcPr>
            <w:tcW w:w="1017" w:type="dxa"/>
            <w:tcBorders>
              <w:left w:val="single" w:color="auto" w:sz="4" w:space="0"/>
              <w:right w:val="single" w:color="auto" w:sz="4" w:space="0"/>
            </w:tcBorders>
            <w:noWrap w:val="0"/>
            <w:vAlign w:val="center"/>
          </w:tcPr>
          <w:p>
            <w:pPr>
              <w:spacing w:line="240" w:lineRule="auto"/>
              <w:jc w:val="center"/>
              <w:rPr>
                <w:rFonts w:hint="eastAsia" w:ascii="宋体" w:hAnsi="宋体" w:eastAsia="宋体" w:cs="宋体"/>
                <w:b w:val="0"/>
                <w:bCs w:val="0"/>
                <w:color w:val="auto"/>
                <w:sz w:val="24"/>
                <w:szCs w:val="24"/>
                <w:highlight w:val="none"/>
              </w:rPr>
            </w:pPr>
            <w:r>
              <w:rPr>
                <w:rFonts w:hint="default" w:ascii="Times New Roman" w:hAnsi="Times New Roman" w:cs="Times New Roman"/>
                <w:color w:val="auto"/>
                <w:kern w:val="2"/>
                <w:sz w:val="24"/>
                <w:szCs w:val="24"/>
                <w:highlight w:val="none"/>
                <w:lang w:val="en-US" w:eastAsia="zh-CN" w:bidi="ar"/>
              </w:rPr>
              <w:t>成果编制要求</w:t>
            </w:r>
          </w:p>
        </w:tc>
        <w:tc>
          <w:tcPr>
            <w:tcW w:w="5892" w:type="dxa"/>
            <w:tcBorders>
              <w:top w:val="single" w:color="auto" w:sz="4" w:space="0"/>
              <w:left w:val="single" w:color="auto" w:sz="4" w:space="0"/>
              <w:right w:val="single" w:color="auto" w:sz="4" w:space="0"/>
            </w:tcBorders>
            <w:noWrap w:val="0"/>
            <w:vAlign w:val="center"/>
          </w:tcPr>
          <w:p>
            <w:pPr>
              <w:spacing w:line="360" w:lineRule="auto"/>
              <w:ind w:firstLine="480" w:firstLineChars="200"/>
              <w:rPr>
                <w:rFonts w:hint="eastAsia" w:ascii="宋体" w:hAnsi="宋体" w:eastAsia="宋体" w:cs="宋体"/>
                <w:b w:val="0"/>
                <w:bCs w:val="0"/>
                <w:color w:val="auto"/>
                <w:sz w:val="24"/>
                <w:szCs w:val="24"/>
                <w:highlight w:val="none"/>
                <w:lang w:val="en-US" w:eastAsia="zh-CN"/>
              </w:rPr>
            </w:pPr>
            <w:r>
              <w:rPr>
                <w:rFonts w:hint="default" w:ascii="Times New Roman" w:hAnsi="Times New Roman" w:cs="Times New Roman"/>
                <w:color w:val="auto"/>
                <w:kern w:val="2"/>
                <w:sz w:val="24"/>
                <w:szCs w:val="24"/>
                <w:highlight w:val="none"/>
                <w:lang w:bidi="ar"/>
              </w:rPr>
              <w:t>评委根据供应商提供相关方案编制、成果归档的流程进行打分</w:t>
            </w:r>
            <w:r>
              <w:rPr>
                <w:rFonts w:hint="default" w:ascii="Times New Roman" w:hAnsi="Times New Roman" w:cs="Times New Roman"/>
                <w:color w:val="auto"/>
                <w:kern w:val="2"/>
                <w:sz w:val="24"/>
                <w:szCs w:val="24"/>
                <w:highlight w:val="none"/>
                <w:lang w:eastAsia="zh-CN" w:bidi="ar"/>
              </w:rPr>
              <w:t>。</w:t>
            </w:r>
          </w:p>
        </w:tc>
        <w:tc>
          <w:tcPr>
            <w:tcW w:w="765" w:type="dxa"/>
            <w:tcBorders>
              <w:top w:val="single" w:color="auto" w:sz="4" w:space="0"/>
              <w:left w:val="single" w:color="auto" w:sz="4" w:space="0"/>
              <w:right w:val="single" w:color="auto" w:sz="4" w:space="0"/>
            </w:tcBorders>
            <w:noWrap w:val="0"/>
            <w:vAlign w:val="center"/>
          </w:tcPr>
          <w:p>
            <w:pPr>
              <w:spacing w:line="360" w:lineRule="auto"/>
              <w:jc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45"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360" w:lineRule="auto"/>
              <w:jc w:val="left"/>
              <w:textAlignment w:val="auto"/>
              <w:rPr>
                <w:rFonts w:hint="eastAsia" w:ascii="宋体" w:hAnsi="宋体" w:eastAsia="宋体" w:cs="宋体"/>
                <w:b w:val="0"/>
                <w:bCs w:val="0"/>
                <w:color w:val="auto"/>
                <w:sz w:val="24"/>
                <w:szCs w:val="24"/>
                <w:highlight w:val="none"/>
              </w:rPr>
            </w:pPr>
          </w:p>
        </w:tc>
        <w:tc>
          <w:tcPr>
            <w:tcW w:w="1017" w:type="dxa"/>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人员配置</w:t>
            </w:r>
          </w:p>
        </w:tc>
        <w:tc>
          <w:tcPr>
            <w:tcW w:w="5892" w:type="dxa"/>
            <w:tcBorders>
              <w:top w:val="single" w:color="auto" w:sz="4" w:space="0"/>
              <w:left w:val="single" w:color="auto" w:sz="4" w:space="0"/>
              <w:right w:val="single" w:color="auto" w:sz="4" w:space="0"/>
            </w:tcBorders>
            <w:noWrap w:val="0"/>
            <w:vAlign w:val="center"/>
          </w:tcPr>
          <w:p>
            <w:pPr>
              <w:pStyle w:val="26"/>
              <w:spacing w:line="360" w:lineRule="auto"/>
              <w:ind w:firstLine="480" w:firstLineChars="20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评委根据供应商提供的拟投入本项目团队成员（不含</w:t>
            </w:r>
            <w:r>
              <w:rPr>
                <w:rFonts w:hint="eastAsia" w:cs="宋体"/>
                <w:b w:val="0"/>
                <w:bCs w:val="0"/>
                <w:color w:val="auto"/>
                <w:sz w:val="24"/>
                <w:szCs w:val="24"/>
                <w:highlight w:val="none"/>
                <w:lang w:val="en-US" w:eastAsia="zh-CN"/>
              </w:rPr>
              <w:t>项目</w:t>
            </w:r>
            <w:r>
              <w:rPr>
                <w:rFonts w:hint="eastAsia" w:ascii="宋体" w:hAnsi="宋体" w:eastAsia="宋体" w:cs="宋体"/>
                <w:b w:val="0"/>
                <w:bCs w:val="0"/>
                <w:color w:val="auto"/>
                <w:sz w:val="24"/>
                <w:szCs w:val="24"/>
                <w:highlight w:val="none"/>
                <w:lang w:val="en-US" w:eastAsia="zh-CN"/>
              </w:rPr>
              <w:t>负责人）的数量、职称、学历、学位及工作经验等情况进行打分。注：提供人员相关职称、学位等证明材料及近3个月的社保缴纳证明。</w:t>
            </w:r>
          </w:p>
        </w:tc>
        <w:tc>
          <w:tcPr>
            <w:tcW w:w="765" w:type="dxa"/>
            <w:tcBorders>
              <w:top w:val="single" w:color="auto" w:sz="4" w:space="0"/>
              <w:left w:val="single" w:color="auto" w:sz="4" w:space="0"/>
              <w:right w:val="single" w:color="auto" w:sz="4" w:space="0"/>
            </w:tcBorders>
            <w:noWrap w:val="0"/>
            <w:vAlign w:val="center"/>
          </w:tcPr>
          <w:p>
            <w:pPr>
              <w:spacing w:line="360" w:lineRule="auto"/>
              <w:jc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45" w:type="dxa"/>
            <w:vMerge w:val="restart"/>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360" w:lineRule="auto"/>
              <w:jc w:val="center"/>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eastAsia="zh-CN"/>
              </w:rPr>
              <w:t>商务</w:t>
            </w:r>
            <w:r>
              <w:rPr>
                <w:rFonts w:hint="eastAsia" w:ascii="宋体" w:hAnsi="宋体" w:eastAsia="宋体" w:cs="宋体"/>
                <w:b w:val="0"/>
                <w:bCs w:val="0"/>
                <w:color w:val="auto"/>
                <w:sz w:val="24"/>
                <w:szCs w:val="24"/>
                <w:highlight w:val="none"/>
              </w:rPr>
              <w:t>资信（</w:t>
            </w:r>
            <w:r>
              <w:rPr>
                <w:rFonts w:hint="eastAsia" w:ascii="宋体" w:hAnsi="宋体" w:eastAsia="宋体" w:cs="宋体"/>
                <w:b w:val="0"/>
                <w:bCs w:val="0"/>
                <w:color w:val="auto"/>
                <w:sz w:val="24"/>
                <w:szCs w:val="24"/>
                <w:highlight w:val="none"/>
                <w:lang w:val="en-US" w:eastAsia="zh-CN"/>
              </w:rPr>
              <w:t>10</w:t>
            </w:r>
            <w:r>
              <w:rPr>
                <w:rFonts w:hint="eastAsia" w:ascii="宋体" w:hAnsi="宋体" w:eastAsia="宋体" w:cs="宋体"/>
                <w:b w:val="0"/>
                <w:bCs w:val="0"/>
                <w:color w:val="auto"/>
                <w:sz w:val="24"/>
                <w:szCs w:val="24"/>
                <w:highlight w:val="none"/>
              </w:rPr>
              <w:t>）</w:t>
            </w:r>
          </w:p>
        </w:tc>
        <w:tc>
          <w:tcPr>
            <w:tcW w:w="6909" w:type="dxa"/>
            <w:gridSpan w:val="2"/>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同类业绩（具体详见商务要求表）</w:t>
            </w:r>
          </w:p>
        </w:tc>
        <w:tc>
          <w:tcPr>
            <w:tcW w:w="765" w:type="dxa"/>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45"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360" w:lineRule="auto"/>
              <w:jc w:val="left"/>
              <w:textAlignment w:val="auto"/>
              <w:rPr>
                <w:rFonts w:hint="eastAsia" w:ascii="宋体" w:hAnsi="宋体" w:eastAsia="宋体" w:cs="宋体"/>
                <w:b w:val="0"/>
                <w:bCs w:val="0"/>
                <w:color w:val="auto"/>
                <w:sz w:val="24"/>
                <w:szCs w:val="24"/>
                <w:highlight w:val="none"/>
              </w:rPr>
            </w:pPr>
          </w:p>
        </w:tc>
        <w:tc>
          <w:tcPr>
            <w:tcW w:w="690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cs="宋体"/>
                <w:color w:val="auto"/>
                <w:sz w:val="24"/>
                <w:szCs w:val="24"/>
                <w:highlight w:val="none"/>
                <w:lang w:val="en-US" w:eastAsia="zh-CN"/>
              </w:rPr>
              <w:t>企业资质</w:t>
            </w:r>
            <w:r>
              <w:rPr>
                <w:rFonts w:hint="eastAsia" w:ascii="宋体" w:hAnsi="宋体" w:eastAsia="宋体" w:cs="宋体"/>
                <w:b w:val="0"/>
                <w:bCs w:val="0"/>
                <w:color w:val="auto"/>
                <w:sz w:val="24"/>
                <w:szCs w:val="24"/>
                <w:highlight w:val="none"/>
              </w:rPr>
              <w:t>（具体详见商务要求表）</w:t>
            </w:r>
          </w:p>
        </w:tc>
        <w:tc>
          <w:tcPr>
            <w:tcW w:w="7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60" w:lineRule="auto"/>
              <w:jc w:val="center"/>
              <w:textAlignment w:val="auto"/>
              <w:rPr>
                <w:rFonts w:hint="default"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45"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360" w:lineRule="auto"/>
              <w:jc w:val="left"/>
              <w:textAlignment w:val="auto"/>
              <w:rPr>
                <w:rFonts w:hint="eastAsia" w:ascii="宋体" w:hAnsi="宋体" w:eastAsia="宋体" w:cs="宋体"/>
                <w:b w:val="0"/>
                <w:bCs w:val="0"/>
                <w:color w:val="auto"/>
                <w:sz w:val="24"/>
                <w:szCs w:val="24"/>
                <w:highlight w:val="none"/>
              </w:rPr>
            </w:pPr>
          </w:p>
        </w:tc>
        <w:tc>
          <w:tcPr>
            <w:tcW w:w="690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认证证书</w:t>
            </w:r>
            <w:r>
              <w:rPr>
                <w:rFonts w:hint="eastAsia" w:ascii="宋体" w:hAnsi="宋体" w:eastAsia="宋体" w:cs="宋体"/>
                <w:b w:val="0"/>
                <w:bCs w:val="0"/>
                <w:color w:val="auto"/>
                <w:sz w:val="24"/>
                <w:szCs w:val="24"/>
                <w:highlight w:val="none"/>
              </w:rPr>
              <w:t>（具体详见商务要求表）</w:t>
            </w:r>
          </w:p>
        </w:tc>
        <w:tc>
          <w:tcPr>
            <w:tcW w:w="7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60" w:lineRule="auto"/>
              <w:jc w:val="center"/>
              <w:textAlignment w:val="auto"/>
              <w:rPr>
                <w:rFonts w:hint="default"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45"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360" w:lineRule="auto"/>
              <w:jc w:val="left"/>
              <w:textAlignment w:val="auto"/>
              <w:rPr>
                <w:rFonts w:hint="eastAsia" w:ascii="宋体" w:hAnsi="宋体" w:eastAsia="宋体" w:cs="宋体"/>
                <w:b w:val="0"/>
                <w:bCs w:val="0"/>
                <w:color w:val="auto"/>
                <w:sz w:val="24"/>
                <w:szCs w:val="24"/>
                <w:highlight w:val="none"/>
              </w:rPr>
            </w:pPr>
          </w:p>
        </w:tc>
        <w:tc>
          <w:tcPr>
            <w:tcW w:w="6909" w:type="dxa"/>
            <w:gridSpan w:val="2"/>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color w:val="auto"/>
                <w:kern w:val="0"/>
                <w:sz w:val="24"/>
                <w:szCs w:val="20"/>
                <w:highlight w:val="none"/>
                <w:lang w:val="en-US" w:eastAsia="zh-CN"/>
              </w:rPr>
              <w:t>人员证书</w:t>
            </w:r>
            <w:r>
              <w:rPr>
                <w:rFonts w:hint="eastAsia" w:ascii="宋体" w:hAnsi="宋体" w:eastAsia="宋体" w:cs="宋体"/>
                <w:b w:val="0"/>
                <w:bCs w:val="0"/>
                <w:color w:val="auto"/>
                <w:sz w:val="24"/>
                <w:szCs w:val="24"/>
                <w:highlight w:val="none"/>
              </w:rPr>
              <w:t>（具体详见商务要求表）</w:t>
            </w:r>
          </w:p>
        </w:tc>
        <w:tc>
          <w:tcPr>
            <w:tcW w:w="765" w:type="dxa"/>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60" w:lineRule="auto"/>
              <w:jc w:val="center"/>
              <w:textAlignment w:val="auto"/>
              <w:rPr>
                <w:rFonts w:hint="default"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w:t>
            </w:r>
          </w:p>
        </w:tc>
      </w:tr>
    </w:tbl>
    <w:p>
      <w:pPr>
        <w:spacing w:line="360" w:lineRule="auto"/>
        <w:ind w:firstLine="482" w:firstLineChars="200"/>
        <w:rPr>
          <w:rFonts w:hint="eastAsia" w:ascii="宋体" w:hAnsi="宋体" w:eastAsia="宋体" w:cs="宋体"/>
          <w:b/>
          <w:bCs/>
          <w:color w:val="auto"/>
          <w:sz w:val="24"/>
          <w:szCs w:val="21"/>
          <w:highlight w:val="none"/>
          <w:lang w:val="en-US" w:eastAsia="zh-CN"/>
        </w:rPr>
      </w:pPr>
    </w:p>
    <w:p>
      <w:pPr>
        <w:spacing w:line="360" w:lineRule="auto"/>
        <w:ind w:firstLine="482" w:firstLineChars="200"/>
        <w:rPr>
          <w:rFonts w:hint="eastAsia" w:ascii="宋体" w:hAnsi="宋体" w:eastAsia="宋体" w:cs="宋体"/>
          <w:b/>
          <w:bCs/>
          <w:color w:val="auto"/>
          <w:sz w:val="24"/>
          <w:szCs w:val="21"/>
          <w:highlight w:val="none"/>
        </w:rPr>
      </w:pPr>
      <w:r>
        <w:rPr>
          <w:rFonts w:hint="eastAsia" w:ascii="宋体" w:hAnsi="宋体" w:eastAsia="宋体" w:cs="宋体"/>
          <w:b/>
          <w:bCs/>
          <w:color w:val="auto"/>
          <w:sz w:val="24"/>
          <w:szCs w:val="21"/>
          <w:highlight w:val="none"/>
          <w:lang w:val="en-US" w:eastAsia="zh-CN"/>
        </w:rPr>
        <w:t>2、</w:t>
      </w:r>
      <w:r>
        <w:rPr>
          <w:rFonts w:hint="eastAsia" w:ascii="宋体" w:hAnsi="宋体" w:eastAsia="宋体" w:cs="宋体"/>
          <w:b/>
          <w:bCs/>
          <w:color w:val="auto"/>
          <w:sz w:val="24"/>
          <w:szCs w:val="21"/>
          <w:highlight w:val="none"/>
        </w:rPr>
        <w:t>商务要求表</w:t>
      </w:r>
      <w:r>
        <w:rPr>
          <w:rFonts w:hint="eastAsia" w:ascii="宋体" w:hAnsi="宋体" w:eastAsia="宋体" w:cs="宋体"/>
          <w:b w:val="0"/>
          <w:bCs w:val="0"/>
          <w:color w:val="auto"/>
          <w:sz w:val="24"/>
          <w:szCs w:val="21"/>
          <w:highlight w:val="none"/>
          <w:u w:val="none"/>
        </w:rPr>
        <w:t>（对应评分标准）</w:t>
      </w: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1"/>
        <w:gridCol w:w="840"/>
        <w:gridCol w:w="6228"/>
        <w:gridCol w:w="7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 w:hRule="atLeast"/>
          <w:jc w:val="center"/>
        </w:trPr>
        <w:tc>
          <w:tcPr>
            <w:tcW w:w="711" w:type="dxa"/>
            <w:vMerge w:val="restart"/>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资信</w:t>
            </w:r>
          </w:p>
        </w:tc>
        <w:tc>
          <w:tcPr>
            <w:tcW w:w="8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highlight w:val="none"/>
              </w:rPr>
            </w:pPr>
            <w:r>
              <w:rPr>
                <w:rFonts w:hint="eastAsia" w:ascii="宋体" w:hAnsi="宋体" w:cs="宋体"/>
                <w:color w:val="auto"/>
                <w:sz w:val="24"/>
                <w:highlight w:val="none"/>
              </w:rPr>
              <w:t>同类业绩</w:t>
            </w:r>
          </w:p>
        </w:tc>
        <w:tc>
          <w:tcPr>
            <w:tcW w:w="62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auto"/>
              <w:ind w:firstLine="240" w:firstLineChars="1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供应商自2019年1月1日以来（以合同签订时间为准）承担过类似项目业绩的，每提供一</w:t>
            </w:r>
            <w:r>
              <w:rPr>
                <w:rFonts w:hint="eastAsia" w:ascii="宋体" w:hAnsi="宋体" w:eastAsia="宋体" w:cs="宋体"/>
                <w:color w:val="auto"/>
                <w:sz w:val="24"/>
                <w:highlight w:val="none"/>
                <w:lang w:val="en-US" w:eastAsia="zh-CN"/>
              </w:rPr>
              <w:t>个</w:t>
            </w:r>
            <w:r>
              <w:rPr>
                <w:rFonts w:hint="eastAsia" w:ascii="宋体" w:hAnsi="宋体" w:eastAsia="宋体" w:cs="宋体"/>
                <w:color w:val="auto"/>
                <w:sz w:val="24"/>
                <w:highlight w:val="none"/>
              </w:rPr>
              <w:t>得0.5分，最高得2分</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（提供合同复印件或扫描件加盖公章，时间以合同签订时间为准。）</w:t>
            </w:r>
            <w:r>
              <w:rPr>
                <w:rFonts w:hint="eastAsia" w:ascii="宋体" w:hAnsi="宋体" w:cs="宋体"/>
                <w:color w:val="auto"/>
                <w:sz w:val="24"/>
                <w:highlight w:val="none"/>
              </w:rPr>
              <w:t>。</w:t>
            </w:r>
          </w:p>
        </w:tc>
        <w:tc>
          <w:tcPr>
            <w:tcW w:w="7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jc w:val="center"/>
        </w:trPr>
        <w:tc>
          <w:tcPr>
            <w:tcW w:w="711"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highlight w:val="none"/>
              </w:rPr>
            </w:pPr>
          </w:p>
        </w:tc>
        <w:tc>
          <w:tcPr>
            <w:tcW w:w="840" w:type="dxa"/>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企业资质</w:t>
            </w:r>
          </w:p>
        </w:tc>
        <w:tc>
          <w:tcPr>
            <w:tcW w:w="6228"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240" w:firstLineChars="100"/>
              <w:jc w:val="left"/>
              <w:rPr>
                <w:rFonts w:hint="eastAsia" w:ascii="宋体" w:hAnsi="宋体" w:cs="宋体"/>
                <w:color w:val="auto"/>
                <w:sz w:val="24"/>
                <w:szCs w:val="24"/>
                <w:highlight w:val="none"/>
                <w:lang w:val="en-US" w:eastAsia="zh-CN"/>
              </w:rPr>
            </w:pPr>
            <w:r>
              <w:rPr>
                <w:rFonts w:hint="eastAsia" w:ascii="宋体" w:hAnsi="宋体" w:eastAsia="宋体" w:cs="宋体"/>
                <w:color w:val="auto"/>
                <w:sz w:val="24"/>
                <w:highlight w:val="none"/>
              </w:rPr>
              <w:t>供应商</w:t>
            </w:r>
            <w:r>
              <w:rPr>
                <w:rFonts w:hint="eastAsia" w:ascii="宋体" w:hAnsi="宋体" w:eastAsia="宋体" w:cs="宋体"/>
                <w:color w:val="auto"/>
                <w:sz w:val="24"/>
                <w:szCs w:val="24"/>
                <w:highlight w:val="none"/>
                <w:lang w:eastAsia="zh-CN"/>
              </w:rPr>
              <w:t>具有测绘资质证书的得</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分，没有不得分。</w:t>
            </w:r>
            <w:r>
              <w:rPr>
                <w:rFonts w:hint="eastAsia" w:ascii="宋体" w:hAnsi="宋体" w:eastAsia="宋体" w:cs="宋体"/>
                <w:color w:val="auto"/>
                <w:sz w:val="24"/>
                <w:highlight w:val="none"/>
              </w:rPr>
              <w:t>（提供</w:t>
            </w:r>
            <w:r>
              <w:rPr>
                <w:rFonts w:hint="eastAsia" w:ascii="宋体" w:hAnsi="宋体" w:eastAsia="宋体" w:cs="宋体"/>
                <w:color w:val="auto"/>
                <w:sz w:val="24"/>
                <w:highlight w:val="none"/>
                <w:lang w:val="en-US" w:eastAsia="zh-CN"/>
              </w:rPr>
              <w:t>证书</w:t>
            </w:r>
            <w:r>
              <w:rPr>
                <w:rFonts w:hint="eastAsia" w:ascii="宋体" w:hAnsi="宋体" w:eastAsia="宋体" w:cs="宋体"/>
                <w:color w:val="auto"/>
                <w:sz w:val="24"/>
                <w:highlight w:val="none"/>
              </w:rPr>
              <w:t>复印件或扫描件加盖公章）</w:t>
            </w:r>
            <w:r>
              <w:rPr>
                <w:rFonts w:hint="eastAsia" w:ascii="宋体" w:hAnsi="宋体" w:cs="宋体"/>
                <w:color w:val="auto"/>
                <w:sz w:val="24"/>
                <w:highlight w:val="none"/>
              </w:rPr>
              <w:t>。</w:t>
            </w:r>
          </w:p>
        </w:tc>
        <w:tc>
          <w:tcPr>
            <w:tcW w:w="7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jc w:val="center"/>
        </w:trPr>
        <w:tc>
          <w:tcPr>
            <w:tcW w:w="711"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highlight w:val="none"/>
              </w:rPr>
            </w:pPr>
          </w:p>
        </w:tc>
        <w:tc>
          <w:tcPr>
            <w:tcW w:w="8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highlight w:val="none"/>
              </w:rPr>
            </w:pPr>
            <w:r>
              <w:rPr>
                <w:rFonts w:hint="eastAsia" w:ascii="宋体" w:hAnsi="宋体" w:cs="宋体"/>
                <w:color w:val="auto"/>
                <w:sz w:val="24"/>
                <w:szCs w:val="24"/>
                <w:highlight w:val="none"/>
              </w:rPr>
              <w:t>认证证书</w:t>
            </w:r>
          </w:p>
        </w:tc>
        <w:tc>
          <w:tcPr>
            <w:tcW w:w="62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auto"/>
              <w:ind w:firstLine="240" w:firstLineChars="100"/>
              <w:textAlignment w:val="auto"/>
              <w:rPr>
                <w:rFonts w:hint="eastAsia" w:ascii="宋体" w:hAnsi="宋体" w:eastAsia="宋体" w:cs="宋体"/>
                <w:color w:val="auto"/>
                <w:sz w:val="24"/>
                <w:highlight w:val="none"/>
              </w:rPr>
            </w:pPr>
            <w:r>
              <w:rPr>
                <w:rFonts w:hint="eastAsia" w:ascii="宋体" w:hAnsi="宋体" w:cs="宋体"/>
                <w:color w:val="auto"/>
                <w:sz w:val="24"/>
                <w:szCs w:val="24"/>
                <w:highlight w:val="none"/>
                <w:lang w:val="en-US" w:eastAsia="zh-CN"/>
              </w:rPr>
              <w:t>供应商</w:t>
            </w:r>
            <w:r>
              <w:rPr>
                <w:rFonts w:hint="eastAsia" w:ascii="宋体" w:hAnsi="宋体" w:cs="宋体"/>
                <w:color w:val="auto"/>
                <w:sz w:val="24"/>
                <w:szCs w:val="24"/>
                <w:highlight w:val="none"/>
              </w:rPr>
              <w:t>具有质量管理体系认证证书、信息安全管理体系认证证书、环境管理体系认证证书、职业健康安全体系认证证书的</w:t>
            </w:r>
            <w:r>
              <w:rPr>
                <w:rFonts w:hint="eastAsia" w:ascii="宋体" w:hAnsi="宋体" w:cs="宋体"/>
                <w:color w:val="auto"/>
                <w:sz w:val="24"/>
                <w:szCs w:val="24"/>
                <w:highlight w:val="none"/>
                <w:lang w:val="en-US" w:eastAsia="zh-CN"/>
              </w:rPr>
              <w:t>每拥有一本得1分，本项最高</w:t>
            </w:r>
            <w:r>
              <w:rPr>
                <w:rFonts w:hint="eastAsia" w:ascii="宋体" w:hAnsi="宋体" w:cs="宋体"/>
                <w:color w:val="auto"/>
                <w:sz w:val="24"/>
                <w:szCs w:val="24"/>
                <w:highlight w:val="none"/>
              </w:rPr>
              <w:t>得</w:t>
            </w:r>
            <w:r>
              <w:rPr>
                <w:rFonts w:hint="eastAsia" w:ascii="宋体" w:hAnsi="宋体" w:cs="宋体"/>
                <w:color w:val="auto"/>
                <w:sz w:val="24"/>
                <w:szCs w:val="24"/>
                <w:highlight w:val="none"/>
                <w:lang w:val="en-US" w:eastAsia="zh-CN"/>
              </w:rPr>
              <w:t>4</w:t>
            </w:r>
            <w:r>
              <w:rPr>
                <w:rFonts w:hint="eastAsia" w:ascii="宋体" w:hAnsi="宋体" w:cs="宋体"/>
                <w:color w:val="auto"/>
                <w:sz w:val="24"/>
                <w:szCs w:val="24"/>
                <w:highlight w:val="none"/>
              </w:rPr>
              <w:t>分</w:t>
            </w:r>
            <w:r>
              <w:rPr>
                <w:rFonts w:hint="eastAsia" w:ascii="宋体" w:hAnsi="宋体" w:cs="宋体"/>
                <w:color w:val="auto"/>
                <w:sz w:val="24"/>
                <w:highlight w:val="none"/>
              </w:rPr>
              <w:t>。</w:t>
            </w:r>
            <w:r>
              <w:rPr>
                <w:rFonts w:hint="eastAsia" w:ascii="宋体" w:hAnsi="宋体" w:eastAsia="宋体" w:cs="宋体"/>
                <w:color w:val="auto"/>
                <w:sz w:val="24"/>
                <w:highlight w:val="none"/>
              </w:rPr>
              <w:t>（提供</w:t>
            </w:r>
            <w:r>
              <w:rPr>
                <w:rFonts w:hint="eastAsia" w:ascii="宋体" w:hAnsi="宋体" w:eastAsia="宋体" w:cs="宋体"/>
                <w:color w:val="auto"/>
                <w:sz w:val="24"/>
                <w:highlight w:val="none"/>
                <w:lang w:val="en-US" w:eastAsia="zh-CN"/>
              </w:rPr>
              <w:t>认证证书</w:t>
            </w:r>
            <w:r>
              <w:rPr>
                <w:rFonts w:hint="eastAsia" w:ascii="宋体" w:hAnsi="宋体" w:eastAsia="宋体" w:cs="宋体"/>
                <w:color w:val="auto"/>
                <w:sz w:val="24"/>
                <w:highlight w:val="none"/>
              </w:rPr>
              <w:t>复印件或扫描件加盖公章）</w:t>
            </w:r>
            <w:r>
              <w:rPr>
                <w:rFonts w:hint="eastAsia" w:ascii="宋体" w:hAnsi="宋体" w:cs="宋体"/>
                <w:color w:val="auto"/>
                <w:sz w:val="24"/>
                <w:highlight w:val="none"/>
              </w:rPr>
              <w:t>。</w:t>
            </w:r>
          </w:p>
        </w:tc>
        <w:tc>
          <w:tcPr>
            <w:tcW w:w="7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jc w:val="center"/>
        </w:trPr>
        <w:tc>
          <w:tcPr>
            <w:tcW w:w="711"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highlight w:val="none"/>
              </w:rPr>
            </w:pPr>
          </w:p>
        </w:tc>
        <w:tc>
          <w:tcPr>
            <w:tcW w:w="840"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default" w:ascii="宋体" w:hAnsi="宋体" w:eastAsia="宋体" w:cs="宋体"/>
                <w:color w:val="auto"/>
                <w:sz w:val="24"/>
                <w:highlight w:val="none"/>
                <w:lang w:val="en-US" w:eastAsia="zh-CN"/>
              </w:rPr>
            </w:pPr>
            <w:r>
              <w:rPr>
                <w:rFonts w:hint="eastAsia" w:ascii="宋体" w:hAnsi="宋体"/>
                <w:color w:val="auto"/>
                <w:kern w:val="0"/>
                <w:sz w:val="24"/>
                <w:szCs w:val="20"/>
                <w:highlight w:val="none"/>
                <w:lang w:val="en-US" w:eastAsia="zh-CN"/>
              </w:rPr>
              <w:t>人员证书</w:t>
            </w:r>
          </w:p>
        </w:tc>
        <w:tc>
          <w:tcPr>
            <w:tcW w:w="6228"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240" w:firstLineChars="100"/>
              <w:rPr>
                <w:rFonts w:hint="eastAsia" w:ascii="宋体" w:hAnsi="宋体" w:cs="宋体"/>
                <w:color w:val="auto"/>
                <w:sz w:val="24"/>
                <w:szCs w:val="24"/>
                <w:highlight w:val="none"/>
              </w:rPr>
            </w:pPr>
            <w:r>
              <w:rPr>
                <w:rFonts w:hint="eastAsia" w:ascii="宋体" w:hAnsi="宋体" w:cs="宋体"/>
                <w:color w:val="auto"/>
                <w:sz w:val="24"/>
                <w:highlight w:val="none"/>
              </w:rPr>
              <w:t>项目负责人具有规划类高级</w:t>
            </w:r>
            <w:r>
              <w:rPr>
                <w:rFonts w:hint="eastAsia" w:ascii="宋体" w:hAnsi="宋体" w:cs="宋体"/>
                <w:color w:val="auto"/>
                <w:sz w:val="24"/>
                <w:highlight w:val="none"/>
                <w:lang w:val="en-US" w:eastAsia="zh-CN"/>
              </w:rPr>
              <w:t>及以上</w:t>
            </w:r>
            <w:r>
              <w:rPr>
                <w:rFonts w:hint="eastAsia" w:ascii="宋体" w:hAnsi="宋体" w:cs="宋体"/>
                <w:color w:val="auto"/>
                <w:sz w:val="24"/>
                <w:highlight w:val="none"/>
              </w:rPr>
              <w:t>工程师证书的得1分</w:t>
            </w:r>
            <w:r>
              <w:rPr>
                <w:rFonts w:hint="eastAsia" w:ascii="宋体" w:hAnsi="宋体" w:cs="宋体"/>
                <w:color w:val="auto"/>
                <w:sz w:val="24"/>
                <w:highlight w:val="none"/>
                <w:lang w:eastAsia="zh-CN"/>
              </w:rPr>
              <w:t>，</w:t>
            </w:r>
            <w:r>
              <w:rPr>
                <w:rFonts w:hint="eastAsia" w:ascii="宋体" w:hAnsi="宋体" w:cs="宋体"/>
                <w:color w:val="auto"/>
                <w:sz w:val="24"/>
                <w:highlight w:val="none"/>
              </w:rPr>
              <w:t>具有注册规划师的得1分，没有不得分</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本项最高得2分</w:t>
            </w:r>
            <w:r>
              <w:rPr>
                <w:rFonts w:hint="eastAsia" w:ascii="宋体" w:hAnsi="宋体" w:cs="宋体"/>
                <w:color w:val="auto"/>
                <w:sz w:val="24"/>
                <w:highlight w:val="none"/>
              </w:rPr>
              <w:t>。</w:t>
            </w:r>
            <w:r>
              <w:rPr>
                <w:rFonts w:hint="eastAsia" w:ascii="宋体" w:hAnsi="宋体" w:cs="宋体"/>
                <w:color w:val="auto"/>
                <w:sz w:val="24"/>
                <w:highlight w:val="none"/>
                <w:lang w:eastAsia="zh-CN"/>
              </w:rPr>
              <w:t>（</w:t>
            </w:r>
            <w:r>
              <w:rPr>
                <w:rFonts w:hint="eastAsia" w:ascii="宋体" w:hAnsi="宋体" w:eastAsia="宋体" w:cs="宋体"/>
                <w:b w:val="0"/>
                <w:bCs w:val="0"/>
                <w:color w:val="auto"/>
                <w:sz w:val="24"/>
                <w:szCs w:val="24"/>
                <w:highlight w:val="none"/>
                <w:lang w:val="en-US" w:eastAsia="zh-CN"/>
              </w:rPr>
              <w:t>提供人员证书及近3个月的社保缴纳证明</w:t>
            </w:r>
            <w:r>
              <w:rPr>
                <w:rFonts w:hint="eastAsia" w:ascii="宋体" w:hAnsi="宋体" w:cs="宋体"/>
                <w:color w:val="auto"/>
                <w:sz w:val="24"/>
                <w:highlight w:val="none"/>
                <w:lang w:eastAsia="zh-CN"/>
              </w:rPr>
              <w:t>）</w:t>
            </w:r>
          </w:p>
        </w:tc>
        <w:tc>
          <w:tcPr>
            <w:tcW w:w="7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2</w:t>
            </w:r>
          </w:p>
        </w:tc>
      </w:tr>
    </w:tbl>
    <w:p>
      <w:pPr>
        <w:numPr>
          <w:ilvl w:val="0"/>
          <w:numId w:val="0"/>
        </w:numPr>
        <w:ind w:firstLine="482" w:firstLineChars="200"/>
        <w:rPr>
          <w:rFonts w:hint="eastAsia" w:ascii="宋体"/>
          <w:b/>
          <w:bCs/>
          <w:color w:val="auto"/>
          <w:sz w:val="24"/>
          <w:szCs w:val="24"/>
          <w:highlight w:val="none"/>
          <w:lang w:val="en-US" w:eastAsia="zh-CN"/>
        </w:rPr>
      </w:pPr>
    </w:p>
    <w:p>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注：</w:t>
      </w:r>
    </w:p>
    <w:p>
      <w:pP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1</w:t>
      </w:r>
      <w:r>
        <w:rPr>
          <w:rFonts w:hint="eastAsia" w:ascii="宋体" w:hAnsi="宋体" w:cs="宋体"/>
          <w:color w:val="auto"/>
          <w:sz w:val="24"/>
          <w:szCs w:val="24"/>
          <w:highlight w:val="none"/>
        </w:rPr>
        <w:t>、评标委员会各成员应当独立对每个供应商的响应文件进行评价，并汇总每个供应商的得分。资信分为客观分，也需独立进行评价并核对分值，最终分值需一致。</w:t>
      </w:r>
    </w:p>
    <w:p>
      <w:pPr>
        <w:spacing w:line="360" w:lineRule="auto"/>
        <w:ind w:firstLine="480" w:firstLineChars="200"/>
        <w:rPr>
          <w:rFonts w:ascii="宋体" w:hAnsi="宋体" w:cs="宋体"/>
          <w:color w:val="auto"/>
          <w:sz w:val="24"/>
          <w:szCs w:val="24"/>
          <w:highlight w:val="none"/>
        </w:rPr>
      </w:pPr>
      <w:r>
        <w:rPr>
          <w:rFonts w:ascii="宋体" w:hAnsi="宋体" w:cs="宋体"/>
          <w:color w:val="auto"/>
          <w:sz w:val="24"/>
          <w:szCs w:val="24"/>
          <w:highlight w:val="none"/>
        </w:rPr>
        <w:t>2</w:t>
      </w:r>
      <w:r>
        <w:rPr>
          <w:rFonts w:hint="eastAsia" w:ascii="宋体" w:hAnsi="宋体" w:cs="宋体"/>
          <w:color w:val="auto"/>
          <w:sz w:val="24"/>
          <w:szCs w:val="24"/>
          <w:highlight w:val="none"/>
        </w:rPr>
        <w:t>、所有文件、合同、证书、资质等需要真实有效。成交供应商在中标后签订合同时需提供以上证明文件原件，若发现资料作假的取消中标资格。</w:t>
      </w:r>
      <w:bookmarkStart w:id="92" w:name="_Toc4517"/>
      <w:bookmarkStart w:id="93" w:name="_Toc8033"/>
    </w:p>
    <w:p>
      <w:pPr>
        <w:rPr>
          <w:rFonts w:cs="宋体"/>
          <w:color w:val="auto"/>
          <w:sz w:val="36"/>
          <w:szCs w:val="36"/>
          <w:highlight w:val="none"/>
        </w:rPr>
      </w:pPr>
      <w:r>
        <w:rPr>
          <w:rFonts w:hint="eastAsia" w:cs="宋体"/>
          <w:color w:val="auto"/>
          <w:sz w:val="36"/>
          <w:szCs w:val="36"/>
          <w:highlight w:val="none"/>
        </w:rPr>
        <w:br w:type="page"/>
      </w:r>
    </w:p>
    <w:p>
      <w:pPr>
        <w:pStyle w:val="2"/>
        <w:jc w:val="center"/>
        <w:rPr>
          <w:rFonts w:ascii="宋体" w:cs="Times New Roman"/>
          <w:color w:val="auto"/>
          <w:highlight w:val="none"/>
        </w:rPr>
      </w:pPr>
      <w:bookmarkStart w:id="94" w:name="_Toc7198"/>
      <w:r>
        <w:rPr>
          <w:rFonts w:hint="eastAsia" w:cs="宋体"/>
          <w:color w:val="auto"/>
          <w:sz w:val="36"/>
          <w:szCs w:val="36"/>
          <w:highlight w:val="none"/>
        </w:rPr>
        <w:t>第五部分</w:t>
      </w:r>
      <w:r>
        <w:rPr>
          <w:color w:val="auto"/>
          <w:sz w:val="36"/>
          <w:szCs w:val="36"/>
          <w:highlight w:val="none"/>
        </w:rPr>
        <w:t xml:space="preserve"> </w:t>
      </w:r>
      <w:r>
        <w:rPr>
          <w:rFonts w:hint="eastAsia" w:cs="宋体"/>
          <w:color w:val="auto"/>
          <w:sz w:val="36"/>
          <w:szCs w:val="36"/>
          <w:highlight w:val="none"/>
        </w:rPr>
        <w:t>采购合同</w:t>
      </w:r>
      <w:bookmarkEnd w:id="92"/>
      <w:bookmarkEnd w:id="93"/>
      <w:bookmarkEnd w:id="94"/>
    </w:p>
    <w:p>
      <w:pPr>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合同编号：（2022）第</w:t>
      </w:r>
      <w:r>
        <w:rPr>
          <w:rFonts w:hint="eastAsia" w:ascii="宋体" w:hAnsi="宋体" w:eastAsia="宋体" w:cs="宋体"/>
          <w:color w:val="auto"/>
          <w:kern w:val="0"/>
          <w:sz w:val="24"/>
          <w:szCs w:val="24"/>
          <w:highlight w:val="none"/>
          <w:u w:val="single"/>
        </w:rPr>
        <w:t>　　</w:t>
      </w:r>
      <w:r>
        <w:rPr>
          <w:rFonts w:hint="eastAsia" w:ascii="宋体" w:hAnsi="宋体" w:eastAsia="宋体" w:cs="宋体"/>
          <w:color w:val="auto"/>
          <w:kern w:val="0"/>
          <w:sz w:val="24"/>
          <w:szCs w:val="24"/>
          <w:highlight w:val="none"/>
        </w:rPr>
        <w:t>号</w:t>
      </w:r>
    </w:p>
    <w:p>
      <w:pPr>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签订日期：2022年</w:t>
      </w:r>
      <w:r>
        <w:rPr>
          <w:rFonts w:hint="eastAsia" w:ascii="宋体" w:hAnsi="宋体" w:eastAsia="宋体" w:cs="宋体"/>
          <w:color w:val="auto"/>
          <w:kern w:val="0"/>
          <w:sz w:val="24"/>
          <w:szCs w:val="24"/>
          <w:highlight w:val="none"/>
          <w:u w:val="single"/>
        </w:rPr>
        <w:t>　　</w:t>
      </w:r>
      <w:r>
        <w:rPr>
          <w:rFonts w:hint="eastAsia" w:ascii="宋体" w:hAnsi="宋体" w:eastAsia="宋体" w:cs="宋体"/>
          <w:color w:val="auto"/>
          <w:kern w:val="0"/>
          <w:sz w:val="24"/>
          <w:szCs w:val="24"/>
          <w:highlight w:val="none"/>
        </w:rPr>
        <w:t>月</w:t>
      </w:r>
      <w:r>
        <w:rPr>
          <w:rFonts w:hint="eastAsia" w:ascii="宋体" w:hAnsi="宋体" w:eastAsia="宋体" w:cs="宋体"/>
          <w:color w:val="auto"/>
          <w:kern w:val="0"/>
          <w:sz w:val="24"/>
          <w:szCs w:val="24"/>
          <w:highlight w:val="none"/>
          <w:u w:val="single"/>
        </w:rPr>
        <w:t>　　</w:t>
      </w:r>
      <w:r>
        <w:rPr>
          <w:rFonts w:hint="eastAsia" w:ascii="宋体" w:hAnsi="宋体" w:eastAsia="宋体" w:cs="宋体"/>
          <w:color w:val="auto"/>
          <w:kern w:val="0"/>
          <w:sz w:val="24"/>
          <w:szCs w:val="24"/>
          <w:highlight w:val="none"/>
        </w:rPr>
        <w:t>日</w:t>
      </w:r>
    </w:p>
    <w:p>
      <w:pPr>
        <w:spacing w:line="360" w:lineRule="auto"/>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kern w:val="0"/>
          <w:sz w:val="24"/>
          <w:szCs w:val="24"/>
          <w:highlight w:val="none"/>
        </w:rPr>
        <w:t>　供方</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w:t>
      </w:r>
    </w:p>
    <w:p>
      <w:pPr>
        <w:spacing w:line="360" w:lineRule="auto"/>
        <w:ind w:firstLine="720" w:firstLineChars="300"/>
        <w:jc w:val="left"/>
        <w:rPr>
          <w:rFonts w:hint="eastAsia" w:ascii="宋体" w:hAnsi="宋体" w:eastAsia="宋体" w:cs="宋体"/>
          <w:color w:val="auto"/>
          <w:sz w:val="24"/>
          <w:szCs w:val="24"/>
          <w:highlight w:val="none"/>
          <w:u w:val="single"/>
        </w:rPr>
      </w:pPr>
      <w:r>
        <w:rPr>
          <w:rFonts w:hint="eastAsia" w:ascii="宋体" w:hAnsi="宋体" w:eastAsia="宋体" w:cs="宋体"/>
          <w:color w:val="auto"/>
          <w:kern w:val="0"/>
          <w:sz w:val="24"/>
          <w:szCs w:val="24"/>
          <w:highlight w:val="none"/>
        </w:rPr>
        <w:t>需方</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w:t>
      </w:r>
    </w:p>
    <w:p>
      <w:pPr>
        <w:keepNext w:val="0"/>
        <w:keepLines w:val="0"/>
        <w:pageBreakBefore w:val="0"/>
        <w:widowControl w:val="0"/>
        <w:kinsoku/>
        <w:wordWrap/>
        <w:overflowPunct/>
        <w:topLinePunct w:val="0"/>
        <w:autoSpaceDE/>
        <w:autoSpaceDN/>
        <w:bidi w:val="0"/>
        <w:spacing w:line="360" w:lineRule="auto"/>
        <w:ind w:firstLine="480" w:firstLineChars="200"/>
        <w:jc w:val="left"/>
        <w:textAlignment w:val="auto"/>
        <w:rPr>
          <w:rFonts w:hint="eastAsia" w:ascii="宋体" w:hAnsi="宋体" w:eastAsia="宋体" w:cs="宋体"/>
          <w:b/>
          <w:bCs/>
          <w:color w:val="auto"/>
          <w:sz w:val="24"/>
          <w:szCs w:val="24"/>
          <w:highlight w:val="none"/>
        </w:rPr>
      </w:pPr>
      <w:r>
        <w:rPr>
          <w:rFonts w:hint="eastAsia" w:ascii="宋体" w:hAnsi="宋体" w:eastAsia="宋体" w:cs="宋体"/>
          <w:color w:val="auto"/>
          <w:kern w:val="0"/>
          <w:sz w:val="24"/>
          <w:szCs w:val="24"/>
          <w:highlight w:val="none"/>
        </w:rPr>
        <w:t>根据《中华人民共和国民法典》、政府采购编号为</w:t>
      </w:r>
      <w:r>
        <w:rPr>
          <w:rFonts w:hint="eastAsia" w:ascii="宋体" w:hAnsi="宋体" w:cs="宋体"/>
          <w:color w:val="auto"/>
          <w:kern w:val="0"/>
          <w:sz w:val="24"/>
          <w:szCs w:val="24"/>
          <w:highlight w:val="none"/>
          <w:lang w:val="en-US" w:eastAsia="zh-CN"/>
        </w:rPr>
        <w:t>FSJZCS2022134</w:t>
      </w:r>
      <w:r>
        <w:rPr>
          <w:rFonts w:hint="eastAsia" w:ascii="宋体" w:hAnsi="宋体" w:eastAsia="宋体" w:cs="宋体"/>
          <w:color w:val="auto"/>
          <w:kern w:val="0"/>
          <w:sz w:val="24"/>
          <w:szCs w:val="24"/>
          <w:highlight w:val="none"/>
        </w:rPr>
        <w:t>招标文件、中标人响应文件的规定，经公开招标采购，签订本合同。</w:t>
      </w:r>
      <w:r>
        <w:rPr>
          <w:rFonts w:hint="eastAsia" w:ascii="宋体" w:hAnsi="宋体" w:eastAsia="宋体" w:cs="宋体"/>
          <w:b/>
          <w:bCs/>
          <w:color w:val="auto"/>
          <w:sz w:val="24"/>
          <w:szCs w:val="24"/>
          <w:highlight w:val="none"/>
        </w:rPr>
        <w:t xml:space="preserve"> </w:t>
      </w:r>
    </w:p>
    <w:p>
      <w:pPr>
        <w:keepNext w:val="0"/>
        <w:keepLines w:val="0"/>
        <w:pageBreakBefore w:val="0"/>
        <w:widowControl w:val="0"/>
        <w:kinsoku/>
        <w:wordWrap/>
        <w:overflowPunct/>
        <w:topLinePunct w:val="0"/>
        <w:autoSpaceDE/>
        <w:autoSpaceDN/>
        <w:bidi w:val="0"/>
        <w:spacing w:line="360" w:lineRule="auto"/>
        <w:textAlignment w:val="auto"/>
        <w:outlineLvl w:val="0"/>
        <w:rPr>
          <w:rFonts w:hint="eastAsia" w:ascii="宋体" w:hAnsi="宋体" w:eastAsia="宋体" w:cs="宋体"/>
          <w:b/>
          <w:bCs/>
          <w:color w:val="auto"/>
          <w:sz w:val="24"/>
          <w:szCs w:val="24"/>
          <w:highlight w:val="none"/>
        </w:rPr>
      </w:pPr>
      <w:bookmarkStart w:id="95" w:name="_Toc27184"/>
      <w:r>
        <w:rPr>
          <w:rFonts w:hint="eastAsia" w:ascii="宋体" w:hAnsi="宋体" w:eastAsia="宋体" w:cs="宋体"/>
          <w:b/>
          <w:bCs/>
          <w:color w:val="auto"/>
          <w:sz w:val="24"/>
          <w:szCs w:val="24"/>
          <w:highlight w:val="none"/>
          <w:lang w:val="en-US" w:eastAsia="zh-CN"/>
        </w:rPr>
        <w:t>一、</w:t>
      </w:r>
      <w:r>
        <w:rPr>
          <w:rFonts w:hint="eastAsia" w:ascii="宋体" w:hAnsi="宋体" w:eastAsia="宋体" w:cs="宋体"/>
          <w:b/>
          <w:bCs/>
          <w:color w:val="auto"/>
          <w:sz w:val="24"/>
          <w:szCs w:val="24"/>
          <w:highlight w:val="none"/>
        </w:rPr>
        <w:t>项目概况</w:t>
      </w:r>
      <w:bookmarkEnd w:id="95"/>
    </w:p>
    <w:p>
      <w:pPr>
        <w:pStyle w:val="26"/>
        <w:keepNext w:val="0"/>
        <w:keepLines w:val="0"/>
        <w:pageBreakBefore w:val="0"/>
        <w:widowControl w:val="0"/>
        <w:kinsoku/>
        <w:wordWrap/>
        <w:overflowPunct/>
        <w:topLinePunct w:val="0"/>
        <w:autoSpaceDE/>
        <w:autoSpaceDN/>
        <w:bidi w:val="0"/>
        <w:spacing w:after="0" w:line="360" w:lineRule="auto"/>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村庄规划是法定规划，是国土空间规划体系中乡村地区的详细规划，是表达农民生产生活愿望的蓝图；是协调农村空间保护利用的平台；是提升优化农业空间布局的手段；是依规完善乡村空间治理、核发乡村建设工程规划许可、进行各项建设等的法定依据。</w:t>
      </w:r>
    </w:p>
    <w:p>
      <w:pPr>
        <w:pStyle w:val="26"/>
        <w:keepNext w:val="0"/>
        <w:keepLines w:val="0"/>
        <w:pageBreakBefore w:val="0"/>
        <w:widowControl w:val="0"/>
        <w:kinsoku/>
        <w:wordWrap/>
        <w:overflowPunct/>
        <w:topLinePunct w:val="0"/>
        <w:autoSpaceDE/>
        <w:autoSpaceDN/>
        <w:bidi w:val="0"/>
        <w:spacing w:after="0" w:line="360" w:lineRule="auto"/>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根据《中央农办 农业农村部 自然资源部 国家发展改革委 财政部关于统筹推进村庄规划工作的意见》（农规发〔2019〕1号）、《浙江省自然资源厅关于科学有序推进村庄规划编制工作的通知》以及绍兴市、上虞区2022年度开展“多规合一”的实用性村庄规划试点编制工作要求，拟开展小越街道“多规合一”实用性村庄规划编制工作。</w:t>
      </w:r>
    </w:p>
    <w:p>
      <w:pPr>
        <w:keepNext w:val="0"/>
        <w:keepLines w:val="0"/>
        <w:pageBreakBefore w:val="0"/>
        <w:widowControl w:val="0"/>
        <w:kinsoku/>
        <w:wordWrap/>
        <w:overflowPunct/>
        <w:topLinePunct w:val="0"/>
        <w:autoSpaceDE/>
        <w:autoSpaceDN/>
        <w:bidi w:val="0"/>
        <w:spacing w:line="360" w:lineRule="auto"/>
        <w:textAlignment w:val="auto"/>
        <w:outlineLvl w:val="0"/>
        <w:rPr>
          <w:rFonts w:hint="eastAsia" w:ascii="宋体" w:hAnsi="宋体" w:eastAsia="宋体" w:cs="宋体"/>
          <w:b/>
          <w:bCs/>
          <w:color w:val="auto"/>
          <w:sz w:val="24"/>
          <w:szCs w:val="24"/>
          <w:highlight w:val="none"/>
        </w:rPr>
      </w:pPr>
      <w:bookmarkStart w:id="96" w:name="_Toc16903"/>
      <w:r>
        <w:rPr>
          <w:rFonts w:hint="eastAsia" w:ascii="宋体" w:hAnsi="宋体" w:eastAsia="宋体" w:cs="宋体"/>
          <w:b/>
          <w:bCs/>
          <w:color w:val="auto"/>
          <w:sz w:val="24"/>
          <w:szCs w:val="24"/>
          <w:highlight w:val="none"/>
          <w:lang w:val="en-US" w:eastAsia="zh-CN"/>
        </w:rPr>
        <w:t>二、</w:t>
      </w:r>
      <w:r>
        <w:rPr>
          <w:rFonts w:hint="eastAsia" w:ascii="宋体" w:hAnsi="宋体" w:eastAsia="宋体" w:cs="宋体"/>
          <w:b/>
          <w:bCs/>
          <w:color w:val="auto"/>
          <w:sz w:val="24"/>
          <w:szCs w:val="24"/>
          <w:highlight w:val="none"/>
        </w:rPr>
        <w:t>规划期限</w:t>
      </w:r>
      <w:bookmarkEnd w:id="96"/>
    </w:p>
    <w:p>
      <w:pPr>
        <w:pStyle w:val="26"/>
        <w:keepNext w:val="0"/>
        <w:keepLines w:val="0"/>
        <w:pageBreakBefore w:val="0"/>
        <w:widowControl w:val="0"/>
        <w:kinsoku/>
        <w:wordWrap/>
        <w:overflowPunct/>
        <w:topLinePunct w:val="0"/>
        <w:autoSpaceDE/>
        <w:autoSpaceDN/>
        <w:bidi w:val="0"/>
        <w:spacing w:line="360" w:lineRule="auto"/>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本规划期限与上虞区国土空间总体规划期限一致。</w:t>
      </w:r>
    </w:p>
    <w:p>
      <w:pPr>
        <w:keepNext w:val="0"/>
        <w:keepLines w:val="0"/>
        <w:pageBreakBefore w:val="0"/>
        <w:widowControl w:val="0"/>
        <w:kinsoku/>
        <w:wordWrap/>
        <w:overflowPunct/>
        <w:topLinePunct w:val="0"/>
        <w:autoSpaceDE/>
        <w:autoSpaceDN/>
        <w:bidi w:val="0"/>
        <w:spacing w:line="360" w:lineRule="auto"/>
        <w:textAlignment w:val="auto"/>
        <w:outlineLvl w:val="0"/>
        <w:rPr>
          <w:rFonts w:hint="eastAsia" w:ascii="宋体" w:hAnsi="宋体" w:eastAsia="宋体" w:cs="宋体"/>
          <w:b/>
          <w:bCs/>
          <w:color w:val="auto"/>
          <w:sz w:val="24"/>
          <w:szCs w:val="24"/>
          <w:highlight w:val="none"/>
        </w:rPr>
      </w:pPr>
      <w:bookmarkStart w:id="97" w:name="_Toc10695"/>
      <w:r>
        <w:rPr>
          <w:rFonts w:hint="eastAsia" w:ascii="宋体" w:hAnsi="宋体" w:eastAsia="宋体" w:cs="宋体"/>
          <w:b/>
          <w:bCs/>
          <w:color w:val="auto"/>
          <w:sz w:val="24"/>
          <w:szCs w:val="24"/>
          <w:highlight w:val="none"/>
          <w:lang w:val="en-US" w:eastAsia="zh-CN"/>
        </w:rPr>
        <w:t>三、</w:t>
      </w:r>
      <w:r>
        <w:rPr>
          <w:rFonts w:hint="eastAsia" w:ascii="宋体" w:hAnsi="宋体" w:eastAsia="宋体" w:cs="宋体"/>
          <w:b/>
          <w:bCs/>
          <w:color w:val="auto"/>
          <w:sz w:val="24"/>
          <w:szCs w:val="24"/>
          <w:highlight w:val="none"/>
        </w:rPr>
        <w:t>规划底数底图</w:t>
      </w:r>
      <w:bookmarkEnd w:id="97"/>
    </w:p>
    <w:p>
      <w:pPr>
        <w:pStyle w:val="26"/>
        <w:keepNext w:val="0"/>
        <w:keepLines w:val="0"/>
        <w:pageBreakBefore w:val="0"/>
        <w:widowControl w:val="0"/>
        <w:kinsoku/>
        <w:wordWrap/>
        <w:overflowPunct/>
        <w:topLinePunct w:val="0"/>
        <w:autoSpaceDE/>
        <w:autoSpaceDN/>
        <w:bidi w:val="0"/>
        <w:spacing w:line="360" w:lineRule="auto"/>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以第三次全国国土调查成果为基础，结合基础测绘、遥感影像、地形数据、地理国情普查、农村宅基地和农村土地承包经营权确权登记工作成果以及实地补充调查，统一采用2000国家大地坐标系和1985国家高程基准数据标准。</w:t>
      </w:r>
    </w:p>
    <w:p>
      <w:pPr>
        <w:keepNext w:val="0"/>
        <w:keepLines w:val="0"/>
        <w:pageBreakBefore w:val="0"/>
        <w:widowControl w:val="0"/>
        <w:kinsoku/>
        <w:wordWrap/>
        <w:overflowPunct/>
        <w:topLinePunct w:val="0"/>
        <w:autoSpaceDE/>
        <w:autoSpaceDN/>
        <w:bidi w:val="0"/>
        <w:spacing w:line="360" w:lineRule="auto"/>
        <w:textAlignment w:val="auto"/>
        <w:outlineLvl w:val="0"/>
        <w:rPr>
          <w:rFonts w:hint="eastAsia" w:ascii="宋体" w:hAnsi="宋体" w:eastAsia="宋体" w:cs="宋体"/>
          <w:b/>
          <w:bCs/>
          <w:color w:val="auto"/>
          <w:sz w:val="24"/>
          <w:szCs w:val="24"/>
          <w:highlight w:val="none"/>
        </w:rPr>
      </w:pPr>
      <w:bookmarkStart w:id="98" w:name="_Toc17515"/>
      <w:r>
        <w:rPr>
          <w:rFonts w:hint="eastAsia" w:ascii="宋体" w:hAnsi="宋体" w:eastAsia="宋体" w:cs="宋体"/>
          <w:b/>
          <w:bCs/>
          <w:color w:val="auto"/>
          <w:sz w:val="24"/>
          <w:szCs w:val="24"/>
          <w:highlight w:val="none"/>
          <w:lang w:val="en-US" w:eastAsia="zh-CN"/>
        </w:rPr>
        <w:t>四、</w:t>
      </w:r>
      <w:r>
        <w:rPr>
          <w:rFonts w:hint="eastAsia" w:ascii="宋体" w:hAnsi="宋体" w:eastAsia="宋体" w:cs="宋体"/>
          <w:b/>
          <w:bCs/>
          <w:color w:val="auto"/>
          <w:sz w:val="24"/>
          <w:szCs w:val="24"/>
          <w:highlight w:val="none"/>
        </w:rPr>
        <w:t>规划范围</w:t>
      </w:r>
      <w:bookmarkEnd w:id="98"/>
    </w:p>
    <w:p>
      <w:pPr>
        <w:pStyle w:val="26"/>
        <w:keepNext w:val="0"/>
        <w:keepLines w:val="0"/>
        <w:pageBreakBefore w:val="0"/>
        <w:widowControl w:val="0"/>
        <w:kinsoku/>
        <w:wordWrap/>
        <w:overflowPunct/>
        <w:topLinePunct w:val="0"/>
        <w:autoSpaceDE/>
        <w:autoSpaceDN/>
        <w:bidi w:val="0"/>
        <w:spacing w:line="360" w:lineRule="auto"/>
        <w:ind w:firstLine="480"/>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标段</w:t>
      </w:r>
      <w:r>
        <w:rPr>
          <w:rFonts w:hint="eastAsia" w:ascii="宋体" w:hAnsi="宋体" w:eastAsia="宋体" w:cs="宋体"/>
          <w:color w:val="auto"/>
          <w:kern w:val="0"/>
          <w:sz w:val="24"/>
          <w:szCs w:val="24"/>
          <w:highlight w:val="none"/>
          <w:u w:val="single"/>
          <w:lang w:val="en-US" w:eastAsia="zh-CN"/>
        </w:rPr>
        <w:t xml:space="preserve">   </w:t>
      </w: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u w:val="single"/>
          <w:lang w:val="en-US" w:eastAsia="zh-CN"/>
        </w:rPr>
        <w:t xml:space="preserve">                    </w:t>
      </w:r>
      <w:r>
        <w:rPr>
          <w:rFonts w:hint="eastAsia" w:ascii="宋体" w:hAnsi="宋体" w:eastAsia="宋体" w:cs="宋体"/>
          <w:color w:val="auto"/>
          <w:sz w:val="24"/>
          <w:szCs w:val="24"/>
          <w:highlight w:val="none"/>
        </w:rPr>
        <w:t>村域全部国土空间</w:t>
      </w: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val="en-US" w:eastAsia="zh-CN"/>
        </w:rPr>
        <w:t>根据具体标段情况填写</w:t>
      </w:r>
      <w:r>
        <w:rPr>
          <w:rFonts w:hint="eastAsia" w:ascii="宋体" w:hAnsi="宋体" w:eastAsia="宋体" w:cs="宋体"/>
          <w:color w:val="auto"/>
          <w:kern w:val="0"/>
          <w:sz w:val="24"/>
          <w:szCs w:val="24"/>
          <w:highlight w:val="none"/>
          <w:lang w:eastAsia="zh-CN"/>
        </w:rPr>
        <w:t>）</w:t>
      </w:r>
    </w:p>
    <w:p>
      <w:pPr>
        <w:pStyle w:val="26"/>
        <w:keepNext w:val="0"/>
        <w:keepLines w:val="0"/>
        <w:pageBreakBefore w:val="0"/>
        <w:widowControl w:val="0"/>
        <w:kinsoku/>
        <w:wordWrap/>
        <w:overflowPunct/>
        <w:topLinePunct w:val="0"/>
        <w:autoSpaceDE/>
        <w:autoSpaceDN/>
        <w:bidi w:val="0"/>
        <w:spacing w:line="360" w:lineRule="auto"/>
        <w:ind w:left="0" w:leftChars="0" w:firstLine="0" w:firstLineChars="0"/>
        <w:jc w:val="center"/>
        <w:textAlignment w:val="auto"/>
        <w:rPr>
          <w:rFonts w:hint="eastAsia" w:ascii="宋体" w:hAnsi="宋体" w:eastAsia="宋体" w:cs="宋体"/>
          <w:color w:val="auto"/>
          <w:sz w:val="24"/>
          <w:szCs w:val="24"/>
          <w:highlight w:val="none"/>
          <w:lang w:eastAsia="zh-CN"/>
        </w:rPr>
      </w:pPr>
      <w:r>
        <w:rPr>
          <w:color w:val="auto"/>
          <w:highlight w:val="none"/>
        </w:rPr>
        <w:drawing>
          <wp:inline distT="0" distB="0" distL="114300" distR="114300">
            <wp:extent cx="5272405" cy="4116070"/>
            <wp:effectExtent l="0" t="0" r="4445" b="17780"/>
            <wp:docPr id="6"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
                    <pic:cNvPicPr>
                      <a:picLocks noChangeAspect="1"/>
                    </pic:cNvPicPr>
                  </pic:nvPicPr>
                  <pic:blipFill>
                    <a:blip r:embed="rId9"/>
                    <a:stretch>
                      <a:fillRect/>
                    </a:stretch>
                  </pic:blipFill>
                  <pic:spPr>
                    <a:xfrm>
                      <a:off x="0" y="0"/>
                      <a:ext cx="5272405" cy="4116070"/>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autoSpaceDN/>
        <w:bidi w:val="0"/>
        <w:spacing w:line="360" w:lineRule="auto"/>
        <w:textAlignment w:val="auto"/>
        <w:outlineLvl w:val="0"/>
        <w:rPr>
          <w:rFonts w:hint="eastAsia" w:ascii="宋体" w:hAnsi="宋体" w:eastAsia="宋体" w:cs="宋体"/>
          <w:b/>
          <w:bCs/>
          <w:color w:val="auto"/>
          <w:sz w:val="24"/>
          <w:szCs w:val="24"/>
          <w:highlight w:val="none"/>
        </w:rPr>
      </w:pPr>
      <w:bookmarkStart w:id="99" w:name="_Toc24516"/>
      <w:r>
        <w:rPr>
          <w:rFonts w:hint="eastAsia" w:ascii="宋体" w:hAnsi="宋体" w:eastAsia="宋体" w:cs="宋体"/>
          <w:b/>
          <w:bCs/>
          <w:color w:val="auto"/>
          <w:sz w:val="24"/>
          <w:szCs w:val="24"/>
          <w:highlight w:val="none"/>
          <w:lang w:val="en-US" w:eastAsia="zh-CN"/>
        </w:rPr>
        <w:t>五、</w:t>
      </w:r>
      <w:r>
        <w:rPr>
          <w:rFonts w:hint="eastAsia" w:ascii="宋体" w:hAnsi="宋体" w:eastAsia="宋体" w:cs="宋体"/>
          <w:b/>
          <w:bCs/>
          <w:color w:val="auto"/>
          <w:sz w:val="24"/>
          <w:szCs w:val="24"/>
          <w:highlight w:val="none"/>
        </w:rPr>
        <w:t>规划技术要求</w:t>
      </w:r>
      <w:bookmarkEnd w:id="99"/>
    </w:p>
    <w:p>
      <w:pPr>
        <w:pStyle w:val="26"/>
        <w:keepNext w:val="0"/>
        <w:keepLines w:val="0"/>
        <w:pageBreakBefore w:val="0"/>
        <w:widowControl w:val="0"/>
        <w:kinsoku/>
        <w:wordWrap/>
        <w:overflowPunct/>
        <w:topLinePunct w:val="0"/>
        <w:autoSpaceDE/>
        <w:autoSpaceDN/>
        <w:bidi w:val="0"/>
        <w:spacing w:line="360" w:lineRule="auto"/>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符合《浙江省村庄规划编制技术要点（试行）》。</w:t>
      </w:r>
    </w:p>
    <w:p>
      <w:pPr>
        <w:keepNext w:val="0"/>
        <w:keepLines w:val="0"/>
        <w:pageBreakBefore w:val="0"/>
        <w:widowControl w:val="0"/>
        <w:kinsoku/>
        <w:wordWrap/>
        <w:overflowPunct/>
        <w:topLinePunct w:val="0"/>
        <w:autoSpaceDE/>
        <w:autoSpaceDN/>
        <w:bidi w:val="0"/>
        <w:spacing w:line="360" w:lineRule="auto"/>
        <w:textAlignment w:val="auto"/>
        <w:outlineLvl w:val="0"/>
        <w:rPr>
          <w:rFonts w:hint="eastAsia" w:ascii="宋体" w:hAnsi="宋体" w:eastAsia="宋体" w:cs="宋体"/>
          <w:b/>
          <w:bCs/>
          <w:color w:val="auto"/>
          <w:sz w:val="24"/>
          <w:szCs w:val="24"/>
          <w:highlight w:val="none"/>
        </w:rPr>
      </w:pPr>
      <w:bookmarkStart w:id="100" w:name="_Toc26904"/>
      <w:r>
        <w:rPr>
          <w:rFonts w:hint="eastAsia" w:ascii="宋体" w:hAnsi="宋体" w:eastAsia="宋体" w:cs="宋体"/>
          <w:b/>
          <w:bCs/>
          <w:color w:val="auto"/>
          <w:sz w:val="24"/>
          <w:szCs w:val="24"/>
          <w:highlight w:val="none"/>
          <w:lang w:val="en-US" w:eastAsia="zh-CN"/>
        </w:rPr>
        <w:t>六、</w:t>
      </w:r>
      <w:r>
        <w:rPr>
          <w:rFonts w:hint="eastAsia" w:ascii="宋体" w:hAnsi="宋体" w:eastAsia="宋体" w:cs="宋体"/>
          <w:b/>
          <w:bCs/>
          <w:color w:val="auto"/>
          <w:sz w:val="24"/>
          <w:szCs w:val="24"/>
          <w:highlight w:val="none"/>
        </w:rPr>
        <w:t>成果要求</w:t>
      </w:r>
      <w:bookmarkEnd w:id="100"/>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kern w:val="0"/>
          <w:sz w:val="24"/>
          <w:szCs w:val="24"/>
          <w:highlight w:val="none"/>
          <w:u w:val="none"/>
        </w:rPr>
      </w:pPr>
      <w:r>
        <w:rPr>
          <w:rFonts w:hint="eastAsia" w:ascii="宋体" w:hAnsi="宋体" w:eastAsia="宋体" w:cs="宋体"/>
          <w:color w:val="auto"/>
          <w:sz w:val="24"/>
          <w:szCs w:val="24"/>
          <w:highlight w:val="none"/>
        </w:rPr>
        <w:t>形成管理者层面（政府）和使用者层面（村民）两套成果。管理者层面成果内容包括文本（含表）、管制规则、规划数据库、按需确定图纸；使用者层面成果内容包括一图一书，一图：一图读懂村庄规划；一书：村规民约</w:t>
      </w:r>
      <w:r>
        <w:rPr>
          <w:rFonts w:hint="eastAsia" w:ascii="宋体" w:hAnsi="宋体" w:eastAsia="宋体" w:cs="宋体"/>
          <w:color w:val="auto"/>
          <w:sz w:val="24"/>
          <w:szCs w:val="24"/>
          <w:highlight w:val="none"/>
          <w:u w:val="none"/>
          <w:lang w:val="en-US" w:eastAsia="zh-CN"/>
        </w:rPr>
        <w:t>。</w:t>
      </w:r>
    </w:p>
    <w:p>
      <w:pPr>
        <w:keepNext w:val="0"/>
        <w:keepLines w:val="0"/>
        <w:pageBreakBefore w:val="0"/>
        <w:widowControl w:val="0"/>
        <w:kinsoku/>
        <w:wordWrap/>
        <w:overflowPunct/>
        <w:topLinePunct w:val="0"/>
        <w:autoSpaceDE/>
        <w:autoSpaceDN/>
        <w:bidi w:val="0"/>
        <w:spacing w:line="360" w:lineRule="auto"/>
        <w:jc w:val="left"/>
        <w:textAlignment w:val="auto"/>
        <w:rPr>
          <w:rFonts w:hint="eastAsia" w:ascii="宋体" w:hAnsi="宋体" w:eastAsia="宋体" w:cs="宋体"/>
          <w:bCs/>
          <w:color w:val="auto"/>
          <w:sz w:val="24"/>
          <w:szCs w:val="24"/>
          <w:highlight w:val="none"/>
        </w:rPr>
      </w:pPr>
      <w:r>
        <w:rPr>
          <w:rFonts w:hint="eastAsia" w:ascii="宋体" w:hAnsi="宋体" w:eastAsia="宋体" w:cs="宋体"/>
          <w:b/>
          <w:bCs/>
          <w:color w:val="auto"/>
          <w:sz w:val="24"/>
          <w:szCs w:val="24"/>
          <w:highlight w:val="none"/>
          <w:lang w:val="en-US" w:eastAsia="zh-CN"/>
        </w:rPr>
        <w:t>七</w:t>
      </w:r>
      <w:r>
        <w:rPr>
          <w:rFonts w:hint="eastAsia" w:ascii="宋体" w:hAnsi="宋体" w:eastAsia="宋体" w:cs="宋体"/>
          <w:b/>
          <w:bCs/>
          <w:color w:val="auto"/>
          <w:sz w:val="24"/>
          <w:szCs w:val="24"/>
          <w:highlight w:val="none"/>
        </w:rPr>
        <w:t>、付款方式</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（一）成交价：</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中标价</w:t>
      </w:r>
      <w:r>
        <w:rPr>
          <w:rFonts w:hint="eastAsia" w:ascii="宋体" w:hAnsi="宋体" w:eastAsia="宋体" w:cs="宋体"/>
          <w:bCs/>
          <w:color w:val="auto"/>
          <w:sz w:val="24"/>
          <w:szCs w:val="24"/>
          <w:highlight w:val="none"/>
        </w:rPr>
        <w:t>为人民币（大写）：</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元（￥</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元）。成交价包括但不限于本项目所需</w:t>
      </w:r>
      <w:r>
        <w:rPr>
          <w:rFonts w:hint="eastAsia" w:ascii="宋体" w:hAnsi="宋体" w:eastAsia="宋体" w:cs="宋体"/>
          <w:color w:val="auto"/>
          <w:sz w:val="24"/>
          <w:szCs w:val="24"/>
          <w:highlight w:val="none"/>
        </w:rPr>
        <w:t>相关资料收集、</w:t>
      </w:r>
      <w:r>
        <w:rPr>
          <w:rFonts w:hint="eastAsia" w:ascii="宋体" w:hAnsi="宋体" w:cs="Arial"/>
          <w:color w:val="auto"/>
          <w:sz w:val="24"/>
          <w:highlight w:val="none"/>
        </w:rPr>
        <w:t>专家论证咨询费、评审会务费、人工、差旅</w:t>
      </w:r>
      <w:r>
        <w:rPr>
          <w:rFonts w:hint="eastAsia" w:ascii="宋体" w:hAnsi="宋体" w:eastAsia="宋体" w:cs="宋体"/>
          <w:color w:val="auto"/>
          <w:sz w:val="24"/>
          <w:szCs w:val="24"/>
          <w:highlight w:val="none"/>
        </w:rPr>
        <w:t>、场租费、设备（仪器）等产生的费用、规费、税金及不可预见费等一切相关费用</w:t>
      </w:r>
      <w:r>
        <w:rPr>
          <w:rFonts w:hint="eastAsia" w:ascii="宋体" w:hAnsi="宋体" w:eastAsia="宋体" w:cs="宋体"/>
          <w:bCs/>
          <w:color w:val="auto"/>
          <w:sz w:val="24"/>
          <w:szCs w:val="24"/>
          <w:highlight w:val="none"/>
        </w:rPr>
        <w:t>。凡乙方在报价中未列明但又为本次采购所必备的项目或遗漏项目，甲方将一律视为已包括在合同价中，在合同执行中将不予考虑。</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（二）本项目付款方式：</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cs="Arial"/>
          <w:color w:val="auto"/>
          <w:sz w:val="24"/>
          <w:highlight w:val="none"/>
        </w:rPr>
        <w:t>在合同生效以及具备实施条件后7个工作日内支付</w:t>
      </w:r>
      <w:r>
        <w:rPr>
          <w:rFonts w:hint="eastAsia" w:ascii="宋体" w:hAnsi="宋体" w:cs="Arial"/>
          <w:color w:val="auto"/>
          <w:sz w:val="24"/>
          <w:highlight w:val="none"/>
          <w:lang w:val="en-US" w:eastAsia="zh-CN"/>
        </w:rPr>
        <w:t>预付款</w:t>
      </w:r>
      <w:r>
        <w:rPr>
          <w:rFonts w:hint="eastAsia" w:ascii="宋体" w:hAnsi="宋体" w:cs="Arial"/>
          <w:color w:val="auto"/>
          <w:sz w:val="24"/>
          <w:highlight w:val="none"/>
        </w:rPr>
        <w:t>40%；</w:t>
      </w:r>
      <w:r>
        <w:rPr>
          <w:rFonts w:hint="eastAsia" w:ascii="宋体" w:hAnsi="宋体" w:cs="Arial"/>
          <w:color w:val="auto"/>
          <w:sz w:val="24"/>
          <w:highlight w:val="none"/>
          <w:lang w:val="en-US" w:eastAsia="zh-CN"/>
        </w:rPr>
        <w:t>乙方</w:t>
      </w:r>
      <w:r>
        <w:rPr>
          <w:rFonts w:hint="eastAsia" w:ascii="宋体" w:hAnsi="宋体" w:cs="Arial"/>
          <w:color w:val="auto"/>
          <w:sz w:val="24"/>
          <w:highlight w:val="none"/>
        </w:rPr>
        <w:t>提交项目成果后</w:t>
      </w:r>
      <w:r>
        <w:rPr>
          <w:rFonts w:hint="eastAsia" w:ascii="宋体" w:hAnsi="宋体" w:cs="Arial"/>
          <w:color w:val="auto"/>
          <w:sz w:val="24"/>
          <w:highlight w:val="none"/>
          <w:lang w:val="en-US" w:eastAsia="zh-CN"/>
        </w:rPr>
        <w:t>30</w:t>
      </w:r>
      <w:r>
        <w:rPr>
          <w:rFonts w:hint="eastAsia" w:ascii="宋体" w:hAnsi="宋体" w:cs="Arial"/>
          <w:color w:val="auto"/>
          <w:sz w:val="24"/>
          <w:highlight w:val="none"/>
        </w:rPr>
        <w:t>日内</w:t>
      </w:r>
      <w:r>
        <w:rPr>
          <w:rFonts w:hint="eastAsia" w:ascii="宋体" w:hAnsi="宋体" w:cs="Arial"/>
          <w:color w:val="auto"/>
          <w:sz w:val="24"/>
          <w:highlight w:val="none"/>
          <w:lang w:val="en-US" w:eastAsia="zh-CN"/>
        </w:rPr>
        <w:t>甲方</w:t>
      </w:r>
      <w:r>
        <w:rPr>
          <w:rFonts w:hint="eastAsia" w:ascii="宋体" w:hAnsi="宋体" w:cs="Arial"/>
          <w:color w:val="auto"/>
          <w:sz w:val="24"/>
          <w:highlight w:val="none"/>
        </w:rPr>
        <w:t>支付</w:t>
      </w:r>
      <w:r>
        <w:rPr>
          <w:rFonts w:hint="eastAsia" w:ascii="宋体" w:hAnsi="宋体" w:cs="Arial"/>
          <w:color w:val="auto"/>
          <w:sz w:val="24"/>
          <w:highlight w:val="none"/>
          <w:lang w:val="en-US" w:eastAsia="zh-CN"/>
        </w:rPr>
        <w:t>合同款</w:t>
      </w:r>
      <w:r>
        <w:rPr>
          <w:rFonts w:hint="eastAsia" w:ascii="宋体" w:hAnsi="宋体" w:cs="Arial"/>
          <w:color w:val="auto"/>
          <w:sz w:val="24"/>
          <w:highlight w:val="none"/>
        </w:rPr>
        <w:t>30%，</w:t>
      </w:r>
      <w:r>
        <w:rPr>
          <w:rFonts w:hint="eastAsia" w:ascii="宋体" w:hAnsi="宋体" w:cs="Arial"/>
          <w:color w:val="auto"/>
          <w:sz w:val="24"/>
          <w:highlight w:val="none"/>
          <w:lang w:val="en-US" w:eastAsia="zh-CN"/>
        </w:rPr>
        <w:t>乙方</w:t>
      </w:r>
      <w:r>
        <w:rPr>
          <w:rFonts w:hint="eastAsia" w:ascii="宋体" w:hAnsi="宋体" w:cs="Arial"/>
          <w:color w:val="auto"/>
          <w:sz w:val="24"/>
          <w:highlight w:val="none"/>
        </w:rPr>
        <w:t>提交的成果通过</w:t>
      </w:r>
      <w:r>
        <w:rPr>
          <w:rFonts w:hint="eastAsia" w:ascii="宋体" w:hAnsi="宋体" w:cs="Arial"/>
          <w:color w:val="auto"/>
          <w:sz w:val="24"/>
          <w:highlight w:val="none"/>
          <w:lang w:val="en-US" w:eastAsia="zh-CN"/>
        </w:rPr>
        <w:t>甲方</w:t>
      </w:r>
      <w:r>
        <w:rPr>
          <w:rFonts w:hint="eastAsia" w:ascii="宋体" w:hAnsi="宋体" w:cs="Arial"/>
          <w:color w:val="auto"/>
          <w:sz w:val="24"/>
          <w:highlight w:val="none"/>
        </w:rPr>
        <w:t>验收后10个工作日内</w:t>
      </w:r>
      <w:r>
        <w:rPr>
          <w:rFonts w:hint="eastAsia" w:ascii="宋体" w:hAnsi="宋体" w:cs="Arial"/>
          <w:color w:val="auto"/>
          <w:sz w:val="24"/>
          <w:highlight w:val="none"/>
          <w:lang w:val="en-US" w:eastAsia="zh-CN"/>
        </w:rPr>
        <w:t>一次性付清余款</w:t>
      </w:r>
      <w:r>
        <w:rPr>
          <w:rFonts w:hint="eastAsia" w:ascii="宋体" w:hAnsi="宋体" w:eastAsia="宋体" w:cs="宋体"/>
          <w:color w:val="auto"/>
          <w:sz w:val="24"/>
          <w:szCs w:val="24"/>
          <w:highlight w:val="none"/>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lang w:val="en-US" w:eastAsia="zh-CN"/>
        </w:rPr>
        <w:t>八、履约保证金</w:t>
      </w:r>
    </w:p>
    <w:p>
      <w:pPr>
        <w:pStyle w:val="12"/>
        <w:keepNext w:val="0"/>
        <w:keepLines w:val="0"/>
        <w:pageBreakBefore w:val="0"/>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rPr>
        <w:t>乙方</w:t>
      </w:r>
      <w:r>
        <w:rPr>
          <w:rFonts w:hint="eastAsia" w:ascii="宋体" w:hAnsi="宋体" w:eastAsia="宋体" w:cs="宋体"/>
          <w:color w:val="auto"/>
          <w:kern w:val="0"/>
          <w:sz w:val="24"/>
          <w:szCs w:val="24"/>
          <w:highlight w:val="none"/>
        </w:rPr>
        <w:t>在收到中标通知书后，需向</w:t>
      </w:r>
      <w:r>
        <w:rPr>
          <w:rFonts w:hint="eastAsia" w:ascii="宋体" w:hAnsi="宋体" w:eastAsia="宋体" w:cs="宋体"/>
          <w:color w:val="auto"/>
          <w:kern w:val="0"/>
          <w:sz w:val="24"/>
          <w:szCs w:val="24"/>
          <w:highlight w:val="none"/>
          <w:lang w:val="en-US" w:eastAsia="zh-CN"/>
        </w:rPr>
        <w:t>甲方</w:t>
      </w:r>
      <w:r>
        <w:rPr>
          <w:rFonts w:hint="eastAsia" w:ascii="宋体" w:hAnsi="宋体" w:eastAsia="宋体" w:cs="宋体"/>
          <w:color w:val="auto"/>
          <w:kern w:val="0"/>
          <w:sz w:val="24"/>
          <w:szCs w:val="24"/>
          <w:highlight w:val="none"/>
        </w:rPr>
        <w:t>提供合同总价</w:t>
      </w:r>
      <w:r>
        <w:rPr>
          <w:rFonts w:hint="eastAsia" w:ascii="宋体" w:hAnsi="宋体" w:eastAsia="宋体" w:cs="宋体"/>
          <w:color w:val="auto"/>
          <w:kern w:val="0"/>
          <w:sz w:val="24"/>
          <w:szCs w:val="24"/>
          <w:highlight w:val="none"/>
          <w:u w:val="single"/>
        </w:rPr>
        <w:t>　</w:t>
      </w:r>
      <w:r>
        <w:rPr>
          <w:rFonts w:hint="eastAsia" w:ascii="宋体" w:hAnsi="宋体" w:eastAsia="宋体" w:cs="宋体"/>
          <w:color w:val="auto"/>
          <w:kern w:val="0"/>
          <w:sz w:val="24"/>
          <w:szCs w:val="24"/>
          <w:highlight w:val="none"/>
          <w:u w:val="single"/>
          <w:lang w:val="en-US" w:eastAsia="zh-CN"/>
        </w:rPr>
        <w:t>1</w:t>
      </w:r>
      <w:r>
        <w:rPr>
          <w:rFonts w:hint="eastAsia" w:ascii="宋体" w:hAnsi="宋体" w:eastAsia="宋体" w:cs="宋体"/>
          <w:color w:val="auto"/>
          <w:kern w:val="0"/>
          <w:sz w:val="24"/>
          <w:szCs w:val="24"/>
          <w:highlight w:val="none"/>
          <w:u w:val="single"/>
        </w:rPr>
        <w:t>　%</w:t>
      </w:r>
      <w:r>
        <w:rPr>
          <w:rFonts w:hint="eastAsia" w:ascii="宋体" w:hAnsi="宋体" w:eastAsia="宋体" w:cs="宋体"/>
          <w:color w:val="auto"/>
          <w:kern w:val="0"/>
          <w:sz w:val="24"/>
          <w:szCs w:val="24"/>
          <w:highlight w:val="none"/>
        </w:rPr>
        <w:t>的履约保证金，在</w:t>
      </w:r>
      <w:r>
        <w:rPr>
          <w:rFonts w:hint="eastAsia" w:ascii="宋体" w:hAnsi="宋体" w:eastAsia="宋体" w:cs="宋体"/>
          <w:color w:val="auto"/>
          <w:kern w:val="0"/>
          <w:sz w:val="24"/>
          <w:szCs w:val="24"/>
          <w:highlight w:val="none"/>
          <w:lang w:val="en-US" w:eastAsia="zh-CN"/>
        </w:rPr>
        <w:t>双方</w:t>
      </w:r>
      <w:r>
        <w:rPr>
          <w:rFonts w:hint="eastAsia" w:ascii="宋体" w:hAnsi="宋体" w:eastAsia="宋体" w:cs="宋体"/>
          <w:color w:val="auto"/>
          <w:kern w:val="0"/>
          <w:sz w:val="24"/>
          <w:szCs w:val="24"/>
          <w:highlight w:val="none"/>
        </w:rPr>
        <w:t>签订合同前递交。（</w:t>
      </w:r>
      <w:r>
        <w:rPr>
          <w:rFonts w:hint="eastAsia" w:ascii="宋体" w:hAnsi="宋体" w:eastAsia="宋体" w:cs="宋体"/>
          <w:color w:val="auto"/>
          <w:kern w:val="0"/>
          <w:sz w:val="24"/>
          <w:szCs w:val="24"/>
          <w:highlight w:val="none"/>
          <w:lang w:val="en-US" w:eastAsia="zh-CN"/>
        </w:rPr>
        <w:t>乙方</w:t>
      </w:r>
      <w:r>
        <w:rPr>
          <w:rFonts w:hint="eastAsia" w:ascii="宋体" w:hAnsi="宋体" w:eastAsia="宋体" w:cs="宋体"/>
          <w:color w:val="auto"/>
          <w:kern w:val="0"/>
          <w:sz w:val="24"/>
          <w:szCs w:val="24"/>
          <w:highlight w:val="none"/>
        </w:rPr>
        <w:t>应当以支票、汇票、本票或者金融机构、保险公司、担保机构出具的保函等非现金形式提交）。在本项目通过最终验收及</w:t>
      </w:r>
      <w:r>
        <w:rPr>
          <w:rFonts w:hint="eastAsia" w:ascii="宋体" w:hAnsi="宋体" w:eastAsia="宋体" w:cs="宋体"/>
          <w:color w:val="auto"/>
          <w:kern w:val="0"/>
          <w:sz w:val="24"/>
          <w:szCs w:val="24"/>
          <w:highlight w:val="none"/>
          <w:lang w:val="en-US" w:eastAsia="zh-CN"/>
        </w:rPr>
        <w:t>所有资料交给甲方</w:t>
      </w:r>
      <w:r>
        <w:rPr>
          <w:rFonts w:hint="eastAsia" w:ascii="宋体" w:hAnsi="宋体" w:eastAsia="宋体" w:cs="宋体"/>
          <w:color w:val="auto"/>
          <w:kern w:val="0"/>
          <w:sz w:val="24"/>
          <w:szCs w:val="24"/>
          <w:highlight w:val="none"/>
        </w:rPr>
        <w:t>后退还（不计息）。</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九、其他要求</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cs="Arial"/>
          <w:color w:val="auto"/>
          <w:sz w:val="24"/>
          <w:highlight w:val="none"/>
          <w:lang w:val="en-US" w:eastAsia="zh-CN"/>
        </w:rPr>
      </w:pPr>
      <w:r>
        <w:rPr>
          <w:rFonts w:hint="eastAsia" w:ascii="宋体" w:hAnsi="宋体" w:cs="Arial"/>
          <w:color w:val="auto"/>
          <w:sz w:val="24"/>
          <w:highlight w:val="none"/>
          <w:lang w:val="en-US" w:eastAsia="zh-CN"/>
        </w:rPr>
        <w:t>1、乙方应当于全部成果交付前五日通知甲方，甲方应自接到通知之日起7日内申请验收。</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cs="Arial"/>
          <w:color w:val="auto"/>
          <w:sz w:val="24"/>
          <w:highlight w:val="none"/>
          <w:lang w:val="en-US" w:eastAsia="zh-CN"/>
        </w:rPr>
      </w:pPr>
      <w:r>
        <w:rPr>
          <w:rFonts w:hint="eastAsia" w:ascii="宋体" w:hAnsi="宋体" w:cs="Arial"/>
          <w:color w:val="auto"/>
          <w:sz w:val="24"/>
          <w:highlight w:val="none"/>
          <w:lang w:val="en-US" w:eastAsia="zh-CN"/>
        </w:rPr>
        <w:t>2、乙方调查成果的所有权、使用权和著作权归甲方所有，乙方不得擅自对外提供调查所取得的资料（包括数据、图像、表式、文字），否则甲方有权对因此造成的损失追究责任。</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cs="Arial"/>
          <w:color w:val="auto"/>
          <w:sz w:val="24"/>
          <w:highlight w:val="none"/>
          <w:lang w:val="en-US" w:eastAsia="zh-CN"/>
        </w:rPr>
      </w:pPr>
      <w:r>
        <w:rPr>
          <w:rFonts w:hint="eastAsia" w:ascii="宋体" w:hAnsi="宋体" w:cs="Arial"/>
          <w:color w:val="auto"/>
          <w:sz w:val="24"/>
          <w:highlight w:val="none"/>
          <w:lang w:val="en-US" w:eastAsia="zh-CN"/>
        </w:rPr>
        <w:t>3、本项目货物如涉及柴油动力移动源，柴油动力移动源应当符合低排放要求。</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十、</w:t>
      </w:r>
      <w:r>
        <w:rPr>
          <w:rFonts w:hint="eastAsia" w:ascii="宋体" w:hAnsi="宋体" w:eastAsia="宋体" w:cs="宋体"/>
          <w:b/>
          <w:bCs/>
          <w:color w:val="auto"/>
          <w:sz w:val="24"/>
          <w:szCs w:val="24"/>
          <w:highlight w:val="none"/>
        </w:rPr>
        <w:t>甲方违约责任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甲方未按规定支付乙方工程费，应按延误天数和当时银行贷款利率，向乙方支付违约金。</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十</w:t>
      </w:r>
      <w:r>
        <w:rPr>
          <w:rFonts w:hint="eastAsia" w:ascii="宋体" w:hAnsi="宋体" w:cs="宋体"/>
          <w:b/>
          <w:bCs/>
          <w:color w:val="auto"/>
          <w:sz w:val="24"/>
          <w:szCs w:val="24"/>
          <w:highlight w:val="none"/>
          <w:lang w:val="en-US" w:eastAsia="zh-CN"/>
        </w:rPr>
        <w:t>一</w:t>
      </w:r>
      <w:r>
        <w:rPr>
          <w:rFonts w:hint="eastAsia" w:ascii="宋体" w:hAnsi="宋体" w:eastAsia="宋体" w:cs="宋体"/>
          <w:b/>
          <w:bCs/>
          <w:color w:val="auto"/>
          <w:sz w:val="24"/>
          <w:szCs w:val="24"/>
          <w:highlight w:val="none"/>
          <w:lang w:val="en-US" w:eastAsia="zh-CN"/>
        </w:rPr>
        <w:t>、</w:t>
      </w:r>
      <w:r>
        <w:rPr>
          <w:rFonts w:hint="eastAsia" w:ascii="宋体" w:hAnsi="宋体" w:eastAsia="宋体" w:cs="宋体"/>
          <w:b/>
          <w:bCs/>
          <w:color w:val="auto"/>
          <w:sz w:val="24"/>
          <w:szCs w:val="24"/>
          <w:highlight w:val="none"/>
        </w:rPr>
        <w:t>乙方违约责任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方未能在规定的时间向甲方提交调查资料，或所提交的资料未能通过上级主管部门的验收，乙方应负责无偿予以补救措施，以达到要求。乙方擅自转包本合同标的的，甲方有权解除合同，并可要求乙方偿付合同款的30%的违约金。</w:t>
      </w:r>
    </w:p>
    <w:p>
      <w:pPr>
        <w:keepNext w:val="0"/>
        <w:keepLines w:val="0"/>
        <w:pageBreakBefore w:val="0"/>
        <w:widowControl w:val="0"/>
        <w:numPr>
          <w:ilvl w:val="0"/>
          <w:numId w:val="21"/>
        </w:numPr>
        <w:kinsoku/>
        <w:wordWrap/>
        <w:overflowPunct/>
        <w:topLinePunct w:val="0"/>
        <w:autoSpaceDE/>
        <w:autoSpaceDN/>
        <w:bidi w:val="0"/>
        <w:adjustRightInd/>
        <w:snapToGrid/>
        <w:spacing w:line="360" w:lineRule="auto"/>
        <w:textAlignment w:val="auto"/>
        <w:rPr>
          <w:rFonts w:hint="eastAsia" w:ascii="宋体" w:hAnsi="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补充条款</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cs="Arial"/>
          <w:color w:val="auto"/>
          <w:sz w:val="24"/>
          <w:highlight w:val="none"/>
          <w:lang w:val="en-US" w:eastAsia="zh-CN"/>
        </w:rPr>
      </w:pPr>
      <w:r>
        <w:rPr>
          <w:rFonts w:hint="eastAsia" w:ascii="宋体" w:hAnsi="宋体" w:cs="Arial"/>
          <w:color w:val="auto"/>
          <w:sz w:val="24"/>
          <w:highlight w:val="none"/>
          <w:lang w:val="en-US" w:eastAsia="zh-CN"/>
        </w:rPr>
        <w:t>1、由于不可抗力，致使合同无法履行时，双方应按有关法律规定及时协商处理。</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cs="Arial"/>
          <w:color w:val="auto"/>
          <w:sz w:val="24"/>
          <w:highlight w:val="none"/>
          <w:lang w:val="en-US" w:eastAsia="zh-CN"/>
        </w:rPr>
      </w:pPr>
      <w:r>
        <w:rPr>
          <w:rFonts w:hint="eastAsia" w:ascii="宋体" w:hAnsi="宋体" w:cs="Arial"/>
          <w:color w:val="auto"/>
          <w:sz w:val="24"/>
          <w:highlight w:val="none"/>
          <w:lang w:val="en-US" w:eastAsia="zh-CN"/>
        </w:rPr>
        <w:t>2、本合同执行过程中的未尽事宜，双方应本着实事求是友好协商的态度加以解决。双方协商一致的，签订补充协议。补充协议与本合同具有同等效力。</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cs="Arial"/>
          <w:color w:val="auto"/>
          <w:sz w:val="24"/>
          <w:highlight w:val="none"/>
          <w:lang w:val="en-US" w:eastAsia="zh-CN"/>
        </w:rPr>
      </w:pPr>
      <w:r>
        <w:rPr>
          <w:rFonts w:hint="eastAsia" w:ascii="宋体" w:hAnsi="宋体" w:cs="Arial"/>
          <w:color w:val="auto"/>
          <w:sz w:val="24"/>
          <w:highlight w:val="none"/>
          <w:lang w:val="en-US" w:eastAsia="zh-CN"/>
        </w:rPr>
        <w:t>3、因合同执行过程中双方发生纠纷，可由双方协商解决或由双方主管部门调解，若达不成协议，双方同意就本合同产生的纠纷向甲方所在地法院起诉。本合同依法签订，即具有法律效力。双方必须全面履行，不得单方擅自变更或解除。因故需要变更或解除合同，应双方协商，依法另立协议。</w:t>
      </w:r>
    </w:p>
    <w:p>
      <w:pPr>
        <w:keepNext w:val="0"/>
        <w:keepLines w:val="0"/>
        <w:pageBreakBefore w:val="0"/>
        <w:widowControl w:val="0"/>
        <w:kinsoku/>
        <w:wordWrap/>
        <w:overflowPunct/>
        <w:topLinePunct w:val="0"/>
        <w:autoSpaceDE/>
        <w:autoSpaceDN/>
        <w:bidi w:val="0"/>
        <w:spacing w:line="360" w:lineRule="auto"/>
        <w:ind w:firstLine="482"/>
        <w:jc w:val="left"/>
        <w:textAlignment w:val="auto"/>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本合同一式</w:t>
      </w:r>
      <w:r>
        <w:rPr>
          <w:rFonts w:hint="eastAsia" w:ascii="宋体" w:hAnsi="宋体" w:eastAsia="宋体" w:cs="宋体"/>
          <w:b/>
          <w:color w:val="auto"/>
          <w:kern w:val="0"/>
          <w:sz w:val="24"/>
          <w:szCs w:val="24"/>
          <w:highlight w:val="none"/>
          <w:lang w:val="en-US" w:eastAsia="zh-CN"/>
        </w:rPr>
        <w:t>陆</w:t>
      </w:r>
      <w:r>
        <w:rPr>
          <w:rFonts w:hint="eastAsia" w:ascii="宋体" w:hAnsi="宋体" w:eastAsia="宋体" w:cs="宋体"/>
          <w:b/>
          <w:color w:val="auto"/>
          <w:kern w:val="0"/>
          <w:sz w:val="24"/>
          <w:szCs w:val="24"/>
          <w:highlight w:val="none"/>
        </w:rPr>
        <w:t>份，其中采购人和中标人各执</w:t>
      </w:r>
      <w:r>
        <w:rPr>
          <w:rFonts w:hint="eastAsia" w:ascii="宋体" w:hAnsi="宋体" w:eastAsia="宋体" w:cs="宋体"/>
          <w:b/>
          <w:color w:val="auto"/>
          <w:kern w:val="0"/>
          <w:sz w:val="24"/>
          <w:szCs w:val="24"/>
          <w:highlight w:val="none"/>
          <w:lang w:val="en-US" w:eastAsia="zh-CN"/>
        </w:rPr>
        <w:t>叁</w:t>
      </w:r>
      <w:r>
        <w:rPr>
          <w:rFonts w:hint="eastAsia" w:ascii="宋体" w:hAnsi="宋体" w:eastAsia="宋体" w:cs="宋体"/>
          <w:b/>
          <w:color w:val="auto"/>
          <w:kern w:val="0"/>
          <w:sz w:val="24"/>
          <w:szCs w:val="24"/>
          <w:highlight w:val="none"/>
        </w:rPr>
        <w:t>份，并由采购人在30日内做好政采云平台网上合同创建及备案。</w:t>
      </w:r>
    </w:p>
    <w:tbl>
      <w:tblPr>
        <w:tblStyle w:val="27"/>
        <w:tblW w:w="0" w:type="auto"/>
        <w:tblInd w:w="2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2340"/>
        <w:gridCol w:w="1620"/>
        <w:gridCol w:w="2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440" w:type="dxa"/>
            <w:noWrap w:val="0"/>
            <w:vAlign w:val="center"/>
          </w:tcPr>
          <w:p>
            <w:pPr>
              <w:keepNext w:val="0"/>
              <w:keepLines w:val="0"/>
              <w:pageBreakBefore w:val="0"/>
              <w:widowControl w:val="0"/>
              <w:kinsoku/>
              <w:wordWrap/>
              <w:overflowPunct/>
              <w:topLinePunct w:val="0"/>
              <w:autoSpaceDE/>
              <w:autoSpaceDN/>
              <w:bidi w:val="0"/>
              <w:snapToGrid w:val="0"/>
              <w:spacing w:line="360" w:lineRule="auto"/>
              <w:ind w:firstLine="0" w:firstLineChars="0"/>
              <w:jc w:val="center"/>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甲方单位</w:t>
            </w:r>
          </w:p>
        </w:tc>
        <w:tc>
          <w:tcPr>
            <w:tcW w:w="2340" w:type="dxa"/>
            <w:noWrap w:val="0"/>
            <w:vAlign w:val="center"/>
          </w:tcPr>
          <w:p>
            <w:pPr>
              <w:keepNext w:val="0"/>
              <w:keepLines w:val="0"/>
              <w:pageBreakBefore w:val="0"/>
              <w:widowControl w:val="0"/>
              <w:kinsoku/>
              <w:wordWrap/>
              <w:overflowPunct/>
              <w:topLinePunct w:val="0"/>
              <w:autoSpaceDE/>
              <w:autoSpaceDN/>
              <w:bidi w:val="0"/>
              <w:snapToGrid w:val="0"/>
              <w:spacing w:line="360" w:lineRule="auto"/>
              <w:ind w:firstLine="0" w:firstLineChars="0"/>
              <w:jc w:val="center"/>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（盖章）</w:t>
            </w:r>
          </w:p>
        </w:tc>
        <w:tc>
          <w:tcPr>
            <w:tcW w:w="1620" w:type="dxa"/>
            <w:noWrap w:val="0"/>
            <w:vAlign w:val="center"/>
          </w:tcPr>
          <w:p>
            <w:pPr>
              <w:keepNext w:val="0"/>
              <w:keepLines w:val="0"/>
              <w:pageBreakBefore w:val="0"/>
              <w:widowControl w:val="0"/>
              <w:kinsoku/>
              <w:wordWrap/>
              <w:overflowPunct/>
              <w:topLinePunct w:val="0"/>
              <w:autoSpaceDE/>
              <w:autoSpaceDN/>
              <w:bidi w:val="0"/>
              <w:snapToGrid w:val="0"/>
              <w:spacing w:line="360" w:lineRule="auto"/>
              <w:ind w:firstLine="0" w:firstLineChars="0"/>
              <w:jc w:val="center"/>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乙方单位</w:t>
            </w:r>
          </w:p>
        </w:tc>
        <w:tc>
          <w:tcPr>
            <w:tcW w:w="2700" w:type="dxa"/>
            <w:noWrap w:val="0"/>
            <w:vAlign w:val="center"/>
          </w:tcPr>
          <w:p>
            <w:pPr>
              <w:keepNext w:val="0"/>
              <w:keepLines w:val="0"/>
              <w:pageBreakBefore w:val="0"/>
              <w:widowControl w:val="0"/>
              <w:kinsoku/>
              <w:wordWrap/>
              <w:overflowPunct/>
              <w:topLinePunct w:val="0"/>
              <w:autoSpaceDE/>
              <w:autoSpaceDN/>
              <w:bidi w:val="0"/>
              <w:snapToGrid w:val="0"/>
              <w:spacing w:line="360" w:lineRule="auto"/>
              <w:ind w:firstLine="0" w:firstLineChars="0"/>
              <w:jc w:val="center"/>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440" w:type="dxa"/>
            <w:noWrap w:val="0"/>
            <w:vAlign w:val="center"/>
          </w:tcPr>
          <w:p>
            <w:pPr>
              <w:keepNext w:val="0"/>
              <w:keepLines w:val="0"/>
              <w:pageBreakBefore w:val="0"/>
              <w:widowControl w:val="0"/>
              <w:kinsoku/>
              <w:wordWrap/>
              <w:overflowPunct/>
              <w:topLinePunct w:val="0"/>
              <w:autoSpaceDE/>
              <w:autoSpaceDN/>
              <w:bidi w:val="0"/>
              <w:snapToGrid w:val="0"/>
              <w:spacing w:line="360" w:lineRule="auto"/>
              <w:ind w:firstLine="0" w:firstLineChars="0"/>
              <w:jc w:val="center"/>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代表签名</w:t>
            </w:r>
          </w:p>
        </w:tc>
        <w:tc>
          <w:tcPr>
            <w:tcW w:w="2340" w:type="dxa"/>
            <w:noWrap w:val="0"/>
            <w:vAlign w:val="center"/>
          </w:tcPr>
          <w:p>
            <w:pPr>
              <w:keepNext w:val="0"/>
              <w:keepLines w:val="0"/>
              <w:pageBreakBefore w:val="0"/>
              <w:widowControl w:val="0"/>
              <w:kinsoku/>
              <w:wordWrap/>
              <w:overflowPunct/>
              <w:topLinePunct w:val="0"/>
              <w:autoSpaceDE/>
              <w:autoSpaceDN/>
              <w:bidi w:val="0"/>
              <w:snapToGrid w:val="0"/>
              <w:spacing w:line="360" w:lineRule="auto"/>
              <w:ind w:firstLine="0" w:firstLineChars="0"/>
              <w:jc w:val="center"/>
              <w:textAlignment w:val="auto"/>
              <w:rPr>
                <w:rFonts w:hint="eastAsia" w:ascii="宋体" w:hAnsi="宋体" w:eastAsia="宋体" w:cs="宋体"/>
                <w:snapToGrid w:val="0"/>
                <w:color w:val="auto"/>
                <w:kern w:val="0"/>
                <w:sz w:val="24"/>
                <w:szCs w:val="24"/>
                <w:highlight w:val="none"/>
              </w:rPr>
            </w:pPr>
          </w:p>
        </w:tc>
        <w:tc>
          <w:tcPr>
            <w:tcW w:w="1620" w:type="dxa"/>
            <w:noWrap w:val="0"/>
            <w:vAlign w:val="center"/>
          </w:tcPr>
          <w:p>
            <w:pPr>
              <w:keepNext w:val="0"/>
              <w:keepLines w:val="0"/>
              <w:pageBreakBefore w:val="0"/>
              <w:widowControl w:val="0"/>
              <w:kinsoku/>
              <w:wordWrap/>
              <w:overflowPunct/>
              <w:topLinePunct w:val="0"/>
              <w:autoSpaceDE/>
              <w:autoSpaceDN/>
              <w:bidi w:val="0"/>
              <w:snapToGrid w:val="0"/>
              <w:spacing w:line="360" w:lineRule="auto"/>
              <w:ind w:firstLine="0" w:firstLineChars="0"/>
              <w:jc w:val="center"/>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代表签名</w:t>
            </w:r>
          </w:p>
        </w:tc>
        <w:tc>
          <w:tcPr>
            <w:tcW w:w="2700" w:type="dxa"/>
            <w:noWrap w:val="0"/>
            <w:vAlign w:val="center"/>
          </w:tcPr>
          <w:p>
            <w:pPr>
              <w:keepNext w:val="0"/>
              <w:keepLines w:val="0"/>
              <w:pageBreakBefore w:val="0"/>
              <w:widowControl w:val="0"/>
              <w:kinsoku/>
              <w:wordWrap/>
              <w:overflowPunct/>
              <w:topLinePunct w:val="0"/>
              <w:autoSpaceDE/>
              <w:autoSpaceDN/>
              <w:bidi w:val="0"/>
              <w:snapToGrid w:val="0"/>
              <w:spacing w:line="360" w:lineRule="auto"/>
              <w:ind w:firstLine="0" w:firstLineChars="0"/>
              <w:jc w:val="center"/>
              <w:textAlignment w:val="auto"/>
              <w:rPr>
                <w:rFonts w:hint="eastAsia" w:ascii="宋体" w:hAnsi="宋体" w:eastAsia="宋体" w:cs="宋体"/>
                <w:snapToGrid w:val="0"/>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440" w:type="dxa"/>
            <w:noWrap w:val="0"/>
            <w:vAlign w:val="center"/>
          </w:tcPr>
          <w:p>
            <w:pPr>
              <w:keepNext w:val="0"/>
              <w:keepLines w:val="0"/>
              <w:pageBreakBefore w:val="0"/>
              <w:widowControl w:val="0"/>
              <w:kinsoku/>
              <w:wordWrap/>
              <w:overflowPunct/>
              <w:topLinePunct w:val="0"/>
              <w:autoSpaceDE/>
              <w:autoSpaceDN/>
              <w:bidi w:val="0"/>
              <w:snapToGrid w:val="0"/>
              <w:spacing w:line="360" w:lineRule="auto"/>
              <w:ind w:firstLine="0" w:firstLineChars="0"/>
              <w:jc w:val="center"/>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地址</w:t>
            </w:r>
          </w:p>
        </w:tc>
        <w:tc>
          <w:tcPr>
            <w:tcW w:w="2340" w:type="dxa"/>
            <w:noWrap w:val="0"/>
            <w:vAlign w:val="center"/>
          </w:tcPr>
          <w:p>
            <w:pPr>
              <w:keepNext w:val="0"/>
              <w:keepLines w:val="0"/>
              <w:pageBreakBefore w:val="0"/>
              <w:widowControl w:val="0"/>
              <w:kinsoku/>
              <w:wordWrap/>
              <w:overflowPunct/>
              <w:topLinePunct w:val="0"/>
              <w:autoSpaceDE/>
              <w:autoSpaceDN/>
              <w:bidi w:val="0"/>
              <w:snapToGrid w:val="0"/>
              <w:spacing w:line="360" w:lineRule="auto"/>
              <w:ind w:firstLine="0" w:firstLineChars="0"/>
              <w:jc w:val="center"/>
              <w:textAlignment w:val="auto"/>
              <w:rPr>
                <w:rFonts w:hint="eastAsia" w:ascii="宋体" w:hAnsi="宋体" w:eastAsia="宋体" w:cs="宋体"/>
                <w:snapToGrid w:val="0"/>
                <w:color w:val="auto"/>
                <w:kern w:val="0"/>
                <w:sz w:val="24"/>
                <w:szCs w:val="24"/>
                <w:highlight w:val="none"/>
              </w:rPr>
            </w:pPr>
          </w:p>
        </w:tc>
        <w:tc>
          <w:tcPr>
            <w:tcW w:w="1620" w:type="dxa"/>
            <w:noWrap w:val="0"/>
            <w:vAlign w:val="center"/>
          </w:tcPr>
          <w:p>
            <w:pPr>
              <w:keepNext w:val="0"/>
              <w:keepLines w:val="0"/>
              <w:pageBreakBefore w:val="0"/>
              <w:widowControl w:val="0"/>
              <w:kinsoku/>
              <w:wordWrap/>
              <w:overflowPunct/>
              <w:topLinePunct w:val="0"/>
              <w:autoSpaceDE/>
              <w:autoSpaceDN/>
              <w:bidi w:val="0"/>
              <w:snapToGrid w:val="0"/>
              <w:spacing w:line="360" w:lineRule="auto"/>
              <w:ind w:firstLine="0" w:firstLineChars="0"/>
              <w:jc w:val="center"/>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地址</w:t>
            </w:r>
          </w:p>
        </w:tc>
        <w:tc>
          <w:tcPr>
            <w:tcW w:w="2700" w:type="dxa"/>
            <w:noWrap w:val="0"/>
            <w:vAlign w:val="center"/>
          </w:tcPr>
          <w:p>
            <w:pPr>
              <w:keepNext w:val="0"/>
              <w:keepLines w:val="0"/>
              <w:pageBreakBefore w:val="0"/>
              <w:widowControl w:val="0"/>
              <w:kinsoku/>
              <w:wordWrap/>
              <w:overflowPunct/>
              <w:topLinePunct w:val="0"/>
              <w:autoSpaceDE/>
              <w:autoSpaceDN/>
              <w:bidi w:val="0"/>
              <w:snapToGrid w:val="0"/>
              <w:spacing w:line="360" w:lineRule="auto"/>
              <w:ind w:firstLine="0" w:firstLineChars="0"/>
              <w:jc w:val="center"/>
              <w:textAlignment w:val="auto"/>
              <w:rPr>
                <w:rFonts w:hint="eastAsia" w:ascii="宋体" w:hAnsi="宋体" w:eastAsia="宋体" w:cs="宋体"/>
                <w:snapToGrid w:val="0"/>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440" w:type="dxa"/>
            <w:noWrap w:val="0"/>
            <w:vAlign w:val="center"/>
          </w:tcPr>
          <w:p>
            <w:pPr>
              <w:keepNext w:val="0"/>
              <w:keepLines w:val="0"/>
              <w:pageBreakBefore w:val="0"/>
              <w:widowControl w:val="0"/>
              <w:kinsoku/>
              <w:wordWrap/>
              <w:overflowPunct/>
              <w:topLinePunct w:val="0"/>
              <w:autoSpaceDE/>
              <w:autoSpaceDN/>
              <w:bidi w:val="0"/>
              <w:snapToGrid w:val="0"/>
              <w:spacing w:line="360" w:lineRule="auto"/>
              <w:ind w:firstLine="0" w:firstLineChars="0"/>
              <w:jc w:val="center"/>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电话</w:t>
            </w:r>
          </w:p>
        </w:tc>
        <w:tc>
          <w:tcPr>
            <w:tcW w:w="2340" w:type="dxa"/>
            <w:noWrap w:val="0"/>
            <w:vAlign w:val="center"/>
          </w:tcPr>
          <w:p>
            <w:pPr>
              <w:keepNext w:val="0"/>
              <w:keepLines w:val="0"/>
              <w:pageBreakBefore w:val="0"/>
              <w:widowControl w:val="0"/>
              <w:kinsoku/>
              <w:wordWrap/>
              <w:overflowPunct/>
              <w:topLinePunct w:val="0"/>
              <w:autoSpaceDE/>
              <w:autoSpaceDN/>
              <w:bidi w:val="0"/>
              <w:snapToGrid w:val="0"/>
              <w:spacing w:line="360" w:lineRule="auto"/>
              <w:ind w:firstLine="0" w:firstLineChars="0"/>
              <w:jc w:val="center"/>
              <w:textAlignment w:val="auto"/>
              <w:rPr>
                <w:rFonts w:hint="eastAsia" w:ascii="宋体" w:hAnsi="宋体" w:eastAsia="宋体" w:cs="宋体"/>
                <w:snapToGrid w:val="0"/>
                <w:color w:val="auto"/>
                <w:kern w:val="0"/>
                <w:sz w:val="24"/>
                <w:szCs w:val="24"/>
                <w:highlight w:val="none"/>
              </w:rPr>
            </w:pPr>
          </w:p>
        </w:tc>
        <w:tc>
          <w:tcPr>
            <w:tcW w:w="1620" w:type="dxa"/>
            <w:noWrap w:val="0"/>
            <w:vAlign w:val="center"/>
          </w:tcPr>
          <w:p>
            <w:pPr>
              <w:keepNext w:val="0"/>
              <w:keepLines w:val="0"/>
              <w:pageBreakBefore w:val="0"/>
              <w:widowControl w:val="0"/>
              <w:kinsoku/>
              <w:wordWrap/>
              <w:overflowPunct/>
              <w:topLinePunct w:val="0"/>
              <w:autoSpaceDE/>
              <w:autoSpaceDN/>
              <w:bidi w:val="0"/>
              <w:snapToGrid w:val="0"/>
              <w:spacing w:line="360" w:lineRule="auto"/>
              <w:ind w:firstLine="0" w:firstLineChars="0"/>
              <w:jc w:val="center"/>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电话</w:t>
            </w:r>
          </w:p>
        </w:tc>
        <w:tc>
          <w:tcPr>
            <w:tcW w:w="2700" w:type="dxa"/>
            <w:noWrap w:val="0"/>
            <w:vAlign w:val="center"/>
          </w:tcPr>
          <w:p>
            <w:pPr>
              <w:keepNext w:val="0"/>
              <w:keepLines w:val="0"/>
              <w:pageBreakBefore w:val="0"/>
              <w:widowControl w:val="0"/>
              <w:kinsoku/>
              <w:wordWrap/>
              <w:overflowPunct/>
              <w:topLinePunct w:val="0"/>
              <w:autoSpaceDE/>
              <w:autoSpaceDN/>
              <w:bidi w:val="0"/>
              <w:snapToGrid w:val="0"/>
              <w:spacing w:line="360" w:lineRule="auto"/>
              <w:ind w:firstLine="0" w:firstLineChars="0"/>
              <w:jc w:val="center"/>
              <w:textAlignment w:val="auto"/>
              <w:rPr>
                <w:rFonts w:hint="eastAsia" w:ascii="宋体" w:hAnsi="宋体" w:eastAsia="宋体" w:cs="宋体"/>
                <w:snapToGrid w:val="0"/>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440" w:type="dxa"/>
            <w:noWrap w:val="0"/>
            <w:vAlign w:val="center"/>
          </w:tcPr>
          <w:p>
            <w:pPr>
              <w:keepNext w:val="0"/>
              <w:keepLines w:val="0"/>
              <w:pageBreakBefore w:val="0"/>
              <w:widowControl w:val="0"/>
              <w:kinsoku/>
              <w:wordWrap/>
              <w:overflowPunct/>
              <w:topLinePunct w:val="0"/>
              <w:autoSpaceDE/>
              <w:autoSpaceDN/>
              <w:bidi w:val="0"/>
              <w:snapToGrid w:val="0"/>
              <w:spacing w:line="360" w:lineRule="auto"/>
              <w:ind w:firstLine="0" w:firstLineChars="0"/>
              <w:jc w:val="center"/>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开户银行</w:t>
            </w:r>
          </w:p>
        </w:tc>
        <w:tc>
          <w:tcPr>
            <w:tcW w:w="2340" w:type="dxa"/>
            <w:noWrap w:val="0"/>
            <w:vAlign w:val="center"/>
          </w:tcPr>
          <w:p>
            <w:pPr>
              <w:keepNext w:val="0"/>
              <w:keepLines w:val="0"/>
              <w:pageBreakBefore w:val="0"/>
              <w:widowControl w:val="0"/>
              <w:kinsoku/>
              <w:wordWrap/>
              <w:overflowPunct/>
              <w:topLinePunct w:val="0"/>
              <w:autoSpaceDE/>
              <w:autoSpaceDN/>
              <w:bidi w:val="0"/>
              <w:snapToGrid w:val="0"/>
              <w:spacing w:line="360" w:lineRule="auto"/>
              <w:ind w:firstLine="0" w:firstLineChars="0"/>
              <w:jc w:val="center"/>
              <w:textAlignment w:val="auto"/>
              <w:rPr>
                <w:rFonts w:hint="eastAsia" w:ascii="宋体" w:hAnsi="宋体" w:eastAsia="宋体" w:cs="宋体"/>
                <w:snapToGrid w:val="0"/>
                <w:color w:val="auto"/>
                <w:kern w:val="0"/>
                <w:sz w:val="24"/>
                <w:szCs w:val="24"/>
                <w:highlight w:val="none"/>
              </w:rPr>
            </w:pPr>
          </w:p>
        </w:tc>
        <w:tc>
          <w:tcPr>
            <w:tcW w:w="1620" w:type="dxa"/>
            <w:noWrap w:val="0"/>
            <w:vAlign w:val="center"/>
          </w:tcPr>
          <w:p>
            <w:pPr>
              <w:keepNext w:val="0"/>
              <w:keepLines w:val="0"/>
              <w:pageBreakBefore w:val="0"/>
              <w:widowControl w:val="0"/>
              <w:kinsoku/>
              <w:wordWrap/>
              <w:overflowPunct/>
              <w:topLinePunct w:val="0"/>
              <w:autoSpaceDE/>
              <w:autoSpaceDN/>
              <w:bidi w:val="0"/>
              <w:snapToGrid w:val="0"/>
              <w:spacing w:line="360" w:lineRule="auto"/>
              <w:ind w:firstLine="0" w:firstLineChars="0"/>
              <w:jc w:val="center"/>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开户银行</w:t>
            </w:r>
          </w:p>
        </w:tc>
        <w:tc>
          <w:tcPr>
            <w:tcW w:w="2700" w:type="dxa"/>
            <w:noWrap w:val="0"/>
            <w:vAlign w:val="center"/>
          </w:tcPr>
          <w:p>
            <w:pPr>
              <w:keepNext w:val="0"/>
              <w:keepLines w:val="0"/>
              <w:pageBreakBefore w:val="0"/>
              <w:widowControl w:val="0"/>
              <w:kinsoku/>
              <w:wordWrap/>
              <w:overflowPunct/>
              <w:topLinePunct w:val="0"/>
              <w:autoSpaceDE/>
              <w:autoSpaceDN/>
              <w:bidi w:val="0"/>
              <w:snapToGrid w:val="0"/>
              <w:spacing w:line="360" w:lineRule="auto"/>
              <w:ind w:firstLine="0" w:firstLineChars="0"/>
              <w:jc w:val="center"/>
              <w:textAlignment w:val="auto"/>
              <w:rPr>
                <w:rFonts w:hint="eastAsia" w:ascii="宋体" w:hAnsi="宋体" w:eastAsia="宋体" w:cs="宋体"/>
                <w:snapToGrid w:val="0"/>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440" w:type="dxa"/>
            <w:noWrap w:val="0"/>
            <w:vAlign w:val="center"/>
          </w:tcPr>
          <w:p>
            <w:pPr>
              <w:keepNext w:val="0"/>
              <w:keepLines w:val="0"/>
              <w:pageBreakBefore w:val="0"/>
              <w:widowControl w:val="0"/>
              <w:kinsoku/>
              <w:wordWrap/>
              <w:overflowPunct/>
              <w:topLinePunct w:val="0"/>
              <w:autoSpaceDE/>
              <w:autoSpaceDN/>
              <w:bidi w:val="0"/>
              <w:snapToGrid w:val="0"/>
              <w:spacing w:line="360" w:lineRule="auto"/>
              <w:ind w:firstLine="0" w:firstLineChars="0"/>
              <w:jc w:val="center"/>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帐号</w:t>
            </w:r>
          </w:p>
        </w:tc>
        <w:tc>
          <w:tcPr>
            <w:tcW w:w="2340" w:type="dxa"/>
            <w:noWrap w:val="0"/>
            <w:vAlign w:val="center"/>
          </w:tcPr>
          <w:p>
            <w:pPr>
              <w:keepNext w:val="0"/>
              <w:keepLines w:val="0"/>
              <w:pageBreakBefore w:val="0"/>
              <w:widowControl w:val="0"/>
              <w:kinsoku/>
              <w:wordWrap/>
              <w:overflowPunct/>
              <w:topLinePunct w:val="0"/>
              <w:autoSpaceDE/>
              <w:autoSpaceDN/>
              <w:bidi w:val="0"/>
              <w:snapToGrid w:val="0"/>
              <w:spacing w:line="360" w:lineRule="auto"/>
              <w:ind w:firstLine="0" w:firstLineChars="0"/>
              <w:jc w:val="center"/>
              <w:textAlignment w:val="auto"/>
              <w:rPr>
                <w:rFonts w:hint="eastAsia" w:ascii="宋体" w:hAnsi="宋体" w:eastAsia="宋体" w:cs="宋体"/>
                <w:snapToGrid w:val="0"/>
                <w:color w:val="auto"/>
                <w:kern w:val="0"/>
                <w:sz w:val="24"/>
                <w:szCs w:val="24"/>
                <w:highlight w:val="none"/>
              </w:rPr>
            </w:pPr>
          </w:p>
        </w:tc>
        <w:tc>
          <w:tcPr>
            <w:tcW w:w="1620" w:type="dxa"/>
            <w:noWrap w:val="0"/>
            <w:vAlign w:val="center"/>
          </w:tcPr>
          <w:p>
            <w:pPr>
              <w:keepNext w:val="0"/>
              <w:keepLines w:val="0"/>
              <w:pageBreakBefore w:val="0"/>
              <w:widowControl w:val="0"/>
              <w:kinsoku/>
              <w:wordWrap/>
              <w:overflowPunct/>
              <w:topLinePunct w:val="0"/>
              <w:autoSpaceDE/>
              <w:autoSpaceDN/>
              <w:bidi w:val="0"/>
              <w:snapToGrid w:val="0"/>
              <w:spacing w:line="360" w:lineRule="auto"/>
              <w:ind w:firstLine="0" w:firstLineChars="0"/>
              <w:jc w:val="center"/>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帐号</w:t>
            </w:r>
          </w:p>
        </w:tc>
        <w:tc>
          <w:tcPr>
            <w:tcW w:w="2700" w:type="dxa"/>
            <w:noWrap w:val="0"/>
            <w:vAlign w:val="center"/>
          </w:tcPr>
          <w:p>
            <w:pPr>
              <w:keepNext w:val="0"/>
              <w:keepLines w:val="0"/>
              <w:pageBreakBefore w:val="0"/>
              <w:widowControl w:val="0"/>
              <w:kinsoku/>
              <w:wordWrap/>
              <w:overflowPunct/>
              <w:topLinePunct w:val="0"/>
              <w:autoSpaceDE/>
              <w:autoSpaceDN/>
              <w:bidi w:val="0"/>
              <w:snapToGrid w:val="0"/>
              <w:spacing w:line="360" w:lineRule="auto"/>
              <w:ind w:firstLine="0" w:firstLineChars="0"/>
              <w:jc w:val="center"/>
              <w:textAlignment w:val="auto"/>
              <w:rPr>
                <w:rFonts w:hint="eastAsia" w:ascii="宋体" w:hAnsi="宋体" w:eastAsia="宋体" w:cs="宋体"/>
                <w:snapToGrid w:val="0"/>
                <w:color w:val="auto"/>
                <w:kern w:val="0"/>
                <w:sz w:val="24"/>
                <w:szCs w:val="24"/>
                <w:highlight w:val="none"/>
              </w:rPr>
            </w:pPr>
          </w:p>
        </w:tc>
      </w:tr>
    </w:tbl>
    <w:p>
      <w:pPr>
        <w:spacing w:line="360" w:lineRule="auto"/>
        <w:rPr>
          <w:color w:val="auto"/>
          <w:highlight w:val="none"/>
        </w:rPr>
      </w:pPr>
      <w:r>
        <w:rPr>
          <w:color w:val="auto"/>
          <w:highlight w:val="none"/>
        </w:rPr>
        <w:br w:type="page"/>
      </w:r>
    </w:p>
    <w:p>
      <w:pPr>
        <w:pStyle w:val="2"/>
        <w:jc w:val="center"/>
        <w:rPr>
          <w:rFonts w:cs="Times New Roman"/>
          <w:color w:val="auto"/>
          <w:sz w:val="36"/>
          <w:szCs w:val="36"/>
          <w:highlight w:val="none"/>
        </w:rPr>
      </w:pPr>
      <w:bookmarkStart w:id="101" w:name="_Toc9071"/>
      <w:bookmarkStart w:id="102" w:name="_Toc7690"/>
      <w:bookmarkStart w:id="103" w:name="_Toc4669"/>
      <w:r>
        <w:rPr>
          <w:rFonts w:hint="eastAsia" w:cs="宋体"/>
          <w:color w:val="auto"/>
          <w:sz w:val="36"/>
          <w:szCs w:val="36"/>
          <w:highlight w:val="none"/>
        </w:rPr>
        <w:t>第六部分</w:t>
      </w:r>
      <w:r>
        <w:rPr>
          <w:color w:val="auto"/>
          <w:sz w:val="36"/>
          <w:szCs w:val="36"/>
          <w:highlight w:val="none"/>
        </w:rPr>
        <w:t xml:space="preserve"> </w:t>
      </w:r>
      <w:r>
        <w:rPr>
          <w:rFonts w:hint="eastAsia" w:cs="宋体"/>
          <w:color w:val="auto"/>
          <w:sz w:val="36"/>
          <w:szCs w:val="36"/>
          <w:highlight w:val="none"/>
        </w:rPr>
        <w:t>应提交的有关格式范例</w:t>
      </w:r>
      <w:bookmarkEnd w:id="101"/>
      <w:bookmarkEnd w:id="102"/>
      <w:bookmarkEnd w:id="103"/>
    </w:p>
    <w:p>
      <w:pPr>
        <w:rPr>
          <w:color w:val="auto"/>
          <w:highlight w:val="none"/>
        </w:rPr>
      </w:pPr>
    </w:p>
    <w:p>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供应商按照以下格式编制响应文件，</w:t>
      </w:r>
      <w:r>
        <w:rPr>
          <w:rFonts w:hint="eastAsia" w:ascii="宋体" w:hAnsi="宋体" w:cs="宋体"/>
          <w:b/>
          <w:bCs/>
          <w:color w:val="auto"/>
          <w:sz w:val="24"/>
          <w:szCs w:val="24"/>
          <w:highlight w:val="none"/>
        </w:rPr>
        <w:t>“资格文件”、“商务技术文件”、“报价文件”须分</w:t>
      </w:r>
      <w:r>
        <w:rPr>
          <w:rFonts w:ascii="宋体" w:hAnsi="宋体" w:cs="宋体"/>
          <w:b/>
          <w:bCs/>
          <w:color w:val="auto"/>
          <w:sz w:val="24"/>
          <w:szCs w:val="24"/>
          <w:highlight w:val="none"/>
        </w:rPr>
        <w:t>3</w:t>
      </w:r>
      <w:r>
        <w:rPr>
          <w:rFonts w:hint="eastAsia" w:ascii="宋体" w:hAnsi="宋体" w:cs="宋体"/>
          <w:b/>
          <w:bCs/>
          <w:color w:val="auto"/>
          <w:sz w:val="24"/>
          <w:szCs w:val="24"/>
          <w:highlight w:val="none"/>
        </w:rPr>
        <w:t>个</w:t>
      </w:r>
      <w:r>
        <w:rPr>
          <w:rFonts w:ascii="宋体" w:hAnsi="宋体" w:cs="宋体"/>
          <w:b/>
          <w:bCs/>
          <w:color w:val="auto"/>
          <w:sz w:val="24"/>
          <w:szCs w:val="24"/>
          <w:highlight w:val="none"/>
        </w:rPr>
        <w:t>PDF</w:t>
      </w:r>
      <w:r>
        <w:rPr>
          <w:rFonts w:hint="eastAsia" w:ascii="宋体" w:hAnsi="宋体" w:cs="宋体"/>
          <w:b/>
          <w:bCs/>
          <w:color w:val="auto"/>
          <w:sz w:val="24"/>
          <w:szCs w:val="24"/>
          <w:highlight w:val="none"/>
        </w:rPr>
        <w:t>格式分别导入。</w:t>
      </w:r>
    </w:p>
    <w:p>
      <w:pPr>
        <w:spacing w:line="360" w:lineRule="auto"/>
        <w:ind w:firstLine="482" w:firstLineChars="200"/>
        <w:rPr>
          <w:rFonts w:ascii="宋体"/>
          <w:b/>
          <w:bCs/>
          <w:color w:val="auto"/>
          <w:sz w:val="24"/>
          <w:szCs w:val="24"/>
          <w:highlight w:val="none"/>
        </w:rPr>
      </w:pPr>
      <w:r>
        <w:rPr>
          <w:rFonts w:hint="eastAsia" w:ascii="宋体" w:hAnsi="宋体" w:cs="宋体"/>
          <w:b/>
          <w:bCs/>
          <w:color w:val="auto"/>
          <w:sz w:val="24"/>
          <w:szCs w:val="24"/>
          <w:highlight w:val="none"/>
        </w:rPr>
        <w:t>此格式内容仅为参考模板，具体内容供应商应根据磋商文件要求进行调整。未按以下格式编制响应文件或因格式不规范、页码不清等原因引发的一切后果由供应商自行承担。</w:t>
      </w:r>
    </w:p>
    <w:p>
      <w:pPr>
        <w:spacing w:line="360" w:lineRule="auto"/>
        <w:jc w:val="center"/>
        <w:rPr>
          <w:rFonts w:ascii="宋体"/>
          <w:b/>
          <w:bCs/>
          <w:color w:val="auto"/>
          <w:kern w:val="0"/>
          <w:sz w:val="36"/>
          <w:szCs w:val="36"/>
          <w:highlight w:val="none"/>
        </w:rPr>
      </w:pPr>
      <w:r>
        <w:rPr>
          <w:rFonts w:ascii="宋体"/>
          <w:b/>
          <w:bCs/>
          <w:color w:val="auto"/>
          <w:sz w:val="24"/>
          <w:szCs w:val="24"/>
          <w:highlight w:val="none"/>
        </w:rPr>
        <w:br w:type="page"/>
      </w:r>
      <w:r>
        <w:rPr>
          <w:rFonts w:hint="eastAsia" w:ascii="宋体" w:hAnsi="宋体" w:cs="宋体"/>
          <w:b/>
          <w:bCs/>
          <w:color w:val="auto"/>
          <w:kern w:val="0"/>
          <w:sz w:val="36"/>
          <w:szCs w:val="36"/>
          <w:highlight w:val="none"/>
        </w:rPr>
        <w:t>资格文件部分</w:t>
      </w:r>
    </w:p>
    <w:p>
      <w:pPr>
        <w:spacing w:line="360" w:lineRule="auto"/>
        <w:jc w:val="center"/>
        <w:rPr>
          <w:rFonts w:ascii="宋体"/>
          <w:b/>
          <w:bCs/>
          <w:color w:val="auto"/>
          <w:kern w:val="0"/>
          <w:sz w:val="36"/>
          <w:szCs w:val="36"/>
          <w:highlight w:val="none"/>
        </w:rPr>
      </w:pPr>
    </w:p>
    <w:p>
      <w:pPr>
        <w:spacing w:line="360" w:lineRule="auto"/>
        <w:jc w:val="center"/>
        <w:rPr>
          <w:rFonts w:ascii="宋体"/>
          <w:b/>
          <w:bCs/>
          <w:color w:val="auto"/>
          <w:kern w:val="0"/>
          <w:sz w:val="36"/>
          <w:szCs w:val="36"/>
          <w:highlight w:val="none"/>
        </w:rPr>
      </w:pPr>
      <w:r>
        <w:rPr>
          <w:rFonts w:hint="eastAsia" w:ascii="宋体" w:hAnsi="宋体" w:cs="宋体"/>
          <w:b/>
          <w:bCs/>
          <w:color w:val="auto"/>
          <w:kern w:val="0"/>
          <w:sz w:val="36"/>
          <w:szCs w:val="36"/>
          <w:highlight w:val="none"/>
        </w:rPr>
        <w:t>目录</w:t>
      </w:r>
    </w:p>
    <w:p>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1</w:t>
      </w:r>
      <w:r>
        <w:rPr>
          <w:rFonts w:hint="eastAsia" w:ascii="宋体" w:hAnsi="宋体" w:cs="宋体"/>
          <w:color w:val="auto"/>
          <w:sz w:val="24"/>
          <w:szCs w:val="24"/>
          <w:highlight w:val="none"/>
        </w:rPr>
        <w:t>）法定代表人授权书；（格式见附件）</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2</w:t>
      </w:r>
      <w:r>
        <w:rPr>
          <w:rFonts w:hint="eastAsia" w:ascii="宋体" w:hAnsi="宋体" w:cs="宋体"/>
          <w:color w:val="auto"/>
          <w:sz w:val="24"/>
          <w:szCs w:val="24"/>
          <w:highlight w:val="none"/>
        </w:rPr>
        <w:t>）营业执照</w:t>
      </w:r>
      <w:r>
        <w:rPr>
          <w:rFonts w:ascii="宋体" w:hAnsi="宋体" w:cs="宋体"/>
          <w:color w:val="auto"/>
          <w:sz w:val="24"/>
          <w:szCs w:val="24"/>
          <w:highlight w:val="none"/>
        </w:rPr>
        <w:t>(</w:t>
      </w:r>
      <w:r>
        <w:rPr>
          <w:rFonts w:hint="eastAsia" w:ascii="宋体" w:hAnsi="宋体" w:cs="宋体"/>
          <w:color w:val="auto"/>
          <w:sz w:val="24"/>
          <w:szCs w:val="24"/>
          <w:highlight w:val="none"/>
        </w:rPr>
        <w:t>或事业法人登记证或其他工商等登记证明材料</w:t>
      </w:r>
      <w:r>
        <w:rPr>
          <w:rFonts w:ascii="宋体" w:hAnsi="宋体" w:cs="宋体"/>
          <w:color w:val="auto"/>
          <w:sz w:val="24"/>
          <w:szCs w:val="24"/>
          <w:highlight w:val="none"/>
        </w:rPr>
        <w:t>)</w:t>
      </w:r>
      <w:r>
        <w:rPr>
          <w:rFonts w:hint="eastAsia" w:ascii="宋体" w:hAnsi="宋体" w:cs="宋体"/>
          <w:color w:val="auto"/>
          <w:sz w:val="24"/>
          <w:szCs w:val="24"/>
          <w:highlight w:val="none"/>
        </w:rPr>
        <w:t>复印件、税务登记证</w:t>
      </w:r>
      <w:r>
        <w:rPr>
          <w:rFonts w:ascii="宋体" w:hAnsi="宋体" w:cs="宋体"/>
          <w:color w:val="auto"/>
          <w:sz w:val="24"/>
          <w:szCs w:val="24"/>
          <w:highlight w:val="none"/>
        </w:rPr>
        <w:t>(</w:t>
      </w:r>
      <w:r>
        <w:rPr>
          <w:rFonts w:hint="eastAsia" w:ascii="宋体" w:hAnsi="宋体" w:cs="宋体"/>
          <w:color w:val="auto"/>
          <w:sz w:val="24"/>
          <w:szCs w:val="24"/>
          <w:highlight w:val="none"/>
        </w:rPr>
        <w:t>或其它缴纳证明材料</w:t>
      </w:r>
      <w:r>
        <w:rPr>
          <w:rFonts w:ascii="宋体" w:hAnsi="宋体" w:cs="宋体"/>
          <w:color w:val="auto"/>
          <w:sz w:val="24"/>
          <w:szCs w:val="24"/>
          <w:highlight w:val="none"/>
        </w:rPr>
        <w:t>)</w:t>
      </w:r>
      <w:r>
        <w:rPr>
          <w:rFonts w:hint="eastAsia" w:ascii="宋体" w:hAnsi="宋体" w:cs="宋体"/>
          <w:color w:val="auto"/>
          <w:sz w:val="24"/>
          <w:szCs w:val="24"/>
          <w:highlight w:val="none"/>
        </w:rPr>
        <w:t>复印件、社保登记证（或其它缴纳证明材料）复印件；实施“五证合一、一照一码”登记制度改革的，只需提供改革后取得的营业执照复印件；事业单位的，则提供有效的《事业单位法人证书》副本复印件并加盖单位公章；</w:t>
      </w:r>
    </w:p>
    <w:p>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响应文件中提供相关材料），证明其具备实际承担责任的能力和法定的缔结合同能力，可以独立参加政府采购活动，由单位负责人签署相关文件材料；</w:t>
      </w:r>
    </w:p>
    <w:p>
      <w:pPr>
        <w:pStyle w:val="12"/>
        <w:ind w:firstLine="486"/>
        <w:rPr>
          <w:rFonts w:hint="eastAsia" w:ascii="宋体" w:hAnsi="宋体" w:cs="宋体"/>
          <w:color w:val="auto"/>
          <w:sz w:val="24"/>
          <w:szCs w:val="24"/>
          <w:highlight w:val="none"/>
        </w:rPr>
      </w:pPr>
      <w:r>
        <w:rPr>
          <w:rFonts w:hint="eastAsia" w:ascii="宋体" w:hAnsi="宋体" w:cs="宋体"/>
          <w:color w:val="auto"/>
          <w:sz w:val="24"/>
          <w:szCs w:val="24"/>
          <w:highlight w:val="none"/>
        </w:rPr>
        <w:t>（</w:t>
      </w:r>
      <w:r>
        <w:rPr>
          <w:rFonts w:hint="eastAsia" w:cs="宋体"/>
          <w:color w:val="auto"/>
          <w:sz w:val="24"/>
          <w:szCs w:val="24"/>
          <w:highlight w:val="none"/>
          <w:lang w:val="en-US" w:eastAsia="zh-CN"/>
        </w:rPr>
        <w:t>3</w:t>
      </w:r>
      <w:r>
        <w:rPr>
          <w:rFonts w:hint="eastAsia" w:ascii="宋体" w:hAnsi="宋体" w:cs="宋体"/>
          <w:color w:val="auto"/>
          <w:sz w:val="24"/>
          <w:szCs w:val="24"/>
          <w:highlight w:val="none"/>
        </w:rPr>
        <w:t>）具有履行合同所必需的产品和专业技术能力的承诺函；</w:t>
      </w:r>
    </w:p>
    <w:p>
      <w:pPr>
        <w:pStyle w:val="12"/>
        <w:ind w:firstLine="486"/>
        <w:rPr>
          <w:rFonts w:hint="eastAsia" w:ascii="宋体" w:hAnsi="宋体" w:cs="宋体"/>
          <w:color w:val="auto"/>
          <w:sz w:val="24"/>
          <w:szCs w:val="24"/>
          <w:highlight w:val="none"/>
        </w:rPr>
      </w:pPr>
      <w:r>
        <w:rPr>
          <w:rFonts w:hint="eastAsia" w:ascii="宋体" w:hAnsi="宋体" w:cs="宋体"/>
          <w:color w:val="auto"/>
          <w:sz w:val="24"/>
          <w:szCs w:val="24"/>
          <w:highlight w:val="none"/>
        </w:rPr>
        <w:t>（</w:t>
      </w:r>
      <w:r>
        <w:rPr>
          <w:rFonts w:hint="eastAsia" w:cs="宋体"/>
          <w:color w:val="auto"/>
          <w:sz w:val="24"/>
          <w:szCs w:val="24"/>
          <w:highlight w:val="none"/>
          <w:lang w:val="en-US" w:eastAsia="zh-CN"/>
        </w:rPr>
        <w:t>4</w:t>
      </w:r>
      <w:r>
        <w:rPr>
          <w:rFonts w:hint="eastAsia" w:ascii="宋体" w:hAnsi="宋体" w:cs="宋体"/>
          <w:color w:val="auto"/>
          <w:sz w:val="24"/>
          <w:szCs w:val="24"/>
          <w:highlight w:val="none"/>
        </w:rPr>
        <w:t>）投标人承诺函（格式见附件）；</w:t>
      </w:r>
    </w:p>
    <w:p>
      <w:pPr>
        <w:pStyle w:val="12"/>
        <w:ind w:firstLine="486"/>
        <w:rPr>
          <w:rFonts w:hint="eastAsia" w:ascii="宋体" w:hAnsi="宋体" w:cs="宋体"/>
          <w:color w:val="auto"/>
          <w:sz w:val="24"/>
          <w:szCs w:val="24"/>
          <w:highlight w:val="none"/>
        </w:rPr>
      </w:pPr>
      <w:r>
        <w:rPr>
          <w:rFonts w:hint="eastAsia" w:ascii="宋体" w:hAnsi="宋体" w:cs="宋体"/>
          <w:color w:val="auto"/>
          <w:sz w:val="24"/>
          <w:szCs w:val="24"/>
          <w:highlight w:val="none"/>
        </w:rPr>
        <w:t>（</w:t>
      </w:r>
      <w:r>
        <w:rPr>
          <w:rFonts w:hint="eastAsia" w:cs="宋体"/>
          <w:color w:val="auto"/>
          <w:sz w:val="24"/>
          <w:szCs w:val="24"/>
          <w:highlight w:val="none"/>
          <w:lang w:val="en-US" w:eastAsia="zh-CN"/>
        </w:rPr>
        <w:t>5</w:t>
      </w:r>
      <w:r>
        <w:rPr>
          <w:rFonts w:hint="eastAsia" w:ascii="宋体" w:hAnsi="宋体" w:cs="宋体"/>
          <w:color w:val="auto"/>
          <w:sz w:val="24"/>
          <w:szCs w:val="24"/>
          <w:highlight w:val="none"/>
        </w:rPr>
        <w:t>）</w:t>
      </w:r>
      <w:r>
        <w:rPr>
          <w:rFonts w:hint="eastAsia" w:ascii="宋体" w:hAnsi="宋体"/>
          <w:color w:val="auto"/>
          <w:sz w:val="24"/>
          <w:szCs w:val="24"/>
          <w:highlight w:val="none"/>
        </w:rPr>
        <w:t>土地规划编制</w:t>
      </w:r>
      <w:r>
        <w:rPr>
          <w:rFonts w:hint="eastAsia" w:ascii="宋体" w:hAnsi="宋体"/>
          <w:color w:val="auto"/>
          <w:sz w:val="24"/>
          <w:szCs w:val="24"/>
          <w:highlight w:val="none"/>
          <w:lang w:val="en-US" w:eastAsia="zh-CN"/>
        </w:rPr>
        <w:t>乙级及以上资质</w:t>
      </w:r>
      <w:r>
        <w:rPr>
          <w:rFonts w:hint="eastAsia" w:ascii="宋体" w:hAnsi="宋体"/>
          <w:color w:val="auto"/>
          <w:sz w:val="24"/>
          <w:szCs w:val="24"/>
          <w:highlight w:val="none"/>
        </w:rPr>
        <w:t>和城乡规划编制乙级及以上资质</w:t>
      </w:r>
      <w:r>
        <w:rPr>
          <w:rFonts w:hint="eastAsia" w:ascii="宋体" w:hAnsi="宋体" w:cs="宋体"/>
          <w:color w:val="auto"/>
          <w:sz w:val="24"/>
          <w:szCs w:val="24"/>
          <w:highlight w:val="none"/>
        </w:rPr>
        <w:t>资质证书扫描件加盖公章；</w:t>
      </w:r>
    </w:p>
    <w:p>
      <w:pPr>
        <w:pStyle w:val="12"/>
        <w:ind w:firstLine="486"/>
        <w:rPr>
          <w:rFonts w:hint="eastAsia" w:ascii="宋体" w:hAnsi="宋体" w:cs="宋体"/>
          <w:color w:val="auto"/>
          <w:sz w:val="24"/>
          <w:szCs w:val="24"/>
          <w:highlight w:val="none"/>
        </w:rPr>
      </w:pPr>
      <w:r>
        <w:rPr>
          <w:rFonts w:hint="eastAsia" w:ascii="宋体" w:hAnsi="宋体" w:cs="宋体"/>
          <w:color w:val="auto"/>
          <w:sz w:val="24"/>
          <w:szCs w:val="24"/>
          <w:highlight w:val="none"/>
        </w:rPr>
        <w:t>（</w:t>
      </w:r>
      <w:r>
        <w:rPr>
          <w:rFonts w:hint="eastAsia" w:cs="宋体"/>
          <w:color w:val="auto"/>
          <w:sz w:val="24"/>
          <w:szCs w:val="24"/>
          <w:highlight w:val="none"/>
          <w:lang w:val="en-US" w:eastAsia="zh-CN"/>
        </w:rPr>
        <w:t>6</w:t>
      </w:r>
      <w:r>
        <w:rPr>
          <w:rFonts w:hint="eastAsia" w:ascii="宋体" w:hAnsi="宋体" w:cs="宋体"/>
          <w:color w:val="auto"/>
          <w:sz w:val="24"/>
          <w:szCs w:val="24"/>
          <w:highlight w:val="none"/>
        </w:rPr>
        <w:t>）中小企业声明函（格式见附件）；</w:t>
      </w:r>
    </w:p>
    <w:p>
      <w:pPr>
        <w:pStyle w:val="12"/>
        <w:ind w:firstLine="486"/>
        <w:rPr>
          <w:rFonts w:hint="eastAsia" w:ascii="宋体" w:hAnsi="宋体" w:cs="宋体"/>
          <w:color w:val="auto"/>
          <w:sz w:val="24"/>
          <w:szCs w:val="24"/>
          <w:highlight w:val="none"/>
        </w:rPr>
      </w:pPr>
      <w:r>
        <w:rPr>
          <w:rFonts w:hint="eastAsia" w:ascii="宋体" w:hAnsi="宋体" w:cs="宋体"/>
          <w:color w:val="auto"/>
          <w:sz w:val="24"/>
          <w:szCs w:val="24"/>
          <w:highlight w:val="none"/>
        </w:rPr>
        <w:t>（</w:t>
      </w:r>
      <w:r>
        <w:rPr>
          <w:rFonts w:hint="eastAsia" w:cs="宋体"/>
          <w:color w:val="auto"/>
          <w:sz w:val="24"/>
          <w:szCs w:val="24"/>
          <w:highlight w:val="none"/>
          <w:lang w:val="en-US" w:eastAsia="zh-CN"/>
        </w:rPr>
        <w:t>7</w:t>
      </w:r>
      <w:r>
        <w:rPr>
          <w:rFonts w:hint="eastAsia" w:ascii="宋体" w:hAnsi="宋体" w:cs="宋体"/>
          <w:color w:val="auto"/>
          <w:sz w:val="24"/>
          <w:szCs w:val="24"/>
          <w:highlight w:val="none"/>
        </w:rPr>
        <w:t>）残疾人福利性单位声明函(如有)（格式见附件）；</w:t>
      </w:r>
    </w:p>
    <w:p>
      <w:pPr>
        <w:pStyle w:val="12"/>
        <w:ind w:firstLine="486"/>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w:t>
      </w:r>
      <w:r>
        <w:rPr>
          <w:rFonts w:hint="eastAsia" w:cs="宋体"/>
          <w:color w:val="auto"/>
          <w:sz w:val="24"/>
          <w:szCs w:val="24"/>
          <w:highlight w:val="none"/>
          <w:lang w:val="en-US" w:eastAsia="zh-CN"/>
        </w:rPr>
        <w:t>8</w:t>
      </w:r>
      <w:r>
        <w:rPr>
          <w:rFonts w:hint="eastAsia" w:ascii="宋体" w:hAnsi="宋体" w:cs="宋体"/>
          <w:color w:val="auto"/>
          <w:sz w:val="24"/>
          <w:szCs w:val="24"/>
          <w:highlight w:val="none"/>
        </w:rPr>
        <w:t>）监狱企业证明文件(如有)（格式见附件）</w:t>
      </w:r>
      <w:r>
        <w:rPr>
          <w:rFonts w:hint="eastAsia" w:cs="宋体"/>
          <w:color w:val="auto"/>
          <w:sz w:val="24"/>
          <w:szCs w:val="24"/>
          <w:highlight w:val="none"/>
          <w:lang w:eastAsia="zh-CN"/>
        </w:rPr>
        <w:t>；</w:t>
      </w:r>
    </w:p>
    <w:p>
      <w:pPr>
        <w:pStyle w:val="12"/>
        <w:ind w:firstLine="486"/>
        <w:rPr>
          <w:rFonts w:hint="eastAsia" w:eastAsia="宋体" w:cs="Times New Roman"/>
          <w:color w:val="auto"/>
          <w:highlight w:val="none"/>
          <w:lang w:val="en-US" w:eastAsia="zh-CN"/>
        </w:rPr>
      </w:pPr>
      <w:r>
        <w:rPr>
          <w:rFonts w:hint="eastAsia" w:ascii="宋体" w:hAnsi="宋体" w:cs="宋体"/>
          <w:color w:val="auto"/>
          <w:sz w:val="24"/>
          <w:szCs w:val="24"/>
          <w:highlight w:val="none"/>
        </w:rPr>
        <w:t>（</w:t>
      </w:r>
      <w:r>
        <w:rPr>
          <w:rFonts w:hint="eastAsia" w:cs="宋体"/>
          <w:color w:val="auto"/>
          <w:sz w:val="24"/>
          <w:szCs w:val="24"/>
          <w:highlight w:val="none"/>
          <w:lang w:val="en-US" w:eastAsia="zh-CN"/>
        </w:rPr>
        <w:t>9</w:t>
      </w:r>
      <w:r>
        <w:rPr>
          <w:rFonts w:hint="eastAsia" w:ascii="宋体" w:hAnsi="宋体" w:cs="宋体"/>
          <w:color w:val="auto"/>
          <w:sz w:val="24"/>
          <w:szCs w:val="24"/>
          <w:highlight w:val="none"/>
        </w:rPr>
        <w:t>）</w:t>
      </w:r>
      <w:r>
        <w:rPr>
          <w:rFonts w:hint="eastAsia" w:ascii="宋体" w:hAnsi="宋体" w:cs="宋体"/>
          <w:color w:val="auto"/>
          <w:highlight w:val="none"/>
          <w:lang w:val="en-US" w:eastAsia="zh-CN"/>
        </w:rPr>
        <w:t>联合体协议书</w:t>
      </w:r>
      <w:r>
        <w:rPr>
          <w:rFonts w:hint="eastAsia" w:ascii="宋体" w:hAnsi="宋体" w:cs="宋体"/>
          <w:color w:val="auto"/>
          <w:highlight w:val="none"/>
        </w:rPr>
        <w:t>(如有)</w:t>
      </w:r>
      <w:r>
        <w:rPr>
          <w:rFonts w:hint="eastAsia" w:ascii="宋体" w:hAnsi="宋体" w:cs="宋体"/>
          <w:color w:val="auto"/>
          <w:highlight w:val="none"/>
          <w:lang w:val="en-US" w:eastAsia="zh-CN"/>
        </w:rPr>
        <w:t>（格式见附件）</w:t>
      </w:r>
      <w:r>
        <w:rPr>
          <w:rFonts w:hint="eastAsia" w:cs="宋体"/>
          <w:color w:val="auto"/>
          <w:sz w:val="24"/>
          <w:szCs w:val="24"/>
          <w:highlight w:val="none"/>
          <w:lang w:eastAsia="zh-CN"/>
        </w:rPr>
        <w:t>。</w:t>
      </w:r>
    </w:p>
    <w:p>
      <w:pPr>
        <w:pStyle w:val="12"/>
        <w:ind w:firstLine="486"/>
        <w:rPr>
          <w:rFonts w:cs="Times New Roman"/>
          <w:color w:val="auto"/>
          <w:highlight w:val="none"/>
        </w:rPr>
      </w:pPr>
    </w:p>
    <w:p>
      <w:pPr>
        <w:rPr>
          <w:rFonts w:ascii="宋体"/>
          <w:color w:val="auto"/>
          <w:highlight w:val="none"/>
        </w:rPr>
      </w:pPr>
      <w:r>
        <w:rPr>
          <w:rFonts w:ascii="宋体"/>
          <w:color w:val="auto"/>
          <w:highlight w:val="none"/>
        </w:rPr>
        <w:br w:type="page"/>
      </w:r>
      <w:bookmarkStart w:id="104" w:name="_Toc24699"/>
    </w:p>
    <w:p>
      <w:pPr>
        <w:rPr>
          <w:b/>
          <w:bCs/>
          <w:color w:val="auto"/>
          <w:highlight w:val="none"/>
        </w:rPr>
      </w:pPr>
      <w:r>
        <w:rPr>
          <w:rFonts w:hint="eastAsia" w:cs="宋体"/>
          <w:b/>
          <w:bCs/>
          <w:color w:val="auto"/>
          <w:highlight w:val="none"/>
        </w:rPr>
        <w:t>附件一：</w:t>
      </w:r>
    </w:p>
    <w:p>
      <w:pPr>
        <w:spacing w:line="360" w:lineRule="auto"/>
        <w:jc w:val="center"/>
        <w:rPr>
          <w:rFonts w:ascii="宋体"/>
          <w:b/>
          <w:bCs/>
          <w:color w:val="auto"/>
          <w:sz w:val="32"/>
          <w:szCs w:val="32"/>
          <w:highlight w:val="none"/>
        </w:rPr>
      </w:pPr>
      <w:r>
        <w:rPr>
          <w:rFonts w:hint="eastAsia" w:ascii="宋体" w:hAnsi="宋体" w:cs="宋体"/>
          <w:b/>
          <w:bCs/>
          <w:color w:val="auto"/>
          <w:sz w:val="32"/>
          <w:szCs w:val="32"/>
          <w:highlight w:val="none"/>
        </w:rPr>
        <w:t>法定代表人授权书</w:t>
      </w:r>
      <w:bookmarkEnd w:id="104"/>
    </w:p>
    <w:p>
      <w:pPr>
        <w:pStyle w:val="4"/>
        <w:spacing w:line="360" w:lineRule="auto"/>
        <w:rPr>
          <w:rFonts w:ascii="宋体"/>
          <w:color w:val="auto"/>
          <w:highlight w:val="none"/>
        </w:rPr>
      </w:pPr>
    </w:p>
    <w:p>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lang w:eastAsia="zh-CN"/>
        </w:rPr>
        <w:t>上虞区驿亭镇人民政府</w:t>
      </w:r>
      <w:r>
        <w:rPr>
          <w:rFonts w:hint="eastAsia" w:ascii="宋体" w:hAnsi="宋体" w:cs="宋体"/>
          <w:color w:val="auto"/>
          <w:sz w:val="24"/>
          <w:szCs w:val="24"/>
          <w:highlight w:val="none"/>
        </w:rPr>
        <w:t>：</w:t>
      </w:r>
    </w:p>
    <w:p>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浙江宇康工程管理咨询有限公司：</w:t>
      </w:r>
    </w:p>
    <w:p>
      <w:pP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rPr>
        <w:t>（供应商全称）</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rPr>
        <w:t>法定代表人</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rPr>
        <w:t>授权</w:t>
      </w:r>
      <w:r>
        <w:rPr>
          <w:rFonts w:hint="eastAsia" w:ascii="宋体" w:hAnsi="宋体" w:cs="宋体"/>
          <w:color w:val="auto"/>
          <w:sz w:val="24"/>
          <w:szCs w:val="24"/>
          <w:highlight w:val="none"/>
          <w:u w:val="single"/>
        </w:rPr>
        <w:t>（授权代表名称）</w:t>
      </w:r>
      <w:r>
        <w:rPr>
          <w:rFonts w:hint="eastAsia" w:ascii="宋体" w:hAnsi="宋体" w:cs="宋体"/>
          <w:color w:val="auto"/>
          <w:sz w:val="24"/>
          <w:szCs w:val="24"/>
          <w:highlight w:val="none"/>
        </w:rPr>
        <w:t>为授权代表，参加贵处组织的</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rPr>
        <w:t>项目</w:t>
      </w:r>
      <w:r>
        <w:rPr>
          <w:rFonts w:hint="eastAsia" w:ascii="宋体" w:hAnsi="宋体" w:cs="宋体"/>
          <w:color w:val="auto"/>
          <w:sz w:val="24"/>
          <w:szCs w:val="24"/>
          <w:highlight w:val="none"/>
          <w:u w:val="single"/>
        </w:rPr>
        <w:t>（括号内填写招标编号）</w:t>
      </w:r>
      <w:r>
        <w:rPr>
          <w:rFonts w:hint="eastAsia" w:ascii="宋体" w:hAnsi="宋体" w:cs="宋体"/>
          <w:color w:val="auto"/>
          <w:sz w:val="24"/>
          <w:szCs w:val="24"/>
          <w:highlight w:val="none"/>
        </w:rPr>
        <w:t>，授权处理招投标活动中的一切事宜。</w:t>
      </w:r>
    </w:p>
    <w:p>
      <w:pPr>
        <w:spacing w:line="360" w:lineRule="auto"/>
        <w:ind w:firstLine="480" w:firstLineChars="200"/>
        <w:rPr>
          <w:rFonts w:ascii="宋体"/>
          <w:color w:val="auto"/>
          <w:sz w:val="24"/>
          <w:szCs w:val="24"/>
          <w:highlight w:val="none"/>
        </w:rPr>
      </w:pPr>
    </w:p>
    <w:p>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法定代表人签字：</w:t>
      </w:r>
    </w:p>
    <w:p>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供应商全称：（盖章）</w:t>
      </w:r>
    </w:p>
    <w:p>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日期：</w:t>
      </w:r>
    </w:p>
    <w:p>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附：</w:t>
      </w:r>
    </w:p>
    <w:p>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授权代表姓名：</w:t>
      </w:r>
    </w:p>
    <w:p>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职务：</w:t>
      </w:r>
    </w:p>
    <w:p>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详细通讯地址：</w:t>
      </w:r>
    </w:p>
    <w:p>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传真：</w:t>
      </w:r>
    </w:p>
    <w:p>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电话：</w:t>
      </w:r>
    </w:p>
    <w:p>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邮政编码：</w:t>
      </w:r>
    </w:p>
    <w:p>
      <w:pPr>
        <w:pStyle w:val="15"/>
        <w:snapToGrid w:val="0"/>
        <w:spacing w:line="360" w:lineRule="auto"/>
        <w:rPr>
          <w:rFonts w:hAnsi="宋体" w:cs="Times New Roman"/>
          <w:color w:val="auto"/>
          <w:sz w:val="24"/>
          <w:szCs w:val="24"/>
          <w:highlight w:val="none"/>
        </w:rPr>
      </w:pPr>
    </w:p>
    <w:p>
      <w:pPr>
        <w:pStyle w:val="15"/>
        <w:snapToGrid w:val="0"/>
        <w:spacing w:line="360" w:lineRule="auto"/>
        <w:rPr>
          <w:rFonts w:hAnsi="宋体" w:cs="Times New Roman"/>
          <w:color w:val="auto"/>
          <w:sz w:val="24"/>
          <w:szCs w:val="24"/>
          <w:highlight w:val="none"/>
        </w:rPr>
      </w:pPr>
    </w:p>
    <w:p>
      <w:pPr>
        <w:pStyle w:val="15"/>
        <w:snapToGrid w:val="0"/>
        <w:spacing w:line="360" w:lineRule="auto"/>
        <w:rPr>
          <w:rFonts w:hAnsi="宋体" w:cs="Times New Roman"/>
          <w:color w:val="auto"/>
          <w:sz w:val="24"/>
          <w:szCs w:val="24"/>
          <w:highlight w:val="none"/>
        </w:rPr>
      </w:pPr>
    </w:p>
    <w:p>
      <w:pPr>
        <w:spacing w:line="360" w:lineRule="auto"/>
        <w:rPr>
          <w:rFonts w:ascii="宋体"/>
          <w:b/>
          <w:bCs/>
          <w:color w:val="auto"/>
          <w:sz w:val="24"/>
          <w:szCs w:val="24"/>
          <w:highlight w:val="none"/>
        </w:rPr>
      </w:pPr>
      <w:r>
        <w:rPr>
          <w:rFonts w:hint="eastAsia" w:ascii="宋体" w:hAnsi="宋体" w:cs="宋体"/>
          <w:b/>
          <w:bCs/>
          <w:color w:val="auto"/>
          <w:sz w:val="24"/>
          <w:szCs w:val="24"/>
          <w:highlight w:val="none"/>
        </w:rPr>
        <w:t>附：授权代表身份证复印件（正反面）</w:t>
      </w:r>
    </w:p>
    <w:p>
      <w:pPr>
        <w:spacing w:line="360" w:lineRule="auto"/>
        <w:rPr>
          <w:rFonts w:ascii="宋体"/>
          <w:b/>
          <w:bCs/>
          <w:color w:val="auto"/>
          <w:sz w:val="24"/>
          <w:szCs w:val="24"/>
          <w:highlight w:val="none"/>
        </w:rPr>
      </w:pPr>
    </w:p>
    <w:p>
      <w:pPr>
        <w:pStyle w:val="12"/>
        <w:ind w:firstLine="486"/>
        <w:rPr>
          <w:rFonts w:cs="Times New Roman"/>
          <w:color w:val="auto"/>
          <w:highlight w:val="none"/>
        </w:rPr>
      </w:pPr>
    </w:p>
    <w:p>
      <w:pPr>
        <w:snapToGrid w:val="0"/>
        <w:spacing w:before="50" w:afterLines="50"/>
        <w:jc w:val="left"/>
        <w:rPr>
          <w:rFonts w:ascii="宋体"/>
          <w:b/>
          <w:bCs/>
          <w:color w:val="auto"/>
          <w:sz w:val="24"/>
          <w:szCs w:val="24"/>
          <w:highlight w:val="none"/>
          <w:lang w:val="zh-CN"/>
        </w:rPr>
      </w:pPr>
      <w:r>
        <w:rPr>
          <w:rFonts w:ascii="宋体"/>
          <w:b/>
          <w:bCs/>
          <w:color w:val="auto"/>
          <w:sz w:val="24"/>
          <w:szCs w:val="24"/>
          <w:highlight w:val="none"/>
        </w:rPr>
        <w:br w:type="page"/>
      </w:r>
      <w:r>
        <w:rPr>
          <w:rFonts w:hint="eastAsia" w:ascii="宋体" w:hAnsi="宋体" w:cs="宋体"/>
          <w:b/>
          <w:bCs/>
          <w:color w:val="auto"/>
          <w:sz w:val="24"/>
          <w:szCs w:val="24"/>
          <w:highlight w:val="none"/>
          <w:lang w:val="zh-CN"/>
        </w:rPr>
        <w:t>附件二：</w:t>
      </w:r>
    </w:p>
    <w:p>
      <w:pPr>
        <w:spacing w:line="360" w:lineRule="auto"/>
        <w:jc w:val="center"/>
        <w:rPr>
          <w:rFonts w:hint="eastAsia" w:ascii="宋体" w:hAnsi="宋体" w:eastAsia="宋体" w:cs="宋体"/>
          <w:b/>
          <w:bCs/>
          <w:color w:val="auto"/>
          <w:sz w:val="32"/>
          <w:szCs w:val="32"/>
          <w:highlight w:val="none"/>
        </w:rPr>
      </w:pPr>
      <w:r>
        <w:rPr>
          <w:rFonts w:hint="eastAsia" w:ascii="宋体" w:hAnsi="宋体" w:cs="宋体"/>
          <w:b/>
          <w:bCs/>
          <w:color w:val="auto"/>
          <w:sz w:val="32"/>
          <w:szCs w:val="32"/>
          <w:highlight w:val="none"/>
        </w:rPr>
        <w:t>投 标</w:t>
      </w:r>
      <w:r>
        <w:rPr>
          <w:rFonts w:hint="eastAsia" w:ascii="宋体" w:hAnsi="宋体" w:eastAsia="宋体" w:cs="宋体"/>
          <w:b/>
          <w:bCs/>
          <w:color w:val="auto"/>
          <w:sz w:val="32"/>
          <w:szCs w:val="32"/>
          <w:highlight w:val="none"/>
        </w:rPr>
        <w:t xml:space="preserve"> </w:t>
      </w:r>
      <w:r>
        <w:rPr>
          <w:rFonts w:hint="eastAsia" w:ascii="宋体" w:hAnsi="宋体" w:cs="宋体"/>
          <w:b/>
          <w:bCs/>
          <w:color w:val="auto"/>
          <w:sz w:val="32"/>
          <w:szCs w:val="32"/>
          <w:highlight w:val="none"/>
          <w:lang w:eastAsia="zh-CN"/>
        </w:rPr>
        <w:t>人</w:t>
      </w:r>
      <w:r>
        <w:rPr>
          <w:rFonts w:hint="eastAsia" w:ascii="宋体" w:hAnsi="宋体" w:cs="宋体"/>
          <w:b/>
          <w:bCs/>
          <w:color w:val="auto"/>
          <w:sz w:val="32"/>
          <w:szCs w:val="32"/>
          <w:highlight w:val="none"/>
          <w:lang w:val="en-US" w:eastAsia="zh-CN"/>
        </w:rPr>
        <w:t xml:space="preserve"> </w:t>
      </w:r>
      <w:r>
        <w:rPr>
          <w:rFonts w:hint="eastAsia" w:ascii="宋体" w:hAnsi="宋体" w:eastAsia="宋体" w:cs="宋体"/>
          <w:b/>
          <w:bCs/>
          <w:color w:val="auto"/>
          <w:sz w:val="32"/>
          <w:szCs w:val="32"/>
          <w:highlight w:val="none"/>
          <w:lang w:eastAsia="zh-CN"/>
        </w:rPr>
        <w:t>承</w:t>
      </w:r>
      <w:r>
        <w:rPr>
          <w:rFonts w:hint="eastAsia" w:ascii="宋体" w:hAnsi="宋体" w:eastAsia="宋体" w:cs="宋体"/>
          <w:b/>
          <w:bCs/>
          <w:color w:val="auto"/>
          <w:sz w:val="32"/>
          <w:szCs w:val="32"/>
          <w:highlight w:val="none"/>
          <w:lang w:val="en-US" w:eastAsia="zh-CN"/>
        </w:rPr>
        <w:t xml:space="preserve"> </w:t>
      </w:r>
      <w:r>
        <w:rPr>
          <w:rFonts w:hint="eastAsia" w:ascii="宋体" w:hAnsi="宋体" w:eastAsia="宋体" w:cs="宋体"/>
          <w:b/>
          <w:bCs/>
          <w:color w:val="auto"/>
          <w:sz w:val="32"/>
          <w:szCs w:val="32"/>
          <w:highlight w:val="none"/>
          <w:lang w:eastAsia="zh-CN"/>
        </w:rPr>
        <w:t>诺</w:t>
      </w:r>
      <w:r>
        <w:rPr>
          <w:rFonts w:hint="eastAsia" w:ascii="宋体" w:hAnsi="宋体" w:eastAsia="宋体" w:cs="宋体"/>
          <w:b/>
          <w:bCs/>
          <w:color w:val="auto"/>
          <w:sz w:val="32"/>
          <w:szCs w:val="32"/>
          <w:highlight w:val="none"/>
          <w:lang w:val="en-US" w:eastAsia="zh-CN"/>
        </w:rPr>
        <w:t xml:space="preserve"> </w:t>
      </w:r>
      <w:r>
        <w:rPr>
          <w:rFonts w:hint="eastAsia" w:ascii="宋体" w:hAnsi="宋体" w:eastAsia="宋体" w:cs="宋体"/>
          <w:b/>
          <w:bCs/>
          <w:color w:val="auto"/>
          <w:sz w:val="32"/>
          <w:szCs w:val="32"/>
          <w:highlight w:val="none"/>
        </w:rPr>
        <w:t>函</w:t>
      </w:r>
    </w:p>
    <w:p>
      <w:pPr>
        <w:pStyle w:val="21"/>
        <w:rPr>
          <w:color w:val="auto"/>
          <w:highlight w:val="none"/>
        </w:rPr>
      </w:pPr>
    </w:p>
    <w:p>
      <w:pPr>
        <w:rPr>
          <w:color w:val="auto"/>
          <w:highlight w:val="none"/>
        </w:rPr>
      </w:pPr>
    </w:p>
    <w:p>
      <w:pPr>
        <w:spacing w:line="360" w:lineRule="auto"/>
        <w:ind w:firstLine="480" w:firstLineChars="200"/>
        <w:rPr>
          <w:rFonts w:hint="eastAsia" w:ascii="宋体" w:hAnsi="宋体" w:eastAsia="宋体" w:cs="宋体"/>
          <w:color w:val="auto"/>
          <w:sz w:val="24"/>
          <w:highlight w:val="none"/>
          <w:u w:val="none"/>
        </w:rPr>
      </w:pPr>
      <w:r>
        <w:rPr>
          <w:rFonts w:hint="eastAsia" w:ascii="宋体" w:hAnsi="宋体" w:cs="宋体"/>
          <w:color w:val="auto"/>
          <w:sz w:val="24"/>
          <w:szCs w:val="24"/>
          <w:highlight w:val="none"/>
          <w:lang w:eastAsia="zh-CN"/>
        </w:rPr>
        <w:t>上虞区驿亭镇人民政府</w:t>
      </w:r>
      <w:r>
        <w:rPr>
          <w:rFonts w:hint="eastAsia" w:ascii="宋体" w:hAnsi="宋体" w:eastAsia="宋体" w:cs="宋体"/>
          <w:color w:val="auto"/>
          <w:sz w:val="24"/>
          <w:highlight w:val="none"/>
          <w:u w:val="none"/>
        </w:rPr>
        <w:t>：</w:t>
      </w:r>
    </w:p>
    <w:p>
      <w:pPr>
        <w:spacing w:line="360" w:lineRule="auto"/>
        <w:ind w:firstLine="480" w:firstLineChars="200"/>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浙江宇康工程管理咨询有限公司：</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rPr>
        <w:t>（投标人名称）</w:t>
      </w:r>
      <w:r>
        <w:rPr>
          <w:rFonts w:hint="eastAsia" w:ascii="宋体" w:hAnsi="宋体" w:eastAsia="宋体" w:cs="宋体"/>
          <w:color w:val="auto"/>
          <w:sz w:val="24"/>
          <w:highlight w:val="none"/>
        </w:rPr>
        <w:t>系中华人民共和国合法企业，经营地址</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我</w:t>
      </w:r>
      <w:r>
        <w:rPr>
          <w:rFonts w:hint="eastAsia" w:ascii="宋体" w:hAnsi="宋体" w:eastAsia="宋体" w:cs="宋体"/>
          <w:color w:val="auto"/>
          <w:sz w:val="24"/>
          <w:highlight w:val="none"/>
          <w:u w:val="single"/>
        </w:rPr>
        <w:t>（姓名）</w:t>
      </w:r>
      <w:r>
        <w:rPr>
          <w:rFonts w:hint="eastAsia" w:ascii="宋体" w:hAnsi="宋体" w:eastAsia="宋体" w:cs="宋体"/>
          <w:color w:val="auto"/>
          <w:sz w:val="24"/>
          <w:highlight w:val="none"/>
        </w:rPr>
        <w:t>系</w:t>
      </w:r>
      <w:r>
        <w:rPr>
          <w:rFonts w:hint="eastAsia" w:ascii="宋体" w:hAnsi="宋体" w:eastAsia="宋体" w:cs="宋体"/>
          <w:color w:val="auto"/>
          <w:sz w:val="24"/>
          <w:highlight w:val="none"/>
          <w:u w:val="single"/>
        </w:rPr>
        <w:t>（投标人名称）</w:t>
      </w:r>
      <w:r>
        <w:rPr>
          <w:rFonts w:hint="eastAsia" w:ascii="宋体" w:hAnsi="宋体" w:eastAsia="宋体" w:cs="宋体"/>
          <w:color w:val="auto"/>
          <w:sz w:val="24"/>
          <w:highlight w:val="none"/>
        </w:rPr>
        <w:t>的法定代表人，我方愿意参加贵方组织的</w:t>
      </w:r>
      <w:r>
        <w:rPr>
          <w:rFonts w:hint="eastAsia" w:ascii="宋体" w:hAnsi="宋体" w:eastAsia="宋体" w:cs="宋体"/>
          <w:color w:val="auto"/>
          <w:sz w:val="24"/>
          <w:highlight w:val="none"/>
          <w:u w:val="single"/>
        </w:rPr>
        <w:t>（招标项目名称）（编号为）</w:t>
      </w:r>
      <w:r>
        <w:rPr>
          <w:rFonts w:hint="eastAsia" w:ascii="宋体" w:hAnsi="宋体" w:eastAsia="宋体" w:cs="宋体"/>
          <w:color w:val="auto"/>
          <w:sz w:val="24"/>
          <w:highlight w:val="none"/>
        </w:rPr>
        <w:t>的投标，为此，我方就本次投标有关事项郑重</w:t>
      </w:r>
      <w:r>
        <w:rPr>
          <w:rFonts w:hint="eastAsia" w:ascii="宋体" w:hAnsi="宋体" w:eastAsia="宋体" w:cs="宋体"/>
          <w:color w:val="auto"/>
          <w:sz w:val="24"/>
          <w:highlight w:val="none"/>
          <w:lang w:eastAsia="zh-CN"/>
        </w:rPr>
        <w:t>承诺</w:t>
      </w:r>
      <w:r>
        <w:rPr>
          <w:rFonts w:hint="eastAsia" w:ascii="宋体" w:hAnsi="宋体" w:eastAsia="宋体" w:cs="宋体"/>
          <w:color w:val="auto"/>
          <w:sz w:val="24"/>
          <w:highlight w:val="none"/>
        </w:rPr>
        <w:t>如下：</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1、我方已详细审查全部招标文件，同意招标文件的各项要求。</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2、我方向贵方提交的所有投标文件、资料都是准确的和真实的。</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3、若中标，我方将按招标文件规定履行合同责任和义务。</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4、我方不是采购人的附属机构；在获知本项目采购信息后，与采购人聘请的为此项目提供咨询服务的公司及其附属机构没有任何联系。</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5、投标文件自开标日起有效期为90天。</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6、我方参与本项目前3年内的经营活动中没有重大违法记录；</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7、我方通过“信用中国”网站（www.creditchina.gov.cn）、中国政府采购网（www.ccgp.gov.cn）查询，未被列入失信被执行人、重大税收违法案件当事人名单、政府采购严重违法失信行为记录名单。</w:t>
      </w:r>
    </w:p>
    <w:p>
      <w:pPr>
        <w:pStyle w:val="54"/>
        <w:numPr>
          <w:ilvl w:val="0"/>
          <w:numId w:val="0"/>
        </w:numPr>
        <w:spacing w:before="0"/>
        <w:ind w:firstLine="480" w:firstLineChars="200"/>
        <w:jc w:val="left"/>
        <w:rPr>
          <w:rFonts w:hint="eastAsia" w:ascii="宋体" w:hAnsi="宋体" w:cs="宋体"/>
          <w:color w:val="auto"/>
          <w:szCs w:val="24"/>
          <w:highlight w:val="none"/>
          <w:lang w:val="en-US" w:eastAsia="zh-CN"/>
        </w:rPr>
      </w:pPr>
      <w:r>
        <w:rPr>
          <w:rFonts w:hint="eastAsia" w:ascii="宋体" w:hAnsi="宋体" w:eastAsia="宋体" w:cs="宋体"/>
          <w:color w:val="auto"/>
          <w:sz w:val="24"/>
          <w:highlight w:val="none"/>
        </w:rPr>
        <w:t>8、</w:t>
      </w:r>
      <w:r>
        <w:rPr>
          <w:rFonts w:hint="eastAsia" w:ascii="宋体" w:hAnsi="宋体" w:cs="宋体"/>
          <w:color w:val="auto"/>
          <w:szCs w:val="24"/>
          <w:highlight w:val="none"/>
          <w:lang w:val="en-US" w:eastAsia="zh-CN"/>
        </w:rPr>
        <w:t>具有良好的商业信誉和健全的财务会计制度；</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9、具有依法缴纳税收和社会保障资金的良好记录</w:t>
      </w:r>
      <w:r>
        <w:rPr>
          <w:rFonts w:hint="eastAsia" w:ascii="宋体" w:hAnsi="宋体" w:eastAsia="宋体" w:cs="宋体"/>
          <w:color w:val="auto"/>
          <w:sz w:val="24"/>
          <w:highlight w:val="none"/>
        </w:rPr>
        <w:t>；</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10、</w:t>
      </w:r>
      <w:r>
        <w:rPr>
          <w:rFonts w:hint="eastAsia" w:ascii="宋体" w:hAnsi="宋体" w:eastAsia="宋体" w:cs="宋体"/>
          <w:color w:val="auto"/>
          <w:sz w:val="24"/>
          <w:highlight w:val="none"/>
        </w:rPr>
        <w:t>以上事项如有虚假或隐瞒，我方愿意承担一切后果，并不再寻求任何旨在减轻或免除法律责任的辩解。</w:t>
      </w:r>
    </w:p>
    <w:p>
      <w:pPr>
        <w:spacing w:line="360" w:lineRule="auto"/>
        <w:ind w:firstLine="480" w:firstLineChars="200"/>
        <w:rPr>
          <w:rFonts w:hint="eastAsia" w:ascii="宋体" w:hAnsi="宋体" w:eastAsia="宋体" w:cs="宋体"/>
          <w:color w:val="auto"/>
          <w:sz w:val="24"/>
          <w:highlight w:val="none"/>
        </w:rPr>
      </w:pPr>
    </w:p>
    <w:p>
      <w:pPr>
        <w:pStyle w:val="12"/>
        <w:rPr>
          <w:rFonts w:hint="eastAsia" w:ascii="宋体" w:hAnsi="宋体" w:eastAsia="宋体" w:cs="宋体"/>
          <w:color w:val="auto"/>
          <w:highlight w:val="none"/>
        </w:rPr>
      </w:pPr>
    </w:p>
    <w:p>
      <w:pPr>
        <w:spacing w:line="360" w:lineRule="auto"/>
        <w:ind w:leftChars="18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法定代表人签名（或签名章）：                       </w:t>
      </w:r>
    </w:p>
    <w:p>
      <w:pPr>
        <w:spacing w:line="360" w:lineRule="auto"/>
        <w:ind w:leftChars="18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日 期：</w:t>
      </w:r>
    </w:p>
    <w:p>
      <w:pPr>
        <w:pStyle w:val="12"/>
        <w:ind w:firstLine="566"/>
        <w:jc w:val="center"/>
        <w:rPr>
          <w:rFonts w:cs="Times New Roman"/>
          <w:color w:val="auto"/>
          <w:sz w:val="28"/>
          <w:szCs w:val="28"/>
          <w:highlight w:val="none"/>
        </w:rPr>
      </w:pP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投标人全称（公章）：</w:t>
      </w:r>
    </w:p>
    <w:p>
      <w:pPr>
        <w:pStyle w:val="4"/>
        <w:rPr>
          <w:rFonts w:ascii="宋体"/>
          <w:color w:val="auto"/>
          <w:highlight w:val="none"/>
        </w:rPr>
      </w:pPr>
    </w:p>
    <w:p>
      <w:pPr>
        <w:spacing w:line="360" w:lineRule="auto"/>
        <w:rPr>
          <w:rFonts w:ascii="宋体"/>
          <w:b/>
          <w:bCs/>
          <w:color w:val="auto"/>
          <w:kern w:val="0"/>
          <w:sz w:val="36"/>
          <w:szCs w:val="36"/>
          <w:highlight w:val="none"/>
        </w:rPr>
      </w:pPr>
    </w:p>
    <w:p>
      <w:pPr>
        <w:spacing w:line="360" w:lineRule="auto"/>
        <w:jc w:val="left"/>
        <w:rPr>
          <w:rFonts w:ascii="宋体"/>
          <w:b/>
          <w:bCs/>
          <w:color w:val="auto"/>
          <w:sz w:val="32"/>
          <w:szCs w:val="32"/>
          <w:highlight w:val="none"/>
        </w:rPr>
      </w:pPr>
      <w:r>
        <w:rPr>
          <w:rFonts w:hint="eastAsia" w:ascii="宋体" w:hAnsi="宋体" w:cs="宋体"/>
          <w:b/>
          <w:bCs/>
          <w:color w:val="auto"/>
          <w:sz w:val="24"/>
          <w:szCs w:val="24"/>
          <w:highlight w:val="none"/>
          <w:lang w:val="zh-CN"/>
        </w:rPr>
        <w:t>附件</w:t>
      </w:r>
      <w:r>
        <w:rPr>
          <w:rFonts w:hint="eastAsia" w:ascii="宋体" w:hAnsi="宋体" w:cs="宋体"/>
          <w:b/>
          <w:bCs/>
          <w:color w:val="auto"/>
          <w:sz w:val="24"/>
          <w:szCs w:val="24"/>
          <w:highlight w:val="none"/>
          <w:lang w:val="en-US" w:eastAsia="zh-CN"/>
        </w:rPr>
        <w:t>三</w:t>
      </w:r>
      <w:r>
        <w:rPr>
          <w:rFonts w:hint="eastAsia" w:ascii="宋体" w:hAnsi="宋体" w:cs="宋体"/>
          <w:b/>
          <w:bCs/>
          <w:color w:val="auto"/>
          <w:sz w:val="24"/>
          <w:szCs w:val="24"/>
          <w:highlight w:val="none"/>
          <w:lang w:val="zh-CN"/>
        </w:rPr>
        <w:t>：</w:t>
      </w:r>
    </w:p>
    <w:p>
      <w:pPr>
        <w:spacing w:line="360" w:lineRule="auto"/>
        <w:jc w:val="center"/>
        <w:rPr>
          <w:rFonts w:ascii="宋体"/>
          <w:b/>
          <w:bCs/>
          <w:color w:val="auto"/>
          <w:sz w:val="32"/>
          <w:szCs w:val="32"/>
          <w:highlight w:val="none"/>
        </w:rPr>
      </w:pPr>
      <w:r>
        <w:rPr>
          <w:rFonts w:hint="eastAsia" w:ascii="宋体" w:hAnsi="宋体" w:cs="宋体"/>
          <w:b/>
          <w:bCs/>
          <w:color w:val="auto"/>
          <w:sz w:val="32"/>
          <w:szCs w:val="32"/>
          <w:highlight w:val="none"/>
        </w:rPr>
        <w:t>中小企业声明函</w:t>
      </w:r>
    </w:p>
    <w:p>
      <w:pPr>
        <w:widowControl/>
        <w:snapToGrid w:val="0"/>
        <w:spacing w:line="324" w:lineRule="auto"/>
        <w:ind w:firstLine="480" w:firstLineChars="200"/>
        <w:jc w:val="center"/>
        <w:rPr>
          <w:rFonts w:ascii="宋体"/>
          <w:color w:val="auto"/>
          <w:kern w:val="0"/>
          <w:sz w:val="24"/>
          <w:szCs w:val="24"/>
          <w:highlight w:val="none"/>
        </w:rPr>
      </w:pPr>
      <w:r>
        <w:rPr>
          <w:rFonts w:hint="eastAsia" w:ascii="宋体" w:hAnsi="宋体" w:cs="宋体"/>
          <w:color w:val="auto"/>
          <w:kern w:val="0"/>
          <w:sz w:val="24"/>
          <w:szCs w:val="24"/>
          <w:highlight w:val="none"/>
        </w:rPr>
        <w:t>【不属于中小企业的无需填写、递交】</w:t>
      </w:r>
    </w:p>
    <w:p>
      <w:pPr>
        <w:spacing w:line="288"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本公司（联合体）郑重声明，根据《政府采购促进中小企业发展管理办法》 （财库﹝2020﹞46 号）的规定，本公司（联合体）参加</w:t>
      </w:r>
      <w:r>
        <w:rPr>
          <w:rFonts w:hint="eastAsia" w:ascii="宋体" w:hAnsi="宋体" w:cs="宋体"/>
          <w:color w:val="auto"/>
          <w:sz w:val="24"/>
          <w:szCs w:val="24"/>
          <w:highlight w:val="none"/>
          <w:u w:val="single"/>
        </w:rPr>
        <w:t xml:space="preserve"> （采购人名称） </w:t>
      </w:r>
      <w:r>
        <w:rPr>
          <w:rFonts w:hint="eastAsia" w:ascii="宋体" w:hAnsi="宋体" w:cs="宋体"/>
          <w:color w:val="auto"/>
          <w:sz w:val="24"/>
          <w:szCs w:val="24"/>
          <w:highlight w:val="none"/>
        </w:rPr>
        <w:t>的</w:t>
      </w:r>
      <w:r>
        <w:rPr>
          <w:rFonts w:hint="eastAsia" w:ascii="宋体" w:hAnsi="宋体" w:cs="宋体"/>
          <w:color w:val="auto"/>
          <w:sz w:val="24"/>
          <w:szCs w:val="24"/>
          <w:highlight w:val="none"/>
          <w:u w:val="single"/>
        </w:rPr>
        <w:t xml:space="preserve"> （项目名称）     </w:t>
      </w:r>
      <w:r>
        <w:rPr>
          <w:rFonts w:hint="eastAsia" w:ascii="宋体" w:hAnsi="宋体" w:cs="宋体"/>
          <w:color w:val="auto"/>
          <w:sz w:val="24"/>
          <w:szCs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pPr>
        <w:spacing w:line="288" w:lineRule="auto"/>
        <w:jc w:val="left"/>
        <w:rPr>
          <w:rFonts w:ascii="宋体" w:hAnsi="宋体" w:cs="宋体"/>
          <w:color w:val="auto"/>
          <w:sz w:val="24"/>
          <w:szCs w:val="24"/>
          <w:highlight w:val="none"/>
        </w:rPr>
      </w:pPr>
      <w:r>
        <w:rPr>
          <w:rFonts w:hint="eastAsia" w:ascii="宋体" w:hAnsi="宋体" w:cs="宋体"/>
          <w:color w:val="auto"/>
          <w:sz w:val="24"/>
          <w:szCs w:val="24"/>
          <w:highlight w:val="none"/>
        </w:rPr>
        <w:t>1.</w:t>
      </w:r>
      <w:r>
        <w:rPr>
          <w:rFonts w:hint="eastAsia" w:ascii="宋体" w:hAnsi="宋体" w:cs="宋体"/>
          <w:color w:val="auto"/>
          <w:sz w:val="24"/>
          <w:szCs w:val="24"/>
          <w:highlight w:val="none"/>
          <w:u w:val="single"/>
        </w:rPr>
        <w:t xml:space="preserve">  （项目名称）</w:t>
      </w:r>
      <w:r>
        <w:rPr>
          <w:rFonts w:hint="eastAsia" w:ascii="宋体" w:hAnsi="宋体" w:cs="宋体"/>
          <w:color w:val="auto"/>
          <w:sz w:val="24"/>
          <w:szCs w:val="24"/>
          <w:highlight w:val="none"/>
        </w:rPr>
        <w:t>，属于</w:t>
      </w:r>
      <w:r>
        <w:rPr>
          <w:rFonts w:hint="eastAsia" w:ascii="宋体" w:hAnsi="宋体" w:cs="宋体"/>
          <w:color w:val="auto"/>
          <w:sz w:val="24"/>
          <w:szCs w:val="24"/>
          <w:highlight w:val="none"/>
          <w:u w:val="single"/>
        </w:rPr>
        <w:t xml:space="preserve">                  （采购文件中明确的所属行业）</w:t>
      </w:r>
      <w:r>
        <w:rPr>
          <w:rFonts w:hint="eastAsia" w:ascii="宋体" w:hAnsi="宋体" w:cs="宋体"/>
          <w:color w:val="auto"/>
          <w:sz w:val="24"/>
          <w:szCs w:val="24"/>
          <w:highlight w:val="none"/>
        </w:rPr>
        <w:t>；承建（承接）企业为</w:t>
      </w:r>
      <w:r>
        <w:rPr>
          <w:rFonts w:hint="eastAsia" w:ascii="宋体" w:hAnsi="宋体" w:cs="宋体"/>
          <w:color w:val="auto"/>
          <w:sz w:val="24"/>
          <w:szCs w:val="24"/>
          <w:highlight w:val="none"/>
          <w:u w:val="single"/>
        </w:rPr>
        <w:t xml:space="preserve">           （企业名称） </w:t>
      </w:r>
      <w:r>
        <w:rPr>
          <w:rFonts w:hint="eastAsia" w:ascii="宋体" w:hAnsi="宋体" w:cs="宋体"/>
          <w:color w:val="auto"/>
          <w:sz w:val="24"/>
          <w:szCs w:val="24"/>
          <w:highlight w:val="none"/>
        </w:rPr>
        <w:t>，从业人员</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人，营业收入为</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万元，资产总额为</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万元 ，属于</w:t>
      </w:r>
      <w:r>
        <w:rPr>
          <w:rFonts w:hint="eastAsia" w:ascii="宋体" w:hAnsi="宋体" w:cs="宋体"/>
          <w:color w:val="auto"/>
          <w:sz w:val="24"/>
          <w:szCs w:val="24"/>
          <w:highlight w:val="none"/>
          <w:u w:val="single"/>
        </w:rPr>
        <w:t xml:space="preserve">       （中型企业、小型企业、微型企业）</w:t>
      </w:r>
      <w:r>
        <w:rPr>
          <w:rFonts w:hint="eastAsia" w:ascii="宋体" w:hAnsi="宋体" w:cs="宋体"/>
          <w:color w:val="auto"/>
          <w:sz w:val="24"/>
          <w:szCs w:val="24"/>
          <w:highlight w:val="none"/>
        </w:rPr>
        <w:t xml:space="preserve"> ；</w:t>
      </w:r>
    </w:p>
    <w:p>
      <w:pPr>
        <w:spacing w:line="288"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w:t>
      </w:r>
    </w:p>
    <w:p>
      <w:pPr>
        <w:spacing w:line="288"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以上企业，不属于大企业的分支机构，不存在控股股东为大企业的情形，也不存在与大企业的负责人为同一人的情形。</w:t>
      </w:r>
    </w:p>
    <w:p>
      <w:pPr>
        <w:spacing w:line="288"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本企业对上述声明内容的真实性负责。如有虚假，将依法承担相应责任。</w:t>
      </w:r>
    </w:p>
    <w:p>
      <w:pPr>
        <w:spacing w:line="288" w:lineRule="auto"/>
        <w:ind w:right="420" w:firstLine="4320" w:firstLineChars="1800"/>
        <w:rPr>
          <w:rFonts w:ascii="宋体" w:hAnsi="宋体" w:cs="宋体"/>
          <w:color w:val="auto"/>
          <w:sz w:val="24"/>
          <w:szCs w:val="24"/>
          <w:highlight w:val="none"/>
        </w:rPr>
      </w:pPr>
    </w:p>
    <w:p>
      <w:pPr>
        <w:spacing w:line="288" w:lineRule="auto"/>
        <w:ind w:right="420" w:firstLine="4320" w:firstLineChars="1800"/>
        <w:rPr>
          <w:rFonts w:ascii="宋体" w:hAnsi="宋体" w:cs="宋体"/>
          <w:color w:val="auto"/>
          <w:sz w:val="24"/>
          <w:szCs w:val="24"/>
          <w:highlight w:val="none"/>
        </w:rPr>
      </w:pPr>
    </w:p>
    <w:p>
      <w:pPr>
        <w:spacing w:line="288" w:lineRule="auto"/>
        <w:ind w:right="420" w:firstLine="4800" w:firstLineChars="2000"/>
        <w:rPr>
          <w:rFonts w:ascii="宋体" w:hAnsi="宋体" w:cs="宋体"/>
          <w:color w:val="auto"/>
          <w:sz w:val="24"/>
          <w:szCs w:val="24"/>
          <w:highlight w:val="none"/>
        </w:rPr>
      </w:pPr>
      <w:r>
        <w:rPr>
          <w:rFonts w:hint="eastAsia" w:ascii="宋体" w:hAnsi="宋体" w:cs="宋体"/>
          <w:color w:val="auto"/>
          <w:sz w:val="24"/>
          <w:szCs w:val="24"/>
          <w:highlight w:val="none"/>
        </w:rPr>
        <w:t xml:space="preserve">企业名称（盖章）： </w:t>
      </w:r>
    </w:p>
    <w:p>
      <w:pPr>
        <w:spacing w:line="288" w:lineRule="auto"/>
        <w:ind w:left="3780" w:leftChars="1800" w:firstLine="960" w:firstLineChars="400"/>
        <w:rPr>
          <w:rFonts w:ascii="宋体" w:hAnsi="宋体" w:cs="宋体"/>
          <w:color w:val="auto"/>
          <w:sz w:val="24"/>
          <w:szCs w:val="24"/>
          <w:highlight w:val="none"/>
        </w:rPr>
      </w:pPr>
      <w:r>
        <w:rPr>
          <w:rFonts w:hint="eastAsia" w:ascii="宋体" w:hAnsi="宋体" w:cs="宋体"/>
          <w:color w:val="auto"/>
          <w:sz w:val="24"/>
          <w:szCs w:val="24"/>
          <w:highlight w:val="none"/>
        </w:rPr>
        <w:t>日期：   年     月     日</w:t>
      </w:r>
    </w:p>
    <w:p>
      <w:pPr>
        <w:pStyle w:val="4"/>
        <w:spacing w:line="288" w:lineRule="auto"/>
        <w:rPr>
          <w:rFonts w:ascii="宋体" w:hAnsi="宋体" w:cs="宋体"/>
          <w:color w:val="auto"/>
          <w:sz w:val="24"/>
          <w:szCs w:val="24"/>
          <w:highlight w:val="none"/>
        </w:rPr>
      </w:pPr>
    </w:p>
    <w:p>
      <w:pPr>
        <w:spacing w:line="288" w:lineRule="auto"/>
        <w:ind w:firstLine="480" w:firstLineChars="200"/>
        <w:jc w:val="left"/>
        <w:rPr>
          <w:rFonts w:ascii="宋体" w:hAnsi="宋体" w:cs="宋体"/>
          <w:color w:val="auto"/>
          <w:sz w:val="24"/>
          <w:szCs w:val="24"/>
          <w:highlight w:val="none"/>
        </w:rPr>
      </w:pPr>
    </w:p>
    <w:p>
      <w:pPr>
        <w:spacing w:line="288" w:lineRule="auto"/>
        <w:ind w:firstLine="480" w:firstLineChars="200"/>
        <w:jc w:val="left"/>
        <w:rPr>
          <w:rFonts w:ascii="宋体" w:hAnsi="宋体" w:cs="宋体"/>
          <w:color w:val="auto"/>
          <w:sz w:val="24"/>
          <w:szCs w:val="24"/>
          <w:highlight w:val="none"/>
        </w:rPr>
      </w:pPr>
    </w:p>
    <w:p>
      <w:pPr>
        <w:spacing w:line="288" w:lineRule="auto"/>
        <w:ind w:firstLine="480" w:firstLineChars="200"/>
        <w:jc w:val="left"/>
        <w:rPr>
          <w:rFonts w:ascii="宋体" w:hAnsi="宋体" w:cs="宋体"/>
          <w:color w:val="auto"/>
          <w:sz w:val="24"/>
          <w:szCs w:val="24"/>
          <w:highlight w:val="none"/>
        </w:rPr>
      </w:pPr>
    </w:p>
    <w:p>
      <w:pPr>
        <w:spacing w:line="288"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注：从业人员、营业收入、资产总额填报上一年度数据，无上一年度数据的新成立企业可不填报。</w:t>
      </w:r>
    </w:p>
    <w:p>
      <w:pPr>
        <w:widowControl/>
        <w:snapToGrid w:val="0"/>
        <w:spacing w:line="324" w:lineRule="auto"/>
        <w:ind w:firstLine="480" w:firstLineChars="200"/>
        <w:jc w:val="left"/>
        <w:rPr>
          <w:rFonts w:ascii="宋体"/>
          <w:color w:val="auto"/>
          <w:sz w:val="24"/>
          <w:szCs w:val="24"/>
          <w:highlight w:val="none"/>
        </w:rPr>
      </w:pPr>
    </w:p>
    <w:p>
      <w:pPr>
        <w:pStyle w:val="3"/>
        <w:spacing w:line="360" w:lineRule="auto"/>
        <w:jc w:val="center"/>
        <w:rPr>
          <w:rFonts w:hAnsi="宋体" w:cs="Times New Roman"/>
          <w:color w:val="auto"/>
          <w:sz w:val="24"/>
          <w:szCs w:val="24"/>
          <w:highlight w:val="none"/>
        </w:rPr>
      </w:pPr>
    </w:p>
    <w:p>
      <w:pPr>
        <w:pStyle w:val="3"/>
        <w:spacing w:line="360" w:lineRule="auto"/>
        <w:jc w:val="center"/>
        <w:rPr>
          <w:rFonts w:hAnsi="宋体" w:cs="Times New Roman"/>
          <w:color w:val="auto"/>
          <w:sz w:val="24"/>
          <w:szCs w:val="24"/>
          <w:highlight w:val="none"/>
        </w:rPr>
      </w:pPr>
    </w:p>
    <w:p>
      <w:pPr>
        <w:jc w:val="center"/>
        <w:rPr>
          <w:color w:val="auto"/>
          <w:highlight w:val="none"/>
          <w:lang w:val="zh-CN"/>
        </w:rPr>
      </w:pPr>
      <w:bookmarkStart w:id="105" w:name="_Toc2071"/>
      <w:bookmarkStart w:id="106" w:name="_Toc30916"/>
      <w:bookmarkStart w:id="107" w:name="_Toc3295"/>
      <w:r>
        <w:rPr>
          <w:rFonts w:hAnsi="宋体"/>
          <w:color w:val="auto"/>
          <w:highlight w:val="none"/>
        </w:rPr>
        <w:br w:type="page"/>
      </w:r>
      <w:bookmarkEnd w:id="105"/>
      <w:bookmarkEnd w:id="106"/>
      <w:bookmarkEnd w:id="107"/>
    </w:p>
    <w:p>
      <w:pPr>
        <w:rPr>
          <w:b/>
          <w:bCs/>
          <w:color w:val="auto"/>
          <w:sz w:val="24"/>
          <w:szCs w:val="24"/>
          <w:highlight w:val="none"/>
          <w:lang w:val="zh-CN"/>
        </w:rPr>
      </w:pPr>
      <w:bookmarkStart w:id="108" w:name="_Toc16150"/>
      <w:bookmarkStart w:id="109" w:name="_Toc9715"/>
      <w:bookmarkStart w:id="110" w:name="_Toc31472"/>
      <w:bookmarkStart w:id="111" w:name="_Toc25017"/>
      <w:r>
        <w:rPr>
          <w:rFonts w:hint="eastAsia" w:cs="宋体"/>
          <w:b/>
          <w:bCs/>
          <w:color w:val="auto"/>
          <w:sz w:val="24"/>
          <w:szCs w:val="24"/>
          <w:highlight w:val="none"/>
          <w:lang w:val="zh-CN"/>
        </w:rPr>
        <w:t>附件</w:t>
      </w:r>
      <w:r>
        <w:rPr>
          <w:rFonts w:hint="eastAsia" w:cs="宋体"/>
          <w:b/>
          <w:bCs/>
          <w:color w:val="auto"/>
          <w:sz w:val="24"/>
          <w:szCs w:val="24"/>
          <w:highlight w:val="none"/>
          <w:lang w:val="en-US" w:eastAsia="zh-CN"/>
        </w:rPr>
        <w:t>四</w:t>
      </w:r>
      <w:r>
        <w:rPr>
          <w:rFonts w:hint="eastAsia" w:cs="宋体"/>
          <w:b/>
          <w:bCs/>
          <w:color w:val="auto"/>
          <w:sz w:val="24"/>
          <w:szCs w:val="24"/>
          <w:highlight w:val="none"/>
        </w:rPr>
        <w:t>：</w:t>
      </w:r>
    </w:p>
    <w:p>
      <w:pPr>
        <w:spacing w:line="360" w:lineRule="auto"/>
        <w:jc w:val="center"/>
        <w:rPr>
          <w:rFonts w:ascii="宋体"/>
          <w:b/>
          <w:bCs/>
          <w:color w:val="auto"/>
          <w:sz w:val="32"/>
          <w:szCs w:val="32"/>
          <w:highlight w:val="none"/>
        </w:rPr>
      </w:pPr>
      <w:r>
        <w:rPr>
          <w:rFonts w:hint="eastAsia" w:ascii="宋体" w:hAnsi="宋体" w:cs="宋体"/>
          <w:b/>
          <w:bCs/>
          <w:color w:val="auto"/>
          <w:sz w:val="32"/>
          <w:szCs w:val="32"/>
          <w:highlight w:val="none"/>
        </w:rPr>
        <w:t>残疾人福利性单位声明函</w:t>
      </w:r>
      <w:bookmarkEnd w:id="108"/>
      <w:bookmarkEnd w:id="109"/>
      <w:bookmarkEnd w:id="110"/>
      <w:bookmarkEnd w:id="111"/>
    </w:p>
    <w:p>
      <w:pPr>
        <w:widowControl/>
        <w:snapToGrid w:val="0"/>
        <w:spacing w:line="324" w:lineRule="auto"/>
        <w:ind w:firstLine="480" w:firstLineChars="200"/>
        <w:jc w:val="center"/>
        <w:rPr>
          <w:rFonts w:ascii="宋体"/>
          <w:color w:val="auto"/>
          <w:kern w:val="0"/>
          <w:sz w:val="24"/>
          <w:szCs w:val="24"/>
          <w:highlight w:val="none"/>
        </w:rPr>
      </w:pPr>
      <w:r>
        <w:rPr>
          <w:rFonts w:hint="eastAsia" w:ascii="宋体" w:hAnsi="宋体" w:cs="宋体"/>
          <w:color w:val="auto"/>
          <w:kern w:val="0"/>
          <w:sz w:val="24"/>
          <w:szCs w:val="24"/>
          <w:highlight w:val="none"/>
        </w:rPr>
        <w:t>【不属于残疾人福利性单位的无需填写、递交】</w:t>
      </w:r>
    </w:p>
    <w:p>
      <w:pPr>
        <w:spacing w:line="588" w:lineRule="exact"/>
        <w:rPr>
          <w:rFonts w:ascii="宋体"/>
          <w:b/>
          <w:bCs/>
          <w:color w:val="auto"/>
          <w:spacing w:val="6"/>
          <w:sz w:val="30"/>
          <w:szCs w:val="30"/>
          <w:highlight w:val="none"/>
        </w:rPr>
      </w:pPr>
    </w:p>
    <w:p>
      <w:pPr>
        <w:spacing w:line="588" w:lineRule="exact"/>
        <w:ind w:firstLine="480" w:firstLineChars="200"/>
        <w:rPr>
          <w:rFonts w:ascii="宋体"/>
          <w:color w:val="auto"/>
          <w:sz w:val="24"/>
          <w:szCs w:val="24"/>
          <w:highlight w:val="none"/>
        </w:rPr>
      </w:pPr>
      <w:r>
        <w:rPr>
          <w:rFonts w:hint="eastAsia" w:ascii="宋体" w:hAnsi="宋体" w:cs="宋体"/>
          <w:color w:val="auto"/>
          <w:sz w:val="24"/>
          <w:szCs w:val="24"/>
          <w:highlight w:val="none"/>
        </w:rPr>
        <w:t>本单位郑重声明，根据《财政部</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民政部</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中国残疾人联合会关于促进残疾人就业政府采购政策的通知》（财库〔</w:t>
      </w:r>
      <w:r>
        <w:rPr>
          <w:rFonts w:ascii="宋体" w:hAnsi="宋体" w:cs="宋体"/>
          <w:color w:val="auto"/>
          <w:sz w:val="24"/>
          <w:szCs w:val="24"/>
          <w:highlight w:val="none"/>
        </w:rPr>
        <w:t>2017</w:t>
      </w:r>
      <w:r>
        <w:rPr>
          <w:rFonts w:hint="eastAsia" w:ascii="宋体" w:hAnsi="宋体" w:cs="宋体"/>
          <w:color w:val="auto"/>
          <w:sz w:val="24"/>
          <w:szCs w:val="24"/>
          <w:highlight w:val="none"/>
        </w:rPr>
        <w:t>〕</w:t>
      </w:r>
      <w:r>
        <w:rPr>
          <w:rFonts w:ascii="宋体" w:hAnsi="宋体" w:cs="宋体"/>
          <w:color w:val="auto"/>
          <w:sz w:val="24"/>
          <w:szCs w:val="24"/>
          <w:highlight w:val="none"/>
        </w:rPr>
        <w:t xml:space="preserve"> 141</w:t>
      </w:r>
      <w:r>
        <w:rPr>
          <w:rFonts w:hint="eastAsia" w:ascii="宋体" w:hAnsi="宋体" w:cs="宋体"/>
          <w:color w:val="auto"/>
          <w:sz w:val="24"/>
          <w:szCs w:val="24"/>
          <w:highlight w:val="none"/>
        </w:rPr>
        <w:t>号）的规定，本单位为符合条件的残疾人福利性单位，且本单位参加</w:t>
      </w:r>
      <w:r>
        <w:rPr>
          <w:rFonts w:ascii="宋体" w:hAnsi="宋体" w:cs="宋体"/>
          <w:color w:val="auto"/>
          <w:sz w:val="24"/>
          <w:szCs w:val="24"/>
          <w:highlight w:val="none"/>
        </w:rPr>
        <w:t>______</w:t>
      </w:r>
      <w:r>
        <w:rPr>
          <w:rFonts w:hint="eastAsia" w:ascii="宋体" w:hAnsi="宋体" w:cs="宋体"/>
          <w:color w:val="auto"/>
          <w:sz w:val="24"/>
          <w:szCs w:val="24"/>
          <w:highlight w:val="none"/>
        </w:rPr>
        <w:t>单位的</w:t>
      </w:r>
      <w:r>
        <w:rPr>
          <w:rFonts w:ascii="宋体" w:hAnsi="宋体" w:cs="宋体"/>
          <w:color w:val="auto"/>
          <w:sz w:val="24"/>
          <w:szCs w:val="24"/>
          <w:highlight w:val="none"/>
        </w:rPr>
        <w:t>______</w:t>
      </w:r>
      <w:r>
        <w:rPr>
          <w:rFonts w:hint="eastAsia" w:ascii="宋体" w:hAnsi="宋体" w:cs="宋体"/>
          <w:color w:val="auto"/>
          <w:sz w:val="24"/>
          <w:szCs w:val="24"/>
          <w:highlight w:val="none"/>
        </w:rPr>
        <w:t>项目采购活动提供本单位服务，或者提供其他残疾人福利性单位提供的服务。本单位对上述声明的真实性负责。如有虚假，将依法承担相应责任。</w:t>
      </w:r>
    </w:p>
    <w:p>
      <w:pPr>
        <w:pStyle w:val="3"/>
        <w:rPr>
          <w:rFonts w:cs="Times New Roman"/>
          <w:color w:val="auto"/>
          <w:highlight w:val="none"/>
        </w:rPr>
      </w:pPr>
    </w:p>
    <w:p>
      <w:pPr>
        <w:pStyle w:val="4"/>
        <w:rPr>
          <w:color w:val="auto"/>
          <w:highlight w:val="none"/>
        </w:rPr>
      </w:pPr>
    </w:p>
    <w:p>
      <w:pPr>
        <w:spacing w:line="588" w:lineRule="exact"/>
        <w:rPr>
          <w:rFonts w:ascii="宋体"/>
          <w:color w:val="auto"/>
          <w:sz w:val="24"/>
          <w:szCs w:val="24"/>
          <w:highlight w:val="none"/>
        </w:rPr>
      </w:pPr>
    </w:p>
    <w:p>
      <w:pPr>
        <w:spacing w:line="360" w:lineRule="auto"/>
        <w:ind w:left="3780" w:leftChars="1800" w:firstLine="480" w:firstLineChars="200"/>
        <w:rPr>
          <w:rFonts w:ascii="宋体"/>
          <w:color w:val="auto"/>
          <w:sz w:val="24"/>
          <w:szCs w:val="24"/>
          <w:highlight w:val="none"/>
        </w:rPr>
      </w:pPr>
      <w:r>
        <w:rPr>
          <w:rFonts w:hint="eastAsia" w:ascii="宋体" w:hAnsi="宋体" w:cs="宋体"/>
          <w:color w:val="auto"/>
          <w:sz w:val="24"/>
          <w:szCs w:val="24"/>
          <w:highlight w:val="none"/>
        </w:rPr>
        <w:t>法定代表人签名（或签名章）：</w:t>
      </w:r>
      <w:r>
        <w:rPr>
          <w:rFonts w:ascii="宋体" w:hAnsi="宋体" w:cs="宋体"/>
          <w:color w:val="auto"/>
          <w:sz w:val="24"/>
          <w:szCs w:val="24"/>
          <w:highlight w:val="none"/>
        </w:rPr>
        <w:t xml:space="preserve">                       </w:t>
      </w:r>
    </w:p>
    <w:p>
      <w:pPr>
        <w:spacing w:line="360" w:lineRule="auto"/>
        <w:ind w:left="3780" w:leftChars="1800" w:firstLine="480" w:firstLineChars="200"/>
        <w:rPr>
          <w:rFonts w:ascii="宋体"/>
          <w:color w:val="auto"/>
          <w:sz w:val="24"/>
          <w:szCs w:val="24"/>
          <w:highlight w:val="none"/>
        </w:rPr>
      </w:pPr>
      <w:r>
        <w:rPr>
          <w:rFonts w:hint="eastAsia" w:ascii="宋体" w:hAnsi="宋体" w:cs="宋体"/>
          <w:color w:val="auto"/>
          <w:sz w:val="24"/>
          <w:szCs w:val="24"/>
          <w:highlight w:val="none"/>
        </w:rPr>
        <w:t>日</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期：</w:t>
      </w:r>
    </w:p>
    <w:p>
      <w:pPr>
        <w:spacing w:line="360" w:lineRule="auto"/>
        <w:ind w:left="3780" w:leftChars="1800" w:firstLine="480" w:firstLineChars="200"/>
        <w:rPr>
          <w:rFonts w:ascii="宋体"/>
          <w:color w:val="auto"/>
          <w:sz w:val="24"/>
          <w:szCs w:val="24"/>
          <w:highlight w:val="none"/>
        </w:rPr>
      </w:pPr>
      <w:r>
        <w:rPr>
          <w:rFonts w:hint="eastAsia" w:ascii="宋体" w:hAnsi="宋体" w:cs="宋体"/>
          <w:color w:val="auto"/>
          <w:sz w:val="24"/>
          <w:szCs w:val="24"/>
          <w:highlight w:val="none"/>
        </w:rPr>
        <w:t>供应商全称（公章）：</w:t>
      </w:r>
    </w:p>
    <w:p>
      <w:pPr>
        <w:rPr>
          <w:b/>
          <w:bCs/>
          <w:color w:val="auto"/>
          <w:sz w:val="24"/>
          <w:szCs w:val="24"/>
          <w:highlight w:val="none"/>
          <w:lang w:val="zh-CN"/>
        </w:rPr>
      </w:pPr>
      <w:bookmarkStart w:id="112" w:name="_Toc15966"/>
      <w:bookmarkStart w:id="113" w:name="_Toc24"/>
      <w:bookmarkStart w:id="114" w:name="_Toc2386"/>
      <w:bookmarkStart w:id="115" w:name="_Toc5441"/>
      <w:r>
        <w:rPr>
          <w:color w:val="auto"/>
          <w:sz w:val="24"/>
          <w:szCs w:val="24"/>
          <w:highlight w:val="none"/>
          <w:lang w:val="zh-CN"/>
        </w:rPr>
        <w:br w:type="page"/>
      </w:r>
      <w:r>
        <w:rPr>
          <w:rFonts w:hint="eastAsia" w:cs="宋体"/>
          <w:b/>
          <w:bCs/>
          <w:color w:val="auto"/>
          <w:sz w:val="24"/>
          <w:szCs w:val="24"/>
          <w:highlight w:val="none"/>
          <w:lang w:val="zh-CN"/>
        </w:rPr>
        <w:t>附件</w:t>
      </w:r>
      <w:r>
        <w:rPr>
          <w:rFonts w:hint="eastAsia" w:cs="宋体"/>
          <w:b/>
          <w:bCs/>
          <w:color w:val="auto"/>
          <w:sz w:val="24"/>
          <w:szCs w:val="24"/>
          <w:highlight w:val="none"/>
          <w:lang w:val="en-US" w:eastAsia="zh-CN"/>
        </w:rPr>
        <w:t>五</w:t>
      </w:r>
      <w:r>
        <w:rPr>
          <w:rFonts w:hint="eastAsia" w:cs="宋体"/>
          <w:b/>
          <w:bCs/>
          <w:color w:val="auto"/>
          <w:sz w:val="24"/>
          <w:szCs w:val="24"/>
          <w:highlight w:val="none"/>
        </w:rPr>
        <w:t>：</w:t>
      </w:r>
    </w:p>
    <w:p>
      <w:pPr>
        <w:spacing w:line="360" w:lineRule="auto"/>
        <w:jc w:val="center"/>
        <w:rPr>
          <w:rFonts w:ascii="宋体"/>
          <w:b/>
          <w:bCs/>
          <w:color w:val="auto"/>
          <w:sz w:val="32"/>
          <w:szCs w:val="32"/>
          <w:highlight w:val="none"/>
        </w:rPr>
      </w:pPr>
      <w:r>
        <w:rPr>
          <w:rFonts w:hint="eastAsia" w:ascii="宋体" w:hAnsi="宋体" w:cs="宋体"/>
          <w:b/>
          <w:bCs/>
          <w:color w:val="auto"/>
          <w:sz w:val="32"/>
          <w:szCs w:val="32"/>
          <w:highlight w:val="none"/>
        </w:rPr>
        <w:t>监狱企业证明文件</w:t>
      </w:r>
      <w:bookmarkEnd w:id="112"/>
      <w:bookmarkEnd w:id="113"/>
      <w:bookmarkEnd w:id="114"/>
      <w:bookmarkEnd w:id="115"/>
    </w:p>
    <w:p>
      <w:pPr>
        <w:widowControl/>
        <w:snapToGrid w:val="0"/>
        <w:spacing w:line="360" w:lineRule="auto"/>
        <w:jc w:val="center"/>
        <w:rPr>
          <w:rFonts w:ascii="宋体"/>
          <w:color w:val="auto"/>
          <w:kern w:val="0"/>
          <w:sz w:val="28"/>
          <w:szCs w:val="28"/>
          <w:highlight w:val="none"/>
        </w:rPr>
      </w:pPr>
      <w:r>
        <w:rPr>
          <w:rFonts w:hint="eastAsia" w:ascii="宋体" w:hAnsi="宋体" w:cs="宋体"/>
          <w:color w:val="auto"/>
          <w:kern w:val="0"/>
          <w:sz w:val="28"/>
          <w:szCs w:val="28"/>
          <w:highlight w:val="none"/>
        </w:rPr>
        <w:t>【不属于监狱企业的无需填写、递交】</w:t>
      </w:r>
    </w:p>
    <w:p>
      <w:pPr>
        <w:widowControl/>
        <w:snapToGrid w:val="0"/>
        <w:spacing w:line="324" w:lineRule="auto"/>
        <w:jc w:val="center"/>
        <w:rPr>
          <w:rFonts w:ascii="宋体"/>
          <w:color w:val="auto"/>
          <w:kern w:val="0"/>
          <w:sz w:val="24"/>
          <w:szCs w:val="24"/>
          <w:highlight w:val="none"/>
        </w:rPr>
      </w:pPr>
    </w:p>
    <w:p>
      <w:pPr>
        <w:spacing w:line="588" w:lineRule="exact"/>
        <w:ind w:firstLine="480" w:firstLineChars="200"/>
        <w:rPr>
          <w:rFonts w:ascii="宋体"/>
          <w:color w:val="auto"/>
          <w:sz w:val="24"/>
          <w:szCs w:val="24"/>
          <w:highlight w:val="none"/>
        </w:rPr>
      </w:pPr>
    </w:p>
    <w:p>
      <w:pPr>
        <w:adjustRightInd w:val="0"/>
        <w:snapToGrid w:val="0"/>
        <w:spacing w:beforeLines="50"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监狱企业需提供省级以上的监狱管理局、戒毒管理局（含新疆生产建设兵团）出具的属于监狱企业的证明文件。</w:t>
      </w:r>
      <w:r>
        <w:rPr>
          <w:rFonts w:ascii="宋体" w:hAnsi="宋体" w:cs="宋体"/>
          <w:color w:val="auto"/>
          <w:sz w:val="24"/>
          <w:szCs w:val="24"/>
          <w:highlight w:val="none"/>
        </w:rPr>
        <w:t xml:space="preserve">  </w:t>
      </w:r>
    </w:p>
    <w:p>
      <w:pPr>
        <w:pStyle w:val="3"/>
        <w:rPr>
          <w:rFonts w:cs="Times New Roman"/>
          <w:color w:val="auto"/>
          <w:highlight w:val="none"/>
        </w:rPr>
      </w:pPr>
    </w:p>
    <w:p>
      <w:pPr>
        <w:pStyle w:val="4"/>
        <w:rPr>
          <w:color w:val="auto"/>
          <w:highlight w:val="none"/>
        </w:rPr>
      </w:pPr>
    </w:p>
    <w:p>
      <w:pPr>
        <w:spacing w:line="360" w:lineRule="auto"/>
        <w:ind w:left="3780" w:leftChars="1800" w:firstLine="480" w:firstLineChars="200"/>
        <w:rPr>
          <w:rFonts w:ascii="宋体"/>
          <w:color w:val="auto"/>
          <w:sz w:val="24"/>
          <w:szCs w:val="24"/>
          <w:highlight w:val="none"/>
        </w:rPr>
      </w:pPr>
      <w:r>
        <w:rPr>
          <w:rFonts w:hint="eastAsia" w:ascii="宋体" w:hAnsi="宋体" w:cs="宋体"/>
          <w:color w:val="auto"/>
          <w:sz w:val="24"/>
          <w:szCs w:val="24"/>
          <w:highlight w:val="none"/>
        </w:rPr>
        <w:t>法定代表人签名（或签名章）：</w:t>
      </w:r>
      <w:r>
        <w:rPr>
          <w:rFonts w:ascii="宋体" w:hAnsi="宋体" w:cs="宋体"/>
          <w:color w:val="auto"/>
          <w:sz w:val="24"/>
          <w:szCs w:val="24"/>
          <w:highlight w:val="none"/>
        </w:rPr>
        <w:t xml:space="preserve">                       </w:t>
      </w:r>
    </w:p>
    <w:p>
      <w:pPr>
        <w:spacing w:line="360" w:lineRule="auto"/>
        <w:ind w:left="3780" w:leftChars="1800" w:firstLine="480" w:firstLineChars="200"/>
        <w:rPr>
          <w:rFonts w:ascii="宋体"/>
          <w:color w:val="auto"/>
          <w:sz w:val="24"/>
          <w:szCs w:val="24"/>
          <w:highlight w:val="none"/>
        </w:rPr>
      </w:pPr>
      <w:r>
        <w:rPr>
          <w:rFonts w:hint="eastAsia" w:ascii="宋体" w:hAnsi="宋体" w:cs="宋体"/>
          <w:color w:val="auto"/>
          <w:sz w:val="24"/>
          <w:szCs w:val="24"/>
          <w:highlight w:val="none"/>
        </w:rPr>
        <w:t>日</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期：</w:t>
      </w:r>
    </w:p>
    <w:p>
      <w:pPr>
        <w:spacing w:line="360" w:lineRule="auto"/>
        <w:ind w:left="3780" w:leftChars="1800" w:firstLine="480" w:firstLineChars="200"/>
        <w:rPr>
          <w:rFonts w:ascii="宋体"/>
          <w:color w:val="auto"/>
          <w:sz w:val="24"/>
          <w:szCs w:val="24"/>
          <w:highlight w:val="none"/>
        </w:rPr>
      </w:pPr>
      <w:r>
        <w:rPr>
          <w:rFonts w:hint="eastAsia" w:ascii="宋体" w:hAnsi="宋体" w:cs="宋体"/>
          <w:color w:val="auto"/>
          <w:sz w:val="24"/>
          <w:szCs w:val="24"/>
          <w:highlight w:val="none"/>
        </w:rPr>
        <w:t>供应商全称（公章）：</w:t>
      </w:r>
    </w:p>
    <w:p>
      <w:pPr>
        <w:pStyle w:val="25"/>
        <w:ind w:firstLine="0" w:firstLineChars="0"/>
        <w:rPr>
          <w:color w:val="auto"/>
          <w:highlight w:val="none"/>
        </w:rPr>
      </w:pPr>
    </w:p>
    <w:p>
      <w:pPr>
        <w:rPr>
          <w:rFonts w:hint="eastAsia" w:ascii="宋体" w:hAnsi="宋体" w:cs="宋体"/>
          <w:b/>
          <w:bCs/>
          <w:color w:val="auto"/>
          <w:kern w:val="0"/>
          <w:sz w:val="36"/>
          <w:szCs w:val="36"/>
          <w:highlight w:val="none"/>
        </w:rPr>
      </w:pPr>
      <w:r>
        <w:rPr>
          <w:rFonts w:hint="eastAsia" w:ascii="宋体" w:hAnsi="宋体" w:cs="宋体"/>
          <w:b/>
          <w:bCs/>
          <w:color w:val="auto"/>
          <w:kern w:val="0"/>
          <w:sz w:val="36"/>
          <w:szCs w:val="36"/>
          <w:highlight w:val="none"/>
        </w:rPr>
        <w:br w:type="page"/>
      </w:r>
    </w:p>
    <w:p>
      <w:pPr>
        <w:rPr>
          <w:b/>
          <w:bCs/>
          <w:color w:val="auto"/>
          <w:sz w:val="24"/>
          <w:szCs w:val="18"/>
          <w:highlight w:val="none"/>
          <w:lang w:val="zh-CN"/>
        </w:rPr>
      </w:pPr>
      <w:r>
        <w:rPr>
          <w:rFonts w:hint="eastAsia"/>
          <w:b/>
          <w:bCs/>
          <w:color w:val="auto"/>
          <w:sz w:val="24"/>
          <w:szCs w:val="18"/>
          <w:highlight w:val="none"/>
          <w:lang w:val="zh-CN"/>
        </w:rPr>
        <w:t>附件</w:t>
      </w:r>
      <w:r>
        <w:rPr>
          <w:rFonts w:hint="eastAsia"/>
          <w:b/>
          <w:bCs/>
          <w:color w:val="auto"/>
          <w:sz w:val="24"/>
          <w:szCs w:val="18"/>
          <w:highlight w:val="none"/>
          <w:lang w:val="en-US" w:eastAsia="zh-CN"/>
        </w:rPr>
        <w:t>六</w:t>
      </w:r>
      <w:r>
        <w:rPr>
          <w:rFonts w:hint="eastAsia"/>
          <w:b/>
          <w:bCs/>
          <w:color w:val="auto"/>
          <w:sz w:val="24"/>
          <w:szCs w:val="18"/>
          <w:highlight w:val="none"/>
        </w:rPr>
        <w:t>：</w:t>
      </w:r>
    </w:p>
    <w:p>
      <w:pPr>
        <w:spacing w:line="360" w:lineRule="auto"/>
        <w:jc w:val="center"/>
        <w:rPr>
          <w:rFonts w:ascii="宋体" w:hAnsi="宋体" w:cs="宋体"/>
          <w:b/>
          <w:bCs/>
          <w:color w:val="auto"/>
          <w:sz w:val="32"/>
          <w:szCs w:val="32"/>
          <w:highlight w:val="none"/>
        </w:rPr>
      </w:pPr>
      <w:r>
        <w:rPr>
          <w:rFonts w:hint="eastAsia" w:ascii="宋体" w:hAnsi="宋体" w:cs="宋体"/>
          <w:b/>
          <w:bCs/>
          <w:color w:val="auto"/>
          <w:sz w:val="32"/>
          <w:szCs w:val="32"/>
          <w:highlight w:val="none"/>
          <w:lang w:val="en-US" w:eastAsia="zh-CN"/>
        </w:rPr>
        <w:t>联合体协议书</w:t>
      </w:r>
    </w:p>
    <w:p>
      <w:pPr>
        <w:widowControl/>
        <w:snapToGrid w:val="0"/>
        <w:spacing w:line="324" w:lineRule="auto"/>
        <w:jc w:val="center"/>
        <w:rPr>
          <w:rFonts w:hint="eastAsia" w:ascii="宋体" w:hAnsi="宋体" w:eastAsia="宋体" w:cs="宋体"/>
          <w:color w:val="auto"/>
          <w:kern w:val="0"/>
          <w:sz w:val="24"/>
          <w:highlight w:val="none"/>
          <w:lang w:eastAsia="zh-CN"/>
        </w:rPr>
      </w:pPr>
    </w:p>
    <w:p>
      <w:pPr>
        <w:adjustRightInd w:val="0"/>
        <w:snapToGrid w:val="0"/>
        <w:spacing w:before="156" w:beforeLines="50"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lang w:val="en-US" w:eastAsia="zh-CN"/>
        </w:rPr>
        <w:t>与</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lang w:val="en-US" w:eastAsia="zh-CN"/>
        </w:rPr>
        <w:t>自愿组成联合体，参加</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lang w:val="en-US" w:eastAsia="zh-CN"/>
        </w:rPr>
        <w:t>项目投标。现就有关事宜订立协议如下:</w:t>
      </w:r>
    </w:p>
    <w:p>
      <w:pPr>
        <w:adjustRightInd w:val="0"/>
        <w:snapToGrid w:val="0"/>
        <w:spacing w:before="156" w:beforeLines="50"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lang w:val="en-US" w:eastAsia="zh-CN"/>
        </w:rPr>
        <w:t>为联合体牵头人</w:t>
      </w:r>
    </w:p>
    <w:p>
      <w:pPr>
        <w:adjustRightInd w:val="0"/>
        <w:snapToGrid w:val="0"/>
        <w:spacing w:before="156" w:beforeLines="50"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lang w:val="en-US" w:eastAsia="zh-CN"/>
        </w:rPr>
        <w:t>为联合体成员</w:t>
      </w:r>
    </w:p>
    <w:p>
      <w:pPr>
        <w:adjustRightInd w:val="0"/>
        <w:snapToGrid w:val="0"/>
        <w:spacing w:before="156" w:beforeLines="50"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2.联合体内部有关事项规定如下:</w:t>
      </w:r>
    </w:p>
    <w:p>
      <w:pPr>
        <w:adjustRightInd w:val="0"/>
        <w:snapToGrid w:val="0"/>
        <w:spacing w:before="156" w:beforeLines="50"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(1)联合体由牵头人负责与采购人联系。</w:t>
      </w:r>
    </w:p>
    <w:p>
      <w:pPr>
        <w:adjustRightInd w:val="0"/>
        <w:snapToGrid w:val="0"/>
        <w:spacing w:before="156" w:beforeLines="50"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(2)投标工作由联合体牵头人负责，由双方组成的联合体组织具体实施，联合体牵头人代表联合体办理投标事宜，联合体牵头人在投标文件中的所有承诺均代表了联合体各成员。</w:t>
      </w:r>
    </w:p>
    <w:p>
      <w:pPr>
        <w:adjustRightInd w:val="0"/>
        <w:snapToGrid w:val="0"/>
        <w:spacing w:before="156" w:beforeLines="50"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 联合体将严格按照招标文件的各项要求，递交投标文件，切实执行一切合同文件，共同承担合同规定的一切义务和责任，同时按照内部职责的划分，承担自身所负的责任和风险，在法律内承担连带责任。</w:t>
      </w:r>
    </w:p>
    <w:p>
      <w:pPr>
        <w:adjustRightInd w:val="0"/>
        <w:snapToGrid w:val="0"/>
        <w:spacing w:before="156" w:beforeLines="50"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(4) 如中标，联合体内部将遵守以下规定:</w:t>
      </w:r>
    </w:p>
    <w:p>
      <w:pPr>
        <w:adjustRightInd w:val="0"/>
        <w:snapToGrid w:val="0"/>
        <w:spacing w:before="156" w:beforeLines="50"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a.联合体牵头人和成员共同与采购人签订合同书，并就中标项目向采购人负责有连带的和各自的法律责任；</w:t>
      </w:r>
    </w:p>
    <w:p>
      <w:pPr>
        <w:adjustRightInd w:val="0"/>
        <w:snapToGrid w:val="0"/>
        <w:spacing w:before="156" w:beforeLines="50"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b.联合体牵头人代表联合体成员承担责任和接受采购人的指令、指示和通知，并且在整个合同实施过程中的全部事宜均由联合体牵头人负责；</w:t>
      </w:r>
    </w:p>
    <w:p>
      <w:pPr>
        <w:adjustRightInd w:val="0"/>
        <w:snapToGrid w:val="0"/>
        <w:spacing w:before="156" w:beforeLines="50"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(5) 投标工作和联合体在中标后项目实施过程中的有关费用按各自承担的工作量分摊。</w:t>
      </w:r>
    </w:p>
    <w:p>
      <w:pPr>
        <w:adjustRightInd w:val="0"/>
        <w:snapToGrid w:val="0"/>
        <w:spacing w:before="156" w:beforeLines="50"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 本协议书自签署之日起生效，在合同规定的期限之后自行失效:如中标后，联合体内部另有协议的，联合体牵头人应将该协议书送交采购人。</w:t>
      </w:r>
    </w:p>
    <w:p>
      <w:pPr>
        <w:adjustRightInd w:val="0"/>
        <w:snapToGrid w:val="0"/>
        <w:spacing w:before="156" w:beforeLines="50"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4.本协议书正本一式三份，送采购人一份，联合体成员各一份。</w:t>
      </w:r>
    </w:p>
    <w:p>
      <w:pPr>
        <w:adjustRightInd w:val="0"/>
        <w:snapToGrid w:val="0"/>
        <w:spacing w:before="156" w:beforeLines="50" w:line="360" w:lineRule="auto"/>
        <w:ind w:firstLine="480" w:firstLineChars="200"/>
        <w:rPr>
          <w:rFonts w:hint="eastAsia" w:ascii="宋体" w:hAnsi="宋体" w:eastAsia="宋体" w:cs="宋体"/>
          <w:color w:val="auto"/>
          <w:sz w:val="24"/>
          <w:highlight w:val="none"/>
          <w:lang w:val="en-US" w:eastAsia="zh-CN"/>
        </w:rPr>
      </w:pPr>
    </w:p>
    <w:p>
      <w:pPr>
        <w:adjustRightInd w:val="0"/>
        <w:snapToGrid w:val="0"/>
        <w:spacing w:before="156" w:beforeLines="50" w:line="360" w:lineRule="auto"/>
        <w:ind w:firstLine="480" w:firstLineChars="200"/>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 xml:space="preserve">牵头人公司：（盖章）               </w:t>
      </w:r>
    </w:p>
    <w:p>
      <w:pPr>
        <w:adjustRightInd w:val="0"/>
        <w:snapToGrid w:val="0"/>
        <w:spacing w:before="156" w:beforeLines="50"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法定代表人（或授权委托人）签字：</w:t>
      </w:r>
    </w:p>
    <w:p>
      <w:pPr>
        <w:adjustRightInd w:val="0"/>
        <w:snapToGrid w:val="0"/>
        <w:spacing w:before="156" w:beforeLines="50" w:line="360" w:lineRule="auto"/>
        <w:ind w:firstLine="480" w:firstLineChars="200"/>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2022年  月  日</w:t>
      </w:r>
    </w:p>
    <w:p>
      <w:pPr>
        <w:adjustRightInd w:val="0"/>
        <w:snapToGrid w:val="0"/>
        <w:spacing w:before="156" w:beforeLines="50" w:line="360" w:lineRule="auto"/>
        <w:ind w:firstLine="480" w:firstLineChars="200"/>
        <w:rPr>
          <w:rFonts w:hint="eastAsia" w:ascii="宋体" w:hAnsi="宋体" w:eastAsia="宋体" w:cs="宋体"/>
          <w:color w:val="auto"/>
          <w:sz w:val="24"/>
          <w:highlight w:val="none"/>
          <w:lang w:val="en-US" w:eastAsia="zh-CN"/>
        </w:rPr>
      </w:pPr>
    </w:p>
    <w:p>
      <w:pPr>
        <w:adjustRightInd w:val="0"/>
        <w:snapToGrid w:val="0"/>
        <w:spacing w:before="156" w:beforeLines="50" w:line="360" w:lineRule="auto"/>
        <w:ind w:firstLine="480" w:firstLineChars="200"/>
        <w:rPr>
          <w:rFonts w:hint="eastAsia" w:ascii="宋体" w:hAnsi="宋体" w:eastAsia="宋体" w:cs="宋体"/>
          <w:color w:val="auto"/>
          <w:sz w:val="24"/>
          <w:highlight w:val="none"/>
          <w:lang w:val="en-US" w:eastAsia="zh-CN"/>
        </w:rPr>
      </w:pPr>
    </w:p>
    <w:p>
      <w:pPr>
        <w:adjustRightInd w:val="0"/>
        <w:snapToGrid w:val="0"/>
        <w:spacing w:before="156" w:beforeLines="50" w:line="360" w:lineRule="auto"/>
        <w:ind w:firstLine="480" w:firstLineChars="200"/>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 xml:space="preserve">联合体成员公司：（盖章） </w:t>
      </w:r>
    </w:p>
    <w:p>
      <w:pPr>
        <w:adjustRightInd w:val="0"/>
        <w:snapToGrid w:val="0"/>
        <w:spacing w:before="156" w:beforeLines="50"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法定代表人（或授权委托人）签字：</w:t>
      </w:r>
    </w:p>
    <w:p>
      <w:pPr>
        <w:adjustRightInd w:val="0"/>
        <w:snapToGrid w:val="0"/>
        <w:spacing w:before="156" w:beforeLines="50"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2022年  月  日</w:t>
      </w:r>
    </w:p>
    <w:p>
      <w:pPr>
        <w:rPr>
          <w:rFonts w:hint="eastAsia" w:ascii="宋体" w:hAnsi="宋体" w:cs="宋体"/>
          <w:b/>
          <w:bCs/>
          <w:color w:val="auto"/>
          <w:kern w:val="0"/>
          <w:sz w:val="36"/>
          <w:szCs w:val="36"/>
          <w:highlight w:val="none"/>
        </w:rPr>
      </w:pPr>
      <w:r>
        <w:rPr>
          <w:rFonts w:hint="eastAsia" w:ascii="宋体" w:hAnsi="宋体" w:cs="宋体"/>
          <w:b/>
          <w:bCs/>
          <w:color w:val="auto"/>
          <w:kern w:val="0"/>
          <w:sz w:val="36"/>
          <w:szCs w:val="36"/>
          <w:highlight w:val="none"/>
        </w:rPr>
        <w:br w:type="page"/>
      </w:r>
    </w:p>
    <w:p>
      <w:pPr>
        <w:spacing w:line="360" w:lineRule="auto"/>
        <w:jc w:val="center"/>
        <w:rPr>
          <w:rFonts w:ascii="宋体"/>
          <w:b/>
          <w:bCs/>
          <w:color w:val="auto"/>
          <w:kern w:val="0"/>
          <w:sz w:val="36"/>
          <w:szCs w:val="36"/>
          <w:highlight w:val="none"/>
        </w:rPr>
      </w:pPr>
      <w:r>
        <w:rPr>
          <w:rFonts w:hint="eastAsia" w:ascii="宋体" w:hAnsi="宋体" w:cs="宋体"/>
          <w:b/>
          <w:bCs/>
          <w:color w:val="auto"/>
          <w:kern w:val="0"/>
          <w:sz w:val="36"/>
          <w:szCs w:val="36"/>
          <w:highlight w:val="none"/>
        </w:rPr>
        <w:t>商务技术文件</w:t>
      </w:r>
    </w:p>
    <w:p>
      <w:pPr>
        <w:spacing w:line="360" w:lineRule="auto"/>
        <w:jc w:val="center"/>
        <w:rPr>
          <w:rFonts w:ascii="宋体"/>
          <w:b/>
          <w:bCs/>
          <w:color w:val="auto"/>
          <w:kern w:val="0"/>
          <w:sz w:val="36"/>
          <w:szCs w:val="36"/>
          <w:highlight w:val="none"/>
        </w:rPr>
      </w:pPr>
    </w:p>
    <w:p>
      <w:pPr>
        <w:spacing w:line="360" w:lineRule="auto"/>
        <w:jc w:val="center"/>
        <w:rPr>
          <w:rFonts w:ascii="宋体"/>
          <w:b/>
          <w:bCs/>
          <w:color w:val="auto"/>
          <w:kern w:val="0"/>
          <w:sz w:val="36"/>
          <w:szCs w:val="36"/>
          <w:highlight w:val="none"/>
        </w:rPr>
      </w:pPr>
      <w:r>
        <w:rPr>
          <w:rFonts w:hint="eastAsia" w:ascii="宋体" w:hAnsi="宋体" w:cs="宋体"/>
          <w:b/>
          <w:bCs/>
          <w:color w:val="auto"/>
          <w:kern w:val="0"/>
          <w:sz w:val="36"/>
          <w:szCs w:val="36"/>
          <w:highlight w:val="none"/>
        </w:rPr>
        <w:t>目录</w:t>
      </w:r>
    </w:p>
    <w:p>
      <w:pPr>
        <w:pStyle w:val="12"/>
        <w:ind w:left="426" w:firstLine="486"/>
        <w:rPr>
          <w:rFonts w:cs="Times New Roman"/>
          <w:color w:val="auto"/>
          <w:highlight w:val="none"/>
        </w:rPr>
      </w:pPr>
    </w:p>
    <w:p>
      <w:pPr>
        <w:pStyle w:val="54"/>
        <w:numPr>
          <w:ilvl w:val="0"/>
          <w:numId w:val="22"/>
        </w:numPr>
        <w:spacing w:before="0" w:line="336" w:lineRule="auto"/>
        <w:ind w:left="0" w:leftChars="0" w:firstLine="480" w:firstLineChars="200"/>
        <w:rPr>
          <w:rFonts w:ascii="宋体"/>
          <w:color w:val="auto"/>
          <w:highlight w:val="none"/>
        </w:rPr>
      </w:pPr>
      <w:r>
        <w:rPr>
          <w:rFonts w:hint="eastAsia" w:ascii="宋体" w:hAnsi="宋体" w:cs="宋体"/>
          <w:color w:val="auto"/>
          <w:highlight w:val="none"/>
        </w:rPr>
        <w:t>评分对应表（格式见附件，主要用于评委对应评分内容）</w:t>
      </w:r>
    </w:p>
    <w:p>
      <w:pPr>
        <w:pStyle w:val="54"/>
        <w:numPr>
          <w:ilvl w:val="0"/>
          <w:numId w:val="22"/>
        </w:numPr>
        <w:spacing w:before="0" w:line="336" w:lineRule="auto"/>
        <w:ind w:left="0" w:leftChars="0" w:firstLine="480" w:firstLineChars="200"/>
        <w:rPr>
          <w:rFonts w:ascii="宋体"/>
          <w:color w:val="auto"/>
          <w:highlight w:val="none"/>
        </w:rPr>
      </w:pPr>
      <w:r>
        <w:rPr>
          <w:rFonts w:hint="eastAsia" w:ascii="宋体" w:hAnsi="宋体" w:cs="宋体"/>
          <w:color w:val="auto"/>
          <w:highlight w:val="none"/>
        </w:rPr>
        <w:t>供应商商务技术文件中资信分自评表（格式见附件）；</w:t>
      </w:r>
    </w:p>
    <w:p>
      <w:pPr>
        <w:pStyle w:val="54"/>
        <w:numPr>
          <w:ilvl w:val="0"/>
          <w:numId w:val="22"/>
        </w:numPr>
        <w:spacing w:before="0" w:line="336" w:lineRule="auto"/>
        <w:ind w:left="0" w:leftChars="0" w:firstLine="480" w:firstLineChars="200"/>
        <w:rPr>
          <w:rFonts w:ascii="宋体"/>
          <w:color w:val="auto"/>
          <w:highlight w:val="none"/>
        </w:rPr>
      </w:pPr>
      <w:r>
        <w:rPr>
          <w:rFonts w:hint="eastAsia" w:ascii="宋体" w:hAnsi="宋体" w:cs="宋体"/>
          <w:color w:val="auto"/>
          <w:highlight w:val="none"/>
        </w:rPr>
        <w:t>磋商项目明细清单（格式见附件）；</w:t>
      </w:r>
    </w:p>
    <w:p>
      <w:pPr>
        <w:pStyle w:val="54"/>
        <w:numPr>
          <w:ilvl w:val="0"/>
          <w:numId w:val="22"/>
        </w:numPr>
        <w:spacing w:before="0" w:line="336" w:lineRule="auto"/>
        <w:ind w:left="0" w:leftChars="0" w:firstLine="480" w:firstLineChars="200"/>
        <w:rPr>
          <w:rFonts w:ascii="宋体"/>
          <w:color w:val="auto"/>
          <w:highlight w:val="none"/>
        </w:rPr>
      </w:pPr>
      <w:r>
        <w:rPr>
          <w:rFonts w:hint="eastAsia" w:ascii="宋体" w:hAnsi="宋体" w:cs="宋体"/>
          <w:color w:val="auto"/>
          <w:highlight w:val="none"/>
        </w:rPr>
        <w:t>技术响应及建议表（格式见附件）；</w:t>
      </w:r>
    </w:p>
    <w:p>
      <w:pPr>
        <w:pStyle w:val="54"/>
        <w:numPr>
          <w:ilvl w:val="0"/>
          <w:numId w:val="22"/>
        </w:numPr>
        <w:spacing w:before="0" w:line="336" w:lineRule="auto"/>
        <w:ind w:left="0" w:leftChars="0" w:firstLine="480" w:firstLineChars="200"/>
        <w:rPr>
          <w:rFonts w:ascii="宋体" w:hAnsi="宋体" w:cs="宋体"/>
          <w:color w:val="auto"/>
          <w:highlight w:val="none"/>
        </w:rPr>
      </w:pPr>
      <w:r>
        <w:rPr>
          <w:rFonts w:hint="eastAsia" w:ascii="宋体" w:hAnsi="宋体" w:cs="宋体"/>
          <w:color w:val="auto"/>
          <w:highlight w:val="none"/>
        </w:rPr>
        <w:t>商务响应表（格式见附件）；</w:t>
      </w:r>
    </w:p>
    <w:p>
      <w:pPr>
        <w:pStyle w:val="54"/>
        <w:numPr>
          <w:ilvl w:val="0"/>
          <w:numId w:val="22"/>
        </w:numPr>
        <w:spacing w:before="0" w:line="336" w:lineRule="auto"/>
        <w:ind w:left="0" w:leftChars="0"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项目组人员清单</w:t>
      </w:r>
      <w:r>
        <w:rPr>
          <w:rFonts w:hint="eastAsia" w:ascii="宋体" w:hAnsi="宋体" w:cs="宋体"/>
          <w:color w:val="auto"/>
          <w:highlight w:val="none"/>
        </w:rPr>
        <w:t>（格式见附件）</w:t>
      </w:r>
      <w:r>
        <w:rPr>
          <w:rFonts w:hint="eastAsia" w:ascii="宋体" w:hAnsi="宋体" w:cs="宋体"/>
          <w:color w:val="auto"/>
          <w:highlight w:val="none"/>
          <w:lang w:eastAsia="zh-CN"/>
        </w:rPr>
        <w:t>；</w:t>
      </w:r>
    </w:p>
    <w:p>
      <w:pPr>
        <w:pStyle w:val="54"/>
        <w:numPr>
          <w:ilvl w:val="0"/>
          <w:numId w:val="22"/>
        </w:numPr>
        <w:spacing w:before="0" w:line="336" w:lineRule="auto"/>
        <w:ind w:left="0" w:leftChars="0"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项目方案及工作思路；</w:t>
      </w:r>
    </w:p>
    <w:p>
      <w:pPr>
        <w:pStyle w:val="54"/>
        <w:numPr>
          <w:ilvl w:val="0"/>
          <w:numId w:val="22"/>
        </w:numPr>
        <w:spacing w:before="0" w:line="336" w:lineRule="auto"/>
        <w:ind w:left="0" w:leftChars="0"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项目进度计划；</w:t>
      </w:r>
    </w:p>
    <w:p>
      <w:pPr>
        <w:pStyle w:val="54"/>
        <w:numPr>
          <w:ilvl w:val="0"/>
          <w:numId w:val="22"/>
        </w:numPr>
        <w:spacing w:before="0" w:line="336" w:lineRule="auto"/>
        <w:ind w:left="0" w:leftChars="0"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项目质量管理；</w:t>
      </w:r>
    </w:p>
    <w:p>
      <w:pPr>
        <w:pStyle w:val="54"/>
        <w:numPr>
          <w:ilvl w:val="0"/>
          <w:numId w:val="22"/>
        </w:numPr>
        <w:spacing w:before="0" w:line="336" w:lineRule="auto"/>
        <w:ind w:left="0" w:leftChars="0"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服务承诺；</w:t>
      </w:r>
    </w:p>
    <w:p>
      <w:pPr>
        <w:pStyle w:val="54"/>
        <w:numPr>
          <w:ilvl w:val="0"/>
          <w:numId w:val="22"/>
        </w:numPr>
        <w:spacing w:before="0" w:line="336" w:lineRule="auto"/>
        <w:ind w:left="0" w:leftChars="0"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成果编制要求；</w:t>
      </w:r>
    </w:p>
    <w:p>
      <w:pPr>
        <w:pStyle w:val="54"/>
        <w:numPr>
          <w:ilvl w:val="0"/>
          <w:numId w:val="22"/>
        </w:numPr>
        <w:spacing w:before="0" w:line="336" w:lineRule="auto"/>
        <w:ind w:left="0" w:leftChars="0"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人员配置；</w:t>
      </w:r>
    </w:p>
    <w:p>
      <w:pPr>
        <w:pStyle w:val="54"/>
        <w:numPr>
          <w:ilvl w:val="0"/>
          <w:numId w:val="22"/>
        </w:numPr>
        <w:spacing w:before="0" w:line="336" w:lineRule="auto"/>
        <w:ind w:left="0" w:leftChars="0"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同类业绩；</w:t>
      </w:r>
    </w:p>
    <w:p>
      <w:pPr>
        <w:pStyle w:val="54"/>
        <w:numPr>
          <w:ilvl w:val="0"/>
          <w:numId w:val="22"/>
        </w:numPr>
        <w:spacing w:before="0" w:line="336" w:lineRule="auto"/>
        <w:ind w:left="0" w:leftChars="0"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企业资质</w:t>
      </w:r>
    </w:p>
    <w:p>
      <w:pPr>
        <w:pStyle w:val="54"/>
        <w:numPr>
          <w:ilvl w:val="0"/>
          <w:numId w:val="22"/>
        </w:numPr>
        <w:spacing w:before="0" w:line="336" w:lineRule="auto"/>
        <w:ind w:left="0" w:leftChars="0"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认证证书；</w:t>
      </w:r>
    </w:p>
    <w:p>
      <w:pPr>
        <w:pStyle w:val="54"/>
        <w:numPr>
          <w:ilvl w:val="0"/>
          <w:numId w:val="22"/>
        </w:numPr>
        <w:spacing w:before="0" w:line="336" w:lineRule="auto"/>
        <w:ind w:left="0" w:leftChars="0"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人员证书；</w:t>
      </w:r>
    </w:p>
    <w:p>
      <w:pPr>
        <w:pStyle w:val="54"/>
        <w:numPr>
          <w:ilvl w:val="0"/>
          <w:numId w:val="22"/>
        </w:numPr>
        <w:spacing w:before="0" w:line="336" w:lineRule="auto"/>
        <w:ind w:left="0" w:leftChars="0"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 xml:space="preserve">投标方认为需要的其他文件资料。 </w:t>
      </w:r>
    </w:p>
    <w:p>
      <w:pPr>
        <w:spacing w:line="360" w:lineRule="auto"/>
        <w:ind w:firstLine="480" w:firstLineChars="200"/>
        <w:rPr>
          <w:rFonts w:ascii="宋体"/>
          <w:color w:val="auto"/>
          <w:sz w:val="24"/>
          <w:szCs w:val="24"/>
          <w:highlight w:val="none"/>
        </w:rPr>
      </w:pPr>
    </w:p>
    <w:p>
      <w:pPr>
        <w:pStyle w:val="12"/>
        <w:ind w:firstLine="566"/>
        <w:rPr>
          <w:rFonts w:cs="Times New Roman"/>
          <w:color w:val="auto"/>
          <w:sz w:val="28"/>
          <w:szCs w:val="28"/>
          <w:highlight w:val="none"/>
        </w:rPr>
      </w:pPr>
    </w:p>
    <w:p>
      <w:pPr>
        <w:pStyle w:val="12"/>
        <w:ind w:firstLine="566"/>
        <w:rPr>
          <w:rFonts w:cs="Times New Roman"/>
          <w:color w:val="auto"/>
          <w:sz w:val="28"/>
          <w:szCs w:val="28"/>
          <w:highlight w:val="none"/>
        </w:rPr>
      </w:pPr>
    </w:p>
    <w:p>
      <w:pPr>
        <w:rPr>
          <w:rFonts w:ascii="宋体"/>
          <w:color w:val="auto"/>
          <w:sz w:val="28"/>
          <w:szCs w:val="28"/>
          <w:highlight w:val="none"/>
        </w:rPr>
      </w:pPr>
      <w:r>
        <w:rPr>
          <w:rFonts w:ascii="宋体"/>
          <w:color w:val="auto"/>
          <w:sz w:val="28"/>
          <w:szCs w:val="28"/>
          <w:highlight w:val="none"/>
        </w:rPr>
        <w:br w:type="page"/>
      </w:r>
    </w:p>
    <w:p>
      <w:pPr>
        <w:snapToGrid w:val="0"/>
        <w:spacing w:before="50" w:after="50"/>
        <w:jc w:val="left"/>
        <w:rPr>
          <w:rFonts w:ascii="宋体"/>
          <w:b/>
          <w:bCs/>
          <w:color w:val="auto"/>
          <w:sz w:val="24"/>
          <w:szCs w:val="24"/>
          <w:highlight w:val="none"/>
          <w:lang w:val="zh-CN"/>
        </w:rPr>
      </w:pPr>
      <w:bookmarkStart w:id="116" w:name="_Toc10131"/>
      <w:r>
        <w:rPr>
          <w:rFonts w:hint="eastAsia" w:ascii="宋体" w:hAnsi="宋体" w:cs="宋体"/>
          <w:b/>
          <w:bCs/>
          <w:color w:val="auto"/>
          <w:sz w:val="24"/>
          <w:szCs w:val="24"/>
          <w:highlight w:val="none"/>
          <w:lang w:val="zh-CN"/>
        </w:rPr>
        <w:t>附件</w:t>
      </w:r>
      <w:r>
        <w:rPr>
          <w:rFonts w:hint="eastAsia" w:ascii="宋体" w:hAnsi="宋体" w:cs="宋体"/>
          <w:b/>
          <w:bCs/>
          <w:color w:val="auto"/>
          <w:sz w:val="24"/>
          <w:szCs w:val="24"/>
          <w:highlight w:val="none"/>
          <w:lang w:val="en-US" w:eastAsia="zh-CN"/>
        </w:rPr>
        <w:t>七</w:t>
      </w:r>
      <w:r>
        <w:rPr>
          <w:rFonts w:hint="eastAsia" w:ascii="宋体" w:hAnsi="宋体" w:cs="宋体"/>
          <w:b/>
          <w:bCs/>
          <w:color w:val="auto"/>
          <w:sz w:val="24"/>
          <w:szCs w:val="24"/>
          <w:highlight w:val="none"/>
          <w:lang w:val="zh-CN"/>
        </w:rPr>
        <w:t>：</w:t>
      </w:r>
    </w:p>
    <w:p>
      <w:pPr>
        <w:spacing w:line="360" w:lineRule="auto"/>
        <w:jc w:val="center"/>
        <w:rPr>
          <w:rFonts w:ascii="宋体"/>
          <w:b/>
          <w:bCs/>
          <w:color w:val="auto"/>
          <w:sz w:val="32"/>
          <w:szCs w:val="32"/>
          <w:highlight w:val="none"/>
        </w:rPr>
      </w:pPr>
      <w:r>
        <w:rPr>
          <w:rFonts w:hint="eastAsia" w:ascii="宋体" w:hAnsi="宋体" w:cs="宋体"/>
          <w:b/>
          <w:bCs/>
          <w:color w:val="auto"/>
          <w:sz w:val="32"/>
          <w:szCs w:val="32"/>
          <w:highlight w:val="none"/>
        </w:rPr>
        <w:t>评分对应表</w:t>
      </w:r>
    </w:p>
    <w:p>
      <w:pPr>
        <w:snapToGrid w:val="0"/>
        <w:spacing w:before="50"/>
        <w:jc w:val="center"/>
        <w:rPr>
          <w:rFonts w:ascii="宋体"/>
          <w:b/>
          <w:bCs/>
          <w:color w:val="auto"/>
          <w:sz w:val="32"/>
          <w:szCs w:val="32"/>
          <w:highlight w:val="none"/>
        </w:rPr>
      </w:pPr>
    </w:p>
    <w:p>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项目名称：</w:t>
      </w:r>
    </w:p>
    <w:p>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采购编号：</w:t>
      </w:r>
    </w:p>
    <w:tbl>
      <w:tblPr>
        <w:tblStyle w:val="27"/>
        <w:tblW w:w="892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888"/>
        <w:gridCol w:w="3060"/>
        <w:gridCol w:w="197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3888" w:type="dxa"/>
            <w:tcBorders>
              <w:top w:val="single" w:color="auto" w:sz="4" w:space="0"/>
              <w:bottom w:val="single" w:color="auto" w:sz="4" w:space="0"/>
              <w:right w:val="single" w:color="auto" w:sz="4" w:space="0"/>
            </w:tcBorders>
            <w:vAlign w:val="center"/>
          </w:tcPr>
          <w:p>
            <w:pPr>
              <w:jc w:val="center"/>
              <w:rPr>
                <w:rFonts w:ascii="宋体"/>
                <w:color w:val="auto"/>
                <w:sz w:val="24"/>
                <w:szCs w:val="24"/>
                <w:highlight w:val="none"/>
              </w:rPr>
            </w:pPr>
            <w:r>
              <w:rPr>
                <w:rFonts w:hint="eastAsia" w:ascii="宋体" w:hAnsi="宋体" w:cs="宋体"/>
                <w:color w:val="auto"/>
                <w:sz w:val="24"/>
                <w:szCs w:val="24"/>
                <w:highlight w:val="none"/>
              </w:rPr>
              <w:t>评分项目</w:t>
            </w:r>
          </w:p>
        </w:tc>
        <w:tc>
          <w:tcPr>
            <w:tcW w:w="3060" w:type="dxa"/>
            <w:tcBorders>
              <w:top w:val="single" w:color="auto" w:sz="4" w:space="0"/>
              <w:left w:val="single" w:color="auto" w:sz="4" w:space="0"/>
              <w:bottom w:val="single" w:color="auto" w:sz="4" w:space="0"/>
              <w:right w:val="single" w:color="auto" w:sz="4" w:space="0"/>
            </w:tcBorders>
            <w:vAlign w:val="center"/>
          </w:tcPr>
          <w:p>
            <w:pPr>
              <w:jc w:val="center"/>
              <w:rPr>
                <w:rFonts w:ascii="宋体"/>
                <w:color w:val="auto"/>
                <w:sz w:val="24"/>
                <w:szCs w:val="24"/>
                <w:highlight w:val="none"/>
              </w:rPr>
            </w:pPr>
            <w:r>
              <w:rPr>
                <w:rFonts w:hint="eastAsia" w:ascii="宋体" w:hAnsi="宋体" w:cs="宋体"/>
                <w:color w:val="auto"/>
                <w:sz w:val="24"/>
                <w:szCs w:val="24"/>
                <w:highlight w:val="none"/>
              </w:rPr>
              <w:t>响应文件对应资料</w:t>
            </w:r>
          </w:p>
        </w:tc>
        <w:tc>
          <w:tcPr>
            <w:tcW w:w="1977" w:type="dxa"/>
            <w:tcBorders>
              <w:top w:val="single" w:color="auto" w:sz="4" w:space="0"/>
              <w:left w:val="single" w:color="auto" w:sz="4" w:space="0"/>
              <w:bottom w:val="single" w:color="auto" w:sz="4" w:space="0"/>
            </w:tcBorders>
            <w:vAlign w:val="center"/>
          </w:tcPr>
          <w:p>
            <w:pPr>
              <w:jc w:val="center"/>
              <w:rPr>
                <w:rFonts w:ascii="宋体"/>
                <w:color w:val="auto"/>
                <w:sz w:val="24"/>
                <w:szCs w:val="24"/>
                <w:highlight w:val="none"/>
              </w:rPr>
            </w:pPr>
            <w:r>
              <w:rPr>
                <w:rFonts w:hint="eastAsia" w:ascii="宋体" w:hAnsi="宋体" w:cs="宋体"/>
                <w:color w:val="auto"/>
                <w:sz w:val="24"/>
                <w:szCs w:val="24"/>
                <w:highlight w:val="none"/>
              </w:rPr>
              <w:t>响应文件页码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3888" w:type="dxa"/>
            <w:tcBorders>
              <w:top w:val="single" w:color="auto" w:sz="4" w:space="0"/>
              <w:bottom w:val="single" w:color="auto" w:sz="4" w:space="0"/>
              <w:right w:val="single" w:color="auto" w:sz="4" w:space="0"/>
            </w:tcBorders>
            <w:vAlign w:val="center"/>
          </w:tcPr>
          <w:p>
            <w:pPr>
              <w:jc w:val="center"/>
              <w:rPr>
                <w:rFonts w:ascii="宋体"/>
                <w:color w:val="auto"/>
                <w:sz w:val="24"/>
                <w:szCs w:val="24"/>
                <w:highlight w:val="none"/>
              </w:rPr>
            </w:pPr>
            <w:r>
              <w:rPr>
                <w:rFonts w:hint="eastAsia" w:ascii="宋体" w:hAnsi="宋体" w:cs="宋体"/>
                <w:color w:val="auto"/>
                <w:sz w:val="24"/>
                <w:szCs w:val="24"/>
                <w:highlight w:val="none"/>
              </w:rPr>
              <w:t>对应评分办法及评分标准</w:t>
            </w:r>
          </w:p>
          <w:p>
            <w:pPr>
              <w:jc w:val="center"/>
              <w:rPr>
                <w:rFonts w:ascii="宋体"/>
                <w:color w:val="auto"/>
                <w:sz w:val="24"/>
                <w:szCs w:val="24"/>
                <w:highlight w:val="none"/>
              </w:rPr>
            </w:pPr>
            <w:r>
              <w:rPr>
                <w:rFonts w:hint="eastAsia" w:ascii="宋体" w:hAnsi="宋体" w:cs="宋体"/>
                <w:color w:val="auto"/>
                <w:sz w:val="24"/>
                <w:szCs w:val="24"/>
                <w:highlight w:val="none"/>
              </w:rPr>
              <w:t>（报价除外）</w:t>
            </w:r>
          </w:p>
        </w:tc>
        <w:tc>
          <w:tcPr>
            <w:tcW w:w="3060" w:type="dxa"/>
            <w:tcBorders>
              <w:top w:val="single" w:color="auto" w:sz="4" w:space="0"/>
              <w:left w:val="single" w:color="auto" w:sz="4" w:space="0"/>
              <w:bottom w:val="single" w:color="auto" w:sz="4" w:space="0"/>
              <w:right w:val="single" w:color="auto" w:sz="4" w:space="0"/>
            </w:tcBorders>
            <w:vAlign w:val="center"/>
          </w:tcPr>
          <w:p>
            <w:pPr>
              <w:jc w:val="center"/>
              <w:rPr>
                <w:rFonts w:ascii="宋体"/>
                <w:color w:val="auto"/>
                <w:sz w:val="24"/>
                <w:szCs w:val="24"/>
                <w:highlight w:val="none"/>
              </w:rPr>
            </w:pPr>
          </w:p>
        </w:tc>
        <w:tc>
          <w:tcPr>
            <w:tcW w:w="1977" w:type="dxa"/>
            <w:tcBorders>
              <w:top w:val="single" w:color="auto" w:sz="4" w:space="0"/>
              <w:left w:val="single" w:color="auto" w:sz="4" w:space="0"/>
              <w:bottom w:val="single" w:color="auto" w:sz="4" w:space="0"/>
            </w:tcBorders>
            <w:vAlign w:val="center"/>
          </w:tcPr>
          <w:p>
            <w:pPr>
              <w:jc w:val="center"/>
              <w:rPr>
                <w:rFonts w:asci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3888" w:type="dxa"/>
            <w:tcBorders>
              <w:top w:val="single" w:color="auto" w:sz="4" w:space="0"/>
              <w:bottom w:val="single" w:color="auto" w:sz="4" w:space="0"/>
              <w:right w:val="single" w:color="auto" w:sz="4" w:space="0"/>
            </w:tcBorders>
            <w:vAlign w:val="center"/>
          </w:tcPr>
          <w:p>
            <w:pPr>
              <w:jc w:val="center"/>
              <w:rPr>
                <w:rFonts w:ascii="宋体"/>
                <w:color w:val="auto"/>
                <w:sz w:val="24"/>
                <w:szCs w:val="24"/>
                <w:highlight w:val="none"/>
              </w:rPr>
            </w:pPr>
            <w:r>
              <w:rPr>
                <w:rFonts w:hint="eastAsia" w:ascii="宋体" w:hAnsi="宋体" w:cs="宋体"/>
                <w:color w:val="auto"/>
                <w:sz w:val="24"/>
                <w:szCs w:val="24"/>
                <w:highlight w:val="none"/>
              </w:rPr>
              <w:t>……</w:t>
            </w:r>
          </w:p>
        </w:tc>
        <w:tc>
          <w:tcPr>
            <w:tcW w:w="3060" w:type="dxa"/>
            <w:tcBorders>
              <w:top w:val="single" w:color="auto" w:sz="4" w:space="0"/>
              <w:left w:val="single" w:color="auto" w:sz="4" w:space="0"/>
              <w:bottom w:val="single" w:color="auto" w:sz="4" w:space="0"/>
              <w:right w:val="single" w:color="auto" w:sz="4" w:space="0"/>
            </w:tcBorders>
            <w:vAlign w:val="center"/>
          </w:tcPr>
          <w:p>
            <w:pPr>
              <w:jc w:val="center"/>
              <w:rPr>
                <w:rFonts w:ascii="宋体"/>
                <w:color w:val="auto"/>
                <w:sz w:val="24"/>
                <w:szCs w:val="24"/>
                <w:highlight w:val="none"/>
              </w:rPr>
            </w:pPr>
          </w:p>
        </w:tc>
        <w:tc>
          <w:tcPr>
            <w:tcW w:w="1977" w:type="dxa"/>
            <w:tcBorders>
              <w:top w:val="single" w:color="auto" w:sz="4" w:space="0"/>
              <w:left w:val="single" w:color="auto" w:sz="4" w:space="0"/>
              <w:bottom w:val="single" w:color="auto" w:sz="4" w:space="0"/>
            </w:tcBorders>
            <w:vAlign w:val="center"/>
          </w:tcPr>
          <w:p>
            <w:pPr>
              <w:jc w:val="center"/>
              <w:rPr>
                <w:rFonts w:asci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3888" w:type="dxa"/>
            <w:tcBorders>
              <w:top w:val="single" w:color="auto" w:sz="4" w:space="0"/>
              <w:bottom w:val="single" w:color="auto" w:sz="4" w:space="0"/>
              <w:right w:val="single" w:color="auto" w:sz="4" w:space="0"/>
            </w:tcBorders>
            <w:vAlign w:val="center"/>
          </w:tcPr>
          <w:p>
            <w:pPr>
              <w:jc w:val="center"/>
              <w:rPr>
                <w:rFonts w:ascii="宋体"/>
                <w:color w:val="auto"/>
                <w:sz w:val="24"/>
                <w:szCs w:val="24"/>
                <w:highlight w:val="none"/>
              </w:rPr>
            </w:pPr>
          </w:p>
        </w:tc>
        <w:tc>
          <w:tcPr>
            <w:tcW w:w="3060" w:type="dxa"/>
            <w:tcBorders>
              <w:top w:val="single" w:color="auto" w:sz="4" w:space="0"/>
              <w:left w:val="single" w:color="auto" w:sz="4" w:space="0"/>
              <w:bottom w:val="single" w:color="auto" w:sz="4" w:space="0"/>
              <w:right w:val="single" w:color="auto" w:sz="4" w:space="0"/>
            </w:tcBorders>
            <w:vAlign w:val="center"/>
          </w:tcPr>
          <w:p>
            <w:pPr>
              <w:jc w:val="center"/>
              <w:rPr>
                <w:rFonts w:ascii="宋体"/>
                <w:color w:val="auto"/>
                <w:sz w:val="24"/>
                <w:szCs w:val="24"/>
                <w:highlight w:val="none"/>
              </w:rPr>
            </w:pPr>
          </w:p>
        </w:tc>
        <w:tc>
          <w:tcPr>
            <w:tcW w:w="1977" w:type="dxa"/>
            <w:tcBorders>
              <w:top w:val="single" w:color="auto" w:sz="4" w:space="0"/>
              <w:left w:val="single" w:color="auto" w:sz="4" w:space="0"/>
              <w:bottom w:val="single" w:color="auto" w:sz="4" w:space="0"/>
            </w:tcBorders>
            <w:vAlign w:val="center"/>
          </w:tcPr>
          <w:p>
            <w:pPr>
              <w:jc w:val="center"/>
              <w:rPr>
                <w:rFonts w:asci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3888" w:type="dxa"/>
            <w:tcBorders>
              <w:top w:val="single" w:color="auto" w:sz="4" w:space="0"/>
              <w:bottom w:val="single" w:color="auto" w:sz="4" w:space="0"/>
              <w:right w:val="single" w:color="auto" w:sz="4" w:space="0"/>
            </w:tcBorders>
            <w:vAlign w:val="center"/>
          </w:tcPr>
          <w:p>
            <w:pPr>
              <w:spacing w:line="360" w:lineRule="auto"/>
              <w:ind w:firstLine="480" w:firstLineChars="200"/>
              <w:jc w:val="center"/>
              <w:rPr>
                <w:rFonts w:ascii="宋体"/>
                <w:color w:val="auto"/>
                <w:sz w:val="24"/>
                <w:szCs w:val="24"/>
                <w:highlight w:val="none"/>
              </w:rPr>
            </w:pPr>
          </w:p>
        </w:tc>
        <w:tc>
          <w:tcPr>
            <w:tcW w:w="3060"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firstLineChars="200"/>
              <w:jc w:val="center"/>
              <w:rPr>
                <w:rFonts w:ascii="宋体"/>
                <w:color w:val="auto"/>
                <w:sz w:val="24"/>
                <w:szCs w:val="24"/>
                <w:highlight w:val="none"/>
              </w:rPr>
            </w:pPr>
          </w:p>
        </w:tc>
        <w:tc>
          <w:tcPr>
            <w:tcW w:w="1977" w:type="dxa"/>
            <w:tcBorders>
              <w:top w:val="single" w:color="auto" w:sz="4" w:space="0"/>
              <w:left w:val="single" w:color="auto" w:sz="4" w:space="0"/>
              <w:bottom w:val="single" w:color="auto" w:sz="4" w:space="0"/>
            </w:tcBorders>
            <w:vAlign w:val="center"/>
          </w:tcPr>
          <w:p>
            <w:pPr>
              <w:spacing w:line="360" w:lineRule="auto"/>
              <w:ind w:firstLine="480" w:firstLineChars="200"/>
              <w:jc w:val="center"/>
              <w:rPr>
                <w:rFonts w:asci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3888" w:type="dxa"/>
            <w:tcBorders>
              <w:top w:val="single" w:color="auto" w:sz="4" w:space="0"/>
              <w:bottom w:val="single" w:color="auto" w:sz="4" w:space="0"/>
              <w:right w:val="single" w:color="auto" w:sz="4" w:space="0"/>
            </w:tcBorders>
            <w:vAlign w:val="center"/>
          </w:tcPr>
          <w:p>
            <w:pPr>
              <w:spacing w:line="360" w:lineRule="auto"/>
              <w:ind w:firstLine="480" w:firstLineChars="200"/>
              <w:jc w:val="center"/>
              <w:rPr>
                <w:rFonts w:ascii="宋体"/>
                <w:color w:val="auto"/>
                <w:sz w:val="24"/>
                <w:szCs w:val="24"/>
                <w:highlight w:val="none"/>
              </w:rPr>
            </w:pPr>
          </w:p>
        </w:tc>
        <w:tc>
          <w:tcPr>
            <w:tcW w:w="3060"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firstLineChars="200"/>
              <w:jc w:val="center"/>
              <w:rPr>
                <w:rFonts w:ascii="宋体"/>
                <w:color w:val="auto"/>
                <w:sz w:val="24"/>
                <w:szCs w:val="24"/>
                <w:highlight w:val="none"/>
              </w:rPr>
            </w:pPr>
          </w:p>
        </w:tc>
        <w:tc>
          <w:tcPr>
            <w:tcW w:w="1977" w:type="dxa"/>
            <w:tcBorders>
              <w:top w:val="single" w:color="auto" w:sz="4" w:space="0"/>
              <w:left w:val="single" w:color="auto" w:sz="4" w:space="0"/>
              <w:bottom w:val="single" w:color="auto" w:sz="4" w:space="0"/>
            </w:tcBorders>
            <w:vAlign w:val="center"/>
          </w:tcPr>
          <w:p>
            <w:pPr>
              <w:spacing w:line="360" w:lineRule="auto"/>
              <w:ind w:firstLine="480" w:firstLineChars="200"/>
              <w:jc w:val="center"/>
              <w:rPr>
                <w:rFonts w:asci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3888" w:type="dxa"/>
            <w:tcBorders>
              <w:top w:val="single" w:color="auto" w:sz="4" w:space="0"/>
              <w:bottom w:val="single" w:color="auto" w:sz="4" w:space="0"/>
              <w:right w:val="single" w:color="auto" w:sz="4" w:space="0"/>
            </w:tcBorders>
            <w:vAlign w:val="center"/>
          </w:tcPr>
          <w:p>
            <w:pPr>
              <w:spacing w:line="360" w:lineRule="auto"/>
              <w:ind w:firstLine="480" w:firstLineChars="200"/>
              <w:jc w:val="center"/>
              <w:rPr>
                <w:rFonts w:ascii="宋体"/>
                <w:color w:val="auto"/>
                <w:sz w:val="24"/>
                <w:szCs w:val="24"/>
                <w:highlight w:val="none"/>
              </w:rPr>
            </w:pPr>
          </w:p>
        </w:tc>
        <w:tc>
          <w:tcPr>
            <w:tcW w:w="3060"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firstLineChars="200"/>
              <w:jc w:val="center"/>
              <w:rPr>
                <w:rFonts w:ascii="宋体"/>
                <w:color w:val="auto"/>
                <w:sz w:val="24"/>
                <w:szCs w:val="24"/>
                <w:highlight w:val="none"/>
              </w:rPr>
            </w:pPr>
          </w:p>
        </w:tc>
        <w:tc>
          <w:tcPr>
            <w:tcW w:w="1977" w:type="dxa"/>
            <w:tcBorders>
              <w:top w:val="single" w:color="auto" w:sz="4" w:space="0"/>
              <w:left w:val="single" w:color="auto" w:sz="4" w:space="0"/>
              <w:bottom w:val="single" w:color="auto" w:sz="4" w:space="0"/>
            </w:tcBorders>
            <w:vAlign w:val="center"/>
          </w:tcPr>
          <w:p>
            <w:pPr>
              <w:spacing w:line="360" w:lineRule="auto"/>
              <w:ind w:firstLine="480" w:firstLineChars="200"/>
              <w:jc w:val="center"/>
              <w:rPr>
                <w:rFonts w:asci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3888" w:type="dxa"/>
            <w:tcBorders>
              <w:top w:val="single" w:color="auto" w:sz="4" w:space="0"/>
              <w:bottom w:val="single" w:color="auto" w:sz="4" w:space="0"/>
              <w:right w:val="single" w:color="auto" w:sz="4" w:space="0"/>
            </w:tcBorders>
            <w:vAlign w:val="center"/>
          </w:tcPr>
          <w:p>
            <w:pPr>
              <w:spacing w:line="360" w:lineRule="auto"/>
              <w:ind w:firstLine="480" w:firstLineChars="200"/>
              <w:jc w:val="center"/>
              <w:rPr>
                <w:rFonts w:ascii="宋体"/>
                <w:color w:val="auto"/>
                <w:sz w:val="24"/>
                <w:szCs w:val="24"/>
                <w:highlight w:val="none"/>
              </w:rPr>
            </w:pPr>
          </w:p>
        </w:tc>
        <w:tc>
          <w:tcPr>
            <w:tcW w:w="3060"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firstLineChars="200"/>
              <w:jc w:val="center"/>
              <w:rPr>
                <w:rFonts w:ascii="宋体"/>
                <w:color w:val="auto"/>
                <w:sz w:val="24"/>
                <w:szCs w:val="24"/>
                <w:highlight w:val="none"/>
              </w:rPr>
            </w:pPr>
          </w:p>
        </w:tc>
        <w:tc>
          <w:tcPr>
            <w:tcW w:w="1977" w:type="dxa"/>
            <w:tcBorders>
              <w:top w:val="single" w:color="auto" w:sz="4" w:space="0"/>
              <w:left w:val="single" w:color="auto" w:sz="4" w:space="0"/>
              <w:bottom w:val="single" w:color="auto" w:sz="4" w:space="0"/>
            </w:tcBorders>
            <w:vAlign w:val="center"/>
          </w:tcPr>
          <w:p>
            <w:pPr>
              <w:spacing w:line="360" w:lineRule="auto"/>
              <w:ind w:firstLine="480" w:firstLineChars="200"/>
              <w:jc w:val="center"/>
              <w:rPr>
                <w:rFonts w:asci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3888" w:type="dxa"/>
            <w:tcBorders>
              <w:top w:val="single" w:color="auto" w:sz="4" w:space="0"/>
              <w:bottom w:val="single" w:color="auto" w:sz="4" w:space="0"/>
              <w:right w:val="single" w:color="auto" w:sz="4" w:space="0"/>
            </w:tcBorders>
            <w:vAlign w:val="center"/>
          </w:tcPr>
          <w:p>
            <w:pPr>
              <w:spacing w:line="360" w:lineRule="auto"/>
              <w:ind w:firstLine="480" w:firstLineChars="200"/>
              <w:jc w:val="center"/>
              <w:rPr>
                <w:rFonts w:ascii="宋体"/>
                <w:color w:val="auto"/>
                <w:sz w:val="24"/>
                <w:szCs w:val="24"/>
                <w:highlight w:val="none"/>
              </w:rPr>
            </w:pPr>
          </w:p>
        </w:tc>
        <w:tc>
          <w:tcPr>
            <w:tcW w:w="3060"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firstLineChars="200"/>
              <w:jc w:val="center"/>
              <w:rPr>
                <w:rFonts w:ascii="宋体"/>
                <w:color w:val="auto"/>
                <w:sz w:val="24"/>
                <w:szCs w:val="24"/>
                <w:highlight w:val="none"/>
              </w:rPr>
            </w:pPr>
          </w:p>
        </w:tc>
        <w:tc>
          <w:tcPr>
            <w:tcW w:w="1977" w:type="dxa"/>
            <w:tcBorders>
              <w:top w:val="single" w:color="auto" w:sz="4" w:space="0"/>
              <w:left w:val="single" w:color="auto" w:sz="4" w:space="0"/>
              <w:bottom w:val="single" w:color="auto" w:sz="4" w:space="0"/>
            </w:tcBorders>
            <w:vAlign w:val="center"/>
          </w:tcPr>
          <w:p>
            <w:pPr>
              <w:spacing w:line="360" w:lineRule="auto"/>
              <w:ind w:firstLine="480" w:firstLineChars="200"/>
              <w:jc w:val="center"/>
              <w:rPr>
                <w:rFonts w:asci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3888" w:type="dxa"/>
            <w:tcBorders>
              <w:top w:val="single" w:color="auto" w:sz="4" w:space="0"/>
              <w:bottom w:val="single" w:color="auto" w:sz="4" w:space="0"/>
              <w:right w:val="single" w:color="auto" w:sz="4" w:space="0"/>
            </w:tcBorders>
            <w:vAlign w:val="center"/>
          </w:tcPr>
          <w:p>
            <w:pPr>
              <w:spacing w:line="360" w:lineRule="auto"/>
              <w:ind w:firstLine="480" w:firstLineChars="200"/>
              <w:jc w:val="center"/>
              <w:rPr>
                <w:rFonts w:ascii="宋体"/>
                <w:color w:val="auto"/>
                <w:sz w:val="24"/>
                <w:szCs w:val="24"/>
                <w:highlight w:val="none"/>
              </w:rPr>
            </w:pPr>
          </w:p>
        </w:tc>
        <w:tc>
          <w:tcPr>
            <w:tcW w:w="3060"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firstLineChars="200"/>
              <w:jc w:val="center"/>
              <w:rPr>
                <w:rFonts w:ascii="宋体"/>
                <w:color w:val="auto"/>
                <w:sz w:val="24"/>
                <w:szCs w:val="24"/>
                <w:highlight w:val="none"/>
              </w:rPr>
            </w:pPr>
          </w:p>
        </w:tc>
        <w:tc>
          <w:tcPr>
            <w:tcW w:w="1977" w:type="dxa"/>
            <w:tcBorders>
              <w:top w:val="single" w:color="auto" w:sz="4" w:space="0"/>
              <w:left w:val="single" w:color="auto" w:sz="4" w:space="0"/>
              <w:bottom w:val="single" w:color="auto" w:sz="4" w:space="0"/>
            </w:tcBorders>
            <w:vAlign w:val="center"/>
          </w:tcPr>
          <w:p>
            <w:pPr>
              <w:spacing w:line="360" w:lineRule="auto"/>
              <w:ind w:firstLine="480" w:firstLineChars="200"/>
              <w:jc w:val="center"/>
              <w:rPr>
                <w:rFonts w:ascii="宋体"/>
                <w:color w:val="auto"/>
                <w:sz w:val="24"/>
                <w:szCs w:val="24"/>
                <w:highlight w:val="none"/>
              </w:rPr>
            </w:pPr>
          </w:p>
        </w:tc>
      </w:tr>
    </w:tbl>
    <w:p>
      <w:pPr>
        <w:spacing w:line="360" w:lineRule="auto"/>
        <w:ind w:firstLine="480" w:firstLineChars="200"/>
        <w:rPr>
          <w:rFonts w:ascii="宋体"/>
          <w:color w:val="auto"/>
          <w:sz w:val="24"/>
          <w:szCs w:val="24"/>
          <w:highlight w:val="none"/>
        </w:rPr>
      </w:pPr>
    </w:p>
    <w:p>
      <w:pPr>
        <w:spacing w:line="360" w:lineRule="auto"/>
        <w:ind w:left="3780" w:leftChars="1800" w:firstLine="480" w:firstLineChars="200"/>
        <w:rPr>
          <w:rFonts w:ascii="宋体"/>
          <w:color w:val="auto"/>
          <w:sz w:val="24"/>
          <w:szCs w:val="24"/>
          <w:highlight w:val="none"/>
        </w:rPr>
      </w:pPr>
    </w:p>
    <w:p>
      <w:pPr>
        <w:spacing w:line="360" w:lineRule="auto"/>
        <w:ind w:left="3780" w:leftChars="1800" w:firstLine="480" w:firstLineChars="200"/>
        <w:rPr>
          <w:rFonts w:ascii="宋体"/>
          <w:color w:val="auto"/>
          <w:sz w:val="24"/>
          <w:szCs w:val="24"/>
          <w:highlight w:val="none"/>
        </w:rPr>
      </w:pPr>
      <w:r>
        <w:rPr>
          <w:rFonts w:hint="eastAsia" w:ascii="宋体" w:hAnsi="宋体" w:cs="宋体"/>
          <w:color w:val="auto"/>
          <w:sz w:val="24"/>
          <w:szCs w:val="24"/>
          <w:highlight w:val="none"/>
        </w:rPr>
        <w:t>法定代表人签名（或签名章）：</w:t>
      </w:r>
      <w:r>
        <w:rPr>
          <w:rFonts w:ascii="宋体" w:hAnsi="宋体" w:cs="宋体"/>
          <w:color w:val="auto"/>
          <w:sz w:val="24"/>
          <w:szCs w:val="24"/>
          <w:highlight w:val="none"/>
        </w:rPr>
        <w:t xml:space="preserve">                       </w:t>
      </w:r>
    </w:p>
    <w:p>
      <w:pPr>
        <w:spacing w:line="360" w:lineRule="auto"/>
        <w:ind w:left="3780" w:leftChars="1800" w:firstLine="480" w:firstLineChars="200"/>
        <w:rPr>
          <w:rFonts w:ascii="宋体"/>
          <w:color w:val="auto"/>
          <w:sz w:val="24"/>
          <w:szCs w:val="24"/>
          <w:highlight w:val="none"/>
        </w:rPr>
      </w:pPr>
      <w:r>
        <w:rPr>
          <w:rFonts w:hint="eastAsia" w:ascii="宋体" w:hAnsi="宋体" w:cs="宋体"/>
          <w:color w:val="auto"/>
          <w:sz w:val="24"/>
          <w:szCs w:val="24"/>
          <w:highlight w:val="none"/>
        </w:rPr>
        <w:t>日</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期：</w:t>
      </w:r>
    </w:p>
    <w:p>
      <w:pPr>
        <w:spacing w:line="360" w:lineRule="auto"/>
        <w:ind w:left="3780" w:leftChars="1800" w:firstLine="480" w:firstLineChars="200"/>
        <w:rPr>
          <w:rFonts w:ascii="宋体"/>
          <w:color w:val="auto"/>
          <w:sz w:val="24"/>
          <w:szCs w:val="24"/>
          <w:highlight w:val="none"/>
        </w:rPr>
      </w:pPr>
      <w:r>
        <w:rPr>
          <w:rFonts w:hint="eastAsia" w:ascii="宋体" w:hAnsi="宋体" w:cs="宋体"/>
          <w:color w:val="auto"/>
          <w:sz w:val="24"/>
          <w:szCs w:val="24"/>
          <w:highlight w:val="none"/>
        </w:rPr>
        <w:t>供应商全称（公章）：</w:t>
      </w:r>
    </w:p>
    <w:p>
      <w:pPr>
        <w:rPr>
          <w:color w:val="auto"/>
          <w:highlight w:val="none"/>
          <w:lang w:val="zh-CN"/>
        </w:rPr>
      </w:pPr>
    </w:p>
    <w:p>
      <w:pPr>
        <w:rPr>
          <w:b/>
          <w:bCs/>
          <w:color w:val="auto"/>
          <w:sz w:val="24"/>
          <w:szCs w:val="24"/>
          <w:highlight w:val="none"/>
          <w:lang w:val="zh-CN"/>
        </w:rPr>
      </w:pPr>
      <w:r>
        <w:rPr>
          <w:rFonts w:hint="eastAsia" w:cs="宋体"/>
          <w:b/>
          <w:bCs/>
          <w:color w:val="auto"/>
          <w:sz w:val="24"/>
          <w:szCs w:val="24"/>
          <w:highlight w:val="none"/>
          <w:lang w:val="zh-CN"/>
        </w:rPr>
        <w:t>附件</w:t>
      </w:r>
      <w:r>
        <w:rPr>
          <w:rFonts w:hint="eastAsia" w:cs="宋体"/>
          <w:b/>
          <w:bCs/>
          <w:color w:val="auto"/>
          <w:sz w:val="24"/>
          <w:szCs w:val="24"/>
          <w:highlight w:val="none"/>
          <w:lang w:val="en-US" w:eastAsia="zh-CN"/>
        </w:rPr>
        <w:t>八</w:t>
      </w:r>
      <w:r>
        <w:rPr>
          <w:rFonts w:hint="eastAsia" w:cs="宋体"/>
          <w:b/>
          <w:bCs/>
          <w:color w:val="auto"/>
          <w:sz w:val="24"/>
          <w:szCs w:val="24"/>
          <w:highlight w:val="none"/>
        </w:rPr>
        <w:t>：</w:t>
      </w:r>
    </w:p>
    <w:p>
      <w:pPr>
        <w:spacing w:line="360" w:lineRule="auto"/>
        <w:jc w:val="center"/>
        <w:rPr>
          <w:rFonts w:ascii="宋体"/>
          <w:b/>
          <w:bCs/>
          <w:color w:val="auto"/>
          <w:sz w:val="32"/>
          <w:szCs w:val="32"/>
          <w:highlight w:val="none"/>
        </w:rPr>
      </w:pPr>
      <w:r>
        <w:rPr>
          <w:rFonts w:hint="eastAsia" w:ascii="宋体" w:hAnsi="宋体" w:cs="宋体"/>
          <w:b/>
          <w:bCs/>
          <w:color w:val="auto"/>
          <w:sz w:val="32"/>
          <w:szCs w:val="32"/>
          <w:highlight w:val="none"/>
        </w:rPr>
        <w:t>供应商商务技术文件中资信分自评表</w:t>
      </w:r>
      <w:bookmarkEnd w:id="116"/>
    </w:p>
    <w:p>
      <w:pPr>
        <w:snapToGrid w:val="0"/>
        <w:spacing w:before="50"/>
        <w:jc w:val="center"/>
        <w:rPr>
          <w:rFonts w:ascii="宋体"/>
          <w:b/>
          <w:bCs/>
          <w:color w:val="auto"/>
          <w:sz w:val="32"/>
          <w:szCs w:val="32"/>
          <w:highlight w:val="none"/>
        </w:rPr>
      </w:pPr>
    </w:p>
    <w:p>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项目名称：</w:t>
      </w:r>
    </w:p>
    <w:p>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采购编号：</w:t>
      </w:r>
    </w:p>
    <w:tbl>
      <w:tblPr>
        <w:tblStyle w:val="27"/>
        <w:tblW w:w="899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82"/>
        <w:gridCol w:w="2387"/>
        <w:gridCol w:w="1462"/>
        <w:gridCol w:w="2415"/>
        <w:gridCol w:w="174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982" w:type="dxa"/>
            <w:vAlign w:val="center"/>
          </w:tcPr>
          <w:p>
            <w:pPr>
              <w:jc w:val="center"/>
              <w:rPr>
                <w:rFonts w:ascii="宋体"/>
                <w:color w:val="auto"/>
                <w:sz w:val="24"/>
                <w:szCs w:val="24"/>
                <w:highlight w:val="none"/>
              </w:rPr>
            </w:pPr>
            <w:r>
              <w:rPr>
                <w:rFonts w:hint="eastAsia" w:ascii="宋体" w:hAnsi="宋体" w:cs="宋体"/>
                <w:color w:val="auto"/>
                <w:sz w:val="24"/>
                <w:szCs w:val="24"/>
                <w:highlight w:val="none"/>
              </w:rPr>
              <w:t>序号</w:t>
            </w:r>
          </w:p>
        </w:tc>
        <w:tc>
          <w:tcPr>
            <w:tcW w:w="2387" w:type="dxa"/>
            <w:vAlign w:val="center"/>
          </w:tcPr>
          <w:p>
            <w:pPr>
              <w:jc w:val="center"/>
              <w:rPr>
                <w:rFonts w:ascii="宋体"/>
                <w:color w:val="auto"/>
                <w:sz w:val="24"/>
                <w:szCs w:val="24"/>
                <w:highlight w:val="none"/>
              </w:rPr>
            </w:pPr>
            <w:r>
              <w:rPr>
                <w:rFonts w:hint="eastAsia" w:ascii="宋体" w:hAnsi="宋体" w:cs="宋体"/>
                <w:color w:val="auto"/>
                <w:sz w:val="24"/>
                <w:szCs w:val="24"/>
                <w:highlight w:val="none"/>
              </w:rPr>
              <w:t>资信分内容</w:t>
            </w:r>
          </w:p>
        </w:tc>
        <w:tc>
          <w:tcPr>
            <w:tcW w:w="1462" w:type="dxa"/>
            <w:vAlign w:val="center"/>
          </w:tcPr>
          <w:p>
            <w:pPr>
              <w:jc w:val="center"/>
              <w:rPr>
                <w:rFonts w:ascii="宋体"/>
                <w:color w:val="auto"/>
                <w:sz w:val="24"/>
                <w:szCs w:val="24"/>
                <w:highlight w:val="none"/>
              </w:rPr>
            </w:pPr>
            <w:r>
              <w:rPr>
                <w:rFonts w:hint="eastAsia" w:ascii="宋体" w:hAnsi="宋体" w:cs="宋体"/>
                <w:color w:val="auto"/>
                <w:sz w:val="24"/>
                <w:szCs w:val="24"/>
                <w:highlight w:val="none"/>
              </w:rPr>
              <w:t>自评得分</w:t>
            </w:r>
          </w:p>
        </w:tc>
        <w:tc>
          <w:tcPr>
            <w:tcW w:w="2415" w:type="dxa"/>
            <w:tcBorders>
              <w:right w:val="single" w:color="auto" w:sz="4" w:space="0"/>
            </w:tcBorders>
            <w:vAlign w:val="center"/>
          </w:tcPr>
          <w:p>
            <w:pPr>
              <w:jc w:val="center"/>
              <w:rPr>
                <w:rFonts w:ascii="宋体"/>
                <w:color w:val="auto"/>
                <w:sz w:val="24"/>
                <w:szCs w:val="24"/>
                <w:highlight w:val="none"/>
              </w:rPr>
            </w:pPr>
            <w:r>
              <w:rPr>
                <w:rFonts w:hint="eastAsia" w:ascii="宋体" w:hAnsi="宋体" w:cs="宋体"/>
                <w:color w:val="auto"/>
                <w:sz w:val="24"/>
                <w:szCs w:val="24"/>
                <w:highlight w:val="none"/>
              </w:rPr>
              <w:t>响应文件对应资料</w:t>
            </w:r>
          </w:p>
        </w:tc>
        <w:tc>
          <w:tcPr>
            <w:tcW w:w="1746" w:type="dxa"/>
            <w:tcBorders>
              <w:left w:val="single" w:color="auto" w:sz="4" w:space="0"/>
            </w:tcBorders>
            <w:vAlign w:val="center"/>
          </w:tcPr>
          <w:p>
            <w:pPr>
              <w:jc w:val="center"/>
              <w:rPr>
                <w:rFonts w:ascii="宋体"/>
                <w:color w:val="auto"/>
                <w:sz w:val="24"/>
                <w:szCs w:val="24"/>
                <w:highlight w:val="none"/>
              </w:rPr>
            </w:pPr>
            <w:r>
              <w:rPr>
                <w:rFonts w:hint="eastAsia" w:ascii="宋体" w:hAnsi="宋体" w:cs="宋体"/>
                <w:color w:val="auto"/>
                <w:sz w:val="24"/>
                <w:szCs w:val="24"/>
                <w:highlight w:val="none"/>
              </w:rPr>
              <w:t>响应文件页码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982" w:type="dxa"/>
            <w:vAlign w:val="center"/>
          </w:tcPr>
          <w:p>
            <w:pPr>
              <w:jc w:val="center"/>
              <w:rPr>
                <w:rFonts w:ascii="宋体"/>
                <w:color w:val="auto"/>
                <w:sz w:val="24"/>
                <w:szCs w:val="24"/>
                <w:highlight w:val="none"/>
              </w:rPr>
            </w:pPr>
            <w:r>
              <w:rPr>
                <w:rFonts w:ascii="宋体" w:hAnsi="宋体" w:cs="宋体"/>
                <w:color w:val="auto"/>
                <w:sz w:val="24"/>
                <w:szCs w:val="24"/>
                <w:highlight w:val="none"/>
              </w:rPr>
              <w:t>1</w:t>
            </w:r>
          </w:p>
        </w:tc>
        <w:tc>
          <w:tcPr>
            <w:tcW w:w="2387" w:type="dxa"/>
          </w:tcPr>
          <w:p>
            <w:pPr>
              <w:jc w:val="center"/>
              <w:rPr>
                <w:rFonts w:ascii="宋体"/>
                <w:color w:val="auto"/>
                <w:sz w:val="24"/>
                <w:szCs w:val="24"/>
                <w:highlight w:val="none"/>
              </w:rPr>
            </w:pPr>
          </w:p>
        </w:tc>
        <w:tc>
          <w:tcPr>
            <w:tcW w:w="1462" w:type="dxa"/>
          </w:tcPr>
          <w:p>
            <w:pPr>
              <w:jc w:val="center"/>
              <w:rPr>
                <w:rFonts w:ascii="宋体"/>
                <w:color w:val="auto"/>
                <w:sz w:val="24"/>
                <w:szCs w:val="24"/>
                <w:highlight w:val="none"/>
              </w:rPr>
            </w:pPr>
          </w:p>
        </w:tc>
        <w:tc>
          <w:tcPr>
            <w:tcW w:w="2415" w:type="dxa"/>
            <w:tcBorders>
              <w:right w:val="single" w:color="auto" w:sz="4" w:space="0"/>
            </w:tcBorders>
          </w:tcPr>
          <w:p>
            <w:pPr>
              <w:jc w:val="center"/>
              <w:rPr>
                <w:rFonts w:ascii="宋体"/>
                <w:color w:val="auto"/>
                <w:sz w:val="24"/>
                <w:szCs w:val="24"/>
                <w:highlight w:val="none"/>
              </w:rPr>
            </w:pPr>
          </w:p>
        </w:tc>
        <w:tc>
          <w:tcPr>
            <w:tcW w:w="1746" w:type="dxa"/>
            <w:tcBorders>
              <w:left w:val="single" w:color="auto" w:sz="4" w:space="0"/>
            </w:tcBorders>
          </w:tcPr>
          <w:p>
            <w:pPr>
              <w:jc w:val="center"/>
              <w:rPr>
                <w:rFonts w:ascii="宋体"/>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982" w:type="dxa"/>
            <w:vAlign w:val="center"/>
          </w:tcPr>
          <w:p>
            <w:pPr>
              <w:jc w:val="center"/>
              <w:rPr>
                <w:rFonts w:ascii="宋体"/>
                <w:color w:val="auto"/>
                <w:sz w:val="24"/>
                <w:szCs w:val="24"/>
                <w:highlight w:val="none"/>
              </w:rPr>
            </w:pPr>
            <w:r>
              <w:rPr>
                <w:rFonts w:ascii="宋体" w:hAnsi="宋体" w:cs="宋体"/>
                <w:color w:val="auto"/>
                <w:sz w:val="24"/>
                <w:szCs w:val="24"/>
                <w:highlight w:val="none"/>
              </w:rPr>
              <w:t>2</w:t>
            </w:r>
          </w:p>
        </w:tc>
        <w:tc>
          <w:tcPr>
            <w:tcW w:w="2387" w:type="dxa"/>
          </w:tcPr>
          <w:p>
            <w:pPr>
              <w:jc w:val="center"/>
              <w:rPr>
                <w:rFonts w:ascii="宋体"/>
                <w:color w:val="auto"/>
                <w:sz w:val="24"/>
                <w:szCs w:val="24"/>
                <w:highlight w:val="none"/>
              </w:rPr>
            </w:pPr>
          </w:p>
        </w:tc>
        <w:tc>
          <w:tcPr>
            <w:tcW w:w="1462" w:type="dxa"/>
          </w:tcPr>
          <w:p>
            <w:pPr>
              <w:jc w:val="center"/>
              <w:rPr>
                <w:rFonts w:ascii="宋体"/>
                <w:color w:val="auto"/>
                <w:sz w:val="24"/>
                <w:szCs w:val="24"/>
                <w:highlight w:val="none"/>
              </w:rPr>
            </w:pPr>
          </w:p>
        </w:tc>
        <w:tc>
          <w:tcPr>
            <w:tcW w:w="2415" w:type="dxa"/>
            <w:tcBorders>
              <w:right w:val="single" w:color="auto" w:sz="4" w:space="0"/>
            </w:tcBorders>
          </w:tcPr>
          <w:p>
            <w:pPr>
              <w:jc w:val="center"/>
              <w:rPr>
                <w:rFonts w:ascii="宋体"/>
                <w:color w:val="auto"/>
                <w:sz w:val="24"/>
                <w:szCs w:val="24"/>
                <w:highlight w:val="none"/>
              </w:rPr>
            </w:pPr>
          </w:p>
        </w:tc>
        <w:tc>
          <w:tcPr>
            <w:tcW w:w="1746" w:type="dxa"/>
            <w:tcBorders>
              <w:left w:val="single" w:color="auto" w:sz="4" w:space="0"/>
            </w:tcBorders>
          </w:tcPr>
          <w:p>
            <w:pPr>
              <w:jc w:val="center"/>
              <w:rPr>
                <w:rFonts w:ascii="宋体"/>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982" w:type="dxa"/>
            <w:vAlign w:val="center"/>
          </w:tcPr>
          <w:p>
            <w:pPr>
              <w:jc w:val="center"/>
              <w:rPr>
                <w:rFonts w:ascii="宋体"/>
                <w:color w:val="auto"/>
                <w:sz w:val="24"/>
                <w:szCs w:val="24"/>
                <w:highlight w:val="none"/>
              </w:rPr>
            </w:pPr>
            <w:r>
              <w:rPr>
                <w:rFonts w:ascii="宋体" w:hAnsi="宋体" w:cs="宋体"/>
                <w:color w:val="auto"/>
                <w:sz w:val="24"/>
                <w:szCs w:val="24"/>
                <w:highlight w:val="none"/>
              </w:rPr>
              <w:t>3</w:t>
            </w:r>
          </w:p>
        </w:tc>
        <w:tc>
          <w:tcPr>
            <w:tcW w:w="2387" w:type="dxa"/>
          </w:tcPr>
          <w:p>
            <w:pPr>
              <w:jc w:val="center"/>
              <w:rPr>
                <w:rFonts w:ascii="宋体"/>
                <w:color w:val="auto"/>
                <w:sz w:val="24"/>
                <w:szCs w:val="24"/>
                <w:highlight w:val="none"/>
              </w:rPr>
            </w:pPr>
          </w:p>
        </w:tc>
        <w:tc>
          <w:tcPr>
            <w:tcW w:w="1462" w:type="dxa"/>
          </w:tcPr>
          <w:p>
            <w:pPr>
              <w:jc w:val="center"/>
              <w:rPr>
                <w:rFonts w:ascii="宋体"/>
                <w:color w:val="auto"/>
                <w:sz w:val="24"/>
                <w:szCs w:val="24"/>
                <w:highlight w:val="none"/>
              </w:rPr>
            </w:pPr>
          </w:p>
        </w:tc>
        <w:tc>
          <w:tcPr>
            <w:tcW w:w="2415" w:type="dxa"/>
            <w:tcBorders>
              <w:right w:val="single" w:color="auto" w:sz="4" w:space="0"/>
            </w:tcBorders>
          </w:tcPr>
          <w:p>
            <w:pPr>
              <w:jc w:val="center"/>
              <w:rPr>
                <w:rFonts w:ascii="宋体"/>
                <w:color w:val="auto"/>
                <w:sz w:val="24"/>
                <w:szCs w:val="24"/>
                <w:highlight w:val="none"/>
              </w:rPr>
            </w:pPr>
          </w:p>
        </w:tc>
        <w:tc>
          <w:tcPr>
            <w:tcW w:w="1746" w:type="dxa"/>
            <w:tcBorders>
              <w:left w:val="single" w:color="auto" w:sz="4" w:space="0"/>
            </w:tcBorders>
          </w:tcPr>
          <w:p>
            <w:pPr>
              <w:jc w:val="center"/>
              <w:rPr>
                <w:rFonts w:ascii="宋体"/>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982" w:type="dxa"/>
            <w:vAlign w:val="center"/>
          </w:tcPr>
          <w:p>
            <w:pPr>
              <w:jc w:val="center"/>
              <w:rPr>
                <w:rFonts w:ascii="宋体"/>
                <w:color w:val="auto"/>
                <w:sz w:val="24"/>
                <w:szCs w:val="24"/>
                <w:highlight w:val="none"/>
              </w:rPr>
            </w:pPr>
            <w:r>
              <w:rPr>
                <w:rFonts w:ascii="宋体" w:hAnsi="宋体" w:cs="宋体"/>
                <w:color w:val="auto"/>
                <w:sz w:val="24"/>
                <w:szCs w:val="24"/>
                <w:highlight w:val="none"/>
              </w:rPr>
              <w:t>4</w:t>
            </w:r>
          </w:p>
        </w:tc>
        <w:tc>
          <w:tcPr>
            <w:tcW w:w="2387" w:type="dxa"/>
          </w:tcPr>
          <w:p>
            <w:pPr>
              <w:jc w:val="center"/>
              <w:rPr>
                <w:rFonts w:ascii="宋体"/>
                <w:color w:val="auto"/>
                <w:sz w:val="24"/>
                <w:szCs w:val="24"/>
                <w:highlight w:val="none"/>
              </w:rPr>
            </w:pPr>
          </w:p>
        </w:tc>
        <w:tc>
          <w:tcPr>
            <w:tcW w:w="1462" w:type="dxa"/>
          </w:tcPr>
          <w:p>
            <w:pPr>
              <w:jc w:val="center"/>
              <w:rPr>
                <w:rFonts w:ascii="宋体"/>
                <w:color w:val="auto"/>
                <w:sz w:val="24"/>
                <w:szCs w:val="24"/>
                <w:highlight w:val="none"/>
              </w:rPr>
            </w:pPr>
          </w:p>
        </w:tc>
        <w:tc>
          <w:tcPr>
            <w:tcW w:w="2415" w:type="dxa"/>
            <w:tcBorders>
              <w:right w:val="single" w:color="auto" w:sz="4" w:space="0"/>
            </w:tcBorders>
          </w:tcPr>
          <w:p>
            <w:pPr>
              <w:jc w:val="center"/>
              <w:rPr>
                <w:rFonts w:ascii="宋体"/>
                <w:color w:val="auto"/>
                <w:sz w:val="24"/>
                <w:szCs w:val="24"/>
                <w:highlight w:val="none"/>
              </w:rPr>
            </w:pPr>
          </w:p>
        </w:tc>
        <w:tc>
          <w:tcPr>
            <w:tcW w:w="1746" w:type="dxa"/>
            <w:tcBorders>
              <w:left w:val="single" w:color="auto" w:sz="4" w:space="0"/>
            </w:tcBorders>
          </w:tcPr>
          <w:p>
            <w:pPr>
              <w:jc w:val="center"/>
              <w:rPr>
                <w:rFonts w:ascii="宋体"/>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982" w:type="dxa"/>
            <w:vAlign w:val="center"/>
          </w:tcPr>
          <w:p>
            <w:pPr>
              <w:jc w:val="center"/>
              <w:rPr>
                <w:rFonts w:ascii="宋体"/>
                <w:color w:val="auto"/>
                <w:sz w:val="24"/>
                <w:szCs w:val="24"/>
                <w:highlight w:val="none"/>
              </w:rPr>
            </w:pPr>
            <w:r>
              <w:rPr>
                <w:rFonts w:ascii="宋体" w:hAnsi="宋体" w:cs="宋体"/>
                <w:color w:val="auto"/>
                <w:sz w:val="24"/>
                <w:szCs w:val="24"/>
                <w:highlight w:val="none"/>
              </w:rPr>
              <w:t>5</w:t>
            </w:r>
          </w:p>
        </w:tc>
        <w:tc>
          <w:tcPr>
            <w:tcW w:w="2387" w:type="dxa"/>
          </w:tcPr>
          <w:p>
            <w:pPr>
              <w:jc w:val="center"/>
              <w:rPr>
                <w:rFonts w:ascii="宋体"/>
                <w:color w:val="auto"/>
                <w:sz w:val="24"/>
                <w:szCs w:val="24"/>
                <w:highlight w:val="none"/>
              </w:rPr>
            </w:pPr>
          </w:p>
        </w:tc>
        <w:tc>
          <w:tcPr>
            <w:tcW w:w="1462" w:type="dxa"/>
          </w:tcPr>
          <w:p>
            <w:pPr>
              <w:jc w:val="center"/>
              <w:rPr>
                <w:rFonts w:ascii="宋体"/>
                <w:color w:val="auto"/>
                <w:sz w:val="24"/>
                <w:szCs w:val="24"/>
                <w:highlight w:val="none"/>
              </w:rPr>
            </w:pPr>
          </w:p>
        </w:tc>
        <w:tc>
          <w:tcPr>
            <w:tcW w:w="2415" w:type="dxa"/>
            <w:tcBorders>
              <w:right w:val="single" w:color="auto" w:sz="4" w:space="0"/>
            </w:tcBorders>
          </w:tcPr>
          <w:p>
            <w:pPr>
              <w:jc w:val="center"/>
              <w:rPr>
                <w:rFonts w:ascii="宋体"/>
                <w:color w:val="auto"/>
                <w:sz w:val="24"/>
                <w:szCs w:val="24"/>
                <w:highlight w:val="none"/>
              </w:rPr>
            </w:pPr>
          </w:p>
        </w:tc>
        <w:tc>
          <w:tcPr>
            <w:tcW w:w="1746" w:type="dxa"/>
            <w:tcBorders>
              <w:left w:val="single" w:color="auto" w:sz="4" w:space="0"/>
            </w:tcBorders>
          </w:tcPr>
          <w:p>
            <w:pPr>
              <w:jc w:val="center"/>
              <w:rPr>
                <w:rFonts w:ascii="宋体"/>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982" w:type="dxa"/>
            <w:vAlign w:val="center"/>
          </w:tcPr>
          <w:p>
            <w:pPr>
              <w:jc w:val="center"/>
              <w:rPr>
                <w:rFonts w:ascii="宋体"/>
                <w:color w:val="auto"/>
                <w:sz w:val="24"/>
                <w:szCs w:val="24"/>
                <w:highlight w:val="none"/>
              </w:rPr>
            </w:pPr>
            <w:r>
              <w:rPr>
                <w:rFonts w:ascii="宋体" w:hAnsi="宋体" w:cs="宋体"/>
                <w:color w:val="auto"/>
                <w:sz w:val="24"/>
                <w:szCs w:val="24"/>
                <w:highlight w:val="none"/>
              </w:rPr>
              <w:t>6</w:t>
            </w:r>
          </w:p>
        </w:tc>
        <w:tc>
          <w:tcPr>
            <w:tcW w:w="2387" w:type="dxa"/>
          </w:tcPr>
          <w:p>
            <w:pPr>
              <w:jc w:val="center"/>
              <w:rPr>
                <w:rFonts w:ascii="宋体"/>
                <w:color w:val="auto"/>
                <w:sz w:val="24"/>
                <w:szCs w:val="24"/>
                <w:highlight w:val="none"/>
              </w:rPr>
            </w:pPr>
          </w:p>
        </w:tc>
        <w:tc>
          <w:tcPr>
            <w:tcW w:w="1462" w:type="dxa"/>
          </w:tcPr>
          <w:p>
            <w:pPr>
              <w:jc w:val="center"/>
              <w:rPr>
                <w:rFonts w:ascii="宋体"/>
                <w:color w:val="auto"/>
                <w:sz w:val="24"/>
                <w:szCs w:val="24"/>
                <w:highlight w:val="none"/>
              </w:rPr>
            </w:pPr>
          </w:p>
        </w:tc>
        <w:tc>
          <w:tcPr>
            <w:tcW w:w="2415" w:type="dxa"/>
            <w:tcBorders>
              <w:right w:val="single" w:color="auto" w:sz="4" w:space="0"/>
            </w:tcBorders>
          </w:tcPr>
          <w:p>
            <w:pPr>
              <w:jc w:val="center"/>
              <w:rPr>
                <w:rFonts w:ascii="宋体"/>
                <w:color w:val="auto"/>
                <w:sz w:val="24"/>
                <w:szCs w:val="24"/>
                <w:highlight w:val="none"/>
              </w:rPr>
            </w:pPr>
          </w:p>
        </w:tc>
        <w:tc>
          <w:tcPr>
            <w:tcW w:w="1746" w:type="dxa"/>
            <w:tcBorders>
              <w:left w:val="single" w:color="auto" w:sz="4" w:space="0"/>
            </w:tcBorders>
          </w:tcPr>
          <w:p>
            <w:pPr>
              <w:jc w:val="center"/>
              <w:rPr>
                <w:rFonts w:ascii="宋体"/>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982" w:type="dxa"/>
            <w:vAlign w:val="center"/>
          </w:tcPr>
          <w:p>
            <w:pPr>
              <w:jc w:val="center"/>
              <w:rPr>
                <w:rFonts w:ascii="宋体"/>
                <w:color w:val="auto"/>
                <w:sz w:val="24"/>
                <w:szCs w:val="24"/>
                <w:highlight w:val="none"/>
              </w:rPr>
            </w:pPr>
            <w:r>
              <w:rPr>
                <w:rFonts w:ascii="宋体" w:hAnsi="宋体" w:cs="宋体"/>
                <w:color w:val="auto"/>
                <w:sz w:val="24"/>
                <w:szCs w:val="24"/>
                <w:highlight w:val="none"/>
              </w:rPr>
              <w:t>7</w:t>
            </w:r>
          </w:p>
        </w:tc>
        <w:tc>
          <w:tcPr>
            <w:tcW w:w="2387" w:type="dxa"/>
          </w:tcPr>
          <w:p>
            <w:pPr>
              <w:jc w:val="center"/>
              <w:rPr>
                <w:rFonts w:ascii="宋体"/>
                <w:color w:val="auto"/>
                <w:sz w:val="24"/>
                <w:szCs w:val="24"/>
                <w:highlight w:val="none"/>
              </w:rPr>
            </w:pPr>
          </w:p>
        </w:tc>
        <w:tc>
          <w:tcPr>
            <w:tcW w:w="1462" w:type="dxa"/>
          </w:tcPr>
          <w:p>
            <w:pPr>
              <w:jc w:val="center"/>
              <w:rPr>
                <w:rFonts w:ascii="宋体"/>
                <w:color w:val="auto"/>
                <w:sz w:val="24"/>
                <w:szCs w:val="24"/>
                <w:highlight w:val="none"/>
              </w:rPr>
            </w:pPr>
          </w:p>
        </w:tc>
        <w:tc>
          <w:tcPr>
            <w:tcW w:w="2415" w:type="dxa"/>
            <w:tcBorders>
              <w:right w:val="single" w:color="auto" w:sz="4" w:space="0"/>
            </w:tcBorders>
          </w:tcPr>
          <w:p>
            <w:pPr>
              <w:jc w:val="center"/>
              <w:rPr>
                <w:rFonts w:ascii="宋体"/>
                <w:color w:val="auto"/>
                <w:sz w:val="24"/>
                <w:szCs w:val="24"/>
                <w:highlight w:val="none"/>
              </w:rPr>
            </w:pPr>
          </w:p>
        </w:tc>
        <w:tc>
          <w:tcPr>
            <w:tcW w:w="1746" w:type="dxa"/>
            <w:tcBorders>
              <w:left w:val="single" w:color="auto" w:sz="4" w:space="0"/>
            </w:tcBorders>
          </w:tcPr>
          <w:p>
            <w:pPr>
              <w:jc w:val="center"/>
              <w:rPr>
                <w:rFonts w:ascii="宋体"/>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982" w:type="dxa"/>
            <w:vAlign w:val="center"/>
          </w:tcPr>
          <w:p>
            <w:pPr>
              <w:jc w:val="center"/>
              <w:rPr>
                <w:rFonts w:ascii="宋体"/>
                <w:color w:val="auto"/>
                <w:sz w:val="24"/>
                <w:szCs w:val="24"/>
                <w:highlight w:val="none"/>
              </w:rPr>
            </w:pPr>
            <w:r>
              <w:rPr>
                <w:rFonts w:ascii="宋体" w:hAnsi="宋体" w:cs="宋体"/>
                <w:color w:val="auto"/>
                <w:sz w:val="24"/>
                <w:szCs w:val="24"/>
                <w:highlight w:val="none"/>
              </w:rPr>
              <w:t>8</w:t>
            </w:r>
          </w:p>
        </w:tc>
        <w:tc>
          <w:tcPr>
            <w:tcW w:w="2387" w:type="dxa"/>
          </w:tcPr>
          <w:p>
            <w:pPr>
              <w:jc w:val="center"/>
              <w:rPr>
                <w:rFonts w:ascii="宋体"/>
                <w:color w:val="auto"/>
                <w:sz w:val="24"/>
                <w:szCs w:val="24"/>
                <w:highlight w:val="none"/>
              </w:rPr>
            </w:pPr>
          </w:p>
        </w:tc>
        <w:tc>
          <w:tcPr>
            <w:tcW w:w="1462" w:type="dxa"/>
          </w:tcPr>
          <w:p>
            <w:pPr>
              <w:jc w:val="center"/>
              <w:rPr>
                <w:rFonts w:ascii="宋体"/>
                <w:color w:val="auto"/>
                <w:sz w:val="24"/>
                <w:szCs w:val="24"/>
                <w:highlight w:val="none"/>
              </w:rPr>
            </w:pPr>
          </w:p>
        </w:tc>
        <w:tc>
          <w:tcPr>
            <w:tcW w:w="2415" w:type="dxa"/>
            <w:tcBorders>
              <w:right w:val="single" w:color="auto" w:sz="4" w:space="0"/>
            </w:tcBorders>
          </w:tcPr>
          <w:p>
            <w:pPr>
              <w:jc w:val="center"/>
              <w:rPr>
                <w:rFonts w:ascii="宋体"/>
                <w:color w:val="auto"/>
                <w:sz w:val="24"/>
                <w:szCs w:val="24"/>
                <w:highlight w:val="none"/>
              </w:rPr>
            </w:pPr>
          </w:p>
        </w:tc>
        <w:tc>
          <w:tcPr>
            <w:tcW w:w="1746" w:type="dxa"/>
            <w:tcBorders>
              <w:left w:val="single" w:color="auto" w:sz="4" w:space="0"/>
            </w:tcBorders>
          </w:tcPr>
          <w:p>
            <w:pPr>
              <w:jc w:val="center"/>
              <w:rPr>
                <w:rFonts w:ascii="宋体"/>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982" w:type="dxa"/>
            <w:vAlign w:val="center"/>
          </w:tcPr>
          <w:p>
            <w:pPr>
              <w:jc w:val="center"/>
              <w:rPr>
                <w:rFonts w:ascii="宋体"/>
                <w:color w:val="auto"/>
                <w:sz w:val="24"/>
                <w:szCs w:val="24"/>
                <w:highlight w:val="none"/>
              </w:rPr>
            </w:pPr>
            <w:r>
              <w:rPr>
                <w:rFonts w:hint="eastAsia" w:ascii="宋体" w:hAnsi="宋体" w:cs="宋体"/>
                <w:color w:val="auto"/>
                <w:sz w:val="24"/>
                <w:szCs w:val="24"/>
                <w:highlight w:val="none"/>
              </w:rPr>
              <w:t>合计</w:t>
            </w:r>
          </w:p>
        </w:tc>
        <w:tc>
          <w:tcPr>
            <w:tcW w:w="2387" w:type="dxa"/>
          </w:tcPr>
          <w:p>
            <w:pPr>
              <w:jc w:val="center"/>
              <w:rPr>
                <w:rFonts w:ascii="宋体"/>
                <w:color w:val="auto"/>
                <w:sz w:val="24"/>
                <w:szCs w:val="24"/>
                <w:highlight w:val="none"/>
              </w:rPr>
            </w:pPr>
          </w:p>
        </w:tc>
        <w:tc>
          <w:tcPr>
            <w:tcW w:w="1462" w:type="dxa"/>
          </w:tcPr>
          <w:p>
            <w:pPr>
              <w:jc w:val="center"/>
              <w:rPr>
                <w:rFonts w:ascii="宋体"/>
                <w:color w:val="auto"/>
                <w:sz w:val="24"/>
                <w:szCs w:val="24"/>
                <w:highlight w:val="none"/>
              </w:rPr>
            </w:pPr>
          </w:p>
        </w:tc>
        <w:tc>
          <w:tcPr>
            <w:tcW w:w="2415" w:type="dxa"/>
            <w:tcBorders>
              <w:right w:val="single" w:color="auto" w:sz="4" w:space="0"/>
            </w:tcBorders>
          </w:tcPr>
          <w:p>
            <w:pPr>
              <w:jc w:val="center"/>
              <w:rPr>
                <w:rFonts w:ascii="宋体"/>
                <w:color w:val="auto"/>
                <w:sz w:val="24"/>
                <w:szCs w:val="24"/>
                <w:highlight w:val="none"/>
              </w:rPr>
            </w:pPr>
          </w:p>
        </w:tc>
        <w:tc>
          <w:tcPr>
            <w:tcW w:w="1746" w:type="dxa"/>
            <w:tcBorders>
              <w:left w:val="single" w:color="auto" w:sz="4" w:space="0"/>
            </w:tcBorders>
          </w:tcPr>
          <w:p>
            <w:pPr>
              <w:jc w:val="center"/>
              <w:rPr>
                <w:rFonts w:ascii="宋体"/>
                <w:color w:val="auto"/>
                <w:sz w:val="24"/>
                <w:szCs w:val="24"/>
                <w:highlight w:val="none"/>
              </w:rPr>
            </w:pPr>
          </w:p>
        </w:tc>
      </w:tr>
    </w:tbl>
    <w:p>
      <w:pPr>
        <w:spacing w:line="360" w:lineRule="auto"/>
        <w:ind w:firstLine="480" w:firstLineChars="200"/>
        <w:rPr>
          <w:rFonts w:ascii="宋体"/>
          <w:color w:val="auto"/>
          <w:sz w:val="24"/>
          <w:szCs w:val="24"/>
          <w:highlight w:val="none"/>
        </w:rPr>
      </w:pPr>
    </w:p>
    <w:p>
      <w:pPr>
        <w:spacing w:line="360" w:lineRule="auto"/>
        <w:ind w:left="3780" w:leftChars="1800" w:firstLine="480" w:firstLineChars="200"/>
        <w:rPr>
          <w:rFonts w:ascii="宋体"/>
          <w:color w:val="auto"/>
          <w:sz w:val="24"/>
          <w:szCs w:val="24"/>
          <w:highlight w:val="none"/>
        </w:rPr>
      </w:pPr>
    </w:p>
    <w:p>
      <w:pPr>
        <w:spacing w:line="360" w:lineRule="auto"/>
        <w:ind w:left="3780" w:leftChars="1800" w:firstLine="480" w:firstLineChars="200"/>
        <w:rPr>
          <w:rFonts w:ascii="宋体"/>
          <w:color w:val="auto"/>
          <w:sz w:val="24"/>
          <w:szCs w:val="24"/>
          <w:highlight w:val="none"/>
        </w:rPr>
      </w:pPr>
      <w:r>
        <w:rPr>
          <w:rFonts w:hint="eastAsia" w:ascii="宋体" w:hAnsi="宋体" w:cs="宋体"/>
          <w:color w:val="auto"/>
          <w:sz w:val="24"/>
          <w:szCs w:val="24"/>
          <w:highlight w:val="none"/>
        </w:rPr>
        <w:t>法定代表人签名（或签名章）：</w:t>
      </w:r>
      <w:r>
        <w:rPr>
          <w:rFonts w:ascii="宋体" w:hAnsi="宋体" w:cs="宋体"/>
          <w:color w:val="auto"/>
          <w:sz w:val="24"/>
          <w:szCs w:val="24"/>
          <w:highlight w:val="none"/>
        </w:rPr>
        <w:t xml:space="preserve">                       </w:t>
      </w:r>
    </w:p>
    <w:p>
      <w:pPr>
        <w:spacing w:line="360" w:lineRule="auto"/>
        <w:ind w:left="3780" w:leftChars="1800" w:firstLine="480" w:firstLineChars="200"/>
        <w:rPr>
          <w:rFonts w:ascii="宋体"/>
          <w:color w:val="auto"/>
          <w:sz w:val="24"/>
          <w:szCs w:val="24"/>
          <w:highlight w:val="none"/>
        </w:rPr>
      </w:pPr>
      <w:r>
        <w:rPr>
          <w:rFonts w:hint="eastAsia" w:ascii="宋体" w:hAnsi="宋体" w:cs="宋体"/>
          <w:color w:val="auto"/>
          <w:sz w:val="24"/>
          <w:szCs w:val="24"/>
          <w:highlight w:val="none"/>
        </w:rPr>
        <w:t>日</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期：</w:t>
      </w:r>
    </w:p>
    <w:p>
      <w:pPr>
        <w:spacing w:line="360" w:lineRule="auto"/>
        <w:ind w:left="3780" w:leftChars="1800" w:firstLine="480" w:firstLineChars="200"/>
        <w:rPr>
          <w:rFonts w:ascii="宋体"/>
          <w:color w:val="auto"/>
          <w:sz w:val="24"/>
          <w:szCs w:val="24"/>
          <w:highlight w:val="none"/>
        </w:rPr>
      </w:pPr>
      <w:r>
        <w:rPr>
          <w:rFonts w:hint="eastAsia" w:ascii="宋体" w:hAnsi="宋体" w:cs="宋体"/>
          <w:color w:val="auto"/>
          <w:sz w:val="24"/>
          <w:szCs w:val="24"/>
          <w:highlight w:val="none"/>
        </w:rPr>
        <w:t>供应商全称（公章）：</w:t>
      </w:r>
    </w:p>
    <w:p>
      <w:pPr>
        <w:snapToGrid w:val="0"/>
        <w:spacing w:before="50" w:afterLines="50"/>
        <w:jc w:val="left"/>
        <w:rPr>
          <w:rFonts w:ascii="宋体"/>
          <w:b/>
          <w:bCs/>
          <w:color w:val="auto"/>
          <w:sz w:val="24"/>
          <w:szCs w:val="24"/>
          <w:highlight w:val="none"/>
          <w:lang w:val="zh-CN"/>
        </w:rPr>
      </w:pPr>
      <w:r>
        <w:rPr>
          <w:rFonts w:ascii="宋体"/>
          <w:b/>
          <w:bCs/>
          <w:color w:val="auto"/>
          <w:sz w:val="30"/>
          <w:szCs w:val="30"/>
          <w:highlight w:val="none"/>
        </w:rPr>
        <w:br w:type="page"/>
      </w:r>
      <w:r>
        <w:rPr>
          <w:rFonts w:hint="eastAsia" w:ascii="宋体" w:hAnsi="宋体" w:cs="宋体"/>
          <w:b/>
          <w:bCs/>
          <w:color w:val="auto"/>
          <w:sz w:val="24"/>
          <w:szCs w:val="24"/>
          <w:highlight w:val="none"/>
          <w:lang w:val="zh-CN"/>
        </w:rPr>
        <w:t>附件</w:t>
      </w:r>
      <w:r>
        <w:rPr>
          <w:rFonts w:hint="eastAsia" w:ascii="宋体" w:hAnsi="宋体" w:cs="宋体"/>
          <w:b/>
          <w:bCs/>
          <w:color w:val="auto"/>
          <w:sz w:val="24"/>
          <w:szCs w:val="24"/>
          <w:highlight w:val="none"/>
          <w:lang w:val="en-US" w:eastAsia="zh-CN"/>
        </w:rPr>
        <w:t>九</w:t>
      </w:r>
      <w:r>
        <w:rPr>
          <w:rFonts w:hint="eastAsia" w:ascii="宋体" w:hAnsi="宋体" w:cs="宋体"/>
          <w:b/>
          <w:bCs/>
          <w:color w:val="auto"/>
          <w:sz w:val="24"/>
          <w:szCs w:val="24"/>
          <w:highlight w:val="none"/>
          <w:lang w:val="zh-CN"/>
        </w:rPr>
        <w:t>：</w:t>
      </w:r>
    </w:p>
    <w:p>
      <w:pPr>
        <w:spacing w:line="360" w:lineRule="auto"/>
        <w:jc w:val="center"/>
        <w:rPr>
          <w:rFonts w:ascii="宋体"/>
          <w:b/>
          <w:bCs/>
          <w:color w:val="auto"/>
          <w:sz w:val="32"/>
          <w:szCs w:val="32"/>
          <w:highlight w:val="none"/>
        </w:rPr>
      </w:pPr>
      <w:r>
        <w:rPr>
          <w:rFonts w:hint="eastAsia" w:ascii="宋体" w:hAnsi="宋体" w:cs="宋体"/>
          <w:b/>
          <w:bCs/>
          <w:color w:val="auto"/>
          <w:sz w:val="32"/>
          <w:szCs w:val="32"/>
          <w:highlight w:val="none"/>
          <w:lang w:val="en-US" w:eastAsia="zh-CN"/>
        </w:rPr>
        <w:t>磋商</w:t>
      </w:r>
      <w:r>
        <w:rPr>
          <w:rFonts w:hint="eastAsia" w:ascii="宋体" w:hAnsi="宋体" w:cs="宋体"/>
          <w:b/>
          <w:bCs/>
          <w:color w:val="auto"/>
          <w:sz w:val="32"/>
          <w:szCs w:val="32"/>
          <w:highlight w:val="none"/>
        </w:rPr>
        <w:t>项目明细清单</w:t>
      </w:r>
    </w:p>
    <w:p>
      <w:pPr>
        <w:spacing w:line="360" w:lineRule="auto"/>
        <w:ind w:firstLine="480" w:firstLineChars="200"/>
        <w:rPr>
          <w:rFonts w:ascii="宋体"/>
          <w:color w:val="auto"/>
          <w:sz w:val="24"/>
          <w:szCs w:val="24"/>
          <w:highlight w:val="none"/>
        </w:rPr>
      </w:pPr>
    </w:p>
    <w:p>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项目名称：</w:t>
      </w:r>
    </w:p>
    <w:p>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采购编号：</w:t>
      </w:r>
    </w:p>
    <w:tbl>
      <w:tblPr>
        <w:tblStyle w:val="27"/>
        <w:tblW w:w="904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4"/>
        <w:gridCol w:w="2829"/>
        <w:gridCol w:w="2829"/>
        <w:gridCol w:w="283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bottom w:val="single" w:color="auto" w:sz="4" w:space="0"/>
              <w:right w:val="single" w:color="auto" w:sz="4" w:space="0"/>
            </w:tcBorders>
            <w:vAlign w:val="center"/>
          </w:tcPr>
          <w:p>
            <w:pPr>
              <w:snapToGrid w:val="0"/>
              <w:spacing w:before="50" w:after="50"/>
              <w:jc w:val="center"/>
              <w:rPr>
                <w:rFonts w:ascii="宋体"/>
                <w:color w:val="auto"/>
                <w:sz w:val="24"/>
                <w:szCs w:val="24"/>
                <w:highlight w:val="none"/>
              </w:rPr>
            </w:pPr>
            <w:r>
              <w:rPr>
                <w:rFonts w:hint="eastAsia" w:ascii="宋体" w:hAnsi="宋体" w:cs="宋体"/>
                <w:color w:val="auto"/>
                <w:sz w:val="24"/>
                <w:szCs w:val="24"/>
                <w:highlight w:val="none"/>
              </w:rPr>
              <w:t>序号</w:t>
            </w:r>
          </w:p>
        </w:tc>
        <w:tc>
          <w:tcPr>
            <w:tcW w:w="282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color w:val="auto"/>
                <w:sz w:val="24"/>
                <w:szCs w:val="24"/>
                <w:highlight w:val="none"/>
              </w:rPr>
            </w:pPr>
            <w:r>
              <w:rPr>
                <w:rFonts w:hint="eastAsia" w:ascii="宋体" w:hAnsi="宋体" w:cs="宋体"/>
                <w:color w:val="auto"/>
                <w:sz w:val="24"/>
                <w:szCs w:val="24"/>
                <w:highlight w:val="none"/>
              </w:rPr>
              <w:t>服务内容</w:t>
            </w:r>
          </w:p>
        </w:tc>
        <w:tc>
          <w:tcPr>
            <w:tcW w:w="282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color w:val="auto"/>
                <w:sz w:val="24"/>
                <w:szCs w:val="24"/>
                <w:highlight w:val="none"/>
              </w:rPr>
            </w:pPr>
            <w:r>
              <w:rPr>
                <w:rFonts w:hint="eastAsia" w:ascii="宋体" w:hAnsi="宋体" w:cs="宋体"/>
                <w:color w:val="auto"/>
                <w:sz w:val="24"/>
                <w:szCs w:val="24"/>
                <w:highlight w:val="none"/>
              </w:rPr>
              <w:t>服务人员数量</w:t>
            </w:r>
          </w:p>
        </w:tc>
        <w:tc>
          <w:tcPr>
            <w:tcW w:w="2830" w:type="dxa"/>
            <w:tcBorders>
              <w:top w:val="single" w:color="auto" w:sz="4" w:space="0"/>
              <w:left w:val="single" w:color="auto" w:sz="4" w:space="0"/>
              <w:bottom w:val="single" w:color="auto" w:sz="4" w:space="0"/>
            </w:tcBorders>
            <w:vAlign w:val="center"/>
          </w:tcPr>
          <w:p>
            <w:pPr>
              <w:snapToGrid w:val="0"/>
              <w:spacing w:before="50" w:after="50"/>
              <w:jc w:val="center"/>
              <w:rPr>
                <w:rFonts w:ascii="宋体"/>
                <w:color w:val="auto"/>
                <w:sz w:val="24"/>
                <w:szCs w:val="24"/>
                <w:highlight w:val="none"/>
              </w:rPr>
            </w:pPr>
            <w:r>
              <w:rPr>
                <w:rFonts w:hint="eastAsia" w:ascii="宋体" w:hAnsi="宋体" w:cs="宋体"/>
                <w:color w:val="auto"/>
                <w:sz w:val="24"/>
                <w:szCs w:val="24"/>
                <w:highlight w:val="none"/>
              </w:rPr>
              <w:t>工作量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bottom w:val="single" w:color="auto" w:sz="4" w:space="0"/>
              <w:right w:val="single" w:color="auto" w:sz="4" w:space="0"/>
            </w:tcBorders>
            <w:vAlign w:val="center"/>
          </w:tcPr>
          <w:p>
            <w:pPr>
              <w:snapToGrid w:val="0"/>
              <w:spacing w:before="50" w:after="50"/>
              <w:jc w:val="center"/>
              <w:rPr>
                <w:rFonts w:ascii="宋体"/>
                <w:color w:val="auto"/>
                <w:sz w:val="24"/>
                <w:szCs w:val="24"/>
                <w:highlight w:val="none"/>
              </w:rPr>
            </w:pPr>
          </w:p>
        </w:tc>
        <w:tc>
          <w:tcPr>
            <w:tcW w:w="282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color w:val="auto"/>
                <w:sz w:val="24"/>
                <w:szCs w:val="24"/>
                <w:highlight w:val="none"/>
              </w:rPr>
            </w:pPr>
          </w:p>
        </w:tc>
        <w:tc>
          <w:tcPr>
            <w:tcW w:w="2829" w:type="dxa"/>
            <w:tcBorders>
              <w:top w:val="single" w:color="auto" w:sz="4" w:space="0"/>
              <w:left w:val="single" w:color="auto" w:sz="4" w:space="0"/>
              <w:bottom w:val="single" w:color="auto" w:sz="4" w:space="0"/>
              <w:right w:val="single" w:color="auto" w:sz="4" w:space="0"/>
            </w:tcBorders>
            <w:vAlign w:val="center"/>
          </w:tcPr>
          <w:p>
            <w:pPr>
              <w:snapToGrid w:val="0"/>
              <w:spacing w:before="50" w:after="50"/>
              <w:ind w:left="480" w:hanging="480"/>
              <w:jc w:val="center"/>
              <w:rPr>
                <w:rFonts w:ascii="宋体"/>
                <w:color w:val="auto"/>
                <w:sz w:val="24"/>
                <w:szCs w:val="24"/>
                <w:highlight w:val="none"/>
              </w:rPr>
            </w:pPr>
          </w:p>
        </w:tc>
        <w:tc>
          <w:tcPr>
            <w:tcW w:w="2830" w:type="dxa"/>
            <w:tcBorders>
              <w:top w:val="single" w:color="auto" w:sz="4" w:space="0"/>
              <w:left w:val="single" w:color="auto" w:sz="4" w:space="0"/>
              <w:bottom w:val="single" w:color="auto" w:sz="4" w:space="0"/>
            </w:tcBorders>
            <w:vAlign w:val="center"/>
          </w:tcPr>
          <w:p>
            <w:pPr>
              <w:snapToGrid w:val="0"/>
              <w:spacing w:before="50" w:after="50"/>
              <w:jc w:val="center"/>
              <w:rPr>
                <w:rFonts w:asci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bottom w:val="single" w:color="auto" w:sz="4" w:space="0"/>
              <w:right w:val="single" w:color="auto" w:sz="4" w:space="0"/>
            </w:tcBorders>
            <w:vAlign w:val="center"/>
          </w:tcPr>
          <w:p>
            <w:pPr>
              <w:snapToGrid w:val="0"/>
              <w:spacing w:before="50" w:after="50"/>
              <w:jc w:val="center"/>
              <w:rPr>
                <w:rFonts w:ascii="宋体"/>
                <w:color w:val="auto"/>
                <w:sz w:val="24"/>
                <w:szCs w:val="24"/>
                <w:highlight w:val="none"/>
              </w:rPr>
            </w:pPr>
          </w:p>
        </w:tc>
        <w:tc>
          <w:tcPr>
            <w:tcW w:w="282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color w:val="auto"/>
                <w:sz w:val="24"/>
                <w:szCs w:val="24"/>
                <w:highlight w:val="none"/>
              </w:rPr>
            </w:pPr>
          </w:p>
        </w:tc>
        <w:tc>
          <w:tcPr>
            <w:tcW w:w="2829" w:type="dxa"/>
            <w:tcBorders>
              <w:top w:val="single" w:color="auto" w:sz="4" w:space="0"/>
              <w:left w:val="single" w:color="auto" w:sz="4" w:space="0"/>
              <w:bottom w:val="single" w:color="auto" w:sz="4" w:space="0"/>
              <w:right w:val="single" w:color="auto" w:sz="4" w:space="0"/>
            </w:tcBorders>
            <w:vAlign w:val="center"/>
          </w:tcPr>
          <w:p>
            <w:pPr>
              <w:snapToGrid w:val="0"/>
              <w:spacing w:before="50" w:after="50"/>
              <w:ind w:left="480" w:hanging="480"/>
              <w:jc w:val="center"/>
              <w:rPr>
                <w:rFonts w:ascii="宋体"/>
                <w:color w:val="auto"/>
                <w:sz w:val="24"/>
                <w:szCs w:val="24"/>
                <w:highlight w:val="none"/>
              </w:rPr>
            </w:pPr>
          </w:p>
        </w:tc>
        <w:tc>
          <w:tcPr>
            <w:tcW w:w="2830" w:type="dxa"/>
            <w:tcBorders>
              <w:top w:val="single" w:color="auto" w:sz="4" w:space="0"/>
              <w:left w:val="single" w:color="auto" w:sz="4" w:space="0"/>
              <w:bottom w:val="single" w:color="auto" w:sz="4" w:space="0"/>
            </w:tcBorders>
            <w:vAlign w:val="center"/>
          </w:tcPr>
          <w:p>
            <w:pPr>
              <w:snapToGrid w:val="0"/>
              <w:spacing w:before="50" w:after="50"/>
              <w:jc w:val="center"/>
              <w:rPr>
                <w:rFonts w:ascii="宋体"/>
                <w:color w:val="auto"/>
                <w:sz w:val="24"/>
                <w:szCs w:val="24"/>
                <w:highlight w:val="none"/>
              </w:rPr>
            </w:pPr>
          </w:p>
        </w:tc>
      </w:tr>
    </w:tbl>
    <w:p>
      <w:pPr>
        <w:snapToGrid w:val="0"/>
        <w:spacing w:beforeLines="50"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注：在填写时，如上表不适合本项目的实际情况，可在确保投标明细内容完整的情况下，根据上表格式自行划表填写。</w:t>
      </w:r>
    </w:p>
    <w:p>
      <w:pPr>
        <w:pStyle w:val="12"/>
        <w:rPr>
          <w:rFonts w:cs="Times New Roman"/>
          <w:color w:val="auto"/>
          <w:highlight w:val="none"/>
        </w:rPr>
      </w:pPr>
    </w:p>
    <w:p>
      <w:pPr>
        <w:pStyle w:val="12"/>
        <w:rPr>
          <w:rFonts w:cs="Times New Roman"/>
          <w:color w:val="auto"/>
          <w:highlight w:val="none"/>
        </w:rPr>
      </w:pPr>
    </w:p>
    <w:p>
      <w:pPr>
        <w:pStyle w:val="12"/>
        <w:rPr>
          <w:rFonts w:cs="Times New Roman"/>
          <w:color w:val="auto"/>
          <w:highlight w:val="none"/>
        </w:rPr>
      </w:pPr>
    </w:p>
    <w:p>
      <w:pPr>
        <w:snapToGrid w:val="0"/>
        <w:spacing w:beforeLines="50"/>
        <w:rPr>
          <w:rFonts w:ascii="宋体"/>
          <w:color w:val="auto"/>
          <w:sz w:val="24"/>
          <w:szCs w:val="24"/>
          <w:highlight w:val="none"/>
        </w:rPr>
      </w:pPr>
    </w:p>
    <w:p>
      <w:pPr>
        <w:spacing w:line="360" w:lineRule="auto"/>
        <w:ind w:left="3780" w:leftChars="1800" w:firstLine="480" w:firstLineChars="200"/>
        <w:rPr>
          <w:rFonts w:ascii="宋体"/>
          <w:color w:val="auto"/>
          <w:sz w:val="24"/>
          <w:szCs w:val="24"/>
          <w:highlight w:val="none"/>
        </w:rPr>
      </w:pPr>
      <w:r>
        <w:rPr>
          <w:rFonts w:hint="eastAsia" w:ascii="宋体" w:hAnsi="宋体" w:cs="宋体"/>
          <w:color w:val="auto"/>
          <w:sz w:val="24"/>
          <w:szCs w:val="24"/>
          <w:highlight w:val="none"/>
        </w:rPr>
        <w:t>法定代表人签名（或签名章）：</w:t>
      </w:r>
      <w:r>
        <w:rPr>
          <w:rFonts w:ascii="宋体" w:hAnsi="宋体" w:cs="宋体"/>
          <w:color w:val="auto"/>
          <w:sz w:val="24"/>
          <w:szCs w:val="24"/>
          <w:highlight w:val="none"/>
        </w:rPr>
        <w:t xml:space="preserve">                       </w:t>
      </w:r>
    </w:p>
    <w:p>
      <w:pPr>
        <w:spacing w:line="360" w:lineRule="auto"/>
        <w:ind w:left="3780" w:leftChars="1800" w:firstLine="480" w:firstLineChars="200"/>
        <w:rPr>
          <w:rFonts w:ascii="宋体"/>
          <w:color w:val="auto"/>
          <w:sz w:val="24"/>
          <w:szCs w:val="24"/>
          <w:highlight w:val="none"/>
        </w:rPr>
      </w:pPr>
      <w:r>
        <w:rPr>
          <w:rFonts w:hint="eastAsia" w:ascii="宋体" w:hAnsi="宋体" w:cs="宋体"/>
          <w:color w:val="auto"/>
          <w:sz w:val="24"/>
          <w:szCs w:val="24"/>
          <w:highlight w:val="none"/>
        </w:rPr>
        <w:t>日</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期：</w:t>
      </w:r>
    </w:p>
    <w:p>
      <w:pPr>
        <w:spacing w:line="360" w:lineRule="auto"/>
        <w:ind w:left="3780" w:leftChars="1800" w:firstLine="480" w:firstLineChars="200"/>
        <w:rPr>
          <w:rFonts w:ascii="宋体"/>
          <w:color w:val="auto"/>
          <w:sz w:val="24"/>
          <w:szCs w:val="24"/>
          <w:highlight w:val="none"/>
        </w:rPr>
      </w:pPr>
      <w:r>
        <w:rPr>
          <w:rFonts w:hint="eastAsia" w:ascii="宋体" w:hAnsi="宋体" w:cs="宋体"/>
          <w:color w:val="auto"/>
          <w:sz w:val="24"/>
          <w:szCs w:val="24"/>
          <w:highlight w:val="none"/>
        </w:rPr>
        <w:t>供应商全称（公章）：</w:t>
      </w:r>
    </w:p>
    <w:p>
      <w:pPr>
        <w:snapToGrid w:val="0"/>
        <w:spacing w:before="50" w:after="50"/>
        <w:rPr>
          <w:rFonts w:ascii="宋体"/>
          <w:color w:val="auto"/>
          <w:spacing w:val="20"/>
          <w:sz w:val="24"/>
          <w:szCs w:val="24"/>
          <w:highlight w:val="none"/>
        </w:rPr>
      </w:pPr>
    </w:p>
    <w:p>
      <w:pPr>
        <w:snapToGrid w:val="0"/>
        <w:spacing w:before="50" w:after="50"/>
        <w:rPr>
          <w:rFonts w:ascii="宋体"/>
          <w:color w:val="auto"/>
          <w:spacing w:val="20"/>
          <w:sz w:val="30"/>
          <w:szCs w:val="30"/>
          <w:highlight w:val="none"/>
        </w:rPr>
      </w:pPr>
    </w:p>
    <w:p>
      <w:pPr>
        <w:pStyle w:val="12"/>
        <w:ind w:firstLine="686"/>
        <w:rPr>
          <w:rFonts w:cs="Times New Roman"/>
          <w:color w:val="auto"/>
          <w:spacing w:val="20"/>
          <w:sz w:val="30"/>
          <w:szCs w:val="30"/>
          <w:highlight w:val="none"/>
        </w:rPr>
      </w:pPr>
    </w:p>
    <w:p>
      <w:pPr>
        <w:pStyle w:val="12"/>
        <w:ind w:firstLine="686"/>
        <w:rPr>
          <w:rFonts w:cs="Times New Roman"/>
          <w:color w:val="auto"/>
          <w:spacing w:val="20"/>
          <w:sz w:val="30"/>
          <w:szCs w:val="30"/>
          <w:highlight w:val="none"/>
        </w:rPr>
        <w:sectPr>
          <w:pgSz w:w="11906" w:h="16838"/>
          <w:pgMar w:top="1440" w:right="1800" w:bottom="1440" w:left="1800" w:header="851" w:footer="992" w:gutter="0"/>
          <w:cols w:space="425" w:num="1"/>
          <w:docGrid w:type="lines" w:linePitch="312" w:charSpace="0"/>
        </w:sectPr>
      </w:pPr>
    </w:p>
    <w:p>
      <w:pPr>
        <w:rPr>
          <w:b/>
          <w:bCs/>
          <w:color w:val="auto"/>
          <w:sz w:val="24"/>
          <w:szCs w:val="24"/>
          <w:highlight w:val="none"/>
        </w:rPr>
      </w:pPr>
      <w:bookmarkStart w:id="117" w:name="_Toc2823"/>
      <w:r>
        <w:rPr>
          <w:rFonts w:hint="eastAsia" w:cs="宋体"/>
          <w:b/>
          <w:bCs/>
          <w:color w:val="auto"/>
          <w:sz w:val="24"/>
          <w:szCs w:val="24"/>
          <w:highlight w:val="none"/>
        </w:rPr>
        <w:t>附件</w:t>
      </w:r>
      <w:r>
        <w:rPr>
          <w:rFonts w:hint="eastAsia" w:cs="宋体"/>
          <w:b/>
          <w:bCs/>
          <w:color w:val="auto"/>
          <w:sz w:val="24"/>
          <w:szCs w:val="24"/>
          <w:highlight w:val="none"/>
          <w:lang w:val="en-US" w:eastAsia="zh-CN"/>
        </w:rPr>
        <w:t>十</w:t>
      </w:r>
      <w:r>
        <w:rPr>
          <w:rFonts w:hint="eastAsia" w:cs="宋体"/>
          <w:b/>
          <w:bCs/>
          <w:color w:val="auto"/>
          <w:sz w:val="24"/>
          <w:szCs w:val="24"/>
          <w:highlight w:val="none"/>
        </w:rPr>
        <w:t>：</w:t>
      </w:r>
    </w:p>
    <w:p>
      <w:pPr>
        <w:spacing w:line="360" w:lineRule="auto"/>
        <w:jc w:val="center"/>
        <w:rPr>
          <w:rFonts w:ascii="宋体"/>
          <w:b/>
          <w:bCs/>
          <w:color w:val="auto"/>
          <w:sz w:val="32"/>
          <w:szCs w:val="32"/>
          <w:highlight w:val="none"/>
        </w:rPr>
      </w:pPr>
      <w:r>
        <w:rPr>
          <w:rFonts w:hint="eastAsia" w:ascii="宋体" w:hAnsi="宋体" w:cs="宋体"/>
          <w:b/>
          <w:bCs/>
          <w:color w:val="auto"/>
          <w:sz w:val="32"/>
          <w:szCs w:val="32"/>
          <w:highlight w:val="none"/>
        </w:rPr>
        <w:t>技术响应及建议表</w:t>
      </w:r>
      <w:bookmarkEnd w:id="117"/>
    </w:p>
    <w:p>
      <w:pP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 xml:space="preserve">             </w:t>
      </w:r>
    </w:p>
    <w:p>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项目名称：</w:t>
      </w:r>
    </w:p>
    <w:p>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采购编号：</w:t>
      </w:r>
    </w:p>
    <w:tbl>
      <w:tblPr>
        <w:tblStyle w:val="27"/>
        <w:tblW w:w="86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440"/>
        <w:gridCol w:w="1980"/>
        <w:gridCol w:w="2520"/>
        <w:gridCol w:w="19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20" w:type="dxa"/>
            <w:vAlign w:val="center"/>
          </w:tcPr>
          <w:p>
            <w:pPr>
              <w:snapToGrid w:val="0"/>
              <w:spacing w:before="50" w:after="50"/>
              <w:jc w:val="center"/>
              <w:rPr>
                <w:rFonts w:ascii="宋体"/>
                <w:color w:val="auto"/>
                <w:sz w:val="24"/>
                <w:szCs w:val="24"/>
                <w:highlight w:val="none"/>
              </w:rPr>
            </w:pPr>
            <w:r>
              <w:rPr>
                <w:rFonts w:hint="eastAsia" w:ascii="宋体" w:hAnsi="宋体" w:cs="宋体"/>
                <w:color w:val="auto"/>
                <w:sz w:val="24"/>
                <w:szCs w:val="24"/>
                <w:highlight w:val="none"/>
              </w:rPr>
              <w:t>序号</w:t>
            </w:r>
          </w:p>
        </w:tc>
        <w:tc>
          <w:tcPr>
            <w:tcW w:w="1440" w:type="dxa"/>
            <w:vAlign w:val="center"/>
          </w:tcPr>
          <w:p>
            <w:pPr>
              <w:snapToGrid w:val="0"/>
              <w:spacing w:before="50" w:after="50"/>
              <w:jc w:val="center"/>
              <w:rPr>
                <w:rFonts w:ascii="宋体"/>
                <w:color w:val="auto"/>
                <w:sz w:val="24"/>
                <w:szCs w:val="24"/>
                <w:highlight w:val="none"/>
              </w:rPr>
            </w:pPr>
            <w:r>
              <w:rPr>
                <w:rFonts w:hint="eastAsia" w:ascii="宋体" w:hAnsi="宋体" w:cs="宋体"/>
                <w:color w:val="auto"/>
                <w:sz w:val="24"/>
                <w:szCs w:val="24"/>
                <w:highlight w:val="none"/>
              </w:rPr>
              <w:t>名称</w:t>
            </w:r>
          </w:p>
        </w:tc>
        <w:tc>
          <w:tcPr>
            <w:tcW w:w="1980" w:type="dxa"/>
            <w:vAlign w:val="center"/>
          </w:tcPr>
          <w:p>
            <w:pPr>
              <w:snapToGrid w:val="0"/>
              <w:spacing w:before="50" w:after="50"/>
              <w:jc w:val="center"/>
              <w:rPr>
                <w:rFonts w:ascii="宋体"/>
                <w:color w:val="auto"/>
                <w:sz w:val="24"/>
                <w:szCs w:val="24"/>
                <w:highlight w:val="none"/>
              </w:rPr>
            </w:pPr>
            <w:r>
              <w:rPr>
                <w:rFonts w:hint="eastAsia" w:ascii="宋体" w:hAnsi="宋体" w:cs="宋体"/>
                <w:color w:val="auto"/>
                <w:sz w:val="24"/>
                <w:szCs w:val="24"/>
                <w:highlight w:val="none"/>
              </w:rPr>
              <w:t>磋商文件要求</w:t>
            </w:r>
          </w:p>
        </w:tc>
        <w:tc>
          <w:tcPr>
            <w:tcW w:w="2520" w:type="dxa"/>
            <w:vAlign w:val="center"/>
          </w:tcPr>
          <w:p>
            <w:pPr>
              <w:snapToGrid w:val="0"/>
              <w:spacing w:before="50" w:after="50"/>
              <w:jc w:val="center"/>
              <w:rPr>
                <w:rFonts w:ascii="宋体"/>
                <w:color w:val="auto"/>
                <w:sz w:val="24"/>
                <w:szCs w:val="24"/>
                <w:highlight w:val="none"/>
              </w:rPr>
            </w:pPr>
            <w:r>
              <w:rPr>
                <w:rFonts w:hint="eastAsia" w:ascii="宋体" w:hAnsi="宋体" w:cs="宋体"/>
                <w:color w:val="auto"/>
                <w:sz w:val="24"/>
                <w:szCs w:val="24"/>
                <w:highlight w:val="none"/>
              </w:rPr>
              <w:t>响应文件响应</w:t>
            </w:r>
          </w:p>
        </w:tc>
        <w:tc>
          <w:tcPr>
            <w:tcW w:w="1953" w:type="dxa"/>
            <w:vAlign w:val="center"/>
          </w:tcPr>
          <w:p>
            <w:pPr>
              <w:snapToGrid w:val="0"/>
              <w:spacing w:before="50" w:after="50"/>
              <w:jc w:val="center"/>
              <w:rPr>
                <w:rFonts w:ascii="宋体"/>
                <w:color w:val="auto"/>
                <w:sz w:val="24"/>
                <w:szCs w:val="24"/>
                <w:highlight w:val="none"/>
              </w:rPr>
            </w:pPr>
            <w:r>
              <w:rPr>
                <w:rFonts w:hint="eastAsia" w:ascii="宋体" w:hAnsi="宋体" w:cs="宋体"/>
                <w:color w:val="auto"/>
                <w:sz w:val="24"/>
                <w:szCs w:val="24"/>
                <w:highlight w:val="none"/>
              </w:rPr>
              <w:t>偏离情况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20" w:type="dxa"/>
            <w:vAlign w:val="center"/>
          </w:tcPr>
          <w:p>
            <w:pPr>
              <w:snapToGrid w:val="0"/>
              <w:spacing w:before="50" w:after="50"/>
              <w:jc w:val="center"/>
              <w:rPr>
                <w:rFonts w:ascii="宋体"/>
                <w:color w:val="auto"/>
                <w:sz w:val="24"/>
                <w:szCs w:val="24"/>
                <w:highlight w:val="none"/>
              </w:rPr>
            </w:pPr>
          </w:p>
        </w:tc>
        <w:tc>
          <w:tcPr>
            <w:tcW w:w="1440" w:type="dxa"/>
            <w:vAlign w:val="center"/>
          </w:tcPr>
          <w:p>
            <w:pPr>
              <w:snapToGrid w:val="0"/>
              <w:spacing w:before="50" w:after="50"/>
              <w:jc w:val="center"/>
              <w:rPr>
                <w:rFonts w:ascii="宋体"/>
                <w:color w:val="auto"/>
                <w:sz w:val="24"/>
                <w:szCs w:val="24"/>
                <w:highlight w:val="none"/>
              </w:rPr>
            </w:pPr>
          </w:p>
        </w:tc>
        <w:tc>
          <w:tcPr>
            <w:tcW w:w="1980" w:type="dxa"/>
            <w:vAlign w:val="center"/>
          </w:tcPr>
          <w:p>
            <w:pPr>
              <w:snapToGrid w:val="0"/>
              <w:spacing w:before="50" w:after="50"/>
              <w:jc w:val="center"/>
              <w:rPr>
                <w:rFonts w:ascii="宋体"/>
                <w:color w:val="auto"/>
                <w:sz w:val="24"/>
                <w:szCs w:val="24"/>
                <w:highlight w:val="none"/>
              </w:rPr>
            </w:pPr>
          </w:p>
        </w:tc>
        <w:tc>
          <w:tcPr>
            <w:tcW w:w="2520" w:type="dxa"/>
            <w:vAlign w:val="center"/>
          </w:tcPr>
          <w:p>
            <w:pPr>
              <w:snapToGrid w:val="0"/>
              <w:spacing w:before="50" w:after="50"/>
              <w:jc w:val="center"/>
              <w:rPr>
                <w:rFonts w:ascii="宋体"/>
                <w:color w:val="auto"/>
                <w:sz w:val="24"/>
                <w:szCs w:val="24"/>
                <w:highlight w:val="none"/>
              </w:rPr>
            </w:pPr>
          </w:p>
        </w:tc>
        <w:tc>
          <w:tcPr>
            <w:tcW w:w="1953" w:type="dxa"/>
            <w:vAlign w:val="center"/>
          </w:tcPr>
          <w:p>
            <w:pPr>
              <w:snapToGrid w:val="0"/>
              <w:spacing w:before="50" w:after="50"/>
              <w:jc w:val="center"/>
              <w:rPr>
                <w:rFonts w:asci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20" w:type="dxa"/>
            <w:vAlign w:val="center"/>
          </w:tcPr>
          <w:p>
            <w:pPr>
              <w:snapToGrid w:val="0"/>
              <w:spacing w:before="50" w:after="50"/>
              <w:jc w:val="center"/>
              <w:rPr>
                <w:rFonts w:ascii="宋体"/>
                <w:color w:val="auto"/>
                <w:sz w:val="24"/>
                <w:szCs w:val="24"/>
                <w:highlight w:val="none"/>
              </w:rPr>
            </w:pPr>
          </w:p>
        </w:tc>
        <w:tc>
          <w:tcPr>
            <w:tcW w:w="1440" w:type="dxa"/>
            <w:vAlign w:val="center"/>
          </w:tcPr>
          <w:p>
            <w:pPr>
              <w:snapToGrid w:val="0"/>
              <w:spacing w:before="50" w:after="50"/>
              <w:jc w:val="center"/>
              <w:rPr>
                <w:rFonts w:ascii="宋体"/>
                <w:color w:val="auto"/>
                <w:sz w:val="24"/>
                <w:szCs w:val="24"/>
                <w:highlight w:val="none"/>
              </w:rPr>
            </w:pPr>
          </w:p>
        </w:tc>
        <w:tc>
          <w:tcPr>
            <w:tcW w:w="1980" w:type="dxa"/>
            <w:vAlign w:val="center"/>
          </w:tcPr>
          <w:p>
            <w:pPr>
              <w:snapToGrid w:val="0"/>
              <w:spacing w:before="50" w:after="50"/>
              <w:jc w:val="center"/>
              <w:rPr>
                <w:rFonts w:ascii="宋体"/>
                <w:color w:val="auto"/>
                <w:sz w:val="24"/>
                <w:szCs w:val="24"/>
                <w:highlight w:val="none"/>
              </w:rPr>
            </w:pPr>
          </w:p>
        </w:tc>
        <w:tc>
          <w:tcPr>
            <w:tcW w:w="2520" w:type="dxa"/>
            <w:vAlign w:val="center"/>
          </w:tcPr>
          <w:p>
            <w:pPr>
              <w:snapToGrid w:val="0"/>
              <w:spacing w:before="50" w:after="50"/>
              <w:jc w:val="center"/>
              <w:rPr>
                <w:rFonts w:ascii="宋体"/>
                <w:color w:val="auto"/>
                <w:sz w:val="24"/>
                <w:szCs w:val="24"/>
                <w:highlight w:val="none"/>
              </w:rPr>
            </w:pPr>
          </w:p>
        </w:tc>
        <w:tc>
          <w:tcPr>
            <w:tcW w:w="1953" w:type="dxa"/>
            <w:vAlign w:val="center"/>
          </w:tcPr>
          <w:p>
            <w:pPr>
              <w:snapToGrid w:val="0"/>
              <w:spacing w:before="50" w:after="50"/>
              <w:jc w:val="center"/>
              <w:rPr>
                <w:rFonts w:asci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20" w:type="dxa"/>
            <w:vAlign w:val="center"/>
          </w:tcPr>
          <w:p>
            <w:pPr>
              <w:snapToGrid w:val="0"/>
              <w:spacing w:before="50" w:after="50"/>
              <w:jc w:val="center"/>
              <w:rPr>
                <w:rFonts w:ascii="宋体"/>
                <w:color w:val="auto"/>
                <w:sz w:val="24"/>
                <w:szCs w:val="24"/>
                <w:highlight w:val="none"/>
              </w:rPr>
            </w:pPr>
          </w:p>
        </w:tc>
        <w:tc>
          <w:tcPr>
            <w:tcW w:w="1440" w:type="dxa"/>
            <w:vAlign w:val="center"/>
          </w:tcPr>
          <w:p>
            <w:pPr>
              <w:snapToGrid w:val="0"/>
              <w:spacing w:before="50" w:after="50"/>
              <w:jc w:val="center"/>
              <w:rPr>
                <w:rFonts w:ascii="宋体"/>
                <w:color w:val="auto"/>
                <w:sz w:val="24"/>
                <w:szCs w:val="24"/>
                <w:highlight w:val="none"/>
              </w:rPr>
            </w:pPr>
          </w:p>
        </w:tc>
        <w:tc>
          <w:tcPr>
            <w:tcW w:w="1980" w:type="dxa"/>
            <w:vAlign w:val="center"/>
          </w:tcPr>
          <w:p>
            <w:pPr>
              <w:snapToGrid w:val="0"/>
              <w:spacing w:before="50" w:after="50"/>
              <w:jc w:val="center"/>
              <w:rPr>
                <w:rFonts w:ascii="宋体"/>
                <w:color w:val="auto"/>
                <w:sz w:val="24"/>
                <w:szCs w:val="24"/>
                <w:highlight w:val="none"/>
              </w:rPr>
            </w:pPr>
          </w:p>
        </w:tc>
        <w:tc>
          <w:tcPr>
            <w:tcW w:w="2520" w:type="dxa"/>
            <w:vAlign w:val="center"/>
          </w:tcPr>
          <w:p>
            <w:pPr>
              <w:snapToGrid w:val="0"/>
              <w:spacing w:before="50" w:after="50"/>
              <w:jc w:val="center"/>
              <w:rPr>
                <w:rFonts w:ascii="宋体"/>
                <w:color w:val="auto"/>
                <w:sz w:val="24"/>
                <w:szCs w:val="24"/>
                <w:highlight w:val="none"/>
              </w:rPr>
            </w:pPr>
          </w:p>
        </w:tc>
        <w:tc>
          <w:tcPr>
            <w:tcW w:w="1953" w:type="dxa"/>
            <w:vAlign w:val="center"/>
          </w:tcPr>
          <w:p>
            <w:pPr>
              <w:snapToGrid w:val="0"/>
              <w:spacing w:before="50" w:after="50"/>
              <w:jc w:val="center"/>
              <w:rPr>
                <w:rFonts w:asci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20" w:type="dxa"/>
            <w:vAlign w:val="center"/>
          </w:tcPr>
          <w:p>
            <w:pPr>
              <w:snapToGrid w:val="0"/>
              <w:spacing w:before="50" w:after="50"/>
              <w:jc w:val="center"/>
              <w:rPr>
                <w:rFonts w:ascii="宋体"/>
                <w:color w:val="auto"/>
                <w:sz w:val="24"/>
                <w:szCs w:val="24"/>
                <w:highlight w:val="none"/>
              </w:rPr>
            </w:pPr>
          </w:p>
        </w:tc>
        <w:tc>
          <w:tcPr>
            <w:tcW w:w="1440" w:type="dxa"/>
            <w:vAlign w:val="center"/>
          </w:tcPr>
          <w:p>
            <w:pPr>
              <w:snapToGrid w:val="0"/>
              <w:spacing w:before="50" w:after="50"/>
              <w:jc w:val="center"/>
              <w:rPr>
                <w:rFonts w:ascii="宋体"/>
                <w:color w:val="auto"/>
                <w:sz w:val="24"/>
                <w:szCs w:val="24"/>
                <w:highlight w:val="none"/>
              </w:rPr>
            </w:pPr>
          </w:p>
        </w:tc>
        <w:tc>
          <w:tcPr>
            <w:tcW w:w="1980" w:type="dxa"/>
            <w:vAlign w:val="center"/>
          </w:tcPr>
          <w:p>
            <w:pPr>
              <w:snapToGrid w:val="0"/>
              <w:spacing w:before="50" w:after="50"/>
              <w:jc w:val="center"/>
              <w:rPr>
                <w:rFonts w:ascii="宋体"/>
                <w:color w:val="auto"/>
                <w:sz w:val="24"/>
                <w:szCs w:val="24"/>
                <w:highlight w:val="none"/>
              </w:rPr>
            </w:pPr>
          </w:p>
        </w:tc>
        <w:tc>
          <w:tcPr>
            <w:tcW w:w="2520" w:type="dxa"/>
            <w:vAlign w:val="center"/>
          </w:tcPr>
          <w:p>
            <w:pPr>
              <w:snapToGrid w:val="0"/>
              <w:spacing w:before="50" w:after="50"/>
              <w:jc w:val="center"/>
              <w:rPr>
                <w:rFonts w:ascii="宋体"/>
                <w:color w:val="auto"/>
                <w:sz w:val="24"/>
                <w:szCs w:val="24"/>
                <w:highlight w:val="none"/>
              </w:rPr>
            </w:pPr>
          </w:p>
        </w:tc>
        <w:tc>
          <w:tcPr>
            <w:tcW w:w="1953" w:type="dxa"/>
            <w:vAlign w:val="center"/>
          </w:tcPr>
          <w:p>
            <w:pPr>
              <w:snapToGrid w:val="0"/>
              <w:spacing w:before="50" w:after="50"/>
              <w:jc w:val="center"/>
              <w:rPr>
                <w:rFonts w:asci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20" w:type="dxa"/>
            <w:vAlign w:val="center"/>
          </w:tcPr>
          <w:p>
            <w:pPr>
              <w:snapToGrid w:val="0"/>
              <w:spacing w:before="50" w:after="50"/>
              <w:jc w:val="center"/>
              <w:rPr>
                <w:rFonts w:ascii="宋体"/>
                <w:color w:val="auto"/>
                <w:sz w:val="24"/>
                <w:szCs w:val="24"/>
                <w:highlight w:val="none"/>
              </w:rPr>
            </w:pPr>
          </w:p>
        </w:tc>
        <w:tc>
          <w:tcPr>
            <w:tcW w:w="1440" w:type="dxa"/>
            <w:vAlign w:val="center"/>
          </w:tcPr>
          <w:p>
            <w:pPr>
              <w:snapToGrid w:val="0"/>
              <w:spacing w:before="50" w:after="50"/>
              <w:jc w:val="center"/>
              <w:rPr>
                <w:rFonts w:ascii="宋体"/>
                <w:color w:val="auto"/>
                <w:sz w:val="24"/>
                <w:szCs w:val="24"/>
                <w:highlight w:val="none"/>
              </w:rPr>
            </w:pPr>
          </w:p>
        </w:tc>
        <w:tc>
          <w:tcPr>
            <w:tcW w:w="1980" w:type="dxa"/>
            <w:vAlign w:val="center"/>
          </w:tcPr>
          <w:p>
            <w:pPr>
              <w:snapToGrid w:val="0"/>
              <w:spacing w:before="50" w:after="50"/>
              <w:jc w:val="center"/>
              <w:rPr>
                <w:rFonts w:ascii="宋体"/>
                <w:color w:val="auto"/>
                <w:sz w:val="24"/>
                <w:szCs w:val="24"/>
                <w:highlight w:val="none"/>
              </w:rPr>
            </w:pPr>
          </w:p>
        </w:tc>
        <w:tc>
          <w:tcPr>
            <w:tcW w:w="2520" w:type="dxa"/>
            <w:vAlign w:val="center"/>
          </w:tcPr>
          <w:p>
            <w:pPr>
              <w:snapToGrid w:val="0"/>
              <w:spacing w:before="50" w:after="50"/>
              <w:jc w:val="center"/>
              <w:rPr>
                <w:rFonts w:ascii="宋体"/>
                <w:color w:val="auto"/>
                <w:sz w:val="24"/>
                <w:szCs w:val="24"/>
                <w:highlight w:val="none"/>
              </w:rPr>
            </w:pPr>
          </w:p>
        </w:tc>
        <w:tc>
          <w:tcPr>
            <w:tcW w:w="1953" w:type="dxa"/>
            <w:vAlign w:val="center"/>
          </w:tcPr>
          <w:p>
            <w:pPr>
              <w:snapToGrid w:val="0"/>
              <w:spacing w:before="50" w:after="50"/>
              <w:jc w:val="center"/>
              <w:rPr>
                <w:rFonts w:asci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2160" w:type="dxa"/>
            <w:gridSpan w:val="2"/>
            <w:vAlign w:val="center"/>
          </w:tcPr>
          <w:p>
            <w:pPr>
              <w:snapToGrid w:val="0"/>
              <w:spacing w:before="50" w:after="50"/>
              <w:jc w:val="center"/>
              <w:rPr>
                <w:rFonts w:ascii="宋体"/>
                <w:color w:val="auto"/>
                <w:sz w:val="24"/>
                <w:szCs w:val="24"/>
                <w:highlight w:val="none"/>
              </w:rPr>
            </w:pPr>
            <w:r>
              <w:rPr>
                <w:rFonts w:hint="eastAsia" w:ascii="宋体" w:hAnsi="宋体" w:cs="宋体"/>
                <w:color w:val="auto"/>
                <w:sz w:val="24"/>
                <w:szCs w:val="24"/>
                <w:highlight w:val="none"/>
              </w:rPr>
              <w:t>投标建议</w:t>
            </w:r>
          </w:p>
        </w:tc>
        <w:tc>
          <w:tcPr>
            <w:tcW w:w="6453" w:type="dxa"/>
            <w:gridSpan w:val="3"/>
            <w:vAlign w:val="center"/>
          </w:tcPr>
          <w:p>
            <w:pPr>
              <w:spacing w:line="360" w:lineRule="auto"/>
              <w:jc w:val="center"/>
              <w:rPr>
                <w:rFonts w:ascii="宋体"/>
                <w:color w:val="auto"/>
                <w:sz w:val="24"/>
                <w:szCs w:val="24"/>
                <w:highlight w:val="none"/>
              </w:rPr>
            </w:pPr>
          </w:p>
        </w:tc>
      </w:tr>
    </w:tbl>
    <w:p>
      <w:pPr>
        <w:snapToGrid w:val="0"/>
        <w:spacing w:line="360" w:lineRule="auto"/>
        <w:rPr>
          <w:rFonts w:ascii="宋体"/>
          <w:color w:val="auto"/>
          <w:sz w:val="24"/>
          <w:szCs w:val="24"/>
          <w:highlight w:val="none"/>
        </w:rPr>
      </w:pPr>
    </w:p>
    <w:p>
      <w:pPr>
        <w:pStyle w:val="15"/>
        <w:spacing w:line="360" w:lineRule="auto"/>
        <w:rPr>
          <w:rFonts w:hAnsi="宋体" w:cs="Times New Roman"/>
          <w:color w:val="auto"/>
          <w:sz w:val="24"/>
          <w:szCs w:val="24"/>
          <w:highlight w:val="none"/>
        </w:rPr>
      </w:pPr>
      <w:r>
        <w:rPr>
          <w:rFonts w:hint="eastAsia" w:hAnsi="宋体"/>
          <w:color w:val="auto"/>
          <w:sz w:val="24"/>
          <w:szCs w:val="24"/>
          <w:highlight w:val="none"/>
        </w:rPr>
        <w:t>注：名称可基于项目清单根据供应商实际情况调整。</w:t>
      </w:r>
    </w:p>
    <w:p>
      <w:pPr>
        <w:rPr>
          <w:rFonts w:ascii="宋体"/>
          <w:color w:val="auto"/>
          <w:sz w:val="24"/>
          <w:szCs w:val="24"/>
          <w:highlight w:val="none"/>
        </w:rPr>
      </w:pPr>
    </w:p>
    <w:p>
      <w:pPr>
        <w:pStyle w:val="12"/>
        <w:rPr>
          <w:rFonts w:cs="Times New Roman"/>
          <w:color w:val="auto"/>
          <w:highlight w:val="none"/>
        </w:rPr>
      </w:pPr>
    </w:p>
    <w:p>
      <w:pPr>
        <w:snapToGrid w:val="0"/>
        <w:spacing w:line="360" w:lineRule="auto"/>
        <w:rPr>
          <w:rFonts w:ascii="宋体"/>
          <w:color w:val="auto"/>
          <w:sz w:val="24"/>
          <w:szCs w:val="24"/>
          <w:highlight w:val="none"/>
        </w:rPr>
      </w:pPr>
    </w:p>
    <w:p>
      <w:pPr>
        <w:spacing w:line="360" w:lineRule="auto"/>
        <w:ind w:left="3780" w:leftChars="1800" w:firstLine="480" w:firstLineChars="200"/>
        <w:rPr>
          <w:rFonts w:ascii="宋体"/>
          <w:color w:val="auto"/>
          <w:sz w:val="24"/>
          <w:szCs w:val="24"/>
          <w:highlight w:val="none"/>
        </w:rPr>
      </w:pPr>
      <w:r>
        <w:rPr>
          <w:rFonts w:hint="eastAsia" w:ascii="宋体" w:hAnsi="宋体" w:cs="宋体"/>
          <w:color w:val="auto"/>
          <w:sz w:val="24"/>
          <w:szCs w:val="24"/>
          <w:highlight w:val="none"/>
        </w:rPr>
        <w:t>法定代表人签名（或签名章）：</w:t>
      </w:r>
      <w:r>
        <w:rPr>
          <w:rFonts w:ascii="宋体" w:hAnsi="宋体" w:cs="宋体"/>
          <w:color w:val="auto"/>
          <w:sz w:val="24"/>
          <w:szCs w:val="24"/>
          <w:highlight w:val="none"/>
        </w:rPr>
        <w:t xml:space="preserve">                       </w:t>
      </w:r>
    </w:p>
    <w:p>
      <w:pPr>
        <w:spacing w:line="360" w:lineRule="auto"/>
        <w:ind w:left="3780" w:leftChars="1800" w:firstLine="480" w:firstLineChars="200"/>
        <w:rPr>
          <w:rFonts w:ascii="宋体"/>
          <w:color w:val="auto"/>
          <w:sz w:val="24"/>
          <w:szCs w:val="24"/>
          <w:highlight w:val="none"/>
        </w:rPr>
      </w:pPr>
      <w:r>
        <w:rPr>
          <w:rFonts w:hint="eastAsia" w:ascii="宋体" w:hAnsi="宋体" w:cs="宋体"/>
          <w:color w:val="auto"/>
          <w:sz w:val="24"/>
          <w:szCs w:val="24"/>
          <w:highlight w:val="none"/>
        </w:rPr>
        <w:t>日</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期：</w:t>
      </w:r>
    </w:p>
    <w:p>
      <w:pPr>
        <w:spacing w:line="360" w:lineRule="auto"/>
        <w:ind w:left="3780" w:leftChars="1800" w:firstLine="480" w:firstLineChars="200"/>
        <w:rPr>
          <w:rFonts w:ascii="宋体"/>
          <w:color w:val="auto"/>
          <w:sz w:val="24"/>
          <w:szCs w:val="24"/>
          <w:highlight w:val="none"/>
        </w:rPr>
      </w:pPr>
      <w:r>
        <w:rPr>
          <w:rFonts w:hint="eastAsia" w:ascii="宋体" w:hAnsi="宋体" w:cs="宋体"/>
          <w:color w:val="auto"/>
          <w:sz w:val="24"/>
          <w:szCs w:val="24"/>
          <w:highlight w:val="none"/>
        </w:rPr>
        <w:t>供应商全称（公章）：</w:t>
      </w:r>
    </w:p>
    <w:p>
      <w:pPr>
        <w:rPr>
          <w:color w:val="auto"/>
          <w:sz w:val="24"/>
          <w:szCs w:val="24"/>
          <w:highlight w:val="none"/>
        </w:rPr>
      </w:pPr>
      <w:r>
        <w:rPr>
          <w:color w:val="auto"/>
          <w:sz w:val="24"/>
          <w:szCs w:val="24"/>
          <w:highlight w:val="none"/>
        </w:rPr>
        <w:br w:type="page"/>
      </w:r>
    </w:p>
    <w:p>
      <w:pPr>
        <w:rPr>
          <w:b/>
          <w:bCs/>
          <w:color w:val="auto"/>
          <w:sz w:val="24"/>
          <w:szCs w:val="24"/>
          <w:highlight w:val="none"/>
        </w:rPr>
      </w:pPr>
      <w:r>
        <w:rPr>
          <w:rFonts w:hint="eastAsia" w:cs="宋体"/>
          <w:b/>
          <w:bCs/>
          <w:color w:val="auto"/>
          <w:sz w:val="24"/>
          <w:szCs w:val="24"/>
          <w:highlight w:val="none"/>
        </w:rPr>
        <w:t>附件</w:t>
      </w:r>
      <w:r>
        <w:rPr>
          <w:rFonts w:hint="eastAsia" w:cs="宋体"/>
          <w:b/>
          <w:bCs/>
          <w:color w:val="auto"/>
          <w:sz w:val="24"/>
          <w:szCs w:val="24"/>
          <w:highlight w:val="none"/>
          <w:lang w:val="en-US" w:eastAsia="zh-CN"/>
        </w:rPr>
        <w:t>十一</w:t>
      </w:r>
      <w:r>
        <w:rPr>
          <w:rFonts w:hint="eastAsia" w:cs="宋体"/>
          <w:b/>
          <w:bCs/>
          <w:color w:val="auto"/>
          <w:sz w:val="24"/>
          <w:szCs w:val="24"/>
          <w:highlight w:val="none"/>
        </w:rPr>
        <w:t>：</w:t>
      </w:r>
    </w:p>
    <w:p>
      <w:pPr>
        <w:spacing w:line="360" w:lineRule="auto"/>
        <w:jc w:val="center"/>
        <w:rPr>
          <w:rFonts w:ascii="宋体"/>
          <w:b/>
          <w:bCs/>
          <w:color w:val="auto"/>
          <w:sz w:val="32"/>
          <w:szCs w:val="32"/>
          <w:highlight w:val="none"/>
        </w:rPr>
      </w:pPr>
      <w:r>
        <w:rPr>
          <w:rFonts w:hint="eastAsia" w:ascii="宋体" w:hAnsi="宋体" w:cs="宋体"/>
          <w:b/>
          <w:bCs/>
          <w:color w:val="auto"/>
          <w:sz w:val="32"/>
          <w:szCs w:val="32"/>
          <w:highlight w:val="none"/>
        </w:rPr>
        <w:t>商务响应表</w:t>
      </w:r>
    </w:p>
    <w:p>
      <w:pPr>
        <w:snapToGrid w:val="0"/>
        <w:spacing w:before="50"/>
        <w:jc w:val="center"/>
        <w:rPr>
          <w:rFonts w:ascii="宋体"/>
          <w:b/>
          <w:bCs/>
          <w:color w:val="auto"/>
          <w:sz w:val="32"/>
          <w:szCs w:val="32"/>
          <w:highlight w:val="none"/>
        </w:rPr>
      </w:pPr>
    </w:p>
    <w:p>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项目名称：</w:t>
      </w:r>
    </w:p>
    <w:p>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采购编号：</w:t>
      </w:r>
    </w:p>
    <w:tbl>
      <w:tblPr>
        <w:tblStyle w:val="27"/>
        <w:tblW w:w="9434"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454"/>
        <w:gridCol w:w="2700"/>
        <w:gridCol w:w="1260"/>
        <w:gridCol w:w="302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454" w:type="dxa"/>
            <w:tcBorders>
              <w:top w:val="single" w:color="auto" w:sz="4" w:space="0"/>
              <w:bottom w:val="single" w:color="auto" w:sz="4" w:space="0"/>
              <w:right w:val="single" w:color="auto" w:sz="4" w:space="0"/>
            </w:tcBorders>
            <w:vAlign w:val="center"/>
          </w:tcPr>
          <w:p>
            <w:pPr>
              <w:snapToGrid w:val="0"/>
              <w:spacing w:before="50" w:after="50"/>
              <w:jc w:val="center"/>
              <w:rPr>
                <w:rFonts w:ascii="宋体"/>
                <w:color w:val="auto"/>
                <w:sz w:val="24"/>
                <w:szCs w:val="24"/>
                <w:highlight w:val="none"/>
              </w:rPr>
            </w:pPr>
            <w:r>
              <w:rPr>
                <w:rFonts w:hint="eastAsia" w:ascii="宋体" w:hAnsi="宋体" w:cs="宋体"/>
                <w:color w:val="auto"/>
                <w:sz w:val="24"/>
                <w:szCs w:val="24"/>
                <w:highlight w:val="none"/>
              </w:rPr>
              <w:t>项目</w:t>
            </w:r>
          </w:p>
        </w:tc>
        <w:tc>
          <w:tcPr>
            <w:tcW w:w="270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color w:val="auto"/>
                <w:sz w:val="24"/>
                <w:szCs w:val="24"/>
                <w:highlight w:val="none"/>
              </w:rPr>
            </w:pPr>
            <w:r>
              <w:rPr>
                <w:rFonts w:hint="eastAsia" w:ascii="宋体" w:hAnsi="宋体" w:cs="宋体"/>
                <w:color w:val="auto"/>
                <w:sz w:val="24"/>
                <w:szCs w:val="24"/>
                <w:highlight w:val="none"/>
              </w:rPr>
              <w:t>磋商文件要求</w:t>
            </w: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color w:val="auto"/>
                <w:sz w:val="24"/>
                <w:szCs w:val="24"/>
                <w:highlight w:val="none"/>
              </w:rPr>
            </w:pPr>
            <w:r>
              <w:rPr>
                <w:rFonts w:hint="eastAsia" w:ascii="宋体" w:hAnsi="宋体" w:cs="宋体"/>
                <w:color w:val="auto"/>
                <w:sz w:val="24"/>
                <w:szCs w:val="24"/>
                <w:highlight w:val="none"/>
              </w:rPr>
              <w:t>是否</w:t>
            </w:r>
          </w:p>
          <w:p>
            <w:pPr>
              <w:snapToGrid w:val="0"/>
              <w:spacing w:before="50" w:after="50"/>
              <w:jc w:val="center"/>
              <w:rPr>
                <w:rFonts w:ascii="宋体"/>
                <w:color w:val="auto"/>
                <w:sz w:val="24"/>
                <w:szCs w:val="24"/>
                <w:highlight w:val="none"/>
              </w:rPr>
            </w:pPr>
            <w:r>
              <w:rPr>
                <w:rFonts w:hint="eastAsia" w:ascii="宋体" w:hAnsi="宋体" w:cs="宋体"/>
                <w:color w:val="auto"/>
                <w:sz w:val="24"/>
                <w:szCs w:val="24"/>
                <w:highlight w:val="none"/>
              </w:rPr>
              <w:t>响应</w:t>
            </w:r>
          </w:p>
        </w:tc>
        <w:tc>
          <w:tcPr>
            <w:tcW w:w="3020" w:type="dxa"/>
            <w:tcBorders>
              <w:top w:val="single" w:color="auto" w:sz="4" w:space="0"/>
              <w:left w:val="single" w:color="auto" w:sz="4" w:space="0"/>
              <w:bottom w:val="single" w:color="auto" w:sz="4" w:space="0"/>
            </w:tcBorders>
            <w:vAlign w:val="center"/>
          </w:tcPr>
          <w:p>
            <w:pPr>
              <w:snapToGrid w:val="0"/>
              <w:spacing w:before="50" w:after="50"/>
              <w:jc w:val="center"/>
              <w:rPr>
                <w:rFonts w:ascii="宋体"/>
                <w:color w:val="auto"/>
                <w:sz w:val="24"/>
                <w:szCs w:val="24"/>
                <w:highlight w:val="none"/>
              </w:rPr>
            </w:pPr>
            <w:r>
              <w:rPr>
                <w:rFonts w:hint="eastAsia" w:ascii="宋体" w:hAnsi="宋体" w:cs="宋体"/>
                <w:color w:val="auto"/>
                <w:sz w:val="24"/>
                <w:szCs w:val="24"/>
                <w:highlight w:val="none"/>
              </w:rPr>
              <w:t>供应商的承诺或说明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454" w:type="dxa"/>
            <w:tcBorders>
              <w:top w:val="single" w:color="auto" w:sz="4" w:space="0"/>
              <w:bottom w:val="single" w:color="auto" w:sz="4" w:space="0"/>
              <w:right w:val="single" w:color="auto" w:sz="4" w:space="0"/>
            </w:tcBorders>
            <w:vAlign w:val="center"/>
          </w:tcPr>
          <w:p>
            <w:pPr>
              <w:snapToGrid w:val="0"/>
              <w:spacing w:before="50" w:after="50"/>
              <w:jc w:val="center"/>
              <w:rPr>
                <w:rFonts w:ascii="宋体"/>
                <w:color w:val="auto"/>
                <w:sz w:val="24"/>
                <w:szCs w:val="24"/>
                <w:highlight w:val="none"/>
              </w:rPr>
            </w:pPr>
            <w:r>
              <w:rPr>
                <w:rFonts w:hint="eastAsia" w:ascii="宋体" w:hAnsi="宋体" w:cs="宋体"/>
                <w:color w:val="auto"/>
                <w:sz w:val="24"/>
                <w:szCs w:val="24"/>
                <w:highlight w:val="none"/>
              </w:rPr>
              <w:t>服务时间及地点</w:t>
            </w:r>
          </w:p>
        </w:tc>
        <w:tc>
          <w:tcPr>
            <w:tcW w:w="270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color w:val="auto"/>
                <w:sz w:val="24"/>
                <w:szCs w:val="24"/>
                <w:highlight w:val="none"/>
              </w:rPr>
            </w:pPr>
          </w:p>
        </w:tc>
        <w:tc>
          <w:tcPr>
            <w:tcW w:w="3020" w:type="dxa"/>
            <w:tcBorders>
              <w:top w:val="single" w:color="auto" w:sz="4" w:space="0"/>
              <w:left w:val="single" w:color="auto" w:sz="4" w:space="0"/>
              <w:bottom w:val="single" w:color="auto" w:sz="4" w:space="0"/>
            </w:tcBorders>
            <w:vAlign w:val="center"/>
          </w:tcPr>
          <w:p>
            <w:pPr>
              <w:snapToGrid w:val="0"/>
              <w:spacing w:before="50" w:after="50"/>
              <w:jc w:val="center"/>
              <w:rPr>
                <w:rFonts w:asci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454" w:type="dxa"/>
            <w:tcBorders>
              <w:top w:val="single" w:color="auto" w:sz="4" w:space="0"/>
              <w:bottom w:val="single" w:color="auto" w:sz="4" w:space="0"/>
              <w:right w:val="single" w:color="auto" w:sz="4" w:space="0"/>
            </w:tcBorders>
            <w:vAlign w:val="center"/>
          </w:tcPr>
          <w:p>
            <w:pPr>
              <w:snapToGrid w:val="0"/>
              <w:spacing w:before="50" w:after="50"/>
              <w:jc w:val="center"/>
              <w:rPr>
                <w:rFonts w:ascii="宋体"/>
                <w:color w:val="auto"/>
                <w:sz w:val="24"/>
                <w:szCs w:val="24"/>
                <w:highlight w:val="none"/>
              </w:rPr>
            </w:pPr>
            <w:r>
              <w:rPr>
                <w:rFonts w:hint="eastAsia" w:ascii="宋体" w:hAnsi="宋体" w:cs="宋体"/>
                <w:color w:val="auto"/>
                <w:sz w:val="24"/>
                <w:szCs w:val="24"/>
                <w:highlight w:val="none"/>
              </w:rPr>
              <w:t>付款条件</w:t>
            </w:r>
          </w:p>
        </w:tc>
        <w:tc>
          <w:tcPr>
            <w:tcW w:w="270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color w:val="auto"/>
                <w:sz w:val="24"/>
                <w:szCs w:val="24"/>
                <w:highlight w:val="none"/>
              </w:rPr>
            </w:pPr>
          </w:p>
        </w:tc>
        <w:tc>
          <w:tcPr>
            <w:tcW w:w="3020" w:type="dxa"/>
            <w:tcBorders>
              <w:top w:val="single" w:color="auto" w:sz="4" w:space="0"/>
              <w:left w:val="single" w:color="auto" w:sz="4" w:space="0"/>
              <w:bottom w:val="single" w:color="auto" w:sz="4" w:space="0"/>
            </w:tcBorders>
            <w:vAlign w:val="center"/>
          </w:tcPr>
          <w:p>
            <w:pPr>
              <w:snapToGrid w:val="0"/>
              <w:spacing w:before="50" w:after="50"/>
              <w:jc w:val="center"/>
              <w:rPr>
                <w:rFonts w:asci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454" w:type="dxa"/>
            <w:tcBorders>
              <w:top w:val="single" w:color="auto" w:sz="4" w:space="0"/>
              <w:bottom w:val="single" w:color="auto" w:sz="4" w:space="0"/>
              <w:right w:val="single" w:color="auto" w:sz="4" w:space="0"/>
            </w:tcBorders>
            <w:vAlign w:val="center"/>
          </w:tcPr>
          <w:p>
            <w:pPr>
              <w:snapToGrid w:val="0"/>
              <w:spacing w:before="50" w:after="50"/>
              <w:jc w:val="center"/>
              <w:rPr>
                <w:rFonts w:ascii="宋体"/>
                <w:color w:val="auto"/>
                <w:sz w:val="24"/>
                <w:szCs w:val="24"/>
                <w:highlight w:val="none"/>
              </w:rPr>
            </w:pPr>
            <w:r>
              <w:rPr>
                <w:rFonts w:hint="eastAsia" w:ascii="宋体" w:hAnsi="宋体" w:cs="宋体"/>
                <w:color w:val="auto"/>
                <w:sz w:val="24"/>
                <w:szCs w:val="24"/>
                <w:highlight w:val="none"/>
              </w:rPr>
              <w:t>违约责任及争议解决方式</w:t>
            </w:r>
          </w:p>
        </w:tc>
        <w:tc>
          <w:tcPr>
            <w:tcW w:w="270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color w:val="auto"/>
                <w:sz w:val="24"/>
                <w:szCs w:val="24"/>
                <w:highlight w:val="none"/>
              </w:rPr>
            </w:pPr>
          </w:p>
        </w:tc>
        <w:tc>
          <w:tcPr>
            <w:tcW w:w="3020" w:type="dxa"/>
            <w:tcBorders>
              <w:top w:val="single" w:color="auto" w:sz="4" w:space="0"/>
              <w:left w:val="single" w:color="auto" w:sz="4" w:space="0"/>
              <w:bottom w:val="single" w:color="auto" w:sz="4" w:space="0"/>
            </w:tcBorders>
            <w:vAlign w:val="center"/>
          </w:tcPr>
          <w:p>
            <w:pPr>
              <w:snapToGrid w:val="0"/>
              <w:spacing w:before="50" w:after="50"/>
              <w:jc w:val="center"/>
              <w:rPr>
                <w:rFonts w:asci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454" w:type="dxa"/>
            <w:tcBorders>
              <w:top w:val="single" w:color="auto" w:sz="4" w:space="0"/>
              <w:bottom w:val="single" w:color="auto" w:sz="4" w:space="0"/>
              <w:right w:val="single" w:color="auto" w:sz="4" w:space="0"/>
            </w:tcBorders>
            <w:vAlign w:val="center"/>
          </w:tcPr>
          <w:p>
            <w:pPr>
              <w:snapToGrid w:val="0"/>
              <w:spacing w:before="50" w:after="50"/>
              <w:jc w:val="center"/>
              <w:rPr>
                <w:rFonts w:ascii="宋体"/>
                <w:color w:val="auto"/>
                <w:sz w:val="24"/>
                <w:szCs w:val="24"/>
                <w:highlight w:val="none"/>
              </w:rPr>
            </w:pPr>
            <w:r>
              <w:rPr>
                <w:rFonts w:hint="eastAsia" w:ascii="宋体" w:hAnsi="宋体" w:cs="宋体"/>
                <w:color w:val="auto"/>
                <w:sz w:val="24"/>
                <w:szCs w:val="24"/>
                <w:highlight w:val="none"/>
              </w:rPr>
              <w:t>项目维护计划</w:t>
            </w:r>
          </w:p>
        </w:tc>
        <w:tc>
          <w:tcPr>
            <w:tcW w:w="270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color w:val="auto"/>
                <w:sz w:val="24"/>
                <w:szCs w:val="24"/>
                <w:highlight w:val="none"/>
              </w:rPr>
            </w:pPr>
          </w:p>
        </w:tc>
        <w:tc>
          <w:tcPr>
            <w:tcW w:w="3020" w:type="dxa"/>
            <w:tcBorders>
              <w:top w:val="single" w:color="auto" w:sz="4" w:space="0"/>
              <w:left w:val="single" w:color="auto" w:sz="4" w:space="0"/>
              <w:bottom w:val="single" w:color="auto" w:sz="4" w:space="0"/>
            </w:tcBorders>
            <w:vAlign w:val="center"/>
          </w:tcPr>
          <w:p>
            <w:pPr>
              <w:snapToGrid w:val="0"/>
              <w:spacing w:before="50" w:after="50"/>
              <w:jc w:val="center"/>
              <w:rPr>
                <w:rFonts w:asci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454" w:type="dxa"/>
            <w:tcBorders>
              <w:top w:val="single" w:color="auto" w:sz="4" w:space="0"/>
              <w:bottom w:val="single" w:color="auto" w:sz="4" w:space="0"/>
              <w:right w:val="single" w:color="auto" w:sz="4" w:space="0"/>
            </w:tcBorders>
            <w:vAlign w:val="center"/>
          </w:tcPr>
          <w:p>
            <w:pPr>
              <w:snapToGrid w:val="0"/>
              <w:spacing w:before="50" w:after="50"/>
              <w:jc w:val="center"/>
              <w:rPr>
                <w:rFonts w:ascii="宋体"/>
                <w:color w:val="auto"/>
                <w:sz w:val="24"/>
                <w:szCs w:val="24"/>
                <w:highlight w:val="none"/>
              </w:rPr>
            </w:pPr>
            <w:r>
              <w:rPr>
                <w:rFonts w:hint="eastAsia" w:ascii="宋体" w:hAnsi="宋体" w:cs="宋体"/>
                <w:color w:val="auto"/>
                <w:sz w:val="24"/>
                <w:szCs w:val="24"/>
                <w:highlight w:val="none"/>
              </w:rPr>
              <w:t>售后服务响应情况</w:t>
            </w:r>
          </w:p>
        </w:tc>
        <w:tc>
          <w:tcPr>
            <w:tcW w:w="270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color w:val="auto"/>
                <w:sz w:val="24"/>
                <w:szCs w:val="24"/>
                <w:highlight w:val="none"/>
              </w:rPr>
            </w:pPr>
          </w:p>
        </w:tc>
        <w:tc>
          <w:tcPr>
            <w:tcW w:w="3020" w:type="dxa"/>
            <w:tcBorders>
              <w:top w:val="single" w:color="auto" w:sz="4" w:space="0"/>
              <w:left w:val="single" w:color="auto" w:sz="4" w:space="0"/>
              <w:bottom w:val="single" w:color="auto" w:sz="4" w:space="0"/>
            </w:tcBorders>
            <w:vAlign w:val="center"/>
          </w:tcPr>
          <w:p>
            <w:pPr>
              <w:snapToGrid w:val="0"/>
              <w:spacing w:before="50" w:after="50"/>
              <w:jc w:val="center"/>
              <w:rPr>
                <w:rFonts w:asci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454" w:type="dxa"/>
            <w:tcBorders>
              <w:top w:val="single" w:color="auto" w:sz="4" w:space="0"/>
              <w:bottom w:val="single" w:color="auto" w:sz="4" w:space="0"/>
              <w:right w:val="single" w:color="auto" w:sz="4" w:space="0"/>
            </w:tcBorders>
            <w:vAlign w:val="center"/>
          </w:tcPr>
          <w:p>
            <w:pPr>
              <w:snapToGrid w:val="0"/>
              <w:spacing w:before="50" w:after="50"/>
              <w:jc w:val="center"/>
              <w:rPr>
                <w:rFonts w:ascii="宋体"/>
                <w:color w:val="auto"/>
                <w:sz w:val="24"/>
                <w:szCs w:val="24"/>
                <w:highlight w:val="none"/>
              </w:rPr>
            </w:pPr>
            <w:r>
              <w:rPr>
                <w:rFonts w:hint="eastAsia" w:ascii="宋体" w:hAnsi="宋体" w:cs="宋体"/>
                <w:color w:val="auto"/>
                <w:sz w:val="24"/>
                <w:szCs w:val="24"/>
                <w:highlight w:val="none"/>
              </w:rPr>
              <w:t>本地化服务</w:t>
            </w:r>
          </w:p>
        </w:tc>
        <w:tc>
          <w:tcPr>
            <w:tcW w:w="270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color w:val="auto"/>
                <w:sz w:val="24"/>
                <w:szCs w:val="24"/>
                <w:highlight w:val="none"/>
              </w:rPr>
            </w:pPr>
          </w:p>
        </w:tc>
        <w:tc>
          <w:tcPr>
            <w:tcW w:w="3020" w:type="dxa"/>
            <w:tcBorders>
              <w:top w:val="single" w:color="auto" w:sz="4" w:space="0"/>
              <w:left w:val="single" w:color="auto" w:sz="4" w:space="0"/>
              <w:bottom w:val="single" w:color="auto" w:sz="4" w:space="0"/>
            </w:tcBorders>
            <w:vAlign w:val="center"/>
          </w:tcPr>
          <w:p>
            <w:pPr>
              <w:snapToGrid w:val="0"/>
              <w:spacing w:before="50" w:after="50"/>
              <w:jc w:val="center"/>
              <w:rPr>
                <w:rFonts w:asci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454" w:type="dxa"/>
            <w:tcBorders>
              <w:top w:val="single" w:color="auto" w:sz="4" w:space="0"/>
              <w:bottom w:val="single" w:color="auto" w:sz="4" w:space="0"/>
              <w:right w:val="single" w:color="auto" w:sz="4" w:space="0"/>
            </w:tcBorders>
            <w:vAlign w:val="center"/>
          </w:tcPr>
          <w:p>
            <w:pPr>
              <w:snapToGrid w:val="0"/>
              <w:spacing w:before="50" w:after="50"/>
              <w:jc w:val="center"/>
              <w:rPr>
                <w:rFonts w:ascii="宋体"/>
                <w:color w:val="auto"/>
                <w:sz w:val="24"/>
                <w:szCs w:val="24"/>
                <w:highlight w:val="none"/>
              </w:rPr>
            </w:pPr>
            <w:r>
              <w:rPr>
                <w:rFonts w:hint="eastAsia" w:ascii="宋体" w:hAnsi="宋体" w:cs="宋体"/>
                <w:color w:val="auto"/>
                <w:sz w:val="24"/>
                <w:szCs w:val="24"/>
                <w:highlight w:val="none"/>
              </w:rPr>
              <w:t>技术培训</w:t>
            </w:r>
          </w:p>
        </w:tc>
        <w:tc>
          <w:tcPr>
            <w:tcW w:w="270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color w:val="auto"/>
                <w:sz w:val="24"/>
                <w:szCs w:val="24"/>
                <w:highlight w:val="none"/>
              </w:rPr>
            </w:pPr>
          </w:p>
        </w:tc>
        <w:tc>
          <w:tcPr>
            <w:tcW w:w="3020" w:type="dxa"/>
            <w:tcBorders>
              <w:top w:val="single" w:color="auto" w:sz="4" w:space="0"/>
              <w:left w:val="single" w:color="auto" w:sz="4" w:space="0"/>
              <w:bottom w:val="single" w:color="auto" w:sz="4" w:space="0"/>
            </w:tcBorders>
            <w:vAlign w:val="center"/>
          </w:tcPr>
          <w:p>
            <w:pPr>
              <w:snapToGrid w:val="0"/>
              <w:spacing w:before="50" w:after="50"/>
              <w:jc w:val="center"/>
              <w:rPr>
                <w:rFonts w:asci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2" w:hRule="atLeast"/>
          <w:jc w:val="center"/>
        </w:trPr>
        <w:tc>
          <w:tcPr>
            <w:tcW w:w="2454" w:type="dxa"/>
            <w:tcBorders>
              <w:top w:val="single" w:color="auto" w:sz="4" w:space="0"/>
              <w:bottom w:val="single" w:color="auto" w:sz="4" w:space="0"/>
              <w:right w:val="single" w:color="auto" w:sz="4" w:space="0"/>
            </w:tcBorders>
            <w:vAlign w:val="center"/>
          </w:tcPr>
          <w:p>
            <w:pPr>
              <w:snapToGrid w:val="0"/>
              <w:spacing w:before="50" w:after="50"/>
              <w:jc w:val="center"/>
              <w:rPr>
                <w:rFonts w:ascii="宋体"/>
                <w:color w:val="auto"/>
                <w:sz w:val="24"/>
                <w:szCs w:val="24"/>
                <w:highlight w:val="none"/>
              </w:rPr>
            </w:pPr>
            <w:r>
              <w:rPr>
                <w:rFonts w:hint="eastAsia" w:ascii="宋体" w:hAnsi="宋体" w:cs="宋体"/>
                <w:color w:val="auto"/>
                <w:sz w:val="24"/>
                <w:szCs w:val="24"/>
                <w:highlight w:val="none"/>
              </w:rPr>
              <w:t>公司技术力量情况</w:t>
            </w:r>
          </w:p>
        </w:tc>
        <w:tc>
          <w:tcPr>
            <w:tcW w:w="270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color w:val="auto"/>
                <w:sz w:val="24"/>
                <w:szCs w:val="24"/>
                <w:highlight w:val="none"/>
              </w:rPr>
            </w:pPr>
          </w:p>
        </w:tc>
        <w:tc>
          <w:tcPr>
            <w:tcW w:w="3020" w:type="dxa"/>
            <w:tcBorders>
              <w:top w:val="single" w:color="auto" w:sz="4" w:space="0"/>
              <w:left w:val="single" w:color="auto" w:sz="4" w:space="0"/>
              <w:bottom w:val="single" w:color="auto" w:sz="4" w:space="0"/>
            </w:tcBorders>
            <w:vAlign w:val="center"/>
          </w:tcPr>
          <w:p>
            <w:pPr>
              <w:snapToGrid w:val="0"/>
              <w:spacing w:before="50" w:after="50"/>
              <w:jc w:val="center"/>
              <w:rPr>
                <w:rFonts w:asci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454" w:type="dxa"/>
            <w:tcBorders>
              <w:top w:val="single" w:color="auto" w:sz="4" w:space="0"/>
              <w:bottom w:val="single" w:color="auto" w:sz="4" w:space="0"/>
              <w:right w:val="single" w:color="auto" w:sz="4" w:space="0"/>
            </w:tcBorders>
            <w:vAlign w:val="center"/>
          </w:tcPr>
          <w:p>
            <w:pPr>
              <w:snapToGrid w:val="0"/>
              <w:spacing w:before="50" w:after="50"/>
              <w:jc w:val="center"/>
              <w:rPr>
                <w:rFonts w:ascii="宋体"/>
                <w:color w:val="auto"/>
                <w:sz w:val="24"/>
                <w:szCs w:val="24"/>
                <w:highlight w:val="none"/>
              </w:rPr>
            </w:pPr>
            <w:r>
              <w:rPr>
                <w:rFonts w:hint="eastAsia" w:ascii="宋体" w:hAnsi="宋体" w:cs="宋体"/>
                <w:color w:val="auto"/>
                <w:sz w:val="24"/>
                <w:szCs w:val="24"/>
                <w:highlight w:val="none"/>
              </w:rPr>
              <w:t>经验或业绩要求</w:t>
            </w:r>
          </w:p>
        </w:tc>
        <w:tc>
          <w:tcPr>
            <w:tcW w:w="270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color w:val="auto"/>
                <w:sz w:val="24"/>
                <w:szCs w:val="24"/>
                <w:highlight w:val="none"/>
              </w:rPr>
            </w:pPr>
          </w:p>
        </w:tc>
        <w:tc>
          <w:tcPr>
            <w:tcW w:w="3020" w:type="dxa"/>
            <w:tcBorders>
              <w:top w:val="single" w:color="auto" w:sz="4" w:space="0"/>
              <w:left w:val="single" w:color="auto" w:sz="4" w:space="0"/>
              <w:bottom w:val="single" w:color="auto" w:sz="4" w:space="0"/>
            </w:tcBorders>
            <w:vAlign w:val="center"/>
          </w:tcPr>
          <w:p>
            <w:pPr>
              <w:snapToGrid w:val="0"/>
              <w:spacing w:before="50" w:after="50"/>
              <w:jc w:val="center"/>
              <w:rPr>
                <w:rFonts w:asci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454" w:type="dxa"/>
            <w:tcBorders>
              <w:top w:val="single" w:color="auto" w:sz="4" w:space="0"/>
              <w:bottom w:val="single" w:color="auto" w:sz="4" w:space="0"/>
              <w:right w:val="single" w:color="auto" w:sz="4" w:space="0"/>
            </w:tcBorders>
            <w:vAlign w:val="center"/>
          </w:tcPr>
          <w:p>
            <w:pPr>
              <w:snapToGrid w:val="0"/>
              <w:spacing w:before="50" w:after="50"/>
              <w:jc w:val="center"/>
              <w:rPr>
                <w:rFonts w:ascii="宋体"/>
                <w:color w:val="auto"/>
                <w:sz w:val="24"/>
                <w:szCs w:val="24"/>
                <w:highlight w:val="none"/>
              </w:rPr>
            </w:pPr>
            <w:r>
              <w:rPr>
                <w:rFonts w:hint="eastAsia" w:ascii="宋体" w:hAnsi="宋体" w:cs="宋体"/>
                <w:color w:val="auto"/>
                <w:sz w:val="24"/>
                <w:szCs w:val="24"/>
                <w:highlight w:val="none"/>
              </w:rPr>
              <w:t>各类证书</w:t>
            </w:r>
          </w:p>
        </w:tc>
        <w:tc>
          <w:tcPr>
            <w:tcW w:w="270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color w:val="auto"/>
                <w:sz w:val="24"/>
                <w:szCs w:val="24"/>
                <w:highlight w:val="none"/>
              </w:rPr>
            </w:pPr>
          </w:p>
        </w:tc>
        <w:tc>
          <w:tcPr>
            <w:tcW w:w="3020" w:type="dxa"/>
            <w:tcBorders>
              <w:top w:val="single" w:color="auto" w:sz="4" w:space="0"/>
              <w:left w:val="single" w:color="auto" w:sz="4" w:space="0"/>
              <w:bottom w:val="single" w:color="auto" w:sz="4" w:space="0"/>
            </w:tcBorders>
            <w:vAlign w:val="center"/>
          </w:tcPr>
          <w:p>
            <w:pPr>
              <w:snapToGrid w:val="0"/>
              <w:spacing w:before="50" w:after="50"/>
              <w:jc w:val="center"/>
              <w:rPr>
                <w:rFonts w:asci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454" w:type="dxa"/>
            <w:tcBorders>
              <w:top w:val="single" w:color="auto" w:sz="4" w:space="0"/>
              <w:bottom w:val="single" w:color="auto" w:sz="4" w:space="0"/>
              <w:right w:val="single" w:color="auto" w:sz="4" w:space="0"/>
            </w:tcBorders>
            <w:vAlign w:val="center"/>
          </w:tcPr>
          <w:p>
            <w:pPr>
              <w:snapToGrid w:val="0"/>
              <w:spacing w:before="50" w:after="50"/>
              <w:jc w:val="center"/>
              <w:rPr>
                <w:rFonts w:ascii="宋体"/>
                <w:color w:val="auto"/>
                <w:sz w:val="24"/>
                <w:szCs w:val="24"/>
                <w:highlight w:val="none"/>
              </w:rPr>
            </w:pPr>
            <w:r>
              <w:rPr>
                <w:rFonts w:hint="eastAsia" w:ascii="宋体" w:hAnsi="宋体" w:cs="宋体"/>
                <w:color w:val="auto"/>
                <w:sz w:val="24"/>
                <w:szCs w:val="24"/>
                <w:highlight w:val="none"/>
              </w:rPr>
              <w:t>……</w:t>
            </w:r>
          </w:p>
        </w:tc>
        <w:tc>
          <w:tcPr>
            <w:tcW w:w="270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color w:val="auto"/>
                <w:sz w:val="24"/>
                <w:szCs w:val="24"/>
                <w:highlight w:val="none"/>
              </w:rPr>
            </w:pPr>
          </w:p>
        </w:tc>
        <w:tc>
          <w:tcPr>
            <w:tcW w:w="3020" w:type="dxa"/>
            <w:tcBorders>
              <w:top w:val="single" w:color="auto" w:sz="4" w:space="0"/>
              <w:left w:val="single" w:color="auto" w:sz="4" w:space="0"/>
              <w:bottom w:val="single" w:color="auto" w:sz="4" w:space="0"/>
            </w:tcBorders>
            <w:vAlign w:val="center"/>
          </w:tcPr>
          <w:p>
            <w:pPr>
              <w:snapToGrid w:val="0"/>
              <w:spacing w:before="50" w:after="50"/>
              <w:jc w:val="center"/>
              <w:rPr>
                <w:rFonts w:ascii="宋体"/>
                <w:color w:val="auto"/>
                <w:sz w:val="24"/>
                <w:szCs w:val="24"/>
                <w:highlight w:val="none"/>
              </w:rPr>
            </w:pPr>
          </w:p>
        </w:tc>
      </w:tr>
    </w:tbl>
    <w:p>
      <w:pPr>
        <w:spacing w:line="360" w:lineRule="auto"/>
        <w:ind w:left="3780" w:leftChars="1800" w:firstLine="480" w:firstLineChars="200"/>
        <w:rPr>
          <w:rFonts w:ascii="宋体"/>
          <w:color w:val="auto"/>
          <w:sz w:val="24"/>
          <w:szCs w:val="24"/>
          <w:highlight w:val="none"/>
        </w:rPr>
      </w:pPr>
    </w:p>
    <w:p>
      <w:pPr>
        <w:spacing w:line="360" w:lineRule="auto"/>
        <w:ind w:left="3780" w:leftChars="1800" w:firstLine="480" w:firstLineChars="200"/>
        <w:rPr>
          <w:rFonts w:ascii="宋体"/>
          <w:color w:val="auto"/>
          <w:sz w:val="24"/>
          <w:szCs w:val="24"/>
          <w:highlight w:val="none"/>
        </w:rPr>
      </w:pPr>
    </w:p>
    <w:p>
      <w:pPr>
        <w:spacing w:line="360" w:lineRule="auto"/>
        <w:ind w:left="3780" w:leftChars="1800" w:firstLine="480" w:firstLineChars="200"/>
        <w:rPr>
          <w:rFonts w:ascii="宋体"/>
          <w:color w:val="auto"/>
          <w:sz w:val="24"/>
          <w:szCs w:val="24"/>
          <w:highlight w:val="none"/>
        </w:rPr>
      </w:pPr>
    </w:p>
    <w:p>
      <w:pPr>
        <w:spacing w:line="360" w:lineRule="auto"/>
        <w:ind w:left="3780" w:leftChars="1800" w:firstLine="480" w:firstLineChars="200"/>
        <w:rPr>
          <w:rFonts w:ascii="宋体"/>
          <w:color w:val="auto"/>
          <w:sz w:val="24"/>
          <w:szCs w:val="24"/>
          <w:highlight w:val="none"/>
        </w:rPr>
      </w:pPr>
      <w:r>
        <w:rPr>
          <w:rFonts w:hint="eastAsia" w:ascii="宋体" w:hAnsi="宋体" w:cs="宋体"/>
          <w:color w:val="auto"/>
          <w:sz w:val="24"/>
          <w:szCs w:val="24"/>
          <w:highlight w:val="none"/>
        </w:rPr>
        <w:t>法定代表人签名（或签名章）：</w:t>
      </w:r>
      <w:r>
        <w:rPr>
          <w:rFonts w:ascii="宋体" w:hAnsi="宋体" w:cs="宋体"/>
          <w:color w:val="auto"/>
          <w:sz w:val="24"/>
          <w:szCs w:val="24"/>
          <w:highlight w:val="none"/>
        </w:rPr>
        <w:t xml:space="preserve">                       </w:t>
      </w:r>
    </w:p>
    <w:p>
      <w:pPr>
        <w:spacing w:line="360" w:lineRule="auto"/>
        <w:ind w:left="3780" w:leftChars="1800" w:firstLine="480" w:firstLineChars="200"/>
        <w:rPr>
          <w:rFonts w:ascii="宋体"/>
          <w:color w:val="auto"/>
          <w:sz w:val="24"/>
          <w:szCs w:val="24"/>
          <w:highlight w:val="none"/>
        </w:rPr>
      </w:pPr>
      <w:r>
        <w:rPr>
          <w:rFonts w:hint="eastAsia" w:ascii="宋体" w:hAnsi="宋体" w:cs="宋体"/>
          <w:color w:val="auto"/>
          <w:sz w:val="24"/>
          <w:szCs w:val="24"/>
          <w:highlight w:val="none"/>
        </w:rPr>
        <w:t>日</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期：</w:t>
      </w:r>
    </w:p>
    <w:p>
      <w:pPr>
        <w:spacing w:line="360" w:lineRule="auto"/>
        <w:ind w:left="3780" w:leftChars="1800" w:firstLine="480" w:firstLineChars="200"/>
        <w:rPr>
          <w:rFonts w:ascii="宋体"/>
          <w:color w:val="auto"/>
          <w:sz w:val="24"/>
          <w:szCs w:val="24"/>
          <w:highlight w:val="none"/>
        </w:rPr>
      </w:pPr>
      <w:r>
        <w:rPr>
          <w:rFonts w:hint="eastAsia" w:ascii="宋体" w:hAnsi="宋体" w:cs="宋体"/>
          <w:color w:val="auto"/>
          <w:sz w:val="24"/>
          <w:szCs w:val="24"/>
          <w:highlight w:val="none"/>
        </w:rPr>
        <w:t>供应商全称（公章）：</w:t>
      </w:r>
    </w:p>
    <w:p>
      <w:pPr>
        <w:snapToGrid w:val="0"/>
        <w:spacing w:before="50" w:after="50"/>
        <w:rPr>
          <w:rFonts w:ascii="宋体"/>
          <w:b/>
          <w:bCs/>
          <w:color w:val="auto"/>
          <w:sz w:val="24"/>
          <w:szCs w:val="24"/>
          <w:highlight w:val="none"/>
          <w:lang w:val="zh-CN"/>
        </w:rPr>
      </w:pPr>
      <w:r>
        <w:rPr>
          <w:rFonts w:ascii="宋体"/>
          <w:color w:val="auto"/>
          <w:sz w:val="24"/>
          <w:szCs w:val="24"/>
          <w:highlight w:val="none"/>
        </w:rPr>
        <w:br w:type="page"/>
      </w:r>
      <w:r>
        <w:rPr>
          <w:rFonts w:hint="eastAsia" w:ascii="宋体" w:hAnsi="宋体" w:cs="宋体"/>
          <w:b/>
          <w:bCs/>
          <w:color w:val="auto"/>
          <w:sz w:val="24"/>
          <w:szCs w:val="24"/>
          <w:highlight w:val="none"/>
          <w:lang w:val="zh-CN"/>
        </w:rPr>
        <w:t>附件</w:t>
      </w:r>
      <w:r>
        <w:rPr>
          <w:rFonts w:hint="eastAsia" w:ascii="宋体" w:hAnsi="宋体" w:cs="宋体"/>
          <w:b/>
          <w:bCs/>
          <w:color w:val="auto"/>
          <w:sz w:val="24"/>
          <w:szCs w:val="24"/>
          <w:highlight w:val="none"/>
          <w:lang w:val="en-US" w:eastAsia="zh-CN"/>
        </w:rPr>
        <w:t>十二</w:t>
      </w:r>
      <w:r>
        <w:rPr>
          <w:rFonts w:hint="eastAsia" w:ascii="宋体" w:hAnsi="宋体" w:cs="宋体"/>
          <w:b/>
          <w:bCs/>
          <w:color w:val="auto"/>
          <w:sz w:val="24"/>
          <w:szCs w:val="24"/>
          <w:highlight w:val="none"/>
          <w:lang w:val="zh-CN"/>
        </w:rPr>
        <w:t>：</w:t>
      </w:r>
    </w:p>
    <w:p>
      <w:pPr>
        <w:spacing w:line="360" w:lineRule="auto"/>
        <w:jc w:val="center"/>
        <w:rPr>
          <w:rFonts w:ascii="宋体"/>
          <w:b/>
          <w:bCs/>
          <w:color w:val="auto"/>
          <w:sz w:val="32"/>
          <w:szCs w:val="32"/>
          <w:highlight w:val="none"/>
        </w:rPr>
      </w:pPr>
      <w:r>
        <w:rPr>
          <w:rFonts w:hint="eastAsia" w:ascii="宋体" w:hAnsi="宋体" w:cs="宋体"/>
          <w:b/>
          <w:bCs/>
          <w:color w:val="auto"/>
          <w:sz w:val="32"/>
          <w:szCs w:val="32"/>
          <w:highlight w:val="none"/>
        </w:rPr>
        <w:t>项目组人员清单</w:t>
      </w:r>
    </w:p>
    <w:p>
      <w:pPr>
        <w:snapToGrid w:val="0"/>
        <w:spacing w:beforeLines="50" w:after="50"/>
        <w:jc w:val="center"/>
        <w:rPr>
          <w:rFonts w:ascii="宋体"/>
          <w:b/>
          <w:bCs/>
          <w:color w:val="auto"/>
          <w:sz w:val="30"/>
          <w:szCs w:val="30"/>
          <w:highlight w:val="none"/>
        </w:rPr>
      </w:pPr>
    </w:p>
    <w:p>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项目名称：</w:t>
      </w:r>
    </w:p>
    <w:p>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采购编号：</w:t>
      </w:r>
    </w:p>
    <w:tbl>
      <w:tblPr>
        <w:tblStyle w:val="27"/>
        <w:tblW w:w="853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04"/>
        <w:gridCol w:w="1004"/>
        <w:gridCol w:w="1663"/>
        <w:gridCol w:w="1260"/>
        <w:gridCol w:w="1800"/>
        <w:gridCol w:w="180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04" w:type="dxa"/>
            <w:tcBorders>
              <w:top w:val="single" w:color="auto" w:sz="4" w:space="0"/>
              <w:bottom w:val="single" w:color="auto" w:sz="4" w:space="0"/>
              <w:right w:val="single" w:color="auto" w:sz="4" w:space="0"/>
            </w:tcBorders>
            <w:vAlign w:val="center"/>
          </w:tcPr>
          <w:p>
            <w:pPr>
              <w:snapToGrid w:val="0"/>
              <w:spacing w:before="50" w:after="50"/>
              <w:jc w:val="center"/>
              <w:rPr>
                <w:rFonts w:ascii="宋体"/>
                <w:color w:val="auto"/>
                <w:sz w:val="24"/>
                <w:szCs w:val="24"/>
                <w:highlight w:val="none"/>
              </w:rPr>
            </w:pPr>
            <w:r>
              <w:rPr>
                <w:rFonts w:hint="eastAsia" w:ascii="宋体" w:hAnsi="宋体" w:cs="宋体"/>
                <w:color w:val="auto"/>
                <w:sz w:val="24"/>
                <w:szCs w:val="24"/>
                <w:highlight w:val="none"/>
              </w:rPr>
              <w:t>姓名</w:t>
            </w:r>
          </w:p>
        </w:tc>
        <w:tc>
          <w:tcPr>
            <w:tcW w:w="1004"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color w:val="auto"/>
                <w:sz w:val="24"/>
                <w:szCs w:val="24"/>
                <w:highlight w:val="none"/>
              </w:rPr>
            </w:pPr>
            <w:r>
              <w:rPr>
                <w:rFonts w:hint="eastAsia" w:ascii="宋体" w:hAnsi="宋体" w:cs="宋体"/>
                <w:color w:val="auto"/>
                <w:sz w:val="24"/>
                <w:szCs w:val="24"/>
                <w:highlight w:val="none"/>
              </w:rPr>
              <w:t>职务</w:t>
            </w:r>
          </w:p>
        </w:tc>
        <w:tc>
          <w:tcPr>
            <w:tcW w:w="1663"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color w:val="auto"/>
                <w:sz w:val="24"/>
                <w:szCs w:val="24"/>
                <w:highlight w:val="none"/>
              </w:rPr>
            </w:pPr>
            <w:r>
              <w:rPr>
                <w:rFonts w:hint="eastAsia" w:ascii="宋体" w:hAnsi="宋体" w:cs="宋体"/>
                <w:color w:val="auto"/>
                <w:sz w:val="24"/>
                <w:szCs w:val="24"/>
                <w:highlight w:val="none"/>
              </w:rPr>
              <w:t>专业技术资格</w:t>
            </w: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color w:val="auto"/>
                <w:sz w:val="24"/>
                <w:szCs w:val="24"/>
                <w:highlight w:val="none"/>
              </w:rPr>
            </w:pPr>
            <w:r>
              <w:rPr>
                <w:rFonts w:hint="eastAsia" w:ascii="宋体" w:hAnsi="宋体" w:cs="宋体"/>
                <w:color w:val="auto"/>
                <w:sz w:val="24"/>
                <w:szCs w:val="24"/>
                <w:highlight w:val="none"/>
              </w:rPr>
              <w:t>证书编号</w:t>
            </w:r>
          </w:p>
        </w:tc>
        <w:tc>
          <w:tcPr>
            <w:tcW w:w="180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color w:val="auto"/>
                <w:sz w:val="24"/>
                <w:szCs w:val="24"/>
                <w:highlight w:val="none"/>
              </w:rPr>
            </w:pPr>
            <w:r>
              <w:rPr>
                <w:rFonts w:hint="eastAsia" w:ascii="宋体" w:hAnsi="宋体" w:cs="宋体"/>
                <w:color w:val="auto"/>
                <w:sz w:val="24"/>
                <w:szCs w:val="24"/>
                <w:highlight w:val="none"/>
              </w:rPr>
              <w:t>参加本单位工作时间</w:t>
            </w:r>
          </w:p>
        </w:tc>
        <w:tc>
          <w:tcPr>
            <w:tcW w:w="1800" w:type="dxa"/>
            <w:tcBorders>
              <w:top w:val="single" w:color="auto" w:sz="4" w:space="0"/>
              <w:left w:val="single" w:color="auto" w:sz="4" w:space="0"/>
              <w:bottom w:val="single" w:color="auto" w:sz="4" w:space="0"/>
            </w:tcBorders>
            <w:vAlign w:val="center"/>
          </w:tcPr>
          <w:p>
            <w:pPr>
              <w:snapToGrid w:val="0"/>
              <w:spacing w:before="50" w:after="50"/>
              <w:jc w:val="center"/>
              <w:rPr>
                <w:rFonts w:ascii="宋体"/>
                <w:color w:val="auto"/>
                <w:sz w:val="24"/>
                <w:szCs w:val="24"/>
                <w:highlight w:val="none"/>
              </w:rPr>
            </w:pPr>
            <w:r>
              <w:rPr>
                <w:rFonts w:hint="eastAsia" w:ascii="宋体" w:hAnsi="宋体" w:cs="宋体"/>
                <w:color w:val="auto"/>
                <w:sz w:val="24"/>
                <w:szCs w:val="24"/>
                <w:highlight w:val="none"/>
              </w:rPr>
              <w:t>劳动合同编号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04" w:type="dxa"/>
            <w:tcBorders>
              <w:top w:val="single" w:color="auto" w:sz="4" w:space="0"/>
              <w:bottom w:val="single" w:color="auto" w:sz="4" w:space="0"/>
              <w:right w:val="single" w:color="auto" w:sz="4" w:space="0"/>
            </w:tcBorders>
          </w:tcPr>
          <w:p>
            <w:pPr>
              <w:snapToGrid w:val="0"/>
              <w:spacing w:beforeLines="50" w:after="50" w:line="460" w:lineRule="exact"/>
              <w:rPr>
                <w:rFonts w:ascii="宋体"/>
                <w:color w:val="auto"/>
                <w:sz w:val="24"/>
                <w:szCs w:val="24"/>
                <w:highlight w:val="none"/>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color w:val="auto"/>
                <w:sz w:val="24"/>
                <w:szCs w:val="24"/>
                <w:highlight w:val="none"/>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color w:val="auto"/>
                <w:sz w:val="24"/>
                <w:szCs w:val="24"/>
                <w:highlight w:val="none"/>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color w:val="auto"/>
                <w:sz w:val="24"/>
                <w:szCs w:val="24"/>
                <w:highlight w:val="none"/>
              </w:rPr>
            </w:pPr>
          </w:p>
        </w:tc>
        <w:tc>
          <w:tcPr>
            <w:tcW w:w="1800" w:type="dxa"/>
            <w:tcBorders>
              <w:top w:val="single" w:color="auto" w:sz="4" w:space="0"/>
              <w:left w:val="single" w:color="auto" w:sz="4" w:space="0"/>
              <w:bottom w:val="single" w:color="auto" w:sz="4" w:space="0"/>
            </w:tcBorders>
          </w:tcPr>
          <w:p>
            <w:pPr>
              <w:snapToGrid w:val="0"/>
              <w:spacing w:beforeLines="50" w:after="50" w:line="460" w:lineRule="exact"/>
              <w:rPr>
                <w:rFonts w:asci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04" w:type="dxa"/>
            <w:tcBorders>
              <w:top w:val="single" w:color="auto" w:sz="4" w:space="0"/>
              <w:bottom w:val="single" w:color="auto" w:sz="4" w:space="0"/>
              <w:right w:val="single" w:color="auto" w:sz="4" w:space="0"/>
            </w:tcBorders>
          </w:tcPr>
          <w:p>
            <w:pPr>
              <w:snapToGrid w:val="0"/>
              <w:spacing w:beforeLines="50" w:after="50" w:line="460" w:lineRule="exact"/>
              <w:rPr>
                <w:rFonts w:ascii="宋体"/>
                <w:color w:val="auto"/>
                <w:sz w:val="24"/>
                <w:szCs w:val="24"/>
                <w:highlight w:val="none"/>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color w:val="auto"/>
                <w:sz w:val="24"/>
                <w:szCs w:val="24"/>
                <w:highlight w:val="none"/>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color w:val="auto"/>
                <w:sz w:val="24"/>
                <w:szCs w:val="24"/>
                <w:highlight w:val="none"/>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color w:val="auto"/>
                <w:sz w:val="24"/>
                <w:szCs w:val="24"/>
                <w:highlight w:val="none"/>
              </w:rPr>
            </w:pPr>
          </w:p>
        </w:tc>
        <w:tc>
          <w:tcPr>
            <w:tcW w:w="1800" w:type="dxa"/>
            <w:tcBorders>
              <w:top w:val="single" w:color="auto" w:sz="4" w:space="0"/>
              <w:left w:val="single" w:color="auto" w:sz="4" w:space="0"/>
              <w:bottom w:val="single" w:color="auto" w:sz="4" w:space="0"/>
            </w:tcBorders>
          </w:tcPr>
          <w:p>
            <w:pPr>
              <w:snapToGrid w:val="0"/>
              <w:spacing w:beforeLines="50" w:after="50" w:line="460" w:lineRule="exact"/>
              <w:rPr>
                <w:rFonts w:asci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04" w:type="dxa"/>
            <w:tcBorders>
              <w:top w:val="single" w:color="auto" w:sz="4" w:space="0"/>
              <w:bottom w:val="single" w:color="auto" w:sz="4" w:space="0"/>
              <w:right w:val="single" w:color="auto" w:sz="4" w:space="0"/>
            </w:tcBorders>
          </w:tcPr>
          <w:p>
            <w:pPr>
              <w:snapToGrid w:val="0"/>
              <w:spacing w:beforeLines="50" w:after="50" w:line="460" w:lineRule="exact"/>
              <w:rPr>
                <w:rFonts w:ascii="宋体"/>
                <w:color w:val="auto"/>
                <w:sz w:val="24"/>
                <w:szCs w:val="24"/>
                <w:highlight w:val="none"/>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color w:val="auto"/>
                <w:sz w:val="24"/>
                <w:szCs w:val="24"/>
                <w:highlight w:val="none"/>
              </w:rPr>
            </w:pPr>
          </w:p>
        </w:tc>
        <w:tc>
          <w:tcPr>
            <w:tcW w:w="1663" w:type="dxa"/>
            <w:tcBorders>
              <w:top w:val="single" w:color="auto" w:sz="4" w:space="0"/>
              <w:left w:val="single" w:color="auto" w:sz="4" w:space="0"/>
              <w:bottom w:val="single" w:color="auto" w:sz="4" w:space="0"/>
              <w:right w:val="single" w:color="auto" w:sz="4" w:space="0"/>
            </w:tcBorders>
          </w:tcPr>
          <w:p>
            <w:pPr>
              <w:pStyle w:val="16"/>
              <w:snapToGrid w:val="0"/>
              <w:spacing w:beforeLines="50" w:after="50" w:line="460" w:lineRule="exact"/>
              <w:ind w:left="5250"/>
              <w:rPr>
                <w:rFonts w:cs="Times New Roman"/>
                <w:color w:val="auto"/>
                <w:highlight w:val="none"/>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color w:val="auto"/>
                <w:sz w:val="24"/>
                <w:szCs w:val="24"/>
                <w:highlight w:val="none"/>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color w:val="auto"/>
                <w:sz w:val="24"/>
                <w:szCs w:val="24"/>
                <w:highlight w:val="none"/>
              </w:rPr>
            </w:pPr>
          </w:p>
        </w:tc>
        <w:tc>
          <w:tcPr>
            <w:tcW w:w="1800" w:type="dxa"/>
            <w:tcBorders>
              <w:top w:val="single" w:color="auto" w:sz="4" w:space="0"/>
              <w:left w:val="single" w:color="auto" w:sz="4" w:space="0"/>
              <w:bottom w:val="single" w:color="auto" w:sz="4" w:space="0"/>
            </w:tcBorders>
          </w:tcPr>
          <w:p>
            <w:pPr>
              <w:snapToGrid w:val="0"/>
              <w:spacing w:beforeLines="50" w:after="50" w:line="460" w:lineRule="exact"/>
              <w:rPr>
                <w:rFonts w:asci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04" w:type="dxa"/>
            <w:tcBorders>
              <w:top w:val="single" w:color="auto" w:sz="4" w:space="0"/>
              <w:bottom w:val="single" w:color="auto" w:sz="4" w:space="0"/>
              <w:right w:val="single" w:color="auto" w:sz="4" w:space="0"/>
            </w:tcBorders>
          </w:tcPr>
          <w:p>
            <w:pPr>
              <w:snapToGrid w:val="0"/>
              <w:spacing w:beforeLines="50" w:after="50" w:line="460" w:lineRule="exact"/>
              <w:rPr>
                <w:rFonts w:ascii="宋体"/>
                <w:color w:val="auto"/>
                <w:sz w:val="24"/>
                <w:szCs w:val="24"/>
                <w:highlight w:val="none"/>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color w:val="auto"/>
                <w:sz w:val="24"/>
                <w:szCs w:val="24"/>
                <w:highlight w:val="none"/>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color w:val="auto"/>
                <w:sz w:val="24"/>
                <w:szCs w:val="24"/>
                <w:highlight w:val="none"/>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color w:val="auto"/>
                <w:sz w:val="24"/>
                <w:szCs w:val="24"/>
                <w:highlight w:val="none"/>
              </w:rPr>
            </w:pPr>
          </w:p>
        </w:tc>
        <w:tc>
          <w:tcPr>
            <w:tcW w:w="1800" w:type="dxa"/>
            <w:tcBorders>
              <w:top w:val="single" w:color="auto" w:sz="4" w:space="0"/>
              <w:left w:val="single" w:color="auto" w:sz="4" w:space="0"/>
              <w:bottom w:val="single" w:color="auto" w:sz="4" w:space="0"/>
            </w:tcBorders>
          </w:tcPr>
          <w:p>
            <w:pPr>
              <w:snapToGrid w:val="0"/>
              <w:spacing w:beforeLines="50" w:after="50" w:line="460" w:lineRule="exact"/>
              <w:rPr>
                <w:rFonts w:asci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04" w:type="dxa"/>
            <w:tcBorders>
              <w:top w:val="single" w:color="auto" w:sz="4" w:space="0"/>
              <w:bottom w:val="single" w:color="auto" w:sz="4" w:space="0"/>
              <w:right w:val="single" w:color="auto" w:sz="4" w:space="0"/>
            </w:tcBorders>
          </w:tcPr>
          <w:p>
            <w:pPr>
              <w:snapToGrid w:val="0"/>
              <w:spacing w:beforeLines="50" w:after="50" w:line="460" w:lineRule="exact"/>
              <w:rPr>
                <w:rFonts w:ascii="宋体"/>
                <w:color w:val="auto"/>
                <w:sz w:val="24"/>
                <w:szCs w:val="24"/>
                <w:highlight w:val="none"/>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color w:val="auto"/>
                <w:sz w:val="24"/>
                <w:szCs w:val="24"/>
                <w:highlight w:val="none"/>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color w:val="auto"/>
                <w:sz w:val="24"/>
                <w:szCs w:val="24"/>
                <w:highlight w:val="none"/>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color w:val="auto"/>
                <w:sz w:val="24"/>
                <w:szCs w:val="24"/>
                <w:highlight w:val="none"/>
              </w:rPr>
            </w:pPr>
          </w:p>
        </w:tc>
        <w:tc>
          <w:tcPr>
            <w:tcW w:w="1800" w:type="dxa"/>
            <w:tcBorders>
              <w:top w:val="single" w:color="auto" w:sz="4" w:space="0"/>
              <w:left w:val="single" w:color="auto" w:sz="4" w:space="0"/>
              <w:bottom w:val="single" w:color="auto" w:sz="4" w:space="0"/>
            </w:tcBorders>
          </w:tcPr>
          <w:p>
            <w:pPr>
              <w:snapToGrid w:val="0"/>
              <w:spacing w:beforeLines="50" w:after="50" w:line="460" w:lineRule="exact"/>
              <w:rPr>
                <w:rFonts w:asci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04" w:type="dxa"/>
            <w:tcBorders>
              <w:top w:val="single" w:color="auto" w:sz="4" w:space="0"/>
              <w:bottom w:val="single" w:color="auto" w:sz="4" w:space="0"/>
              <w:right w:val="single" w:color="auto" w:sz="4" w:space="0"/>
            </w:tcBorders>
          </w:tcPr>
          <w:p>
            <w:pPr>
              <w:snapToGrid w:val="0"/>
              <w:spacing w:beforeLines="50" w:after="50" w:line="460" w:lineRule="exact"/>
              <w:rPr>
                <w:rFonts w:ascii="宋体"/>
                <w:color w:val="auto"/>
                <w:sz w:val="24"/>
                <w:szCs w:val="24"/>
                <w:highlight w:val="none"/>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color w:val="auto"/>
                <w:sz w:val="24"/>
                <w:szCs w:val="24"/>
                <w:highlight w:val="none"/>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color w:val="auto"/>
                <w:sz w:val="24"/>
                <w:szCs w:val="24"/>
                <w:highlight w:val="none"/>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color w:val="auto"/>
                <w:sz w:val="24"/>
                <w:szCs w:val="24"/>
                <w:highlight w:val="none"/>
              </w:rPr>
            </w:pPr>
          </w:p>
        </w:tc>
        <w:tc>
          <w:tcPr>
            <w:tcW w:w="1800" w:type="dxa"/>
            <w:tcBorders>
              <w:top w:val="single" w:color="auto" w:sz="4" w:space="0"/>
              <w:left w:val="single" w:color="auto" w:sz="4" w:space="0"/>
              <w:bottom w:val="single" w:color="auto" w:sz="4" w:space="0"/>
            </w:tcBorders>
          </w:tcPr>
          <w:p>
            <w:pPr>
              <w:snapToGrid w:val="0"/>
              <w:spacing w:beforeLines="50" w:after="50" w:line="460" w:lineRule="exact"/>
              <w:rPr>
                <w:rFonts w:asci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04" w:type="dxa"/>
            <w:tcBorders>
              <w:top w:val="single" w:color="auto" w:sz="4" w:space="0"/>
              <w:bottom w:val="single" w:color="auto" w:sz="4" w:space="0"/>
              <w:right w:val="single" w:color="auto" w:sz="4" w:space="0"/>
            </w:tcBorders>
          </w:tcPr>
          <w:p>
            <w:pPr>
              <w:snapToGrid w:val="0"/>
              <w:spacing w:beforeLines="50" w:after="50" w:line="460" w:lineRule="exact"/>
              <w:rPr>
                <w:rFonts w:ascii="宋体"/>
                <w:color w:val="auto"/>
                <w:sz w:val="24"/>
                <w:szCs w:val="24"/>
                <w:highlight w:val="none"/>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color w:val="auto"/>
                <w:sz w:val="24"/>
                <w:szCs w:val="24"/>
                <w:highlight w:val="none"/>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color w:val="auto"/>
                <w:sz w:val="24"/>
                <w:szCs w:val="24"/>
                <w:highlight w:val="none"/>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color w:val="auto"/>
                <w:sz w:val="24"/>
                <w:szCs w:val="24"/>
                <w:highlight w:val="none"/>
              </w:rPr>
            </w:pPr>
          </w:p>
        </w:tc>
        <w:tc>
          <w:tcPr>
            <w:tcW w:w="1800" w:type="dxa"/>
            <w:tcBorders>
              <w:top w:val="single" w:color="auto" w:sz="4" w:space="0"/>
              <w:left w:val="single" w:color="auto" w:sz="4" w:space="0"/>
              <w:bottom w:val="single" w:color="auto" w:sz="4" w:space="0"/>
            </w:tcBorders>
          </w:tcPr>
          <w:p>
            <w:pPr>
              <w:snapToGrid w:val="0"/>
              <w:spacing w:beforeLines="50" w:after="50" w:line="460" w:lineRule="exact"/>
              <w:rPr>
                <w:rFonts w:asci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04" w:type="dxa"/>
            <w:tcBorders>
              <w:top w:val="single" w:color="auto" w:sz="4" w:space="0"/>
              <w:bottom w:val="single" w:color="auto" w:sz="4" w:space="0"/>
              <w:right w:val="single" w:color="auto" w:sz="4" w:space="0"/>
            </w:tcBorders>
          </w:tcPr>
          <w:p>
            <w:pPr>
              <w:snapToGrid w:val="0"/>
              <w:spacing w:beforeLines="50" w:after="50" w:line="460" w:lineRule="exact"/>
              <w:rPr>
                <w:rFonts w:ascii="宋体"/>
                <w:color w:val="auto"/>
                <w:sz w:val="24"/>
                <w:szCs w:val="24"/>
                <w:highlight w:val="none"/>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color w:val="auto"/>
                <w:sz w:val="24"/>
                <w:szCs w:val="24"/>
                <w:highlight w:val="none"/>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color w:val="auto"/>
                <w:sz w:val="24"/>
                <w:szCs w:val="24"/>
                <w:highlight w:val="none"/>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color w:val="auto"/>
                <w:sz w:val="24"/>
                <w:szCs w:val="24"/>
                <w:highlight w:val="none"/>
              </w:rPr>
            </w:pPr>
          </w:p>
        </w:tc>
        <w:tc>
          <w:tcPr>
            <w:tcW w:w="1800" w:type="dxa"/>
            <w:tcBorders>
              <w:top w:val="single" w:color="auto" w:sz="4" w:space="0"/>
              <w:left w:val="single" w:color="auto" w:sz="4" w:space="0"/>
              <w:bottom w:val="single" w:color="auto" w:sz="4" w:space="0"/>
            </w:tcBorders>
          </w:tcPr>
          <w:p>
            <w:pPr>
              <w:snapToGrid w:val="0"/>
              <w:spacing w:beforeLines="50" w:after="50" w:line="460" w:lineRule="exact"/>
              <w:rPr>
                <w:rFonts w:asci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04" w:type="dxa"/>
            <w:tcBorders>
              <w:top w:val="single" w:color="auto" w:sz="4" w:space="0"/>
              <w:bottom w:val="single" w:color="auto" w:sz="4" w:space="0"/>
              <w:right w:val="single" w:color="auto" w:sz="4" w:space="0"/>
            </w:tcBorders>
          </w:tcPr>
          <w:p>
            <w:pPr>
              <w:snapToGrid w:val="0"/>
              <w:spacing w:beforeLines="50" w:after="50" w:line="460" w:lineRule="exact"/>
              <w:rPr>
                <w:rFonts w:ascii="宋体"/>
                <w:color w:val="auto"/>
                <w:sz w:val="24"/>
                <w:szCs w:val="24"/>
                <w:highlight w:val="none"/>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color w:val="auto"/>
                <w:sz w:val="24"/>
                <w:szCs w:val="24"/>
                <w:highlight w:val="none"/>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color w:val="auto"/>
                <w:sz w:val="24"/>
                <w:szCs w:val="24"/>
                <w:highlight w:val="none"/>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color w:val="auto"/>
                <w:sz w:val="24"/>
                <w:szCs w:val="24"/>
                <w:highlight w:val="none"/>
              </w:rPr>
            </w:pPr>
          </w:p>
        </w:tc>
        <w:tc>
          <w:tcPr>
            <w:tcW w:w="1800" w:type="dxa"/>
            <w:tcBorders>
              <w:top w:val="single" w:color="auto" w:sz="4" w:space="0"/>
              <w:left w:val="single" w:color="auto" w:sz="4" w:space="0"/>
              <w:bottom w:val="single" w:color="auto" w:sz="4" w:space="0"/>
            </w:tcBorders>
          </w:tcPr>
          <w:p>
            <w:pPr>
              <w:snapToGrid w:val="0"/>
              <w:spacing w:beforeLines="50" w:after="50" w:line="460" w:lineRule="exact"/>
              <w:rPr>
                <w:rFonts w:ascii="宋体"/>
                <w:color w:val="auto"/>
                <w:sz w:val="24"/>
                <w:szCs w:val="24"/>
                <w:highlight w:val="none"/>
              </w:rPr>
            </w:pPr>
          </w:p>
        </w:tc>
      </w:tr>
    </w:tbl>
    <w:p>
      <w:pPr>
        <w:adjustRightInd w:val="0"/>
        <w:snapToGrid w:val="0"/>
        <w:spacing w:line="360" w:lineRule="auto"/>
        <w:jc w:val="left"/>
        <w:rPr>
          <w:rFonts w:ascii="宋体"/>
          <w:color w:val="auto"/>
          <w:sz w:val="24"/>
          <w:szCs w:val="24"/>
          <w:highlight w:val="none"/>
        </w:rPr>
      </w:pPr>
    </w:p>
    <w:p>
      <w:pPr>
        <w:adjustRightInd w:val="0"/>
        <w:snapToGrid w:val="0"/>
        <w:spacing w:line="360" w:lineRule="auto"/>
        <w:ind w:firstLine="480" w:firstLineChars="200"/>
        <w:jc w:val="left"/>
        <w:rPr>
          <w:rFonts w:ascii="宋体"/>
          <w:color w:val="auto"/>
          <w:sz w:val="24"/>
          <w:szCs w:val="24"/>
          <w:highlight w:val="none"/>
        </w:rPr>
      </w:pPr>
      <w:r>
        <w:rPr>
          <w:rFonts w:hint="eastAsia" w:ascii="宋体" w:hAnsi="宋体" w:cs="宋体"/>
          <w:color w:val="auto"/>
          <w:sz w:val="24"/>
          <w:szCs w:val="24"/>
          <w:highlight w:val="none"/>
        </w:rPr>
        <w:t>注：在填写时，如本表格不适合投标单位的实际情况，可根据本表格式自行划表填写。</w:t>
      </w:r>
      <w:r>
        <w:rPr>
          <w:rFonts w:ascii="宋体" w:hAnsi="宋体" w:cs="宋体"/>
          <w:color w:val="auto"/>
          <w:sz w:val="24"/>
          <w:szCs w:val="24"/>
          <w:highlight w:val="none"/>
        </w:rPr>
        <w:t xml:space="preserve"> </w:t>
      </w:r>
    </w:p>
    <w:p>
      <w:pPr>
        <w:snapToGrid w:val="0"/>
        <w:spacing w:before="50" w:afterLines="50" w:line="460" w:lineRule="exact"/>
        <w:jc w:val="left"/>
        <w:rPr>
          <w:rFonts w:ascii="宋体"/>
          <w:color w:val="auto"/>
          <w:sz w:val="24"/>
          <w:szCs w:val="24"/>
          <w:highlight w:val="none"/>
        </w:rPr>
      </w:pPr>
    </w:p>
    <w:p>
      <w:pPr>
        <w:pStyle w:val="12"/>
        <w:rPr>
          <w:rFonts w:cs="Times New Roman"/>
          <w:color w:val="auto"/>
          <w:highlight w:val="none"/>
        </w:rPr>
      </w:pPr>
    </w:p>
    <w:p>
      <w:pPr>
        <w:spacing w:line="360" w:lineRule="auto"/>
        <w:ind w:left="3780" w:leftChars="1800" w:firstLine="480" w:firstLineChars="200"/>
        <w:rPr>
          <w:rFonts w:ascii="宋体"/>
          <w:color w:val="auto"/>
          <w:sz w:val="24"/>
          <w:szCs w:val="24"/>
          <w:highlight w:val="none"/>
        </w:rPr>
      </w:pPr>
      <w:r>
        <w:rPr>
          <w:rFonts w:hint="eastAsia" w:ascii="宋体" w:hAnsi="宋体" w:cs="宋体"/>
          <w:color w:val="auto"/>
          <w:sz w:val="24"/>
          <w:szCs w:val="24"/>
          <w:highlight w:val="none"/>
        </w:rPr>
        <w:t>法定代表人签名（或签名章）：</w:t>
      </w:r>
      <w:r>
        <w:rPr>
          <w:rFonts w:ascii="宋体" w:hAnsi="宋体" w:cs="宋体"/>
          <w:color w:val="auto"/>
          <w:sz w:val="24"/>
          <w:szCs w:val="24"/>
          <w:highlight w:val="none"/>
        </w:rPr>
        <w:t xml:space="preserve">                       </w:t>
      </w:r>
    </w:p>
    <w:p>
      <w:pPr>
        <w:spacing w:line="360" w:lineRule="auto"/>
        <w:ind w:left="3780" w:leftChars="1800" w:firstLine="480" w:firstLineChars="200"/>
        <w:rPr>
          <w:rFonts w:ascii="宋体"/>
          <w:color w:val="auto"/>
          <w:sz w:val="24"/>
          <w:szCs w:val="24"/>
          <w:highlight w:val="none"/>
        </w:rPr>
      </w:pPr>
      <w:r>
        <w:rPr>
          <w:rFonts w:hint="eastAsia" w:ascii="宋体" w:hAnsi="宋体" w:cs="宋体"/>
          <w:color w:val="auto"/>
          <w:sz w:val="24"/>
          <w:szCs w:val="24"/>
          <w:highlight w:val="none"/>
        </w:rPr>
        <w:t>日</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期：</w:t>
      </w:r>
    </w:p>
    <w:p>
      <w:pPr>
        <w:spacing w:line="360" w:lineRule="auto"/>
        <w:ind w:left="3780" w:leftChars="1800" w:firstLine="480" w:firstLineChars="200"/>
        <w:rPr>
          <w:rFonts w:ascii="宋体"/>
          <w:color w:val="auto"/>
          <w:sz w:val="24"/>
          <w:szCs w:val="24"/>
          <w:highlight w:val="none"/>
        </w:rPr>
      </w:pPr>
      <w:r>
        <w:rPr>
          <w:rFonts w:hint="eastAsia" w:ascii="宋体" w:hAnsi="宋体" w:cs="宋体"/>
          <w:color w:val="auto"/>
          <w:sz w:val="24"/>
          <w:szCs w:val="24"/>
          <w:highlight w:val="none"/>
        </w:rPr>
        <w:t>供应商全称（公章）：</w:t>
      </w:r>
    </w:p>
    <w:p>
      <w:pPr>
        <w:spacing w:line="360" w:lineRule="auto"/>
        <w:jc w:val="center"/>
        <w:rPr>
          <w:rFonts w:ascii="宋体"/>
          <w:b/>
          <w:bCs/>
          <w:color w:val="auto"/>
          <w:kern w:val="0"/>
          <w:sz w:val="36"/>
          <w:szCs w:val="36"/>
          <w:highlight w:val="none"/>
        </w:rPr>
      </w:pPr>
      <w:r>
        <w:rPr>
          <w:rFonts w:ascii="宋体"/>
          <w:color w:val="auto"/>
          <w:spacing w:val="20"/>
          <w:sz w:val="30"/>
          <w:szCs w:val="30"/>
          <w:highlight w:val="none"/>
        </w:rPr>
        <w:br w:type="page"/>
      </w:r>
      <w:r>
        <w:rPr>
          <w:rFonts w:hint="eastAsia" w:ascii="宋体" w:hAnsi="宋体" w:cs="宋体"/>
          <w:b/>
          <w:bCs/>
          <w:color w:val="auto"/>
          <w:kern w:val="0"/>
          <w:sz w:val="36"/>
          <w:szCs w:val="36"/>
          <w:highlight w:val="none"/>
        </w:rPr>
        <w:t>报价文件</w:t>
      </w:r>
    </w:p>
    <w:p>
      <w:pPr>
        <w:spacing w:line="360" w:lineRule="auto"/>
        <w:jc w:val="center"/>
        <w:rPr>
          <w:rFonts w:ascii="宋体"/>
          <w:b/>
          <w:bCs/>
          <w:color w:val="auto"/>
          <w:kern w:val="0"/>
          <w:sz w:val="36"/>
          <w:szCs w:val="36"/>
          <w:highlight w:val="none"/>
        </w:rPr>
      </w:pPr>
    </w:p>
    <w:p>
      <w:pPr>
        <w:spacing w:line="360" w:lineRule="auto"/>
        <w:jc w:val="center"/>
        <w:rPr>
          <w:rFonts w:ascii="宋体"/>
          <w:b/>
          <w:bCs/>
          <w:color w:val="auto"/>
          <w:kern w:val="0"/>
          <w:sz w:val="36"/>
          <w:szCs w:val="36"/>
          <w:highlight w:val="none"/>
        </w:rPr>
      </w:pPr>
      <w:r>
        <w:rPr>
          <w:rFonts w:hint="eastAsia" w:ascii="宋体" w:hAnsi="宋体" w:cs="宋体"/>
          <w:b/>
          <w:bCs/>
          <w:color w:val="auto"/>
          <w:kern w:val="0"/>
          <w:sz w:val="36"/>
          <w:szCs w:val="36"/>
          <w:highlight w:val="none"/>
        </w:rPr>
        <w:t>目录</w:t>
      </w:r>
    </w:p>
    <w:p>
      <w:pPr>
        <w:pStyle w:val="12"/>
        <w:ind w:firstLine="723"/>
        <w:rPr>
          <w:rFonts w:cs="Times New Roman"/>
          <w:b/>
          <w:bCs/>
          <w:color w:val="auto"/>
          <w:kern w:val="0"/>
          <w:sz w:val="36"/>
          <w:szCs w:val="36"/>
          <w:highlight w:val="none"/>
        </w:rPr>
      </w:pPr>
    </w:p>
    <w:p>
      <w:pPr>
        <w:spacing w:line="360" w:lineRule="auto"/>
        <w:rPr>
          <w:rFonts w:ascii="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1</w:t>
      </w:r>
      <w:r>
        <w:rPr>
          <w:rFonts w:hint="eastAsia" w:ascii="宋体" w:hAnsi="宋体" w:cs="宋体"/>
          <w:color w:val="auto"/>
          <w:sz w:val="24"/>
          <w:szCs w:val="24"/>
          <w:highlight w:val="none"/>
        </w:rPr>
        <w:t>）磋商函（格式见附件）；</w:t>
      </w:r>
    </w:p>
    <w:p>
      <w:pPr>
        <w:spacing w:line="360" w:lineRule="auto"/>
        <w:rPr>
          <w:rFonts w:ascii="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2</w:t>
      </w:r>
      <w:r>
        <w:rPr>
          <w:rFonts w:hint="eastAsia" w:ascii="宋体" w:hAnsi="宋体" w:cs="宋体"/>
          <w:color w:val="auto"/>
          <w:sz w:val="24"/>
          <w:szCs w:val="24"/>
          <w:highlight w:val="none"/>
        </w:rPr>
        <w:t>）报价一览表（格式见附件）；</w:t>
      </w:r>
    </w:p>
    <w:p>
      <w:pPr>
        <w:spacing w:line="360" w:lineRule="auto"/>
        <w:rPr>
          <w:rFonts w:ascii="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3</w:t>
      </w:r>
      <w:r>
        <w:rPr>
          <w:rFonts w:hint="eastAsia" w:ascii="宋体" w:hAnsi="宋体" w:cs="宋体"/>
          <w:color w:val="auto"/>
          <w:sz w:val="24"/>
          <w:szCs w:val="24"/>
          <w:highlight w:val="none"/>
        </w:rPr>
        <w:t>）磋商报价明细表（格式见附件）。</w:t>
      </w:r>
    </w:p>
    <w:p>
      <w:pPr>
        <w:rPr>
          <w:rFonts w:ascii="宋体"/>
          <w:color w:val="auto"/>
          <w:highlight w:val="none"/>
        </w:rPr>
      </w:pPr>
    </w:p>
    <w:p>
      <w:pPr>
        <w:rPr>
          <w:rFonts w:ascii="宋体"/>
          <w:color w:val="auto"/>
          <w:highlight w:val="none"/>
        </w:rPr>
      </w:pPr>
      <w:r>
        <w:rPr>
          <w:rFonts w:ascii="宋体"/>
          <w:color w:val="auto"/>
          <w:highlight w:val="none"/>
        </w:rPr>
        <w:br w:type="page"/>
      </w:r>
    </w:p>
    <w:p>
      <w:pPr>
        <w:rPr>
          <w:rFonts w:ascii="宋体"/>
          <w:b/>
          <w:bCs/>
          <w:color w:val="auto"/>
          <w:highlight w:val="none"/>
          <w:lang w:val="zh-CN"/>
        </w:rPr>
      </w:pPr>
      <w:bookmarkStart w:id="118" w:name="_Toc3094"/>
      <w:r>
        <w:rPr>
          <w:rFonts w:hint="eastAsia" w:cs="宋体"/>
          <w:b/>
          <w:bCs/>
          <w:color w:val="auto"/>
          <w:sz w:val="24"/>
          <w:szCs w:val="24"/>
          <w:highlight w:val="none"/>
          <w:lang w:val="zh-CN"/>
        </w:rPr>
        <w:t>附件</w:t>
      </w:r>
      <w:bookmarkStart w:id="119" w:name="_Toc130094924"/>
      <w:bookmarkStart w:id="120" w:name="_Toc98731770"/>
      <w:r>
        <w:rPr>
          <w:rFonts w:hint="eastAsia" w:cs="宋体"/>
          <w:b/>
          <w:bCs/>
          <w:color w:val="auto"/>
          <w:sz w:val="24"/>
          <w:szCs w:val="24"/>
          <w:highlight w:val="none"/>
          <w:lang w:val="en-US" w:eastAsia="zh-CN"/>
        </w:rPr>
        <w:t>十三</w:t>
      </w:r>
      <w:r>
        <w:rPr>
          <w:rFonts w:hint="eastAsia" w:cs="宋体"/>
          <w:b/>
          <w:bCs/>
          <w:color w:val="auto"/>
          <w:sz w:val="24"/>
          <w:szCs w:val="24"/>
          <w:highlight w:val="none"/>
        </w:rPr>
        <w:t>：</w:t>
      </w:r>
    </w:p>
    <w:p>
      <w:pPr>
        <w:spacing w:line="360" w:lineRule="auto"/>
        <w:jc w:val="center"/>
        <w:rPr>
          <w:rFonts w:ascii="宋体"/>
          <w:b/>
          <w:bCs/>
          <w:color w:val="auto"/>
          <w:sz w:val="32"/>
          <w:szCs w:val="32"/>
          <w:highlight w:val="none"/>
        </w:rPr>
      </w:pPr>
      <w:r>
        <w:rPr>
          <w:rFonts w:hint="eastAsia" w:ascii="宋体" w:hAnsi="宋体" w:cs="宋体"/>
          <w:b/>
          <w:bCs/>
          <w:color w:val="auto"/>
          <w:sz w:val="32"/>
          <w:szCs w:val="32"/>
          <w:highlight w:val="none"/>
        </w:rPr>
        <w:t>磋</w:t>
      </w:r>
      <w:r>
        <w:rPr>
          <w:rFonts w:ascii="宋体" w:hAnsi="宋体" w:cs="宋体"/>
          <w:b/>
          <w:bCs/>
          <w:color w:val="auto"/>
          <w:sz w:val="32"/>
          <w:szCs w:val="32"/>
          <w:highlight w:val="none"/>
        </w:rPr>
        <w:t xml:space="preserve"> </w:t>
      </w:r>
      <w:r>
        <w:rPr>
          <w:rFonts w:hint="eastAsia" w:ascii="宋体" w:hAnsi="宋体" w:cs="宋体"/>
          <w:b/>
          <w:bCs/>
          <w:color w:val="auto"/>
          <w:sz w:val="32"/>
          <w:szCs w:val="32"/>
          <w:highlight w:val="none"/>
        </w:rPr>
        <w:t>商</w:t>
      </w:r>
      <w:r>
        <w:rPr>
          <w:rFonts w:ascii="宋体" w:hAnsi="宋体" w:cs="宋体"/>
          <w:b/>
          <w:bCs/>
          <w:color w:val="auto"/>
          <w:sz w:val="32"/>
          <w:szCs w:val="32"/>
          <w:highlight w:val="none"/>
        </w:rPr>
        <w:t xml:space="preserve"> </w:t>
      </w:r>
      <w:r>
        <w:rPr>
          <w:rFonts w:hint="eastAsia" w:ascii="宋体" w:hAnsi="宋体" w:cs="宋体"/>
          <w:b/>
          <w:bCs/>
          <w:color w:val="auto"/>
          <w:sz w:val="32"/>
          <w:szCs w:val="32"/>
          <w:highlight w:val="none"/>
        </w:rPr>
        <w:t>函</w:t>
      </w:r>
      <w:bookmarkEnd w:id="118"/>
      <w:bookmarkEnd w:id="119"/>
      <w:bookmarkEnd w:id="120"/>
    </w:p>
    <w:p>
      <w:pPr>
        <w:spacing w:line="360" w:lineRule="auto"/>
        <w:ind w:firstLine="480" w:firstLineChars="200"/>
        <w:rPr>
          <w:rFonts w:ascii="宋体"/>
          <w:color w:val="auto"/>
          <w:sz w:val="24"/>
          <w:szCs w:val="24"/>
          <w:highlight w:val="none"/>
          <w:u w:val="single"/>
        </w:rPr>
      </w:pPr>
    </w:p>
    <w:p>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lang w:eastAsia="zh-CN"/>
        </w:rPr>
        <w:t>上虞区驿亭镇人民政府</w:t>
      </w:r>
      <w:r>
        <w:rPr>
          <w:rFonts w:hint="eastAsia" w:ascii="宋体" w:hAnsi="宋体" w:cs="宋体"/>
          <w:color w:val="auto"/>
          <w:sz w:val="24"/>
          <w:szCs w:val="24"/>
          <w:highlight w:val="none"/>
        </w:rPr>
        <w:t>：</w:t>
      </w:r>
    </w:p>
    <w:p>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浙江宇康工程管理咨询有限公司：</w:t>
      </w:r>
    </w:p>
    <w:p>
      <w:pPr>
        <w:spacing w:line="360" w:lineRule="auto"/>
        <w:ind w:firstLine="480"/>
        <w:jc w:val="left"/>
        <w:rPr>
          <w:rFonts w:ascii="宋体"/>
          <w:color w:val="auto"/>
          <w:sz w:val="24"/>
          <w:szCs w:val="24"/>
          <w:highlight w:val="none"/>
        </w:rPr>
      </w:pPr>
      <w:r>
        <w:rPr>
          <w:rFonts w:hint="eastAsia" w:ascii="宋体" w:hAnsi="宋体" w:cs="宋体"/>
          <w:color w:val="auto"/>
          <w:sz w:val="24"/>
          <w:szCs w:val="24"/>
          <w:highlight w:val="none"/>
        </w:rPr>
        <w:t>我单位认真研究了关于</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rPr>
        <w:t>的磋商文件，包括修改文件（如有的话）以及全部参考资料和有关附件。我们完全理解并接受磋商文件的各项规定和要求，对磋商文件的合理性、合法性不再有异议。如磋商文件前后有矛盾的，我方完全同意按贵方的理解处理。我单位承诺：</w:t>
      </w:r>
    </w:p>
    <w:p>
      <w:pPr>
        <w:spacing w:line="360" w:lineRule="auto"/>
        <w:ind w:firstLine="504" w:firstLineChars="240"/>
        <w:rPr>
          <w:rFonts w:ascii="宋体"/>
          <w:color w:val="auto"/>
          <w:sz w:val="24"/>
          <w:szCs w:val="24"/>
          <w:highlight w:val="none"/>
        </w:rPr>
      </w:pPr>
      <w:r>
        <w:rPr>
          <w:color w:val="auto"/>
          <w:highlight w:val="none"/>
        </w:rPr>
        <mc:AlternateContent>
          <mc:Choice Requires="wps">
            <w:drawing>
              <wp:anchor distT="0" distB="0" distL="114300" distR="114300" simplePos="0" relativeHeight="251659264" behindDoc="0" locked="0" layoutInCell="0" allowOverlap="1">
                <wp:simplePos x="0" y="0"/>
                <wp:positionH relativeFrom="column">
                  <wp:posOffset>114300</wp:posOffset>
                </wp:positionH>
                <wp:positionV relativeFrom="paragraph">
                  <wp:posOffset>495300</wp:posOffset>
                </wp:positionV>
                <wp:extent cx="635" cy="0"/>
                <wp:effectExtent l="0" t="0" r="0" b="0"/>
                <wp:wrapNone/>
                <wp:docPr id="1" name="直线 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直线 3" o:spid="_x0000_s1026" o:spt="20" style="position:absolute;left:0pt;margin-left:9pt;margin-top:39pt;height:0pt;width:0.05pt;z-index:251659264;mso-width-relative:page;mso-height-relative:page;" filled="f" stroked="t" coordsize="21600,21600" o:allowincell="f" o:gfxdata="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6T0kGtIAAAAHAQAADwAAAAAA&#10;AAABACAAAAAiAAAAZHJzL2Rvd25yZXYueG1sUEsBAhQAFAAAAAgAh07iQJF8yb/gAQAA2QMAAA4A&#10;AAAAAAAAAQAgAAAAIQEAAGRycy9lMm9Eb2MueG1sUEsFBgAAAAAGAAYAWQEAAHMFAAAAAA==&#10;">
                <v:fill on="f" focussize="0,0"/>
                <v:stroke color="#000000" joinstyle="round"/>
                <v:imagedata o:title=""/>
                <o:lock v:ext="edit" aspectratio="f"/>
              </v:line>
            </w:pict>
          </mc:Fallback>
        </mc:AlternateContent>
      </w:r>
      <w:r>
        <w:rPr>
          <w:rFonts w:ascii="宋体" w:hAnsi="宋体" w:cs="宋体"/>
          <w:color w:val="auto"/>
          <w:sz w:val="24"/>
          <w:szCs w:val="24"/>
          <w:highlight w:val="none"/>
        </w:rPr>
        <w:t>1</w:t>
      </w:r>
      <w:r>
        <w:rPr>
          <w:rFonts w:hint="eastAsia" w:ascii="宋体" w:hAnsi="宋体" w:cs="宋体"/>
          <w:color w:val="auto"/>
          <w:sz w:val="24"/>
          <w:szCs w:val="24"/>
          <w:highlight w:val="none"/>
        </w:rPr>
        <w:t>、一旦我单位中标，我单位愿意承接报价一览表中所列的技术服务，服务期为：</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rPr>
        <w:t>天。</w:t>
      </w:r>
    </w:p>
    <w:p>
      <w:pP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2</w:t>
      </w:r>
      <w:r>
        <w:rPr>
          <w:rFonts w:hint="eastAsia" w:ascii="宋体" w:hAnsi="宋体" w:cs="宋体"/>
          <w:color w:val="auto"/>
          <w:sz w:val="24"/>
          <w:szCs w:val="24"/>
          <w:highlight w:val="none"/>
        </w:rPr>
        <w:t>、我单位同意提供按照采购人的可能要求与其投标有关的一切数据和资料，完全理解采购人不一定要接受最低价者作为成交供应商。</w:t>
      </w:r>
    </w:p>
    <w:p>
      <w:pP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3</w:t>
      </w:r>
      <w:r>
        <w:rPr>
          <w:rFonts w:hint="eastAsia" w:ascii="宋体" w:hAnsi="宋体" w:cs="宋体"/>
          <w:color w:val="auto"/>
          <w:sz w:val="24"/>
          <w:szCs w:val="24"/>
          <w:highlight w:val="none"/>
        </w:rPr>
        <w:t>、一旦我单位中标，我们保证按照磋商文件的要求，完成服务。</w:t>
      </w:r>
    </w:p>
    <w:p>
      <w:pP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4</w:t>
      </w:r>
      <w:r>
        <w:rPr>
          <w:rFonts w:hint="eastAsia" w:ascii="宋体" w:hAnsi="宋体" w:cs="宋体"/>
          <w:color w:val="auto"/>
          <w:sz w:val="24"/>
          <w:szCs w:val="24"/>
          <w:highlight w:val="none"/>
        </w:rPr>
        <w:t>、如果我单位中标，我方将按照要求严格履行合同义务。</w:t>
      </w:r>
    </w:p>
    <w:p>
      <w:pP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5</w:t>
      </w:r>
      <w:r>
        <w:rPr>
          <w:rFonts w:hint="eastAsia" w:ascii="宋体" w:hAnsi="宋体" w:cs="宋体"/>
          <w:color w:val="auto"/>
          <w:sz w:val="24"/>
          <w:szCs w:val="24"/>
          <w:highlight w:val="none"/>
        </w:rPr>
        <w:t>、除非另行达成协议并生效，你方的成交通知书和本磋商函将构成约束你我双方的合同。</w:t>
      </w:r>
    </w:p>
    <w:p>
      <w:pP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6</w:t>
      </w:r>
      <w:r>
        <w:rPr>
          <w:rFonts w:hint="eastAsia" w:ascii="宋体" w:hAnsi="宋体" w:cs="宋体"/>
          <w:color w:val="auto"/>
          <w:sz w:val="24"/>
          <w:szCs w:val="24"/>
          <w:highlight w:val="none"/>
        </w:rPr>
        <w:t>、我单位承诺，一旦发生磋商文件第二部分第</w:t>
      </w:r>
      <w:r>
        <w:rPr>
          <w:rFonts w:ascii="宋体" w:hAnsi="宋体" w:cs="宋体"/>
          <w:color w:val="auto"/>
          <w:sz w:val="24"/>
          <w:szCs w:val="24"/>
          <w:highlight w:val="none"/>
        </w:rPr>
        <w:t>11</w:t>
      </w:r>
      <w:r>
        <w:rPr>
          <w:rFonts w:hint="eastAsia" w:ascii="宋体" w:hAnsi="宋体" w:cs="宋体"/>
          <w:color w:val="auto"/>
          <w:sz w:val="24"/>
          <w:szCs w:val="24"/>
          <w:highlight w:val="none"/>
        </w:rPr>
        <w:t>条规定情形之一的，承担该条款约定的责任。</w:t>
      </w:r>
    </w:p>
    <w:p>
      <w:pPr>
        <w:pStyle w:val="15"/>
        <w:snapToGrid w:val="0"/>
        <w:spacing w:line="360" w:lineRule="auto"/>
        <w:ind w:left="480"/>
        <w:jc w:val="left"/>
        <w:rPr>
          <w:rFonts w:hAnsi="宋体"/>
          <w:color w:val="auto"/>
          <w:sz w:val="24"/>
          <w:szCs w:val="24"/>
          <w:highlight w:val="none"/>
        </w:rPr>
      </w:pPr>
      <w:r>
        <w:rPr>
          <w:rFonts w:hAnsi="宋体"/>
          <w:color w:val="auto"/>
          <w:sz w:val="24"/>
          <w:szCs w:val="24"/>
          <w:highlight w:val="none"/>
        </w:rPr>
        <w:t xml:space="preserve"> </w:t>
      </w:r>
    </w:p>
    <w:p>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地址：</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rPr>
        <w:t>邮编：</w:t>
      </w:r>
      <w:r>
        <w:rPr>
          <w:rFonts w:ascii="宋体" w:hAnsi="宋体" w:cs="宋体"/>
          <w:color w:val="auto"/>
          <w:sz w:val="24"/>
          <w:szCs w:val="24"/>
          <w:highlight w:val="none"/>
          <w:u w:val="single"/>
        </w:rPr>
        <w:t xml:space="preserve">                 </w:t>
      </w:r>
    </w:p>
    <w:p>
      <w:pPr>
        <w:spacing w:line="360" w:lineRule="auto"/>
        <w:ind w:firstLine="480" w:firstLineChars="200"/>
        <w:rPr>
          <w:rFonts w:ascii="宋体"/>
          <w:color w:val="auto"/>
          <w:sz w:val="24"/>
          <w:szCs w:val="24"/>
          <w:highlight w:val="none"/>
          <w:u w:val="single"/>
        </w:rPr>
      </w:pPr>
      <w:r>
        <w:rPr>
          <w:rFonts w:hint="eastAsia" w:ascii="宋体" w:hAnsi="宋体" w:cs="宋体"/>
          <w:color w:val="auto"/>
          <w:sz w:val="24"/>
          <w:szCs w:val="24"/>
          <w:highlight w:val="none"/>
        </w:rPr>
        <w:t>电话：</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rPr>
        <w:t>传真：</w:t>
      </w:r>
      <w:r>
        <w:rPr>
          <w:rFonts w:ascii="宋体" w:hAnsi="宋体" w:cs="宋体"/>
          <w:color w:val="auto"/>
          <w:sz w:val="24"/>
          <w:szCs w:val="24"/>
          <w:highlight w:val="none"/>
          <w:u w:val="single"/>
        </w:rPr>
        <w:t xml:space="preserve">                 </w:t>
      </w:r>
    </w:p>
    <w:p>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供应商代表姓名：</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rPr>
        <w:t>职务：</w:t>
      </w:r>
      <w:r>
        <w:rPr>
          <w:rFonts w:ascii="宋体" w:hAnsi="宋体" w:cs="宋体"/>
          <w:color w:val="auto"/>
          <w:sz w:val="24"/>
          <w:szCs w:val="24"/>
          <w:highlight w:val="none"/>
          <w:u w:val="single"/>
        </w:rPr>
        <w:t xml:space="preserve">                 </w:t>
      </w:r>
    </w:p>
    <w:p>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供应商名称</w:t>
      </w:r>
      <w:r>
        <w:rPr>
          <w:rFonts w:hint="eastAsia" w:ascii="宋体" w:hAnsi="宋体" w:cs="宋体"/>
          <w:color w:val="auto"/>
          <w:sz w:val="24"/>
          <w:szCs w:val="24"/>
          <w:highlight w:val="none"/>
          <w:u w:val="single"/>
        </w:rPr>
        <w:t>：</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rPr>
        <w:t>　　　</w:t>
      </w:r>
    </w:p>
    <w:p>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（公章）：</w:t>
      </w:r>
      <w:r>
        <w:rPr>
          <w:rFonts w:ascii="宋体" w:hAnsi="宋体" w:cs="宋体"/>
          <w:color w:val="auto"/>
          <w:sz w:val="24"/>
          <w:szCs w:val="24"/>
          <w:highlight w:val="none"/>
        </w:rPr>
        <w:t xml:space="preserve">                   </w:t>
      </w:r>
    </w:p>
    <w:p>
      <w:pPr>
        <w:spacing w:line="360" w:lineRule="auto"/>
        <w:ind w:left="3780" w:leftChars="1800" w:firstLine="480" w:firstLineChars="200"/>
        <w:rPr>
          <w:rFonts w:ascii="宋体"/>
          <w:color w:val="auto"/>
          <w:sz w:val="24"/>
          <w:szCs w:val="24"/>
          <w:highlight w:val="none"/>
        </w:rPr>
      </w:pPr>
      <w:r>
        <w:rPr>
          <w:rFonts w:hint="eastAsia" w:ascii="宋体" w:hAnsi="宋体" w:cs="宋体"/>
          <w:color w:val="auto"/>
          <w:sz w:val="24"/>
          <w:szCs w:val="24"/>
          <w:highlight w:val="none"/>
        </w:rPr>
        <w:t>法定代表人签名（或签名章）：</w:t>
      </w:r>
      <w:r>
        <w:rPr>
          <w:rFonts w:ascii="宋体" w:hAnsi="宋体" w:cs="宋体"/>
          <w:color w:val="auto"/>
          <w:sz w:val="24"/>
          <w:szCs w:val="24"/>
          <w:highlight w:val="none"/>
        </w:rPr>
        <w:t xml:space="preserve">                       </w:t>
      </w:r>
    </w:p>
    <w:p>
      <w:pPr>
        <w:spacing w:line="360" w:lineRule="auto"/>
        <w:ind w:left="3780" w:leftChars="1800" w:firstLine="480" w:firstLineChars="200"/>
        <w:rPr>
          <w:rFonts w:ascii="宋体"/>
          <w:color w:val="auto"/>
          <w:sz w:val="24"/>
          <w:szCs w:val="24"/>
          <w:highlight w:val="none"/>
        </w:rPr>
      </w:pPr>
      <w:r>
        <w:rPr>
          <w:rFonts w:hint="eastAsia" w:ascii="宋体" w:hAnsi="宋体" w:cs="宋体"/>
          <w:color w:val="auto"/>
          <w:sz w:val="24"/>
          <w:szCs w:val="24"/>
          <w:highlight w:val="none"/>
        </w:rPr>
        <w:t>日</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期：</w:t>
      </w:r>
    </w:p>
    <w:p>
      <w:pPr>
        <w:spacing w:line="360" w:lineRule="auto"/>
        <w:ind w:firstLine="5280" w:firstLineChars="2200"/>
        <w:rPr>
          <w:rFonts w:ascii="宋体"/>
          <w:color w:val="auto"/>
          <w:sz w:val="24"/>
          <w:szCs w:val="24"/>
          <w:highlight w:val="none"/>
        </w:rPr>
      </w:pPr>
    </w:p>
    <w:p>
      <w:pPr>
        <w:rPr>
          <w:color w:val="auto"/>
          <w:sz w:val="24"/>
          <w:szCs w:val="24"/>
          <w:highlight w:val="none"/>
          <w:lang w:val="zh-CN"/>
        </w:rPr>
      </w:pPr>
      <w:bookmarkStart w:id="121" w:name="_Toc12011"/>
      <w:r>
        <w:rPr>
          <w:color w:val="auto"/>
          <w:sz w:val="24"/>
          <w:szCs w:val="24"/>
          <w:highlight w:val="none"/>
          <w:lang w:val="zh-CN"/>
        </w:rPr>
        <w:br w:type="page"/>
      </w:r>
    </w:p>
    <w:p>
      <w:pPr>
        <w:rPr>
          <w:b/>
          <w:bCs/>
          <w:color w:val="auto"/>
          <w:sz w:val="24"/>
          <w:szCs w:val="24"/>
          <w:highlight w:val="none"/>
          <w:lang w:val="zh-CN"/>
        </w:rPr>
      </w:pPr>
      <w:r>
        <w:rPr>
          <w:rFonts w:hint="eastAsia" w:cs="宋体"/>
          <w:b/>
          <w:bCs/>
          <w:color w:val="auto"/>
          <w:sz w:val="24"/>
          <w:szCs w:val="24"/>
          <w:highlight w:val="none"/>
          <w:lang w:val="zh-CN"/>
        </w:rPr>
        <w:t>附件</w:t>
      </w:r>
      <w:bookmarkStart w:id="122" w:name="_Toc130094925"/>
      <w:bookmarkStart w:id="123" w:name="_Toc98731771"/>
      <w:r>
        <w:rPr>
          <w:rFonts w:hint="eastAsia" w:cs="宋体"/>
          <w:b/>
          <w:bCs/>
          <w:color w:val="auto"/>
          <w:sz w:val="24"/>
          <w:szCs w:val="24"/>
          <w:highlight w:val="none"/>
        </w:rPr>
        <w:t>十</w:t>
      </w:r>
      <w:r>
        <w:rPr>
          <w:rFonts w:hint="eastAsia" w:cs="宋体"/>
          <w:b/>
          <w:bCs/>
          <w:color w:val="auto"/>
          <w:sz w:val="24"/>
          <w:szCs w:val="24"/>
          <w:highlight w:val="none"/>
          <w:lang w:val="en-US" w:eastAsia="zh-CN"/>
        </w:rPr>
        <w:t>四</w:t>
      </w:r>
      <w:r>
        <w:rPr>
          <w:rFonts w:hint="eastAsia" w:cs="宋体"/>
          <w:b/>
          <w:bCs/>
          <w:color w:val="auto"/>
          <w:sz w:val="24"/>
          <w:szCs w:val="24"/>
          <w:highlight w:val="none"/>
        </w:rPr>
        <w:t>：</w:t>
      </w:r>
    </w:p>
    <w:p>
      <w:pPr>
        <w:spacing w:line="360" w:lineRule="auto"/>
        <w:jc w:val="center"/>
        <w:rPr>
          <w:rFonts w:ascii="宋体"/>
          <w:b/>
          <w:bCs/>
          <w:color w:val="auto"/>
          <w:sz w:val="32"/>
          <w:szCs w:val="32"/>
          <w:highlight w:val="none"/>
        </w:rPr>
      </w:pPr>
      <w:r>
        <w:rPr>
          <w:rFonts w:hint="eastAsia" w:ascii="宋体" w:hAnsi="宋体" w:cs="宋体"/>
          <w:b/>
          <w:bCs/>
          <w:color w:val="auto"/>
          <w:sz w:val="32"/>
          <w:szCs w:val="32"/>
          <w:highlight w:val="none"/>
        </w:rPr>
        <w:t>报价一览表</w:t>
      </w:r>
      <w:bookmarkEnd w:id="121"/>
      <w:bookmarkEnd w:id="122"/>
      <w:bookmarkEnd w:id="123"/>
    </w:p>
    <w:p>
      <w:pPr>
        <w:pStyle w:val="15"/>
        <w:spacing w:line="360" w:lineRule="auto"/>
        <w:rPr>
          <w:rFonts w:hAnsi="宋体" w:cs="Times New Roman"/>
          <w:color w:val="auto"/>
          <w:sz w:val="24"/>
          <w:szCs w:val="24"/>
          <w:highlight w:val="none"/>
        </w:rPr>
      </w:pPr>
    </w:p>
    <w:p>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项目名称：</w:t>
      </w:r>
    </w:p>
    <w:p>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采购编号：</w:t>
      </w:r>
      <w:r>
        <w:rPr>
          <w:rFonts w:ascii="宋体" w:hAnsi="宋体" w:cs="宋体"/>
          <w:color w:val="auto"/>
          <w:sz w:val="24"/>
          <w:szCs w:val="24"/>
          <w:highlight w:val="none"/>
        </w:rPr>
        <w:t xml:space="preserve">               </w:t>
      </w:r>
    </w:p>
    <w:tbl>
      <w:tblPr>
        <w:tblStyle w:val="27"/>
        <w:tblW w:w="87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9"/>
        <w:gridCol w:w="67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79" w:hRule="atLeast"/>
          <w:jc w:val="center"/>
        </w:trPr>
        <w:tc>
          <w:tcPr>
            <w:tcW w:w="2089" w:type="dxa"/>
            <w:vAlign w:val="center"/>
          </w:tcPr>
          <w:p>
            <w:pPr>
              <w:pStyle w:val="15"/>
              <w:spacing w:line="360" w:lineRule="auto"/>
              <w:jc w:val="center"/>
              <w:rPr>
                <w:rFonts w:hAnsi="宋体" w:cs="Times New Roman"/>
                <w:b/>
                <w:bCs/>
                <w:color w:val="auto"/>
                <w:sz w:val="24"/>
                <w:szCs w:val="24"/>
                <w:highlight w:val="none"/>
              </w:rPr>
            </w:pPr>
            <w:r>
              <w:rPr>
                <w:rFonts w:hint="eastAsia" w:hAnsi="宋体"/>
                <w:b/>
                <w:bCs/>
                <w:color w:val="auto"/>
                <w:sz w:val="24"/>
                <w:szCs w:val="24"/>
                <w:highlight w:val="none"/>
              </w:rPr>
              <w:t>投标总价</w:t>
            </w:r>
          </w:p>
        </w:tc>
        <w:tc>
          <w:tcPr>
            <w:tcW w:w="6707" w:type="dxa"/>
            <w:vAlign w:val="center"/>
          </w:tcPr>
          <w:p>
            <w:pPr>
              <w:pStyle w:val="15"/>
              <w:spacing w:line="360" w:lineRule="auto"/>
              <w:jc w:val="center"/>
              <w:rPr>
                <w:rFonts w:hAnsi="宋体" w:cs="Times New Roman"/>
                <w:b/>
                <w:bCs/>
                <w:color w:val="auto"/>
                <w:sz w:val="24"/>
                <w:szCs w:val="24"/>
                <w:highlight w:val="none"/>
              </w:rPr>
            </w:pPr>
            <w:r>
              <w:rPr>
                <w:rFonts w:hint="eastAsia" w:hAnsi="宋体"/>
                <w:b/>
                <w:bCs/>
                <w:color w:val="auto"/>
                <w:sz w:val="24"/>
                <w:szCs w:val="24"/>
                <w:highlight w:val="none"/>
              </w:rPr>
              <w:t>大写：</w:t>
            </w:r>
            <w:r>
              <w:rPr>
                <w:rFonts w:hint="eastAsia" w:hAnsi="宋体"/>
                <w:b/>
                <w:bCs/>
                <w:color w:val="auto"/>
                <w:sz w:val="24"/>
                <w:szCs w:val="24"/>
                <w:highlight w:val="none"/>
                <w:u w:val="single"/>
              </w:rPr>
              <w:t>　　　　</w:t>
            </w:r>
            <w:r>
              <w:rPr>
                <w:rFonts w:hAnsi="宋体"/>
                <w:b/>
                <w:bCs/>
                <w:color w:val="auto"/>
                <w:sz w:val="24"/>
                <w:szCs w:val="24"/>
                <w:highlight w:val="none"/>
                <w:u w:val="single"/>
              </w:rPr>
              <w:t xml:space="preserve">            </w:t>
            </w:r>
            <w:r>
              <w:rPr>
                <w:rFonts w:hint="eastAsia" w:hAnsi="宋体"/>
                <w:b/>
                <w:bCs/>
                <w:color w:val="auto"/>
                <w:sz w:val="24"/>
                <w:szCs w:val="24"/>
                <w:highlight w:val="none"/>
              </w:rPr>
              <w:t>元（小写：</w:t>
            </w:r>
            <w:r>
              <w:rPr>
                <w:rFonts w:hint="eastAsia" w:hAnsi="宋体"/>
                <w:b/>
                <w:bCs/>
                <w:color w:val="auto"/>
                <w:sz w:val="24"/>
                <w:szCs w:val="24"/>
                <w:highlight w:val="none"/>
                <w:u w:val="single"/>
              </w:rPr>
              <w:t>　　　　</w:t>
            </w:r>
            <w:r>
              <w:rPr>
                <w:rFonts w:hint="eastAsia" w:hAnsi="宋体"/>
                <w:b/>
                <w:bCs/>
                <w:color w:val="auto"/>
                <w:sz w:val="24"/>
                <w:szCs w:val="24"/>
                <w:highlight w:val="none"/>
                <w:u w:val="single"/>
                <w:lang w:val="en-US" w:eastAsia="zh-CN"/>
              </w:rPr>
              <w:t>元</w:t>
            </w:r>
            <w:r>
              <w:rPr>
                <w:rFonts w:hAnsi="宋体"/>
                <w:b/>
                <w:bCs/>
                <w:color w:val="auto"/>
                <w:sz w:val="24"/>
                <w:szCs w:val="24"/>
                <w:highlight w:val="none"/>
                <w:u w:val="single"/>
              </w:rPr>
              <w:t xml:space="preserve"> </w:t>
            </w:r>
            <w:r>
              <w:rPr>
                <w:rFonts w:hint="eastAsia" w:hAnsi="宋体"/>
                <w:b/>
                <w:bCs/>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98" w:hRule="atLeast"/>
          <w:jc w:val="center"/>
        </w:trPr>
        <w:tc>
          <w:tcPr>
            <w:tcW w:w="8796" w:type="dxa"/>
            <w:gridSpan w:val="2"/>
            <w:vAlign w:val="center"/>
          </w:tcPr>
          <w:p>
            <w:pPr>
              <w:pStyle w:val="15"/>
              <w:spacing w:line="360" w:lineRule="auto"/>
              <w:ind w:firstLine="482" w:firstLineChars="200"/>
              <w:rPr>
                <w:rFonts w:hAnsi="宋体" w:cs="Times New Roman"/>
                <w:b/>
                <w:bCs/>
                <w:color w:val="auto"/>
                <w:sz w:val="24"/>
                <w:szCs w:val="24"/>
                <w:highlight w:val="none"/>
              </w:rPr>
            </w:pPr>
            <w:r>
              <w:rPr>
                <w:rFonts w:hint="eastAsia" w:hAnsi="宋体" w:cs="Times New Roman"/>
                <w:b/>
                <w:bCs/>
                <w:color w:val="auto"/>
                <w:sz w:val="24"/>
                <w:szCs w:val="24"/>
                <w:highlight w:val="none"/>
              </w:rPr>
              <w:t>本次报价应包含项目所需全部服务，不得缺漏，是履行合同的最终价格</w:t>
            </w:r>
            <w:r>
              <w:rPr>
                <w:rFonts w:hint="eastAsia" w:hAnsi="宋体" w:cs="Times New Roman"/>
                <w:b/>
                <w:bCs/>
                <w:color w:val="auto"/>
                <w:sz w:val="24"/>
                <w:szCs w:val="24"/>
                <w:highlight w:val="none"/>
                <w:lang w:eastAsia="zh-CN"/>
              </w:rPr>
              <w:t>，</w:t>
            </w:r>
            <w:r>
              <w:rPr>
                <w:rFonts w:hint="eastAsia" w:hAnsi="宋体" w:cs="Times New Roman"/>
                <w:b/>
                <w:bCs/>
                <w:color w:val="auto"/>
                <w:sz w:val="24"/>
                <w:szCs w:val="24"/>
                <w:highlight w:val="none"/>
                <w:lang w:val="en-US" w:eastAsia="zh-CN"/>
              </w:rPr>
              <w:t>包括本项目所需相关资料收集、专家论证咨询费、评审会务费、人工、差旅、场租费、设备（仪器）等产生的费用、规费、税金及不可预见费等一切相关费用</w:t>
            </w:r>
            <w:r>
              <w:rPr>
                <w:rFonts w:hint="eastAsia" w:hAnsi="宋体" w:cs="Times New Roman"/>
                <w:b/>
                <w:bCs/>
                <w:color w:val="auto"/>
                <w:sz w:val="24"/>
                <w:szCs w:val="24"/>
                <w:highlight w:val="none"/>
              </w:rPr>
              <w:t>。</w:t>
            </w:r>
          </w:p>
        </w:tc>
      </w:tr>
    </w:tbl>
    <w:p>
      <w:pPr>
        <w:pStyle w:val="15"/>
        <w:spacing w:line="360" w:lineRule="auto"/>
        <w:rPr>
          <w:rFonts w:hAnsi="宋体" w:cs="Times New Roman"/>
          <w:color w:val="auto"/>
          <w:sz w:val="24"/>
          <w:szCs w:val="24"/>
          <w:highlight w:val="none"/>
        </w:rPr>
      </w:pPr>
    </w:p>
    <w:p>
      <w:pPr>
        <w:pStyle w:val="15"/>
        <w:spacing w:line="360" w:lineRule="auto"/>
        <w:rPr>
          <w:rFonts w:hAnsi="宋体" w:cs="Times New Roman"/>
          <w:color w:val="auto"/>
          <w:sz w:val="24"/>
          <w:szCs w:val="24"/>
          <w:highlight w:val="none"/>
        </w:rPr>
      </w:pPr>
    </w:p>
    <w:p>
      <w:pPr>
        <w:pStyle w:val="15"/>
        <w:spacing w:line="360" w:lineRule="auto"/>
        <w:rPr>
          <w:rFonts w:hAnsi="宋体" w:cs="Times New Roman"/>
          <w:color w:val="auto"/>
          <w:sz w:val="24"/>
          <w:szCs w:val="24"/>
          <w:highlight w:val="none"/>
        </w:rPr>
      </w:pPr>
    </w:p>
    <w:p>
      <w:pPr>
        <w:spacing w:line="360" w:lineRule="auto"/>
        <w:ind w:left="3780" w:leftChars="1800" w:firstLine="480" w:firstLineChars="200"/>
        <w:rPr>
          <w:rFonts w:ascii="宋体"/>
          <w:color w:val="auto"/>
          <w:sz w:val="24"/>
          <w:szCs w:val="24"/>
          <w:highlight w:val="none"/>
        </w:rPr>
      </w:pPr>
      <w:r>
        <w:rPr>
          <w:rFonts w:hint="eastAsia" w:ascii="宋体" w:hAnsi="宋体" w:cs="宋体"/>
          <w:color w:val="auto"/>
          <w:sz w:val="24"/>
          <w:szCs w:val="24"/>
          <w:highlight w:val="none"/>
        </w:rPr>
        <w:t>法定代表人签名（或签名章）：</w:t>
      </w:r>
      <w:r>
        <w:rPr>
          <w:rFonts w:ascii="宋体" w:hAnsi="宋体" w:cs="宋体"/>
          <w:color w:val="auto"/>
          <w:sz w:val="24"/>
          <w:szCs w:val="24"/>
          <w:highlight w:val="none"/>
        </w:rPr>
        <w:t xml:space="preserve">                       </w:t>
      </w:r>
    </w:p>
    <w:p>
      <w:pPr>
        <w:spacing w:line="360" w:lineRule="auto"/>
        <w:ind w:left="3780" w:leftChars="1800" w:firstLine="480" w:firstLineChars="200"/>
        <w:rPr>
          <w:rFonts w:ascii="宋体"/>
          <w:color w:val="auto"/>
          <w:sz w:val="24"/>
          <w:szCs w:val="24"/>
          <w:highlight w:val="none"/>
        </w:rPr>
      </w:pPr>
      <w:r>
        <w:rPr>
          <w:rFonts w:hint="eastAsia" w:ascii="宋体" w:hAnsi="宋体" w:cs="宋体"/>
          <w:color w:val="auto"/>
          <w:sz w:val="24"/>
          <w:szCs w:val="24"/>
          <w:highlight w:val="none"/>
        </w:rPr>
        <w:t>日</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期：</w:t>
      </w:r>
    </w:p>
    <w:p>
      <w:pPr>
        <w:spacing w:line="360" w:lineRule="auto"/>
        <w:ind w:left="3780" w:leftChars="1800" w:firstLine="480" w:firstLineChars="200"/>
        <w:rPr>
          <w:rFonts w:ascii="宋体"/>
          <w:color w:val="auto"/>
          <w:sz w:val="24"/>
          <w:szCs w:val="24"/>
          <w:highlight w:val="none"/>
        </w:rPr>
      </w:pPr>
      <w:r>
        <w:rPr>
          <w:rFonts w:hint="eastAsia" w:ascii="宋体" w:hAnsi="宋体" w:cs="宋体"/>
          <w:color w:val="auto"/>
          <w:sz w:val="24"/>
          <w:szCs w:val="24"/>
          <w:highlight w:val="none"/>
        </w:rPr>
        <w:t>供应商全称（公章）：</w:t>
      </w:r>
    </w:p>
    <w:p>
      <w:pPr>
        <w:snapToGrid w:val="0"/>
        <w:spacing w:line="360" w:lineRule="auto"/>
        <w:ind w:firstLine="435"/>
        <w:rPr>
          <w:rFonts w:ascii="宋体"/>
          <w:color w:val="auto"/>
          <w:highlight w:val="none"/>
        </w:rPr>
      </w:pPr>
    </w:p>
    <w:p>
      <w:pPr>
        <w:snapToGrid w:val="0"/>
        <w:spacing w:line="360" w:lineRule="auto"/>
        <w:ind w:firstLine="435"/>
        <w:rPr>
          <w:rFonts w:ascii="宋体"/>
          <w:color w:val="auto"/>
          <w:highlight w:val="none"/>
        </w:rPr>
      </w:pPr>
    </w:p>
    <w:p>
      <w:pPr>
        <w:snapToGrid w:val="0"/>
        <w:spacing w:line="360" w:lineRule="auto"/>
        <w:ind w:firstLine="435"/>
        <w:rPr>
          <w:rFonts w:ascii="宋体"/>
          <w:color w:val="auto"/>
          <w:highlight w:val="none"/>
        </w:rPr>
      </w:pPr>
    </w:p>
    <w:p>
      <w:pPr>
        <w:snapToGrid w:val="0"/>
        <w:spacing w:line="360" w:lineRule="auto"/>
        <w:ind w:firstLine="435"/>
        <w:rPr>
          <w:rFonts w:ascii="宋体"/>
          <w:color w:val="auto"/>
          <w:highlight w:val="none"/>
        </w:rPr>
      </w:pPr>
    </w:p>
    <w:p>
      <w:pPr>
        <w:snapToGrid w:val="0"/>
        <w:spacing w:line="360" w:lineRule="auto"/>
        <w:ind w:firstLine="435"/>
        <w:rPr>
          <w:rFonts w:ascii="宋体"/>
          <w:color w:val="auto"/>
          <w:highlight w:val="none"/>
        </w:rPr>
      </w:pPr>
    </w:p>
    <w:p>
      <w:pPr>
        <w:spacing w:line="360" w:lineRule="auto"/>
        <w:jc w:val="left"/>
        <w:rPr>
          <w:rFonts w:ascii="宋体"/>
          <w:b/>
          <w:bCs/>
          <w:color w:val="auto"/>
          <w:sz w:val="24"/>
          <w:szCs w:val="24"/>
          <w:highlight w:val="none"/>
          <w:lang w:val="zh-CN"/>
        </w:rPr>
      </w:pPr>
      <w:r>
        <w:rPr>
          <w:rFonts w:ascii="宋体"/>
          <w:color w:val="auto"/>
          <w:highlight w:val="none"/>
        </w:rPr>
        <w:br w:type="page"/>
      </w:r>
      <w:bookmarkStart w:id="124" w:name="_Toc7196"/>
      <w:r>
        <w:rPr>
          <w:rFonts w:hint="eastAsia" w:ascii="宋体" w:hAnsi="宋体" w:cs="宋体"/>
          <w:b/>
          <w:bCs/>
          <w:color w:val="auto"/>
          <w:sz w:val="24"/>
          <w:szCs w:val="24"/>
          <w:highlight w:val="none"/>
          <w:lang w:val="zh-CN"/>
        </w:rPr>
        <w:t>附件十</w:t>
      </w:r>
      <w:r>
        <w:rPr>
          <w:rFonts w:hint="eastAsia" w:hAnsi="宋体" w:cs="宋体"/>
          <w:b/>
          <w:bCs/>
          <w:color w:val="auto"/>
          <w:sz w:val="24"/>
          <w:szCs w:val="24"/>
          <w:highlight w:val="none"/>
          <w:lang w:val="en-US" w:eastAsia="zh-CN"/>
        </w:rPr>
        <w:t>五</w:t>
      </w:r>
      <w:r>
        <w:rPr>
          <w:rFonts w:hint="eastAsia" w:ascii="宋体" w:hAnsi="宋体" w:cs="宋体"/>
          <w:b/>
          <w:bCs/>
          <w:color w:val="auto"/>
          <w:sz w:val="24"/>
          <w:szCs w:val="24"/>
          <w:highlight w:val="none"/>
          <w:lang w:val="zh-CN"/>
        </w:rPr>
        <w:t>：</w:t>
      </w:r>
    </w:p>
    <w:p>
      <w:pPr>
        <w:spacing w:line="360" w:lineRule="auto"/>
        <w:jc w:val="center"/>
        <w:rPr>
          <w:rFonts w:ascii="宋体"/>
          <w:b/>
          <w:bCs/>
          <w:color w:val="auto"/>
          <w:sz w:val="32"/>
          <w:szCs w:val="32"/>
          <w:highlight w:val="none"/>
        </w:rPr>
      </w:pPr>
      <w:r>
        <w:rPr>
          <w:rFonts w:hint="eastAsia" w:ascii="宋体" w:hAnsi="宋体" w:cs="宋体"/>
          <w:b/>
          <w:bCs/>
          <w:color w:val="auto"/>
          <w:sz w:val="32"/>
          <w:szCs w:val="32"/>
          <w:highlight w:val="none"/>
        </w:rPr>
        <w:t>磋商报价明细表</w:t>
      </w:r>
    </w:p>
    <w:p>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项目名称：</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采购编号：</w:t>
      </w:r>
      <w:r>
        <w:rPr>
          <w:rFonts w:ascii="宋体" w:hAnsi="宋体" w:cs="宋体"/>
          <w:color w:val="auto"/>
          <w:sz w:val="24"/>
          <w:szCs w:val="24"/>
          <w:highlight w:val="none"/>
        </w:rPr>
        <w:t xml:space="preserve">     </w:t>
      </w:r>
    </w:p>
    <w:tbl>
      <w:tblPr>
        <w:tblStyle w:val="27"/>
        <w:tblW w:w="90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9"/>
        <w:gridCol w:w="2492"/>
        <w:gridCol w:w="915"/>
        <w:gridCol w:w="1876"/>
        <w:gridCol w:w="495"/>
        <w:gridCol w:w="498"/>
        <w:gridCol w:w="1148"/>
        <w:gridCol w:w="11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4" w:hRule="atLeast"/>
          <w:jc w:val="center"/>
        </w:trPr>
        <w:tc>
          <w:tcPr>
            <w:tcW w:w="489" w:type="dxa"/>
            <w:vMerge w:val="restart"/>
            <w:vAlign w:val="center"/>
          </w:tcPr>
          <w:p>
            <w:pPr>
              <w:pStyle w:val="15"/>
              <w:spacing w:line="360" w:lineRule="auto"/>
              <w:jc w:val="center"/>
              <w:rPr>
                <w:rFonts w:hAnsi="宋体"/>
                <w:color w:val="auto"/>
                <w:sz w:val="22"/>
                <w:szCs w:val="22"/>
                <w:highlight w:val="none"/>
              </w:rPr>
            </w:pPr>
            <w:r>
              <w:rPr>
                <w:rFonts w:hint="eastAsia" w:hAnsi="宋体"/>
                <w:color w:val="auto"/>
                <w:sz w:val="22"/>
                <w:szCs w:val="22"/>
                <w:highlight w:val="none"/>
              </w:rPr>
              <w:t>序</w:t>
            </w:r>
          </w:p>
          <w:p>
            <w:pPr>
              <w:pStyle w:val="15"/>
              <w:spacing w:line="360" w:lineRule="auto"/>
              <w:jc w:val="center"/>
              <w:rPr>
                <w:rFonts w:hAnsi="宋体"/>
                <w:color w:val="auto"/>
                <w:sz w:val="22"/>
                <w:szCs w:val="22"/>
                <w:highlight w:val="none"/>
              </w:rPr>
            </w:pPr>
            <w:r>
              <w:rPr>
                <w:rFonts w:hint="eastAsia" w:hAnsi="宋体"/>
                <w:color w:val="auto"/>
                <w:sz w:val="22"/>
                <w:szCs w:val="22"/>
                <w:highlight w:val="none"/>
              </w:rPr>
              <w:t>号</w:t>
            </w:r>
          </w:p>
        </w:tc>
        <w:tc>
          <w:tcPr>
            <w:tcW w:w="2492" w:type="dxa"/>
            <w:vMerge w:val="restart"/>
            <w:vAlign w:val="center"/>
          </w:tcPr>
          <w:p>
            <w:pPr>
              <w:pStyle w:val="15"/>
              <w:spacing w:line="360" w:lineRule="auto"/>
              <w:jc w:val="center"/>
              <w:rPr>
                <w:rFonts w:hAnsi="宋体"/>
                <w:color w:val="auto"/>
                <w:sz w:val="22"/>
                <w:szCs w:val="22"/>
                <w:highlight w:val="none"/>
              </w:rPr>
            </w:pPr>
            <w:r>
              <w:rPr>
                <w:rFonts w:hint="eastAsia" w:hAnsi="宋体"/>
                <w:color w:val="auto"/>
                <w:sz w:val="22"/>
                <w:szCs w:val="22"/>
                <w:highlight w:val="none"/>
              </w:rPr>
              <w:t>名称</w:t>
            </w:r>
          </w:p>
        </w:tc>
        <w:tc>
          <w:tcPr>
            <w:tcW w:w="915" w:type="dxa"/>
            <w:vMerge w:val="restart"/>
            <w:vAlign w:val="center"/>
          </w:tcPr>
          <w:p>
            <w:pPr>
              <w:pStyle w:val="15"/>
              <w:spacing w:line="360" w:lineRule="auto"/>
              <w:jc w:val="center"/>
              <w:rPr>
                <w:rFonts w:hAnsi="宋体"/>
                <w:color w:val="auto"/>
                <w:sz w:val="22"/>
                <w:szCs w:val="22"/>
                <w:highlight w:val="none"/>
              </w:rPr>
            </w:pPr>
            <w:r>
              <w:rPr>
                <w:rFonts w:hint="eastAsia" w:hAnsi="宋体"/>
                <w:color w:val="auto"/>
                <w:sz w:val="22"/>
                <w:szCs w:val="22"/>
                <w:highlight w:val="none"/>
              </w:rPr>
              <w:t>内容</w:t>
            </w:r>
          </w:p>
        </w:tc>
        <w:tc>
          <w:tcPr>
            <w:tcW w:w="1876" w:type="dxa"/>
            <w:vMerge w:val="restart"/>
            <w:vAlign w:val="center"/>
          </w:tcPr>
          <w:p>
            <w:pPr>
              <w:pStyle w:val="15"/>
              <w:spacing w:line="360" w:lineRule="auto"/>
              <w:jc w:val="center"/>
              <w:rPr>
                <w:rFonts w:hAnsi="宋体"/>
                <w:color w:val="auto"/>
                <w:sz w:val="22"/>
                <w:szCs w:val="22"/>
                <w:highlight w:val="none"/>
              </w:rPr>
            </w:pPr>
            <w:r>
              <w:rPr>
                <w:rFonts w:hint="eastAsia" w:hAnsi="宋体"/>
                <w:color w:val="auto"/>
                <w:sz w:val="22"/>
                <w:szCs w:val="22"/>
                <w:highlight w:val="none"/>
              </w:rPr>
              <w:t>其他</w:t>
            </w:r>
          </w:p>
        </w:tc>
        <w:tc>
          <w:tcPr>
            <w:tcW w:w="495" w:type="dxa"/>
            <w:vMerge w:val="restart"/>
            <w:vAlign w:val="center"/>
          </w:tcPr>
          <w:p>
            <w:pPr>
              <w:pStyle w:val="15"/>
              <w:spacing w:line="360" w:lineRule="auto"/>
              <w:jc w:val="center"/>
              <w:rPr>
                <w:rFonts w:hAnsi="宋体"/>
                <w:color w:val="auto"/>
                <w:sz w:val="22"/>
                <w:szCs w:val="22"/>
                <w:highlight w:val="none"/>
              </w:rPr>
            </w:pPr>
            <w:r>
              <w:rPr>
                <w:rFonts w:hint="eastAsia" w:hAnsi="宋体"/>
                <w:color w:val="auto"/>
                <w:sz w:val="22"/>
                <w:szCs w:val="22"/>
                <w:highlight w:val="none"/>
              </w:rPr>
              <w:t>单</w:t>
            </w:r>
          </w:p>
          <w:p>
            <w:pPr>
              <w:pStyle w:val="15"/>
              <w:spacing w:line="360" w:lineRule="auto"/>
              <w:jc w:val="center"/>
              <w:rPr>
                <w:rFonts w:hAnsi="宋体"/>
                <w:color w:val="auto"/>
                <w:sz w:val="22"/>
                <w:szCs w:val="22"/>
                <w:highlight w:val="none"/>
              </w:rPr>
            </w:pPr>
            <w:r>
              <w:rPr>
                <w:rFonts w:hint="eastAsia" w:hAnsi="宋体"/>
                <w:color w:val="auto"/>
                <w:sz w:val="22"/>
                <w:szCs w:val="22"/>
                <w:highlight w:val="none"/>
              </w:rPr>
              <w:t>位</w:t>
            </w:r>
          </w:p>
        </w:tc>
        <w:tc>
          <w:tcPr>
            <w:tcW w:w="498" w:type="dxa"/>
            <w:vMerge w:val="restart"/>
            <w:vAlign w:val="center"/>
          </w:tcPr>
          <w:p>
            <w:pPr>
              <w:pStyle w:val="15"/>
              <w:spacing w:line="360" w:lineRule="auto"/>
              <w:jc w:val="center"/>
              <w:rPr>
                <w:rFonts w:hAnsi="宋体"/>
                <w:color w:val="auto"/>
                <w:sz w:val="22"/>
                <w:szCs w:val="22"/>
                <w:highlight w:val="none"/>
              </w:rPr>
            </w:pPr>
            <w:r>
              <w:rPr>
                <w:rFonts w:hint="eastAsia" w:hAnsi="宋体"/>
                <w:color w:val="auto"/>
                <w:sz w:val="22"/>
                <w:szCs w:val="22"/>
                <w:highlight w:val="none"/>
              </w:rPr>
              <w:t>数量</w:t>
            </w:r>
          </w:p>
        </w:tc>
        <w:tc>
          <w:tcPr>
            <w:tcW w:w="2272" w:type="dxa"/>
            <w:gridSpan w:val="2"/>
            <w:vAlign w:val="center"/>
          </w:tcPr>
          <w:p>
            <w:pPr>
              <w:pStyle w:val="15"/>
              <w:spacing w:line="360" w:lineRule="auto"/>
              <w:jc w:val="center"/>
              <w:rPr>
                <w:rFonts w:hAnsi="宋体"/>
                <w:color w:val="auto"/>
                <w:sz w:val="22"/>
                <w:szCs w:val="22"/>
                <w:highlight w:val="none"/>
              </w:rPr>
            </w:pPr>
            <w:r>
              <w:rPr>
                <w:rFonts w:hint="eastAsia" w:hAnsi="宋体"/>
                <w:color w:val="auto"/>
                <w:sz w:val="22"/>
                <w:szCs w:val="22"/>
                <w:highlight w:val="none"/>
              </w:rPr>
              <w:t>投标报价（元）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4" w:hRule="atLeast"/>
          <w:jc w:val="center"/>
        </w:trPr>
        <w:tc>
          <w:tcPr>
            <w:tcW w:w="489" w:type="dxa"/>
            <w:vMerge w:val="continue"/>
            <w:vAlign w:val="center"/>
          </w:tcPr>
          <w:p>
            <w:pPr>
              <w:pStyle w:val="15"/>
              <w:spacing w:line="360" w:lineRule="auto"/>
              <w:jc w:val="center"/>
              <w:rPr>
                <w:rFonts w:hAnsi="宋体"/>
                <w:color w:val="auto"/>
                <w:sz w:val="22"/>
                <w:szCs w:val="22"/>
                <w:highlight w:val="none"/>
              </w:rPr>
            </w:pPr>
          </w:p>
        </w:tc>
        <w:tc>
          <w:tcPr>
            <w:tcW w:w="2492" w:type="dxa"/>
            <w:vMerge w:val="continue"/>
            <w:vAlign w:val="center"/>
          </w:tcPr>
          <w:p>
            <w:pPr>
              <w:pStyle w:val="15"/>
              <w:spacing w:line="360" w:lineRule="auto"/>
              <w:jc w:val="center"/>
              <w:rPr>
                <w:rFonts w:hAnsi="宋体"/>
                <w:color w:val="auto"/>
                <w:sz w:val="22"/>
                <w:szCs w:val="22"/>
                <w:highlight w:val="none"/>
              </w:rPr>
            </w:pPr>
          </w:p>
        </w:tc>
        <w:tc>
          <w:tcPr>
            <w:tcW w:w="915" w:type="dxa"/>
            <w:vMerge w:val="continue"/>
            <w:vAlign w:val="center"/>
          </w:tcPr>
          <w:p>
            <w:pPr>
              <w:pStyle w:val="15"/>
              <w:spacing w:line="360" w:lineRule="auto"/>
              <w:jc w:val="center"/>
              <w:rPr>
                <w:rFonts w:hAnsi="宋体"/>
                <w:color w:val="auto"/>
                <w:sz w:val="22"/>
                <w:szCs w:val="22"/>
                <w:highlight w:val="none"/>
              </w:rPr>
            </w:pPr>
          </w:p>
        </w:tc>
        <w:tc>
          <w:tcPr>
            <w:tcW w:w="1876" w:type="dxa"/>
            <w:vMerge w:val="continue"/>
            <w:vAlign w:val="center"/>
          </w:tcPr>
          <w:p>
            <w:pPr>
              <w:pStyle w:val="15"/>
              <w:spacing w:line="360" w:lineRule="auto"/>
              <w:jc w:val="center"/>
              <w:rPr>
                <w:rFonts w:hAnsi="宋体"/>
                <w:color w:val="auto"/>
                <w:sz w:val="22"/>
                <w:szCs w:val="22"/>
                <w:highlight w:val="none"/>
              </w:rPr>
            </w:pPr>
          </w:p>
        </w:tc>
        <w:tc>
          <w:tcPr>
            <w:tcW w:w="495" w:type="dxa"/>
            <w:vMerge w:val="continue"/>
            <w:vAlign w:val="center"/>
          </w:tcPr>
          <w:p>
            <w:pPr>
              <w:pStyle w:val="15"/>
              <w:spacing w:line="360" w:lineRule="auto"/>
              <w:jc w:val="center"/>
              <w:rPr>
                <w:rFonts w:hAnsi="宋体"/>
                <w:color w:val="auto"/>
                <w:sz w:val="22"/>
                <w:szCs w:val="22"/>
                <w:highlight w:val="none"/>
              </w:rPr>
            </w:pPr>
          </w:p>
        </w:tc>
        <w:tc>
          <w:tcPr>
            <w:tcW w:w="498" w:type="dxa"/>
            <w:vMerge w:val="continue"/>
            <w:vAlign w:val="center"/>
          </w:tcPr>
          <w:p>
            <w:pPr>
              <w:pStyle w:val="15"/>
              <w:spacing w:line="360" w:lineRule="auto"/>
              <w:jc w:val="center"/>
              <w:rPr>
                <w:rFonts w:hAnsi="宋体"/>
                <w:color w:val="auto"/>
                <w:sz w:val="22"/>
                <w:szCs w:val="22"/>
                <w:highlight w:val="none"/>
              </w:rPr>
            </w:pPr>
          </w:p>
        </w:tc>
        <w:tc>
          <w:tcPr>
            <w:tcW w:w="1148" w:type="dxa"/>
            <w:vAlign w:val="center"/>
          </w:tcPr>
          <w:p>
            <w:pPr>
              <w:pStyle w:val="15"/>
              <w:spacing w:line="360" w:lineRule="auto"/>
              <w:jc w:val="center"/>
              <w:rPr>
                <w:rFonts w:hAnsi="宋体"/>
                <w:color w:val="auto"/>
                <w:sz w:val="22"/>
                <w:szCs w:val="22"/>
                <w:highlight w:val="none"/>
              </w:rPr>
            </w:pPr>
            <w:r>
              <w:rPr>
                <w:rFonts w:hint="eastAsia" w:hAnsi="宋体"/>
                <w:color w:val="auto"/>
                <w:sz w:val="22"/>
                <w:szCs w:val="22"/>
                <w:highlight w:val="none"/>
              </w:rPr>
              <w:t>单价</w:t>
            </w:r>
          </w:p>
        </w:tc>
        <w:tc>
          <w:tcPr>
            <w:tcW w:w="1124" w:type="dxa"/>
            <w:vAlign w:val="center"/>
          </w:tcPr>
          <w:p>
            <w:pPr>
              <w:pStyle w:val="15"/>
              <w:spacing w:line="360" w:lineRule="auto"/>
              <w:jc w:val="center"/>
              <w:rPr>
                <w:rFonts w:hAnsi="宋体"/>
                <w:color w:val="auto"/>
                <w:sz w:val="22"/>
                <w:szCs w:val="22"/>
                <w:highlight w:val="none"/>
              </w:rPr>
            </w:pPr>
            <w:r>
              <w:rPr>
                <w:rFonts w:hint="eastAsia" w:hAnsi="宋体"/>
                <w:color w:val="auto"/>
                <w:sz w:val="22"/>
                <w:szCs w:val="22"/>
                <w:highlight w:val="none"/>
              </w:rPr>
              <w:t>小计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4" w:hRule="atLeast"/>
          <w:jc w:val="center"/>
        </w:trPr>
        <w:tc>
          <w:tcPr>
            <w:tcW w:w="489" w:type="dxa"/>
            <w:vAlign w:val="center"/>
          </w:tcPr>
          <w:p>
            <w:pPr>
              <w:pStyle w:val="15"/>
              <w:jc w:val="center"/>
              <w:rPr>
                <w:rFonts w:hAnsi="宋体"/>
                <w:color w:val="auto"/>
                <w:sz w:val="22"/>
                <w:szCs w:val="22"/>
                <w:highlight w:val="none"/>
              </w:rPr>
            </w:pPr>
            <w:r>
              <w:rPr>
                <w:rFonts w:hint="eastAsia" w:hAnsi="宋体"/>
                <w:color w:val="auto"/>
                <w:sz w:val="22"/>
                <w:szCs w:val="22"/>
                <w:highlight w:val="none"/>
              </w:rPr>
              <w:t>1</w:t>
            </w:r>
          </w:p>
        </w:tc>
        <w:tc>
          <w:tcPr>
            <w:tcW w:w="2492" w:type="dxa"/>
            <w:vAlign w:val="center"/>
          </w:tcPr>
          <w:p>
            <w:pPr>
              <w:pStyle w:val="15"/>
              <w:rPr>
                <w:rFonts w:hAnsi="宋体"/>
                <w:color w:val="auto"/>
                <w:sz w:val="22"/>
                <w:szCs w:val="22"/>
                <w:highlight w:val="none"/>
              </w:rPr>
            </w:pPr>
          </w:p>
        </w:tc>
        <w:tc>
          <w:tcPr>
            <w:tcW w:w="915" w:type="dxa"/>
            <w:vAlign w:val="center"/>
          </w:tcPr>
          <w:p>
            <w:pPr>
              <w:pStyle w:val="15"/>
              <w:spacing w:line="360" w:lineRule="auto"/>
              <w:rPr>
                <w:rFonts w:hAnsi="宋体"/>
                <w:b/>
                <w:bCs/>
                <w:color w:val="auto"/>
                <w:sz w:val="22"/>
                <w:szCs w:val="22"/>
                <w:highlight w:val="none"/>
              </w:rPr>
            </w:pPr>
          </w:p>
        </w:tc>
        <w:tc>
          <w:tcPr>
            <w:tcW w:w="1876" w:type="dxa"/>
            <w:vAlign w:val="center"/>
          </w:tcPr>
          <w:p>
            <w:pPr>
              <w:pStyle w:val="15"/>
              <w:spacing w:line="360" w:lineRule="auto"/>
              <w:rPr>
                <w:rFonts w:hAnsi="宋体"/>
                <w:b/>
                <w:bCs/>
                <w:color w:val="auto"/>
                <w:sz w:val="22"/>
                <w:szCs w:val="22"/>
                <w:highlight w:val="none"/>
              </w:rPr>
            </w:pPr>
          </w:p>
        </w:tc>
        <w:tc>
          <w:tcPr>
            <w:tcW w:w="495" w:type="dxa"/>
            <w:vAlign w:val="center"/>
          </w:tcPr>
          <w:p>
            <w:pPr>
              <w:pStyle w:val="15"/>
              <w:spacing w:line="360" w:lineRule="auto"/>
              <w:rPr>
                <w:rFonts w:hAnsi="宋体"/>
                <w:b/>
                <w:bCs/>
                <w:color w:val="auto"/>
                <w:sz w:val="22"/>
                <w:szCs w:val="22"/>
                <w:highlight w:val="none"/>
              </w:rPr>
            </w:pPr>
          </w:p>
        </w:tc>
        <w:tc>
          <w:tcPr>
            <w:tcW w:w="498" w:type="dxa"/>
            <w:vAlign w:val="center"/>
          </w:tcPr>
          <w:p>
            <w:pPr>
              <w:pStyle w:val="15"/>
              <w:spacing w:line="360" w:lineRule="auto"/>
              <w:rPr>
                <w:rFonts w:hAnsi="宋体"/>
                <w:b/>
                <w:bCs/>
                <w:color w:val="auto"/>
                <w:sz w:val="22"/>
                <w:szCs w:val="22"/>
                <w:highlight w:val="none"/>
              </w:rPr>
            </w:pPr>
          </w:p>
        </w:tc>
        <w:tc>
          <w:tcPr>
            <w:tcW w:w="1148" w:type="dxa"/>
          </w:tcPr>
          <w:p>
            <w:pPr>
              <w:pStyle w:val="15"/>
              <w:spacing w:line="360" w:lineRule="auto"/>
              <w:rPr>
                <w:rFonts w:hAnsi="宋体"/>
                <w:color w:val="auto"/>
                <w:sz w:val="22"/>
                <w:szCs w:val="22"/>
                <w:highlight w:val="none"/>
              </w:rPr>
            </w:pPr>
          </w:p>
        </w:tc>
        <w:tc>
          <w:tcPr>
            <w:tcW w:w="1124" w:type="dxa"/>
          </w:tcPr>
          <w:p>
            <w:pPr>
              <w:pStyle w:val="15"/>
              <w:spacing w:line="360" w:lineRule="auto"/>
              <w:rPr>
                <w:rFonts w:hAnsi="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4" w:hRule="atLeast"/>
          <w:jc w:val="center"/>
        </w:trPr>
        <w:tc>
          <w:tcPr>
            <w:tcW w:w="489" w:type="dxa"/>
            <w:vAlign w:val="center"/>
          </w:tcPr>
          <w:p>
            <w:pPr>
              <w:pStyle w:val="15"/>
              <w:jc w:val="center"/>
              <w:rPr>
                <w:rFonts w:hAnsi="宋体"/>
                <w:color w:val="auto"/>
                <w:sz w:val="22"/>
                <w:szCs w:val="22"/>
                <w:highlight w:val="none"/>
              </w:rPr>
            </w:pPr>
            <w:r>
              <w:rPr>
                <w:rFonts w:hint="eastAsia" w:hAnsi="宋体"/>
                <w:color w:val="auto"/>
                <w:sz w:val="22"/>
                <w:szCs w:val="22"/>
                <w:highlight w:val="none"/>
              </w:rPr>
              <w:t>2</w:t>
            </w:r>
          </w:p>
        </w:tc>
        <w:tc>
          <w:tcPr>
            <w:tcW w:w="2492" w:type="dxa"/>
            <w:vAlign w:val="center"/>
          </w:tcPr>
          <w:p>
            <w:pPr>
              <w:pStyle w:val="15"/>
              <w:rPr>
                <w:rFonts w:hAnsi="宋体"/>
                <w:color w:val="auto"/>
                <w:sz w:val="22"/>
                <w:szCs w:val="22"/>
                <w:highlight w:val="none"/>
              </w:rPr>
            </w:pPr>
          </w:p>
        </w:tc>
        <w:tc>
          <w:tcPr>
            <w:tcW w:w="915" w:type="dxa"/>
            <w:vAlign w:val="center"/>
          </w:tcPr>
          <w:p>
            <w:pPr>
              <w:pStyle w:val="15"/>
              <w:spacing w:line="360" w:lineRule="auto"/>
              <w:rPr>
                <w:rFonts w:hAnsi="宋体"/>
                <w:b/>
                <w:bCs/>
                <w:color w:val="auto"/>
                <w:sz w:val="22"/>
                <w:szCs w:val="22"/>
                <w:highlight w:val="none"/>
              </w:rPr>
            </w:pPr>
          </w:p>
        </w:tc>
        <w:tc>
          <w:tcPr>
            <w:tcW w:w="1876" w:type="dxa"/>
            <w:vAlign w:val="center"/>
          </w:tcPr>
          <w:p>
            <w:pPr>
              <w:pStyle w:val="15"/>
              <w:spacing w:line="360" w:lineRule="auto"/>
              <w:rPr>
                <w:rFonts w:hAnsi="宋体"/>
                <w:b/>
                <w:bCs/>
                <w:color w:val="auto"/>
                <w:sz w:val="22"/>
                <w:szCs w:val="22"/>
                <w:highlight w:val="none"/>
              </w:rPr>
            </w:pPr>
          </w:p>
        </w:tc>
        <w:tc>
          <w:tcPr>
            <w:tcW w:w="495" w:type="dxa"/>
            <w:vAlign w:val="center"/>
          </w:tcPr>
          <w:p>
            <w:pPr>
              <w:pStyle w:val="15"/>
              <w:spacing w:line="360" w:lineRule="auto"/>
              <w:rPr>
                <w:rFonts w:hAnsi="宋体"/>
                <w:b/>
                <w:bCs/>
                <w:color w:val="auto"/>
                <w:sz w:val="22"/>
                <w:szCs w:val="22"/>
                <w:highlight w:val="none"/>
              </w:rPr>
            </w:pPr>
          </w:p>
        </w:tc>
        <w:tc>
          <w:tcPr>
            <w:tcW w:w="498" w:type="dxa"/>
            <w:vAlign w:val="center"/>
          </w:tcPr>
          <w:p>
            <w:pPr>
              <w:pStyle w:val="15"/>
              <w:spacing w:line="360" w:lineRule="auto"/>
              <w:rPr>
                <w:rFonts w:hAnsi="宋体"/>
                <w:b/>
                <w:bCs/>
                <w:color w:val="auto"/>
                <w:sz w:val="22"/>
                <w:szCs w:val="22"/>
                <w:highlight w:val="none"/>
              </w:rPr>
            </w:pPr>
          </w:p>
        </w:tc>
        <w:tc>
          <w:tcPr>
            <w:tcW w:w="1148" w:type="dxa"/>
          </w:tcPr>
          <w:p>
            <w:pPr>
              <w:pStyle w:val="15"/>
              <w:spacing w:line="360" w:lineRule="auto"/>
              <w:rPr>
                <w:rFonts w:hAnsi="宋体"/>
                <w:color w:val="auto"/>
                <w:sz w:val="22"/>
                <w:szCs w:val="22"/>
                <w:highlight w:val="none"/>
              </w:rPr>
            </w:pPr>
          </w:p>
        </w:tc>
        <w:tc>
          <w:tcPr>
            <w:tcW w:w="1124" w:type="dxa"/>
          </w:tcPr>
          <w:p>
            <w:pPr>
              <w:pStyle w:val="15"/>
              <w:spacing w:line="360" w:lineRule="auto"/>
              <w:rPr>
                <w:rFonts w:hAnsi="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4" w:hRule="atLeast"/>
          <w:jc w:val="center"/>
        </w:trPr>
        <w:tc>
          <w:tcPr>
            <w:tcW w:w="489" w:type="dxa"/>
            <w:vAlign w:val="center"/>
          </w:tcPr>
          <w:p>
            <w:pPr>
              <w:pStyle w:val="15"/>
              <w:jc w:val="center"/>
              <w:rPr>
                <w:rFonts w:hAnsi="宋体"/>
                <w:color w:val="auto"/>
                <w:sz w:val="22"/>
                <w:szCs w:val="22"/>
                <w:highlight w:val="none"/>
              </w:rPr>
            </w:pPr>
            <w:r>
              <w:rPr>
                <w:rFonts w:hint="eastAsia" w:hAnsi="宋体"/>
                <w:color w:val="auto"/>
                <w:sz w:val="22"/>
                <w:szCs w:val="22"/>
                <w:highlight w:val="none"/>
              </w:rPr>
              <w:t>3</w:t>
            </w:r>
          </w:p>
        </w:tc>
        <w:tc>
          <w:tcPr>
            <w:tcW w:w="2492" w:type="dxa"/>
            <w:vAlign w:val="center"/>
          </w:tcPr>
          <w:p>
            <w:pPr>
              <w:pStyle w:val="15"/>
              <w:rPr>
                <w:rFonts w:hAnsi="宋体"/>
                <w:color w:val="auto"/>
                <w:sz w:val="22"/>
                <w:szCs w:val="22"/>
                <w:highlight w:val="none"/>
              </w:rPr>
            </w:pPr>
          </w:p>
        </w:tc>
        <w:tc>
          <w:tcPr>
            <w:tcW w:w="915" w:type="dxa"/>
            <w:vAlign w:val="center"/>
          </w:tcPr>
          <w:p>
            <w:pPr>
              <w:pStyle w:val="15"/>
              <w:spacing w:line="360" w:lineRule="auto"/>
              <w:rPr>
                <w:rFonts w:hAnsi="宋体"/>
                <w:b/>
                <w:bCs/>
                <w:color w:val="auto"/>
                <w:sz w:val="22"/>
                <w:szCs w:val="22"/>
                <w:highlight w:val="none"/>
              </w:rPr>
            </w:pPr>
          </w:p>
        </w:tc>
        <w:tc>
          <w:tcPr>
            <w:tcW w:w="1876" w:type="dxa"/>
            <w:vAlign w:val="center"/>
          </w:tcPr>
          <w:p>
            <w:pPr>
              <w:pStyle w:val="15"/>
              <w:spacing w:line="360" w:lineRule="auto"/>
              <w:rPr>
                <w:rFonts w:hAnsi="宋体"/>
                <w:b/>
                <w:bCs/>
                <w:color w:val="auto"/>
                <w:sz w:val="22"/>
                <w:szCs w:val="22"/>
                <w:highlight w:val="none"/>
              </w:rPr>
            </w:pPr>
          </w:p>
        </w:tc>
        <w:tc>
          <w:tcPr>
            <w:tcW w:w="495" w:type="dxa"/>
            <w:vAlign w:val="center"/>
          </w:tcPr>
          <w:p>
            <w:pPr>
              <w:pStyle w:val="15"/>
              <w:spacing w:line="360" w:lineRule="auto"/>
              <w:rPr>
                <w:rFonts w:hAnsi="宋体"/>
                <w:b/>
                <w:bCs/>
                <w:color w:val="auto"/>
                <w:sz w:val="22"/>
                <w:szCs w:val="22"/>
                <w:highlight w:val="none"/>
              </w:rPr>
            </w:pPr>
          </w:p>
        </w:tc>
        <w:tc>
          <w:tcPr>
            <w:tcW w:w="498" w:type="dxa"/>
            <w:vAlign w:val="center"/>
          </w:tcPr>
          <w:p>
            <w:pPr>
              <w:pStyle w:val="15"/>
              <w:spacing w:line="360" w:lineRule="auto"/>
              <w:rPr>
                <w:rFonts w:hAnsi="宋体"/>
                <w:b/>
                <w:bCs/>
                <w:color w:val="auto"/>
                <w:sz w:val="22"/>
                <w:szCs w:val="22"/>
                <w:highlight w:val="none"/>
              </w:rPr>
            </w:pPr>
          </w:p>
        </w:tc>
        <w:tc>
          <w:tcPr>
            <w:tcW w:w="1148" w:type="dxa"/>
          </w:tcPr>
          <w:p>
            <w:pPr>
              <w:pStyle w:val="15"/>
              <w:spacing w:line="360" w:lineRule="auto"/>
              <w:rPr>
                <w:rFonts w:hAnsi="宋体"/>
                <w:color w:val="auto"/>
                <w:sz w:val="22"/>
                <w:szCs w:val="22"/>
                <w:highlight w:val="none"/>
              </w:rPr>
            </w:pPr>
          </w:p>
        </w:tc>
        <w:tc>
          <w:tcPr>
            <w:tcW w:w="1124" w:type="dxa"/>
          </w:tcPr>
          <w:p>
            <w:pPr>
              <w:pStyle w:val="15"/>
              <w:spacing w:line="360" w:lineRule="auto"/>
              <w:rPr>
                <w:rFonts w:hAnsi="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489" w:type="dxa"/>
            <w:vAlign w:val="center"/>
          </w:tcPr>
          <w:p>
            <w:pPr>
              <w:pStyle w:val="15"/>
              <w:jc w:val="center"/>
              <w:rPr>
                <w:rFonts w:hAnsi="宋体"/>
                <w:color w:val="auto"/>
                <w:sz w:val="22"/>
                <w:szCs w:val="22"/>
                <w:highlight w:val="none"/>
              </w:rPr>
            </w:pPr>
            <w:r>
              <w:rPr>
                <w:rFonts w:hint="eastAsia" w:hAnsi="宋体"/>
                <w:color w:val="auto"/>
                <w:sz w:val="22"/>
                <w:szCs w:val="22"/>
                <w:highlight w:val="none"/>
              </w:rPr>
              <w:t>4</w:t>
            </w:r>
          </w:p>
        </w:tc>
        <w:tc>
          <w:tcPr>
            <w:tcW w:w="2492" w:type="dxa"/>
            <w:vAlign w:val="center"/>
          </w:tcPr>
          <w:p>
            <w:pPr>
              <w:pStyle w:val="15"/>
              <w:rPr>
                <w:rFonts w:hAnsi="宋体"/>
                <w:color w:val="auto"/>
                <w:sz w:val="22"/>
                <w:szCs w:val="22"/>
                <w:highlight w:val="none"/>
              </w:rPr>
            </w:pPr>
          </w:p>
        </w:tc>
        <w:tc>
          <w:tcPr>
            <w:tcW w:w="915" w:type="dxa"/>
            <w:vAlign w:val="center"/>
          </w:tcPr>
          <w:p>
            <w:pPr>
              <w:pStyle w:val="15"/>
              <w:spacing w:line="360" w:lineRule="auto"/>
              <w:jc w:val="center"/>
              <w:rPr>
                <w:rFonts w:hAnsi="宋体"/>
                <w:color w:val="auto"/>
                <w:sz w:val="22"/>
                <w:szCs w:val="22"/>
                <w:highlight w:val="none"/>
              </w:rPr>
            </w:pPr>
          </w:p>
        </w:tc>
        <w:tc>
          <w:tcPr>
            <w:tcW w:w="1876" w:type="dxa"/>
            <w:vAlign w:val="center"/>
          </w:tcPr>
          <w:p>
            <w:pPr>
              <w:pStyle w:val="15"/>
              <w:spacing w:line="360" w:lineRule="auto"/>
              <w:jc w:val="center"/>
              <w:rPr>
                <w:rFonts w:hAnsi="宋体"/>
                <w:color w:val="auto"/>
                <w:sz w:val="22"/>
                <w:szCs w:val="22"/>
                <w:highlight w:val="none"/>
              </w:rPr>
            </w:pPr>
          </w:p>
        </w:tc>
        <w:tc>
          <w:tcPr>
            <w:tcW w:w="495" w:type="dxa"/>
            <w:vAlign w:val="center"/>
          </w:tcPr>
          <w:p>
            <w:pPr>
              <w:pStyle w:val="15"/>
              <w:spacing w:line="360" w:lineRule="auto"/>
              <w:jc w:val="center"/>
              <w:rPr>
                <w:rFonts w:hAnsi="宋体"/>
                <w:color w:val="auto"/>
                <w:sz w:val="22"/>
                <w:szCs w:val="22"/>
                <w:highlight w:val="none"/>
              </w:rPr>
            </w:pPr>
          </w:p>
        </w:tc>
        <w:tc>
          <w:tcPr>
            <w:tcW w:w="498" w:type="dxa"/>
            <w:vAlign w:val="center"/>
          </w:tcPr>
          <w:p>
            <w:pPr>
              <w:pStyle w:val="15"/>
              <w:spacing w:line="360" w:lineRule="auto"/>
              <w:jc w:val="center"/>
              <w:rPr>
                <w:rFonts w:hAnsi="宋体"/>
                <w:color w:val="auto"/>
                <w:sz w:val="22"/>
                <w:szCs w:val="22"/>
                <w:highlight w:val="none"/>
              </w:rPr>
            </w:pPr>
          </w:p>
        </w:tc>
        <w:tc>
          <w:tcPr>
            <w:tcW w:w="1148" w:type="dxa"/>
          </w:tcPr>
          <w:p>
            <w:pPr>
              <w:pStyle w:val="15"/>
              <w:spacing w:line="360" w:lineRule="auto"/>
              <w:rPr>
                <w:rFonts w:hAnsi="宋体"/>
                <w:color w:val="auto"/>
                <w:sz w:val="22"/>
                <w:szCs w:val="22"/>
                <w:highlight w:val="none"/>
              </w:rPr>
            </w:pPr>
          </w:p>
        </w:tc>
        <w:tc>
          <w:tcPr>
            <w:tcW w:w="1124" w:type="dxa"/>
          </w:tcPr>
          <w:p>
            <w:pPr>
              <w:pStyle w:val="15"/>
              <w:spacing w:line="360" w:lineRule="auto"/>
              <w:rPr>
                <w:rFonts w:hAnsi="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489" w:type="dxa"/>
            <w:vAlign w:val="center"/>
          </w:tcPr>
          <w:p>
            <w:pPr>
              <w:pStyle w:val="15"/>
              <w:spacing w:line="360" w:lineRule="auto"/>
              <w:jc w:val="center"/>
              <w:rPr>
                <w:rFonts w:hAnsi="宋体"/>
                <w:color w:val="auto"/>
                <w:sz w:val="22"/>
                <w:szCs w:val="22"/>
                <w:highlight w:val="none"/>
              </w:rPr>
            </w:pPr>
            <w:r>
              <w:rPr>
                <w:rFonts w:hint="eastAsia" w:hAnsi="宋体"/>
                <w:color w:val="auto"/>
                <w:sz w:val="22"/>
                <w:szCs w:val="22"/>
                <w:highlight w:val="none"/>
              </w:rPr>
              <w:t>5</w:t>
            </w:r>
          </w:p>
        </w:tc>
        <w:tc>
          <w:tcPr>
            <w:tcW w:w="2492" w:type="dxa"/>
            <w:vAlign w:val="center"/>
          </w:tcPr>
          <w:p>
            <w:pPr>
              <w:pStyle w:val="15"/>
              <w:spacing w:line="360" w:lineRule="auto"/>
              <w:jc w:val="center"/>
              <w:rPr>
                <w:rFonts w:hAnsi="宋体"/>
                <w:color w:val="auto"/>
                <w:sz w:val="22"/>
                <w:szCs w:val="22"/>
                <w:highlight w:val="none"/>
              </w:rPr>
            </w:pPr>
          </w:p>
        </w:tc>
        <w:tc>
          <w:tcPr>
            <w:tcW w:w="915" w:type="dxa"/>
            <w:vAlign w:val="center"/>
          </w:tcPr>
          <w:p>
            <w:pPr>
              <w:jc w:val="center"/>
              <w:rPr>
                <w:rFonts w:ascii="宋体" w:hAnsi="宋体" w:cs="宋体"/>
                <w:b/>
                <w:bCs/>
                <w:color w:val="auto"/>
                <w:sz w:val="22"/>
                <w:szCs w:val="22"/>
                <w:highlight w:val="none"/>
              </w:rPr>
            </w:pPr>
          </w:p>
        </w:tc>
        <w:tc>
          <w:tcPr>
            <w:tcW w:w="1876" w:type="dxa"/>
            <w:vAlign w:val="center"/>
          </w:tcPr>
          <w:p>
            <w:pPr>
              <w:jc w:val="center"/>
              <w:rPr>
                <w:rFonts w:ascii="宋体" w:hAnsi="宋体" w:cs="宋体"/>
                <w:b/>
                <w:bCs/>
                <w:color w:val="auto"/>
                <w:sz w:val="22"/>
                <w:szCs w:val="22"/>
                <w:highlight w:val="none"/>
              </w:rPr>
            </w:pPr>
          </w:p>
        </w:tc>
        <w:tc>
          <w:tcPr>
            <w:tcW w:w="495" w:type="dxa"/>
            <w:vAlign w:val="center"/>
          </w:tcPr>
          <w:p>
            <w:pPr>
              <w:pStyle w:val="15"/>
              <w:spacing w:line="360" w:lineRule="auto"/>
              <w:jc w:val="center"/>
              <w:rPr>
                <w:rFonts w:hAnsi="宋体"/>
                <w:b/>
                <w:bCs/>
                <w:color w:val="auto"/>
                <w:sz w:val="22"/>
                <w:szCs w:val="22"/>
                <w:highlight w:val="none"/>
              </w:rPr>
            </w:pPr>
          </w:p>
        </w:tc>
        <w:tc>
          <w:tcPr>
            <w:tcW w:w="498" w:type="dxa"/>
            <w:vAlign w:val="center"/>
          </w:tcPr>
          <w:p>
            <w:pPr>
              <w:pStyle w:val="15"/>
              <w:spacing w:line="360" w:lineRule="auto"/>
              <w:jc w:val="center"/>
              <w:rPr>
                <w:rFonts w:hAnsi="宋体"/>
                <w:b/>
                <w:bCs/>
                <w:color w:val="auto"/>
                <w:sz w:val="22"/>
                <w:szCs w:val="22"/>
                <w:highlight w:val="none"/>
              </w:rPr>
            </w:pPr>
          </w:p>
        </w:tc>
        <w:tc>
          <w:tcPr>
            <w:tcW w:w="1148" w:type="dxa"/>
            <w:vAlign w:val="center"/>
          </w:tcPr>
          <w:p>
            <w:pPr>
              <w:pStyle w:val="15"/>
              <w:spacing w:line="360" w:lineRule="auto"/>
              <w:jc w:val="center"/>
              <w:rPr>
                <w:rFonts w:hAnsi="宋体"/>
                <w:b/>
                <w:bCs/>
                <w:color w:val="auto"/>
                <w:sz w:val="22"/>
                <w:szCs w:val="22"/>
                <w:highlight w:val="none"/>
              </w:rPr>
            </w:pPr>
          </w:p>
        </w:tc>
        <w:tc>
          <w:tcPr>
            <w:tcW w:w="1124" w:type="dxa"/>
            <w:vAlign w:val="center"/>
          </w:tcPr>
          <w:p>
            <w:pPr>
              <w:pStyle w:val="15"/>
              <w:spacing w:line="360" w:lineRule="auto"/>
              <w:jc w:val="center"/>
              <w:rPr>
                <w:rFonts w:hAnsi="宋体"/>
                <w:b/>
                <w:bCs/>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489" w:type="dxa"/>
          </w:tcPr>
          <w:p>
            <w:pPr>
              <w:pStyle w:val="15"/>
              <w:spacing w:line="360" w:lineRule="auto"/>
              <w:rPr>
                <w:rFonts w:hAnsi="宋体"/>
                <w:color w:val="auto"/>
                <w:sz w:val="22"/>
                <w:szCs w:val="22"/>
                <w:highlight w:val="none"/>
              </w:rPr>
            </w:pPr>
            <w:r>
              <w:rPr>
                <w:rFonts w:hint="eastAsia" w:hAnsi="宋体"/>
                <w:color w:val="auto"/>
                <w:sz w:val="22"/>
                <w:szCs w:val="22"/>
                <w:highlight w:val="none"/>
              </w:rPr>
              <w:t>…</w:t>
            </w:r>
          </w:p>
        </w:tc>
        <w:tc>
          <w:tcPr>
            <w:tcW w:w="2492" w:type="dxa"/>
            <w:vAlign w:val="center"/>
          </w:tcPr>
          <w:p>
            <w:pPr>
              <w:pStyle w:val="15"/>
              <w:spacing w:line="360" w:lineRule="auto"/>
              <w:jc w:val="center"/>
              <w:rPr>
                <w:rFonts w:hAnsi="宋体"/>
                <w:color w:val="auto"/>
                <w:sz w:val="22"/>
                <w:szCs w:val="22"/>
                <w:highlight w:val="none"/>
              </w:rPr>
            </w:pPr>
            <w:r>
              <w:rPr>
                <w:rFonts w:hint="eastAsia" w:hAnsi="宋体"/>
                <w:color w:val="auto"/>
                <w:sz w:val="22"/>
                <w:szCs w:val="22"/>
                <w:highlight w:val="none"/>
              </w:rPr>
              <w:t>……</w:t>
            </w:r>
          </w:p>
        </w:tc>
        <w:tc>
          <w:tcPr>
            <w:tcW w:w="915" w:type="dxa"/>
            <w:vAlign w:val="center"/>
          </w:tcPr>
          <w:p>
            <w:pPr>
              <w:jc w:val="center"/>
              <w:rPr>
                <w:rFonts w:ascii="宋体" w:hAnsi="宋体" w:cs="宋体"/>
                <w:color w:val="auto"/>
                <w:sz w:val="22"/>
                <w:szCs w:val="22"/>
                <w:highlight w:val="none"/>
              </w:rPr>
            </w:pPr>
          </w:p>
        </w:tc>
        <w:tc>
          <w:tcPr>
            <w:tcW w:w="1876" w:type="dxa"/>
            <w:vAlign w:val="center"/>
          </w:tcPr>
          <w:p>
            <w:pPr>
              <w:jc w:val="center"/>
              <w:rPr>
                <w:rFonts w:ascii="宋体" w:hAnsi="宋体" w:cs="宋体"/>
                <w:color w:val="auto"/>
                <w:sz w:val="22"/>
                <w:szCs w:val="22"/>
                <w:highlight w:val="none"/>
              </w:rPr>
            </w:pPr>
          </w:p>
        </w:tc>
        <w:tc>
          <w:tcPr>
            <w:tcW w:w="495" w:type="dxa"/>
            <w:vAlign w:val="center"/>
          </w:tcPr>
          <w:p>
            <w:pPr>
              <w:pStyle w:val="15"/>
              <w:spacing w:line="360" w:lineRule="auto"/>
              <w:jc w:val="center"/>
              <w:rPr>
                <w:rFonts w:hAnsi="宋体"/>
                <w:color w:val="auto"/>
                <w:sz w:val="22"/>
                <w:szCs w:val="22"/>
                <w:highlight w:val="none"/>
              </w:rPr>
            </w:pPr>
          </w:p>
        </w:tc>
        <w:tc>
          <w:tcPr>
            <w:tcW w:w="498" w:type="dxa"/>
            <w:vAlign w:val="center"/>
          </w:tcPr>
          <w:p>
            <w:pPr>
              <w:pStyle w:val="15"/>
              <w:spacing w:line="360" w:lineRule="auto"/>
              <w:jc w:val="center"/>
              <w:rPr>
                <w:rFonts w:hAnsi="宋体"/>
                <w:color w:val="auto"/>
                <w:sz w:val="22"/>
                <w:szCs w:val="22"/>
                <w:highlight w:val="none"/>
              </w:rPr>
            </w:pPr>
          </w:p>
        </w:tc>
        <w:tc>
          <w:tcPr>
            <w:tcW w:w="1148" w:type="dxa"/>
          </w:tcPr>
          <w:p>
            <w:pPr>
              <w:pStyle w:val="15"/>
              <w:spacing w:line="360" w:lineRule="auto"/>
              <w:rPr>
                <w:rFonts w:hAnsi="宋体"/>
                <w:color w:val="auto"/>
                <w:sz w:val="22"/>
                <w:szCs w:val="22"/>
                <w:highlight w:val="none"/>
              </w:rPr>
            </w:pPr>
          </w:p>
        </w:tc>
        <w:tc>
          <w:tcPr>
            <w:tcW w:w="1124" w:type="dxa"/>
          </w:tcPr>
          <w:p>
            <w:pPr>
              <w:pStyle w:val="15"/>
              <w:spacing w:line="360" w:lineRule="auto"/>
              <w:rPr>
                <w:rFonts w:hAnsi="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7" w:hRule="atLeast"/>
          <w:jc w:val="center"/>
        </w:trPr>
        <w:tc>
          <w:tcPr>
            <w:tcW w:w="2981" w:type="dxa"/>
            <w:gridSpan w:val="2"/>
            <w:vAlign w:val="center"/>
          </w:tcPr>
          <w:p>
            <w:pPr>
              <w:pStyle w:val="15"/>
              <w:spacing w:line="360" w:lineRule="auto"/>
              <w:jc w:val="center"/>
              <w:rPr>
                <w:rFonts w:hAnsi="宋体"/>
                <w:color w:val="auto"/>
                <w:sz w:val="22"/>
                <w:szCs w:val="22"/>
                <w:highlight w:val="none"/>
              </w:rPr>
            </w:pPr>
            <w:r>
              <w:rPr>
                <w:rFonts w:hint="eastAsia" w:hAnsi="宋体"/>
                <w:color w:val="auto"/>
                <w:sz w:val="22"/>
                <w:szCs w:val="22"/>
                <w:highlight w:val="none"/>
              </w:rPr>
              <w:t>投标总价</w:t>
            </w:r>
          </w:p>
        </w:tc>
        <w:tc>
          <w:tcPr>
            <w:tcW w:w="6056" w:type="dxa"/>
            <w:gridSpan w:val="6"/>
            <w:vAlign w:val="center"/>
          </w:tcPr>
          <w:p>
            <w:pPr>
              <w:pStyle w:val="15"/>
              <w:spacing w:line="360" w:lineRule="auto"/>
              <w:jc w:val="center"/>
              <w:rPr>
                <w:rFonts w:hAnsi="宋体"/>
                <w:color w:val="auto"/>
                <w:sz w:val="22"/>
                <w:szCs w:val="22"/>
                <w:highlight w:val="none"/>
              </w:rPr>
            </w:pPr>
            <w:r>
              <w:rPr>
                <w:rFonts w:hint="eastAsia" w:hAnsi="宋体"/>
                <w:color w:val="auto"/>
                <w:sz w:val="22"/>
                <w:szCs w:val="22"/>
                <w:highlight w:val="none"/>
              </w:rPr>
              <w:t>大写：　　　　                元（小写：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5" w:hRule="atLeast"/>
          <w:jc w:val="center"/>
        </w:trPr>
        <w:tc>
          <w:tcPr>
            <w:tcW w:w="9037" w:type="dxa"/>
            <w:gridSpan w:val="8"/>
            <w:vAlign w:val="center"/>
          </w:tcPr>
          <w:p>
            <w:pPr>
              <w:pStyle w:val="15"/>
              <w:spacing w:line="360" w:lineRule="auto"/>
              <w:ind w:firstLine="480" w:firstLineChars="200"/>
              <w:jc w:val="left"/>
              <w:rPr>
                <w:rFonts w:hAnsi="宋体"/>
                <w:color w:val="auto"/>
                <w:sz w:val="22"/>
                <w:szCs w:val="22"/>
                <w:highlight w:val="none"/>
              </w:rPr>
            </w:pPr>
            <w:r>
              <w:rPr>
                <w:rFonts w:hint="eastAsia" w:hAnsi="宋体"/>
                <w:color w:val="auto"/>
                <w:sz w:val="24"/>
                <w:szCs w:val="24"/>
                <w:highlight w:val="none"/>
              </w:rPr>
              <w:t>本次报价应包含项目所需全部服务，不得缺漏，是履行合同的最终价格</w:t>
            </w:r>
            <w:r>
              <w:rPr>
                <w:rFonts w:hint="eastAsia" w:hAnsi="宋体"/>
                <w:color w:val="auto"/>
                <w:sz w:val="24"/>
                <w:szCs w:val="24"/>
                <w:highlight w:val="none"/>
                <w:lang w:eastAsia="zh-CN"/>
              </w:rPr>
              <w:t>，</w:t>
            </w:r>
            <w:r>
              <w:rPr>
                <w:rFonts w:hint="eastAsia" w:hAnsi="宋体"/>
                <w:color w:val="auto"/>
                <w:sz w:val="24"/>
                <w:szCs w:val="24"/>
                <w:highlight w:val="none"/>
                <w:lang w:val="en-US" w:eastAsia="zh-CN"/>
              </w:rPr>
              <w:t>包括本项目所需相关资料收集、专家论证咨询费、评审会务费、人工、差旅、场租费、设备（仪器）等产生的费用、规费、税金及不可预见费等一切相关费用</w:t>
            </w:r>
            <w:r>
              <w:rPr>
                <w:rFonts w:hint="eastAsia" w:hAnsi="宋体"/>
                <w:color w:val="auto"/>
                <w:sz w:val="24"/>
                <w:szCs w:val="24"/>
                <w:highlight w:val="none"/>
              </w:rPr>
              <w:t>。</w:t>
            </w:r>
          </w:p>
        </w:tc>
      </w:tr>
    </w:tbl>
    <w:p>
      <w:pPr>
        <w:pStyle w:val="15"/>
        <w:spacing w:line="360" w:lineRule="auto"/>
        <w:ind w:firstLine="480" w:firstLineChars="200"/>
        <w:rPr>
          <w:rFonts w:hAnsi="宋体" w:cs="Times New Roman"/>
          <w:color w:val="auto"/>
          <w:sz w:val="24"/>
          <w:szCs w:val="24"/>
          <w:highlight w:val="none"/>
        </w:rPr>
      </w:pPr>
      <w:r>
        <w:rPr>
          <w:rFonts w:hint="eastAsia" w:hAnsi="宋体"/>
          <w:color w:val="auto"/>
          <w:sz w:val="24"/>
          <w:szCs w:val="24"/>
          <w:highlight w:val="none"/>
        </w:rPr>
        <w:t>注：内容可根据供应商实际情况自行调整。</w:t>
      </w:r>
    </w:p>
    <w:p>
      <w:pPr>
        <w:spacing w:line="360" w:lineRule="auto"/>
        <w:ind w:left="3780" w:leftChars="1800" w:firstLine="480" w:firstLineChars="200"/>
        <w:rPr>
          <w:rFonts w:ascii="宋体"/>
          <w:color w:val="auto"/>
          <w:sz w:val="24"/>
          <w:szCs w:val="24"/>
          <w:highlight w:val="none"/>
        </w:rPr>
      </w:pPr>
      <w:r>
        <w:rPr>
          <w:rFonts w:hint="eastAsia" w:ascii="宋体" w:hAnsi="宋体" w:cs="宋体"/>
          <w:color w:val="auto"/>
          <w:sz w:val="24"/>
          <w:szCs w:val="24"/>
          <w:highlight w:val="none"/>
        </w:rPr>
        <w:t>法定代表人签名（或签名章）：</w:t>
      </w:r>
      <w:r>
        <w:rPr>
          <w:rFonts w:ascii="宋体" w:hAnsi="宋体" w:cs="宋体"/>
          <w:color w:val="auto"/>
          <w:sz w:val="24"/>
          <w:szCs w:val="24"/>
          <w:highlight w:val="none"/>
        </w:rPr>
        <w:t xml:space="preserve">                       </w:t>
      </w:r>
    </w:p>
    <w:p>
      <w:pPr>
        <w:spacing w:line="360" w:lineRule="auto"/>
        <w:ind w:left="3780" w:leftChars="1800" w:firstLine="480" w:firstLineChars="200"/>
        <w:rPr>
          <w:rFonts w:ascii="宋体"/>
          <w:color w:val="auto"/>
          <w:sz w:val="24"/>
          <w:szCs w:val="24"/>
          <w:highlight w:val="none"/>
        </w:rPr>
      </w:pPr>
      <w:r>
        <w:rPr>
          <w:rFonts w:hint="eastAsia" w:ascii="宋体" w:hAnsi="宋体" w:cs="宋体"/>
          <w:color w:val="auto"/>
          <w:sz w:val="24"/>
          <w:szCs w:val="24"/>
          <w:highlight w:val="none"/>
        </w:rPr>
        <w:t>日</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期：</w:t>
      </w:r>
    </w:p>
    <w:p>
      <w:pPr>
        <w:spacing w:line="360" w:lineRule="auto"/>
        <w:ind w:left="3780" w:leftChars="1800"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供应商全称（公章）：</w:t>
      </w:r>
    </w:p>
    <w:bookmarkEnd w:id="124"/>
    <w:p>
      <w:pPr>
        <w:rPr>
          <w:rFonts w:ascii="宋体" w:hAnsi="宋体" w:cs="宋体"/>
          <w:color w:val="auto"/>
          <w:sz w:val="24"/>
          <w:szCs w:val="24"/>
          <w:highlight w:val="none"/>
        </w:rPr>
      </w:pPr>
    </w:p>
    <w:sectPr>
      <w:headerReference r:id="rId5" w:type="default"/>
      <w:footerReference r:id="rId6"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0" w:usb3="00000000" w:csb0="00000001" w:csb1="00000000"/>
  </w:font>
  <w:font w:name="TimesNewRomanPSMT">
    <w:altName w:val="Times New Roman"/>
    <w:panose1 w:val="00000000000000000000"/>
    <w:charset w:val="00"/>
    <w:family w:val="roman"/>
    <w:pitch w:val="default"/>
    <w:sig w:usb0="00000000" w:usb1="00000000" w:usb2="00000000" w:usb3="00000000" w:csb0="0000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8"/>
                          </w:pPr>
                          <w:r>
                            <w:fldChar w:fldCharType="begin"/>
                          </w:r>
                          <w:r>
                            <w:instrText xml:space="preserve"> PAGE  \* MERGEFORMAT </w:instrText>
                          </w:r>
                          <w:r>
                            <w:fldChar w:fldCharType="separate"/>
                          </w:r>
                          <w:r>
                            <w:t>40</w:t>
                          </w:r>
                          <w:r>
                            <w:fldChar w:fldCharType="end"/>
                          </w:r>
                        </w:p>
                      </w:txbxContent>
                    </wps:txbx>
                    <wps:bodyPr wrap="none" lIns="0" tIns="0" rIns="0" bIns="0" upright="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LNJWO7QAAAABQEAAA8AAAAAAAAAAQAgAAAAIgAA&#10;AGRycy9kb3ducmV2LnhtbFBLAQIUABQAAAAIAIdO4kCazfJM1wEAALADAAAOAAAAAAAAAAEAIAAA&#10;AB8BAABkcnMvZTJvRG9jLnhtbFBLBQYAAAAABgAGAFkBAABoBQAAAAA=&#10;">
              <v:fill on="f" focussize="0,0"/>
              <v:stroke on="f" weight="0.5pt"/>
              <v:imagedata o:title=""/>
              <o:lock v:ext="edit" aspectratio="f"/>
              <v:textbox inset="0mm,0mm,0mm,0mm" style="mso-fit-shape-to-text:t;">
                <w:txbxContent>
                  <w:p>
                    <w:pPr>
                      <w:pStyle w:val="18"/>
                    </w:pPr>
                    <w:r>
                      <w:fldChar w:fldCharType="begin"/>
                    </w:r>
                    <w:r>
                      <w:instrText xml:space="preserve"> PAGE  \* MERGEFORMAT </w:instrText>
                    </w:r>
                    <w:r>
                      <w:fldChar w:fldCharType="separate"/>
                    </w:r>
                    <w:r>
                      <w:t>40</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rPr>
        <w:rStyle w:val="31"/>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16205" cy="278765"/>
              <wp:effectExtent l="0" t="0" r="0" b="0"/>
              <wp:wrapNone/>
              <wp:docPr id="3" name="文本框 3"/>
              <wp:cNvGraphicFramePr/>
              <a:graphic xmlns:a="http://schemas.openxmlformats.org/drawingml/2006/main">
                <a:graphicData uri="http://schemas.microsoft.com/office/word/2010/wordprocessingShape">
                  <wps:wsp>
                    <wps:cNvSpPr txBox="1"/>
                    <wps:spPr>
                      <a:xfrm>
                        <a:off x="0" y="0"/>
                        <a:ext cx="116205" cy="278765"/>
                      </a:xfrm>
                      <a:prstGeom prst="rect">
                        <a:avLst/>
                      </a:prstGeom>
                      <a:noFill/>
                      <a:ln>
                        <a:noFill/>
                      </a:ln>
                      <a:effectLst/>
                    </wps:spPr>
                    <wps:txbx>
                      <w:txbxContent>
                        <w:p>
                          <w:pPr>
                            <w:pStyle w:val="18"/>
                          </w:pPr>
                          <w:r>
                            <w:fldChar w:fldCharType="begin"/>
                          </w:r>
                          <w:r>
                            <w:instrText xml:space="preserve"> PAGE  \* MERGEFORMAT </w:instrText>
                          </w:r>
                          <w:r>
                            <w:fldChar w:fldCharType="separate"/>
                          </w:r>
                          <w:r>
                            <w:t>59</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21.95pt;width:9.15pt;mso-position-horizontal:center;mso-position-horizontal-relative:margin;mso-wrap-style:none;z-index:251661312;mso-width-relative:page;mso-height-relative:page;" filled="f" stroked="f" coordsize="21600,21600" o:gfxdata="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FuNj1nRAAAAAwEAAA8AAAAAAAAAAQAgAAAAIgAAAGRy&#10;cy9kb3ducmV2LnhtbFBLAQIUABQAAAAIAIdO4kArpkT20wEAAKUDAAAOAAAAAAAAAAEAIAAAACAB&#10;AABkcnMvZTJvRG9jLnhtbFBLBQYAAAAABgAGAFkBAABlBQAAAAA=&#10;">
              <v:fill on="f" focussize="0,0"/>
              <v:stroke on="f"/>
              <v:imagedata o:title=""/>
              <o:lock v:ext="edit" aspectratio="f"/>
              <v:textbox inset="0mm,0mm,0mm,0mm" style="mso-fit-shape-to-text:t;">
                <w:txbxContent>
                  <w:p>
                    <w:pPr>
                      <w:pStyle w:val="18"/>
                    </w:pPr>
                    <w:r>
                      <w:fldChar w:fldCharType="begin"/>
                    </w:r>
                    <w:r>
                      <w:instrText xml:space="preserve"> PAGE  \* MERGEFORMAT </w:instrText>
                    </w:r>
                    <w:r>
                      <w:fldChar w:fldCharType="separate"/>
                    </w:r>
                    <w:r>
                      <w:t>59</w:t>
                    </w:r>
                    <w:r>
                      <w:fldChar w:fldCharType="end"/>
                    </w:r>
                  </w:p>
                </w:txbxContent>
              </v:textbox>
            </v:shape>
          </w:pict>
        </mc:Fallback>
      </mc:AlternateContent>
    </w:r>
  </w:p>
  <w:p>
    <w:pPr>
      <w:pStyle w:val="18"/>
      <w:ind w:right="360"/>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none" w:color="auto" w:sz="0" w:space="1"/>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4F02D3"/>
    <w:multiLevelType w:val="singleLevel"/>
    <w:tmpl w:val="8F4F02D3"/>
    <w:lvl w:ilvl="0" w:tentative="0">
      <w:start w:val="1"/>
      <w:numFmt w:val="decimalEnclosedCircleChinese"/>
      <w:suff w:val="nothing"/>
      <w:lvlText w:val="%1　"/>
      <w:lvlJc w:val="left"/>
      <w:pPr>
        <w:ind w:left="0" w:firstLine="400"/>
      </w:pPr>
      <w:rPr>
        <w:rFonts w:hint="eastAsia"/>
      </w:rPr>
    </w:lvl>
  </w:abstractNum>
  <w:abstractNum w:abstractNumId="1">
    <w:nsid w:val="960C84E7"/>
    <w:multiLevelType w:val="singleLevel"/>
    <w:tmpl w:val="960C84E7"/>
    <w:lvl w:ilvl="0" w:tentative="0">
      <w:start w:val="1"/>
      <w:numFmt w:val="decimal"/>
      <w:suff w:val="nothing"/>
      <w:lvlText w:val="14.%1 "/>
      <w:lvlJc w:val="left"/>
      <w:pPr>
        <w:tabs>
          <w:tab w:val="left" w:pos="0"/>
        </w:tabs>
        <w:ind w:firstLine="40"/>
      </w:pPr>
      <w:rPr>
        <w:rFonts w:hint="default" w:ascii="宋体" w:hAnsi="宋体" w:eastAsia="宋体"/>
      </w:rPr>
    </w:lvl>
  </w:abstractNum>
  <w:abstractNum w:abstractNumId="2">
    <w:nsid w:val="9E7D436F"/>
    <w:multiLevelType w:val="singleLevel"/>
    <w:tmpl w:val="9E7D436F"/>
    <w:lvl w:ilvl="0" w:tentative="0">
      <w:start w:val="1"/>
      <w:numFmt w:val="chineseCounting"/>
      <w:suff w:val="nothing"/>
      <w:lvlText w:val="%1、"/>
      <w:lvlJc w:val="left"/>
      <w:rPr>
        <w:rFonts w:hint="eastAsia"/>
      </w:rPr>
    </w:lvl>
  </w:abstractNum>
  <w:abstractNum w:abstractNumId="3">
    <w:nsid w:val="AA587B50"/>
    <w:multiLevelType w:val="singleLevel"/>
    <w:tmpl w:val="AA587B50"/>
    <w:lvl w:ilvl="0" w:tentative="0">
      <w:start w:val="12"/>
      <w:numFmt w:val="chineseCounting"/>
      <w:suff w:val="nothing"/>
      <w:lvlText w:val="%1、"/>
      <w:lvlJc w:val="left"/>
      <w:rPr>
        <w:rFonts w:hint="eastAsia"/>
      </w:rPr>
    </w:lvl>
  </w:abstractNum>
  <w:abstractNum w:abstractNumId="4">
    <w:nsid w:val="D0D22096"/>
    <w:multiLevelType w:val="singleLevel"/>
    <w:tmpl w:val="D0D22096"/>
    <w:lvl w:ilvl="0" w:tentative="0">
      <w:start w:val="1"/>
      <w:numFmt w:val="decimal"/>
      <w:suff w:val="nothing"/>
      <w:lvlText w:val="%1、"/>
      <w:lvlJc w:val="left"/>
    </w:lvl>
  </w:abstractNum>
  <w:abstractNum w:abstractNumId="5">
    <w:nsid w:val="D5C663A9"/>
    <w:multiLevelType w:val="singleLevel"/>
    <w:tmpl w:val="D5C663A9"/>
    <w:lvl w:ilvl="0" w:tentative="0">
      <w:start w:val="1"/>
      <w:numFmt w:val="decimalEnclosedCircleChinese"/>
      <w:suff w:val="nothing"/>
      <w:lvlText w:val="%1　"/>
      <w:lvlJc w:val="left"/>
      <w:pPr>
        <w:ind w:firstLine="1134"/>
      </w:pPr>
      <w:rPr>
        <w:rFonts w:hint="eastAsia"/>
      </w:rPr>
    </w:lvl>
  </w:abstractNum>
  <w:abstractNum w:abstractNumId="6">
    <w:nsid w:val="F4396F3A"/>
    <w:multiLevelType w:val="singleLevel"/>
    <w:tmpl w:val="F4396F3A"/>
    <w:lvl w:ilvl="0" w:tentative="0">
      <w:start w:val="2"/>
      <w:numFmt w:val="chineseCounting"/>
      <w:suff w:val="nothing"/>
      <w:lvlText w:val="%1、"/>
      <w:lvlJc w:val="left"/>
      <w:rPr>
        <w:rFonts w:hint="eastAsia"/>
      </w:rPr>
    </w:lvl>
  </w:abstractNum>
  <w:abstractNum w:abstractNumId="7">
    <w:nsid w:val="FF8E5FC9"/>
    <w:multiLevelType w:val="singleLevel"/>
    <w:tmpl w:val="FF8E5FC9"/>
    <w:lvl w:ilvl="0" w:tentative="0">
      <w:start w:val="1"/>
      <w:numFmt w:val="decimal"/>
      <w:suff w:val="nothing"/>
      <w:lvlText w:val="%1．"/>
      <w:lvlJc w:val="left"/>
      <w:pPr>
        <w:ind w:firstLine="397"/>
      </w:pPr>
      <w:rPr>
        <w:rFonts w:hint="default"/>
      </w:rPr>
    </w:lvl>
  </w:abstractNum>
  <w:abstractNum w:abstractNumId="8">
    <w:nsid w:val="00000000"/>
    <w:multiLevelType w:val="multilevel"/>
    <w:tmpl w:val="00000000"/>
    <w:lvl w:ilvl="0" w:tentative="0">
      <w:start w:val="1"/>
      <w:numFmt w:val="chineseCountingThousand"/>
      <w:suff w:val="nothing"/>
      <w:lvlText w:val="第%1章"/>
      <w:lvlJc w:val="left"/>
      <w:pPr>
        <w:ind w:left="0" w:firstLine="0"/>
      </w:pPr>
    </w:lvl>
    <w:lvl w:ilvl="1" w:tentative="0">
      <w:start w:val="1"/>
      <w:numFmt w:val="none"/>
      <w:suff w:val="nothing"/>
      <w:lvlText w:val=""/>
      <w:lvlJc w:val="left"/>
      <w:pPr>
        <w:ind w:left="0" w:firstLine="0"/>
      </w:pPr>
    </w:lvl>
    <w:lvl w:ilvl="2" w:tentative="0">
      <w:start w:val="1"/>
      <w:numFmt w:val="none"/>
      <w:suff w:val="nothing"/>
      <w:lvlText w:val=""/>
      <w:lvlJc w:val="left"/>
      <w:pPr>
        <w:ind w:left="0" w:firstLine="0"/>
      </w:pPr>
    </w:lvl>
    <w:lvl w:ilvl="3" w:tentative="0">
      <w:start w:val="1"/>
      <w:numFmt w:val="none"/>
      <w:suff w:val="nothing"/>
      <w:lvlText w:val=""/>
      <w:lvlJc w:val="left"/>
      <w:pPr>
        <w:ind w:left="0" w:firstLine="0"/>
      </w:pPr>
    </w:lvl>
    <w:lvl w:ilvl="4" w:tentative="0">
      <w:start w:val="1"/>
      <w:numFmt w:val="none"/>
      <w:pStyle w:val="7"/>
      <w:suff w:val="nothing"/>
      <w:lvlText w:val=""/>
      <w:lvlJc w:val="left"/>
      <w:pPr>
        <w:ind w:left="0" w:firstLine="0"/>
      </w:pPr>
    </w:lvl>
    <w:lvl w:ilvl="5" w:tentative="0">
      <w:start w:val="1"/>
      <w:numFmt w:val="none"/>
      <w:pStyle w:val="8"/>
      <w:suff w:val="nothing"/>
      <w:lvlText w:val=""/>
      <w:lvlJc w:val="left"/>
      <w:pPr>
        <w:ind w:left="0" w:firstLine="0"/>
      </w:pPr>
    </w:lvl>
    <w:lvl w:ilvl="6" w:tentative="0">
      <w:start w:val="1"/>
      <w:numFmt w:val="none"/>
      <w:suff w:val="nothing"/>
      <w:lvlText w:val=""/>
      <w:lvlJc w:val="left"/>
      <w:pPr>
        <w:ind w:left="0" w:firstLine="0"/>
      </w:pPr>
    </w:lvl>
    <w:lvl w:ilvl="7" w:tentative="0">
      <w:start w:val="1"/>
      <w:numFmt w:val="none"/>
      <w:suff w:val="nothing"/>
      <w:lvlText w:val=""/>
      <w:lvlJc w:val="left"/>
      <w:pPr>
        <w:ind w:left="0" w:firstLine="0"/>
      </w:pPr>
    </w:lvl>
    <w:lvl w:ilvl="8" w:tentative="0">
      <w:start w:val="1"/>
      <w:numFmt w:val="none"/>
      <w:suff w:val="nothing"/>
      <w:lvlText w:val=""/>
      <w:lvlJc w:val="left"/>
      <w:pPr>
        <w:ind w:left="0" w:firstLine="0"/>
      </w:pPr>
    </w:lvl>
  </w:abstractNum>
  <w:abstractNum w:abstractNumId="9">
    <w:nsid w:val="0FBA2E71"/>
    <w:multiLevelType w:val="singleLevel"/>
    <w:tmpl w:val="0FBA2E71"/>
    <w:lvl w:ilvl="0" w:tentative="0">
      <w:start w:val="1"/>
      <w:numFmt w:val="decimalEnclosedCircleChinese"/>
      <w:suff w:val="nothing"/>
      <w:lvlText w:val="%1　"/>
      <w:lvlJc w:val="left"/>
      <w:pPr>
        <w:ind w:left="0" w:firstLine="400"/>
      </w:pPr>
      <w:rPr>
        <w:rFonts w:hint="eastAsia"/>
      </w:rPr>
    </w:lvl>
  </w:abstractNum>
  <w:abstractNum w:abstractNumId="10">
    <w:nsid w:val="12F353C5"/>
    <w:multiLevelType w:val="singleLevel"/>
    <w:tmpl w:val="12F353C5"/>
    <w:lvl w:ilvl="0" w:tentative="0">
      <w:start w:val="1"/>
      <w:numFmt w:val="chineseCounting"/>
      <w:suff w:val="nothing"/>
      <w:lvlText w:val="%1、"/>
      <w:lvlJc w:val="left"/>
      <w:rPr>
        <w:rFonts w:hint="eastAsia"/>
      </w:rPr>
    </w:lvl>
  </w:abstractNum>
  <w:abstractNum w:abstractNumId="11">
    <w:nsid w:val="139B6DF6"/>
    <w:multiLevelType w:val="singleLevel"/>
    <w:tmpl w:val="139B6DF6"/>
    <w:lvl w:ilvl="0" w:tentative="0">
      <w:start w:val="1"/>
      <w:numFmt w:val="decimal"/>
      <w:suff w:val="nothing"/>
      <w:lvlText w:val="9.%1 "/>
      <w:lvlJc w:val="left"/>
      <w:pPr>
        <w:tabs>
          <w:tab w:val="left" w:pos="0"/>
        </w:tabs>
        <w:ind w:firstLine="40"/>
      </w:pPr>
      <w:rPr>
        <w:rFonts w:hint="default" w:ascii="宋体" w:hAnsi="宋体" w:eastAsia="宋体"/>
      </w:rPr>
    </w:lvl>
  </w:abstractNum>
  <w:abstractNum w:abstractNumId="12">
    <w:nsid w:val="176463D9"/>
    <w:multiLevelType w:val="singleLevel"/>
    <w:tmpl w:val="176463D9"/>
    <w:lvl w:ilvl="0" w:tentative="0">
      <w:start w:val="2"/>
      <w:numFmt w:val="chineseCounting"/>
      <w:suff w:val="nothing"/>
      <w:lvlText w:val="%1、"/>
      <w:lvlJc w:val="left"/>
      <w:rPr>
        <w:rFonts w:hint="eastAsia"/>
      </w:rPr>
    </w:lvl>
  </w:abstractNum>
  <w:abstractNum w:abstractNumId="13">
    <w:nsid w:val="1DBCF645"/>
    <w:multiLevelType w:val="singleLevel"/>
    <w:tmpl w:val="1DBCF645"/>
    <w:lvl w:ilvl="0" w:tentative="0">
      <w:start w:val="1"/>
      <w:numFmt w:val="decimalEnclosedCircleChinese"/>
      <w:suff w:val="nothing"/>
      <w:lvlText w:val="%1　"/>
      <w:lvlJc w:val="left"/>
      <w:pPr>
        <w:ind w:firstLine="397"/>
      </w:pPr>
      <w:rPr>
        <w:rFonts w:hint="eastAsia"/>
      </w:rPr>
    </w:lvl>
  </w:abstractNum>
  <w:abstractNum w:abstractNumId="14">
    <w:nsid w:val="1EC1A361"/>
    <w:multiLevelType w:val="singleLevel"/>
    <w:tmpl w:val="1EC1A361"/>
    <w:lvl w:ilvl="0" w:tentative="0">
      <w:start w:val="1"/>
      <w:numFmt w:val="decimalEnclosedCircleChinese"/>
      <w:suff w:val="nothing"/>
      <w:lvlText w:val="%1　"/>
      <w:lvlJc w:val="left"/>
      <w:pPr>
        <w:ind w:left="0" w:firstLine="397"/>
      </w:pPr>
      <w:rPr>
        <w:rFonts w:hint="eastAsia"/>
      </w:rPr>
    </w:lvl>
  </w:abstractNum>
  <w:abstractNum w:abstractNumId="15">
    <w:nsid w:val="25F33ADD"/>
    <w:multiLevelType w:val="singleLevel"/>
    <w:tmpl w:val="25F33ADD"/>
    <w:lvl w:ilvl="0" w:tentative="0">
      <w:start w:val="1"/>
      <w:numFmt w:val="decimalEnclosedCircleChinese"/>
      <w:suff w:val="nothing"/>
      <w:lvlText w:val="%1　"/>
      <w:lvlJc w:val="left"/>
      <w:pPr>
        <w:ind w:firstLine="1134"/>
      </w:pPr>
      <w:rPr>
        <w:rFonts w:hint="eastAsia"/>
      </w:rPr>
    </w:lvl>
  </w:abstractNum>
  <w:abstractNum w:abstractNumId="16">
    <w:nsid w:val="31213A5A"/>
    <w:multiLevelType w:val="singleLevel"/>
    <w:tmpl w:val="31213A5A"/>
    <w:lvl w:ilvl="0" w:tentative="0">
      <w:start w:val="4"/>
      <w:numFmt w:val="chineseCounting"/>
      <w:suff w:val="nothing"/>
      <w:lvlText w:val="%1、"/>
      <w:lvlJc w:val="left"/>
      <w:rPr>
        <w:rFonts w:hint="eastAsia"/>
      </w:rPr>
    </w:lvl>
  </w:abstractNum>
  <w:abstractNum w:abstractNumId="17">
    <w:nsid w:val="466C6E1F"/>
    <w:multiLevelType w:val="multilevel"/>
    <w:tmpl w:val="466C6E1F"/>
    <w:lvl w:ilvl="0" w:tentative="0">
      <w:start w:val="1"/>
      <w:numFmt w:val="upperLetter"/>
      <w:pStyle w:val="5"/>
      <w:lvlText w:val="%1、"/>
      <w:lvlJc w:val="left"/>
      <w:pPr>
        <w:tabs>
          <w:tab w:val="left" w:pos="1275"/>
        </w:tabs>
        <w:ind w:left="1275" w:hanging="720"/>
      </w:pPr>
      <w:rPr>
        <w:rFonts w:hint="eastAsia" w:hAnsi="宋体"/>
      </w:rPr>
    </w:lvl>
    <w:lvl w:ilvl="1" w:tentative="0">
      <w:start w:val="1"/>
      <w:numFmt w:val="decimalEnclosedCircle"/>
      <w:lvlText w:val="%2"/>
      <w:lvlJc w:val="left"/>
      <w:pPr>
        <w:tabs>
          <w:tab w:val="left" w:pos="1335"/>
        </w:tabs>
        <w:ind w:left="1335" w:hanging="360"/>
      </w:pPr>
      <w:rPr>
        <w:rFonts w:hint="eastAsia" w:hAnsi="宋体"/>
      </w:rPr>
    </w:lvl>
    <w:lvl w:ilvl="2" w:tentative="0">
      <w:start w:val="1"/>
      <w:numFmt w:val="lowerRoman"/>
      <w:lvlText w:val="%3."/>
      <w:lvlJc w:val="right"/>
      <w:pPr>
        <w:tabs>
          <w:tab w:val="left" w:pos="1815"/>
        </w:tabs>
        <w:ind w:left="1815" w:hanging="420"/>
      </w:pPr>
    </w:lvl>
    <w:lvl w:ilvl="3" w:tentative="0">
      <w:start w:val="1"/>
      <w:numFmt w:val="decimal"/>
      <w:lvlText w:val="%4."/>
      <w:lvlJc w:val="left"/>
      <w:pPr>
        <w:tabs>
          <w:tab w:val="left" w:pos="2235"/>
        </w:tabs>
        <w:ind w:left="2235" w:hanging="420"/>
      </w:pPr>
    </w:lvl>
    <w:lvl w:ilvl="4" w:tentative="0">
      <w:start w:val="1"/>
      <w:numFmt w:val="lowerLetter"/>
      <w:lvlText w:val="%5)"/>
      <w:lvlJc w:val="left"/>
      <w:pPr>
        <w:tabs>
          <w:tab w:val="left" w:pos="2655"/>
        </w:tabs>
        <w:ind w:left="2655" w:hanging="420"/>
      </w:pPr>
    </w:lvl>
    <w:lvl w:ilvl="5" w:tentative="0">
      <w:start w:val="1"/>
      <w:numFmt w:val="lowerRoman"/>
      <w:lvlText w:val="%6."/>
      <w:lvlJc w:val="right"/>
      <w:pPr>
        <w:tabs>
          <w:tab w:val="left" w:pos="3075"/>
        </w:tabs>
        <w:ind w:left="3075" w:hanging="420"/>
      </w:pPr>
    </w:lvl>
    <w:lvl w:ilvl="6" w:tentative="0">
      <w:start w:val="1"/>
      <w:numFmt w:val="decimal"/>
      <w:lvlText w:val="%7."/>
      <w:lvlJc w:val="left"/>
      <w:pPr>
        <w:tabs>
          <w:tab w:val="left" w:pos="3495"/>
        </w:tabs>
        <w:ind w:left="3495" w:hanging="420"/>
      </w:pPr>
    </w:lvl>
    <w:lvl w:ilvl="7" w:tentative="0">
      <w:start w:val="1"/>
      <w:numFmt w:val="lowerLetter"/>
      <w:lvlText w:val="%8)"/>
      <w:lvlJc w:val="left"/>
      <w:pPr>
        <w:tabs>
          <w:tab w:val="left" w:pos="3915"/>
        </w:tabs>
        <w:ind w:left="3915" w:hanging="420"/>
      </w:pPr>
    </w:lvl>
    <w:lvl w:ilvl="8" w:tentative="0">
      <w:start w:val="1"/>
      <w:numFmt w:val="lowerRoman"/>
      <w:lvlText w:val="%9."/>
      <w:lvlJc w:val="right"/>
      <w:pPr>
        <w:tabs>
          <w:tab w:val="left" w:pos="4335"/>
        </w:tabs>
        <w:ind w:left="4335" w:hanging="420"/>
      </w:pPr>
    </w:lvl>
  </w:abstractNum>
  <w:abstractNum w:abstractNumId="18">
    <w:nsid w:val="474E1A63"/>
    <w:multiLevelType w:val="singleLevel"/>
    <w:tmpl w:val="474E1A63"/>
    <w:lvl w:ilvl="0" w:tentative="0">
      <w:start w:val="1"/>
      <w:numFmt w:val="decimalEnclosedCircleChinese"/>
      <w:suff w:val="nothing"/>
      <w:lvlText w:val="%1　"/>
      <w:lvlJc w:val="left"/>
      <w:pPr>
        <w:ind w:firstLine="1134"/>
      </w:pPr>
      <w:rPr>
        <w:rFonts w:hint="eastAsia"/>
      </w:rPr>
    </w:lvl>
  </w:abstractNum>
  <w:abstractNum w:abstractNumId="19">
    <w:nsid w:val="4D4A2151"/>
    <w:multiLevelType w:val="singleLevel"/>
    <w:tmpl w:val="4D4A2151"/>
    <w:lvl w:ilvl="0" w:tentative="0">
      <w:start w:val="1"/>
      <w:numFmt w:val="decimal"/>
      <w:suff w:val="nothing"/>
      <w:lvlText w:val="%1．"/>
      <w:lvlJc w:val="left"/>
      <w:pPr>
        <w:ind w:firstLine="397"/>
      </w:pPr>
      <w:rPr>
        <w:rFonts w:hint="default"/>
      </w:rPr>
    </w:lvl>
  </w:abstractNum>
  <w:abstractNum w:abstractNumId="20">
    <w:nsid w:val="62705028"/>
    <w:multiLevelType w:val="singleLevel"/>
    <w:tmpl w:val="62705028"/>
    <w:lvl w:ilvl="0" w:tentative="0">
      <w:start w:val="1"/>
      <w:numFmt w:val="decimalEnclosedCircleChinese"/>
      <w:suff w:val="nothing"/>
      <w:lvlText w:val="%1　"/>
      <w:lvlJc w:val="left"/>
      <w:pPr>
        <w:ind w:firstLine="397"/>
      </w:pPr>
      <w:rPr>
        <w:rFonts w:hint="eastAsia"/>
      </w:rPr>
    </w:lvl>
  </w:abstractNum>
  <w:abstractNum w:abstractNumId="21">
    <w:nsid w:val="7B2826C6"/>
    <w:multiLevelType w:val="singleLevel"/>
    <w:tmpl w:val="7B2826C6"/>
    <w:lvl w:ilvl="0" w:tentative="0">
      <w:start w:val="1"/>
      <w:numFmt w:val="decimal"/>
      <w:suff w:val="nothing"/>
      <w:lvlText w:val="%1．"/>
      <w:lvlJc w:val="left"/>
      <w:pPr>
        <w:ind w:left="0" w:firstLine="397"/>
      </w:pPr>
      <w:rPr>
        <w:rFonts w:hint="default"/>
      </w:rPr>
    </w:lvl>
  </w:abstractNum>
  <w:num w:numId="1">
    <w:abstractNumId w:val="17"/>
  </w:num>
  <w:num w:numId="2">
    <w:abstractNumId w:val="8"/>
  </w:num>
  <w:num w:numId="3">
    <w:abstractNumId w:val="7"/>
  </w:num>
  <w:num w:numId="4">
    <w:abstractNumId w:val="19"/>
  </w:num>
  <w:num w:numId="5">
    <w:abstractNumId w:val="13"/>
  </w:num>
  <w:num w:numId="6">
    <w:abstractNumId w:val="21"/>
  </w:num>
  <w:num w:numId="7">
    <w:abstractNumId w:val="14"/>
  </w:num>
  <w:num w:numId="8">
    <w:abstractNumId w:val="20"/>
  </w:num>
  <w:num w:numId="9">
    <w:abstractNumId w:val="10"/>
  </w:num>
  <w:num w:numId="10">
    <w:abstractNumId w:val="11"/>
  </w:num>
  <w:num w:numId="11">
    <w:abstractNumId w:val="18"/>
  </w:num>
  <w:num w:numId="12">
    <w:abstractNumId w:val="0"/>
  </w:num>
  <w:num w:numId="13">
    <w:abstractNumId w:val="5"/>
  </w:num>
  <w:num w:numId="14">
    <w:abstractNumId w:val="1"/>
  </w:num>
  <w:num w:numId="15">
    <w:abstractNumId w:val="15"/>
  </w:num>
  <w:num w:numId="16">
    <w:abstractNumId w:val="12"/>
  </w:num>
  <w:num w:numId="17">
    <w:abstractNumId w:val="2"/>
  </w:num>
  <w:num w:numId="18">
    <w:abstractNumId w:val="16"/>
  </w:num>
  <w:num w:numId="19">
    <w:abstractNumId w:val="6"/>
  </w:num>
  <w:num w:numId="20">
    <w:abstractNumId w:val="4"/>
  </w:num>
  <w:num w:numId="21">
    <w:abstractNumId w:val="3"/>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oNotHyphenateCaps/>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MxOTZmYmYwNmE3NDdkMjFjOTU2NTAxZjdmNTVhZjgifQ=="/>
  </w:docVars>
  <w:rsids>
    <w:rsidRoot w:val="5AA412FE"/>
    <w:rsid w:val="00003EF7"/>
    <w:rsid w:val="000122B4"/>
    <w:rsid w:val="00027C5B"/>
    <w:rsid w:val="00043EEC"/>
    <w:rsid w:val="00046957"/>
    <w:rsid w:val="0005045A"/>
    <w:rsid w:val="00084F39"/>
    <w:rsid w:val="00085ECB"/>
    <w:rsid w:val="000B3BC7"/>
    <w:rsid w:val="000D30BB"/>
    <w:rsid w:val="000F06EE"/>
    <w:rsid w:val="001039CA"/>
    <w:rsid w:val="0012684B"/>
    <w:rsid w:val="001339E2"/>
    <w:rsid w:val="00161E6F"/>
    <w:rsid w:val="00221416"/>
    <w:rsid w:val="00223E24"/>
    <w:rsid w:val="00234866"/>
    <w:rsid w:val="00234D57"/>
    <w:rsid w:val="00255FD2"/>
    <w:rsid w:val="00264C08"/>
    <w:rsid w:val="00273F1A"/>
    <w:rsid w:val="0027526D"/>
    <w:rsid w:val="00284949"/>
    <w:rsid w:val="00297FF4"/>
    <w:rsid w:val="002C487B"/>
    <w:rsid w:val="002F6EC0"/>
    <w:rsid w:val="0030570F"/>
    <w:rsid w:val="003470DA"/>
    <w:rsid w:val="003914B1"/>
    <w:rsid w:val="00392B4C"/>
    <w:rsid w:val="00393C1C"/>
    <w:rsid w:val="003A0D36"/>
    <w:rsid w:val="003A2883"/>
    <w:rsid w:val="003D07BA"/>
    <w:rsid w:val="0040061B"/>
    <w:rsid w:val="00402FF9"/>
    <w:rsid w:val="004047AC"/>
    <w:rsid w:val="004277E5"/>
    <w:rsid w:val="0043140B"/>
    <w:rsid w:val="00434E53"/>
    <w:rsid w:val="00463C96"/>
    <w:rsid w:val="00476057"/>
    <w:rsid w:val="0048104F"/>
    <w:rsid w:val="00485852"/>
    <w:rsid w:val="00486150"/>
    <w:rsid w:val="00497B50"/>
    <w:rsid w:val="004E63AF"/>
    <w:rsid w:val="004E7DB7"/>
    <w:rsid w:val="00542925"/>
    <w:rsid w:val="005456AD"/>
    <w:rsid w:val="00550AE1"/>
    <w:rsid w:val="005617C4"/>
    <w:rsid w:val="005747A4"/>
    <w:rsid w:val="0057775B"/>
    <w:rsid w:val="005F4C64"/>
    <w:rsid w:val="00603A33"/>
    <w:rsid w:val="0060407F"/>
    <w:rsid w:val="00624CA0"/>
    <w:rsid w:val="006545B6"/>
    <w:rsid w:val="006B56AA"/>
    <w:rsid w:val="006E3901"/>
    <w:rsid w:val="006E4D94"/>
    <w:rsid w:val="006E5F17"/>
    <w:rsid w:val="006E7DD6"/>
    <w:rsid w:val="00726B0B"/>
    <w:rsid w:val="00741B88"/>
    <w:rsid w:val="0074647B"/>
    <w:rsid w:val="00761CC5"/>
    <w:rsid w:val="007675AE"/>
    <w:rsid w:val="007C1988"/>
    <w:rsid w:val="007C36F2"/>
    <w:rsid w:val="007D1674"/>
    <w:rsid w:val="007F23B1"/>
    <w:rsid w:val="00804A32"/>
    <w:rsid w:val="00816086"/>
    <w:rsid w:val="00846EE7"/>
    <w:rsid w:val="008651FF"/>
    <w:rsid w:val="008A2209"/>
    <w:rsid w:val="008C2439"/>
    <w:rsid w:val="008E3963"/>
    <w:rsid w:val="00913BA9"/>
    <w:rsid w:val="00913DF5"/>
    <w:rsid w:val="00922646"/>
    <w:rsid w:val="009241BF"/>
    <w:rsid w:val="00945D04"/>
    <w:rsid w:val="00992B51"/>
    <w:rsid w:val="009B5145"/>
    <w:rsid w:val="009B698E"/>
    <w:rsid w:val="009C14AC"/>
    <w:rsid w:val="00A06FE3"/>
    <w:rsid w:val="00A5469A"/>
    <w:rsid w:val="00A60C7C"/>
    <w:rsid w:val="00A832EF"/>
    <w:rsid w:val="00AC415C"/>
    <w:rsid w:val="00AE721D"/>
    <w:rsid w:val="00AF40FC"/>
    <w:rsid w:val="00AF7CF9"/>
    <w:rsid w:val="00B007B7"/>
    <w:rsid w:val="00B043F4"/>
    <w:rsid w:val="00B1386B"/>
    <w:rsid w:val="00B1531C"/>
    <w:rsid w:val="00B26DD6"/>
    <w:rsid w:val="00B34795"/>
    <w:rsid w:val="00B45AAD"/>
    <w:rsid w:val="00B47103"/>
    <w:rsid w:val="00B651EF"/>
    <w:rsid w:val="00B70E65"/>
    <w:rsid w:val="00B7632C"/>
    <w:rsid w:val="00BC25F6"/>
    <w:rsid w:val="00BC554A"/>
    <w:rsid w:val="00C144DF"/>
    <w:rsid w:val="00C15659"/>
    <w:rsid w:val="00C32FC8"/>
    <w:rsid w:val="00C4588E"/>
    <w:rsid w:val="00C70180"/>
    <w:rsid w:val="00C755F3"/>
    <w:rsid w:val="00C93598"/>
    <w:rsid w:val="00C94384"/>
    <w:rsid w:val="00C97640"/>
    <w:rsid w:val="00CA29A3"/>
    <w:rsid w:val="00CA75C3"/>
    <w:rsid w:val="00CB75F1"/>
    <w:rsid w:val="00CC3A61"/>
    <w:rsid w:val="00CD31BD"/>
    <w:rsid w:val="00CE2482"/>
    <w:rsid w:val="00CF226E"/>
    <w:rsid w:val="00D208F6"/>
    <w:rsid w:val="00D33839"/>
    <w:rsid w:val="00D40761"/>
    <w:rsid w:val="00D46536"/>
    <w:rsid w:val="00D5715C"/>
    <w:rsid w:val="00D64C89"/>
    <w:rsid w:val="00D73BB8"/>
    <w:rsid w:val="00D84F46"/>
    <w:rsid w:val="00DB44DD"/>
    <w:rsid w:val="00DB66E9"/>
    <w:rsid w:val="00DD3B00"/>
    <w:rsid w:val="00DE7CF8"/>
    <w:rsid w:val="00E109DA"/>
    <w:rsid w:val="00E30080"/>
    <w:rsid w:val="00E53562"/>
    <w:rsid w:val="00E666D2"/>
    <w:rsid w:val="00F47432"/>
    <w:rsid w:val="00F673E5"/>
    <w:rsid w:val="00FD3C5B"/>
    <w:rsid w:val="00FD77B5"/>
    <w:rsid w:val="0149271B"/>
    <w:rsid w:val="02710CE9"/>
    <w:rsid w:val="02F301A7"/>
    <w:rsid w:val="02FB0AA9"/>
    <w:rsid w:val="02FB1EF4"/>
    <w:rsid w:val="03F610DB"/>
    <w:rsid w:val="040265E4"/>
    <w:rsid w:val="044134E4"/>
    <w:rsid w:val="06082700"/>
    <w:rsid w:val="08452670"/>
    <w:rsid w:val="085B1D6F"/>
    <w:rsid w:val="09A27D61"/>
    <w:rsid w:val="0DC9693B"/>
    <w:rsid w:val="0E296F85"/>
    <w:rsid w:val="0E2D1637"/>
    <w:rsid w:val="0F9E5390"/>
    <w:rsid w:val="104145F9"/>
    <w:rsid w:val="10B64C1C"/>
    <w:rsid w:val="10BA6CED"/>
    <w:rsid w:val="113C27FB"/>
    <w:rsid w:val="11AF1066"/>
    <w:rsid w:val="11CF6577"/>
    <w:rsid w:val="129F37E3"/>
    <w:rsid w:val="12E30368"/>
    <w:rsid w:val="12FC45DD"/>
    <w:rsid w:val="13495BED"/>
    <w:rsid w:val="155D552F"/>
    <w:rsid w:val="15703332"/>
    <w:rsid w:val="157D7686"/>
    <w:rsid w:val="15830AE2"/>
    <w:rsid w:val="15A07E8D"/>
    <w:rsid w:val="15BC6282"/>
    <w:rsid w:val="15EF0C57"/>
    <w:rsid w:val="1648774C"/>
    <w:rsid w:val="16EB43B2"/>
    <w:rsid w:val="17F71908"/>
    <w:rsid w:val="19061AA7"/>
    <w:rsid w:val="1B155261"/>
    <w:rsid w:val="1B4A7538"/>
    <w:rsid w:val="1B5D3003"/>
    <w:rsid w:val="1BDB27A5"/>
    <w:rsid w:val="1C5B676F"/>
    <w:rsid w:val="1C627FB5"/>
    <w:rsid w:val="1CC874BD"/>
    <w:rsid w:val="1CFF0A9F"/>
    <w:rsid w:val="1DC74A1D"/>
    <w:rsid w:val="1E157011"/>
    <w:rsid w:val="1E8C459E"/>
    <w:rsid w:val="1E934307"/>
    <w:rsid w:val="1EDA1EFB"/>
    <w:rsid w:val="1F2B0346"/>
    <w:rsid w:val="1F431821"/>
    <w:rsid w:val="1F890C4B"/>
    <w:rsid w:val="1FDA3069"/>
    <w:rsid w:val="205B73C3"/>
    <w:rsid w:val="20D34487"/>
    <w:rsid w:val="20EB4820"/>
    <w:rsid w:val="215A3622"/>
    <w:rsid w:val="219416B8"/>
    <w:rsid w:val="21FF3D3B"/>
    <w:rsid w:val="2231339B"/>
    <w:rsid w:val="22514430"/>
    <w:rsid w:val="22C51EBD"/>
    <w:rsid w:val="22D7095E"/>
    <w:rsid w:val="234B0952"/>
    <w:rsid w:val="248E2E3A"/>
    <w:rsid w:val="25A05368"/>
    <w:rsid w:val="26451EEA"/>
    <w:rsid w:val="26704F2E"/>
    <w:rsid w:val="27DC3878"/>
    <w:rsid w:val="28C62F56"/>
    <w:rsid w:val="28DA203A"/>
    <w:rsid w:val="28F0407A"/>
    <w:rsid w:val="291A7D32"/>
    <w:rsid w:val="29655706"/>
    <w:rsid w:val="29837904"/>
    <w:rsid w:val="2BF7A349"/>
    <w:rsid w:val="2D346E5C"/>
    <w:rsid w:val="2D930D2B"/>
    <w:rsid w:val="2E664953"/>
    <w:rsid w:val="300F2614"/>
    <w:rsid w:val="30F22487"/>
    <w:rsid w:val="30FB7A19"/>
    <w:rsid w:val="310261A7"/>
    <w:rsid w:val="318D0B53"/>
    <w:rsid w:val="32A75185"/>
    <w:rsid w:val="33244988"/>
    <w:rsid w:val="33340B4D"/>
    <w:rsid w:val="335F41BA"/>
    <w:rsid w:val="33BA34B0"/>
    <w:rsid w:val="34367DA9"/>
    <w:rsid w:val="3477488D"/>
    <w:rsid w:val="349413EA"/>
    <w:rsid w:val="34C54BE3"/>
    <w:rsid w:val="367C4935"/>
    <w:rsid w:val="36CE34E8"/>
    <w:rsid w:val="37020770"/>
    <w:rsid w:val="37B838EA"/>
    <w:rsid w:val="3904514B"/>
    <w:rsid w:val="39FC282B"/>
    <w:rsid w:val="3A164E28"/>
    <w:rsid w:val="3B1064BD"/>
    <w:rsid w:val="3B2C33D8"/>
    <w:rsid w:val="3BE04637"/>
    <w:rsid w:val="3D284A5C"/>
    <w:rsid w:val="3D390470"/>
    <w:rsid w:val="3DCE50EF"/>
    <w:rsid w:val="3E1918E3"/>
    <w:rsid w:val="3E3759DF"/>
    <w:rsid w:val="3E98229E"/>
    <w:rsid w:val="3F894898"/>
    <w:rsid w:val="40032784"/>
    <w:rsid w:val="40E80A95"/>
    <w:rsid w:val="41131941"/>
    <w:rsid w:val="41C50CBF"/>
    <w:rsid w:val="42234900"/>
    <w:rsid w:val="42310D45"/>
    <w:rsid w:val="42914373"/>
    <w:rsid w:val="4297507F"/>
    <w:rsid w:val="42A44E8B"/>
    <w:rsid w:val="42A54131"/>
    <w:rsid w:val="43495ACF"/>
    <w:rsid w:val="436C497E"/>
    <w:rsid w:val="43F54CF5"/>
    <w:rsid w:val="448D6A38"/>
    <w:rsid w:val="46562959"/>
    <w:rsid w:val="467F690A"/>
    <w:rsid w:val="46B85F59"/>
    <w:rsid w:val="46C219F1"/>
    <w:rsid w:val="47EF50CB"/>
    <w:rsid w:val="48621071"/>
    <w:rsid w:val="488B41B0"/>
    <w:rsid w:val="48EE359B"/>
    <w:rsid w:val="492D7C31"/>
    <w:rsid w:val="498B48F2"/>
    <w:rsid w:val="499D0869"/>
    <w:rsid w:val="49A50688"/>
    <w:rsid w:val="49C134CC"/>
    <w:rsid w:val="4A396CAF"/>
    <w:rsid w:val="4AD245F0"/>
    <w:rsid w:val="4B5C045F"/>
    <w:rsid w:val="4BE44EED"/>
    <w:rsid w:val="4C347AA3"/>
    <w:rsid w:val="4D782815"/>
    <w:rsid w:val="4DBE4790"/>
    <w:rsid w:val="4EF549D4"/>
    <w:rsid w:val="4FFC17B4"/>
    <w:rsid w:val="503842CE"/>
    <w:rsid w:val="512F1497"/>
    <w:rsid w:val="53E87428"/>
    <w:rsid w:val="5447281C"/>
    <w:rsid w:val="54A90D98"/>
    <w:rsid w:val="54F65EBA"/>
    <w:rsid w:val="55D27624"/>
    <w:rsid w:val="567A6E51"/>
    <w:rsid w:val="56F203B4"/>
    <w:rsid w:val="57FC55AA"/>
    <w:rsid w:val="580928E7"/>
    <w:rsid w:val="58551F7D"/>
    <w:rsid w:val="588C28C0"/>
    <w:rsid w:val="592B3838"/>
    <w:rsid w:val="593D68F2"/>
    <w:rsid w:val="5AA412FE"/>
    <w:rsid w:val="5ABA7A19"/>
    <w:rsid w:val="5AC72F10"/>
    <w:rsid w:val="5B136F0D"/>
    <w:rsid w:val="5B56778E"/>
    <w:rsid w:val="5B840C5F"/>
    <w:rsid w:val="5BC44F00"/>
    <w:rsid w:val="5D217374"/>
    <w:rsid w:val="5DE81AA6"/>
    <w:rsid w:val="5DE943DE"/>
    <w:rsid w:val="5DE9446F"/>
    <w:rsid w:val="5E2B51A2"/>
    <w:rsid w:val="5EB62375"/>
    <w:rsid w:val="5EF724E5"/>
    <w:rsid w:val="5EFC580F"/>
    <w:rsid w:val="5F436DCC"/>
    <w:rsid w:val="5F5B667A"/>
    <w:rsid w:val="5F6067D6"/>
    <w:rsid w:val="5FD125EC"/>
    <w:rsid w:val="603D2D4A"/>
    <w:rsid w:val="60D51B08"/>
    <w:rsid w:val="610552EA"/>
    <w:rsid w:val="61162C50"/>
    <w:rsid w:val="617203D0"/>
    <w:rsid w:val="62F7205C"/>
    <w:rsid w:val="634B16C2"/>
    <w:rsid w:val="638717D9"/>
    <w:rsid w:val="64981C38"/>
    <w:rsid w:val="64A14715"/>
    <w:rsid w:val="64AE2EEE"/>
    <w:rsid w:val="64F70EA9"/>
    <w:rsid w:val="6559389C"/>
    <w:rsid w:val="666B40A1"/>
    <w:rsid w:val="671B6AB8"/>
    <w:rsid w:val="67996221"/>
    <w:rsid w:val="681E7F53"/>
    <w:rsid w:val="68A70589"/>
    <w:rsid w:val="68E2550F"/>
    <w:rsid w:val="69610B03"/>
    <w:rsid w:val="69A14E77"/>
    <w:rsid w:val="6B59453E"/>
    <w:rsid w:val="6BCB3EAD"/>
    <w:rsid w:val="6BE66EA4"/>
    <w:rsid w:val="6D88336F"/>
    <w:rsid w:val="6E627A21"/>
    <w:rsid w:val="6E957640"/>
    <w:rsid w:val="6EE33674"/>
    <w:rsid w:val="6EE442D1"/>
    <w:rsid w:val="6F616D40"/>
    <w:rsid w:val="6F962454"/>
    <w:rsid w:val="70BA3726"/>
    <w:rsid w:val="72EA0AEA"/>
    <w:rsid w:val="73767D80"/>
    <w:rsid w:val="73EB3D22"/>
    <w:rsid w:val="747948CE"/>
    <w:rsid w:val="75126D7A"/>
    <w:rsid w:val="75BA5477"/>
    <w:rsid w:val="76BFAF13"/>
    <w:rsid w:val="76F703E3"/>
    <w:rsid w:val="773E244E"/>
    <w:rsid w:val="77537603"/>
    <w:rsid w:val="78937CF7"/>
    <w:rsid w:val="78AF5A7A"/>
    <w:rsid w:val="78FBF684"/>
    <w:rsid w:val="79ED6971"/>
    <w:rsid w:val="79FE2D83"/>
    <w:rsid w:val="7A253920"/>
    <w:rsid w:val="7A263419"/>
    <w:rsid w:val="7AA33536"/>
    <w:rsid w:val="7AE8472F"/>
    <w:rsid w:val="7B7D91F1"/>
    <w:rsid w:val="7BB54296"/>
    <w:rsid w:val="7BED0CD8"/>
    <w:rsid w:val="7BF88BF8"/>
    <w:rsid w:val="7BFE1E83"/>
    <w:rsid w:val="7CB7F70C"/>
    <w:rsid w:val="7D673C72"/>
    <w:rsid w:val="7D6FFF83"/>
    <w:rsid w:val="7D71438E"/>
    <w:rsid w:val="7DBF21A5"/>
    <w:rsid w:val="7DE93C59"/>
    <w:rsid w:val="7DFBF8B8"/>
    <w:rsid w:val="7E72183B"/>
    <w:rsid w:val="7F3F6140"/>
    <w:rsid w:val="7F4F554F"/>
    <w:rsid w:val="7FCA0CF7"/>
    <w:rsid w:val="B69FF366"/>
    <w:rsid w:val="B7BE0BB5"/>
    <w:rsid w:val="D15D4F91"/>
    <w:rsid w:val="D1D7919C"/>
    <w:rsid w:val="DE7FF3CC"/>
    <w:rsid w:val="F3FBBAEA"/>
    <w:rsid w:val="FEF185FD"/>
    <w:rsid w:val="FF9FEFB3"/>
    <w:rsid w:val="FFAC0321"/>
    <w:rsid w:val="FFBD4E78"/>
    <w:rsid w:val="FFFF4AC0"/>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0" w:semiHidden="0" w:name="heading 4" w:locked="1"/>
    <w:lsdException w:qFormat="1" w:unhideWhenUsed="0" w:uiPriority="0" w:semiHidden="0" w:name="heading 5" w:locked="1"/>
    <w:lsdException w:qFormat="1" w:unhideWhenUsed="0" w:uiPriority="0" w:semiHidden="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name="toc 1"/>
    <w:lsdException w:qFormat="1" w:unhideWhenUsed="0" w:uiPriority="99" w:name="toc 2"/>
    <w:lsdException w:qFormat="1" w:unhideWhenUsed="0" w:uiPriority="99" w:name="toc 3"/>
    <w:lsdException w:uiPriority="39" w:name="toc 4"/>
    <w:lsdException w:uiPriority="39" w:name="toc 5"/>
    <w:lsdException w:qFormat="1" w:unhideWhenUsed="0" w:uiPriority="0" w:name="toc 6"/>
    <w:lsdException w:uiPriority="39" w:name="toc 7"/>
    <w:lsdException w:uiPriority="39" w:name="toc 8"/>
    <w:lsdException w:uiPriority="39" w:name="toc 9"/>
    <w:lsdException w:qFormat="1" w:unhideWhenUsed="0" w:uiPriority="99" w:semiHidden="0"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qFormat="1" w:unhideWhenUsed="0" w:uiPriority="0"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qFormat="1" w:unhideWhenUsed="0" w:uiPriority="99" w:semiHidden="0" w:name="Body Text First Indent"/>
    <w:lsdException w:qFormat="1" w:unhideWhenUsed="0" w:uiPriority="0" w:semiHidden="0" w:name="Body Text First Indent 2"/>
    <w:lsdException w:uiPriority="99" w:name="Note Heading"/>
    <w:lsdException w:uiPriority="99" w:name="Body Text 2"/>
    <w:lsdException w:qFormat="1" w:uiPriority="99" w:semiHidden="0" w:name="Body Text 3"/>
    <w:lsdException w:uiPriority="99" w:name="Body Text Indent 2"/>
    <w:lsdException w:uiPriority="99" w:name="Body Text Indent 3"/>
    <w:lsdException w:qFormat="1" w:unhideWhenUsed="0" w:uiPriority="0" w:semiHidden="0" w:name="Block Text"/>
    <w:lsdException w:qFormat="1" w:unhideWhenUsed="0" w:uiPriority="99" w:semiHidden="0"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link w:val="38"/>
    <w:qFormat/>
    <w:uiPriority w:val="99"/>
    <w:pPr>
      <w:keepNext/>
      <w:keepLines/>
      <w:spacing w:line="576" w:lineRule="auto"/>
      <w:outlineLvl w:val="0"/>
    </w:pPr>
    <w:rPr>
      <w:rFonts w:ascii="Calibri" w:hAnsi="Calibri" w:cs="Calibri"/>
      <w:b/>
      <w:bCs/>
      <w:kern w:val="44"/>
      <w:sz w:val="44"/>
      <w:szCs w:val="44"/>
    </w:rPr>
  </w:style>
  <w:style w:type="paragraph" w:styleId="3">
    <w:name w:val="heading 2"/>
    <w:basedOn w:val="1"/>
    <w:next w:val="4"/>
    <w:link w:val="39"/>
    <w:qFormat/>
    <w:uiPriority w:val="99"/>
    <w:pPr>
      <w:keepNext/>
      <w:spacing w:line="216" w:lineRule="auto"/>
      <w:outlineLvl w:val="1"/>
    </w:pPr>
    <w:rPr>
      <w:rFonts w:ascii="宋体" w:hAnsi="Calibri" w:cs="宋体"/>
      <w:b/>
      <w:bCs/>
      <w:sz w:val="28"/>
      <w:szCs w:val="28"/>
    </w:rPr>
  </w:style>
  <w:style w:type="paragraph" w:styleId="5">
    <w:name w:val="heading 3"/>
    <w:basedOn w:val="1"/>
    <w:next w:val="1"/>
    <w:link w:val="40"/>
    <w:qFormat/>
    <w:uiPriority w:val="99"/>
    <w:pPr>
      <w:keepNext/>
      <w:numPr>
        <w:ilvl w:val="0"/>
        <w:numId w:val="1"/>
      </w:numPr>
      <w:spacing w:line="216" w:lineRule="auto"/>
      <w:outlineLvl w:val="2"/>
    </w:pPr>
    <w:rPr>
      <w:rFonts w:ascii="宋体" w:hAnsi="Calibri" w:cs="宋体"/>
      <w:b/>
      <w:bCs/>
      <w:sz w:val="28"/>
      <w:szCs w:val="28"/>
    </w:rPr>
  </w:style>
  <w:style w:type="paragraph" w:styleId="6">
    <w:name w:val="heading 4"/>
    <w:basedOn w:val="1"/>
    <w:next w:val="1"/>
    <w:qFormat/>
    <w:locked/>
    <w:uiPriority w:val="0"/>
    <w:pPr>
      <w:keepLines/>
      <w:widowControl/>
      <w:autoSpaceDE w:val="0"/>
      <w:autoSpaceDN w:val="0"/>
      <w:adjustRightInd w:val="0"/>
      <w:jc w:val="left"/>
      <w:textAlignment w:val="baseline"/>
      <w:outlineLvl w:val="3"/>
    </w:pPr>
    <w:rPr>
      <w:rFonts w:eastAsia="楷体_GB2312"/>
      <w:b/>
      <w:snapToGrid w:val="0"/>
      <w:kern w:val="0"/>
      <w:sz w:val="24"/>
      <w:szCs w:val="20"/>
    </w:rPr>
  </w:style>
  <w:style w:type="paragraph" w:styleId="7">
    <w:name w:val="heading 5"/>
    <w:basedOn w:val="1"/>
    <w:next w:val="1"/>
    <w:qFormat/>
    <w:locked/>
    <w:uiPriority w:val="0"/>
    <w:pPr>
      <w:keepNext/>
      <w:keepLines/>
      <w:numPr>
        <w:ilvl w:val="4"/>
        <w:numId w:val="2"/>
      </w:numPr>
      <w:spacing w:before="280" w:beforeLines="0" w:after="290" w:afterLines="0" w:line="376" w:lineRule="auto"/>
      <w:outlineLvl w:val="4"/>
    </w:pPr>
    <w:rPr>
      <w:b/>
      <w:sz w:val="28"/>
      <w:szCs w:val="20"/>
    </w:rPr>
  </w:style>
  <w:style w:type="paragraph" w:styleId="8">
    <w:name w:val="heading 6"/>
    <w:basedOn w:val="1"/>
    <w:next w:val="1"/>
    <w:qFormat/>
    <w:locked/>
    <w:uiPriority w:val="0"/>
    <w:pPr>
      <w:keepNext/>
      <w:keepLines/>
      <w:numPr>
        <w:ilvl w:val="5"/>
        <w:numId w:val="2"/>
      </w:numPr>
      <w:spacing w:before="240" w:beforeLines="0" w:after="64" w:afterLines="0" w:line="320" w:lineRule="auto"/>
      <w:outlineLvl w:val="5"/>
    </w:pPr>
    <w:rPr>
      <w:rFonts w:ascii="Arial" w:hAnsi="Arial" w:eastAsia="黑体"/>
      <w:b/>
      <w:sz w:val="24"/>
      <w:szCs w:val="20"/>
    </w:rPr>
  </w:style>
  <w:style w:type="character" w:default="1" w:styleId="29">
    <w:name w:val="Default Paragraph Font"/>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4">
    <w:name w:val="Normal Indent"/>
    <w:basedOn w:val="1"/>
    <w:qFormat/>
    <w:uiPriority w:val="99"/>
    <w:pPr>
      <w:ind w:firstLine="420"/>
    </w:pPr>
  </w:style>
  <w:style w:type="paragraph" w:styleId="9">
    <w:name w:val="table of authorities"/>
    <w:basedOn w:val="1"/>
    <w:next w:val="1"/>
    <w:qFormat/>
    <w:uiPriority w:val="0"/>
    <w:pPr>
      <w:ind w:left="420" w:leftChars="200"/>
    </w:pPr>
  </w:style>
  <w:style w:type="paragraph" w:styleId="10">
    <w:name w:val="Body Text 3"/>
    <w:basedOn w:val="1"/>
    <w:unhideWhenUsed/>
    <w:qFormat/>
    <w:uiPriority w:val="99"/>
    <w:pPr>
      <w:spacing w:after="120"/>
    </w:pPr>
    <w:rPr>
      <w:sz w:val="16"/>
      <w:szCs w:val="16"/>
    </w:rPr>
  </w:style>
  <w:style w:type="paragraph" w:styleId="11">
    <w:name w:val="Body Text"/>
    <w:basedOn w:val="1"/>
    <w:next w:val="6"/>
    <w:link w:val="41"/>
    <w:qFormat/>
    <w:uiPriority w:val="99"/>
  </w:style>
  <w:style w:type="paragraph" w:styleId="12">
    <w:name w:val="Body Text Indent"/>
    <w:basedOn w:val="1"/>
    <w:next w:val="1"/>
    <w:link w:val="47"/>
    <w:qFormat/>
    <w:uiPriority w:val="99"/>
    <w:pPr>
      <w:adjustRightInd w:val="0"/>
      <w:spacing w:line="360" w:lineRule="auto"/>
      <w:ind w:firstLine="490"/>
      <w:jc w:val="left"/>
    </w:pPr>
    <w:rPr>
      <w:rFonts w:ascii="宋体" w:hAnsi="宋体" w:cs="宋体"/>
      <w:sz w:val="24"/>
      <w:szCs w:val="24"/>
    </w:rPr>
  </w:style>
  <w:style w:type="paragraph" w:styleId="13">
    <w:name w:val="Block Text"/>
    <w:basedOn w:val="1"/>
    <w:qFormat/>
    <w:uiPriority w:val="0"/>
    <w:pPr>
      <w:spacing w:before="120" w:line="360" w:lineRule="auto"/>
      <w:ind w:left="824" w:right="202"/>
    </w:pPr>
    <w:rPr>
      <w:rFonts w:ascii="宋体" w:hAnsi="宋体"/>
      <w:sz w:val="24"/>
      <w:szCs w:val="21"/>
    </w:rPr>
  </w:style>
  <w:style w:type="paragraph" w:styleId="14">
    <w:name w:val="toc 3"/>
    <w:basedOn w:val="1"/>
    <w:next w:val="1"/>
    <w:semiHidden/>
    <w:qFormat/>
    <w:uiPriority w:val="99"/>
    <w:pPr>
      <w:ind w:left="840" w:leftChars="400"/>
    </w:pPr>
  </w:style>
  <w:style w:type="paragraph" w:styleId="15">
    <w:name w:val="Plain Text"/>
    <w:basedOn w:val="1"/>
    <w:next w:val="1"/>
    <w:link w:val="48"/>
    <w:qFormat/>
    <w:uiPriority w:val="99"/>
    <w:rPr>
      <w:rFonts w:ascii="宋体" w:hAnsi="Courier New" w:cs="宋体"/>
    </w:rPr>
  </w:style>
  <w:style w:type="paragraph" w:styleId="16">
    <w:name w:val="Date"/>
    <w:basedOn w:val="1"/>
    <w:next w:val="1"/>
    <w:link w:val="49"/>
    <w:qFormat/>
    <w:uiPriority w:val="99"/>
    <w:pPr>
      <w:ind w:left="100" w:leftChars="2500"/>
    </w:pPr>
    <w:rPr>
      <w:rFonts w:ascii="宋体" w:hAnsi="宋体" w:cs="宋体"/>
      <w:color w:val="000000"/>
      <w:sz w:val="24"/>
      <w:szCs w:val="24"/>
    </w:rPr>
  </w:style>
  <w:style w:type="paragraph" w:styleId="17">
    <w:name w:val="Balloon Text"/>
    <w:basedOn w:val="1"/>
    <w:link w:val="50"/>
    <w:semiHidden/>
    <w:qFormat/>
    <w:uiPriority w:val="99"/>
    <w:rPr>
      <w:sz w:val="18"/>
      <w:szCs w:val="18"/>
    </w:rPr>
  </w:style>
  <w:style w:type="paragraph" w:styleId="18">
    <w:name w:val="footer"/>
    <w:basedOn w:val="1"/>
    <w:link w:val="51"/>
    <w:qFormat/>
    <w:uiPriority w:val="99"/>
    <w:pPr>
      <w:tabs>
        <w:tab w:val="center" w:pos="4153"/>
        <w:tab w:val="right" w:pos="8306"/>
      </w:tabs>
      <w:snapToGrid w:val="0"/>
      <w:jc w:val="left"/>
    </w:pPr>
    <w:rPr>
      <w:sz w:val="18"/>
      <w:szCs w:val="18"/>
    </w:rPr>
  </w:style>
  <w:style w:type="paragraph" w:styleId="19">
    <w:name w:val="header"/>
    <w:basedOn w:val="1"/>
    <w:link w:val="52"/>
    <w:qFormat/>
    <w:uiPriority w:val="99"/>
    <w:pPr>
      <w:pBdr>
        <w:bottom w:val="single" w:color="auto" w:sz="6" w:space="1"/>
      </w:pBdr>
      <w:tabs>
        <w:tab w:val="center" w:pos="4153"/>
        <w:tab w:val="right" w:pos="8306"/>
      </w:tabs>
      <w:adjustRightInd w:val="0"/>
      <w:snapToGrid w:val="0"/>
      <w:spacing w:line="240" w:lineRule="atLeast"/>
      <w:jc w:val="center"/>
      <w:textAlignment w:val="baseline"/>
    </w:pPr>
    <w:rPr>
      <w:rFonts w:ascii="宋体" w:cs="宋体"/>
      <w:kern w:val="0"/>
      <w:sz w:val="18"/>
      <w:szCs w:val="18"/>
    </w:rPr>
  </w:style>
  <w:style w:type="paragraph" w:styleId="20">
    <w:name w:val="toc 1"/>
    <w:basedOn w:val="1"/>
    <w:next w:val="1"/>
    <w:semiHidden/>
    <w:qFormat/>
    <w:uiPriority w:val="99"/>
  </w:style>
  <w:style w:type="paragraph" w:styleId="21">
    <w:name w:val="toc 6"/>
    <w:basedOn w:val="1"/>
    <w:next w:val="1"/>
    <w:semiHidden/>
    <w:qFormat/>
    <w:uiPriority w:val="0"/>
    <w:pPr>
      <w:ind w:left="2100" w:leftChars="1000"/>
    </w:pPr>
  </w:style>
  <w:style w:type="paragraph" w:styleId="22">
    <w:name w:val="toc 2"/>
    <w:basedOn w:val="1"/>
    <w:next w:val="1"/>
    <w:semiHidden/>
    <w:qFormat/>
    <w:uiPriority w:val="99"/>
    <w:pPr>
      <w:ind w:left="420" w:leftChars="200"/>
    </w:pPr>
  </w:style>
  <w:style w:type="paragraph" w:styleId="23">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24">
    <w:name w:val="Normal (Web)"/>
    <w:basedOn w:val="1"/>
    <w:qFormat/>
    <w:uiPriority w:val="99"/>
    <w:pPr>
      <w:widowControl/>
      <w:spacing w:before="100" w:beforeAutospacing="1" w:after="100" w:afterAutospacing="1"/>
      <w:jc w:val="left"/>
    </w:pPr>
    <w:rPr>
      <w:rFonts w:ascii="宋体" w:hAnsi="宋体" w:cs="宋体"/>
      <w:sz w:val="24"/>
      <w:szCs w:val="24"/>
    </w:rPr>
  </w:style>
  <w:style w:type="paragraph" w:styleId="25">
    <w:name w:val="Body Text First Indent"/>
    <w:basedOn w:val="11"/>
    <w:next w:val="21"/>
    <w:link w:val="53"/>
    <w:qFormat/>
    <w:uiPriority w:val="99"/>
    <w:pPr>
      <w:ind w:firstLine="420" w:firstLineChars="100"/>
    </w:pPr>
  </w:style>
  <w:style w:type="paragraph" w:styleId="26">
    <w:name w:val="Body Text First Indent 2"/>
    <w:basedOn w:val="12"/>
    <w:next w:val="25"/>
    <w:qFormat/>
    <w:uiPriority w:val="0"/>
    <w:pPr>
      <w:ind w:firstLine="420"/>
    </w:pPr>
  </w:style>
  <w:style w:type="table" w:styleId="28">
    <w:name w:val="Table Grid"/>
    <w:basedOn w:val="27"/>
    <w:qFormat/>
    <w:uiPriority w:val="59"/>
    <w:pPr>
      <w:widowControl w:val="0"/>
      <w:autoSpaceDE w:val="0"/>
      <w:autoSpaceDN w:val="0"/>
      <w:adjustRightInd w:val="0"/>
      <w:spacing w:line="36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0">
    <w:name w:val="Strong"/>
    <w:basedOn w:val="29"/>
    <w:qFormat/>
    <w:uiPriority w:val="99"/>
    <w:rPr>
      <w:b/>
      <w:bCs/>
    </w:rPr>
  </w:style>
  <w:style w:type="character" w:styleId="31">
    <w:name w:val="page number"/>
    <w:basedOn w:val="29"/>
    <w:qFormat/>
    <w:uiPriority w:val="99"/>
  </w:style>
  <w:style w:type="character" w:styleId="32">
    <w:name w:val="Hyperlink"/>
    <w:basedOn w:val="29"/>
    <w:qFormat/>
    <w:uiPriority w:val="99"/>
    <w:rPr>
      <w:color w:val="0000FF"/>
      <w:u w:val="single"/>
    </w:rPr>
  </w:style>
  <w:style w:type="paragraph" w:customStyle="1" w:styleId="33">
    <w:name w:val="章正文"/>
    <w:basedOn w:val="1"/>
    <w:qFormat/>
    <w:uiPriority w:val="0"/>
    <w:pPr>
      <w:spacing w:before="156" w:beforeLines="50" w:after="120" w:line="300" w:lineRule="auto"/>
      <w:ind w:firstLine="480"/>
    </w:pPr>
    <w:rPr>
      <w:rFonts w:ascii="Helvetica" w:hAnsi="Helvetica"/>
      <w:kern w:val="0"/>
      <w:sz w:val="24"/>
      <w:szCs w:val="24"/>
    </w:rPr>
  </w:style>
  <w:style w:type="paragraph" w:customStyle="1" w:styleId="34">
    <w:name w:val="Body Text First Indent1"/>
    <w:basedOn w:val="11"/>
    <w:qFormat/>
    <w:uiPriority w:val="0"/>
    <w:pPr>
      <w:tabs>
        <w:tab w:val="left" w:pos="1275"/>
      </w:tabs>
      <w:ind w:firstLine="420" w:firstLineChars="100"/>
    </w:pPr>
  </w:style>
  <w:style w:type="paragraph" w:customStyle="1" w:styleId="35">
    <w:name w:val="表格文字"/>
    <w:basedOn w:val="1"/>
    <w:next w:val="11"/>
    <w:qFormat/>
    <w:uiPriority w:val="0"/>
    <w:pPr>
      <w:adjustRightInd w:val="0"/>
      <w:spacing w:line="420" w:lineRule="atLeast"/>
      <w:textAlignment w:val="baseline"/>
    </w:pPr>
  </w:style>
  <w:style w:type="paragraph" w:customStyle="1" w:styleId="36">
    <w:name w:val="正文缩进1"/>
    <w:basedOn w:val="1"/>
    <w:qFormat/>
    <w:uiPriority w:val="0"/>
    <w:pPr>
      <w:ind w:firstLine="420" w:firstLineChars="200"/>
    </w:pPr>
  </w:style>
  <w:style w:type="paragraph" w:customStyle="1" w:styleId="37">
    <w:name w:val="正文（首行缩进2字符）"/>
    <w:basedOn w:val="1"/>
    <w:qFormat/>
    <w:uiPriority w:val="0"/>
    <w:pPr>
      <w:spacing w:line="360" w:lineRule="auto"/>
      <w:ind w:firstLine="480" w:firstLineChars="200"/>
    </w:pPr>
    <w:rPr>
      <w:sz w:val="24"/>
      <w:szCs w:val="20"/>
    </w:rPr>
  </w:style>
  <w:style w:type="character" w:customStyle="1" w:styleId="38">
    <w:name w:val="标题 1 Char"/>
    <w:basedOn w:val="29"/>
    <w:link w:val="2"/>
    <w:qFormat/>
    <w:locked/>
    <w:uiPriority w:val="99"/>
    <w:rPr>
      <w:b/>
      <w:bCs/>
      <w:kern w:val="44"/>
      <w:sz w:val="44"/>
      <w:szCs w:val="44"/>
    </w:rPr>
  </w:style>
  <w:style w:type="character" w:customStyle="1" w:styleId="39">
    <w:name w:val="标题 2 Char"/>
    <w:basedOn w:val="29"/>
    <w:link w:val="3"/>
    <w:qFormat/>
    <w:locked/>
    <w:uiPriority w:val="99"/>
    <w:rPr>
      <w:rFonts w:ascii="宋体" w:cs="宋体"/>
      <w:b/>
      <w:bCs/>
      <w:kern w:val="2"/>
      <w:sz w:val="28"/>
      <w:szCs w:val="28"/>
    </w:rPr>
  </w:style>
  <w:style w:type="character" w:customStyle="1" w:styleId="40">
    <w:name w:val="标题 3 Char"/>
    <w:basedOn w:val="29"/>
    <w:link w:val="5"/>
    <w:qFormat/>
    <w:locked/>
    <w:uiPriority w:val="99"/>
    <w:rPr>
      <w:rFonts w:ascii="宋体" w:cs="宋体"/>
      <w:b/>
      <w:bCs/>
      <w:kern w:val="2"/>
      <w:sz w:val="28"/>
      <w:szCs w:val="28"/>
    </w:rPr>
  </w:style>
  <w:style w:type="character" w:customStyle="1" w:styleId="41">
    <w:name w:val="正文文本 Char"/>
    <w:basedOn w:val="29"/>
    <w:link w:val="11"/>
    <w:semiHidden/>
    <w:qFormat/>
    <w:uiPriority w:val="99"/>
    <w:rPr>
      <w:rFonts w:ascii="Times New Roman" w:hAnsi="Times New Roman"/>
      <w:szCs w:val="21"/>
    </w:rPr>
  </w:style>
  <w:style w:type="paragraph" w:customStyle="1" w:styleId="42">
    <w:name w:val="样式 表格正文 + 两端对齐"/>
    <w:basedOn w:val="1"/>
    <w:next w:val="43"/>
    <w:qFormat/>
    <w:uiPriority w:val="99"/>
    <w:pPr>
      <w:spacing w:line="300" w:lineRule="auto"/>
    </w:pPr>
    <w:rPr>
      <w:sz w:val="24"/>
      <w:szCs w:val="24"/>
    </w:rPr>
  </w:style>
  <w:style w:type="paragraph" w:customStyle="1" w:styleId="43">
    <w:name w:val="正文1"/>
    <w:basedOn w:val="1"/>
    <w:next w:val="44"/>
    <w:qFormat/>
    <w:uiPriority w:val="99"/>
    <w:pPr>
      <w:widowControl/>
      <w:snapToGrid w:val="0"/>
      <w:spacing w:line="500" w:lineRule="exact"/>
      <w:ind w:firstLine="567"/>
    </w:pPr>
    <w:rPr>
      <w:rFonts w:ascii="楷体_GB2312" w:eastAsia="楷体_GB2312" w:cs="楷体_GB2312"/>
      <w:kern w:val="0"/>
      <w:sz w:val="28"/>
      <w:szCs w:val="28"/>
    </w:rPr>
  </w:style>
  <w:style w:type="paragraph" w:customStyle="1" w:styleId="44">
    <w:name w:val="自动更正"/>
    <w:next w:val="45"/>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45">
    <w:name w:val="xl39"/>
    <w:basedOn w:val="1"/>
    <w:next w:val="46"/>
    <w:qFormat/>
    <w:uiPriority w:val="99"/>
    <w:pPr>
      <w:widowControl/>
      <w:pBdr>
        <w:top w:val="single" w:color="auto" w:sz="4" w:space="0"/>
        <w:bottom w:val="single" w:color="auto" w:sz="4" w:space="0"/>
        <w:right w:val="single" w:color="auto" w:sz="4" w:space="0"/>
      </w:pBdr>
      <w:spacing w:before="100" w:after="100"/>
      <w:jc w:val="left"/>
      <w:textAlignment w:val="center"/>
    </w:pPr>
    <w:rPr>
      <w:kern w:val="0"/>
    </w:rPr>
  </w:style>
  <w:style w:type="paragraph" w:customStyle="1" w:styleId="46">
    <w:name w:val="分手多日，近况如何？"/>
    <w:next w:val="1"/>
    <w:qFormat/>
    <w:uiPriority w:val="99"/>
    <w:pPr>
      <w:widowControl w:val="0"/>
      <w:jc w:val="both"/>
    </w:pPr>
    <w:rPr>
      <w:rFonts w:ascii="Times New Roman" w:hAnsi="Times New Roman" w:eastAsia="宋体" w:cs="Times New Roman"/>
      <w:sz w:val="21"/>
      <w:szCs w:val="21"/>
      <w:lang w:val="en-US" w:eastAsia="zh-CN" w:bidi="ar-SA"/>
    </w:rPr>
  </w:style>
  <w:style w:type="character" w:customStyle="1" w:styleId="47">
    <w:name w:val="正文文本缩进 Char"/>
    <w:basedOn w:val="29"/>
    <w:link w:val="12"/>
    <w:semiHidden/>
    <w:qFormat/>
    <w:uiPriority w:val="99"/>
    <w:rPr>
      <w:rFonts w:ascii="Times New Roman" w:hAnsi="Times New Roman"/>
      <w:szCs w:val="21"/>
    </w:rPr>
  </w:style>
  <w:style w:type="character" w:customStyle="1" w:styleId="48">
    <w:name w:val="纯文本 Char"/>
    <w:basedOn w:val="29"/>
    <w:link w:val="15"/>
    <w:semiHidden/>
    <w:qFormat/>
    <w:uiPriority w:val="99"/>
    <w:rPr>
      <w:rFonts w:ascii="宋体" w:hAnsi="Courier New" w:cs="Courier New"/>
      <w:szCs w:val="21"/>
    </w:rPr>
  </w:style>
  <w:style w:type="character" w:customStyle="1" w:styleId="49">
    <w:name w:val="日期 Char"/>
    <w:basedOn w:val="29"/>
    <w:link w:val="16"/>
    <w:semiHidden/>
    <w:qFormat/>
    <w:uiPriority w:val="99"/>
    <w:rPr>
      <w:rFonts w:ascii="Times New Roman" w:hAnsi="Times New Roman"/>
      <w:szCs w:val="21"/>
    </w:rPr>
  </w:style>
  <w:style w:type="character" w:customStyle="1" w:styleId="50">
    <w:name w:val="批注框文本 Char"/>
    <w:basedOn w:val="29"/>
    <w:link w:val="17"/>
    <w:qFormat/>
    <w:locked/>
    <w:uiPriority w:val="99"/>
    <w:rPr>
      <w:kern w:val="2"/>
      <w:sz w:val="18"/>
      <w:szCs w:val="18"/>
    </w:rPr>
  </w:style>
  <w:style w:type="character" w:customStyle="1" w:styleId="51">
    <w:name w:val="页脚 Char"/>
    <w:basedOn w:val="29"/>
    <w:link w:val="18"/>
    <w:semiHidden/>
    <w:qFormat/>
    <w:uiPriority w:val="99"/>
    <w:rPr>
      <w:rFonts w:ascii="Times New Roman" w:hAnsi="Times New Roman"/>
      <w:sz w:val="18"/>
      <w:szCs w:val="18"/>
    </w:rPr>
  </w:style>
  <w:style w:type="character" w:customStyle="1" w:styleId="52">
    <w:name w:val="页眉 Char"/>
    <w:basedOn w:val="29"/>
    <w:link w:val="19"/>
    <w:semiHidden/>
    <w:qFormat/>
    <w:uiPriority w:val="99"/>
    <w:rPr>
      <w:rFonts w:ascii="Times New Roman" w:hAnsi="Times New Roman"/>
      <w:sz w:val="18"/>
      <w:szCs w:val="18"/>
    </w:rPr>
  </w:style>
  <w:style w:type="character" w:customStyle="1" w:styleId="53">
    <w:name w:val="正文首行缩进 Char"/>
    <w:basedOn w:val="41"/>
    <w:link w:val="25"/>
    <w:semiHidden/>
    <w:qFormat/>
    <w:uiPriority w:val="99"/>
    <w:rPr>
      <w:rFonts w:ascii="Times New Roman" w:hAnsi="Times New Roman"/>
      <w:szCs w:val="21"/>
    </w:rPr>
  </w:style>
  <w:style w:type="paragraph" w:customStyle="1" w:styleId="54">
    <w:name w:val="正文2"/>
    <w:basedOn w:val="1"/>
    <w:qFormat/>
    <w:uiPriority w:val="99"/>
    <w:pPr>
      <w:adjustRightInd w:val="0"/>
      <w:spacing w:before="156" w:line="360" w:lineRule="auto"/>
      <w:ind w:firstLine="510" w:firstLineChars="200"/>
    </w:pPr>
    <w:rPr>
      <w:sz w:val="24"/>
      <w:szCs w:val="24"/>
    </w:rPr>
  </w:style>
  <w:style w:type="paragraph" w:customStyle="1" w:styleId="55">
    <w:name w:val="List Paragraph1"/>
    <w:basedOn w:val="1"/>
    <w:qFormat/>
    <w:uiPriority w:val="99"/>
    <w:pPr>
      <w:widowControl/>
      <w:ind w:firstLine="420" w:firstLineChars="200"/>
      <w:jc w:val="left"/>
    </w:pPr>
    <w:rPr>
      <w:rFonts w:ascii="Calibri" w:hAnsi="Calibri" w:cs="Calibri"/>
    </w:rPr>
  </w:style>
  <w:style w:type="character" w:customStyle="1" w:styleId="56">
    <w:name w:val="style81"/>
    <w:qFormat/>
    <w:uiPriority w:val="99"/>
    <w:rPr>
      <w:sz w:val="20"/>
      <w:szCs w:val="20"/>
    </w:rPr>
  </w:style>
  <w:style w:type="paragraph" w:customStyle="1" w:styleId="57">
    <w:name w:val="列出段落1"/>
    <w:basedOn w:val="1"/>
    <w:qFormat/>
    <w:uiPriority w:val="99"/>
    <w:pPr>
      <w:ind w:firstLine="420"/>
      <w:jc w:val="left"/>
    </w:pPr>
  </w:style>
  <w:style w:type="paragraph" w:customStyle="1" w:styleId="58">
    <w:name w:val="表格"/>
    <w:basedOn w:val="1"/>
    <w:qFormat/>
    <w:uiPriority w:val="99"/>
    <w:pPr>
      <w:autoSpaceDE w:val="0"/>
      <w:autoSpaceDN w:val="0"/>
      <w:jc w:val="center"/>
      <w:textAlignment w:val="baseline"/>
    </w:pPr>
    <w:rPr>
      <w:color w:val="000000"/>
      <w:kern w:val="0"/>
    </w:rPr>
  </w:style>
  <w:style w:type="character" w:customStyle="1" w:styleId="59">
    <w:name w:val="02 Char"/>
    <w:link w:val="60"/>
    <w:qFormat/>
    <w:locked/>
    <w:uiPriority w:val="99"/>
    <w:rPr>
      <w:rFonts w:ascii="宋体" w:cs="宋体"/>
      <w:b/>
      <w:bCs/>
      <w:color w:val="FF0000"/>
      <w:kern w:val="2"/>
      <w:sz w:val="28"/>
      <w:szCs w:val="28"/>
    </w:rPr>
  </w:style>
  <w:style w:type="paragraph" w:customStyle="1" w:styleId="60">
    <w:name w:val="02"/>
    <w:basedOn w:val="3"/>
    <w:link w:val="59"/>
    <w:qFormat/>
    <w:uiPriority w:val="99"/>
    <w:pPr>
      <w:jc w:val="center"/>
    </w:pPr>
    <w:rPr>
      <w:color w:val="FF0000"/>
    </w:rPr>
  </w:style>
  <w:style w:type="character" w:customStyle="1" w:styleId="61">
    <w:name w:val="03 Char"/>
    <w:link w:val="62"/>
    <w:qFormat/>
    <w:locked/>
    <w:uiPriority w:val="99"/>
    <w:rPr>
      <w:rFonts w:ascii="宋体" w:cs="宋体"/>
      <w:b/>
      <w:bCs/>
      <w:kern w:val="2"/>
      <w:sz w:val="28"/>
      <w:szCs w:val="28"/>
    </w:rPr>
  </w:style>
  <w:style w:type="paragraph" w:customStyle="1" w:styleId="62">
    <w:name w:val="03"/>
    <w:basedOn w:val="5"/>
    <w:link w:val="61"/>
    <w:qFormat/>
    <w:uiPriority w:val="99"/>
    <w:pPr>
      <w:numPr>
        <w:ilvl w:val="0"/>
        <w:numId w:val="0"/>
      </w:numPr>
    </w:pPr>
  </w:style>
  <w:style w:type="character" w:customStyle="1" w:styleId="63">
    <w:name w:val="宋体小四 Char"/>
    <w:link w:val="64"/>
    <w:qFormat/>
    <w:locked/>
    <w:uiPriority w:val="99"/>
    <w:rPr>
      <w:rFonts w:ascii="宋体" w:eastAsia="宋体" w:cs="宋体"/>
      <w:kern w:val="2"/>
      <w:sz w:val="24"/>
      <w:szCs w:val="24"/>
    </w:rPr>
  </w:style>
  <w:style w:type="paragraph" w:customStyle="1" w:styleId="64">
    <w:name w:val="宋体小四"/>
    <w:basedOn w:val="1"/>
    <w:link w:val="63"/>
    <w:qFormat/>
    <w:uiPriority w:val="99"/>
    <w:pPr>
      <w:spacing w:line="360" w:lineRule="auto"/>
      <w:ind w:firstLine="480" w:firstLineChars="200"/>
    </w:pPr>
    <w:rPr>
      <w:rFonts w:ascii="宋体" w:hAnsi="宋体" w:cs="宋体"/>
      <w:sz w:val="24"/>
      <w:szCs w:val="24"/>
    </w:rPr>
  </w:style>
  <w:style w:type="character" w:customStyle="1" w:styleId="65">
    <w:name w:val="fontstyle01"/>
    <w:basedOn w:val="29"/>
    <w:qFormat/>
    <w:uiPriority w:val="99"/>
    <w:rPr>
      <w:rFonts w:ascii="宋体" w:eastAsia="宋体" w:cs="宋体"/>
      <w:color w:val="000000"/>
      <w:sz w:val="22"/>
      <w:szCs w:val="22"/>
    </w:rPr>
  </w:style>
  <w:style w:type="paragraph" w:customStyle="1" w:styleId="66">
    <w:name w:val="正文首行缩进2字符"/>
    <w:basedOn w:val="1"/>
    <w:qFormat/>
    <w:uiPriority w:val="99"/>
    <w:pPr>
      <w:spacing w:line="360" w:lineRule="auto"/>
      <w:ind w:firstLine="200" w:firstLineChars="200"/>
    </w:pPr>
  </w:style>
  <w:style w:type="paragraph" w:customStyle="1" w:styleId="67">
    <w:name w:val="居中表格内容标题"/>
    <w:basedOn w:val="68"/>
    <w:qFormat/>
    <w:uiPriority w:val="0"/>
    <w:pPr>
      <w:jc w:val="center"/>
    </w:pPr>
    <w:rPr>
      <w:b/>
    </w:rPr>
  </w:style>
  <w:style w:type="paragraph" w:customStyle="1" w:styleId="68">
    <w:name w:val="居中表格内容"/>
    <w:basedOn w:val="1"/>
    <w:next w:val="1"/>
    <w:qFormat/>
    <w:uiPriority w:val="0"/>
    <w:pPr>
      <w:jc w:val="left"/>
    </w:pPr>
    <w:rPr>
      <w:szCs w:val="28"/>
    </w:rPr>
  </w:style>
  <w:style w:type="paragraph" w:customStyle="1" w:styleId="69">
    <w:name w:val="Body text|1"/>
    <w:basedOn w:val="1"/>
    <w:qFormat/>
    <w:uiPriority w:val="0"/>
    <w:pPr>
      <w:spacing w:line="374" w:lineRule="auto"/>
      <w:ind w:firstLine="400"/>
    </w:pPr>
    <w:rPr>
      <w:rFonts w:ascii="宋体" w:hAnsi="宋体" w:cs="宋体"/>
      <w:sz w:val="30"/>
      <w:szCs w:val="30"/>
      <w:lang w:val="zh-TW" w:eastAsia="zh-TW" w:bidi="zh-TW"/>
    </w:rPr>
  </w:style>
  <w:style w:type="paragraph" w:customStyle="1" w:styleId="70">
    <w:name w:val="Body text|2"/>
    <w:basedOn w:val="1"/>
    <w:qFormat/>
    <w:uiPriority w:val="0"/>
    <w:pPr>
      <w:spacing w:line="360" w:lineRule="auto"/>
      <w:ind w:firstLine="660"/>
    </w:pPr>
    <w:rPr>
      <w:sz w:val="32"/>
      <w:szCs w:val="32"/>
      <w:lang w:val="zh-TW" w:eastAsia="zh-TW" w:bidi="zh-TW"/>
    </w:rPr>
  </w:style>
  <w:style w:type="character" w:customStyle="1" w:styleId="71">
    <w:name w:val="NormalCharacter"/>
    <w:semiHidden/>
    <w:qFormat/>
    <w:uiPriority w:val="0"/>
  </w:style>
  <w:style w:type="paragraph" w:customStyle="1" w:styleId="72">
    <w:name w:val="CM26"/>
    <w:basedOn w:val="1"/>
    <w:next w:val="1"/>
    <w:qFormat/>
    <w:uiPriority w:val="0"/>
    <w:pPr>
      <w:autoSpaceDE w:val="0"/>
      <w:autoSpaceDN w:val="0"/>
      <w:adjustRightInd w:val="0"/>
      <w:spacing w:line="400" w:lineRule="atLeast"/>
      <w:jc w:val="left"/>
    </w:pPr>
    <w:rPr>
      <w:rFonts w:ascii="宋体" w:hAnsi="宋体"/>
      <w:kern w:val="0"/>
      <w:sz w:val="24"/>
    </w:rPr>
  </w:style>
  <w:style w:type="paragraph" w:customStyle="1" w:styleId="73">
    <w:name w:val="xc正文"/>
    <w:basedOn w:val="1"/>
    <w:qFormat/>
    <w:uiPriority w:val="0"/>
    <w:pPr>
      <w:ind w:firstLine="200" w:firstLineChars="200"/>
    </w:pPr>
    <w:rPr>
      <w:szCs w:val="24"/>
    </w:rPr>
  </w:style>
  <w:style w:type="paragraph" w:styleId="74">
    <w:name w:val="List Paragraph"/>
    <w:basedOn w:val="1"/>
    <w:qFormat/>
    <w:uiPriority w:val="1"/>
    <w:pPr>
      <w:ind w:firstLine="420" w:firstLineChars="200"/>
    </w:pPr>
    <w:rPr>
      <w:szCs w:val="24"/>
    </w:rPr>
  </w:style>
  <w:style w:type="character" w:customStyle="1" w:styleId="75">
    <w:name w:val="fontstyle21"/>
    <w:qFormat/>
    <w:uiPriority w:val="0"/>
    <w:rPr>
      <w:rFonts w:hint="default" w:ascii="TimesNewRomanPSMT" w:hAnsi="TimesNewRomanPSMT"/>
      <w:color w:val="000000"/>
      <w:sz w:val="32"/>
      <w:szCs w:val="32"/>
    </w:rPr>
  </w:style>
  <w:style w:type="paragraph" w:customStyle="1" w:styleId="76">
    <w:name w:val="_Style 16"/>
    <w:next w:val="1"/>
    <w:qFormat/>
    <w:uiPriority w:val="39"/>
    <w:pPr>
      <w:widowControl w:val="0"/>
      <w:tabs>
        <w:tab w:val="left" w:pos="540"/>
        <w:tab w:val="right" w:leader="dot" w:pos="8890"/>
      </w:tabs>
      <w:spacing w:beforeLines="15" w:afterLines="15" w:line="560" w:lineRule="exact"/>
    </w:pPr>
    <w:rPr>
      <w:rFonts w:ascii="Times New Roman" w:hAnsi="Times New Roman" w:eastAsia="黑体" w:cs="Times New Roman"/>
      <w:b/>
      <w:bCs/>
      <w:caps/>
      <w:kern w:val="2"/>
      <w:sz w:val="28"/>
      <w:szCs w:val="28"/>
      <w:lang w:val="en-US" w:eastAsia="zh-CN" w:bidi="ar-SA"/>
    </w:rPr>
  </w:style>
  <w:style w:type="paragraph" w:customStyle="1" w:styleId="77">
    <w:name w:val="_Style 76"/>
    <w:basedOn w:val="1"/>
    <w:next w:val="74"/>
    <w:qFormat/>
    <w:uiPriority w:val="34"/>
    <w:pPr>
      <w:ind w:firstLine="420" w:firstLineChars="200"/>
    </w:pPr>
    <w:rPr>
      <w:szCs w:val="24"/>
    </w:rPr>
  </w:style>
  <w:style w:type="paragraph" w:customStyle="1" w:styleId="78">
    <w:name w:val="纯文本1"/>
    <w:basedOn w:val="1"/>
    <w:qFormat/>
    <w:uiPriority w:val="0"/>
    <w:pPr>
      <w:ind w:firstLine="280" w:firstLineChars="100"/>
    </w:pPr>
    <w:rPr>
      <w:rFonts w:hAnsi="宋体" w:cs="Courier New"/>
    </w:rPr>
  </w:style>
  <w:style w:type="paragraph" w:customStyle="1" w:styleId="79">
    <w:name w:val="居中表名"/>
    <w:basedOn w:val="1"/>
    <w:next w:val="1"/>
    <w:qFormat/>
    <w:uiPriority w:val="0"/>
    <w:pPr>
      <w:jc w:val="center"/>
    </w:pPr>
    <w:rPr>
      <w:rFonts w:eastAsia="黑体"/>
      <w:b/>
      <w:szCs w:val="28"/>
    </w:rPr>
  </w:style>
  <w:style w:type="paragraph" w:customStyle="1" w:styleId="80">
    <w:name w:val="列表段落1"/>
    <w:basedOn w:val="1"/>
    <w:qFormat/>
    <w:uiPriority w:val="0"/>
    <w:pPr>
      <w:ind w:firstLine="420"/>
    </w:pPr>
  </w:style>
  <w:style w:type="paragraph" w:customStyle="1" w:styleId="81">
    <w:name w:val="[Normal]"/>
    <w:qFormat/>
    <w:uiPriority w:val="0"/>
    <w:rPr>
      <w:rFonts w:ascii="宋体" w:hAnsi="宋体" w:eastAsia="宋体" w:cs="Times New Roman"/>
      <w:sz w:val="24"/>
      <w:szCs w:val="22"/>
      <w:lang w:val="zh-CN" w:eastAsia="zh-CN" w:bidi="ar-SA"/>
    </w:rPr>
  </w:style>
  <w:style w:type="paragraph" w:customStyle="1" w:styleId="82">
    <w:name w:val="列出段落2"/>
    <w:basedOn w:val="1"/>
    <w:qFormat/>
    <w:uiPriority w:val="1"/>
    <w:pPr>
      <w:ind w:firstLine="420" w:firstLineChars="200"/>
    </w:pPr>
    <w:rPr>
      <w:szCs w:val="24"/>
    </w:rPr>
  </w:style>
  <w:style w:type="character" w:customStyle="1" w:styleId="83">
    <w:name w:val="font21"/>
    <w:qFormat/>
    <w:uiPriority w:val="0"/>
    <w:rPr>
      <w:rFonts w:hint="eastAsia" w:ascii="宋体" w:hAnsi="宋体" w:eastAsia="宋体" w:cs="宋体"/>
      <w:b/>
      <w:color w:val="FF0000"/>
      <w:sz w:val="24"/>
      <w:szCs w:val="24"/>
      <w:u w:val="none"/>
    </w:rPr>
  </w:style>
  <w:style w:type="paragraph" w:customStyle="1" w:styleId="84">
    <w:name w:val="样式6"/>
    <w:basedOn w:val="15"/>
    <w:qFormat/>
    <w:uiPriority w:val="0"/>
    <w:pPr>
      <w:adjustRightInd w:val="0"/>
      <w:spacing w:line="460" w:lineRule="exact"/>
      <w:outlineLvl w:val="2"/>
    </w:pPr>
    <w:rPr>
      <w:rFonts w:ascii="仿宋_GB2312" w:hAnsi="宋体" w:eastAsia="仿宋_GB2312" w:cs="Times New Roman"/>
      <w:b/>
      <w:bCs/>
      <w:sz w:val="24"/>
      <w:szCs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P R C</Company>
  <Pages>55</Pages>
  <Words>25835</Words>
  <Characters>27234</Characters>
  <Lines>267</Lines>
  <Paragraphs>75</Paragraphs>
  <TotalTime>96</TotalTime>
  <ScaleCrop>false</ScaleCrop>
  <LinksUpToDate>false</LinksUpToDate>
  <CharactersWithSpaces>28410</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2021-12-06T19:03:00Z</dcterms:created>
  <dc:creator>陈圣楠</dc:creator>
  <cp:lastModifiedBy>咩都唔识</cp:lastModifiedBy>
  <cp:lastPrinted>2022-01-06T21:58:00Z</cp:lastPrinted>
  <dcterms:modified xsi:type="dcterms:W3CDTF">2022-10-09T09:28:14Z</dcterms:modified>
  <dc:title>上虞区自然资源变更监测项目</dc:title>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EB8966652B5E4246B15F51AB5C01C23A</vt:lpwstr>
  </property>
  <property fmtid="{D5CDD505-2E9C-101B-9397-08002B2CF9AE}" pid="4" name="commondata">
    <vt:lpwstr>eyJoZGlkIjoiNjY1YWU2ZTk2MGU1NDNlZGY5MzE0NzM2ODJlNDA4NTkifQ==</vt:lpwstr>
  </property>
</Properties>
</file>