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bCs/>
          <w:color w:val="auto"/>
          <w:sz w:val="48"/>
          <w:szCs w:val="48"/>
          <w:highlight w:val="none"/>
          <w:u w:val="single"/>
        </w:rPr>
      </w:pPr>
    </w:p>
    <w:p>
      <w:pPr>
        <w:pStyle w:val="2"/>
        <w:rPr>
          <w:rFonts w:cs="Times New Roman"/>
          <w:color w:val="auto"/>
          <w:highlight w:val="none"/>
        </w:rPr>
      </w:pPr>
    </w:p>
    <w:p>
      <w:pPr>
        <w:spacing w:line="360" w:lineRule="auto"/>
        <w:jc w:val="center"/>
        <w:rPr>
          <w:rFonts w:ascii="宋体"/>
          <w:b/>
          <w:bCs/>
          <w:color w:val="auto"/>
          <w:sz w:val="44"/>
          <w:szCs w:val="44"/>
          <w:highlight w:val="none"/>
        </w:rPr>
      </w:pPr>
      <w:r>
        <w:rPr>
          <w:rFonts w:hint="eastAsia" w:ascii="宋体" w:hAnsi="宋体" w:cs="宋体"/>
          <w:b/>
          <w:bCs/>
          <w:color w:val="auto"/>
          <w:sz w:val="44"/>
          <w:szCs w:val="44"/>
          <w:highlight w:val="none"/>
        </w:rPr>
        <w:t>地理国情基本监测项目</w:t>
      </w:r>
    </w:p>
    <w:p>
      <w:pPr>
        <w:jc w:val="center"/>
        <w:rPr>
          <w:rFonts w:ascii="宋体"/>
          <w:b/>
          <w:bCs/>
          <w:color w:val="auto"/>
          <w:sz w:val="44"/>
          <w:szCs w:val="44"/>
          <w:highlight w:val="none"/>
        </w:rPr>
      </w:pPr>
    </w:p>
    <w:p>
      <w:pPr>
        <w:pStyle w:val="2"/>
        <w:rPr>
          <w:rFonts w:hAnsi="宋体" w:cs="Times New Roman"/>
          <w:color w:val="auto"/>
          <w:sz w:val="44"/>
          <w:szCs w:val="44"/>
          <w:highlight w:val="none"/>
        </w:rPr>
      </w:pPr>
    </w:p>
    <w:p>
      <w:pPr>
        <w:pStyle w:val="3"/>
        <w:rPr>
          <w:rFonts w:ascii="宋体"/>
          <w:b/>
          <w:bCs/>
          <w:color w:val="auto"/>
          <w:sz w:val="44"/>
          <w:szCs w:val="44"/>
          <w:highlight w:val="none"/>
        </w:rPr>
      </w:pPr>
    </w:p>
    <w:p>
      <w:pPr>
        <w:pStyle w:val="3"/>
        <w:rPr>
          <w:rFonts w:ascii="宋体"/>
          <w:b/>
          <w:bCs/>
          <w:color w:val="auto"/>
          <w:sz w:val="44"/>
          <w:szCs w:val="44"/>
          <w:highlight w:val="none"/>
        </w:rPr>
      </w:pPr>
    </w:p>
    <w:p>
      <w:pPr>
        <w:pStyle w:val="3"/>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hint="default" w:ascii="宋体" w:eastAsia="宋体"/>
          <w:color w:val="auto"/>
          <w:sz w:val="30"/>
          <w:szCs w:val="30"/>
          <w:highlight w:val="none"/>
          <w:u w:val="single"/>
          <w:lang w:val="en-US" w:eastAsia="zh-CN"/>
        </w:rPr>
      </w:pPr>
      <w:r>
        <w:rPr>
          <w:rFonts w:hint="eastAsia" w:ascii="宋体" w:hAnsi="宋体" w:cs="宋体"/>
          <w:color w:val="auto"/>
          <w:sz w:val="30"/>
          <w:szCs w:val="30"/>
          <w:highlight w:val="none"/>
        </w:rPr>
        <w:t>项目编号：FSJZCS20210</w:t>
      </w:r>
      <w:r>
        <w:rPr>
          <w:rFonts w:hint="eastAsia" w:ascii="宋体" w:hAnsi="宋体" w:cs="宋体"/>
          <w:color w:val="auto"/>
          <w:sz w:val="30"/>
          <w:szCs w:val="30"/>
          <w:highlight w:val="none"/>
          <w:lang w:val="en-US" w:eastAsia="zh-CN"/>
        </w:rPr>
        <w:t>44</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rPr>
          <w:rFonts w:ascii="宋体"/>
          <w:color w:val="auto"/>
          <w:sz w:val="24"/>
          <w:szCs w:val="24"/>
          <w:highlight w:val="none"/>
        </w:rPr>
      </w:pPr>
    </w:p>
    <w:p>
      <w:pPr>
        <w:snapToGrid w:val="0"/>
        <w:spacing w:line="360" w:lineRule="auto"/>
        <w:ind w:firstLine="1500" w:firstLineChars="500"/>
        <w:rPr>
          <w:rFonts w:ascii="宋体"/>
          <w:color w:val="auto"/>
          <w:highlight w:val="none"/>
          <w:u w:val="single"/>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人：绍兴市自然资源和规划局上虞分局</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30"/>
          <w:szCs w:val="30"/>
          <w:highlight w:val="none"/>
        </w:rPr>
        <w:t>二〇二一年七月</w:t>
      </w:r>
    </w:p>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目 录</w:t>
      </w:r>
    </w:p>
    <w:p>
      <w:pPr>
        <w:pStyle w:val="16"/>
        <w:tabs>
          <w:tab w:val="right" w:leader="dot" w:pos="8306"/>
        </w:tabs>
        <w:rPr>
          <w:color w:val="auto"/>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TOC \o "1-3" \h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"_Toc16329" </w:instrText>
      </w:r>
      <w:r>
        <w:rPr>
          <w:color w:val="auto"/>
          <w:highlight w:val="none"/>
        </w:rPr>
        <w:fldChar w:fldCharType="separate"/>
      </w:r>
      <w:r>
        <w:rPr>
          <w:rFonts w:hint="eastAsia" w:cs="宋体"/>
          <w:color w:val="auto"/>
          <w:szCs w:val="36"/>
          <w:highlight w:val="none"/>
        </w:rPr>
        <w:t>第一部分</w:t>
      </w:r>
      <w:r>
        <w:rPr>
          <w:color w:val="auto"/>
          <w:szCs w:val="36"/>
          <w:highlight w:val="none"/>
        </w:rPr>
        <w:t xml:space="preserve"> </w:t>
      </w:r>
      <w:r>
        <w:rPr>
          <w:rFonts w:hint="eastAsia" w:cs="宋体"/>
          <w:color w:val="auto"/>
          <w:szCs w:val="36"/>
          <w:highlight w:val="none"/>
        </w:rPr>
        <w:t>磋商公告</w:t>
      </w:r>
      <w:r>
        <w:rPr>
          <w:color w:val="auto"/>
          <w:highlight w:val="none"/>
        </w:rPr>
        <w:tab/>
      </w:r>
      <w:r>
        <w:rPr>
          <w:color w:val="auto"/>
          <w:highlight w:val="none"/>
        </w:rPr>
        <w:fldChar w:fldCharType="begin"/>
      </w:r>
      <w:r>
        <w:rPr>
          <w:color w:val="auto"/>
          <w:highlight w:val="none"/>
        </w:rPr>
        <w:instrText xml:space="preserve"> PAGEREF _Toc16329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"_Toc24741" </w:instrText>
      </w:r>
      <w:r>
        <w:rPr>
          <w:color w:val="auto"/>
          <w:highlight w:val="none"/>
        </w:rPr>
        <w:fldChar w:fldCharType="separate"/>
      </w:r>
      <w:r>
        <w:rPr>
          <w:rFonts w:hint="eastAsia" w:cs="宋体"/>
          <w:color w:val="auto"/>
          <w:szCs w:val="36"/>
          <w:highlight w:val="none"/>
        </w:rPr>
        <w:t>第二部分</w:t>
      </w:r>
      <w:r>
        <w:rPr>
          <w:color w:val="auto"/>
          <w:szCs w:val="36"/>
          <w:highlight w:val="none"/>
        </w:rPr>
        <w:t xml:space="preserve"> </w:t>
      </w:r>
      <w:r>
        <w:rPr>
          <w:rFonts w:hint="eastAsia" w:cs="宋体"/>
          <w:color w:val="auto"/>
          <w:szCs w:val="36"/>
          <w:highlight w:val="none"/>
        </w:rPr>
        <w:t>供应商须知</w:t>
      </w:r>
      <w:r>
        <w:rPr>
          <w:color w:val="auto"/>
          <w:highlight w:val="none"/>
        </w:rPr>
        <w:tab/>
      </w:r>
      <w:r>
        <w:rPr>
          <w:color w:val="auto"/>
          <w:highlight w:val="none"/>
        </w:rPr>
        <w:fldChar w:fldCharType="begin"/>
      </w:r>
      <w:r>
        <w:rPr>
          <w:color w:val="auto"/>
          <w:highlight w:val="none"/>
        </w:rPr>
        <w:instrText xml:space="preserve"> PAGEREF _Toc24741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"_Toc2651" </w:instrText>
      </w:r>
      <w:r>
        <w:rPr>
          <w:color w:val="auto"/>
          <w:highlight w:val="none"/>
        </w:rPr>
        <w:fldChar w:fldCharType="separate"/>
      </w:r>
      <w:r>
        <w:rPr>
          <w:rFonts w:hint="eastAsia" w:hAnsi="宋体"/>
          <w:color w:val="auto"/>
          <w:highlight w:val="none"/>
        </w:rPr>
        <w:t>一、 总则</w:t>
      </w:r>
      <w:r>
        <w:rPr>
          <w:color w:val="auto"/>
          <w:highlight w:val="none"/>
        </w:rPr>
        <w:tab/>
      </w:r>
      <w:r>
        <w:rPr>
          <w:color w:val="auto"/>
          <w:highlight w:val="none"/>
        </w:rPr>
        <w:fldChar w:fldCharType="begin"/>
      </w:r>
      <w:r>
        <w:rPr>
          <w:color w:val="auto"/>
          <w:highlight w:val="none"/>
        </w:rPr>
        <w:instrText xml:space="preserve"> PAGEREF _Toc2651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"_Toc7559" </w:instrText>
      </w:r>
      <w:r>
        <w:rPr>
          <w:color w:val="auto"/>
          <w:highlight w:val="none"/>
        </w:rPr>
        <w:fldChar w:fldCharType="separate"/>
      </w:r>
      <w:r>
        <w:rPr>
          <w:rFonts w:hint="eastAsia"/>
          <w:color w:val="auto"/>
          <w:highlight w:val="none"/>
        </w:rPr>
        <w:t>二、 竞争性磋商文件</w:t>
      </w:r>
      <w:r>
        <w:rPr>
          <w:color w:val="auto"/>
          <w:highlight w:val="none"/>
        </w:rPr>
        <w:tab/>
      </w:r>
      <w:r>
        <w:rPr>
          <w:color w:val="auto"/>
          <w:highlight w:val="none"/>
        </w:rPr>
        <w:fldChar w:fldCharType="begin"/>
      </w:r>
      <w:r>
        <w:rPr>
          <w:color w:val="auto"/>
          <w:highlight w:val="none"/>
        </w:rPr>
        <w:instrText xml:space="preserve"> PAGEREF _Toc7559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"_Toc21386" </w:instrText>
      </w:r>
      <w:r>
        <w:rPr>
          <w:color w:val="auto"/>
          <w:highlight w:val="none"/>
        </w:rPr>
        <w:fldChar w:fldCharType="separate"/>
      </w:r>
      <w:r>
        <w:rPr>
          <w:rFonts w:hint="eastAsia"/>
          <w:color w:val="auto"/>
          <w:highlight w:val="none"/>
        </w:rPr>
        <w:t>三、 竞争性磋商响应文件的编写</w:t>
      </w:r>
      <w:r>
        <w:rPr>
          <w:color w:val="auto"/>
          <w:highlight w:val="none"/>
        </w:rPr>
        <w:tab/>
      </w:r>
      <w:r>
        <w:rPr>
          <w:color w:val="auto"/>
          <w:highlight w:val="none"/>
        </w:rPr>
        <w:fldChar w:fldCharType="begin"/>
      </w:r>
      <w:r>
        <w:rPr>
          <w:color w:val="auto"/>
          <w:highlight w:val="none"/>
        </w:rPr>
        <w:instrText xml:space="preserve"> PAGEREF _Toc21386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"_Toc16795" </w:instrText>
      </w:r>
      <w:r>
        <w:rPr>
          <w:color w:val="auto"/>
          <w:highlight w:val="none"/>
        </w:rPr>
        <w:fldChar w:fldCharType="separate"/>
      </w:r>
      <w:r>
        <w:rPr>
          <w:rFonts w:hint="eastAsia"/>
          <w:color w:val="auto"/>
          <w:highlight w:val="none"/>
        </w:rPr>
        <w:t>四、 响应文件的递交</w:t>
      </w:r>
      <w:r>
        <w:rPr>
          <w:color w:val="auto"/>
          <w:highlight w:val="none"/>
        </w:rPr>
        <w:tab/>
      </w:r>
      <w:r>
        <w:rPr>
          <w:color w:val="auto"/>
          <w:highlight w:val="none"/>
        </w:rPr>
        <w:fldChar w:fldCharType="begin"/>
      </w:r>
      <w:r>
        <w:rPr>
          <w:color w:val="auto"/>
          <w:highlight w:val="none"/>
        </w:rPr>
        <w:instrText xml:space="preserve"> PAGEREF _Toc16795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"_Toc27406" </w:instrText>
      </w:r>
      <w:r>
        <w:rPr>
          <w:color w:val="auto"/>
          <w:highlight w:val="none"/>
        </w:rPr>
        <w:fldChar w:fldCharType="separate"/>
      </w:r>
      <w:r>
        <w:rPr>
          <w:rFonts w:hint="eastAsia" w:hAnsi="宋体"/>
          <w:color w:val="auto"/>
          <w:highlight w:val="none"/>
        </w:rPr>
        <w:t xml:space="preserve">五、 </w:t>
      </w:r>
      <w:r>
        <w:rPr>
          <w:rFonts w:hint="eastAsia"/>
          <w:color w:val="auto"/>
          <w:highlight w:val="none"/>
        </w:rPr>
        <w:t>磋商无效的情形</w:t>
      </w:r>
      <w:r>
        <w:rPr>
          <w:color w:val="auto"/>
          <w:highlight w:val="none"/>
        </w:rPr>
        <w:tab/>
      </w:r>
      <w:r>
        <w:rPr>
          <w:color w:val="auto"/>
          <w:highlight w:val="none"/>
        </w:rPr>
        <w:fldChar w:fldCharType="begin"/>
      </w:r>
      <w:r>
        <w:rPr>
          <w:color w:val="auto"/>
          <w:highlight w:val="none"/>
        </w:rPr>
        <w:instrText xml:space="preserve"> PAGEREF _Toc27406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"_Toc26606" </w:instrText>
      </w:r>
      <w:r>
        <w:rPr>
          <w:color w:val="auto"/>
          <w:highlight w:val="none"/>
        </w:rPr>
        <w:fldChar w:fldCharType="separate"/>
      </w:r>
      <w:r>
        <w:rPr>
          <w:rFonts w:hint="eastAsia"/>
          <w:color w:val="auto"/>
          <w:highlight w:val="none"/>
        </w:rPr>
        <w:t>六、 采购中止的情形</w:t>
      </w:r>
      <w:r>
        <w:rPr>
          <w:color w:val="auto"/>
          <w:highlight w:val="none"/>
        </w:rPr>
        <w:tab/>
      </w:r>
      <w:r>
        <w:rPr>
          <w:color w:val="auto"/>
          <w:highlight w:val="none"/>
        </w:rPr>
        <w:fldChar w:fldCharType="begin"/>
      </w:r>
      <w:r>
        <w:rPr>
          <w:color w:val="auto"/>
          <w:highlight w:val="none"/>
        </w:rPr>
        <w:instrText xml:space="preserve"> PAGEREF _Toc26606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"_Toc18704" </w:instrText>
      </w:r>
      <w:r>
        <w:rPr>
          <w:color w:val="auto"/>
          <w:highlight w:val="none"/>
        </w:rPr>
        <w:fldChar w:fldCharType="separate"/>
      </w:r>
      <w:r>
        <w:rPr>
          <w:rFonts w:hint="eastAsia"/>
          <w:color w:val="auto"/>
          <w:highlight w:val="none"/>
        </w:rPr>
        <w:t>七、 确定成交供应商与签订合同</w:t>
      </w:r>
      <w:r>
        <w:rPr>
          <w:color w:val="auto"/>
          <w:highlight w:val="none"/>
        </w:rPr>
        <w:tab/>
      </w:r>
      <w:r>
        <w:rPr>
          <w:color w:val="auto"/>
          <w:highlight w:val="none"/>
        </w:rPr>
        <w:fldChar w:fldCharType="begin"/>
      </w:r>
      <w:r>
        <w:rPr>
          <w:color w:val="auto"/>
          <w:highlight w:val="none"/>
        </w:rPr>
        <w:instrText xml:space="preserve"> PAGEREF _Toc18704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"_Toc5141" </w:instrText>
      </w:r>
      <w:r>
        <w:rPr>
          <w:color w:val="auto"/>
          <w:highlight w:val="none"/>
        </w:rPr>
        <w:fldChar w:fldCharType="separate"/>
      </w:r>
      <w:r>
        <w:rPr>
          <w:rFonts w:hint="eastAsia" w:cs="宋体"/>
          <w:color w:val="auto"/>
          <w:szCs w:val="36"/>
          <w:highlight w:val="none"/>
        </w:rPr>
        <w:t>第三部分 采购内容及要求</w:t>
      </w:r>
      <w:r>
        <w:rPr>
          <w:color w:val="auto"/>
          <w:highlight w:val="none"/>
        </w:rPr>
        <w:tab/>
      </w:r>
      <w:r>
        <w:rPr>
          <w:color w:val="auto"/>
          <w:highlight w:val="none"/>
        </w:rPr>
        <w:fldChar w:fldCharType="begin"/>
      </w:r>
      <w:r>
        <w:rPr>
          <w:color w:val="auto"/>
          <w:highlight w:val="none"/>
        </w:rPr>
        <w:instrText xml:space="preserve"> PAGEREF _Toc5141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"_Toc18103" </w:instrText>
      </w:r>
      <w:r>
        <w:rPr>
          <w:color w:val="auto"/>
          <w:highlight w:val="none"/>
        </w:rPr>
        <w:fldChar w:fldCharType="separate"/>
      </w:r>
      <w:r>
        <w:rPr>
          <w:rFonts w:hint="eastAsia"/>
          <w:color w:val="auto"/>
          <w:highlight w:val="none"/>
        </w:rPr>
        <w:t>第一章 采购内容及要求</w:t>
      </w:r>
      <w:r>
        <w:rPr>
          <w:color w:val="auto"/>
          <w:highlight w:val="none"/>
        </w:rPr>
        <w:tab/>
      </w:r>
      <w:r>
        <w:rPr>
          <w:color w:val="auto"/>
          <w:highlight w:val="none"/>
        </w:rPr>
        <w:fldChar w:fldCharType="begin"/>
      </w:r>
      <w:r>
        <w:rPr>
          <w:color w:val="auto"/>
          <w:highlight w:val="none"/>
        </w:rPr>
        <w:instrText xml:space="preserve"> PAGEREF _Toc18103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"_Toc5874" </w:instrText>
      </w:r>
      <w:r>
        <w:rPr>
          <w:color w:val="auto"/>
          <w:highlight w:val="none"/>
        </w:rPr>
        <w:fldChar w:fldCharType="separate"/>
      </w:r>
      <w:r>
        <w:rPr>
          <w:rFonts w:hint="eastAsia"/>
          <w:color w:val="auto"/>
          <w:highlight w:val="none"/>
        </w:rPr>
        <w:t>第二章 付款方式及要求</w:t>
      </w:r>
      <w:r>
        <w:rPr>
          <w:color w:val="auto"/>
          <w:highlight w:val="none"/>
        </w:rPr>
        <w:tab/>
      </w:r>
      <w:r>
        <w:rPr>
          <w:color w:val="auto"/>
          <w:highlight w:val="none"/>
        </w:rPr>
        <w:fldChar w:fldCharType="begin"/>
      </w:r>
      <w:r>
        <w:rPr>
          <w:color w:val="auto"/>
          <w:highlight w:val="none"/>
        </w:rPr>
        <w:instrText xml:space="preserve"> PAGEREF _Toc5874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"_Toc17480" </w:instrText>
      </w:r>
      <w:r>
        <w:rPr>
          <w:color w:val="auto"/>
          <w:highlight w:val="none"/>
        </w:rPr>
        <w:fldChar w:fldCharType="separate"/>
      </w:r>
      <w:r>
        <w:rPr>
          <w:rFonts w:hint="eastAsia" w:cs="宋体"/>
          <w:color w:val="auto"/>
          <w:szCs w:val="36"/>
          <w:highlight w:val="none"/>
        </w:rPr>
        <w:t>第四部分 磋商原则及磋商方法</w:t>
      </w:r>
      <w:r>
        <w:rPr>
          <w:color w:val="auto"/>
          <w:highlight w:val="none"/>
        </w:rPr>
        <w:tab/>
      </w:r>
      <w:r>
        <w:rPr>
          <w:color w:val="auto"/>
          <w:highlight w:val="none"/>
        </w:rPr>
        <w:fldChar w:fldCharType="begin"/>
      </w:r>
      <w:r>
        <w:rPr>
          <w:color w:val="auto"/>
          <w:highlight w:val="none"/>
        </w:rPr>
        <w:instrText xml:space="preserve"> PAGEREF _Toc17480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"_Toc7904" </w:instrText>
      </w:r>
      <w:r>
        <w:rPr>
          <w:color w:val="auto"/>
          <w:highlight w:val="none"/>
        </w:rPr>
        <w:fldChar w:fldCharType="separate"/>
      </w:r>
      <w:r>
        <w:rPr>
          <w:rFonts w:hint="eastAsia"/>
          <w:color w:val="auto"/>
          <w:highlight w:val="none"/>
        </w:rPr>
        <w:t>一、 磋商原则</w:t>
      </w:r>
      <w:r>
        <w:rPr>
          <w:color w:val="auto"/>
          <w:highlight w:val="none"/>
        </w:rPr>
        <w:tab/>
      </w:r>
      <w:r>
        <w:rPr>
          <w:color w:val="auto"/>
          <w:highlight w:val="none"/>
        </w:rPr>
        <w:fldChar w:fldCharType="begin"/>
      </w:r>
      <w:r>
        <w:rPr>
          <w:color w:val="auto"/>
          <w:highlight w:val="none"/>
        </w:rPr>
        <w:instrText xml:space="preserve"> PAGEREF _Toc7904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color w:val="auto"/>
          <w:highlight w:val="none"/>
        </w:rPr>
        <w:t>二、 磋商程序</w:t>
      </w:r>
      <w:r>
        <w:rPr>
          <w:color w:val="auto"/>
          <w:highlight w:val="none"/>
        </w:rPr>
        <w:tab/>
      </w:r>
      <w:r>
        <w:rPr>
          <w:color w:val="auto"/>
          <w:highlight w:val="none"/>
        </w:rPr>
        <w:fldChar w:fldCharType="begin"/>
      </w:r>
      <w:r>
        <w:rPr>
          <w:color w:val="auto"/>
          <w:highlight w:val="none"/>
        </w:rPr>
        <w:instrText xml:space="preserve"> PAGEREF _Toc28988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"_Toc30192" </w:instrText>
      </w:r>
      <w:r>
        <w:rPr>
          <w:color w:val="auto"/>
          <w:highlight w:val="none"/>
        </w:rPr>
        <w:fldChar w:fldCharType="separate"/>
      </w:r>
      <w:r>
        <w:rPr>
          <w:rFonts w:hint="eastAsia"/>
          <w:color w:val="auto"/>
          <w:highlight w:val="none"/>
        </w:rPr>
        <w:t>三、 注意事项</w:t>
      </w:r>
      <w:r>
        <w:rPr>
          <w:color w:val="auto"/>
          <w:highlight w:val="none"/>
        </w:rPr>
        <w:tab/>
      </w:r>
      <w:r>
        <w:rPr>
          <w:color w:val="auto"/>
          <w:highlight w:val="none"/>
        </w:rPr>
        <w:fldChar w:fldCharType="begin"/>
      </w:r>
      <w:r>
        <w:rPr>
          <w:color w:val="auto"/>
          <w:highlight w:val="none"/>
        </w:rPr>
        <w:instrText xml:space="preserve"> PAGEREF _Toc30192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"_Toc19948" </w:instrText>
      </w:r>
      <w:r>
        <w:rPr>
          <w:color w:val="auto"/>
          <w:highlight w:val="none"/>
        </w:rPr>
        <w:fldChar w:fldCharType="separate"/>
      </w:r>
      <w:r>
        <w:rPr>
          <w:rFonts w:hint="eastAsia"/>
          <w:color w:val="auto"/>
          <w:highlight w:val="none"/>
        </w:rPr>
        <w:t>四、 评分细则</w:t>
      </w:r>
      <w:r>
        <w:rPr>
          <w:color w:val="auto"/>
          <w:highlight w:val="none"/>
        </w:rPr>
        <w:tab/>
      </w:r>
      <w:r>
        <w:rPr>
          <w:color w:val="auto"/>
          <w:highlight w:val="none"/>
        </w:rPr>
        <w:fldChar w:fldCharType="begin"/>
      </w:r>
      <w:r>
        <w:rPr>
          <w:color w:val="auto"/>
          <w:highlight w:val="none"/>
        </w:rPr>
        <w:instrText xml:space="preserve"> PAGEREF _Toc19948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"_Toc18269" </w:instrText>
      </w:r>
      <w:r>
        <w:rPr>
          <w:color w:val="auto"/>
          <w:highlight w:val="none"/>
        </w:rPr>
        <w:fldChar w:fldCharType="separate"/>
      </w:r>
      <w:r>
        <w:rPr>
          <w:rFonts w:hint="eastAsia" w:cs="宋体"/>
          <w:color w:val="auto"/>
          <w:szCs w:val="36"/>
          <w:highlight w:val="none"/>
        </w:rPr>
        <w:t>第五部分</w:t>
      </w:r>
      <w:r>
        <w:rPr>
          <w:color w:val="auto"/>
          <w:szCs w:val="36"/>
          <w:highlight w:val="none"/>
        </w:rPr>
        <w:t xml:space="preserve"> </w:t>
      </w:r>
      <w:r>
        <w:rPr>
          <w:rFonts w:hint="eastAsia" w:cs="宋体"/>
          <w:color w:val="auto"/>
          <w:szCs w:val="36"/>
          <w:highlight w:val="none"/>
        </w:rPr>
        <w:t>采购合同</w:t>
      </w:r>
      <w:r>
        <w:rPr>
          <w:color w:val="auto"/>
          <w:highlight w:val="none"/>
        </w:rPr>
        <w:tab/>
      </w:r>
      <w:r>
        <w:rPr>
          <w:color w:val="auto"/>
          <w:highlight w:val="none"/>
        </w:rPr>
        <w:fldChar w:fldCharType="begin"/>
      </w:r>
      <w:r>
        <w:rPr>
          <w:color w:val="auto"/>
          <w:highlight w:val="none"/>
        </w:rPr>
        <w:instrText xml:space="preserve"> PAGEREF _Toc18269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"_Toc31692" </w:instrText>
      </w:r>
      <w:r>
        <w:rPr>
          <w:color w:val="auto"/>
          <w:highlight w:val="none"/>
        </w:rPr>
        <w:fldChar w:fldCharType="separate"/>
      </w:r>
      <w:r>
        <w:rPr>
          <w:rFonts w:hint="eastAsia" w:cs="宋体"/>
          <w:color w:val="auto"/>
          <w:szCs w:val="36"/>
          <w:highlight w:val="none"/>
        </w:rPr>
        <w:t>第六部分</w:t>
      </w:r>
      <w:r>
        <w:rPr>
          <w:color w:val="auto"/>
          <w:szCs w:val="36"/>
          <w:highlight w:val="none"/>
        </w:rPr>
        <w:t xml:space="preserve"> </w:t>
      </w:r>
      <w:r>
        <w:rPr>
          <w:rFonts w:hint="eastAsia" w:cs="宋体"/>
          <w:color w:val="auto"/>
          <w:szCs w:val="36"/>
          <w:highlight w:val="none"/>
        </w:rPr>
        <w:t>应提交的有关格式范例</w:t>
      </w:r>
      <w:r>
        <w:rPr>
          <w:color w:val="auto"/>
          <w:highlight w:val="none"/>
        </w:rPr>
        <w:tab/>
      </w:r>
      <w:r>
        <w:rPr>
          <w:color w:val="auto"/>
          <w:highlight w:val="none"/>
        </w:rPr>
        <w:fldChar w:fldCharType="begin"/>
      </w:r>
      <w:r>
        <w:rPr>
          <w:color w:val="auto"/>
          <w:highlight w:val="none"/>
        </w:rPr>
        <w:instrText xml:space="preserve"> PAGEREF _Toc31692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
        <w:spacing w:line="360" w:lineRule="auto"/>
        <w:rPr>
          <w:rFonts w:hAnsi="宋体"/>
          <w:color w:val="auto"/>
          <w:szCs w:val="24"/>
          <w:highlight w:val="none"/>
        </w:rPr>
      </w:pPr>
      <w:r>
        <w:rPr>
          <w:rFonts w:hint="eastAsia" w:hAnsi="宋体"/>
          <w:color w:val="auto"/>
          <w:szCs w:val="24"/>
          <w:highlight w:val="none"/>
        </w:rPr>
        <w:fldChar w:fldCharType="end"/>
      </w:r>
    </w:p>
    <w:p>
      <w:pPr>
        <w:rPr>
          <w:rFonts w:hAnsi="宋体"/>
          <w:color w:val="auto"/>
          <w:szCs w:val="24"/>
          <w:highlight w:val="none"/>
        </w:rPr>
      </w:pPr>
      <w:r>
        <w:rPr>
          <w:rFonts w:hint="eastAsia" w:hAnsi="宋体"/>
          <w:color w:val="auto"/>
          <w:szCs w:val="24"/>
          <w:highlight w:val="none"/>
        </w:rPr>
        <w:br w:type="page"/>
      </w:r>
    </w:p>
    <w:p>
      <w:pPr>
        <w:pStyle w:val="3"/>
        <w:rPr>
          <w:color w:val="auto"/>
          <w:highlight w:val="none"/>
        </w:rPr>
      </w:pPr>
    </w:p>
    <w:p>
      <w:pPr>
        <w:rPr>
          <w:color w:val="auto"/>
          <w:highlight w:val="none"/>
        </w:rPr>
      </w:pPr>
    </w:p>
    <w:p>
      <w:pPr>
        <w:pStyle w:val="4"/>
        <w:jc w:val="center"/>
        <w:rPr>
          <w:rFonts w:ascii="宋体" w:cs="Times New Roman"/>
          <w:color w:val="auto"/>
          <w:highlight w:val="none"/>
        </w:rPr>
      </w:pPr>
      <w:bookmarkStart w:id="0" w:name="_Toc31034"/>
      <w:bookmarkStart w:id="1" w:name="_Toc32199"/>
      <w:bookmarkStart w:id="2" w:name="_Toc16329"/>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浙江宇康工程管理咨询有限公司关于绍兴市自然资源和规划局上虞分局地理国情基本监测项目的竞争性磋商公告</w:t>
      </w:r>
    </w:p>
    <w:p>
      <w:pPr>
        <w:adjustRightInd w:val="0"/>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公告日期：2021年7月</w:t>
      </w:r>
      <w:r>
        <w:rPr>
          <w:rFonts w:hint="eastAsia" w:ascii="宋体" w:hAnsi="宋体" w:cs="宋体"/>
          <w:color w:val="auto"/>
          <w:sz w:val="28"/>
          <w:szCs w:val="28"/>
          <w:highlight w:val="none"/>
          <w:lang w:val="en-US" w:eastAsia="zh-CN"/>
        </w:rPr>
        <w:t>26</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rPr>
        <w:t>绍兴市自然资源和规划局上虞分局</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rPr>
        <w:t>地理国情基本监测项目</w:t>
      </w:r>
      <w:r>
        <w:rPr>
          <w:rFonts w:hint="eastAsia" w:ascii="宋体" w:hAnsi="宋体" w:cs="宋体"/>
          <w:color w:val="auto"/>
          <w:sz w:val="24"/>
          <w:szCs w:val="24"/>
          <w:highlight w:val="none"/>
        </w:rPr>
        <w:t>进行竞争性磋商采购，欢迎国内合格的供应商参加本次采购活动。</w:t>
      </w:r>
    </w:p>
    <w:p>
      <w:pPr>
        <w:adjustRightInd w:val="0"/>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FSJZCS20210</w:t>
      </w:r>
      <w:r>
        <w:rPr>
          <w:rFonts w:hint="eastAsia" w:ascii="宋体" w:hAnsi="宋体" w:cs="宋体"/>
          <w:color w:val="auto"/>
          <w:sz w:val="24"/>
          <w:szCs w:val="24"/>
          <w:highlight w:val="none"/>
          <w:u w:val="single"/>
          <w:lang w:val="en-US" w:eastAsia="zh-CN"/>
        </w:rPr>
        <w:t>44</w:t>
      </w:r>
      <w:r>
        <w:rPr>
          <w:rFonts w:ascii="宋体" w:hAnsi="宋体" w:cs="宋体"/>
          <w:color w:val="auto"/>
          <w:sz w:val="24"/>
          <w:szCs w:val="24"/>
          <w:highlight w:val="none"/>
          <w:u w:val="singl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22"/>
        <w:tblW w:w="9044"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4"/>
        <w:gridCol w:w="1265"/>
        <w:gridCol w:w="960"/>
        <w:gridCol w:w="600"/>
        <w:gridCol w:w="585"/>
        <w:gridCol w:w="1230"/>
        <w:gridCol w:w="2205"/>
        <w:gridCol w:w="1268"/>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464"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26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项目名称</w:t>
            </w:r>
          </w:p>
        </w:tc>
        <w:tc>
          <w:tcPr>
            <w:tcW w:w="960" w:type="dxa"/>
            <w:tcBorders>
              <w:top w:val="single" w:color="000000" w:sz="4" w:space="0"/>
            </w:tcBorders>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内容</w:t>
            </w:r>
          </w:p>
        </w:tc>
        <w:tc>
          <w:tcPr>
            <w:tcW w:w="600"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数量</w:t>
            </w:r>
          </w:p>
        </w:tc>
        <w:tc>
          <w:tcPr>
            <w:tcW w:w="58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单位</w:t>
            </w:r>
          </w:p>
        </w:tc>
        <w:tc>
          <w:tcPr>
            <w:tcW w:w="1230"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预算金额</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220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简要规格描述或标项基本概况介绍</w:t>
            </w:r>
          </w:p>
        </w:tc>
        <w:tc>
          <w:tcPr>
            <w:tcW w:w="1268"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最高限价</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467"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PrEx>
        <w:trPr>
          <w:jc w:val="center"/>
        </w:trPr>
        <w:tc>
          <w:tcPr>
            <w:tcW w:w="464" w:type="dxa"/>
            <w:vMerge w:val="restart"/>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1265" w:type="dxa"/>
            <w:vMerge w:val="restart"/>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地理国情基本监测项目</w:t>
            </w:r>
          </w:p>
        </w:tc>
        <w:tc>
          <w:tcPr>
            <w:tcW w:w="960" w:type="dxa"/>
            <w:vAlign w:val="center"/>
          </w:tcPr>
          <w:p>
            <w:pPr>
              <w:adjustRightInd w:val="0"/>
              <w:spacing w:line="360" w:lineRule="auto"/>
              <w:jc w:val="center"/>
              <w:rPr>
                <w:rFonts w:ascii="宋体" w:hAnsi="宋体" w:cs="宋体"/>
                <w:color w:val="auto"/>
                <w:sz w:val="24"/>
                <w:szCs w:val="24"/>
                <w:highlight w:val="none"/>
              </w:rPr>
            </w:pPr>
            <w:r>
              <w:rPr>
                <w:color w:val="auto"/>
                <w:sz w:val="24"/>
                <w:highlight w:val="none"/>
              </w:rPr>
              <w:t>常态化监测</w:t>
            </w:r>
          </w:p>
        </w:tc>
        <w:tc>
          <w:tcPr>
            <w:tcW w:w="600"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1</w:t>
            </w:r>
          </w:p>
        </w:tc>
        <w:tc>
          <w:tcPr>
            <w:tcW w:w="585" w:type="dxa"/>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项</w:t>
            </w:r>
          </w:p>
        </w:tc>
        <w:tc>
          <w:tcPr>
            <w:tcW w:w="1230"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55</w:t>
            </w:r>
          </w:p>
        </w:tc>
        <w:tc>
          <w:tcPr>
            <w:tcW w:w="2205" w:type="dxa"/>
            <w:vAlign w:val="center"/>
          </w:tcPr>
          <w:p>
            <w:pPr>
              <w:adjustRightInd w:val="0"/>
              <w:spacing w:line="360" w:lineRule="auto"/>
              <w:jc w:val="center"/>
              <w:rPr>
                <w:rFonts w:ascii="宋体" w:hAnsi="宋体" w:cs="等线"/>
                <w:color w:val="auto"/>
                <w:sz w:val="22"/>
                <w:szCs w:val="22"/>
                <w:highlight w:val="none"/>
              </w:rPr>
            </w:pPr>
            <w:r>
              <w:rPr>
                <w:color w:val="auto"/>
                <w:sz w:val="24"/>
                <w:highlight w:val="none"/>
              </w:rPr>
              <w:t>上虞区2021年“一区两率”监测、</w:t>
            </w:r>
            <w:r>
              <w:rPr>
                <w:rFonts w:ascii="宋体" w:hAnsi="宋体" w:cs="Courier New"/>
                <w:color w:val="auto"/>
                <w:sz w:val="24"/>
                <w:highlight w:val="none"/>
              </w:rPr>
              <w:t>其他专项内容监测、统计分析报告</w:t>
            </w:r>
            <w:r>
              <w:rPr>
                <w:color w:val="auto"/>
                <w:highlight w:val="none"/>
              </w:rPr>
              <w:t>。</w:t>
            </w:r>
          </w:p>
        </w:tc>
        <w:tc>
          <w:tcPr>
            <w:tcW w:w="1268"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55</w:t>
            </w:r>
          </w:p>
        </w:tc>
        <w:tc>
          <w:tcPr>
            <w:tcW w:w="467" w:type="dxa"/>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464" w:type="dxa"/>
            <w:vMerge w:val="continue"/>
            <w:tcBorders>
              <w:bottom w:val="single" w:color="000000" w:sz="4" w:space="0"/>
            </w:tcBorders>
            <w:vAlign w:val="center"/>
          </w:tcPr>
          <w:p>
            <w:pPr>
              <w:adjustRightInd w:val="0"/>
              <w:spacing w:line="360" w:lineRule="auto"/>
              <w:jc w:val="center"/>
              <w:rPr>
                <w:rFonts w:ascii="宋体" w:hAnsi="宋体" w:cs="宋体"/>
                <w:color w:val="auto"/>
                <w:sz w:val="24"/>
                <w:szCs w:val="24"/>
                <w:highlight w:val="none"/>
              </w:rPr>
            </w:pPr>
          </w:p>
        </w:tc>
        <w:tc>
          <w:tcPr>
            <w:tcW w:w="1265" w:type="dxa"/>
            <w:vMerge w:val="continue"/>
            <w:tcBorders>
              <w:bottom w:val="single" w:color="000000" w:sz="4" w:space="0"/>
            </w:tcBorders>
            <w:vAlign w:val="center"/>
          </w:tcPr>
          <w:p>
            <w:pPr>
              <w:adjustRightInd w:val="0"/>
              <w:spacing w:line="360" w:lineRule="auto"/>
              <w:jc w:val="center"/>
              <w:rPr>
                <w:rFonts w:ascii="宋体" w:hAnsi="宋体" w:cs="宋体"/>
                <w:color w:val="auto"/>
                <w:sz w:val="24"/>
                <w:szCs w:val="24"/>
                <w:highlight w:val="none"/>
              </w:rPr>
            </w:pPr>
          </w:p>
        </w:tc>
        <w:tc>
          <w:tcPr>
            <w:tcW w:w="960" w:type="dxa"/>
            <w:tcBorders>
              <w:bottom w:val="single" w:color="000000" w:sz="4" w:space="0"/>
            </w:tcBorders>
            <w:vAlign w:val="center"/>
          </w:tcPr>
          <w:p>
            <w:pPr>
              <w:adjustRightInd w:val="0"/>
              <w:spacing w:line="360" w:lineRule="auto"/>
              <w:jc w:val="center"/>
              <w:rPr>
                <w:rFonts w:ascii="宋体" w:hAnsi="宋体" w:cs="宋体"/>
                <w:color w:val="auto"/>
                <w:sz w:val="24"/>
                <w:szCs w:val="24"/>
                <w:highlight w:val="none"/>
              </w:rPr>
            </w:pPr>
            <w:r>
              <w:rPr>
                <w:color w:val="auto"/>
                <w:sz w:val="24"/>
                <w:highlight w:val="none"/>
              </w:rPr>
              <w:t>平台建设</w:t>
            </w:r>
          </w:p>
        </w:tc>
        <w:tc>
          <w:tcPr>
            <w:tcW w:w="600" w:type="dxa"/>
            <w:tcBorders>
              <w:bottom w:val="single" w:color="000000" w:sz="4" w:space="0"/>
            </w:tcBorders>
            <w:vAlign w:val="center"/>
          </w:tcPr>
          <w:p>
            <w:pPr>
              <w:adjustRightInd w:val="0"/>
              <w:spacing w:line="360" w:lineRule="auto"/>
              <w:jc w:val="center"/>
              <w:rPr>
                <w:rFonts w:ascii="宋体" w:hAnsi="宋体" w:cs="宋体"/>
                <w:color w:val="auto"/>
                <w:sz w:val="24"/>
                <w:szCs w:val="24"/>
                <w:highlight w:val="none"/>
              </w:rPr>
            </w:pPr>
            <w:r>
              <w:rPr>
                <w:rFonts w:ascii="宋体" w:hAnsi="宋体" w:cs="宋体"/>
                <w:color w:val="auto"/>
                <w:sz w:val="24"/>
                <w:highlight w:val="none"/>
              </w:rPr>
              <w:t>1</w:t>
            </w:r>
          </w:p>
        </w:tc>
        <w:tc>
          <w:tcPr>
            <w:tcW w:w="585" w:type="dxa"/>
            <w:tcBorders>
              <w:bottom w:val="single" w:color="000000" w:sz="4" w:space="0"/>
            </w:tcBorders>
            <w:vAlign w:val="center"/>
          </w:tcPr>
          <w:p>
            <w:pPr>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w:t>
            </w:r>
          </w:p>
        </w:tc>
        <w:tc>
          <w:tcPr>
            <w:tcW w:w="1230" w:type="dxa"/>
            <w:tcBorders>
              <w:bottom w:val="single" w:color="000000" w:sz="4" w:space="0"/>
            </w:tcBorders>
            <w:vAlign w:val="center"/>
          </w:tcPr>
          <w:p>
            <w:pPr>
              <w:adjustRightInd w:val="0"/>
              <w:spacing w:line="360" w:lineRule="auto"/>
              <w:jc w:val="center"/>
              <w:rPr>
                <w:rFonts w:ascii="宋体" w:hAnsi="宋体" w:cs="宋体"/>
                <w:color w:val="auto"/>
                <w:kern w:val="0"/>
                <w:sz w:val="24"/>
                <w:szCs w:val="24"/>
                <w:highlight w:val="none"/>
              </w:rPr>
            </w:pPr>
            <w:r>
              <w:rPr>
                <w:rFonts w:ascii="宋体" w:hAnsi="宋体" w:cs="宋体"/>
                <w:color w:val="auto"/>
                <w:sz w:val="24"/>
                <w:highlight w:val="none"/>
              </w:rPr>
              <w:t>35</w:t>
            </w:r>
          </w:p>
        </w:tc>
        <w:tc>
          <w:tcPr>
            <w:tcW w:w="2205" w:type="dxa"/>
            <w:tcBorders>
              <w:bottom w:val="single" w:color="000000" w:sz="4" w:space="0"/>
            </w:tcBorders>
            <w:vAlign w:val="center"/>
          </w:tcPr>
          <w:p>
            <w:pPr>
              <w:adjustRightInd w:val="0"/>
              <w:spacing w:line="360" w:lineRule="auto"/>
              <w:jc w:val="center"/>
              <w:rPr>
                <w:rFonts w:ascii="宋体" w:hAnsi="宋体" w:cs="等线"/>
                <w:color w:val="auto"/>
                <w:sz w:val="22"/>
                <w:szCs w:val="22"/>
                <w:highlight w:val="none"/>
              </w:rPr>
            </w:pPr>
            <w:r>
              <w:rPr>
                <w:color w:val="auto"/>
                <w:sz w:val="24"/>
                <w:highlight w:val="none"/>
              </w:rPr>
              <w:t>变化监测分析和数据展示配套设施</w:t>
            </w:r>
          </w:p>
        </w:tc>
        <w:tc>
          <w:tcPr>
            <w:tcW w:w="1268"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35</w:t>
            </w:r>
          </w:p>
        </w:tc>
        <w:tc>
          <w:tcPr>
            <w:tcW w:w="467"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w:t>
      </w:r>
      <w:r>
        <w:rPr>
          <w:rFonts w:hint="eastAsia" w:ascii="宋体" w:hAnsi="宋体" w:cs="宋体"/>
          <w:color w:val="auto"/>
          <w:sz w:val="24"/>
          <w:szCs w:val="24"/>
          <w:highlight w:val="none"/>
          <w:u w:val="single"/>
        </w:rPr>
        <w:t>不接受</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联合体参加磋商。</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获取磋商文件时间</w:t>
      </w:r>
      <w:r>
        <w:rPr>
          <w:rFonts w:ascii="宋体" w:hAnsi="宋体" w:cs="宋体"/>
          <w:color w:val="auto"/>
          <w:sz w:val="24"/>
          <w:szCs w:val="24"/>
          <w:highlight w:val="none"/>
        </w:rPr>
        <w:t>:</w:t>
      </w:r>
      <w:bookmarkEnd w:id="5"/>
      <w:r>
        <w:rPr>
          <w:rFonts w:hint="eastAsia" w:ascii="宋体" w:hAnsi="宋体" w:cs="宋体"/>
          <w:color w:val="auto"/>
          <w:sz w:val="24"/>
          <w:szCs w:val="24"/>
          <w:highlight w:val="none"/>
        </w:rPr>
        <w:t>2021年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 xml:space="preserve"> 日</w:t>
      </w:r>
      <w:r>
        <w:rPr>
          <w:rFonts w:hint="eastAsia" w:ascii="宋体" w:hAnsi="宋体" w:cs="宋体"/>
          <w:color w:val="auto"/>
          <w:sz w:val="24"/>
          <w:szCs w:val="24"/>
          <w:highlight w:val="none"/>
          <w:u w:val="single"/>
        </w:rPr>
        <w:t>上午09</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六．注意事项：</w:t>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《CA管理学习专题》：</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投标文件制作：</w:t>
      </w:r>
    </w:p>
    <w:p>
      <w:pPr>
        <w:numPr>
          <w:ilvl w:val="0"/>
          <w:numId w:val="6"/>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6"/>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szCs w:val="24"/>
          <w:highlight w:val="none"/>
        </w:rPr>
        <w:t>http://zfcg.czt.zj.gov.cn/bidClientTemplate/2019-09-24/12975.html</w:t>
      </w:r>
      <w:r>
        <w:rPr>
          <w:rFonts w:hint="eastAsia" w:ascii="宋体" w:hAnsi="宋体" w:cs="宋体"/>
          <w:color w:val="auto"/>
          <w:sz w:val="24"/>
          <w:szCs w:val="24"/>
          <w:highlight w:val="none"/>
        </w:rPr>
        <w:fldChar w:fldCharType="end"/>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《供应商-政府采购项目电子交易操作指南》：(需登录账号后查看)</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szCs w:val="24"/>
          <w:highlight w:val="none"/>
        </w:rPr>
        <w:t>https://service.zcygov.cn/#/knowledges/tree?tag=AG1DtGwBFdiHxlNdhY0r</w:t>
      </w:r>
      <w:r>
        <w:rPr>
          <w:rFonts w:hint="eastAsia" w:ascii="宋体" w:hAnsi="宋体" w:cs="宋体"/>
          <w:color w:val="auto"/>
          <w:sz w:val="24"/>
          <w:szCs w:val="24"/>
          <w:highlight w:val="none"/>
        </w:rPr>
        <w:fldChar w:fldCharType="end"/>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4.供应商在法定质疑期内应一次性提出针对同一采购程序环节的质疑。否则质疑将不予受理。</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6.特别提醒</w:t>
      </w:r>
    </w:p>
    <w:p>
      <w:pPr>
        <w:numPr>
          <w:ilvl w:val="0"/>
          <w:numId w:val="7"/>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hint="eastAsia" w:ascii="宋体" w:hAnsi="宋体" w:cs="宋体"/>
          <w:color w:val="auto"/>
          <w:sz w:val="24"/>
          <w:szCs w:val="24"/>
          <w:highlight w:val="none"/>
        </w:rPr>
        <w:t xml:space="preserve"> 2021 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 xml:space="preserve"> 日 上</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hint="eastAsia" w:ascii="宋体" w:hAnsi="宋体" w:cs="宋体"/>
          <w:color w:val="auto"/>
          <w:sz w:val="24"/>
          <w:szCs w:val="24"/>
          <w:highlight w:val="none"/>
        </w:rPr>
        <w:t xml:space="preserve"> 2021 年 </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 xml:space="preserve"> 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整在绍兴市上虞区公共资源交易中心三楼</w:t>
      </w:r>
      <w:r>
        <w:rPr>
          <w:rFonts w:hint="eastAsia" w:ascii="宋体" w:hAnsi="宋体" w:cs="宋体"/>
          <w:color w:val="auto"/>
          <w:sz w:val="24"/>
          <w:szCs w:val="24"/>
          <w:highlight w:val="none"/>
          <w:lang w:val="en-US" w:eastAsia="zh-CN"/>
        </w:rPr>
        <w:t>375</w:t>
      </w:r>
      <w:r>
        <w:rPr>
          <w:rFonts w:hint="eastAsia" w:ascii="宋体" w:hAnsi="宋体" w:cs="宋体"/>
          <w:color w:val="auto"/>
          <w:sz w:val="24"/>
          <w:szCs w:val="24"/>
          <w:highlight w:val="none"/>
        </w:rPr>
        <w:t>开标室开标。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分钟内（当日10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开标评标”功能进行解密响应文件。若供应商在规定时间内（当日10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十．公告期限：3个工作日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十一．其他事项：</w:t>
      </w:r>
    </w:p>
    <w:p>
      <w:pPr>
        <w:numPr>
          <w:ilvl w:val="0"/>
          <w:numId w:val="8"/>
        </w:numPr>
        <w:adjustRightInd w:val="0"/>
        <w:spacing w:line="360" w:lineRule="auto"/>
        <w:ind w:firstLine="480" w:firstLineChars="200"/>
        <w:rPr>
          <w:rFonts w:ascii="宋体"/>
          <w:color w:val="auto"/>
          <w:sz w:val="24"/>
          <w:szCs w:val="24"/>
          <w:highlight w:val="none"/>
        </w:rPr>
      </w:pPr>
      <w:bookmarkStart w:id="7" w:name="B31_其他事项"/>
      <w:r>
        <w:rPr>
          <w:rFonts w:hint="eastAsia" w:ascii="宋体"/>
          <w:color w:val="auto"/>
          <w:sz w:val="24"/>
          <w:szCs w:val="24"/>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bookmarkEnd w:id="7"/>
    <w:p>
      <w:pPr>
        <w:numPr>
          <w:ilvl w:val="0"/>
          <w:numId w:val="8"/>
        </w:numPr>
        <w:adjustRightInd w:val="0"/>
        <w:spacing w:line="360" w:lineRule="auto"/>
        <w:ind w:firstLine="482" w:firstLineChars="200"/>
        <w:rPr>
          <w:rFonts w:ascii="宋体"/>
          <w:b/>
          <w:bCs/>
          <w:color w:val="auto"/>
          <w:sz w:val="24"/>
          <w:szCs w:val="24"/>
          <w:highlight w:val="none"/>
          <w:u w:val="single"/>
        </w:rPr>
      </w:pPr>
      <w:r>
        <w:rPr>
          <w:rFonts w:hint="eastAsia" w:ascii="宋体" w:hAnsi="宋体" w:cs="宋体"/>
          <w:b/>
          <w:bCs/>
          <w:color w:val="auto"/>
          <w:sz w:val="24"/>
          <w:szCs w:val="24"/>
          <w:highlight w:val="none"/>
          <w:u w:val="single"/>
        </w:rPr>
        <w:t>若供应商需要进行开标现场解密等操作，则需携带笔记本（同时携带</w:t>
      </w:r>
      <w:r>
        <w:rPr>
          <w:rFonts w:ascii="宋体" w:hAnsi="宋体" w:cs="宋体"/>
          <w:b/>
          <w:bCs/>
          <w:color w:val="auto"/>
          <w:sz w:val="24"/>
          <w:szCs w:val="24"/>
          <w:highlight w:val="none"/>
          <w:u w:val="single"/>
        </w:rPr>
        <w:t>CA</w:t>
      </w:r>
      <w:r>
        <w:rPr>
          <w:rFonts w:hint="eastAsia" w:ascii="宋体" w:hAnsi="宋体" w:cs="宋体"/>
          <w:b/>
          <w:bCs/>
          <w:color w:val="auto"/>
          <w:sz w:val="24"/>
          <w:szCs w:val="24"/>
          <w:highlight w:val="none"/>
          <w:u w:val="single"/>
        </w:rPr>
        <w:t>）至开标现场进行操作。开标时使用的电脑需安装谷歌浏览器、配置</w:t>
      </w:r>
      <w:r>
        <w:rPr>
          <w:rFonts w:ascii="宋体" w:hAnsi="宋体" w:cs="宋体"/>
          <w:b/>
          <w:bCs/>
          <w:color w:val="auto"/>
          <w:sz w:val="24"/>
          <w:szCs w:val="24"/>
          <w:highlight w:val="none"/>
          <w:u w:val="single"/>
        </w:rPr>
        <w:t>win7</w:t>
      </w:r>
      <w:r>
        <w:rPr>
          <w:rFonts w:hint="eastAsia" w:ascii="宋体" w:hAnsi="宋体" w:cs="宋体"/>
          <w:b/>
          <w:bCs/>
          <w:color w:val="auto"/>
          <w:sz w:val="24"/>
          <w:szCs w:val="24"/>
          <w:highlight w:val="none"/>
          <w:u w:val="single"/>
        </w:rPr>
        <w:t>及以上</w:t>
      </w:r>
      <w:r>
        <w:rPr>
          <w:rFonts w:ascii="宋体" w:hAnsi="宋体" w:cs="宋体"/>
          <w:b/>
          <w:bCs/>
          <w:color w:val="auto"/>
          <w:sz w:val="24"/>
          <w:szCs w:val="24"/>
          <w:highlight w:val="none"/>
          <w:u w:val="single"/>
        </w:rPr>
        <w:t>64</w:t>
      </w:r>
      <w:r>
        <w:rPr>
          <w:rFonts w:hint="eastAsia" w:ascii="宋体" w:hAnsi="宋体" w:cs="宋体"/>
          <w:b/>
          <w:bCs/>
          <w:color w:val="auto"/>
          <w:sz w:val="24"/>
          <w:szCs w:val="24"/>
          <w:highlight w:val="none"/>
          <w:u w:val="single"/>
        </w:rPr>
        <w:t>位、对应的</w:t>
      </w:r>
      <w:r>
        <w:rPr>
          <w:rFonts w:ascii="宋体" w:hAnsi="宋体" w:cs="宋体"/>
          <w:b/>
          <w:bCs/>
          <w:color w:val="auto"/>
          <w:sz w:val="24"/>
          <w:szCs w:val="24"/>
          <w:highlight w:val="none"/>
          <w:u w:val="single"/>
        </w:rPr>
        <w:t>CA</w:t>
      </w:r>
      <w:r>
        <w:rPr>
          <w:rFonts w:hint="eastAsia" w:ascii="宋体" w:hAnsi="宋体" w:cs="宋体"/>
          <w:b/>
          <w:bCs/>
          <w:color w:val="auto"/>
          <w:sz w:val="24"/>
          <w:szCs w:val="24"/>
          <w:highlight w:val="none"/>
          <w:u w:val="single"/>
        </w:rPr>
        <w:t>驱动和插件及投标客户端，网络须自备。</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十二．联系方式：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联系人：冯丹</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联系电话：</w:t>
      </w:r>
      <w:r>
        <w:rPr>
          <w:rFonts w:ascii="宋体" w:hAnsi="宋体" w:cs="宋体"/>
          <w:color w:val="auto"/>
          <w:sz w:val="24"/>
          <w:szCs w:val="24"/>
          <w:highlight w:val="none"/>
        </w:rPr>
        <w:t>1</w:t>
      </w:r>
      <w:r>
        <w:rPr>
          <w:rFonts w:hint="eastAsia" w:ascii="宋体" w:hAnsi="宋体" w:cs="宋体"/>
          <w:color w:val="auto"/>
          <w:sz w:val="24"/>
          <w:szCs w:val="24"/>
          <w:highlight w:val="none"/>
        </w:rPr>
        <w:t>3675739466</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楼</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．采购人名称：绍兴市自然资源和规划局上虞分局</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联系人：曹先生</w:t>
      </w:r>
      <w:r>
        <w:rPr>
          <w:rFonts w:hint="eastAsia" w:ascii="宋体" w:hAnsi="宋体" w:cs="宋体"/>
          <w:color w:val="auto"/>
          <w:sz w:val="24"/>
          <w:szCs w:val="32"/>
          <w:highlight w:val="non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联系电话：0575-52183295  </w:t>
      </w:r>
    </w:p>
    <w:p>
      <w:pPr>
        <w:widowControl/>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地址：绍兴市上虞区市民中心二路</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8" w:name="_Toc29834"/>
      <w:bookmarkStart w:id="9" w:name="_Toc546"/>
      <w:bookmarkStart w:id="10" w:name="_Toc24741"/>
      <w:r>
        <w:rPr>
          <w:rStyle w:val="38"/>
          <w:rFonts w:hint="eastAsia" w:cs="宋体"/>
          <w:color w:val="auto"/>
          <w:sz w:val="36"/>
          <w:szCs w:val="36"/>
          <w:highlight w:val="none"/>
        </w:rPr>
        <w:t>第二部分</w:t>
      </w:r>
      <w:bookmarkEnd w:id="3"/>
      <w:r>
        <w:rPr>
          <w:rStyle w:val="38"/>
          <w:color w:val="auto"/>
          <w:sz w:val="36"/>
          <w:szCs w:val="36"/>
          <w:highlight w:val="none"/>
        </w:rPr>
        <w:t xml:space="preserve"> </w:t>
      </w:r>
      <w:bookmarkEnd w:id="4"/>
      <w:r>
        <w:rPr>
          <w:rStyle w:val="38"/>
          <w:rFonts w:hint="eastAsia" w:cs="宋体"/>
          <w:color w:val="auto"/>
          <w:sz w:val="36"/>
          <w:szCs w:val="36"/>
          <w:highlight w:val="none"/>
        </w:rPr>
        <w:t>供应商须知</w:t>
      </w:r>
      <w:bookmarkEnd w:id="8"/>
      <w:bookmarkEnd w:id="9"/>
      <w:bookmarkEnd w:id="10"/>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22"/>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地理国情基本监测项目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682"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800"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682"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ascii="宋体" w:hAnsi="宋体" w:cs="宋体"/>
                <w:color w:val="auto"/>
                <w:highlight w:val="none"/>
                <w:u w:val="single"/>
              </w:rPr>
              <w:t xml:space="preserve"> </w:t>
            </w:r>
            <w:r>
              <w:rPr>
                <w:rFonts w:hint="eastAsia" w:ascii="宋体" w:hAnsi="宋体" w:cs="宋体"/>
                <w:color w:val="auto"/>
                <w:highlight w:val="none"/>
                <w:u w:val="single"/>
              </w:rPr>
              <w:t>90</w:t>
            </w:r>
            <w:r>
              <w:rPr>
                <w:rFonts w:ascii="宋体" w:hAnsi="宋体" w:cs="宋体"/>
                <w:color w:val="auto"/>
                <w:highlight w:val="none"/>
                <w:u w:val="single"/>
              </w:rPr>
              <w:t xml:space="preserve"> </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682"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采购单位可以对已发出的磋商文件进行必要澄清或者修改，澄清或者修改的内容可能影响响应文件编制的，应当在提交首次响应文件截至时间至少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682" w:type="dxa"/>
            <w:vAlign w:val="center"/>
          </w:tcPr>
          <w:p>
            <w:pPr>
              <w:pStyle w:val="11"/>
              <w:snapToGrid w:val="0"/>
              <w:ind w:firstLine="420" w:firstLineChars="200"/>
              <w:rPr>
                <w:rFonts w:hAnsi="宋体" w:cs="Times New Roman"/>
                <w:color w:val="auto"/>
                <w:kern w:val="0"/>
                <w:highlight w:val="none"/>
              </w:rPr>
            </w:pPr>
            <w:r>
              <w:rPr>
                <w:rFonts w:hAnsi="宋体"/>
                <w:snapToGrid w:val="0"/>
                <w:color w:val="auto"/>
                <w:kern w:val="0"/>
                <w:highlight w:val="none"/>
              </w:rPr>
              <w:t>成交供应商在收到中标通知书后，需向采购人提供中标价的</w:t>
            </w:r>
            <w:r>
              <w:rPr>
                <w:rFonts w:hAnsi="宋体"/>
                <w:snapToGrid w:val="0"/>
                <w:color w:val="auto"/>
                <w:kern w:val="0"/>
                <w:highlight w:val="none"/>
                <w:u w:val="single"/>
              </w:rPr>
              <w:t>3%</w:t>
            </w:r>
            <w:r>
              <w:rPr>
                <w:rFonts w:hAnsi="宋体"/>
                <w:snapToGrid w:val="0"/>
                <w:color w:val="auto"/>
                <w:kern w:val="0"/>
                <w:highlight w:val="none"/>
              </w:rPr>
              <w:t>作为履约保证金，项目结束后在服务期满后30个工作日内一次性无息退还。（供应商应当以支票、汇票、本票或者金融机构、保险公司、担保机构出具的保函等非现金形式提交）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682" w:type="dxa"/>
            <w:vAlign w:val="center"/>
          </w:tcPr>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682"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color w:val="auto"/>
                <w:highlight w:val="none"/>
              </w:rPr>
            </w:pPr>
            <w:r>
              <w:rPr>
                <w:rFonts w:hint="eastAsia" w:ascii="宋体" w:hAnsi="宋体" w:cs="宋体"/>
                <w:color w:val="auto"/>
                <w:highlight w:val="none"/>
              </w:rPr>
              <w:t>供应商认为磋商文件使自己的权益受到损害的，可以在磋商文件公告期限届满之日（公告发布后的第</w:t>
            </w:r>
            <w:r>
              <w:rPr>
                <w:rFonts w:ascii="宋体" w:hAnsi="宋体" w:cs="宋体"/>
                <w:color w:val="auto"/>
                <w:highlight w:val="none"/>
              </w:rPr>
              <w:t>6</w:t>
            </w:r>
            <w:r>
              <w:rPr>
                <w:rFonts w:hint="eastAsia" w:ascii="宋体" w:hAnsi="宋体" w:cs="宋体"/>
                <w:color w:val="auto"/>
                <w:highlight w:val="none"/>
              </w:rPr>
              <w:t>个工作日）起</w:t>
            </w:r>
            <w:r>
              <w:rPr>
                <w:rFonts w:ascii="宋体" w:hAnsi="宋体" w:cs="宋体"/>
                <w:color w:val="auto"/>
                <w:highlight w:val="none"/>
              </w:rPr>
              <w:t>7</w:t>
            </w:r>
            <w:r>
              <w:rPr>
                <w:rFonts w:hint="eastAsia" w:ascii="宋体" w:hAnsi="宋体" w:cs="宋体"/>
                <w:color w:val="auto"/>
                <w:highlight w:val="none"/>
              </w:rPr>
              <w:t>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color w:val="auto"/>
                <w:kern w:val="0"/>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682"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682" w:type="dxa"/>
            <w:vAlign w:val="center"/>
          </w:tcPr>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1"/>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8</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682" w:type="dxa"/>
            <w:vAlign w:val="center"/>
          </w:tcPr>
          <w:p>
            <w:pPr>
              <w:ind w:firstLine="420" w:firstLineChars="200"/>
              <w:rPr>
                <w:rFonts w:ascii="宋体" w:hAnsi="宋体" w:cs="宋体"/>
                <w:color w:val="auto"/>
                <w:highlight w:val="none"/>
              </w:rPr>
            </w:pPr>
            <w:r>
              <w:rPr>
                <w:rFonts w:hint="eastAsia" w:ascii="宋体" w:hAnsi="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ind w:firstLine="420" w:firstLineChars="200"/>
              <w:rPr>
                <w:color w:val="auto"/>
                <w:highlight w:val="none"/>
              </w:rPr>
            </w:pPr>
            <w:r>
              <w:rPr>
                <w:rFonts w:hint="eastAsia"/>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pStyle w:val="3"/>
              <w:rPr>
                <w:bCs/>
                <w:color w:val="auto"/>
                <w:highlight w:val="none"/>
              </w:rPr>
            </w:pPr>
            <w:r>
              <w:rPr>
                <w:bCs/>
                <w:color w:val="auto"/>
                <w:highlight w:val="none"/>
              </w:rPr>
              <w:t>在服务采购项目中，服务由小微企业承接，即提供服务的人员为小微企业依照《中华人民共和国劳动合同法》订立劳动合同的从业人员。</w:t>
            </w:r>
          </w:p>
          <w:p>
            <w:pPr>
              <w:ind w:firstLine="420" w:firstLineChars="200"/>
              <w:rPr>
                <w:color w:val="auto"/>
                <w:sz w:val="18"/>
                <w:szCs w:val="18"/>
                <w:highlight w:val="none"/>
              </w:rPr>
            </w:pPr>
            <w:r>
              <w:rPr>
                <w:rFonts w:hint="eastAsia"/>
                <w:color w:val="auto"/>
                <w:highlight w:val="none"/>
              </w:rPr>
              <w:t>联合体各方均为小型、微型企业的，联合体视同为小型、微型企业。</w:t>
            </w:r>
          </w:p>
          <w:p>
            <w:pPr>
              <w:ind w:firstLine="420" w:firstLineChars="200"/>
              <w:rPr>
                <w:rFonts w:ascii="宋体" w:hAnsi="宋体" w:cs="宋体"/>
                <w:color w:val="auto"/>
                <w:highlight w:val="none"/>
              </w:rPr>
            </w:pPr>
            <w:r>
              <w:rPr>
                <w:rFonts w:hint="eastAsia" w:ascii="宋体" w:hAnsi="宋体" w:cs="宋体"/>
                <w:color w:val="auto"/>
                <w:highlight w:val="none"/>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ind w:firstLine="420" w:firstLineChars="200"/>
              <w:rPr>
                <w:rFonts w:ascii="宋体" w:hAnsi="宋体" w:cs="宋体"/>
                <w:color w:val="auto"/>
                <w:highlight w:val="none"/>
              </w:rPr>
            </w:pPr>
            <w:r>
              <w:rPr>
                <w:rFonts w:hint="eastAsia" w:ascii="宋体" w:hAnsi="宋体" w:cs="宋体"/>
                <w:color w:val="auto"/>
                <w:highlight w:val="none"/>
              </w:rPr>
              <w:t>根据财政部发布的《政府采购促进中小企业发展管理办法》（财库﹝2020﹞46 号）规定，对于非专门面向此类企业的项目，对小型和微型企业产品的投标价格给予6%的扣除，用扣除后的价格参与评审。</w:t>
            </w:r>
          </w:p>
          <w:p>
            <w:pPr>
              <w:ind w:firstLine="420" w:firstLineChars="200"/>
              <w:rPr>
                <w:rFonts w:ascii="宋体"/>
                <w:color w:val="auto"/>
                <w:highlight w:val="none"/>
              </w:rPr>
            </w:pPr>
            <w:r>
              <w:rPr>
                <w:rFonts w:hint="eastAsia" w:ascii="宋体" w:hAnsi="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19</w:t>
            </w:r>
          </w:p>
        </w:tc>
        <w:tc>
          <w:tcPr>
            <w:tcW w:w="1800" w:type="dxa"/>
            <w:vAlign w:val="center"/>
          </w:tcPr>
          <w:p>
            <w:pPr>
              <w:snapToGrid w:val="0"/>
              <w:jc w:val="center"/>
              <w:rPr>
                <w:rFonts w:ascii="宋体" w:hAnsi="宋体" w:cs="宋体"/>
                <w:color w:val="auto"/>
                <w:highlight w:val="none"/>
              </w:rPr>
            </w:pPr>
            <w:r>
              <w:rPr>
                <w:rFonts w:hint="eastAsia" w:ascii="宋体" w:hAnsi="宋体" w:cs="宋体"/>
                <w:color w:val="auto"/>
                <w:highlight w:val="none"/>
              </w:rPr>
              <w:t>招标代理服务费</w:t>
            </w:r>
          </w:p>
        </w:tc>
        <w:tc>
          <w:tcPr>
            <w:tcW w:w="6682" w:type="dxa"/>
            <w:vAlign w:val="center"/>
          </w:tcPr>
          <w:p>
            <w:pPr>
              <w:autoSpaceDN w:val="0"/>
              <w:spacing w:line="340" w:lineRule="exact"/>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招标代理服务费由成交供应商支付，按下列服务招标计算方式计取。</w:t>
            </w:r>
          </w:p>
          <w:tbl>
            <w:tblPr>
              <w:tblStyle w:val="22"/>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19"/>
                    <w:jc w:val="center"/>
                    <w:rPr>
                      <w:color w:val="auto"/>
                      <w:sz w:val="21"/>
                      <w:szCs w:val="21"/>
                      <w:highlight w:val="none"/>
                    </w:rPr>
                  </w:pPr>
                  <w:r>
                    <w:rPr>
                      <w:rFonts w:hint="eastAsia"/>
                      <w:color w:val="auto"/>
                      <w:sz w:val="21"/>
                      <w:szCs w:val="21"/>
                      <w:highlight w:val="none"/>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20</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21</w:t>
            </w:r>
          </w:p>
        </w:tc>
        <w:tc>
          <w:tcPr>
            <w:tcW w:w="1800"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682"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22</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23</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24</w:t>
            </w:r>
          </w:p>
        </w:tc>
        <w:tc>
          <w:tcPr>
            <w:tcW w:w="1800"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682" w:type="dxa"/>
            <w:tcBorders>
              <w:bottom w:val="double" w:color="auto" w:sz="4" w:space="0"/>
            </w:tcBorders>
            <w:vAlign w:val="center"/>
          </w:tcPr>
          <w:p>
            <w:pPr>
              <w:ind w:firstLine="422" w:firstLineChars="200"/>
              <w:rPr>
                <w:rFonts w:ascii="宋体"/>
                <w:b/>
                <w:bCs/>
                <w:color w:val="auto"/>
                <w:highlight w:val="none"/>
              </w:rPr>
            </w:pPr>
            <w:r>
              <w:rPr>
                <w:rFonts w:hint="eastAsia" w:ascii="宋体" w:hAnsi="宋体" w:cs="宋体"/>
                <w:b/>
                <w:bCs/>
                <w:color w:val="auto"/>
                <w:highlight w:val="none"/>
              </w:rPr>
              <w:t>本磋商文件要求提供的身份证复印件皆需提供正反面，否则按不提供处理。</w:t>
            </w:r>
          </w:p>
        </w:tc>
      </w:tr>
    </w:tbl>
    <w:p>
      <w:pPr>
        <w:pStyle w:val="3"/>
        <w:spacing w:line="360" w:lineRule="auto"/>
        <w:rPr>
          <w:rFonts w:ascii="宋体"/>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2"/>
        <w:numPr>
          <w:ilvl w:val="0"/>
          <w:numId w:val="9"/>
        </w:numPr>
        <w:jc w:val="center"/>
        <w:rPr>
          <w:rFonts w:hAnsi="宋体" w:cs="Times New Roman"/>
          <w:color w:val="auto"/>
          <w:highlight w:val="none"/>
        </w:rPr>
      </w:pPr>
      <w:r>
        <w:rPr>
          <w:rFonts w:hAnsi="宋体"/>
          <w:color w:val="auto"/>
          <w:highlight w:val="none"/>
        </w:rPr>
        <w:t xml:space="preserve"> </w:t>
      </w:r>
      <w:bookmarkStart w:id="11" w:name="_Toc25187"/>
      <w:bookmarkStart w:id="12" w:name="_Toc2651"/>
      <w:r>
        <w:rPr>
          <w:rFonts w:hint="eastAsia" w:hAnsi="宋体"/>
          <w:color w:val="auto"/>
          <w:highlight w:val="none"/>
        </w:rPr>
        <w:t>总则</w:t>
      </w:r>
      <w:bookmarkEnd w:id="11"/>
      <w:bookmarkEnd w:id="12"/>
    </w:p>
    <w:p>
      <w:pPr>
        <w:spacing w:line="360"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rPr>
        <w:t>地理国情基本监测项目</w:t>
      </w:r>
      <w:r>
        <w:rPr>
          <w:rFonts w:hint="eastAsia" w:ascii="宋体" w:hAnsi="宋体" w:cs="宋体"/>
          <w:color w:val="auto"/>
          <w:sz w:val="24"/>
          <w:szCs w:val="24"/>
          <w:highlight w:val="none"/>
        </w:rPr>
        <w:t>。</w:t>
      </w:r>
    </w:p>
    <w:p>
      <w:pPr>
        <w:pStyle w:val="20"/>
        <w:ind w:firstLine="480" w:firstLineChars="200"/>
        <w:rPr>
          <w:color w:val="auto"/>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本项目采购方式采用竞争性磋商方式。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60"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绍兴市自然资源和规划局上虞分局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60"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60" w:lineRule="auto"/>
        <w:ind w:firstLine="480" w:firstLineChars="200"/>
        <w:rPr>
          <w:rFonts w:ascii="宋体"/>
          <w:color w:val="auto"/>
          <w:sz w:val="24"/>
          <w:szCs w:val="24"/>
          <w:highlight w:val="none"/>
        </w:rPr>
      </w:pPr>
      <w:bookmarkStart w:id="13" w:name="_Toc207946571"/>
      <w:bookmarkStart w:id="14" w:name="_Toc193538208"/>
      <w:bookmarkStart w:id="15" w:name="_Toc193523219"/>
      <w:bookmarkStart w:id="16" w:name="_Toc197163261"/>
      <w:bookmarkStart w:id="17" w:name="_Toc211412066"/>
      <w:bookmarkStart w:id="18" w:name="_Toc209520993"/>
      <w:bookmarkStart w:id="19" w:name="_Toc197156227"/>
      <w:bookmarkStart w:id="20" w:name="_Toc209435242"/>
      <w:bookmarkStart w:id="21" w:name="_Toc197657950"/>
      <w:bookmarkStart w:id="22" w:name="_Toc208287611"/>
      <w:bookmarkStart w:id="23" w:name="_Toc208913145"/>
      <w:bookmarkStart w:id="24" w:name="_Toc197053926"/>
      <w:bookmarkStart w:id="25" w:name="_Toc204683265"/>
      <w:bookmarkStart w:id="26" w:name="_Toc209504018"/>
      <w:r>
        <w:rPr>
          <w:rFonts w:hint="eastAsia" w:ascii="宋体" w:hAnsi="宋体" w:cs="宋体"/>
          <w:color w:val="auto"/>
          <w:sz w:val="24"/>
          <w:szCs w:val="24"/>
          <w:highlight w:val="none"/>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2"/>
        <w:numPr>
          <w:ilvl w:val="0"/>
          <w:numId w:val="9"/>
        </w:numPr>
        <w:jc w:val="center"/>
        <w:rPr>
          <w:rFonts w:cs="Times New Roman"/>
          <w:color w:val="auto"/>
          <w:highlight w:val="none"/>
        </w:rPr>
      </w:pPr>
      <w:bookmarkStart w:id="27" w:name="_Toc25923"/>
      <w:bookmarkStart w:id="28" w:name="_Toc32689"/>
      <w:bookmarkStart w:id="29" w:name="_Toc416992151"/>
      <w:r>
        <w:rPr>
          <w:color w:val="auto"/>
          <w:highlight w:val="none"/>
        </w:rPr>
        <w:t xml:space="preserve"> </w:t>
      </w:r>
      <w:bookmarkStart w:id="30" w:name="_Toc7559"/>
      <w:bookmarkStart w:id="31" w:name="_Toc11814"/>
      <w:r>
        <w:rPr>
          <w:rFonts w:hint="eastAsia"/>
          <w:color w:val="auto"/>
          <w:highlight w:val="none"/>
        </w:rPr>
        <w:t>竞争性磋商文件</w:t>
      </w:r>
      <w:bookmarkEnd w:id="27"/>
      <w:bookmarkEnd w:id="28"/>
      <w:bookmarkEnd w:id="29"/>
      <w:bookmarkEnd w:id="30"/>
      <w:bookmarkEnd w:id="31"/>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60"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9"/>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9"/>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3"/>
        <w:spacing w:line="360"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2"/>
        <w:numPr>
          <w:ilvl w:val="0"/>
          <w:numId w:val="9"/>
        </w:numPr>
        <w:jc w:val="center"/>
        <w:rPr>
          <w:rFonts w:cs="Times New Roman"/>
          <w:color w:val="auto"/>
          <w:highlight w:val="none"/>
        </w:rPr>
      </w:pPr>
      <w:bookmarkStart w:id="32" w:name="_Toc6457"/>
      <w:bookmarkStart w:id="33" w:name="_Toc10810"/>
      <w:bookmarkStart w:id="34" w:name="_Toc391298957"/>
      <w:bookmarkStart w:id="35" w:name="_Toc1729"/>
      <w:bookmarkStart w:id="36" w:name="_Toc31748"/>
      <w:bookmarkStart w:id="37" w:name="_Toc6079"/>
      <w:bookmarkStart w:id="38" w:name="_Toc11669"/>
      <w:bookmarkStart w:id="39" w:name="_Toc11093"/>
      <w:bookmarkStart w:id="40" w:name="_Toc23135"/>
      <w:bookmarkStart w:id="41" w:name="_Toc26027"/>
      <w:bookmarkStart w:id="42" w:name="_Toc8860"/>
      <w:bookmarkStart w:id="43" w:name="_Toc1202"/>
      <w:bookmarkStart w:id="44" w:name="_Toc1828"/>
      <w:bookmarkStart w:id="45" w:name="_Toc11692"/>
      <w:bookmarkStart w:id="46" w:name="_Toc18702"/>
      <w:bookmarkStart w:id="47" w:name="_Toc26603"/>
      <w:bookmarkStart w:id="48" w:name="_Toc6273"/>
      <w:bookmarkStart w:id="49" w:name="_Toc7126"/>
      <w:bookmarkStart w:id="50" w:name="_Toc10669"/>
      <w:bookmarkStart w:id="51" w:name="_Toc24622"/>
      <w:bookmarkStart w:id="52" w:name="_Toc14650"/>
      <w:bookmarkStart w:id="53" w:name="_Toc23975"/>
      <w:r>
        <w:rPr>
          <w:color w:val="auto"/>
          <w:highlight w:val="none"/>
        </w:rPr>
        <w:t xml:space="preserve"> </w:t>
      </w:r>
      <w:bookmarkStart w:id="54" w:name="_Toc21386"/>
      <w:bookmarkStart w:id="55" w:name="_Toc11515"/>
      <w:r>
        <w:rPr>
          <w:rFonts w:hint="eastAsia"/>
          <w:color w:val="auto"/>
          <w:highlight w:val="none"/>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60"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49"/>
        <w:tabs>
          <w:tab w:val="left" w:pos="0"/>
        </w:tabs>
        <w:ind w:firstLine="480"/>
        <w:rPr>
          <w:rFonts w:ascii="宋体"/>
          <w:color w:val="auto"/>
          <w:highlight w:val="none"/>
          <w:u w:val="single"/>
        </w:rPr>
      </w:pPr>
      <w:r>
        <w:rPr>
          <w:rFonts w:ascii="宋体" w:hAnsi="宋体" w:cs="宋体"/>
          <w:color w:val="auto"/>
          <w:highlight w:val="none"/>
          <w:u w:val="single"/>
        </w:rPr>
        <w:t>8.2.2</w:t>
      </w:r>
      <w:r>
        <w:rPr>
          <w:rFonts w:hint="eastAsia" w:ascii="宋体" w:hAnsi="宋体" w:cs="宋体"/>
          <w:color w:val="auto"/>
          <w:highlight w:val="none"/>
          <w:u w:val="single"/>
        </w:rPr>
        <w:t>本次报价应包含项目所需全部服务，不得缺漏，是履行合同的最终价格（人员的工资福利、员工五险费(养老保险、医疗保险、失业保险、工伤保险、生育保险)、管理费、税费、质检费、专家费、人工成本费、管理费、办公用品、税费、项目竣工验收费和采购代理费等一切费用）。</w:t>
      </w:r>
      <w:r>
        <w:rPr>
          <w:rFonts w:hint="eastAsia" w:cs="宋体"/>
          <w:color w:val="auto"/>
          <w:highlight w:val="none"/>
        </w:rPr>
        <w:t>投标报价为供应商所能承受的最低、最终报价，供应商不得再要求追加任何费用。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60"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1"/>
        <w:spacing w:line="360"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49"/>
        <w:numPr>
          <w:ilvl w:val="0"/>
          <w:numId w:val="10"/>
        </w:numPr>
        <w:spacing w:before="0"/>
        <w:ind w:firstLine="480"/>
        <w:rPr>
          <w:rFonts w:ascii="宋体"/>
          <w:color w:val="auto"/>
          <w:highlight w:val="none"/>
        </w:rPr>
      </w:pPr>
      <w:r>
        <w:rPr>
          <w:rFonts w:hint="eastAsia" w:ascii="宋体" w:hAnsi="宋体" w:cs="宋体"/>
          <w:color w:val="auto"/>
          <w:highlight w:val="none"/>
        </w:rPr>
        <w:t>资格文件包括以下内容：</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声明书；（格式见附件）</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营业执照</w:t>
      </w:r>
      <w:r>
        <w:rPr>
          <w:rFonts w:ascii="宋体" w:hAnsi="宋体" w:cs="宋体"/>
          <w:color w:val="auto"/>
          <w:highlight w:val="none"/>
        </w:rPr>
        <w:t>(</w:t>
      </w:r>
      <w:r>
        <w:rPr>
          <w:rFonts w:hint="eastAsia" w:ascii="宋体" w:hAnsi="宋体" w:cs="宋体"/>
          <w:color w:val="auto"/>
          <w:highlight w:val="none"/>
        </w:rPr>
        <w:t>或事业法人登记证或其他工商等登记证明材料</w:t>
      </w:r>
      <w:r>
        <w:rPr>
          <w:rFonts w:ascii="宋体" w:hAnsi="宋体" w:cs="宋体"/>
          <w:color w:val="auto"/>
          <w:highlight w:val="none"/>
        </w:rPr>
        <w:t>)</w:t>
      </w:r>
      <w:r>
        <w:rPr>
          <w:rFonts w:hint="eastAsia" w:ascii="宋体" w:hAnsi="宋体" w:cs="宋体"/>
          <w:color w:val="auto"/>
          <w:highlight w:val="none"/>
        </w:rPr>
        <w:t>复印件、税务登记证</w:t>
      </w:r>
      <w:r>
        <w:rPr>
          <w:rFonts w:ascii="宋体" w:hAnsi="宋体" w:cs="宋体"/>
          <w:color w:val="auto"/>
          <w:highlight w:val="none"/>
        </w:rPr>
        <w:t>(</w:t>
      </w:r>
      <w:r>
        <w:rPr>
          <w:rFonts w:hint="eastAsia" w:ascii="宋体" w:hAnsi="宋体" w:cs="宋体"/>
          <w:color w:val="auto"/>
          <w:highlight w:val="none"/>
        </w:rPr>
        <w:t>或其它缴纳证明材料</w:t>
      </w:r>
      <w:r>
        <w:rPr>
          <w:rFonts w:ascii="宋体" w:hAnsi="宋体" w:cs="宋体"/>
          <w:color w:val="auto"/>
          <w:highlight w:val="none"/>
        </w:rPr>
        <w:t>)</w:t>
      </w:r>
      <w:r>
        <w:rPr>
          <w:rFonts w:hint="eastAsia" w:ascii="宋体" w:hAnsi="宋体" w:cs="宋体"/>
          <w:color w:val="auto"/>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前一年度资产负债表等财务报表资料文件；</w:t>
      </w:r>
      <w:r>
        <w:rPr>
          <w:rFonts w:ascii="宋体" w:hAnsi="宋体" w:cs="宋体"/>
          <w:color w:val="auto"/>
          <w:highlight w:val="none"/>
        </w:rPr>
        <w:t>(</w:t>
      </w:r>
      <w:r>
        <w:rPr>
          <w:rFonts w:hint="eastAsia" w:ascii="宋体" w:hAnsi="宋体" w:cs="宋体"/>
          <w:color w:val="auto"/>
          <w:highlight w:val="none"/>
        </w:rPr>
        <w:t>新成立的公司，必须提供情况说明</w:t>
      </w:r>
      <w:r>
        <w:rPr>
          <w:rFonts w:ascii="宋体" w:hAnsi="宋体" w:cs="宋体"/>
          <w:color w:val="auto"/>
          <w:highlight w:val="none"/>
        </w:rPr>
        <w:t>)</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具有履行合同所必需的产品和专业技术能力的承诺函；</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提供有效的依法缴纳税收证明（完税凭证或税务部门出具的证明）和提供有效的依法缴纳社会保障资金证明（缴纳凭证或人社部门出具的证明）；</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参加政府采购活动前三年内，在经营活动中没有重大违法记录的声明。</w:t>
      </w:r>
    </w:p>
    <w:p>
      <w:pPr>
        <w:pStyle w:val="49"/>
        <w:numPr>
          <w:ilvl w:val="0"/>
          <w:numId w:val="10"/>
        </w:numPr>
        <w:spacing w:before="0"/>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评分对应表（格式见附件，主要用于评委对应评分内容）；</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磋商项目明细清单（格式见附件）；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技术响应及建议表（格式见附件）；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商务响应表（格式见附件）；</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技术设计书</w:t>
      </w:r>
      <w:r>
        <w:rPr>
          <w:rFonts w:hint="eastAsia" w:ascii="宋体" w:hAnsi="宋体" w:cs="宋体"/>
          <w:color w:val="auto"/>
          <w:highlight w:val="none"/>
          <w:lang w:eastAsia="zh-CN"/>
        </w:rPr>
        <w:t>；</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关键技术重点、难点及解决方案；</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项目质量控制；</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项目实施进度控制措施；</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技术力量；</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质量服务；</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业绩；</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证书；</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荣誉；</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供应商认为需要的其他文件资料。</w:t>
      </w:r>
      <w:r>
        <w:rPr>
          <w:rFonts w:ascii="宋体" w:hAnsi="宋体" w:cs="宋体"/>
          <w:color w:val="auto"/>
          <w:highlight w:val="none"/>
        </w:rPr>
        <w:t xml:space="preserve"> </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49"/>
        <w:numPr>
          <w:ilvl w:val="0"/>
          <w:numId w:val="10"/>
        </w:numPr>
        <w:spacing w:before="0"/>
        <w:ind w:firstLine="480"/>
        <w:rPr>
          <w:rFonts w:ascii="宋体"/>
          <w:color w:val="auto"/>
          <w:highlight w:val="none"/>
        </w:rPr>
      </w:pPr>
      <w:r>
        <w:rPr>
          <w:rFonts w:hint="eastAsia" w:ascii="宋体" w:hAnsi="宋体" w:cs="宋体"/>
          <w:color w:val="auto"/>
          <w:highlight w:val="none"/>
        </w:rPr>
        <w:t>报价文件包括以下内容：</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磋商函（格式见附件）；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报价一览表（格式见附件）；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磋商报价明细表（格式见附件）；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中小企业声明函</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残疾人福利性单位声明函</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监狱企业证明文件</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9"/>
        <w:spacing w:before="0"/>
        <w:ind w:firstLine="241" w:firstLineChars="100"/>
        <w:rPr>
          <w:rFonts w:ascii="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49"/>
        <w:spacing w:before="0"/>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5</w:t>
      </w:r>
      <w:r>
        <w:rPr>
          <w:rFonts w:ascii="宋体" w:hAnsi="宋体" w:cs="宋体"/>
          <w:color w:val="auto"/>
          <w:highlight w:val="none"/>
        </w:rPr>
        <w:t xml:space="preserve"> </w:t>
      </w:r>
      <w:r>
        <w:rPr>
          <w:rFonts w:hint="eastAsia" w:ascii="宋体" w:hAnsi="宋体" w:cs="宋体"/>
          <w:color w:val="auto"/>
          <w:highlight w:val="none"/>
        </w:rPr>
        <w:t>供应商采取提供虚假资料等不正当手段的；</w:t>
      </w:r>
    </w:p>
    <w:p>
      <w:pPr>
        <w:pStyle w:val="49"/>
        <w:spacing w:before="0"/>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6</w:t>
      </w:r>
      <w:r>
        <w:rPr>
          <w:rFonts w:ascii="宋体" w:hAnsi="宋体" w:cs="宋体"/>
          <w:color w:val="auto"/>
          <w:highlight w:val="none"/>
        </w:rPr>
        <w:t xml:space="preserve"> </w:t>
      </w:r>
      <w:r>
        <w:rPr>
          <w:rFonts w:hint="eastAsia" w:ascii="宋体" w:hAnsi="宋体" w:cs="宋体"/>
          <w:color w:val="auto"/>
          <w:highlight w:val="none"/>
        </w:rPr>
        <w:t>供应商在投标过程中串通投标的。</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w:t>
      </w:r>
      <w:r>
        <w:rPr>
          <w:rFonts w:ascii="宋体" w:hAnsi="宋体" w:cs="宋体"/>
          <w:b/>
          <w:bCs/>
          <w:color w:val="auto"/>
          <w:highlight w:val="none"/>
        </w:rPr>
        <w:t xml:space="preserve"> </w:t>
      </w:r>
      <w:r>
        <w:rPr>
          <w:rFonts w:hint="eastAsia" w:ascii="宋体" w:hAnsi="宋体" w:cs="宋体"/>
          <w:b/>
          <w:bCs/>
          <w:color w:val="auto"/>
          <w:highlight w:val="none"/>
        </w:rPr>
        <w:t>响应文件的形式</w:t>
      </w:r>
    </w:p>
    <w:p>
      <w:pPr>
        <w:pStyle w:val="49"/>
        <w:spacing w:before="0"/>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2"/>
        <w:numPr>
          <w:ilvl w:val="0"/>
          <w:numId w:val="9"/>
        </w:numPr>
        <w:jc w:val="center"/>
        <w:rPr>
          <w:rFonts w:cs="Times New Roman"/>
          <w:color w:val="auto"/>
          <w:highlight w:val="none"/>
        </w:rPr>
      </w:pPr>
      <w:bookmarkStart w:id="56" w:name="_Toc1420"/>
      <w:r>
        <w:rPr>
          <w:color w:val="auto"/>
          <w:highlight w:val="none"/>
        </w:rPr>
        <w:t xml:space="preserve"> </w:t>
      </w:r>
      <w:bookmarkStart w:id="57" w:name="_Toc21266"/>
      <w:bookmarkStart w:id="58" w:name="_Toc16795"/>
      <w:r>
        <w:rPr>
          <w:rFonts w:hint="eastAsia"/>
          <w:color w:val="auto"/>
          <w:highlight w:val="none"/>
        </w:rPr>
        <w:t>响应文件的递交</w:t>
      </w:r>
      <w:bookmarkEnd w:id="56"/>
      <w:bookmarkEnd w:id="57"/>
      <w:bookmarkEnd w:id="58"/>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49"/>
        <w:numPr>
          <w:ilvl w:val="0"/>
          <w:numId w:val="14"/>
        </w:numPr>
        <w:spacing w:before="0"/>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49"/>
        <w:numPr>
          <w:ilvl w:val="0"/>
          <w:numId w:val="14"/>
        </w:numPr>
        <w:spacing w:before="0"/>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1"/>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2"/>
        <w:numPr>
          <w:ilvl w:val="0"/>
          <w:numId w:val="9"/>
        </w:numPr>
        <w:jc w:val="center"/>
        <w:rPr>
          <w:rFonts w:hAnsi="宋体" w:cs="Times New Roman"/>
          <w:color w:val="auto"/>
          <w:highlight w:val="none"/>
        </w:rPr>
      </w:pPr>
      <w:r>
        <w:rPr>
          <w:color w:val="auto"/>
          <w:highlight w:val="none"/>
        </w:rPr>
        <w:t xml:space="preserve"> </w:t>
      </w:r>
      <w:bookmarkStart w:id="59" w:name="_Toc27406"/>
      <w:bookmarkStart w:id="60" w:name="_Toc24120"/>
      <w:r>
        <w:rPr>
          <w:rFonts w:hint="eastAsia"/>
          <w:color w:val="auto"/>
          <w:highlight w:val="none"/>
        </w:rPr>
        <w:t>磋商无效的情形</w:t>
      </w:r>
      <w:bookmarkEnd w:id="59"/>
      <w:bookmarkEnd w:id="60"/>
    </w:p>
    <w:p>
      <w:pPr>
        <w:pStyle w:val="11"/>
        <w:snapToGrid w:val="0"/>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1"/>
        <w:snapToGrid w:val="0"/>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60"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bCs/>
          <w:color w:val="auto"/>
          <w:sz w:val="24"/>
          <w:szCs w:val="24"/>
          <w:highlight w:val="none"/>
        </w:rPr>
        <w:t>16.17</w:t>
      </w:r>
      <w:r>
        <w:rPr>
          <w:rFonts w:hint="eastAsia" w:ascii="宋体" w:hAnsi="宋体" w:cs="宋体"/>
          <w:b/>
          <w:color w:val="auto"/>
          <w:sz w:val="24"/>
          <w:highlight w:val="none"/>
        </w:rPr>
        <w:t>员工工资标准低于上虞区最低工资标准的；</w:t>
      </w:r>
    </w:p>
    <w:p>
      <w:pPr>
        <w:tabs>
          <w:tab w:val="left" w:pos="3870"/>
          <w:tab w:val="left" w:pos="4085"/>
        </w:tabs>
        <w:snapToGri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16.18 其他违反法律、法规的情形。</w:t>
      </w:r>
    </w:p>
    <w:p>
      <w:pPr>
        <w:pStyle w:val="2"/>
        <w:numPr>
          <w:ilvl w:val="0"/>
          <w:numId w:val="9"/>
        </w:numPr>
        <w:jc w:val="center"/>
        <w:rPr>
          <w:rFonts w:cs="Times New Roman"/>
          <w:color w:val="auto"/>
          <w:highlight w:val="none"/>
        </w:rPr>
      </w:pPr>
      <w:r>
        <w:rPr>
          <w:color w:val="auto"/>
          <w:highlight w:val="none"/>
        </w:rPr>
        <w:t xml:space="preserve"> </w:t>
      </w:r>
      <w:bookmarkStart w:id="61" w:name="_Toc26606"/>
      <w:bookmarkStart w:id="62" w:name="_Toc21752"/>
      <w:r>
        <w:rPr>
          <w:rFonts w:hint="eastAsia"/>
          <w:color w:val="auto"/>
          <w:highlight w:val="none"/>
        </w:rPr>
        <w:t>采购中止的情形</w:t>
      </w:r>
      <w:bookmarkEnd w:id="61"/>
      <w:bookmarkEnd w:id="62"/>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49"/>
        <w:tabs>
          <w:tab w:val="left" w:pos="0"/>
        </w:tabs>
        <w:spacing w:before="0"/>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49"/>
        <w:tabs>
          <w:tab w:val="left" w:pos="0"/>
        </w:tabs>
        <w:spacing w:before="0"/>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2"/>
        <w:numPr>
          <w:ilvl w:val="0"/>
          <w:numId w:val="9"/>
        </w:numPr>
        <w:jc w:val="center"/>
        <w:rPr>
          <w:rFonts w:cs="Times New Roman"/>
          <w:color w:val="auto"/>
          <w:highlight w:val="none"/>
        </w:rPr>
      </w:pPr>
      <w:r>
        <w:rPr>
          <w:color w:val="auto"/>
          <w:highlight w:val="none"/>
        </w:rPr>
        <w:t xml:space="preserve"> </w:t>
      </w:r>
      <w:bookmarkStart w:id="63" w:name="_Toc18704"/>
      <w:bookmarkStart w:id="64" w:name="_Toc14029"/>
      <w:r>
        <w:rPr>
          <w:rFonts w:hint="eastAsia"/>
          <w:color w:val="auto"/>
          <w:highlight w:val="none"/>
        </w:rPr>
        <w:t>确定成交供应商与签订合同</w:t>
      </w:r>
      <w:bookmarkEnd w:id="63"/>
      <w:bookmarkEnd w:id="64"/>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49"/>
        <w:snapToGrid w:val="0"/>
        <w:spacing w:before="0"/>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49"/>
        <w:snapToGrid w:val="0"/>
        <w:spacing w:before="0"/>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rPr>
        <w:t>绍兴市自然资源和规划局上虞分局</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9"/>
        <w:rPr>
          <w:rFonts w:cs="Times New Roman"/>
          <w:color w:val="auto"/>
          <w:highlight w:val="none"/>
        </w:rPr>
      </w:pPr>
    </w:p>
    <w:p>
      <w:pPr>
        <w:pStyle w:val="4"/>
        <w:numPr>
          <w:ilvl w:val="0"/>
          <w:numId w:val="16"/>
        </w:numPr>
        <w:jc w:val="center"/>
        <w:rPr>
          <w:rFonts w:cs="宋体"/>
          <w:color w:val="auto"/>
          <w:sz w:val="36"/>
          <w:szCs w:val="36"/>
          <w:highlight w:val="none"/>
        </w:rPr>
      </w:pPr>
      <w:r>
        <w:rPr>
          <w:color w:val="auto"/>
          <w:sz w:val="36"/>
          <w:szCs w:val="36"/>
          <w:highlight w:val="none"/>
        </w:rPr>
        <w:br w:type="page"/>
      </w:r>
      <w:bookmarkStart w:id="65" w:name="_Toc5141"/>
      <w:bookmarkStart w:id="66" w:name="_Toc21248"/>
      <w:r>
        <w:rPr>
          <w:rFonts w:hint="eastAsia" w:cs="宋体"/>
          <w:color w:val="auto"/>
          <w:sz w:val="36"/>
          <w:szCs w:val="36"/>
          <w:highlight w:val="none"/>
        </w:rPr>
        <w:t>采购内容及要求</w:t>
      </w:r>
      <w:bookmarkEnd w:id="65"/>
      <w:bookmarkEnd w:id="66"/>
    </w:p>
    <w:p>
      <w:pPr>
        <w:pStyle w:val="2"/>
        <w:jc w:val="center"/>
        <w:rPr>
          <w:color w:val="auto"/>
          <w:highlight w:val="none"/>
        </w:rPr>
      </w:pPr>
      <w:bookmarkStart w:id="67" w:name="_Toc25073"/>
      <w:bookmarkStart w:id="68" w:name="_Toc18103"/>
      <w:bookmarkStart w:id="69" w:name="_Toc29151"/>
      <w:r>
        <w:rPr>
          <w:rFonts w:hint="eastAsia"/>
          <w:color w:val="auto"/>
          <w:highlight w:val="none"/>
        </w:rPr>
        <w:t>第一章</w:t>
      </w:r>
      <w:bookmarkStart w:id="70" w:name="_Toc506107120"/>
      <w:r>
        <w:rPr>
          <w:rFonts w:hint="eastAsia"/>
          <w:color w:val="auto"/>
          <w:highlight w:val="none"/>
        </w:rPr>
        <w:t xml:space="preserve"> 采购内容及要求</w:t>
      </w:r>
      <w:bookmarkEnd w:id="67"/>
      <w:bookmarkEnd w:id="68"/>
      <w:bookmarkEnd w:id="69"/>
      <w:bookmarkEnd w:id="70"/>
    </w:p>
    <w:p>
      <w:pPr>
        <w:snapToGrid w:val="0"/>
        <w:spacing w:line="360" w:lineRule="auto"/>
        <w:ind w:firstLine="482" w:firstLineChars="200"/>
        <w:rPr>
          <w:rFonts w:ascii="宋体" w:hAnsi="宋体" w:cs="Courier New"/>
          <w:b/>
          <w:bCs/>
          <w:color w:val="auto"/>
          <w:sz w:val="24"/>
          <w:highlight w:val="none"/>
        </w:rPr>
      </w:pPr>
      <w:bookmarkStart w:id="71" w:name="_Toc15284"/>
      <w:r>
        <w:rPr>
          <w:rFonts w:hint="eastAsia" w:ascii="宋体" w:hAnsi="宋体" w:cs="Courier New"/>
          <w:b/>
          <w:bCs/>
          <w:color w:val="auto"/>
          <w:sz w:val="24"/>
          <w:highlight w:val="none"/>
        </w:rPr>
        <w:t>一、项目背景</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地理国情监测是对相关的地理国情要素进行动态和定量化、空间化的监测，并统计分析其变化量、变化频率、分布特征、地域差异、变化趋势等，形成反映其空间分布及其发展变化规律的监测数据和研究报告。根据浙江省2</w:t>
      </w:r>
      <w:r>
        <w:rPr>
          <w:rFonts w:ascii="宋体" w:hAnsi="宋体" w:cs="Courier New"/>
          <w:color w:val="auto"/>
          <w:sz w:val="24"/>
          <w:highlight w:val="none"/>
        </w:rPr>
        <w:t>021</w:t>
      </w:r>
      <w:r>
        <w:rPr>
          <w:rFonts w:hint="eastAsia" w:ascii="宋体" w:hAnsi="宋体" w:cs="Courier New"/>
          <w:color w:val="auto"/>
          <w:sz w:val="24"/>
          <w:highlight w:val="none"/>
        </w:rPr>
        <w:t>年自然资源调查监测工作要点，绍兴市自然资源和规划局上虞分局组织年度地理国情监测工作，开展城市建成区绿化覆盖率和绿地率及其他专题监测，确保监测时序的连续性、完整性。</w:t>
      </w:r>
      <w:bookmarkStart w:id="72" w:name="_Toc3449"/>
      <w:bookmarkStart w:id="73" w:name="_Toc484616938"/>
      <w:bookmarkStart w:id="74" w:name="_Toc484446715"/>
    </w:p>
    <w:p>
      <w:pPr>
        <w:snapToGrid w:val="0"/>
        <w:spacing w:line="360"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二、</w:t>
      </w:r>
      <w:r>
        <w:rPr>
          <w:rFonts w:ascii="宋体" w:hAnsi="宋体" w:cs="Courier New"/>
          <w:b/>
          <w:bCs/>
          <w:color w:val="auto"/>
          <w:sz w:val="24"/>
          <w:highlight w:val="none"/>
        </w:rPr>
        <w:t>项目内容</w:t>
      </w:r>
      <w:bookmarkEnd w:id="72"/>
      <w:bookmarkEnd w:id="73"/>
      <w:bookmarkEnd w:id="74"/>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1、2021年度“一区两率”监测</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城市建成区监测主要内容：基于上虞区城市建成区调查本底，整理2021年度最新的遥感影像数据、已批用地红线、基础地理信息数据及其他专题数据，提取监测当年建成区变化图斑，形成更新后的城市建成区范围（监测范围包括上虞区各个乡镇、街道（2</w:t>
      </w:r>
      <w:r>
        <w:rPr>
          <w:rFonts w:ascii="宋体" w:hAnsi="宋体" w:cs="Courier New"/>
          <w:color w:val="auto"/>
          <w:sz w:val="24"/>
          <w:highlight w:val="none"/>
        </w:rPr>
        <w:t>0</w:t>
      </w:r>
      <w:r>
        <w:rPr>
          <w:rFonts w:hint="eastAsia" w:ascii="宋体" w:hAnsi="宋体" w:cs="Courier New"/>
          <w:color w:val="auto"/>
          <w:sz w:val="24"/>
          <w:highlight w:val="none"/>
        </w:rPr>
        <w:t>个）以及围垦区）。</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绿地率及绿化覆盖率监测主要内容是：基于上虞区城市建成区绿地率及绿化覆盖率调查本底，对照高分辨率遥感影像、2021年度大比例尺基础地理信息数据和竣工测绘成果中的绿地数据，提取监测当年建成区绿地率及绿化覆盖率变化图斑，形成最新的绿地数据，结合城镇建成区数据计算绿地率及绿化覆盖率（监测范围包括上虞区各个乡镇、街道（2</w:t>
      </w:r>
      <w:r>
        <w:rPr>
          <w:rFonts w:ascii="宋体" w:hAnsi="宋体" w:cs="Courier New"/>
          <w:color w:val="auto"/>
          <w:sz w:val="24"/>
          <w:highlight w:val="none"/>
        </w:rPr>
        <w:t>0</w:t>
      </w:r>
      <w:r>
        <w:rPr>
          <w:rFonts w:hint="eastAsia" w:ascii="宋体" w:hAnsi="宋体" w:cs="Courier New"/>
          <w:color w:val="auto"/>
          <w:sz w:val="24"/>
          <w:highlight w:val="none"/>
        </w:rPr>
        <w:t>个）以及围垦区）。</w:t>
      </w:r>
    </w:p>
    <w:p>
      <w:pPr>
        <w:snapToGrid w:val="0"/>
        <w:spacing w:line="360" w:lineRule="auto"/>
        <w:ind w:firstLine="480" w:firstLineChars="200"/>
        <w:rPr>
          <w:rFonts w:ascii="宋体" w:hAnsi="宋体" w:cs="Courier New"/>
          <w:color w:val="auto"/>
          <w:sz w:val="24"/>
          <w:highlight w:val="none"/>
        </w:rPr>
      </w:pPr>
      <w:r>
        <w:rPr>
          <w:rFonts w:ascii="宋体" w:hAnsi="宋体" w:cs="Courier New"/>
          <w:color w:val="auto"/>
          <w:sz w:val="24"/>
          <w:highlight w:val="none"/>
        </w:rPr>
        <w:t>2</w:t>
      </w:r>
      <w:r>
        <w:rPr>
          <w:rFonts w:hint="eastAsia" w:ascii="宋体" w:hAnsi="宋体" w:cs="Courier New"/>
          <w:color w:val="auto"/>
          <w:sz w:val="24"/>
          <w:highlight w:val="none"/>
        </w:rPr>
        <w:t>、2021年度地理国情专题内容监测</w:t>
      </w:r>
    </w:p>
    <w:p>
      <w:pPr>
        <w:snapToGrid w:val="0"/>
        <w:spacing w:line="360" w:lineRule="auto"/>
        <w:ind w:firstLine="480" w:firstLineChars="200"/>
        <w:rPr>
          <w:rFonts w:ascii="宋体" w:hAnsi="宋体" w:cs="Courier New"/>
          <w:color w:val="auto"/>
          <w:sz w:val="24"/>
          <w:highlight w:val="none"/>
        </w:rPr>
      </w:pPr>
      <w:bookmarkStart w:id="75" w:name="_Toc389644674"/>
      <w:r>
        <w:rPr>
          <w:rFonts w:hint="eastAsia" w:ascii="宋体" w:hAnsi="宋体" w:cs="Courier New"/>
          <w:color w:val="auto"/>
          <w:sz w:val="24"/>
          <w:highlight w:val="none"/>
        </w:rPr>
        <w:t>（</w:t>
      </w:r>
      <w:r>
        <w:rPr>
          <w:rFonts w:ascii="宋体" w:hAnsi="宋体" w:cs="Courier New"/>
          <w:color w:val="auto"/>
          <w:sz w:val="24"/>
          <w:highlight w:val="none"/>
        </w:rPr>
        <w:t>1</w:t>
      </w:r>
      <w:r>
        <w:rPr>
          <w:rFonts w:hint="eastAsia" w:ascii="宋体" w:hAnsi="宋体" w:cs="Courier New"/>
          <w:color w:val="auto"/>
          <w:sz w:val="24"/>
          <w:highlight w:val="none"/>
        </w:rPr>
        <w:t>）重要基础设施和公共服务设施监测</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以20</w:t>
      </w:r>
      <w:r>
        <w:rPr>
          <w:rFonts w:ascii="宋体" w:hAnsi="宋体" w:cs="Courier New"/>
          <w:color w:val="auto"/>
          <w:sz w:val="24"/>
          <w:highlight w:val="none"/>
        </w:rPr>
        <w:t>20</w:t>
      </w:r>
      <w:r>
        <w:rPr>
          <w:rFonts w:hint="eastAsia" w:ascii="宋体" w:hAnsi="宋体" w:cs="Courier New"/>
          <w:color w:val="auto"/>
          <w:sz w:val="24"/>
          <w:highlight w:val="none"/>
        </w:rPr>
        <w:t>年调查成果为本底库，依据最新收集的资料，对学校、医院、社会福利机构、乡镇及以上政府、港口、车站、加油站的名称、类型、等级、定位点进行监测更新，并对比本底数据，对变化部分进行监测统计。</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2</w:t>
      </w:r>
      <w:r>
        <w:rPr>
          <w:rFonts w:hint="eastAsia" w:ascii="宋体" w:hAnsi="宋体" w:cs="Courier New"/>
          <w:color w:val="auto"/>
          <w:sz w:val="24"/>
          <w:highlight w:val="none"/>
        </w:rPr>
        <w:t>）</w:t>
      </w:r>
      <w:bookmarkEnd w:id="75"/>
      <w:r>
        <w:rPr>
          <w:rFonts w:hint="eastAsia" w:ascii="宋体" w:hAnsi="宋体" w:cs="Courier New"/>
          <w:color w:val="auto"/>
          <w:sz w:val="24"/>
          <w:highlight w:val="none"/>
        </w:rPr>
        <w:t>文化体育场所监测</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风景名胜区、历史文化保护区要素提取技术线路和精度要求参照《浙江省第一次地理国情普查实施方案》执行。在20</w:t>
      </w:r>
      <w:r>
        <w:rPr>
          <w:rFonts w:ascii="宋体" w:hAnsi="宋体" w:cs="Courier New"/>
          <w:color w:val="auto"/>
          <w:sz w:val="24"/>
          <w:highlight w:val="none"/>
        </w:rPr>
        <w:t>20</w:t>
      </w:r>
      <w:r>
        <w:rPr>
          <w:rFonts w:hint="eastAsia" w:ascii="宋体" w:hAnsi="宋体" w:cs="Courier New"/>
          <w:color w:val="auto"/>
          <w:sz w:val="24"/>
          <w:highlight w:val="none"/>
        </w:rPr>
        <w:t>年的本底库的基础上依据最新的资料对风景名胜区名称、等级、面积进行监测更新，对变化的区域进行实地调绘。</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3</w:t>
      </w:r>
      <w:r>
        <w:rPr>
          <w:rFonts w:hint="eastAsia" w:ascii="宋体" w:hAnsi="宋体" w:cs="Courier New"/>
          <w:color w:val="auto"/>
          <w:sz w:val="24"/>
          <w:highlight w:val="none"/>
        </w:rPr>
        <w:t>）特色产业园、专业市场、停车位监测</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以201</w:t>
      </w:r>
      <w:r>
        <w:rPr>
          <w:rFonts w:ascii="宋体" w:hAnsi="宋体" w:cs="Courier New"/>
          <w:color w:val="auto"/>
          <w:sz w:val="24"/>
          <w:highlight w:val="none"/>
        </w:rPr>
        <w:t>9</w:t>
      </w:r>
      <w:r>
        <w:rPr>
          <w:rFonts w:hint="eastAsia" w:ascii="宋体" w:hAnsi="宋体" w:cs="Courier New"/>
          <w:color w:val="auto"/>
          <w:sz w:val="24"/>
          <w:highlight w:val="none"/>
        </w:rPr>
        <w:t>年调查成果为本底库，依据最新收集的资料，对特色产业园、专业市场、停车位的地理位置、范围、基础设施、产业类型进行更新监测，通过影像图内业预判，外业综合调绘，后期数据整理完成本次监测任务。</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4</w:t>
      </w:r>
      <w:r>
        <w:rPr>
          <w:rFonts w:hint="eastAsia" w:ascii="宋体" w:hAnsi="宋体" w:cs="Courier New"/>
          <w:color w:val="auto"/>
          <w:sz w:val="24"/>
          <w:highlight w:val="none"/>
        </w:rPr>
        <w:t>）总体地形地貌特征监测</w:t>
      </w:r>
    </w:p>
    <w:p>
      <w:pPr>
        <w:snapToGrid w:val="0"/>
        <w:spacing w:line="360" w:lineRule="auto"/>
        <w:ind w:firstLine="480" w:firstLineChars="200"/>
        <w:rPr>
          <w:rFonts w:ascii="宋体" w:hAnsi="宋体" w:cs="Courier New"/>
          <w:color w:val="auto"/>
          <w:sz w:val="24"/>
          <w:highlight w:val="none"/>
        </w:rPr>
      </w:pPr>
      <w:r>
        <w:rPr>
          <w:rFonts w:ascii="宋体" w:hAnsi="宋体" w:cs="Courier New"/>
          <w:color w:val="auto"/>
          <w:sz w:val="24"/>
          <w:highlight w:val="none"/>
        </w:rPr>
        <w:t>基于上虞区</w:t>
      </w:r>
      <w:r>
        <w:rPr>
          <w:rFonts w:hint="eastAsia" w:ascii="宋体" w:hAnsi="宋体" w:cs="Courier New"/>
          <w:color w:val="auto"/>
          <w:sz w:val="24"/>
          <w:highlight w:val="none"/>
        </w:rPr>
        <w:t>总体地形地貌特征调查本底，结合202</w:t>
      </w:r>
      <w:r>
        <w:rPr>
          <w:rFonts w:ascii="宋体" w:hAnsi="宋体" w:cs="Courier New"/>
          <w:color w:val="auto"/>
          <w:sz w:val="24"/>
          <w:highlight w:val="none"/>
        </w:rPr>
        <w:t>1</w:t>
      </w:r>
      <w:r>
        <w:rPr>
          <w:rFonts w:hint="eastAsia" w:ascii="宋体" w:hAnsi="宋体" w:cs="Courier New"/>
          <w:color w:val="auto"/>
          <w:sz w:val="24"/>
          <w:highlight w:val="none"/>
        </w:rPr>
        <w:t>年最新1：2000基础地理信息数据库2m格网DEM数据和1：10000基础地理信息数据中的水面数据、高分辨率遥感影像，对上虞区高程、坡度伏度进行分级、量算及统计，并对比本底数据，发现地形地貌特征变化区域，进行监测统计。</w:t>
      </w:r>
    </w:p>
    <w:p>
      <w:pPr>
        <w:snapToGrid w:val="0"/>
        <w:spacing w:line="360" w:lineRule="auto"/>
        <w:ind w:firstLine="480" w:firstLineChars="200"/>
        <w:rPr>
          <w:rFonts w:ascii="宋体" w:hAnsi="宋体" w:cs="Courier New"/>
          <w:color w:val="auto"/>
          <w:sz w:val="24"/>
          <w:highlight w:val="none"/>
        </w:rPr>
      </w:pPr>
      <w:r>
        <w:rPr>
          <w:rFonts w:ascii="宋体" w:hAnsi="宋体" w:cs="Courier New"/>
          <w:color w:val="auto"/>
          <w:sz w:val="24"/>
          <w:highlight w:val="none"/>
        </w:rPr>
        <w:t>3</w:t>
      </w:r>
      <w:r>
        <w:rPr>
          <w:rFonts w:hint="eastAsia" w:ascii="宋体" w:hAnsi="宋体" w:cs="Courier New"/>
          <w:color w:val="auto"/>
          <w:sz w:val="24"/>
          <w:highlight w:val="none"/>
        </w:rPr>
        <w:t>、地理国情统计分析报告</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编写绍兴市上虞区地理国情监测（2021年）统计分析报告</w:t>
      </w:r>
      <w:bookmarkStart w:id="76" w:name="_Toc29129"/>
      <w:bookmarkStart w:id="77" w:name="_Toc484616939"/>
      <w:bookmarkStart w:id="78" w:name="_Toc484446716"/>
      <w:r>
        <w:rPr>
          <w:rFonts w:hint="eastAsia" w:ascii="宋体" w:hAnsi="宋体" w:cs="Courier New"/>
          <w:color w:val="auto"/>
          <w:sz w:val="24"/>
          <w:highlight w:val="none"/>
        </w:rPr>
        <w:t>。</w:t>
      </w:r>
    </w:p>
    <w:p>
      <w:pPr>
        <w:snapToGrid w:val="0"/>
        <w:spacing w:line="360" w:lineRule="auto"/>
        <w:ind w:firstLine="480" w:firstLineChars="200"/>
        <w:rPr>
          <w:color w:val="auto"/>
          <w:sz w:val="24"/>
          <w:highlight w:val="none"/>
        </w:rPr>
      </w:pPr>
      <w:r>
        <w:rPr>
          <w:rFonts w:hint="eastAsia" w:ascii="宋体" w:hAnsi="宋体" w:cs="Courier New"/>
          <w:color w:val="auto"/>
          <w:sz w:val="24"/>
          <w:highlight w:val="none"/>
        </w:rPr>
        <w:t>4、</w:t>
      </w:r>
      <w:r>
        <w:rPr>
          <w:rFonts w:hint="eastAsia"/>
          <w:color w:val="auto"/>
          <w:sz w:val="24"/>
          <w:highlight w:val="none"/>
        </w:rPr>
        <w:t>变化监测分析和数据展示配套设施</w:t>
      </w:r>
    </w:p>
    <w:p>
      <w:pPr>
        <w:snapToGrid w:val="0"/>
        <w:spacing w:line="360" w:lineRule="auto"/>
        <w:ind w:firstLine="424" w:firstLineChars="177"/>
        <w:rPr>
          <w:rFonts w:ascii="宋体" w:hAnsi="宋体" w:cs="Courier New"/>
          <w:color w:val="auto"/>
          <w:sz w:val="24"/>
          <w:highlight w:val="none"/>
        </w:rPr>
      </w:pPr>
      <w:r>
        <w:rPr>
          <w:rFonts w:hint="eastAsia" w:ascii="宋体" w:hAnsi="宋体" w:cs="Courier New"/>
          <w:color w:val="auto"/>
          <w:sz w:val="24"/>
          <w:highlight w:val="none"/>
        </w:rPr>
        <w:t>为保障自然资源变化监测分析平台的人工智能分析算力，提高自然资源变化图斑自动提取的效率，配置满足平台需求的运算节点1</w:t>
      </w:r>
      <w:r>
        <w:rPr>
          <w:rFonts w:ascii="宋体" w:hAnsi="宋体" w:cs="Courier New"/>
          <w:color w:val="auto"/>
          <w:sz w:val="24"/>
          <w:highlight w:val="none"/>
        </w:rPr>
        <w:t>1</w:t>
      </w:r>
      <w:r>
        <w:rPr>
          <w:rFonts w:hint="eastAsia" w:ascii="宋体" w:hAnsi="宋体" w:cs="Courier New"/>
          <w:color w:val="auto"/>
          <w:sz w:val="24"/>
          <w:highlight w:val="none"/>
        </w:rPr>
        <w:t>个（包括节点间通信设施）；配套处理软件</w:t>
      </w:r>
      <w:r>
        <w:rPr>
          <w:rFonts w:ascii="宋体" w:hAnsi="宋体" w:cs="Courier New"/>
          <w:color w:val="auto"/>
          <w:sz w:val="24"/>
          <w:highlight w:val="none"/>
        </w:rPr>
        <w:t>南方cass10.2网络版</w:t>
      </w:r>
      <w:r>
        <w:rPr>
          <w:rFonts w:hint="eastAsia" w:ascii="宋体" w:hAnsi="宋体" w:cs="Courier New"/>
          <w:color w:val="auto"/>
          <w:sz w:val="24"/>
          <w:highlight w:val="none"/>
        </w:rPr>
        <w:t>（</w:t>
      </w:r>
      <w:r>
        <w:rPr>
          <w:rFonts w:ascii="宋体" w:hAnsi="宋体" w:cs="Courier New"/>
          <w:color w:val="auto"/>
          <w:sz w:val="24"/>
          <w:highlight w:val="none"/>
        </w:rPr>
        <w:t>2个节点</w:t>
      </w:r>
      <w:r>
        <w:rPr>
          <w:rFonts w:hint="eastAsia" w:ascii="宋体" w:hAnsi="宋体" w:cs="Courier New"/>
          <w:color w:val="auto"/>
          <w:sz w:val="24"/>
          <w:highlight w:val="none"/>
        </w:rPr>
        <w:t>）。</w:t>
      </w:r>
    </w:p>
    <w:p>
      <w:pPr>
        <w:snapToGrid w:val="0"/>
        <w:spacing w:line="360"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三、提交</w:t>
      </w:r>
      <w:r>
        <w:rPr>
          <w:rFonts w:ascii="宋体" w:hAnsi="宋体" w:cs="Courier New"/>
          <w:b/>
          <w:bCs/>
          <w:color w:val="auto"/>
          <w:sz w:val="24"/>
          <w:highlight w:val="none"/>
        </w:rPr>
        <w:t>成果</w:t>
      </w:r>
      <w:bookmarkEnd w:id="76"/>
      <w:bookmarkEnd w:id="77"/>
      <w:bookmarkEnd w:id="78"/>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（1）数据成果</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w:t>
      </w:r>
      <w:r>
        <w:rPr>
          <w:rFonts w:hint="eastAsia" w:ascii="宋体" w:hAnsi="宋体" w:cs="Courier New"/>
          <w:color w:val="auto"/>
          <w:sz w:val="24"/>
          <w:highlight w:val="none"/>
        </w:rPr>
        <w:t>监测成果数据</w:t>
      </w:r>
      <w:r>
        <w:rPr>
          <w:rFonts w:ascii="宋体" w:hAnsi="宋体" w:cs="Courier New"/>
          <w:color w:val="auto"/>
          <w:sz w:val="24"/>
          <w:highlight w:val="none"/>
        </w:rPr>
        <w:t>库</w:t>
      </w:r>
      <w:r>
        <w:rPr>
          <w:rFonts w:hint="eastAsia" w:ascii="宋体" w:hAnsi="宋体" w:cs="Courier New"/>
          <w:color w:val="auto"/>
          <w:sz w:val="24"/>
          <w:highlight w:val="none"/>
        </w:rPr>
        <w:t>（2021年）</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城市建成区绿化覆盖率及绿地现状监测成果</w:t>
      </w:r>
      <w:r>
        <w:rPr>
          <w:rFonts w:hint="eastAsia" w:ascii="宋体" w:hAnsi="宋体" w:cs="Courier New"/>
          <w:color w:val="auto"/>
          <w:sz w:val="24"/>
          <w:highlight w:val="none"/>
        </w:rPr>
        <w:t>数据库（2021年）</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绍兴市上虞区城市建成区遥感影像数据库（2021年）</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绍兴市上虞区国情专题监测成果数据库（2021年）</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绍兴市上虞区国情专题监测元数据库（2021年）</w:t>
      </w:r>
    </w:p>
    <w:p>
      <w:pPr>
        <w:snapToGrid w:val="0"/>
        <w:spacing w:line="360" w:lineRule="auto"/>
        <w:ind w:firstLine="480" w:firstLineChars="200"/>
        <w:rPr>
          <w:rFonts w:ascii="宋体" w:hAnsi="宋体" w:cs="Courier New"/>
          <w:color w:val="auto"/>
          <w:sz w:val="24"/>
          <w:highlight w:val="none"/>
        </w:rPr>
      </w:pPr>
      <w:bookmarkStart w:id="79" w:name="_Toc389248762"/>
      <w:bookmarkStart w:id="80" w:name="_Toc424826429"/>
      <w:bookmarkStart w:id="81" w:name="_Toc380147496"/>
      <w:r>
        <w:rPr>
          <w:rFonts w:hint="eastAsia" w:ascii="宋体" w:hAnsi="宋体" w:cs="Courier New"/>
          <w:color w:val="auto"/>
          <w:sz w:val="24"/>
          <w:highlight w:val="none"/>
        </w:rPr>
        <w:t>（2）报告成果</w:t>
      </w:r>
      <w:bookmarkEnd w:id="79"/>
      <w:bookmarkEnd w:id="80"/>
      <w:bookmarkEnd w:id="81"/>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城市建成区监测</w:t>
      </w:r>
      <w:r>
        <w:rPr>
          <w:rFonts w:hint="eastAsia" w:ascii="宋体" w:hAnsi="宋体" w:cs="Courier New"/>
          <w:color w:val="auto"/>
          <w:sz w:val="24"/>
          <w:highlight w:val="none"/>
        </w:rPr>
        <w:t>（2021）</w:t>
      </w:r>
      <w:r>
        <w:rPr>
          <w:rFonts w:ascii="宋体" w:hAnsi="宋体" w:cs="Courier New"/>
          <w:color w:val="auto"/>
          <w:sz w:val="24"/>
          <w:highlight w:val="none"/>
        </w:rPr>
        <w:t>成果报告</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城市建成区绿化覆盖率及绿地现状监测</w:t>
      </w:r>
      <w:r>
        <w:rPr>
          <w:rFonts w:hint="eastAsia" w:ascii="宋体" w:hAnsi="宋体" w:cs="Courier New"/>
          <w:color w:val="auto"/>
          <w:sz w:val="24"/>
          <w:highlight w:val="none"/>
        </w:rPr>
        <w:t>（2021）</w:t>
      </w:r>
      <w:r>
        <w:rPr>
          <w:rFonts w:ascii="宋体" w:hAnsi="宋体" w:cs="Courier New"/>
          <w:color w:val="auto"/>
          <w:sz w:val="24"/>
          <w:highlight w:val="none"/>
        </w:rPr>
        <w:t>成果报告</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绍兴市上虞区地理国情监测（2021年）成果及统计分析报告</w:t>
      </w:r>
    </w:p>
    <w:p>
      <w:pPr>
        <w:snapToGrid w:val="0"/>
        <w:spacing w:line="360" w:lineRule="auto"/>
        <w:ind w:firstLine="480" w:firstLineChars="200"/>
        <w:rPr>
          <w:rFonts w:ascii="宋体" w:hAnsi="宋体" w:cs="Courier New"/>
          <w:color w:val="auto"/>
          <w:sz w:val="24"/>
          <w:highlight w:val="none"/>
        </w:rPr>
      </w:pPr>
      <w:bookmarkStart w:id="82" w:name="_Toc424826431"/>
      <w:r>
        <w:rPr>
          <w:rFonts w:hint="eastAsia" w:ascii="宋体" w:hAnsi="宋体" w:cs="Courier New"/>
          <w:color w:val="auto"/>
          <w:sz w:val="24"/>
          <w:highlight w:val="none"/>
        </w:rPr>
        <w:t>（3）技术文档</w:t>
      </w:r>
      <w:bookmarkEnd w:id="82"/>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绍兴市上虞区地理国情监测（2021年）实施方案</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绍兴市上虞区地理国情监测（2021年）技术设计书</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绍兴市上虞区地理国情监测（2021年）技术总结</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绍兴市上虞区地理国情监测（2021年）成果质量检验报告</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（4）配套设施</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w:t>
      </w:r>
      <w:r>
        <w:rPr>
          <w:rFonts w:ascii="宋体" w:hAnsi="宋体" w:cs="Courier New"/>
          <w:color w:val="auto"/>
          <w:sz w:val="24"/>
          <w:highlight w:val="none"/>
        </w:rPr>
        <w:t>1</w:t>
      </w:r>
      <w:r>
        <w:rPr>
          <w:rFonts w:hint="eastAsia" w:ascii="宋体" w:hAnsi="宋体" w:cs="Courier New"/>
          <w:color w:val="auto"/>
          <w:sz w:val="24"/>
          <w:highlight w:val="none"/>
        </w:rPr>
        <w:t>个人工智能运算节点（包括节点间通信设施）</w:t>
      </w:r>
    </w:p>
    <w:p>
      <w:pPr>
        <w:snapToGrid w:val="0"/>
        <w:spacing w:line="360" w:lineRule="auto"/>
        <w:ind w:firstLine="480" w:firstLineChars="200"/>
        <w:rPr>
          <w:rFonts w:ascii="宋体" w:hAnsi="宋体" w:cs="Courier New"/>
          <w:color w:val="auto"/>
          <w:sz w:val="24"/>
          <w:highlight w:val="none"/>
        </w:rPr>
      </w:pPr>
      <w:r>
        <w:rPr>
          <w:rFonts w:ascii="宋体" w:hAnsi="宋体" w:cs="Courier New"/>
          <w:color w:val="auto"/>
          <w:sz w:val="24"/>
          <w:highlight w:val="none"/>
        </w:rPr>
        <w:t>南方cass10.2网络版</w:t>
      </w:r>
      <w:r>
        <w:rPr>
          <w:rFonts w:hint="eastAsia" w:ascii="宋体" w:hAnsi="宋体" w:cs="Courier New"/>
          <w:color w:val="auto"/>
          <w:sz w:val="24"/>
          <w:highlight w:val="none"/>
        </w:rPr>
        <w:t>（</w:t>
      </w:r>
      <w:r>
        <w:rPr>
          <w:rFonts w:ascii="宋体" w:hAnsi="宋体" w:cs="Courier New"/>
          <w:color w:val="auto"/>
          <w:sz w:val="24"/>
          <w:highlight w:val="none"/>
        </w:rPr>
        <w:t>2个节点</w:t>
      </w:r>
      <w:r>
        <w:rPr>
          <w:rFonts w:hint="eastAsia" w:ascii="宋体" w:hAnsi="宋体" w:cs="Courier New"/>
          <w:color w:val="auto"/>
          <w:sz w:val="24"/>
          <w:highlight w:val="none"/>
        </w:rPr>
        <w:t>）</w:t>
      </w:r>
    </w:p>
    <w:p>
      <w:pPr>
        <w:numPr>
          <w:ilvl w:val="0"/>
          <w:numId w:val="17"/>
        </w:numPr>
        <w:snapToGrid w:val="0"/>
        <w:spacing w:line="360"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人员要求</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1、投入本项目的项目负责人具有教授级高工；</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2、投入本项目的实施人员中具有高级工程师认证的不低于6人。</w:t>
      </w:r>
    </w:p>
    <w:p>
      <w:pPr>
        <w:snapToGrid w:val="0"/>
        <w:spacing w:line="360"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五、项目</w:t>
      </w:r>
      <w:r>
        <w:rPr>
          <w:rFonts w:ascii="宋体" w:hAnsi="宋体" w:cs="Courier New"/>
          <w:b/>
          <w:bCs/>
          <w:color w:val="auto"/>
          <w:sz w:val="24"/>
          <w:highlight w:val="none"/>
        </w:rPr>
        <w:t>验收</w:t>
      </w:r>
      <w:r>
        <w:rPr>
          <w:rFonts w:hint="eastAsia" w:ascii="宋体" w:hAnsi="宋体" w:cs="Courier New"/>
          <w:b/>
          <w:bCs/>
          <w:color w:val="auto"/>
          <w:sz w:val="24"/>
          <w:highlight w:val="none"/>
        </w:rPr>
        <w:t>要求</w:t>
      </w:r>
    </w:p>
    <w:p>
      <w:pPr>
        <w:snapToGrid w:val="0"/>
        <w:spacing w:line="360"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1、成果供应商应在中标后，20天内提交技术投计书供采购人审核，并通过绍兴市自然资源和规划局上虞分局组织评审同意后，成果供应商必须按照此技术设计书实施作业。签订合同后7天内开始作业。</w:t>
      </w:r>
    </w:p>
    <w:p>
      <w:pPr>
        <w:pStyle w:val="21"/>
        <w:rPr>
          <w:color w:val="auto"/>
          <w:highlight w:val="none"/>
        </w:rPr>
      </w:pPr>
      <w:r>
        <w:rPr>
          <w:rFonts w:hint="eastAsia" w:cs="Courier New"/>
          <w:color w:val="auto"/>
          <w:szCs w:val="21"/>
          <w:highlight w:val="none"/>
        </w:rPr>
        <w:t>2、成果供应商必须保证成果质量并积极配合采购人委托的省级以上测绘质量检验机构进行的质量检查，如达不到规定质量标准，必须及时进行整改。否则采购人有权采取解除合同并没收履约保证金等惩罚性措施，项目截止日期2</w:t>
      </w:r>
      <w:r>
        <w:rPr>
          <w:rFonts w:cs="Courier New"/>
          <w:color w:val="auto"/>
          <w:szCs w:val="21"/>
          <w:highlight w:val="none"/>
        </w:rPr>
        <w:t>021</w:t>
      </w:r>
      <w:r>
        <w:rPr>
          <w:rFonts w:hint="eastAsia" w:cs="Courier New"/>
          <w:color w:val="auto"/>
          <w:szCs w:val="21"/>
          <w:highlight w:val="none"/>
        </w:rPr>
        <w:t>年1</w:t>
      </w:r>
      <w:r>
        <w:rPr>
          <w:rFonts w:cs="Courier New"/>
          <w:color w:val="auto"/>
          <w:szCs w:val="21"/>
          <w:highlight w:val="none"/>
        </w:rPr>
        <w:t>1</w:t>
      </w:r>
      <w:r>
        <w:rPr>
          <w:rFonts w:hint="eastAsia" w:cs="Courier New"/>
          <w:color w:val="auto"/>
          <w:szCs w:val="21"/>
          <w:highlight w:val="none"/>
        </w:rPr>
        <w:t>月3</w:t>
      </w:r>
      <w:r>
        <w:rPr>
          <w:rFonts w:cs="Courier New"/>
          <w:color w:val="auto"/>
          <w:szCs w:val="21"/>
          <w:highlight w:val="none"/>
        </w:rPr>
        <w:t>0</w:t>
      </w:r>
      <w:r>
        <w:rPr>
          <w:rFonts w:hint="eastAsia" w:cs="Courier New"/>
          <w:color w:val="auto"/>
          <w:szCs w:val="21"/>
          <w:highlight w:val="none"/>
        </w:rPr>
        <w:t>号，截止该日期项目必须完成</w:t>
      </w:r>
      <w:r>
        <w:rPr>
          <w:rFonts w:hint="eastAsia"/>
          <w:color w:val="auto"/>
          <w:highlight w:val="none"/>
        </w:rPr>
        <w:t>。</w:t>
      </w:r>
    </w:p>
    <w:p>
      <w:pPr>
        <w:pStyle w:val="2"/>
        <w:jc w:val="center"/>
        <w:rPr>
          <w:color w:val="auto"/>
          <w:highlight w:val="none"/>
        </w:rPr>
      </w:pPr>
    </w:p>
    <w:p>
      <w:pPr>
        <w:pStyle w:val="2"/>
        <w:rPr>
          <w:color w:val="auto"/>
          <w:highlight w:val="none"/>
        </w:rPr>
      </w:pPr>
    </w:p>
    <w:p>
      <w:pPr>
        <w:pStyle w:val="2"/>
        <w:jc w:val="center"/>
        <w:rPr>
          <w:color w:val="auto"/>
          <w:sz w:val="24"/>
          <w:szCs w:val="24"/>
          <w:highlight w:val="none"/>
        </w:rPr>
      </w:pPr>
      <w:bookmarkStart w:id="83" w:name="_Toc5874"/>
      <w:r>
        <w:rPr>
          <w:rFonts w:hint="eastAsia"/>
          <w:color w:val="auto"/>
          <w:highlight w:val="none"/>
        </w:rPr>
        <w:t>第二章 付款方式及要求</w:t>
      </w:r>
      <w:bookmarkEnd w:id="83"/>
    </w:p>
    <w:p>
      <w:pPr>
        <w:spacing w:line="360" w:lineRule="auto"/>
        <w:ind w:firstLine="720" w:firstLineChars="300"/>
        <w:rPr>
          <w:rFonts w:ascii="宋体" w:hAnsi="宋体" w:cs="仿宋_GB2312"/>
          <w:color w:val="auto"/>
          <w:sz w:val="24"/>
          <w:szCs w:val="24"/>
          <w:highlight w:val="none"/>
        </w:rPr>
      </w:pPr>
      <w:r>
        <w:rPr>
          <w:rFonts w:hint="eastAsia" w:ascii="宋体" w:hAnsi="宋体" w:cs="仿宋_GB2312"/>
          <w:color w:val="auto"/>
          <w:sz w:val="24"/>
          <w:szCs w:val="24"/>
          <w:highlight w:val="none"/>
        </w:rPr>
        <w:t>1、分期付款。甲方在乙方作业之日起三十个工作日内向乙方付合同总价的50%；项目通过绍兴市自然资源和规划局上虞分局组织验收后，向甲方提交经省级以上测绘质量检验机构进行的质量检查合格成果，在甲方所有合格成果之日起三十个工作日向乙方付合同总价的50%。</w:t>
      </w:r>
    </w:p>
    <w:p>
      <w:pPr>
        <w:spacing w:line="360" w:lineRule="auto"/>
        <w:ind w:firstLine="720" w:firstLineChars="300"/>
        <w:rPr>
          <w:rFonts w:ascii="宋体" w:hAnsi="宋体"/>
          <w:bCs/>
          <w:color w:val="auto"/>
          <w:sz w:val="24"/>
          <w:highlight w:val="none"/>
        </w:rPr>
      </w:pPr>
      <w:r>
        <w:rPr>
          <w:rFonts w:hint="eastAsia" w:ascii="宋体" w:hAnsi="宋体" w:cs="仿宋_GB2312"/>
          <w:color w:val="auto"/>
          <w:sz w:val="24"/>
          <w:szCs w:val="24"/>
          <w:highlight w:val="none"/>
        </w:rPr>
        <w:t>2、本合同签订后7个工作日内，乙方应向甲方支付合同总价3%的履约保证金（不计息），作为乙方认真履行合同条款的保证。履约保证在项目结束经过验收后转为质保金（不计息），质保金一年后退还（不计息）。</w:t>
      </w:r>
    </w:p>
    <w:p>
      <w:pPr>
        <w:rPr>
          <w:rFonts w:cs="宋体"/>
          <w:color w:val="auto"/>
          <w:sz w:val="36"/>
          <w:szCs w:val="36"/>
          <w:highlight w:val="none"/>
        </w:rPr>
      </w:pPr>
      <w:r>
        <w:rPr>
          <w:rFonts w:hint="eastAsia" w:cs="宋体"/>
          <w:color w:val="auto"/>
          <w:sz w:val="36"/>
          <w:szCs w:val="36"/>
          <w:highlight w:val="none"/>
        </w:rPr>
        <w:br w:type="page"/>
      </w:r>
    </w:p>
    <w:p>
      <w:pPr>
        <w:pStyle w:val="4"/>
        <w:jc w:val="center"/>
        <w:rPr>
          <w:rFonts w:cs="Times New Roman"/>
          <w:color w:val="auto"/>
          <w:sz w:val="36"/>
          <w:szCs w:val="36"/>
          <w:highlight w:val="none"/>
        </w:rPr>
      </w:pPr>
      <w:bookmarkStart w:id="84" w:name="_Toc17480"/>
      <w:r>
        <w:rPr>
          <w:rFonts w:hint="eastAsia" w:cs="宋体"/>
          <w:color w:val="auto"/>
          <w:sz w:val="36"/>
          <w:szCs w:val="36"/>
          <w:highlight w:val="none"/>
        </w:rPr>
        <w:t>第四部分 磋商原则及磋商方法</w:t>
      </w:r>
      <w:bookmarkEnd w:id="71"/>
      <w:bookmarkEnd w:id="84"/>
    </w:p>
    <w:p>
      <w:pPr>
        <w:pStyle w:val="2"/>
        <w:numPr>
          <w:ilvl w:val="0"/>
          <w:numId w:val="18"/>
        </w:numPr>
        <w:jc w:val="center"/>
        <w:rPr>
          <w:rFonts w:cs="Times New Roman"/>
          <w:color w:val="auto"/>
          <w:highlight w:val="none"/>
        </w:rPr>
      </w:pPr>
      <w:bookmarkStart w:id="85" w:name="_Toc1265"/>
      <w:r>
        <w:rPr>
          <w:rFonts w:hint="eastAsia"/>
          <w:color w:val="auto"/>
          <w:highlight w:val="none"/>
        </w:rPr>
        <w:t xml:space="preserve"> </w:t>
      </w:r>
      <w:bookmarkStart w:id="86" w:name="_Toc7904"/>
      <w:r>
        <w:rPr>
          <w:rFonts w:hint="eastAsia"/>
          <w:color w:val="auto"/>
          <w:highlight w:val="none"/>
        </w:rPr>
        <w:t>磋商原则</w:t>
      </w:r>
      <w:bookmarkEnd w:id="85"/>
      <w:bookmarkEnd w:id="86"/>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1"/>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1"/>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49"/>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49"/>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49"/>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ascii="宋体" w:hAnsi="宋体" w:cs="宋体"/>
          <w:color w:val="auto"/>
          <w:highlight w:val="none"/>
        </w:rPr>
        <w:t>3</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2"/>
        <w:numPr>
          <w:ilvl w:val="0"/>
          <w:numId w:val="18"/>
        </w:numPr>
        <w:jc w:val="center"/>
        <w:rPr>
          <w:rFonts w:cs="Times New Roman"/>
          <w:color w:val="auto"/>
          <w:highlight w:val="none"/>
        </w:rPr>
      </w:pPr>
      <w:r>
        <w:rPr>
          <w:color w:val="auto"/>
          <w:highlight w:val="none"/>
        </w:rPr>
        <w:t xml:space="preserve"> </w:t>
      </w:r>
      <w:bookmarkStart w:id="87" w:name="_Toc10093"/>
      <w:bookmarkStart w:id="88" w:name="_Toc28988"/>
      <w:r>
        <w:rPr>
          <w:rFonts w:hint="eastAsia"/>
          <w:color w:val="auto"/>
          <w:highlight w:val="none"/>
        </w:rPr>
        <w:t>磋商程序</w:t>
      </w:r>
      <w:bookmarkEnd w:id="87"/>
      <w:bookmarkEnd w:id="88"/>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wordWrap w:val="0"/>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wordWrap w:val="0"/>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9"/>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3"/>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3"/>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7</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49"/>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49"/>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2"/>
        <w:numPr>
          <w:ilvl w:val="0"/>
          <w:numId w:val="18"/>
        </w:numPr>
        <w:jc w:val="center"/>
        <w:rPr>
          <w:rFonts w:cs="Times New Roman"/>
          <w:color w:val="auto"/>
          <w:highlight w:val="none"/>
        </w:rPr>
      </w:pPr>
      <w:r>
        <w:rPr>
          <w:color w:val="auto"/>
          <w:highlight w:val="none"/>
        </w:rPr>
        <w:t xml:space="preserve"> </w:t>
      </w:r>
      <w:bookmarkStart w:id="89" w:name="_Toc12816"/>
      <w:bookmarkStart w:id="90" w:name="_Toc30192"/>
      <w:r>
        <w:rPr>
          <w:rFonts w:hint="eastAsia"/>
          <w:color w:val="auto"/>
          <w:highlight w:val="none"/>
        </w:rPr>
        <w:t>注意事项</w:t>
      </w:r>
      <w:bookmarkEnd w:id="89"/>
      <w:bookmarkEnd w:id="90"/>
    </w:p>
    <w:p>
      <w:pPr>
        <w:pStyle w:val="3"/>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19"/>
        </w:numPr>
        <w:jc w:val="center"/>
        <w:rPr>
          <w:rFonts w:cs="Times New Roman"/>
          <w:color w:val="auto"/>
          <w:highlight w:val="none"/>
        </w:rPr>
      </w:pPr>
      <w:r>
        <w:rPr>
          <w:color w:val="auto"/>
          <w:highlight w:val="none"/>
        </w:rPr>
        <w:t xml:space="preserve"> </w:t>
      </w:r>
      <w:bookmarkStart w:id="91" w:name="_Toc19948"/>
      <w:bookmarkStart w:id="92" w:name="_Toc13782"/>
      <w:r>
        <w:rPr>
          <w:rFonts w:hint="eastAsia"/>
          <w:color w:val="auto"/>
          <w:highlight w:val="none"/>
        </w:rPr>
        <w:t>评分细则</w:t>
      </w:r>
      <w:bookmarkEnd w:id="91"/>
      <w:bookmarkEnd w:id="92"/>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3</w:t>
      </w:r>
      <w:r>
        <w:rPr>
          <w:rFonts w:ascii="宋体" w:hAnsi="宋体" w:cs="宋体"/>
          <w:b/>
          <w:bCs/>
          <w:color w:val="auto"/>
          <w:sz w:val="24"/>
          <w:szCs w:val="24"/>
          <w:highlight w:val="none"/>
          <w:u w:val="single"/>
        </w:rPr>
        <w:t xml:space="preserve">0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hint="eastAsia" w:ascii="宋体" w:hAnsi="宋体" w:cs="宋体"/>
          <w:b/>
          <w:bCs/>
          <w:color w:val="auto"/>
          <w:sz w:val="24"/>
          <w:szCs w:val="24"/>
          <w:highlight w:val="none"/>
          <w:u w:val="single"/>
        </w:rPr>
        <w:t xml:space="preserve"> 玖拾万元整 </w:t>
      </w:r>
      <w:r>
        <w:rPr>
          <w:rFonts w:hint="eastAsia" w:ascii="宋体" w:hAnsi="宋体" w:cs="宋体"/>
          <w:b/>
          <w:bCs/>
          <w:color w:val="auto"/>
          <w:sz w:val="24"/>
          <w:szCs w:val="24"/>
          <w:highlight w:val="none"/>
        </w:rPr>
        <w:t>（小写</w:t>
      </w:r>
      <w:r>
        <w:rPr>
          <w:rFonts w:hint="eastAsia" w:ascii="宋体" w:hAnsi="宋体" w:cs="宋体"/>
          <w:b/>
          <w:bCs/>
          <w:color w:val="auto"/>
          <w:sz w:val="24"/>
          <w:szCs w:val="24"/>
          <w:highlight w:val="none"/>
          <w:u w:val="single"/>
        </w:rPr>
        <w:t xml:space="preserve"> 900000 </w:t>
      </w:r>
      <w:r>
        <w:rPr>
          <w:rFonts w:ascii="宋体" w:hAnsi="宋体" w:cs="宋体"/>
          <w:b/>
          <w:bCs/>
          <w:color w:val="auto"/>
          <w:sz w:val="24"/>
          <w:szCs w:val="24"/>
          <w:highlight w:val="none"/>
          <w:u w:val="single"/>
        </w:rPr>
        <w:t xml:space="preserve">.00 </w:t>
      </w:r>
      <w:r>
        <w:rPr>
          <w:rFonts w:hint="eastAsia" w:ascii="宋体" w:hAnsi="宋体" w:cs="宋体"/>
          <w:b/>
          <w:bCs/>
          <w:color w:val="auto"/>
          <w:sz w:val="24"/>
          <w:szCs w:val="24"/>
          <w:highlight w:val="none"/>
        </w:rPr>
        <w:t>元）。最高限价由采购人根据市场价格的调查设定，并且不高于本项目财政预算。</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、本次评标设有最佳报价。最佳报价确定方式：根据所有入围供应商有效报价中的最低报价作为最佳报价。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8、价格扣除：小微企业是指在中华人民共和国境内依法设立，依据国务院批准的中小企业划分标准确定的小型企业和微型企业，但与大企业的负责人为同一人，或者与大企业存在直接控股、管理关系的除外。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符合中小企业划分标准的个体工商户，在政府采购活动中视同中小企业。</w:t>
      </w:r>
    </w:p>
    <w:p>
      <w:pPr>
        <w:spacing w:line="360" w:lineRule="auto"/>
        <w:ind w:firstLine="480" w:firstLineChars="200"/>
        <w:rPr>
          <w:rFonts w:ascii="宋体" w:hAnsi="宋体" w:cs="宋体"/>
          <w:bCs/>
          <w:color w:val="auto"/>
          <w:sz w:val="24"/>
          <w:szCs w:val="32"/>
          <w:highlight w:val="none"/>
        </w:rPr>
      </w:pPr>
      <w:r>
        <w:rPr>
          <w:rFonts w:hint="eastAsia"/>
          <w:color w:val="auto"/>
          <w:sz w:val="24"/>
          <w:szCs w:val="24"/>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rPr>
          <w:color w:val="auto"/>
          <w:highlight w:val="none"/>
        </w:rPr>
      </w:pPr>
      <w:r>
        <w:rPr>
          <w:rFonts w:hint="eastAsia"/>
          <w:color w:val="auto"/>
          <w:sz w:val="24"/>
          <w:szCs w:val="24"/>
          <w:highlight w:val="none"/>
        </w:rPr>
        <w:t>在服务采购项目中，服务由小微企业承接，即提供服务的人员为小微企业依照《中华人民共和国劳动合同法》订立劳动合同的从业人员。</w:t>
      </w:r>
    </w:p>
    <w:p>
      <w:pPr>
        <w:ind w:firstLine="480" w:firstLineChars="200"/>
        <w:rPr>
          <w:color w:val="auto"/>
          <w:sz w:val="24"/>
          <w:szCs w:val="24"/>
          <w:highlight w:val="none"/>
        </w:rPr>
      </w:pPr>
      <w:r>
        <w:rPr>
          <w:rFonts w:hint="eastAsia"/>
          <w:color w:val="auto"/>
          <w:sz w:val="24"/>
          <w:szCs w:val="24"/>
          <w:highlight w:val="none"/>
        </w:rPr>
        <w:t>联合体各方均为小型、微型企业的，联合体视同为小型、微型企业。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根据财政部发布的《政府采购促进中小企业发展管理办法》（财库﹝2020﹞46 号）规定，对于非专门面向此类企业的项目，对小型和微型企业产品的投标价格给予6%的扣除，用扣除后的价格参与评审。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二、商务技术文件评标内容及标准（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7</w:t>
      </w:r>
      <w:r>
        <w:rPr>
          <w:rFonts w:ascii="宋体" w:hAnsi="宋体" w:cs="宋体"/>
          <w:b/>
          <w:bCs/>
          <w:color w:val="auto"/>
          <w:sz w:val="24"/>
          <w:szCs w:val="24"/>
          <w:highlight w:val="none"/>
          <w:u w:val="single"/>
        </w:rPr>
        <w:t xml:space="preserve">0 </w:t>
      </w:r>
      <w:r>
        <w:rPr>
          <w:rFonts w:hint="eastAsia" w:ascii="宋体" w:hAnsi="宋体" w:cs="宋体"/>
          <w:b/>
          <w:bCs/>
          <w:color w:val="auto"/>
          <w:sz w:val="24"/>
          <w:szCs w:val="24"/>
          <w:highlight w:val="none"/>
        </w:rPr>
        <w:t>分）</w:t>
      </w:r>
    </w:p>
    <w:p>
      <w:pPr>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1、评分细则</w:t>
      </w:r>
    </w:p>
    <w:tbl>
      <w:tblPr>
        <w:tblStyle w:val="22"/>
        <w:tblW w:w="52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454"/>
        <w:gridCol w:w="3313"/>
        <w:gridCol w:w="2211"/>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0" w:type="pct"/>
            <w:tcBorders>
              <w:top w:val="single" w:color="auto" w:sz="4" w:space="0"/>
              <w:left w:val="single" w:color="auto" w:sz="4" w:space="0"/>
              <w:bottom w:val="single" w:color="auto" w:sz="4" w:space="0"/>
              <w:right w:val="single" w:color="auto" w:sz="4" w:space="0"/>
            </w:tcBorders>
            <w:noWrap/>
            <w:vAlign w:val="center"/>
          </w:tcPr>
          <w:p>
            <w:pPr>
              <w:adjustRightInd w:val="0"/>
              <w:spacing w:before="156" w:beforeLines="50"/>
              <w:jc w:val="center"/>
              <w:rPr>
                <w:rFonts w:ascii="宋体" w:hAnsi="宋体" w:cs="宋体"/>
                <w:color w:val="auto"/>
                <w:sz w:val="24"/>
                <w:highlight w:val="none"/>
              </w:rPr>
            </w:pPr>
            <w:r>
              <w:rPr>
                <w:rFonts w:hint="eastAsia" w:ascii="宋体" w:hAnsi="宋体" w:cs="宋体"/>
                <w:color w:val="auto"/>
                <w:sz w:val="24"/>
                <w:highlight w:val="none"/>
              </w:rPr>
              <w:t>评分项目</w:t>
            </w:r>
          </w:p>
        </w:tc>
        <w:tc>
          <w:tcPr>
            <w:tcW w:w="3901" w:type="pct"/>
            <w:gridSpan w:val="3"/>
            <w:tcBorders>
              <w:top w:val="single" w:color="auto" w:sz="4" w:space="0"/>
              <w:left w:val="single" w:color="auto" w:sz="4" w:space="0"/>
              <w:bottom w:val="single" w:color="auto" w:sz="4" w:space="0"/>
              <w:right w:val="single" w:color="auto" w:sz="4" w:space="0"/>
            </w:tcBorders>
            <w:noWrap/>
            <w:vAlign w:val="center"/>
          </w:tcPr>
          <w:p>
            <w:pPr>
              <w:adjustRightInd w:val="0"/>
              <w:spacing w:before="156" w:beforeLines="50"/>
              <w:jc w:val="center"/>
              <w:rPr>
                <w:rFonts w:ascii="宋体" w:hAnsi="宋体" w:cs="宋体"/>
                <w:color w:val="auto"/>
                <w:sz w:val="24"/>
                <w:highlight w:val="none"/>
              </w:rPr>
            </w:pPr>
            <w:r>
              <w:rPr>
                <w:rFonts w:hint="eastAsia" w:ascii="宋体" w:hAnsi="宋体" w:cs="宋体"/>
                <w:color w:val="auto"/>
                <w:sz w:val="24"/>
                <w:highlight w:val="none"/>
              </w:rPr>
              <w:t>评标要点及说明</w:t>
            </w:r>
          </w:p>
        </w:tc>
        <w:tc>
          <w:tcPr>
            <w:tcW w:w="399" w:type="pct"/>
            <w:tcBorders>
              <w:top w:val="single" w:color="auto" w:sz="4" w:space="0"/>
              <w:left w:val="single" w:color="auto" w:sz="4" w:space="0"/>
              <w:bottom w:val="single" w:color="auto" w:sz="4" w:space="0"/>
              <w:right w:val="single" w:color="auto" w:sz="4" w:space="0"/>
            </w:tcBorders>
            <w:noWrap/>
            <w:vAlign w:val="center"/>
          </w:tcPr>
          <w:p>
            <w:pPr>
              <w:adjustRightInd w:val="0"/>
              <w:spacing w:before="156" w:beforeLines="50"/>
              <w:jc w:val="center"/>
              <w:rPr>
                <w:rFonts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pct"/>
            <w:vMerge w:val="restart"/>
            <w:tcBorders>
              <w:top w:val="single" w:color="auto" w:sz="4" w:space="0"/>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技术</w:t>
            </w:r>
          </w:p>
          <w:p>
            <w:pPr>
              <w:jc w:val="center"/>
              <w:rPr>
                <w:rFonts w:ascii="宋体" w:hAnsi="宋体" w:cs="宋体"/>
                <w:color w:val="auto"/>
                <w:sz w:val="24"/>
                <w:highlight w:val="none"/>
              </w:rPr>
            </w:pPr>
            <w:r>
              <w:rPr>
                <w:rFonts w:hint="eastAsia" w:ascii="宋体" w:hAnsi="宋体" w:cs="宋体"/>
                <w:color w:val="auto"/>
                <w:sz w:val="24"/>
                <w:highlight w:val="none"/>
              </w:rPr>
              <w:t>（60）</w:t>
            </w:r>
          </w:p>
        </w:tc>
        <w:tc>
          <w:tcPr>
            <w:tcW w:w="813" w:type="pct"/>
            <w:vMerge w:val="restart"/>
            <w:tcBorders>
              <w:top w:val="single" w:color="auto" w:sz="4" w:space="0"/>
              <w:left w:val="single" w:color="auto" w:sz="4" w:space="0"/>
              <w:right w:val="single" w:color="auto" w:sz="4" w:space="0"/>
            </w:tcBorders>
            <w:noWrap/>
            <w:vAlign w:val="center"/>
          </w:tcPr>
          <w:p>
            <w:pPr>
              <w:spacing w:line="360" w:lineRule="auto"/>
              <w:jc w:val="center"/>
              <w:rPr>
                <w:rFonts w:ascii="宋体" w:cs="宋体"/>
                <w:color w:val="auto"/>
                <w:sz w:val="24"/>
                <w:szCs w:val="24"/>
                <w:highlight w:val="none"/>
              </w:rPr>
            </w:pPr>
            <w:r>
              <w:rPr>
                <w:rFonts w:ascii="宋体" w:hAnsi="宋体" w:cs="宋体"/>
                <w:color w:val="auto"/>
                <w:sz w:val="24"/>
                <w:szCs w:val="24"/>
                <w:highlight w:val="none"/>
              </w:rPr>
              <w:t>技术设计书</w:t>
            </w: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ascii="宋体" w:hAnsi="宋体" w:cs="宋体"/>
                <w:color w:val="auto"/>
                <w:sz w:val="24"/>
                <w:highlight w:val="none"/>
              </w:rPr>
              <w:t>评委根据</w:t>
            </w:r>
            <w:r>
              <w:rPr>
                <w:rFonts w:hint="eastAsia" w:ascii="宋体" w:hAnsi="宋体" w:cs="宋体"/>
                <w:color w:val="auto"/>
                <w:sz w:val="24"/>
                <w:highlight w:val="none"/>
                <w:lang w:val="en-US" w:eastAsia="zh-CN"/>
              </w:rPr>
              <w:t>供应商</w:t>
            </w:r>
            <w:r>
              <w:rPr>
                <w:rFonts w:ascii="宋体" w:hAnsi="宋体" w:cs="宋体"/>
                <w:color w:val="auto"/>
                <w:sz w:val="24"/>
                <w:highlight w:val="none"/>
              </w:rPr>
              <w:t>对本项目需求目标与内容有详细的解析</w:t>
            </w:r>
            <w:r>
              <w:rPr>
                <w:rFonts w:hint="eastAsia" w:ascii="宋体" w:hAnsi="宋体" w:cs="宋体"/>
                <w:color w:val="auto"/>
                <w:sz w:val="24"/>
                <w:highlight w:val="none"/>
                <w:lang w:val="en-US" w:eastAsia="zh-CN"/>
              </w:rPr>
              <w:t>和认识的具体情况</w:t>
            </w:r>
            <w:r>
              <w:rPr>
                <w:rFonts w:ascii="宋体" w:hAnsi="宋体" w:cs="宋体"/>
                <w:color w:val="auto"/>
                <w:sz w:val="24"/>
                <w:highlight w:val="none"/>
              </w:rPr>
              <w:t>进行打分；</w:t>
            </w:r>
          </w:p>
        </w:tc>
        <w:tc>
          <w:tcPr>
            <w:tcW w:w="399" w:type="pct"/>
            <w:tcBorders>
              <w:top w:val="single" w:color="auto" w:sz="4" w:space="0"/>
              <w:left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hint="eastAsia" w:ascii="宋体" w:hAnsi="宋体" w:cs="宋体"/>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360" w:lineRule="auto"/>
              <w:jc w:val="center"/>
              <w:rPr>
                <w:rFonts w:ascii="宋体" w:hAns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w:t>
            </w:r>
            <w:r>
              <w:rPr>
                <w:rFonts w:hint="eastAsia" w:ascii="宋体" w:hAnsi="宋体" w:cs="Courier New"/>
                <w:color w:val="auto"/>
                <w:sz w:val="24"/>
                <w:highlight w:val="none"/>
              </w:rPr>
              <w:t>2021年度“一区两率”监测</w:t>
            </w:r>
            <w:r>
              <w:rPr>
                <w:rFonts w:hint="eastAsia" w:ascii="宋体" w:hAnsi="宋体" w:cs="宋体"/>
                <w:color w:val="auto"/>
                <w:sz w:val="24"/>
                <w:highlight w:val="none"/>
              </w:rPr>
              <w:t>技术方法的合理性、可行性、先进性进行打分；</w:t>
            </w:r>
          </w:p>
        </w:tc>
        <w:tc>
          <w:tcPr>
            <w:tcW w:w="399" w:type="pct"/>
            <w:tcBorders>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0" w:type="pct"/>
            <w:vMerge w:val="continue"/>
            <w:tcBorders>
              <w:left w:val="single" w:color="auto" w:sz="4" w:space="0"/>
              <w:right w:val="single" w:color="auto" w:sz="4" w:space="0"/>
            </w:tcBorders>
            <w:noWrap/>
            <w:vAlign w:val="center"/>
          </w:tcPr>
          <w:p>
            <w:pPr>
              <w:autoSpaceDE w:val="0"/>
              <w:autoSpaceDN w:val="0"/>
              <w:adjustRightInd w:val="0"/>
              <w:jc w:val="left"/>
              <w:rPr>
                <w:color w:val="auto"/>
                <w:highlight w:val="none"/>
              </w:rPr>
            </w:pPr>
          </w:p>
        </w:tc>
        <w:tc>
          <w:tcPr>
            <w:tcW w:w="813" w:type="pct"/>
            <w:vMerge w:val="continue"/>
            <w:tcBorders>
              <w:left w:val="single" w:color="auto" w:sz="4" w:space="0"/>
              <w:right w:val="single" w:color="auto" w:sz="4" w:space="0"/>
            </w:tcBorders>
            <w:noWrap/>
            <w:vAlign w:val="center"/>
          </w:tcPr>
          <w:p>
            <w:pPr>
              <w:autoSpaceDE w:val="0"/>
              <w:autoSpaceDN w:val="0"/>
              <w:adjustRightInd w:val="0"/>
              <w:jc w:val="left"/>
              <w:rPr>
                <w:color w:val="auto"/>
                <w:highlight w:val="none"/>
              </w:rPr>
            </w:pPr>
          </w:p>
        </w:tc>
        <w:tc>
          <w:tcPr>
            <w:tcW w:w="1852" w:type="pct"/>
            <w:vMerge w:val="restart"/>
            <w:tcBorders>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评委根据供应商对本项目2021年度地理国情专题内容监测技术设计的合理性、可行性进行打分；</w:t>
            </w:r>
          </w:p>
        </w:tc>
        <w:tc>
          <w:tcPr>
            <w:tcW w:w="1236"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Courier New"/>
                <w:color w:val="auto"/>
                <w:sz w:val="24"/>
                <w:highlight w:val="none"/>
              </w:rPr>
              <w:t>文化体育场所监测</w:t>
            </w:r>
          </w:p>
        </w:tc>
        <w:tc>
          <w:tcPr>
            <w:tcW w:w="399" w:type="pct"/>
            <w:tcBorders>
              <w:left w:val="single" w:color="auto" w:sz="4" w:space="0"/>
              <w:right w:val="single" w:color="auto" w:sz="4" w:space="0"/>
            </w:tcBorders>
            <w:noWrap/>
            <w:vAlign w:val="center"/>
          </w:tcPr>
          <w:p>
            <w:pPr>
              <w:autoSpaceDE w:val="0"/>
              <w:autoSpaceDN w:val="0"/>
              <w:adjustRightInd w:val="0"/>
              <w:jc w:val="center"/>
              <w:rPr>
                <w:rFonts w:ascii="宋体" w:hAnsi="宋体" w:cs="宋体"/>
                <w:color w:val="auto"/>
                <w:sz w:val="24"/>
                <w:highlight w:val="none"/>
              </w:rPr>
            </w:pPr>
            <w:r>
              <w:rPr>
                <w:rFonts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700" w:type="pct"/>
            <w:vMerge w:val="continue"/>
            <w:tcBorders>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p>
        </w:tc>
        <w:tc>
          <w:tcPr>
            <w:tcW w:w="1852" w:type="pct"/>
            <w:vMerge w:val="continue"/>
            <w:tcBorders>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p>
        </w:tc>
        <w:tc>
          <w:tcPr>
            <w:tcW w:w="1236"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Courier New"/>
                <w:color w:val="auto"/>
                <w:sz w:val="24"/>
                <w:highlight w:val="none"/>
              </w:rPr>
              <w:t>特色产业园、专业市场、停车位监测</w:t>
            </w:r>
          </w:p>
        </w:tc>
        <w:tc>
          <w:tcPr>
            <w:tcW w:w="399" w:type="pct"/>
            <w:tcBorders>
              <w:left w:val="single" w:color="auto" w:sz="4" w:space="0"/>
              <w:right w:val="single" w:color="auto" w:sz="4" w:space="0"/>
            </w:tcBorders>
            <w:noWrap/>
            <w:vAlign w:val="center"/>
          </w:tcPr>
          <w:p>
            <w:pPr>
              <w:autoSpaceDE w:val="0"/>
              <w:autoSpaceDN w:val="0"/>
              <w:adjustRightInd w:val="0"/>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0" w:type="pct"/>
            <w:vMerge w:val="continue"/>
            <w:tcBorders>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p>
        </w:tc>
        <w:tc>
          <w:tcPr>
            <w:tcW w:w="1852" w:type="pct"/>
            <w:vMerge w:val="continue"/>
            <w:tcBorders>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p>
        </w:tc>
        <w:tc>
          <w:tcPr>
            <w:tcW w:w="1236"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Courier New"/>
                <w:color w:val="auto"/>
                <w:sz w:val="24"/>
                <w:highlight w:val="none"/>
              </w:rPr>
              <w:t>总体地形地貌特征监测</w:t>
            </w:r>
          </w:p>
        </w:tc>
        <w:tc>
          <w:tcPr>
            <w:tcW w:w="399" w:type="pct"/>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color w:val="auto"/>
                <w:sz w:val="24"/>
                <w:highlight w:val="none"/>
              </w:rPr>
            </w:pPr>
            <w:r>
              <w:rPr>
                <w:rFonts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360" w:lineRule="auto"/>
              <w:jc w:val="center"/>
              <w:rPr>
                <w:rFonts w:asci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w:t>
            </w:r>
            <w:r>
              <w:rPr>
                <w:rFonts w:hint="eastAsia" w:ascii="宋体" w:hAnsi="宋体" w:cs="Courier New"/>
                <w:color w:val="auto"/>
                <w:sz w:val="24"/>
                <w:highlight w:val="none"/>
              </w:rPr>
              <w:t>地理国情统计分析报告编写方案</w:t>
            </w:r>
            <w:r>
              <w:rPr>
                <w:rFonts w:hint="eastAsia" w:ascii="宋体" w:hAnsi="宋体" w:cs="宋体"/>
                <w:color w:val="auto"/>
                <w:sz w:val="24"/>
                <w:highlight w:val="none"/>
              </w:rPr>
              <w:t>的思路清晰性和结构内容完整性进行打分；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restart"/>
            <w:tcBorders>
              <w:left w:val="single" w:color="auto" w:sz="4" w:space="0"/>
              <w:right w:val="single" w:color="auto" w:sz="4" w:space="0"/>
            </w:tcBorders>
            <w:noWrap/>
            <w:vAlign w:val="center"/>
          </w:tcPr>
          <w:p>
            <w:pPr>
              <w:spacing w:line="360" w:lineRule="auto"/>
              <w:jc w:val="center"/>
              <w:rPr>
                <w:rFonts w:ascii="宋体" w:cs="宋体"/>
                <w:color w:val="auto"/>
                <w:sz w:val="24"/>
                <w:szCs w:val="24"/>
                <w:highlight w:val="none"/>
              </w:rPr>
            </w:pPr>
            <w:r>
              <w:rPr>
                <w:rFonts w:ascii="宋体" w:hAnsi="宋体" w:cs="宋体"/>
                <w:bCs/>
                <w:color w:val="auto"/>
                <w:sz w:val="24"/>
                <w:szCs w:val="24"/>
                <w:highlight w:val="none"/>
              </w:rPr>
              <w:t>关键技术重点、难点及解决方案</w:t>
            </w: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w:t>
            </w:r>
            <w:r>
              <w:rPr>
                <w:rFonts w:hint="eastAsia" w:ascii="宋体" w:hAnsi="宋体" w:cs="宋体"/>
                <w:color w:val="auto"/>
                <w:sz w:val="24"/>
                <w:highlight w:val="none"/>
                <w:lang w:val="zh-CN"/>
              </w:rPr>
              <w:t>项目重点的分析与理解</w:t>
            </w:r>
            <w:r>
              <w:rPr>
                <w:rFonts w:hint="eastAsia" w:ascii="宋体" w:hAnsi="宋体" w:cs="宋体"/>
                <w:color w:val="auto"/>
                <w:sz w:val="24"/>
                <w:highlight w:val="none"/>
              </w:rPr>
              <w:t>的</w:t>
            </w:r>
            <w:r>
              <w:rPr>
                <w:rFonts w:hint="eastAsia" w:ascii="宋体" w:hAnsi="宋体" w:cs="宋体"/>
                <w:color w:val="auto"/>
                <w:sz w:val="24"/>
                <w:highlight w:val="none"/>
                <w:lang w:val="zh-CN"/>
              </w:rPr>
              <w:t>全面</w:t>
            </w:r>
            <w:r>
              <w:rPr>
                <w:rFonts w:hint="eastAsia" w:ascii="宋体" w:hAnsi="宋体" w:cs="宋体"/>
                <w:color w:val="auto"/>
                <w:sz w:val="24"/>
                <w:highlight w:val="none"/>
              </w:rPr>
              <w:t>性、</w:t>
            </w:r>
            <w:r>
              <w:rPr>
                <w:rFonts w:hint="eastAsia" w:ascii="宋体" w:hAnsi="宋体" w:cs="宋体"/>
                <w:color w:val="auto"/>
                <w:sz w:val="24"/>
                <w:highlight w:val="none"/>
                <w:lang w:val="zh-CN"/>
              </w:rPr>
              <w:t>合理</w:t>
            </w:r>
            <w:r>
              <w:rPr>
                <w:rFonts w:hint="eastAsia" w:ascii="宋体" w:hAnsi="宋体" w:cs="宋体"/>
                <w:color w:val="auto"/>
                <w:sz w:val="24"/>
                <w:highlight w:val="none"/>
              </w:rPr>
              <w:t>性进行打分；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center"/>
              <w:rPr>
                <w:rFonts w:asci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w:t>
            </w:r>
            <w:r>
              <w:rPr>
                <w:rFonts w:hint="eastAsia" w:ascii="宋体" w:hAnsi="宋体" w:cs="宋体"/>
                <w:color w:val="auto"/>
                <w:sz w:val="24"/>
                <w:highlight w:val="none"/>
                <w:lang w:val="zh-CN"/>
              </w:rPr>
              <w:t>对本项目难点的分析与理解，及相应的解决方案</w:t>
            </w:r>
            <w:r>
              <w:rPr>
                <w:rFonts w:hint="eastAsia" w:ascii="宋体" w:hAnsi="宋体" w:cs="宋体"/>
                <w:color w:val="auto"/>
                <w:sz w:val="24"/>
                <w:highlight w:val="none"/>
              </w:rPr>
              <w:t>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宋体" w:hAnsi="宋体" w:cs="宋体"/>
                <w:color w:val="auto"/>
                <w:sz w:val="24"/>
                <w:highlight w:val="none"/>
              </w:rPr>
            </w:pPr>
            <w:r>
              <w:rPr>
                <w:rFonts w:hint="eastAsia" w:ascii="宋体" w:hAnsi="宋体" w:cs="宋体"/>
                <w:color w:val="auto"/>
                <w:sz w:val="22"/>
                <w:szCs w:val="22"/>
                <w:highlight w:val="none"/>
              </w:rPr>
              <w:t>4</w:t>
            </w:r>
            <w:bookmarkStart w:id="120" w:name="_GoBack"/>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center"/>
              <w:rPr>
                <w:rFonts w:asci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w:t>
            </w:r>
            <w:r>
              <w:rPr>
                <w:rFonts w:hint="eastAsia" w:ascii="宋体" w:hAnsi="宋体" w:cs="宋体"/>
                <w:color w:val="auto"/>
                <w:sz w:val="24"/>
                <w:highlight w:val="none"/>
                <w:lang w:val="zh-CN"/>
              </w:rPr>
              <w:t>方案总体思路考虑</w:t>
            </w:r>
            <w:r>
              <w:rPr>
                <w:rFonts w:hint="eastAsia" w:ascii="宋体" w:hAnsi="宋体" w:cs="宋体"/>
                <w:color w:val="auto"/>
                <w:sz w:val="24"/>
                <w:highlight w:val="none"/>
              </w:rPr>
              <w:t>的</w:t>
            </w:r>
            <w:r>
              <w:rPr>
                <w:rFonts w:hint="eastAsia" w:ascii="宋体" w:hAnsi="宋体" w:cs="宋体"/>
                <w:color w:val="auto"/>
                <w:sz w:val="24"/>
                <w:highlight w:val="none"/>
                <w:lang w:val="zh-CN"/>
              </w:rPr>
              <w:t>全面</w:t>
            </w:r>
            <w:r>
              <w:rPr>
                <w:rFonts w:hint="eastAsia" w:ascii="宋体" w:hAnsi="宋体" w:cs="宋体"/>
                <w:color w:val="auto"/>
                <w:sz w:val="24"/>
                <w:highlight w:val="none"/>
              </w:rPr>
              <w:t>性、</w:t>
            </w:r>
            <w:r>
              <w:rPr>
                <w:rFonts w:hint="eastAsia" w:ascii="宋体" w:hAnsi="宋体" w:cs="宋体"/>
                <w:color w:val="auto"/>
                <w:sz w:val="24"/>
                <w:highlight w:val="none"/>
                <w:lang w:val="zh-CN"/>
              </w:rPr>
              <w:t>合理</w:t>
            </w:r>
            <w:r>
              <w:rPr>
                <w:rFonts w:hint="eastAsia" w:ascii="宋体" w:hAnsi="宋体" w:cs="宋体"/>
                <w:color w:val="auto"/>
                <w:sz w:val="24"/>
                <w:highlight w:val="none"/>
              </w:rPr>
              <w:t>性进行打分；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hint="eastAsia" w:ascii="宋体" w:hAnsi="宋体" w:cs="宋体"/>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restart"/>
            <w:tcBorders>
              <w:left w:val="single" w:color="auto" w:sz="4" w:space="0"/>
              <w:right w:val="single" w:color="auto" w:sz="4" w:space="0"/>
            </w:tcBorders>
            <w:noWrap/>
            <w:vAlign w:val="center"/>
          </w:tcPr>
          <w:p>
            <w:pPr>
              <w:spacing w:line="280" w:lineRule="exact"/>
              <w:jc w:val="center"/>
              <w:rPr>
                <w:rFonts w:ascii="宋体" w:hAnsi="宋体" w:cs="宋体"/>
                <w:color w:val="auto"/>
                <w:sz w:val="24"/>
                <w:szCs w:val="24"/>
                <w:highlight w:val="none"/>
              </w:rPr>
            </w:pPr>
            <w:r>
              <w:rPr>
                <w:rFonts w:ascii="宋体" w:hAnsi="宋体" w:cs="宋体"/>
                <w:bCs/>
                <w:color w:val="auto"/>
                <w:sz w:val="24"/>
                <w:szCs w:val="24"/>
                <w:highlight w:val="none"/>
              </w:rPr>
              <w:t>项目质量控制</w:t>
            </w: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lang w:val="zh-CN"/>
              </w:rPr>
            </w:pPr>
            <w:r>
              <w:rPr>
                <w:rFonts w:hint="eastAsia" w:ascii="宋体" w:hAnsi="宋体" w:cs="宋体"/>
                <w:color w:val="auto"/>
                <w:sz w:val="24"/>
                <w:highlight w:val="none"/>
                <w:lang w:val="zh-CN"/>
              </w:rPr>
              <w:t>评委根据供应商对本项目准备阶段控制进行打分；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center"/>
              <w:rPr>
                <w:rFonts w:ascii="宋体" w:hAns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lang w:val="zh-CN"/>
              </w:rPr>
            </w:pPr>
            <w:r>
              <w:rPr>
                <w:rFonts w:hint="eastAsia" w:ascii="宋体" w:hAnsi="宋体" w:cs="宋体"/>
                <w:color w:val="auto"/>
                <w:sz w:val="24"/>
                <w:highlight w:val="none"/>
                <w:lang w:val="zh-CN"/>
              </w:rPr>
              <w:t>评委根据供应商对本项目实施阶段控制进行打分；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center"/>
              <w:rPr>
                <w:rFonts w:ascii="宋体" w:hAns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lang w:val="zh-CN"/>
              </w:rPr>
            </w:pPr>
            <w:r>
              <w:rPr>
                <w:rFonts w:hint="eastAsia" w:ascii="宋体" w:hAnsi="宋体" w:cs="宋体"/>
                <w:color w:val="auto"/>
                <w:sz w:val="24"/>
                <w:highlight w:val="none"/>
                <w:lang w:val="zh-CN"/>
              </w:rPr>
              <w:t>评委根据供应商对本项目提交成果验收阶段控制进行打分；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center"/>
              <w:rPr>
                <w:rFonts w:ascii="宋体" w:hAns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lang w:val="zh-CN"/>
              </w:rPr>
            </w:pPr>
            <w:r>
              <w:rPr>
                <w:rFonts w:hint="eastAsia" w:ascii="宋体" w:hAnsi="宋体" w:cs="宋体"/>
                <w:color w:val="auto"/>
                <w:sz w:val="24"/>
                <w:highlight w:val="none"/>
                <w:lang w:val="zh-CN"/>
              </w:rPr>
              <w:t>评委根据供应商对本项目完工后配合期控制方面评定进行打分；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restart"/>
            <w:tcBorders>
              <w:left w:val="single" w:color="auto" w:sz="4" w:space="0"/>
              <w:right w:val="single" w:color="auto" w:sz="4" w:space="0"/>
            </w:tcBorders>
            <w:noWrap/>
            <w:vAlign w:val="center"/>
          </w:tcPr>
          <w:p>
            <w:pPr>
              <w:spacing w:line="280" w:lineRule="exact"/>
              <w:jc w:val="center"/>
              <w:rPr>
                <w:rFonts w:ascii="宋体" w:hAnsi="宋体" w:cs="宋体"/>
                <w:bCs/>
                <w:color w:val="auto"/>
                <w:sz w:val="24"/>
                <w:szCs w:val="24"/>
                <w:highlight w:val="none"/>
              </w:rPr>
            </w:pPr>
            <w:r>
              <w:rPr>
                <w:rFonts w:ascii="宋体" w:hAnsi="宋体" w:cs="宋体"/>
                <w:bCs/>
                <w:color w:val="auto"/>
                <w:sz w:val="24"/>
                <w:szCs w:val="24"/>
                <w:highlight w:val="none"/>
              </w:rPr>
              <w:t>项目实施进度控制措施</w:t>
            </w: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评委根据供应商对本项目实施进度方案是否先进，编排是否合理，以及是否影响工期进行评分；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left"/>
              <w:rPr>
                <w:rFonts w:ascii="宋体" w:hAnsi="宋体" w:cs="宋体"/>
                <w:bCs/>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评委根据供应商对本项目是否具有客观实际性、科学高效性进行打分；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restart"/>
            <w:tcBorders>
              <w:left w:val="single" w:color="auto" w:sz="4" w:space="0"/>
              <w:right w:val="single" w:color="auto" w:sz="4" w:space="0"/>
            </w:tcBorders>
            <w:noWrap/>
            <w:vAlign w:val="center"/>
          </w:tcPr>
          <w:p>
            <w:pPr>
              <w:spacing w:line="280" w:lineRule="exact"/>
              <w:jc w:val="center"/>
              <w:rPr>
                <w:rFonts w:ascii="宋体" w:hAnsi="宋体" w:cs="宋体"/>
                <w:bCs/>
                <w:color w:val="auto"/>
                <w:sz w:val="24"/>
                <w:szCs w:val="24"/>
                <w:highlight w:val="none"/>
              </w:rPr>
            </w:pPr>
            <w:r>
              <w:rPr>
                <w:rFonts w:ascii="宋体" w:hAnsi="宋体" w:cs="宋体"/>
                <w:bCs/>
                <w:color w:val="auto"/>
                <w:sz w:val="24"/>
                <w:szCs w:val="24"/>
                <w:highlight w:val="none"/>
              </w:rPr>
              <w:t>技术力量</w:t>
            </w: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评委根据供应商拟派项目负责人的学历、职称、资质、资历、工作经验等内容和采购需求中的“人员要求”满足性进行综合评议。</w:t>
            </w:r>
          </w:p>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提供近三个月社保证明和相关证明资料（相关证书、证明等）复印件或扫描件并加盖公章。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hint="eastAsia"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center"/>
              <w:rPr>
                <w:rFonts w:ascii="宋体" w:hAnsi="宋体" w:cs="宋体"/>
                <w:bCs/>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评委根据供应商拟投入人员（不包含项目负责人）的数量、学历、职称、资历、工作经验等内容和采购需求中的“人员要求”满足性进行打分。</w:t>
            </w:r>
          </w:p>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提供近三个月社保证明和相关证明资料（相关证书、证明等）复印件或扫描件并加盖公章。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hint="eastAsia" w:ascii="宋体" w:hAnsi="宋体" w:cs="宋体"/>
                <w:color w:val="auto"/>
                <w:sz w:val="22"/>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restart"/>
            <w:tcBorders>
              <w:left w:val="single" w:color="auto" w:sz="4" w:space="0"/>
              <w:right w:val="single" w:color="auto" w:sz="4" w:space="0"/>
            </w:tcBorders>
            <w:noWrap/>
            <w:vAlign w:val="center"/>
          </w:tcPr>
          <w:p>
            <w:pPr>
              <w:spacing w:line="280" w:lineRule="exact"/>
              <w:jc w:val="center"/>
              <w:rPr>
                <w:rFonts w:ascii="宋体" w:hAnsi="宋体"/>
                <w:color w:val="auto"/>
                <w:sz w:val="24"/>
                <w:szCs w:val="24"/>
                <w:highlight w:val="none"/>
              </w:rPr>
            </w:pPr>
            <w:r>
              <w:rPr>
                <w:rFonts w:ascii="宋体" w:hAnsi="宋体" w:cs="宋体"/>
                <w:color w:val="auto"/>
                <w:sz w:val="24"/>
                <w:szCs w:val="24"/>
                <w:highlight w:val="none"/>
              </w:rPr>
              <w:t>质量服务</w:t>
            </w: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评委根据供应商对本项目数据的部署、更新替换、数据质量问题处理等方面的合理化建议并作出相应承诺情况进行评分；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00" w:type="pct"/>
            <w:vMerge w:val="continue"/>
            <w:tcBorders>
              <w:left w:val="single" w:color="auto" w:sz="4" w:space="0"/>
              <w:right w:val="single" w:color="auto" w:sz="4" w:space="0"/>
            </w:tcBorders>
            <w:noWrap/>
            <w:vAlign w:val="center"/>
          </w:tcPr>
          <w:p>
            <w:pPr>
              <w:widowControl/>
              <w:jc w:val="left"/>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spacing w:line="280" w:lineRule="exact"/>
              <w:jc w:val="left"/>
              <w:rPr>
                <w:rFonts w:ascii="宋体" w:hAnsi="宋体" w:cs="华文中宋"/>
                <w:color w:val="auto"/>
                <w:sz w:val="24"/>
                <w:szCs w:val="24"/>
                <w:highlight w:val="none"/>
              </w:rPr>
            </w:pPr>
          </w:p>
        </w:tc>
        <w:tc>
          <w:tcPr>
            <w:tcW w:w="3088" w:type="pct"/>
            <w:gridSpan w:val="2"/>
            <w:tcBorders>
              <w:top w:val="single" w:color="auto" w:sz="4" w:space="0"/>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评委根据供应商对本项目维护计划的有效性，提供全面的售后服务体系进行打分；</w:t>
            </w:r>
          </w:p>
        </w:tc>
        <w:tc>
          <w:tcPr>
            <w:tcW w:w="399" w:type="pct"/>
            <w:tcBorders>
              <w:top w:val="single" w:color="auto" w:sz="4" w:space="0"/>
              <w:left w:val="single" w:color="auto" w:sz="4" w:space="0"/>
              <w:right w:val="single" w:color="auto" w:sz="4" w:space="0"/>
            </w:tcBorders>
            <w:noWrap/>
            <w:vAlign w:val="center"/>
          </w:tcPr>
          <w:p>
            <w:pPr>
              <w:spacing w:line="320" w:lineRule="exact"/>
              <w:jc w:val="center"/>
              <w:rPr>
                <w:rFonts w:ascii="宋体" w:hAnsi="宋体" w:cs="宋体"/>
                <w:color w:val="auto"/>
                <w:sz w:val="24"/>
                <w:highlight w:val="none"/>
              </w:rPr>
            </w:pPr>
            <w:r>
              <w:rPr>
                <w:rFonts w:ascii="宋体" w:hAnsi="宋体" w:cs="宋体"/>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6" w:hRule="atLeast"/>
          <w:jc w:val="center"/>
        </w:trPr>
        <w:tc>
          <w:tcPr>
            <w:tcW w:w="700" w:type="pct"/>
            <w:vMerge w:val="continue"/>
            <w:tcBorders>
              <w:left w:val="single" w:color="auto" w:sz="4" w:space="0"/>
              <w:right w:val="single" w:color="auto" w:sz="4" w:space="0"/>
            </w:tcBorders>
            <w:noWrap/>
            <w:vAlign w:val="center"/>
          </w:tcPr>
          <w:p>
            <w:pPr>
              <w:widowControl/>
              <w:jc w:val="left"/>
              <w:rPr>
                <w:rFonts w:ascii="宋体" w:hAnsi="宋体" w:cs="宋体"/>
                <w:color w:val="auto"/>
                <w:sz w:val="24"/>
                <w:highlight w:val="none"/>
              </w:rPr>
            </w:pPr>
          </w:p>
        </w:tc>
        <w:tc>
          <w:tcPr>
            <w:tcW w:w="813" w:type="pct"/>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color w:val="auto"/>
                <w:sz w:val="24"/>
                <w:szCs w:val="24"/>
                <w:highlight w:val="none"/>
              </w:rPr>
            </w:pPr>
            <w:r>
              <w:rPr>
                <w:rFonts w:hint="eastAsia" w:ascii="宋体" w:hAnsi="宋体" w:cs="宋体"/>
                <w:color w:val="auto"/>
                <w:sz w:val="24"/>
                <w:szCs w:val="24"/>
                <w:highlight w:val="none"/>
              </w:rPr>
              <w:t>关联点设置</w:t>
            </w:r>
          </w:p>
        </w:tc>
        <w:tc>
          <w:tcPr>
            <w:tcW w:w="3088" w:type="pct"/>
            <w:gridSpan w:val="2"/>
            <w:tcBorders>
              <w:top w:val="single" w:color="auto" w:sz="4" w:space="0"/>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评委根据供应商响应文件与招标文件的评分要点准确设置关联点、文本图片清晰、前后矛盾等情况进行打分。</w:t>
            </w:r>
          </w:p>
        </w:tc>
        <w:tc>
          <w:tcPr>
            <w:tcW w:w="399" w:type="pct"/>
            <w:tcBorders>
              <w:top w:val="single" w:color="auto" w:sz="4" w:space="0"/>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pct"/>
            <w:vMerge w:val="restart"/>
            <w:tcBorders>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商务</w:t>
            </w:r>
          </w:p>
          <w:p>
            <w:pPr>
              <w:jc w:val="center"/>
              <w:rPr>
                <w:rFonts w:ascii="宋体" w:hAnsi="宋体" w:cs="宋体"/>
                <w:color w:val="auto"/>
                <w:sz w:val="24"/>
                <w:highlight w:val="none"/>
              </w:rPr>
            </w:pPr>
            <w:r>
              <w:rPr>
                <w:rFonts w:hint="eastAsia" w:ascii="宋体" w:hAnsi="宋体" w:cs="宋体"/>
                <w:color w:val="auto"/>
                <w:sz w:val="24"/>
                <w:highlight w:val="none"/>
              </w:rPr>
              <w:t>（10）</w:t>
            </w:r>
          </w:p>
        </w:tc>
        <w:tc>
          <w:tcPr>
            <w:tcW w:w="813" w:type="pct"/>
            <w:vMerge w:val="restart"/>
            <w:tcBorders>
              <w:top w:val="single" w:color="auto" w:sz="4" w:space="0"/>
              <w:left w:val="single" w:color="auto" w:sz="4" w:space="0"/>
              <w:right w:val="single" w:color="auto" w:sz="4" w:space="0"/>
            </w:tcBorders>
            <w:noWrap/>
            <w:vAlign w:val="center"/>
          </w:tcPr>
          <w:p>
            <w:pPr>
              <w:tabs>
                <w:tab w:val="left" w:pos="772"/>
              </w:tabs>
              <w:jc w:val="center"/>
              <w:rPr>
                <w:rFonts w:ascii="宋体" w:hAnsi="宋体" w:cs="宋体"/>
                <w:color w:val="auto"/>
                <w:sz w:val="24"/>
                <w:szCs w:val="24"/>
                <w:highlight w:val="none"/>
              </w:rPr>
            </w:pPr>
            <w:r>
              <w:rPr>
                <w:rFonts w:hint="eastAsia" w:ascii="宋体" w:hAnsi="宋体" w:cs="宋体"/>
                <w:color w:val="auto"/>
                <w:sz w:val="24"/>
                <w:szCs w:val="24"/>
                <w:highlight w:val="none"/>
              </w:rPr>
              <w:t>资信（10）</w:t>
            </w:r>
          </w:p>
        </w:tc>
        <w:tc>
          <w:tcPr>
            <w:tcW w:w="3088" w:type="pct"/>
            <w:gridSpan w:val="2"/>
            <w:tcBorders>
              <w:top w:val="single" w:color="auto" w:sz="4" w:space="0"/>
              <w:left w:val="single" w:color="auto" w:sz="4" w:space="0"/>
              <w:right w:val="single" w:color="auto" w:sz="4" w:space="0"/>
            </w:tcBorders>
            <w:noWrap/>
            <w:vAlign w:val="center"/>
          </w:tcPr>
          <w:p>
            <w:pPr>
              <w:rPr>
                <w:rFonts w:ascii="宋体" w:cs="宋体"/>
                <w:bCs/>
                <w:color w:val="auto"/>
                <w:sz w:val="24"/>
                <w:szCs w:val="24"/>
                <w:highlight w:val="none"/>
              </w:rPr>
            </w:pPr>
            <w:r>
              <w:rPr>
                <w:rFonts w:hint="eastAsia"/>
                <w:color w:val="auto"/>
                <w:sz w:val="24"/>
                <w:szCs w:val="24"/>
                <w:highlight w:val="none"/>
              </w:rPr>
              <w:t>业绩</w:t>
            </w:r>
            <w:r>
              <w:rPr>
                <w:rFonts w:hint="eastAsia" w:cs="宋体"/>
                <w:b/>
                <w:color w:val="auto"/>
                <w:sz w:val="24"/>
                <w:szCs w:val="24"/>
                <w:highlight w:val="none"/>
              </w:rPr>
              <w:t>（具体详见商务要求表）</w:t>
            </w:r>
          </w:p>
        </w:tc>
        <w:tc>
          <w:tcPr>
            <w:tcW w:w="39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tabs>
                <w:tab w:val="left" w:pos="772"/>
              </w:tabs>
              <w:jc w:val="center"/>
              <w:rPr>
                <w:rFonts w:ascii="宋体" w:hAnsi="宋体" w:cs="宋体"/>
                <w:color w:val="auto"/>
                <w:sz w:val="24"/>
                <w:szCs w:val="24"/>
                <w:highlight w:val="none"/>
              </w:rPr>
            </w:pPr>
          </w:p>
        </w:tc>
        <w:tc>
          <w:tcPr>
            <w:tcW w:w="3088" w:type="pct"/>
            <w:gridSpan w:val="2"/>
            <w:tcBorders>
              <w:top w:val="single" w:color="auto" w:sz="4" w:space="0"/>
              <w:left w:val="single" w:color="auto" w:sz="4" w:space="0"/>
              <w:bottom w:val="single" w:color="auto" w:sz="4" w:space="0"/>
              <w:right w:val="single" w:color="auto" w:sz="4" w:space="0"/>
            </w:tcBorders>
            <w:noWrap/>
            <w:vAlign w:val="center"/>
          </w:tcPr>
          <w:p>
            <w:pPr>
              <w:pStyle w:val="71"/>
              <w:widowControl w:val="0"/>
              <w:rPr>
                <w:rFonts w:cs="宋体"/>
                <w:color w:val="auto"/>
                <w:szCs w:val="24"/>
                <w:highlight w:val="none"/>
                <w:lang w:eastAsia="zh-CN"/>
              </w:rPr>
            </w:pPr>
            <w:r>
              <w:rPr>
                <w:rFonts w:hint="eastAsia" w:cs="宋体"/>
                <w:color w:val="auto"/>
                <w:szCs w:val="24"/>
                <w:highlight w:val="none"/>
                <w:lang w:eastAsia="zh-CN"/>
              </w:rPr>
              <w:t>证书</w:t>
            </w:r>
            <w:r>
              <w:rPr>
                <w:rFonts w:hint="eastAsia" w:cs="宋体"/>
                <w:b/>
                <w:color w:val="auto"/>
                <w:szCs w:val="24"/>
                <w:highlight w:val="none"/>
                <w:lang w:eastAsia="zh-CN"/>
              </w:rPr>
              <w:t>（具体详见商务要求表）</w:t>
            </w:r>
          </w:p>
        </w:tc>
        <w:tc>
          <w:tcPr>
            <w:tcW w:w="399"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3" w:type="pct"/>
            <w:vMerge w:val="continue"/>
            <w:tcBorders>
              <w:left w:val="single" w:color="auto" w:sz="4" w:space="0"/>
              <w:right w:val="single" w:color="auto" w:sz="4" w:space="0"/>
            </w:tcBorders>
            <w:noWrap/>
            <w:vAlign w:val="center"/>
          </w:tcPr>
          <w:p>
            <w:pPr>
              <w:tabs>
                <w:tab w:val="left" w:pos="772"/>
              </w:tabs>
              <w:jc w:val="center"/>
              <w:rPr>
                <w:rFonts w:ascii="宋体" w:hAnsi="宋体" w:cs="宋体"/>
                <w:color w:val="auto"/>
                <w:sz w:val="24"/>
                <w:szCs w:val="24"/>
                <w:highlight w:val="none"/>
              </w:rPr>
            </w:pPr>
          </w:p>
        </w:tc>
        <w:tc>
          <w:tcPr>
            <w:tcW w:w="3088" w:type="pct"/>
            <w:gridSpan w:val="2"/>
            <w:tcBorders>
              <w:top w:val="single" w:color="auto" w:sz="4" w:space="0"/>
              <w:left w:val="single" w:color="auto" w:sz="4" w:space="0"/>
              <w:right w:val="single" w:color="auto" w:sz="4" w:space="0"/>
            </w:tcBorders>
            <w:noWrap/>
            <w:vAlign w:val="center"/>
          </w:tcPr>
          <w:p>
            <w:pPr>
              <w:pStyle w:val="71"/>
              <w:widowControl w:val="0"/>
              <w:rPr>
                <w:color w:val="auto"/>
                <w:szCs w:val="24"/>
                <w:highlight w:val="none"/>
                <w:lang w:eastAsia="zh-CN"/>
              </w:rPr>
            </w:pPr>
            <w:r>
              <w:rPr>
                <w:rFonts w:hint="eastAsia"/>
                <w:color w:val="auto"/>
                <w:szCs w:val="24"/>
                <w:highlight w:val="none"/>
                <w:lang w:eastAsia="zh-CN"/>
              </w:rPr>
              <w:t>荣誉</w:t>
            </w:r>
            <w:r>
              <w:rPr>
                <w:rFonts w:hint="eastAsia" w:cs="宋体"/>
                <w:b/>
                <w:color w:val="auto"/>
                <w:szCs w:val="24"/>
                <w:highlight w:val="none"/>
                <w:lang w:eastAsia="zh-CN"/>
              </w:rPr>
              <w:t>（具体详见商务要求表）</w:t>
            </w:r>
          </w:p>
        </w:tc>
        <w:tc>
          <w:tcPr>
            <w:tcW w:w="399" w:type="pct"/>
            <w:tcBorders>
              <w:top w:val="single" w:color="auto" w:sz="4" w:space="0"/>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r>
    </w:tbl>
    <w:p>
      <w:pPr>
        <w:pStyle w:val="37"/>
        <w:spacing w:line="360" w:lineRule="auto"/>
        <w:rPr>
          <w:color w:val="auto"/>
          <w:highlight w:val="none"/>
        </w:rPr>
      </w:pP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2、商务要求表</w:t>
      </w:r>
      <w:r>
        <w:rPr>
          <w:rFonts w:hint="eastAsia" w:ascii="宋体" w:hAnsi="宋体" w:cs="宋体"/>
          <w:color w:val="auto"/>
          <w:sz w:val="24"/>
          <w:szCs w:val="24"/>
          <w:highlight w:val="none"/>
        </w:rPr>
        <w:t>（对应评分标准）</w:t>
      </w:r>
    </w:p>
    <w:tbl>
      <w:tblPr>
        <w:tblStyle w:val="22"/>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89"/>
        <w:gridCol w:w="573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938" w:type="dxa"/>
            <w:vMerge w:val="restar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资信</w:t>
            </w:r>
          </w:p>
        </w:tc>
        <w:tc>
          <w:tcPr>
            <w:tcW w:w="1089" w:type="dxa"/>
            <w:vAlign w:val="center"/>
          </w:tcPr>
          <w:p>
            <w:pPr>
              <w:tabs>
                <w:tab w:val="left" w:pos="772"/>
              </w:tabs>
              <w:spacing w:line="360" w:lineRule="auto"/>
              <w:jc w:val="center"/>
              <w:rPr>
                <w:rFonts w:ascii="宋体" w:hAnsi="宋体"/>
                <w:color w:val="auto"/>
                <w:kern w:val="0"/>
                <w:sz w:val="24"/>
                <w:szCs w:val="20"/>
                <w:highlight w:val="none"/>
              </w:rPr>
            </w:pPr>
            <w:r>
              <w:rPr>
                <w:rFonts w:hint="eastAsia" w:ascii="宋体" w:hAnsi="宋体" w:cs="宋体"/>
                <w:color w:val="auto"/>
                <w:sz w:val="24"/>
                <w:highlight w:val="none"/>
              </w:rPr>
              <w:t>业绩</w:t>
            </w:r>
          </w:p>
        </w:tc>
        <w:tc>
          <w:tcPr>
            <w:tcW w:w="5736"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供应商自201</w:t>
            </w:r>
            <w:r>
              <w:rPr>
                <w:rFonts w:ascii="宋体" w:hAnsi="宋体" w:cs="宋体"/>
                <w:color w:val="auto"/>
                <w:sz w:val="24"/>
                <w:highlight w:val="none"/>
              </w:rPr>
              <w:t>8</w:t>
            </w:r>
            <w:r>
              <w:rPr>
                <w:rFonts w:hint="eastAsia" w:ascii="宋体" w:hAnsi="宋体" w:cs="宋体"/>
                <w:color w:val="auto"/>
                <w:sz w:val="24"/>
                <w:highlight w:val="none"/>
              </w:rPr>
              <w:t>年1月1日（以合同签字时间为准）以来承担过地理国情普查相关项目的，每个得0.5分，最高得2分 ，提供合同和项目完成验收的相关证明材料复印件或扫描件并加盖公章。</w:t>
            </w:r>
          </w:p>
        </w:tc>
        <w:tc>
          <w:tcPr>
            <w:tcW w:w="736" w:type="dxa"/>
            <w:vAlign w:val="center"/>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 w:hRule="atLeast"/>
          <w:jc w:val="center"/>
        </w:trPr>
        <w:tc>
          <w:tcPr>
            <w:tcW w:w="938" w:type="dxa"/>
            <w:vMerge w:val="continue"/>
            <w:vAlign w:val="center"/>
          </w:tcPr>
          <w:p>
            <w:pPr>
              <w:spacing w:line="360" w:lineRule="auto"/>
              <w:jc w:val="center"/>
              <w:rPr>
                <w:rFonts w:ascii="宋体" w:cs="宋体"/>
                <w:color w:val="auto"/>
                <w:sz w:val="24"/>
                <w:highlight w:val="none"/>
              </w:rPr>
            </w:pPr>
          </w:p>
        </w:tc>
        <w:tc>
          <w:tcPr>
            <w:tcW w:w="1089" w:type="dxa"/>
            <w:vAlign w:val="center"/>
          </w:tcPr>
          <w:p>
            <w:pPr>
              <w:tabs>
                <w:tab w:val="left" w:pos="772"/>
              </w:tabs>
              <w:spacing w:line="360" w:lineRule="auto"/>
              <w:jc w:val="center"/>
              <w:rPr>
                <w:rFonts w:ascii="宋体" w:hAnsi="宋体"/>
                <w:color w:val="auto"/>
                <w:kern w:val="0"/>
                <w:sz w:val="24"/>
                <w:szCs w:val="20"/>
                <w:highlight w:val="none"/>
              </w:rPr>
            </w:pPr>
            <w:r>
              <w:rPr>
                <w:rFonts w:hint="eastAsia" w:ascii="宋体" w:hAnsi="宋体" w:cs="宋体"/>
                <w:color w:val="auto"/>
                <w:sz w:val="24"/>
                <w:highlight w:val="none"/>
              </w:rPr>
              <w:t>证书</w:t>
            </w:r>
          </w:p>
        </w:tc>
        <w:tc>
          <w:tcPr>
            <w:tcW w:w="5736"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供应商具有测绘地理信息类自然资源部科技成果登记证书的（需包含国情普查类或者自然资源审计类），每项得1分，最高得2分。</w:t>
            </w:r>
          </w:p>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提供证书复印件或扫描件并加盖公章。</w:t>
            </w:r>
          </w:p>
        </w:tc>
        <w:tc>
          <w:tcPr>
            <w:tcW w:w="736" w:type="dxa"/>
            <w:vAlign w:val="center"/>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 w:hRule="atLeast"/>
          <w:jc w:val="center"/>
        </w:trPr>
        <w:tc>
          <w:tcPr>
            <w:tcW w:w="938" w:type="dxa"/>
            <w:vMerge w:val="continue"/>
            <w:vAlign w:val="center"/>
          </w:tcPr>
          <w:p>
            <w:pPr>
              <w:spacing w:line="360" w:lineRule="auto"/>
              <w:jc w:val="center"/>
              <w:rPr>
                <w:rFonts w:ascii="宋体" w:cs="宋体"/>
                <w:color w:val="auto"/>
                <w:sz w:val="24"/>
                <w:highlight w:val="none"/>
              </w:rPr>
            </w:pPr>
          </w:p>
        </w:tc>
        <w:tc>
          <w:tcPr>
            <w:tcW w:w="1089" w:type="dxa"/>
            <w:vMerge w:val="restart"/>
            <w:vAlign w:val="center"/>
          </w:tcPr>
          <w:p>
            <w:pPr>
              <w:spacing w:line="36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荣誉</w:t>
            </w:r>
          </w:p>
        </w:tc>
        <w:tc>
          <w:tcPr>
            <w:tcW w:w="5736"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自2016年1月1日以来，供应商主持起草并正式发布城镇建成区或绿化覆盖率及绿地率相关地方标准的得2分。提供相关证明材料复印件或扫描件并加盖公章。</w:t>
            </w:r>
          </w:p>
        </w:tc>
        <w:tc>
          <w:tcPr>
            <w:tcW w:w="736" w:type="dxa"/>
            <w:vAlign w:val="center"/>
          </w:tcPr>
          <w:p>
            <w:pPr>
              <w:spacing w:line="36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 w:hRule="atLeast"/>
          <w:jc w:val="center"/>
        </w:trPr>
        <w:tc>
          <w:tcPr>
            <w:tcW w:w="938" w:type="dxa"/>
            <w:vMerge w:val="continue"/>
            <w:vAlign w:val="center"/>
          </w:tcPr>
          <w:p>
            <w:pPr>
              <w:spacing w:line="360" w:lineRule="auto"/>
              <w:jc w:val="center"/>
              <w:rPr>
                <w:rFonts w:ascii="宋体" w:cs="宋体"/>
                <w:color w:val="auto"/>
                <w:sz w:val="24"/>
                <w:highlight w:val="none"/>
              </w:rPr>
            </w:pPr>
          </w:p>
        </w:tc>
        <w:tc>
          <w:tcPr>
            <w:tcW w:w="1089" w:type="dxa"/>
            <w:vMerge w:val="continue"/>
            <w:vAlign w:val="center"/>
          </w:tcPr>
          <w:p>
            <w:pPr>
              <w:spacing w:line="360" w:lineRule="auto"/>
              <w:jc w:val="center"/>
              <w:rPr>
                <w:rFonts w:ascii="宋体" w:hAnsi="宋体"/>
                <w:color w:val="auto"/>
                <w:kern w:val="0"/>
                <w:sz w:val="24"/>
                <w:szCs w:val="20"/>
                <w:highlight w:val="none"/>
              </w:rPr>
            </w:pPr>
          </w:p>
        </w:tc>
        <w:tc>
          <w:tcPr>
            <w:tcW w:w="5736"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自2016年1月1日以来，供应商出版过地理国情普查相关书籍的每项得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分。提供相关证明材料复印件或扫描件并加盖公章。</w:t>
            </w:r>
          </w:p>
        </w:tc>
        <w:tc>
          <w:tcPr>
            <w:tcW w:w="736" w:type="dxa"/>
            <w:vAlign w:val="center"/>
          </w:tcPr>
          <w:p>
            <w:pPr>
              <w:spacing w:line="360" w:lineRule="auto"/>
              <w:jc w:val="center"/>
              <w:rPr>
                <w:rFonts w:hint="eastAsia" w:ascii="宋体" w:hAnsi="宋体" w:eastAsia="宋体"/>
                <w:color w:val="auto"/>
                <w:kern w:val="0"/>
                <w:sz w:val="24"/>
                <w:szCs w:val="20"/>
                <w:highlight w:val="none"/>
                <w:lang w:eastAsia="zh-CN"/>
              </w:rPr>
            </w:pPr>
            <w:r>
              <w:rPr>
                <w:rFonts w:hint="eastAsia" w:ascii="宋体" w:hAnsi="宋体"/>
                <w:color w:val="auto"/>
                <w:kern w:val="0"/>
                <w:sz w:val="24"/>
                <w:szCs w:val="20"/>
                <w:highlight w:val="none"/>
                <w:lang w:val="en-US" w:eastAsia="zh-CN"/>
              </w:rPr>
              <w:t>4</w:t>
            </w:r>
          </w:p>
        </w:tc>
      </w:tr>
    </w:tbl>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p>
    <w:p>
      <w:pPr>
        <w:rPr>
          <w:rFonts w:cs="宋体"/>
          <w:color w:val="auto"/>
          <w:sz w:val="36"/>
          <w:szCs w:val="36"/>
          <w:highlight w:val="none"/>
        </w:rPr>
      </w:pPr>
      <w:bookmarkStart w:id="93" w:name="_Toc8033"/>
      <w:bookmarkStart w:id="94" w:name="_Toc4517"/>
      <w:r>
        <w:rPr>
          <w:rFonts w:hint="eastAsia" w:cs="宋体"/>
          <w:color w:val="auto"/>
          <w:sz w:val="36"/>
          <w:szCs w:val="36"/>
          <w:highlight w:val="none"/>
        </w:rPr>
        <w:br w:type="page"/>
      </w:r>
    </w:p>
    <w:p>
      <w:pPr>
        <w:pStyle w:val="4"/>
        <w:jc w:val="center"/>
        <w:rPr>
          <w:rFonts w:cs="宋体"/>
          <w:color w:val="auto"/>
          <w:sz w:val="36"/>
          <w:szCs w:val="36"/>
          <w:highlight w:val="none"/>
        </w:rPr>
      </w:pPr>
      <w:bookmarkStart w:id="95" w:name="_Toc18269"/>
      <w:r>
        <w:rPr>
          <w:rFonts w:hint="eastAsia" w:cs="宋体"/>
          <w:color w:val="auto"/>
          <w:sz w:val="36"/>
          <w:szCs w:val="36"/>
          <w:highlight w:val="none"/>
        </w:rPr>
        <w:t>第五部分</w:t>
      </w:r>
      <w:r>
        <w:rPr>
          <w:color w:val="auto"/>
          <w:sz w:val="36"/>
          <w:szCs w:val="36"/>
          <w:highlight w:val="none"/>
        </w:rPr>
        <w:t xml:space="preserve"> </w:t>
      </w:r>
      <w:r>
        <w:rPr>
          <w:rFonts w:hint="eastAsia" w:cs="宋体"/>
          <w:color w:val="auto"/>
          <w:sz w:val="36"/>
          <w:szCs w:val="36"/>
          <w:highlight w:val="none"/>
        </w:rPr>
        <w:t>采购合同</w:t>
      </w:r>
      <w:bookmarkEnd w:id="93"/>
      <w:bookmarkEnd w:id="94"/>
      <w:bookmarkEnd w:id="95"/>
    </w:p>
    <w:p>
      <w:pPr>
        <w:spacing w:line="360" w:lineRule="auto"/>
        <w:ind w:firstLine="600" w:firstLineChars="250"/>
        <w:jc w:val="left"/>
        <w:rPr>
          <w:rFonts w:ascii="宋体"/>
          <w:color w:val="auto"/>
          <w:sz w:val="24"/>
          <w:szCs w:val="24"/>
          <w:highlight w:val="none"/>
        </w:rPr>
      </w:pPr>
      <w:r>
        <w:rPr>
          <w:rFonts w:hint="eastAsia" w:ascii="宋体" w:hAnsi="宋体" w:cs="宋体"/>
          <w:color w:val="auto"/>
          <w:sz w:val="24"/>
          <w:szCs w:val="24"/>
          <w:highlight w:val="none"/>
        </w:rPr>
        <w:t>合同编号：（</w:t>
      </w:r>
      <w:r>
        <w:rPr>
          <w:rFonts w:ascii="宋体" w:hAnsi="宋体" w:cs="宋体"/>
          <w:color w:val="auto"/>
          <w:sz w:val="24"/>
          <w:szCs w:val="24"/>
          <w:highlight w:val="none"/>
        </w:rPr>
        <w:t>202</w:t>
      </w:r>
      <w:r>
        <w:rPr>
          <w:rFonts w:hint="eastAsia" w:ascii="宋体" w:hAnsi="宋体" w:cs="宋体"/>
          <w:color w:val="auto"/>
          <w:sz w:val="24"/>
          <w:szCs w:val="24"/>
          <w:highlight w:val="none"/>
        </w:rPr>
        <w:t>1）第</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号</w:t>
      </w:r>
    </w:p>
    <w:p>
      <w:pPr>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　签订日期：</w:t>
      </w:r>
      <w:r>
        <w:rPr>
          <w:rFonts w:ascii="宋体" w:hAnsi="宋体" w:cs="宋体"/>
          <w:color w:val="auto"/>
          <w:sz w:val="24"/>
          <w:szCs w:val="24"/>
          <w:highlight w:val="none"/>
        </w:rPr>
        <w:t>202</w:t>
      </w:r>
      <w:r>
        <w:rPr>
          <w:rFonts w:hint="eastAsia" w:ascii="宋体" w:hAnsi="宋体" w:cs="宋体"/>
          <w:color w:val="auto"/>
          <w:sz w:val="24"/>
          <w:szCs w:val="24"/>
          <w:highlight w:val="none"/>
        </w:rPr>
        <w:t>1年</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日</w:t>
      </w:r>
    </w:p>
    <w:p>
      <w:pPr>
        <w:spacing w:line="360" w:lineRule="auto"/>
        <w:ind w:firstLine="480" w:firstLineChars="200"/>
        <w:rPr>
          <w:rFonts w:ascii="宋体"/>
          <w:color w:val="auto"/>
          <w:sz w:val="28"/>
          <w:szCs w:val="28"/>
          <w:highlight w:val="none"/>
          <w:u w:val="single"/>
        </w:rPr>
      </w:pPr>
      <w:r>
        <w:rPr>
          <w:rFonts w:hint="eastAsia" w:ascii="宋体" w:hAnsi="宋体" w:cs="宋体"/>
          <w:color w:val="auto"/>
          <w:sz w:val="24"/>
          <w:szCs w:val="24"/>
          <w:highlight w:val="none"/>
        </w:rPr>
        <w:t>　甲方</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w:t>
      </w:r>
    </w:p>
    <w:p>
      <w:pPr>
        <w:spacing w:line="360" w:lineRule="auto"/>
        <w:ind w:firstLine="720" w:firstLineChars="300"/>
        <w:jc w:val="left"/>
        <w:rPr>
          <w:rFonts w:ascii="宋体"/>
          <w:color w:val="auto"/>
          <w:sz w:val="28"/>
          <w:szCs w:val="28"/>
          <w:highlight w:val="none"/>
          <w:u w:val="single"/>
        </w:rPr>
      </w:pPr>
      <w:r>
        <w:rPr>
          <w:rFonts w:hint="eastAsia" w:ascii="宋体" w:hAnsi="宋体" w:cs="宋体"/>
          <w:color w:val="auto"/>
          <w:sz w:val="24"/>
          <w:szCs w:val="24"/>
          <w:highlight w:val="none"/>
        </w:rPr>
        <w:t>乙方</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w:t>
      </w:r>
    </w:p>
    <w:p>
      <w:pPr>
        <w:spacing w:line="336"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根据《中华人民共和国民法典》、政府采购编号为FSJZCS20210</w:t>
      </w:r>
      <w:r>
        <w:rPr>
          <w:rFonts w:hint="eastAsia" w:ascii="宋体" w:hAnsi="宋体" w:cs="宋体"/>
          <w:color w:val="auto"/>
          <w:sz w:val="24"/>
          <w:szCs w:val="24"/>
          <w:highlight w:val="none"/>
          <w:lang w:val="en-US" w:eastAsia="zh-CN"/>
        </w:rPr>
        <w:t>44</w:t>
      </w:r>
      <w:r>
        <w:rPr>
          <w:rFonts w:hint="eastAsia" w:ascii="宋体" w:hAnsi="宋体" w:cs="宋体"/>
          <w:color w:val="auto"/>
          <w:sz w:val="24"/>
          <w:szCs w:val="24"/>
          <w:highlight w:val="none"/>
        </w:rPr>
        <w:t>磋商文件、乙方响应文件的规定，经竞争性磋商采购，签订本合同。</w:t>
      </w:r>
    </w:p>
    <w:p>
      <w:pPr>
        <w:snapToGrid w:val="0"/>
        <w:spacing w:line="336"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一、项目背景</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地理国情监测是对相关的地理国情要素进行动态和定量化、空间化的监测，并统计分析其变化量、变化频率、分布特征、地域差异、变化趋势等，形成反映其空间分布及其发展变化规律的监测数据和研究报告。根据浙江省2</w:t>
      </w:r>
      <w:r>
        <w:rPr>
          <w:rFonts w:ascii="宋体" w:hAnsi="宋体" w:cs="Courier New"/>
          <w:color w:val="auto"/>
          <w:sz w:val="24"/>
          <w:highlight w:val="none"/>
        </w:rPr>
        <w:t>021</w:t>
      </w:r>
      <w:r>
        <w:rPr>
          <w:rFonts w:hint="eastAsia" w:ascii="宋体" w:hAnsi="宋体" w:cs="Courier New"/>
          <w:color w:val="auto"/>
          <w:sz w:val="24"/>
          <w:highlight w:val="none"/>
        </w:rPr>
        <w:t>年自然资源调查监测工作要点，绍兴市自然资源和规划局上虞分局组织年度地理国情监测工作，开展城市建成区绿化覆盖率和绿地率及其他专题监测，确保监测时序的连续性、完整性。</w:t>
      </w:r>
    </w:p>
    <w:p>
      <w:pPr>
        <w:snapToGrid w:val="0"/>
        <w:spacing w:line="336"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二、</w:t>
      </w:r>
      <w:r>
        <w:rPr>
          <w:rFonts w:ascii="宋体" w:hAnsi="宋体" w:cs="Courier New"/>
          <w:b/>
          <w:bCs/>
          <w:color w:val="auto"/>
          <w:sz w:val="24"/>
          <w:highlight w:val="none"/>
        </w:rPr>
        <w:t>项目内容</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1、2021年度“一区两率”监测</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城市建成区监测主要内容：基于上虞区城市建成区调查本底，整理2021年度最新的遥感影像数据、已批用地红线、基础地理信息数据及其他专题数据，提取监测当年建成区变化图斑，形成更新后的城市建成区范围（监测范围包括上虞区各个乡镇、街道（2</w:t>
      </w:r>
      <w:r>
        <w:rPr>
          <w:rFonts w:ascii="宋体" w:hAnsi="宋体" w:cs="Courier New"/>
          <w:color w:val="auto"/>
          <w:sz w:val="24"/>
          <w:highlight w:val="none"/>
        </w:rPr>
        <w:t>0</w:t>
      </w:r>
      <w:r>
        <w:rPr>
          <w:rFonts w:hint="eastAsia" w:ascii="宋体" w:hAnsi="宋体" w:cs="Courier New"/>
          <w:color w:val="auto"/>
          <w:sz w:val="24"/>
          <w:highlight w:val="none"/>
        </w:rPr>
        <w:t>个）以及围垦区）。</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绿地率及绿化覆盖率监测主要内容是：基于上虞区城市建成区绿地率及绿化覆盖率调查本底，对照高分辨率遥感影像、2021年度大比例尺基础地理信息数据和竣工测绘成果中的绿地数据，提取监测当年建成区绿地率及绿化覆盖率变化图斑，形成最新的绿地数据，结合城镇建成区数据计算绿地率及绿化覆盖率（监测范围包括上虞区各个乡镇、街道（2</w:t>
      </w:r>
      <w:r>
        <w:rPr>
          <w:rFonts w:ascii="宋体" w:hAnsi="宋体" w:cs="Courier New"/>
          <w:color w:val="auto"/>
          <w:sz w:val="24"/>
          <w:highlight w:val="none"/>
        </w:rPr>
        <w:t>0</w:t>
      </w:r>
      <w:r>
        <w:rPr>
          <w:rFonts w:hint="eastAsia" w:ascii="宋体" w:hAnsi="宋体" w:cs="Courier New"/>
          <w:color w:val="auto"/>
          <w:sz w:val="24"/>
          <w:highlight w:val="none"/>
        </w:rPr>
        <w:t>个）以及围垦区）。</w:t>
      </w:r>
    </w:p>
    <w:p>
      <w:pPr>
        <w:snapToGrid w:val="0"/>
        <w:spacing w:line="336" w:lineRule="auto"/>
        <w:ind w:firstLine="480" w:firstLineChars="200"/>
        <w:rPr>
          <w:rFonts w:ascii="宋体" w:hAnsi="宋体" w:cs="Courier New"/>
          <w:color w:val="auto"/>
          <w:sz w:val="24"/>
          <w:highlight w:val="none"/>
        </w:rPr>
      </w:pPr>
      <w:r>
        <w:rPr>
          <w:rFonts w:ascii="宋体" w:hAnsi="宋体" w:cs="Courier New"/>
          <w:color w:val="auto"/>
          <w:sz w:val="24"/>
          <w:highlight w:val="none"/>
        </w:rPr>
        <w:t>2</w:t>
      </w:r>
      <w:r>
        <w:rPr>
          <w:rFonts w:hint="eastAsia" w:ascii="宋体" w:hAnsi="宋体" w:cs="Courier New"/>
          <w:color w:val="auto"/>
          <w:sz w:val="24"/>
          <w:highlight w:val="none"/>
        </w:rPr>
        <w:t>、2021年度地理国情专题内容监测</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1</w:t>
      </w:r>
      <w:r>
        <w:rPr>
          <w:rFonts w:hint="eastAsia" w:ascii="宋体" w:hAnsi="宋体" w:cs="Courier New"/>
          <w:color w:val="auto"/>
          <w:sz w:val="24"/>
          <w:highlight w:val="none"/>
        </w:rPr>
        <w:t>）重要基础设施和公共服务设施监测</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以20</w:t>
      </w:r>
      <w:r>
        <w:rPr>
          <w:rFonts w:ascii="宋体" w:hAnsi="宋体" w:cs="Courier New"/>
          <w:color w:val="auto"/>
          <w:sz w:val="24"/>
          <w:highlight w:val="none"/>
        </w:rPr>
        <w:t>20</w:t>
      </w:r>
      <w:r>
        <w:rPr>
          <w:rFonts w:hint="eastAsia" w:ascii="宋体" w:hAnsi="宋体" w:cs="Courier New"/>
          <w:color w:val="auto"/>
          <w:sz w:val="24"/>
          <w:highlight w:val="none"/>
        </w:rPr>
        <w:t>年调查成果为本底库，依据最新收集的资料，对学校、医院、社会福利机构、乡镇及以上政府、港口、车站、加油站的名称、类型、等级、定位点进行监测更新，并对比本底数据，对变化部分进行监测统计。</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2</w:t>
      </w:r>
      <w:r>
        <w:rPr>
          <w:rFonts w:hint="eastAsia" w:ascii="宋体" w:hAnsi="宋体" w:cs="Courier New"/>
          <w:color w:val="auto"/>
          <w:sz w:val="24"/>
          <w:highlight w:val="none"/>
        </w:rPr>
        <w:t>）文化体育场所监测</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风景名胜区、历史文化保护区要素提取技术线路和精度要求参照《浙江省第一次地理国情普查实施方案》执行。在20</w:t>
      </w:r>
      <w:r>
        <w:rPr>
          <w:rFonts w:ascii="宋体" w:hAnsi="宋体" w:cs="Courier New"/>
          <w:color w:val="auto"/>
          <w:sz w:val="24"/>
          <w:highlight w:val="none"/>
        </w:rPr>
        <w:t>20</w:t>
      </w:r>
      <w:r>
        <w:rPr>
          <w:rFonts w:hint="eastAsia" w:ascii="宋体" w:hAnsi="宋体" w:cs="Courier New"/>
          <w:color w:val="auto"/>
          <w:sz w:val="24"/>
          <w:highlight w:val="none"/>
        </w:rPr>
        <w:t>年的本底库的基础上依据最新的资料对风景名胜区名称、等级、面积进行监测更新，对变化的区域进行实地调绘。</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3</w:t>
      </w:r>
      <w:r>
        <w:rPr>
          <w:rFonts w:hint="eastAsia" w:ascii="宋体" w:hAnsi="宋体" w:cs="Courier New"/>
          <w:color w:val="auto"/>
          <w:sz w:val="24"/>
          <w:highlight w:val="none"/>
        </w:rPr>
        <w:t>）特色产业园、专业市场、停车位监测</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以201</w:t>
      </w:r>
      <w:r>
        <w:rPr>
          <w:rFonts w:ascii="宋体" w:hAnsi="宋体" w:cs="Courier New"/>
          <w:color w:val="auto"/>
          <w:sz w:val="24"/>
          <w:highlight w:val="none"/>
        </w:rPr>
        <w:t>9</w:t>
      </w:r>
      <w:r>
        <w:rPr>
          <w:rFonts w:hint="eastAsia" w:ascii="宋体" w:hAnsi="宋体" w:cs="Courier New"/>
          <w:color w:val="auto"/>
          <w:sz w:val="24"/>
          <w:highlight w:val="none"/>
        </w:rPr>
        <w:t>年调查成果为本底库，依据最新收集的资料，对特色产业园、专业市场、停车位的地理位置、范围、基础设施、产业类型进行更新监测，通过影像图内业预判，外业综合调绘，后期数据整理完成本次监测任务。</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w:t>
      </w:r>
      <w:r>
        <w:rPr>
          <w:rFonts w:ascii="宋体" w:hAnsi="宋体" w:cs="Courier New"/>
          <w:color w:val="auto"/>
          <w:sz w:val="24"/>
          <w:highlight w:val="none"/>
        </w:rPr>
        <w:t>4</w:t>
      </w:r>
      <w:r>
        <w:rPr>
          <w:rFonts w:hint="eastAsia" w:ascii="宋体" w:hAnsi="宋体" w:cs="Courier New"/>
          <w:color w:val="auto"/>
          <w:sz w:val="24"/>
          <w:highlight w:val="none"/>
        </w:rPr>
        <w:t>）总体地形地貌特征监测</w:t>
      </w:r>
    </w:p>
    <w:p>
      <w:pPr>
        <w:snapToGrid w:val="0"/>
        <w:spacing w:line="336" w:lineRule="auto"/>
        <w:ind w:firstLine="480" w:firstLineChars="200"/>
        <w:rPr>
          <w:rFonts w:ascii="宋体" w:hAnsi="宋体" w:cs="Courier New"/>
          <w:color w:val="auto"/>
          <w:sz w:val="24"/>
          <w:highlight w:val="none"/>
        </w:rPr>
      </w:pPr>
      <w:r>
        <w:rPr>
          <w:rFonts w:ascii="宋体" w:hAnsi="宋体" w:cs="Courier New"/>
          <w:color w:val="auto"/>
          <w:sz w:val="24"/>
          <w:highlight w:val="none"/>
        </w:rPr>
        <w:t>基于上虞区</w:t>
      </w:r>
      <w:r>
        <w:rPr>
          <w:rFonts w:hint="eastAsia" w:ascii="宋体" w:hAnsi="宋体" w:cs="Courier New"/>
          <w:color w:val="auto"/>
          <w:sz w:val="24"/>
          <w:highlight w:val="none"/>
        </w:rPr>
        <w:t>总体地形地貌特征调查本底，结合202</w:t>
      </w:r>
      <w:r>
        <w:rPr>
          <w:rFonts w:ascii="宋体" w:hAnsi="宋体" w:cs="Courier New"/>
          <w:color w:val="auto"/>
          <w:sz w:val="24"/>
          <w:highlight w:val="none"/>
        </w:rPr>
        <w:t>1</w:t>
      </w:r>
      <w:r>
        <w:rPr>
          <w:rFonts w:hint="eastAsia" w:ascii="宋体" w:hAnsi="宋体" w:cs="Courier New"/>
          <w:color w:val="auto"/>
          <w:sz w:val="24"/>
          <w:highlight w:val="none"/>
        </w:rPr>
        <w:t>年最新1：2000基础地理信息数据库2m格网DEM数据和1：10000基础地理信息数据中的水面数据、高分辨率遥感影像，对上虞区高程、坡度伏度进行分级、量算及统计，并对比本底数据，发现地形地貌特征变化区域，进行监测统计。</w:t>
      </w:r>
    </w:p>
    <w:p>
      <w:pPr>
        <w:snapToGrid w:val="0"/>
        <w:spacing w:line="336" w:lineRule="auto"/>
        <w:ind w:firstLine="480" w:firstLineChars="200"/>
        <w:rPr>
          <w:rFonts w:ascii="宋体" w:hAnsi="宋体" w:cs="Courier New"/>
          <w:color w:val="auto"/>
          <w:sz w:val="24"/>
          <w:highlight w:val="none"/>
        </w:rPr>
      </w:pPr>
      <w:r>
        <w:rPr>
          <w:rFonts w:ascii="宋体" w:hAnsi="宋体" w:cs="Courier New"/>
          <w:color w:val="auto"/>
          <w:sz w:val="24"/>
          <w:highlight w:val="none"/>
        </w:rPr>
        <w:t>3</w:t>
      </w:r>
      <w:r>
        <w:rPr>
          <w:rFonts w:hint="eastAsia" w:ascii="宋体" w:hAnsi="宋体" w:cs="Courier New"/>
          <w:color w:val="auto"/>
          <w:sz w:val="24"/>
          <w:highlight w:val="none"/>
        </w:rPr>
        <w:t>、地理国情统计分析报告</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编写绍兴市上虞区地理国情监测（2021年）统计分析报告。</w:t>
      </w:r>
    </w:p>
    <w:p>
      <w:pPr>
        <w:snapToGrid w:val="0"/>
        <w:spacing w:line="336" w:lineRule="auto"/>
        <w:ind w:firstLine="480" w:firstLineChars="200"/>
        <w:rPr>
          <w:color w:val="auto"/>
          <w:sz w:val="24"/>
          <w:highlight w:val="none"/>
        </w:rPr>
      </w:pPr>
      <w:r>
        <w:rPr>
          <w:rFonts w:hint="eastAsia" w:ascii="宋体" w:hAnsi="宋体" w:cs="Courier New"/>
          <w:color w:val="auto"/>
          <w:sz w:val="24"/>
          <w:highlight w:val="none"/>
        </w:rPr>
        <w:t>4、</w:t>
      </w:r>
      <w:r>
        <w:rPr>
          <w:rFonts w:hint="eastAsia"/>
          <w:color w:val="auto"/>
          <w:sz w:val="24"/>
          <w:highlight w:val="none"/>
        </w:rPr>
        <w:t>变化监测分析和数据展示配套设施</w:t>
      </w:r>
    </w:p>
    <w:p>
      <w:pPr>
        <w:snapToGrid w:val="0"/>
        <w:spacing w:line="336" w:lineRule="auto"/>
        <w:ind w:firstLine="424" w:firstLineChars="177"/>
        <w:rPr>
          <w:rFonts w:ascii="宋体" w:hAnsi="宋体" w:cs="Courier New"/>
          <w:color w:val="auto"/>
          <w:sz w:val="24"/>
          <w:highlight w:val="none"/>
        </w:rPr>
      </w:pPr>
      <w:r>
        <w:rPr>
          <w:rFonts w:hint="eastAsia" w:ascii="宋体" w:hAnsi="宋体" w:cs="Courier New"/>
          <w:color w:val="auto"/>
          <w:sz w:val="24"/>
          <w:highlight w:val="none"/>
        </w:rPr>
        <w:t>为保障自然资源变化监测分析平台的人工智能分析算力，提高自然资源变化图斑自动提取的效率，配置满足平台需求的运算节点1</w:t>
      </w:r>
      <w:r>
        <w:rPr>
          <w:rFonts w:ascii="宋体" w:hAnsi="宋体" w:cs="Courier New"/>
          <w:color w:val="auto"/>
          <w:sz w:val="24"/>
          <w:highlight w:val="none"/>
        </w:rPr>
        <w:t>1</w:t>
      </w:r>
      <w:r>
        <w:rPr>
          <w:rFonts w:hint="eastAsia" w:ascii="宋体" w:hAnsi="宋体" w:cs="Courier New"/>
          <w:color w:val="auto"/>
          <w:sz w:val="24"/>
          <w:highlight w:val="none"/>
        </w:rPr>
        <w:t>个（包括节点间通信设施）；配套处理软件</w:t>
      </w:r>
      <w:r>
        <w:rPr>
          <w:rFonts w:ascii="宋体" w:hAnsi="宋体" w:cs="Courier New"/>
          <w:color w:val="auto"/>
          <w:sz w:val="24"/>
          <w:highlight w:val="none"/>
        </w:rPr>
        <w:t>南方cass10.2网络版</w:t>
      </w:r>
      <w:r>
        <w:rPr>
          <w:rFonts w:hint="eastAsia" w:ascii="宋体" w:hAnsi="宋体" w:cs="Courier New"/>
          <w:color w:val="auto"/>
          <w:sz w:val="24"/>
          <w:highlight w:val="none"/>
        </w:rPr>
        <w:t>（</w:t>
      </w:r>
      <w:r>
        <w:rPr>
          <w:rFonts w:ascii="宋体" w:hAnsi="宋体" w:cs="Courier New"/>
          <w:color w:val="auto"/>
          <w:sz w:val="24"/>
          <w:highlight w:val="none"/>
        </w:rPr>
        <w:t>2个节点</w:t>
      </w:r>
      <w:r>
        <w:rPr>
          <w:rFonts w:hint="eastAsia" w:ascii="宋体" w:hAnsi="宋体" w:cs="Courier New"/>
          <w:color w:val="auto"/>
          <w:sz w:val="24"/>
          <w:highlight w:val="none"/>
        </w:rPr>
        <w:t>）。</w:t>
      </w:r>
    </w:p>
    <w:p>
      <w:pPr>
        <w:snapToGrid w:val="0"/>
        <w:spacing w:line="336"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三、提交</w:t>
      </w:r>
      <w:r>
        <w:rPr>
          <w:rFonts w:ascii="宋体" w:hAnsi="宋体" w:cs="Courier New"/>
          <w:b/>
          <w:bCs/>
          <w:color w:val="auto"/>
          <w:sz w:val="24"/>
          <w:highlight w:val="none"/>
        </w:rPr>
        <w:t>成果</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（1）数据成果</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w:t>
      </w:r>
      <w:r>
        <w:rPr>
          <w:rFonts w:hint="eastAsia" w:ascii="宋体" w:hAnsi="宋体" w:cs="Courier New"/>
          <w:color w:val="auto"/>
          <w:sz w:val="24"/>
          <w:highlight w:val="none"/>
        </w:rPr>
        <w:t>监测成果数据</w:t>
      </w:r>
      <w:r>
        <w:rPr>
          <w:rFonts w:ascii="宋体" w:hAnsi="宋体" w:cs="Courier New"/>
          <w:color w:val="auto"/>
          <w:sz w:val="24"/>
          <w:highlight w:val="none"/>
        </w:rPr>
        <w:t>库</w:t>
      </w:r>
      <w:r>
        <w:rPr>
          <w:rFonts w:hint="eastAsia" w:ascii="宋体" w:hAnsi="宋体" w:cs="Courier New"/>
          <w:color w:val="auto"/>
          <w:sz w:val="24"/>
          <w:highlight w:val="none"/>
        </w:rPr>
        <w:t>（2021年）</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城市建成区绿化覆盖率及绿地现状监测成果</w:t>
      </w:r>
      <w:r>
        <w:rPr>
          <w:rFonts w:hint="eastAsia" w:ascii="宋体" w:hAnsi="宋体" w:cs="Courier New"/>
          <w:color w:val="auto"/>
          <w:sz w:val="24"/>
          <w:highlight w:val="none"/>
        </w:rPr>
        <w:t>数据库（2021年）</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绍兴市上虞区城市建成区遥感影像数据库（2021年）</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绍兴市上虞区国情专题监测成果数据库（2021年）</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绍兴市上虞区国情专题监测元数据库（2021年）</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（2）报告成果</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城市建成区监测</w:t>
      </w:r>
      <w:r>
        <w:rPr>
          <w:rFonts w:hint="eastAsia" w:ascii="宋体" w:hAnsi="宋体" w:cs="Courier New"/>
          <w:color w:val="auto"/>
          <w:sz w:val="24"/>
          <w:highlight w:val="none"/>
        </w:rPr>
        <w:t>（2021）</w:t>
      </w:r>
      <w:r>
        <w:rPr>
          <w:rFonts w:ascii="宋体" w:hAnsi="宋体" w:cs="Courier New"/>
          <w:color w:val="auto"/>
          <w:sz w:val="24"/>
          <w:highlight w:val="none"/>
        </w:rPr>
        <w:t>成果报告</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w:t>
      </w:r>
      <w:r>
        <w:rPr>
          <w:rFonts w:ascii="宋体" w:hAnsi="宋体" w:cs="Courier New"/>
          <w:color w:val="auto"/>
          <w:sz w:val="24"/>
          <w:highlight w:val="none"/>
        </w:rPr>
        <w:t>城市建成区绿化覆盖率及绿地现状监测</w:t>
      </w:r>
      <w:r>
        <w:rPr>
          <w:rFonts w:hint="eastAsia" w:ascii="宋体" w:hAnsi="宋体" w:cs="Courier New"/>
          <w:color w:val="auto"/>
          <w:sz w:val="24"/>
          <w:highlight w:val="none"/>
        </w:rPr>
        <w:t>（2021）</w:t>
      </w:r>
      <w:r>
        <w:rPr>
          <w:rFonts w:ascii="宋体" w:hAnsi="宋体" w:cs="Courier New"/>
          <w:color w:val="auto"/>
          <w:sz w:val="24"/>
          <w:highlight w:val="none"/>
        </w:rPr>
        <w:t>成果报告</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绍兴市上虞区地理国情监测（2021年）成果及统计分析报告</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（3）技术文档</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绍兴市上虞区地理国情监测（2021年）实施方案</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绍兴市上虞区地理国情监测（2021年）技术设计书</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绍兴市上虞区地理国情监测（2021年）技术总结</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绍兴市上虞区地理国情监测（2021年）成果质量检验报告</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（4）配套设施</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w:t>
      </w:r>
      <w:r>
        <w:rPr>
          <w:rFonts w:ascii="宋体" w:hAnsi="宋体" w:cs="Courier New"/>
          <w:color w:val="auto"/>
          <w:sz w:val="24"/>
          <w:highlight w:val="none"/>
        </w:rPr>
        <w:t>1</w:t>
      </w:r>
      <w:r>
        <w:rPr>
          <w:rFonts w:hint="eastAsia" w:ascii="宋体" w:hAnsi="宋体" w:cs="Courier New"/>
          <w:color w:val="auto"/>
          <w:sz w:val="24"/>
          <w:highlight w:val="none"/>
        </w:rPr>
        <w:t>个人工智能运算节点（包括节点间通信设施）</w:t>
      </w:r>
    </w:p>
    <w:p>
      <w:pPr>
        <w:snapToGrid w:val="0"/>
        <w:spacing w:line="336" w:lineRule="auto"/>
        <w:ind w:firstLine="480" w:firstLineChars="200"/>
        <w:rPr>
          <w:rFonts w:ascii="宋体" w:hAnsi="宋体" w:cs="Courier New"/>
          <w:color w:val="auto"/>
          <w:sz w:val="24"/>
          <w:highlight w:val="none"/>
        </w:rPr>
      </w:pPr>
      <w:r>
        <w:rPr>
          <w:rFonts w:ascii="宋体" w:hAnsi="宋体" w:cs="Courier New"/>
          <w:color w:val="auto"/>
          <w:sz w:val="24"/>
          <w:highlight w:val="none"/>
        </w:rPr>
        <w:t>南方cass10.2网络版</w:t>
      </w:r>
      <w:r>
        <w:rPr>
          <w:rFonts w:hint="eastAsia" w:ascii="宋体" w:hAnsi="宋体" w:cs="Courier New"/>
          <w:color w:val="auto"/>
          <w:sz w:val="24"/>
          <w:highlight w:val="none"/>
        </w:rPr>
        <w:t>（</w:t>
      </w:r>
      <w:r>
        <w:rPr>
          <w:rFonts w:ascii="宋体" w:hAnsi="宋体" w:cs="Courier New"/>
          <w:color w:val="auto"/>
          <w:sz w:val="24"/>
          <w:highlight w:val="none"/>
        </w:rPr>
        <w:t>2个节点</w:t>
      </w:r>
      <w:r>
        <w:rPr>
          <w:rFonts w:hint="eastAsia" w:ascii="宋体" w:hAnsi="宋体" w:cs="Courier New"/>
          <w:color w:val="auto"/>
          <w:sz w:val="24"/>
          <w:highlight w:val="none"/>
        </w:rPr>
        <w:t>）</w:t>
      </w:r>
    </w:p>
    <w:p>
      <w:pPr>
        <w:snapToGrid w:val="0"/>
        <w:spacing w:line="336" w:lineRule="auto"/>
        <w:ind w:firstLine="482" w:firstLineChars="200"/>
        <w:rPr>
          <w:rFonts w:ascii="宋体" w:hAnsi="宋体" w:cs="Courier New"/>
          <w:b/>
          <w:bCs/>
          <w:color w:val="auto"/>
          <w:sz w:val="24"/>
          <w:highlight w:val="none"/>
        </w:rPr>
      </w:pPr>
      <w:r>
        <w:rPr>
          <w:rFonts w:hint="eastAsia" w:ascii="宋体" w:hAnsi="宋体" w:cs="Courier New"/>
          <w:b/>
          <w:bCs/>
          <w:color w:val="auto"/>
          <w:sz w:val="24"/>
          <w:highlight w:val="none"/>
        </w:rPr>
        <w:t>四、项目</w:t>
      </w:r>
      <w:r>
        <w:rPr>
          <w:rFonts w:ascii="宋体" w:hAnsi="宋体" w:cs="Courier New"/>
          <w:b/>
          <w:bCs/>
          <w:color w:val="auto"/>
          <w:sz w:val="24"/>
          <w:highlight w:val="none"/>
        </w:rPr>
        <w:t>验收</w:t>
      </w:r>
      <w:r>
        <w:rPr>
          <w:rFonts w:hint="eastAsia" w:ascii="宋体" w:hAnsi="宋体" w:cs="Courier New"/>
          <w:b/>
          <w:bCs/>
          <w:color w:val="auto"/>
          <w:sz w:val="24"/>
          <w:highlight w:val="none"/>
        </w:rPr>
        <w:t>要求</w:t>
      </w:r>
    </w:p>
    <w:p>
      <w:pPr>
        <w:snapToGrid w:val="0"/>
        <w:spacing w:line="336" w:lineRule="auto"/>
        <w:ind w:firstLine="480" w:firstLineChars="200"/>
        <w:rPr>
          <w:rFonts w:ascii="宋体" w:hAnsi="宋体" w:cs="Courier New"/>
          <w:color w:val="auto"/>
          <w:sz w:val="24"/>
          <w:highlight w:val="none"/>
        </w:rPr>
      </w:pPr>
      <w:r>
        <w:rPr>
          <w:rFonts w:hint="eastAsia" w:ascii="宋体" w:hAnsi="宋体" w:cs="Courier New"/>
          <w:color w:val="auto"/>
          <w:sz w:val="24"/>
          <w:highlight w:val="none"/>
        </w:rPr>
        <w:t>1、成果供应商应在中标后，20天内提交技术投计书供采购人审核，并通过绍兴市自然资源和规划局上虞分局组织评审同意后，成果供应商必须按照此技术设计书实施作业。签订合同后7天内开始作业。</w:t>
      </w:r>
    </w:p>
    <w:p>
      <w:pPr>
        <w:pStyle w:val="21"/>
        <w:spacing w:line="336" w:lineRule="auto"/>
        <w:rPr>
          <w:color w:val="auto"/>
          <w:highlight w:val="none"/>
        </w:rPr>
      </w:pPr>
      <w:r>
        <w:rPr>
          <w:rFonts w:hint="eastAsia" w:cs="Courier New"/>
          <w:color w:val="auto"/>
          <w:szCs w:val="21"/>
          <w:highlight w:val="none"/>
        </w:rPr>
        <w:t>2、成果供应商必须保证成果质量并积极配合采购人委托的省级以上测绘质量检验机构进行的质量检查，如达不到规定质量标准，必须及时进行整改。否则采购人有权采取解除合同并没收履约保证金等惩罚性措施</w:t>
      </w:r>
      <w:r>
        <w:rPr>
          <w:rFonts w:hint="eastAsia"/>
          <w:color w:val="auto"/>
          <w:highlight w:val="none"/>
        </w:rPr>
        <w:t>。</w:t>
      </w:r>
    </w:p>
    <w:p>
      <w:pPr>
        <w:spacing w:line="336"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五、付款方式</w:t>
      </w:r>
    </w:p>
    <w:p>
      <w:pPr>
        <w:spacing w:line="336"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（一）成交价：</w:t>
      </w:r>
    </w:p>
    <w:p>
      <w:pPr>
        <w:spacing w:line="336"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成交价为人民币（大写）：</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元（￥</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元）。成交价包括但不限于人员的工资福利、员工五险费(养老保险、医疗保险、失业保险、工伤保险、生育保险)、管理费、税费、质检费、专家费、人工成本费、管理费、办公用品、税费、项目竣工验收费和采购代理费等一切费用。凡乙方在报价中未列明但又为本次采购所必备的项目或遗漏项目，甲方将一律视为已包括在合同价中，在合同执行中将不予考虑。</w:t>
      </w:r>
    </w:p>
    <w:p>
      <w:pPr>
        <w:spacing w:line="336"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（二）本项目付款方式：</w:t>
      </w:r>
    </w:p>
    <w:p>
      <w:pPr>
        <w:autoSpaceDE w:val="0"/>
        <w:autoSpaceDN w:val="0"/>
        <w:adjustRightInd w:val="0"/>
        <w:spacing w:line="336" w:lineRule="auto"/>
        <w:ind w:firstLine="600"/>
        <w:rPr>
          <w:rFonts w:ascii="宋体" w:cs="宋体"/>
          <w:color w:val="auto"/>
          <w:kern w:val="0"/>
          <w:sz w:val="24"/>
          <w:highlight w:val="none"/>
          <w:lang w:val="zh-CN"/>
        </w:rPr>
      </w:pPr>
      <w:r>
        <w:rPr>
          <w:rFonts w:hint="eastAsia" w:ascii="宋体" w:cs="宋体"/>
          <w:color w:val="auto"/>
          <w:kern w:val="0"/>
          <w:sz w:val="24"/>
          <w:highlight w:val="none"/>
          <w:lang w:val="zh-CN"/>
        </w:rPr>
        <w:t>1、分期付款。甲方在乙方作业之日起三十个工作日内向乙方付合同总价的50%；项目通过绍兴市自然资源和规划局上虞分局组织验收后，向甲方提交经省级以上测绘质量检验机构进行的质量检查合格成果，在甲方所有合格成果之日起三十个工作日向乙方付合同总价的50%。</w:t>
      </w:r>
    </w:p>
    <w:p>
      <w:pPr>
        <w:autoSpaceDE w:val="0"/>
        <w:autoSpaceDN w:val="0"/>
        <w:adjustRightInd w:val="0"/>
        <w:spacing w:line="336" w:lineRule="auto"/>
        <w:ind w:firstLine="600"/>
        <w:rPr>
          <w:rFonts w:ascii="宋体" w:cs="宋体"/>
          <w:color w:val="auto"/>
          <w:kern w:val="0"/>
          <w:sz w:val="24"/>
          <w:highlight w:val="none"/>
          <w:lang w:val="zh-CN"/>
        </w:rPr>
      </w:pPr>
      <w:r>
        <w:rPr>
          <w:rFonts w:hint="eastAsia" w:ascii="宋体" w:cs="宋体"/>
          <w:color w:val="auto"/>
          <w:kern w:val="0"/>
          <w:sz w:val="24"/>
          <w:highlight w:val="none"/>
          <w:lang w:val="zh-CN"/>
        </w:rPr>
        <w:t>2、本合同签订后7个工作日内，乙方应向甲方支付合同总价3%的履约保证金（不计息），作为乙方认真履行合同条款的保证。履约保证在项目结束经过验收后转为质保金（不计息），质保金一年后退还（不计息）。</w:t>
      </w:r>
    </w:p>
    <w:p>
      <w:pPr>
        <w:spacing w:line="336" w:lineRule="auto"/>
        <w:ind w:firstLine="482" w:firstLineChars="200"/>
        <w:rPr>
          <w:rFonts w:ascii="宋体" w:hAnsi="宋体" w:cs="宋体"/>
          <w:b/>
          <w:bCs/>
          <w:color w:val="auto"/>
          <w:sz w:val="24"/>
          <w:szCs w:val="24"/>
          <w:highlight w:val="none"/>
        </w:rPr>
      </w:pPr>
      <w:r>
        <w:rPr>
          <w:rFonts w:hint="eastAsia" w:ascii="宋体" w:hAnsi="宋体" w:cs="宋体"/>
          <w:b/>
          <w:color w:val="auto"/>
          <w:kern w:val="0"/>
          <w:sz w:val="24"/>
          <w:szCs w:val="24"/>
          <w:highlight w:val="none"/>
        </w:rPr>
        <w:t>六、</w:t>
      </w:r>
      <w:r>
        <w:rPr>
          <w:rFonts w:hint="eastAsia" w:ascii="宋体" w:hAnsi="宋体" w:cs="宋体"/>
          <w:b/>
          <w:color w:val="auto"/>
          <w:kern w:val="0"/>
          <w:sz w:val="24"/>
          <w:szCs w:val="24"/>
          <w:highlight w:val="none"/>
          <w:lang w:val="zh-CN"/>
        </w:rPr>
        <w:t>违约责任</w:t>
      </w:r>
    </w:p>
    <w:p>
      <w:pPr>
        <w:autoSpaceDE w:val="0"/>
        <w:autoSpaceDN w:val="0"/>
        <w:adjustRightInd w:val="0"/>
        <w:spacing w:line="336"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1、在响应文件中明确的项目负责人、项目班子以及主要测量仪器和设备必须到位，否则视作违约，违约金按工程总价5%计算。</w:t>
      </w:r>
    </w:p>
    <w:p>
      <w:pPr>
        <w:autoSpaceDE w:val="0"/>
        <w:autoSpaceDN w:val="0"/>
        <w:adjustRightInd w:val="0"/>
        <w:spacing w:line="336"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 xml:space="preserve">2、中标工期即为合同工期，如乙方无正当理由不能在合同工期前完成监测任务的，违约金每天按总价的0.5‰ </w:t>
      </w:r>
    </w:p>
    <w:p>
      <w:pPr>
        <w:autoSpaceDE w:val="0"/>
        <w:autoSpaceDN w:val="0"/>
        <w:adjustRightInd w:val="0"/>
        <w:spacing w:line="336"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3、监测项目严禁转包，依法分包须经甲方确认并同意。</w:t>
      </w:r>
    </w:p>
    <w:p>
      <w:pPr>
        <w:autoSpaceDE w:val="0"/>
        <w:autoSpaceDN w:val="0"/>
        <w:adjustRightInd w:val="0"/>
        <w:spacing w:line="336"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4、监测任务完成后，成果经</w:t>
      </w:r>
      <w:r>
        <w:rPr>
          <w:rFonts w:hint="eastAsia" w:ascii="宋体" w:hAnsi="宋体" w:cs="Courier New"/>
          <w:color w:val="auto"/>
          <w:sz w:val="24"/>
          <w:highlight w:val="none"/>
        </w:rPr>
        <w:t>省级以上测绘质量检验机构</w:t>
      </w:r>
      <w:r>
        <w:rPr>
          <w:rFonts w:hint="eastAsia" w:ascii="宋体" w:hAnsi="宋体" w:cs="宋体"/>
          <w:color w:val="auto"/>
          <w:kern w:val="0"/>
          <w:sz w:val="24"/>
          <w:szCs w:val="24"/>
          <w:highlight w:val="none"/>
          <w:lang w:val="zh-CN"/>
        </w:rPr>
        <w:t>质检合格。</w:t>
      </w:r>
    </w:p>
    <w:p>
      <w:pPr>
        <w:autoSpaceDE w:val="0"/>
        <w:autoSpaceDN w:val="0"/>
        <w:adjustRightInd w:val="0"/>
        <w:spacing w:line="336"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5、成果首次验收不合格，经重测后其成果可提供二次验收。二次验收合格的，处罚违约金按工程总价的20%计算。验收不合格，甲方拒付工程余款。</w:t>
      </w:r>
    </w:p>
    <w:p>
      <w:pPr>
        <w:autoSpaceDE w:val="0"/>
        <w:autoSpaceDN w:val="0"/>
        <w:adjustRightInd w:val="0"/>
        <w:spacing w:line="336"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6、如有</w:t>
      </w:r>
      <w:r>
        <w:rPr>
          <w:rFonts w:hint="eastAsia" w:ascii="宋体" w:hAnsi="宋体" w:cs="宋体"/>
          <w:color w:val="auto"/>
          <w:sz w:val="24"/>
          <w:szCs w:val="24"/>
          <w:highlight w:val="none"/>
        </w:rPr>
        <w:t>承诺</w:t>
      </w:r>
      <w:r>
        <w:rPr>
          <w:rFonts w:hint="eastAsia" w:ascii="宋体" w:cs="宋体"/>
          <w:color w:val="auto"/>
          <w:kern w:val="0"/>
          <w:sz w:val="24"/>
          <w:highlight w:val="none"/>
          <w:lang w:val="zh-CN"/>
        </w:rPr>
        <w:t>本项目科技创新成果能获得行业科技进步奖</w:t>
      </w:r>
      <w:r>
        <w:rPr>
          <w:rFonts w:hint="eastAsia" w:ascii="宋体" w:hAnsi="宋体" w:cs="宋体"/>
          <w:color w:val="auto"/>
          <w:sz w:val="24"/>
          <w:szCs w:val="24"/>
          <w:highlight w:val="none"/>
        </w:rPr>
        <w:t>的在获奖后无息退还履约保证金，而未能获得的不予退还。</w:t>
      </w:r>
    </w:p>
    <w:p>
      <w:pPr>
        <w:spacing w:line="336" w:lineRule="auto"/>
        <w:ind w:firstLine="480" w:firstLineChars="200"/>
        <w:rPr>
          <w:rFonts w:ascii="宋体" w:hAnsi="宋体" w:cs="宋体"/>
          <w:bCs/>
          <w:color w:val="auto"/>
          <w:sz w:val="24"/>
          <w:szCs w:val="24"/>
          <w:highlight w:val="none"/>
        </w:rPr>
      </w:pPr>
      <w:r>
        <w:rPr>
          <w:rFonts w:hint="eastAsia" w:ascii="宋体" w:hAnsi="宋体" w:cs="宋体"/>
          <w:color w:val="auto"/>
          <w:kern w:val="0"/>
          <w:sz w:val="24"/>
          <w:szCs w:val="24"/>
          <w:highlight w:val="none"/>
        </w:rPr>
        <w:t>7</w:t>
      </w:r>
      <w:r>
        <w:rPr>
          <w:rFonts w:hint="eastAsia" w:ascii="宋体" w:hAnsi="宋体" w:cs="宋体"/>
          <w:color w:val="auto"/>
          <w:kern w:val="0"/>
          <w:sz w:val="24"/>
          <w:szCs w:val="24"/>
          <w:highlight w:val="none"/>
          <w:lang w:val="zh-CN"/>
        </w:rPr>
        <w:t>、对甲方提供的图纸、技术资料和档案资料和属于甲方的监测调查成果，乙方有义务保密，不得向第三方转让，否则，甲方有权对因此造成的损失追究乙方责任</w:t>
      </w:r>
      <w:r>
        <w:rPr>
          <w:rFonts w:hint="eastAsia" w:ascii="宋体" w:hAnsi="宋体" w:cs="宋体"/>
          <w:bCs/>
          <w:color w:val="auto"/>
          <w:sz w:val="24"/>
          <w:szCs w:val="24"/>
          <w:highlight w:val="none"/>
        </w:rPr>
        <w:t>。</w:t>
      </w:r>
    </w:p>
    <w:p>
      <w:pPr>
        <w:spacing w:line="336"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七、</w:t>
      </w:r>
      <w:r>
        <w:rPr>
          <w:rFonts w:hint="eastAsia" w:ascii="宋体" w:hAnsi="宋体" w:cs="宋体"/>
          <w:color w:val="auto"/>
          <w:sz w:val="24"/>
          <w:szCs w:val="24"/>
          <w:highlight w:val="none"/>
        </w:rPr>
        <w:t>本合同执行过程中的未尽事宜，双方应本着实事求是友好协商的态度加以解决。双方协商一致的，签订补充协议。补充协议与本合同具有同等效力。</w:t>
      </w:r>
    </w:p>
    <w:p>
      <w:pPr>
        <w:spacing w:line="336"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八、</w:t>
      </w:r>
    </w:p>
    <w:p>
      <w:pPr>
        <w:spacing w:line="336"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1、由于不可抗力，致使合同无法履行时，双方应按有关法律规定及时协商处理。</w:t>
      </w:r>
    </w:p>
    <w:p>
      <w:pPr>
        <w:spacing w:line="336"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pPr>
        <w:spacing w:line="336" w:lineRule="auto"/>
        <w:ind w:left="480"/>
        <w:rPr>
          <w:rFonts w:ascii="宋体" w:hAnsi="宋体" w:cs="宋体"/>
          <w:b/>
          <w:bCs/>
          <w:color w:val="auto"/>
          <w:sz w:val="24"/>
          <w:szCs w:val="24"/>
          <w:highlight w:val="none"/>
        </w:rPr>
      </w:pPr>
      <w:r>
        <w:rPr>
          <w:rFonts w:hint="eastAsia" w:ascii="宋体" w:hAnsi="宋体" w:cs="宋体"/>
          <w:b/>
          <w:bCs/>
          <w:color w:val="auto"/>
          <w:sz w:val="24"/>
          <w:szCs w:val="24"/>
          <w:highlight w:val="none"/>
        </w:rPr>
        <w:t>九、附则</w:t>
      </w:r>
    </w:p>
    <w:p>
      <w:pPr>
        <w:spacing w:line="336"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1、本合同由双方代表签字，加盖双方公章或合同专用章即生效。项目全部完成并将所有资料交接业主后，本合同终止。</w:t>
      </w:r>
    </w:p>
    <w:p>
      <w:pPr>
        <w:spacing w:line="336" w:lineRule="auto"/>
        <w:ind w:left="240" w:hanging="240" w:hangingChars="100"/>
        <w:rPr>
          <w:rFonts w:ascii="宋体" w:hAnsi="宋体" w:cs="宋体"/>
          <w:b/>
          <w:bCs/>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bCs/>
          <w:color w:val="auto"/>
          <w:sz w:val="24"/>
          <w:szCs w:val="24"/>
          <w:highlight w:val="none"/>
        </w:rPr>
        <w:t xml:space="preserve">  2、本</w:t>
      </w:r>
      <w:r>
        <w:rPr>
          <w:rFonts w:hint="eastAsia" w:ascii="宋体" w:hAnsi="宋体" w:cs="宋体"/>
          <w:b/>
          <w:color w:val="auto"/>
          <w:sz w:val="24"/>
          <w:szCs w:val="24"/>
          <w:highlight w:val="none"/>
        </w:rPr>
        <w:t>合同一式</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份，甲方和乙方各执</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份，乙方抄送区公共资源交易中心</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备案。</w:t>
      </w:r>
    </w:p>
    <w:tbl>
      <w:tblPr>
        <w:tblStyle w:val="22"/>
        <w:tblW w:w="81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68"/>
        <w:gridCol w:w="164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甲方单位</w:t>
            </w:r>
          </w:p>
        </w:tc>
        <w:tc>
          <w:tcPr>
            <w:tcW w:w="2368"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（盖章）</w:t>
            </w:r>
          </w:p>
        </w:tc>
        <w:tc>
          <w:tcPr>
            <w:tcW w:w="1640"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乙方单位</w:t>
            </w:r>
          </w:p>
        </w:tc>
        <w:tc>
          <w:tcPr>
            <w:tcW w:w="2733"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代表签名</w:t>
            </w:r>
          </w:p>
        </w:tc>
        <w:tc>
          <w:tcPr>
            <w:tcW w:w="2368" w:type="dxa"/>
            <w:vAlign w:val="center"/>
          </w:tcPr>
          <w:p>
            <w:pPr>
              <w:snapToGrid w:val="0"/>
              <w:spacing w:line="336" w:lineRule="auto"/>
              <w:jc w:val="center"/>
              <w:rPr>
                <w:rFonts w:ascii="宋体" w:hAnsi="宋体" w:cs="宋体"/>
                <w:color w:val="auto"/>
                <w:sz w:val="24"/>
                <w:szCs w:val="24"/>
                <w:highlight w:val="none"/>
              </w:rPr>
            </w:pPr>
          </w:p>
        </w:tc>
        <w:tc>
          <w:tcPr>
            <w:tcW w:w="1640"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代表签名</w:t>
            </w:r>
          </w:p>
        </w:tc>
        <w:tc>
          <w:tcPr>
            <w:tcW w:w="2733" w:type="dxa"/>
            <w:vAlign w:val="center"/>
          </w:tcPr>
          <w:p>
            <w:pPr>
              <w:snapToGrid w:val="0"/>
              <w:spacing w:line="336"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地址</w:t>
            </w:r>
          </w:p>
        </w:tc>
        <w:tc>
          <w:tcPr>
            <w:tcW w:w="2368" w:type="dxa"/>
            <w:vAlign w:val="center"/>
          </w:tcPr>
          <w:p>
            <w:pPr>
              <w:snapToGrid w:val="0"/>
              <w:spacing w:line="336" w:lineRule="auto"/>
              <w:jc w:val="center"/>
              <w:rPr>
                <w:rFonts w:ascii="宋体" w:hAnsi="宋体" w:cs="宋体"/>
                <w:color w:val="auto"/>
                <w:sz w:val="24"/>
                <w:szCs w:val="24"/>
                <w:highlight w:val="none"/>
              </w:rPr>
            </w:pPr>
          </w:p>
        </w:tc>
        <w:tc>
          <w:tcPr>
            <w:tcW w:w="1640"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地址</w:t>
            </w:r>
          </w:p>
        </w:tc>
        <w:tc>
          <w:tcPr>
            <w:tcW w:w="2733" w:type="dxa"/>
            <w:vAlign w:val="center"/>
          </w:tcPr>
          <w:p>
            <w:pPr>
              <w:snapToGrid w:val="0"/>
              <w:spacing w:line="336"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电话</w:t>
            </w:r>
          </w:p>
        </w:tc>
        <w:tc>
          <w:tcPr>
            <w:tcW w:w="2368" w:type="dxa"/>
            <w:vAlign w:val="center"/>
          </w:tcPr>
          <w:p>
            <w:pPr>
              <w:snapToGrid w:val="0"/>
              <w:spacing w:line="336" w:lineRule="auto"/>
              <w:jc w:val="center"/>
              <w:rPr>
                <w:rFonts w:ascii="宋体" w:hAnsi="宋体" w:cs="宋体"/>
                <w:color w:val="auto"/>
                <w:sz w:val="24"/>
                <w:szCs w:val="24"/>
                <w:highlight w:val="none"/>
              </w:rPr>
            </w:pPr>
          </w:p>
        </w:tc>
        <w:tc>
          <w:tcPr>
            <w:tcW w:w="1640"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电话</w:t>
            </w:r>
          </w:p>
        </w:tc>
        <w:tc>
          <w:tcPr>
            <w:tcW w:w="2733" w:type="dxa"/>
            <w:vAlign w:val="center"/>
          </w:tcPr>
          <w:p>
            <w:pPr>
              <w:snapToGrid w:val="0"/>
              <w:spacing w:line="336"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开户银行</w:t>
            </w:r>
          </w:p>
        </w:tc>
        <w:tc>
          <w:tcPr>
            <w:tcW w:w="2368" w:type="dxa"/>
            <w:vAlign w:val="center"/>
          </w:tcPr>
          <w:p>
            <w:pPr>
              <w:snapToGrid w:val="0"/>
              <w:spacing w:line="336" w:lineRule="auto"/>
              <w:jc w:val="center"/>
              <w:rPr>
                <w:rFonts w:ascii="宋体" w:hAnsi="宋体" w:cs="宋体"/>
                <w:color w:val="auto"/>
                <w:sz w:val="24"/>
                <w:szCs w:val="24"/>
                <w:highlight w:val="none"/>
              </w:rPr>
            </w:pPr>
          </w:p>
        </w:tc>
        <w:tc>
          <w:tcPr>
            <w:tcW w:w="1640"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开户银行</w:t>
            </w:r>
          </w:p>
        </w:tc>
        <w:tc>
          <w:tcPr>
            <w:tcW w:w="2733" w:type="dxa"/>
            <w:vAlign w:val="center"/>
          </w:tcPr>
          <w:p>
            <w:pPr>
              <w:snapToGrid w:val="0"/>
              <w:spacing w:line="336"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457"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帐号</w:t>
            </w:r>
          </w:p>
        </w:tc>
        <w:tc>
          <w:tcPr>
            <w:tcW w:w="2368" w:type="dxa"/>
            <w:vAlign w:val="center"/>
          </w:tcPr>
          <w:p>
            <w:pPr>
              <w:snapToGrid w:val="0"/>
              <w:spacing w:line="336" w:lineRule="auto"/>
              <w:jc w:val="center"/>
              <w:rPr>
                <w:rFonts w:ascii="宋体" w:hAnsi="宋体" w:cs="宋体"/>
                <w:color w:val="auto"/>
                <w:sz w:val="24"/>
                <w:szCs w:val="24"/>
                <w:highlight w:val="none"/>
              </w:rPr>
            </w:pPr>
          </w:p>
        </w:tc>
        <w:tc>
          <w:tcPr>
            <w:tcW w:w="1640" w:type="dxa"/>
            <w:vAlign w:val="center"/>
          </w:tcPr>
          <w:p>
            <w:pPr>
              <w:snapToGrid w:val="0"/>
              <w:spacing w:line="336"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帐号</w:t>
            </w:r>
          </w:p>
        </w:tc>
        <w:tc>
          <w:tcPr>
            <w:tcW w:w="2733" w:type="dxa"/>
            <w:vAlign w:val="center"/>
          </w:tcPr>
          <w:p>
            <w:pPr>
              <w:snapToGrid w:val="0"/>
              <w:spacing w:line="336" w:lineRule="auto"/>
              <w:jc w:val="center"/>
              <w:rPr>
                <w:rFonts w:ascii="宋体" w:hAnsi="宋体" w:cs="宋体"/>
                <w:color w:val="auto"/>
                <w:sz w:val="24"/>
                <w:szCs w:val="24"/>
                <w:highlight w:val="none"/>
              </w:rPr>
            </w:pPr>
          </w:p>
        </w:tc>
      </w:tr>
    </w:tbl>
    <w:p>
      <w:pPr>
        <w:rPr>
          <w:rFonts w:cs="宋体"/>
          <w:color w:val="auto"/>
          <w:sz w:val="36"/>
          <w:szCs w:val="36"/>
          <w:highlight w:val="none"/>
        </w:rPr>
      </w:pPr>
      <w:bookmarkStart w:id="96" w:name="_Toc7690"/>
      <w:bookmarkStart w:id="97" w:name="_Toc4669"/>
      <w:r>
        <w:rPr>
          <w:rFonts w:hint="eastAsia" w:cs="宋体"/>
          <w:color w:val="auto"/>
          <w:sz w:val="36"/>
          <w:szCs w:val="36"/>
          <w:highlight w:val="none"/>
        </w:rPr>
        <w:br w:type="page"/>
      </w:r>
    </w:p>
    <w:p>
      <w:pPr>
        <w:pStyle w:val="34"/>
        <w:rPr>
          <w:color w:val="auto"/>
          <w:highlight w:val="none"/>
        </w:rPr>
      </w:pPr>
    </w:p>
    <w:p>
      <w:pPr>
        <w:pStyle w:val="4"/>
        <w:jc w:val="center"/>
        <w:rPr>
          <w:rFonts w:cs="Times New Roman"/>
          <w:color w:val="auto"/>
          <w:sz w:val="36"/>
          <w:szCs w:val="36"/>
          <w:highlight w:val="none"/>
        </w:rPr>
      </w:pPr>
      <w:bookmarkStart w:id="98" w:name="_Toc31692"/>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96"/>
      <w:bookmarkEnd w:id="97"/>
      <w:bookmarkEnd w:id="98"/>
    </w:p>
    <w:p>
      <w:pPr>
        <w:spacing w:line="360" w:lineRule="auto"/>
        <w:ind w:firstLine="480" w:firstLineChars="200"/>
        <w:outlineLvl w:val="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）声明书；（格式见附件）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）前一年度资产负债表等财务报表资料文件；</w:t>
      </w:r>
      <w:r>
        <w:rPr>
          <w:rFonts w:ascii="宋体" w:hAnsi="宋体" w:cs="宋体"/>
          <w:color w:val="auto"/>
          <w:sz w:val="24"/>
          <w:szCs w:val="24"/>
          <w:highlight w:val="none"/>
        </w:rPr>
        <w:t>(</w:t>
      </w:r>
      <w:r>
        <w:rPr>
          <w:rFonts w:hint="eastAsia" w:ascii="宋体" w:hAnsi="宋体" w:cs="宋体"/>
          <w:color w:val="auto"/>
          <w:sz w:val="24"/>
          <w:szCs w:val="24"/>
          <w:highlight w:val="none"/>
        </w:rPr>
        <w:t>新成立的公司，必须提供情况说明</w:t>
      </w:r>
      <w:r>
        <w:rPr>
          <w:rFonts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）具有履行合同所必需的产品和专业技术能力的承诺函；</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）提供有效的依法缴纳税收证明（完税凭证或税务部门出具的证明）和提供有效的依法缴纳社会保障资金证明（缴纳凭证或人社部门出具的证明）；</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）参加政府采购活动前三年内，在经营活动中没有重大违法记录的声明。</w:t>
      </w:r>
    </w:p>
    <w:p>
      <w:pPr>
        <w:pStyle w:val="9"/>
        <w:ind w:firstLine="486"/>
        <w:rPr>
          <w:rFonts w:cs="Times New Roman"/>
          <w:color w:val="auto"/>
          <w:highlight w:val="none"/>
        </w:rPr>
      </w:pPr>
    </w:p>
    <w:p>
      <w:pPr>
        <w:pStyle w:val="9"/>
        <w:ind w:firstLine="486"/>
        <w:rPr>
          <w:rFonts w:cs="Times New Roman"/>
          <w:color w:val="auto"/>
          <w:highlight w:val="none"/>
        </w:rPr>
      </w:pPr>
    </w:p>
    <w:p>
      <w:pPr>
        <w:rPr>
          <w:rFonts w:ascii="宋体"/>
          <w:color w:val="auto"/>
          <w:highlight w:val="none"/>
        </w:rPr>
      </w:pPr>
      <w:r>
        <w:rPr>
          <w:rFonts w:ascii="宋体"/>
          <w:color w:val="auto"/>
          <w:highlight w:val="none"/>
        </w:rPr>
        <w:br w:type="page"/>
      </w:r>
      <w:bookmarkStart w:id="99"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99"/>
    </w:p>
    <w:p>
      <w:pPr>
        <w:pStyle w:val="3"/>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1"/>
        <w:snapToGrid w:val="0"/>
        <w:spacing w:line="360" w:lineRule="auto"/>
        <w:rPr>
          <w:rFonts w:hAnsi="宋体" w:cs="Times New Roman"/>
          <w:color w:val="auto"/>
          <w:sz w:val="24"/>
          <w:szCs w:val="24"/>
          <w:highlight w:val="none"/>
        </w:rPr>
      </w:pPr>
    </w:p>
    <w:p>
      <w:pPr>
        <w:pStyle w:val="11"/>
        <w:snapToGrid w:val="0"/>
        <w:spacing w:line="360" w:lineRule="auto"/>
        <w:rPr>
          <w:rFonts w:hAnsi="宋体" w:cs="Times New Roman"/>
          <w:color w:val="auto"/>
          <w:sz w:val="24"/>
          <w:szCs w:val="24"/>
          <w:highlight w:val="none"/>
        </w:rPr>
      </w:pPr>
    </w:p>
    <w:p>
      <w:pPr>
        <w:pStyle w:val="11"/>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9"/>
        <w:ind w:firstLine="486"/>
        <w:rPr>
          <w:rFonts w:cs="Times New Roman"/>
          <w:color w:val="auto"/>
          <w:highlight w:val="none"/>
        </w:rPr>
      </w:pPr>
    </w:p>
    <w:p>
      <w:pPr>
        <w:snapToGrid w:val="0"/>
        <w:spacing w:before="50" w:after="156" w:afterLines="50"/>
        <w:jc w:val="left"/>
        <w:rPr>
          <w:rFonts w:ascii="宋体"/>
          <w:b/>
          <w:bCs/>
          <w:color w:val="auto"/>
          <w:sz w:val="24"/>
          <w:szCs w:val="24"/>
          <w:highlight w:val="none"/>
          <w:lang w:val="zh-CN"/>
        </w:rPr>
      </w:pPr>
      <w:r>
        <w:rPr>
          <w:rFonts w:ascii="宋体"/>
          <w:b/>
          <w:bCs/>
          <w:color w:val="auto"/>
          <w:sz w:val="24"/>
          <w:szCs w:val="24"/>
          <w:highlight w:val="none"/>
        </w:rPr>
        <w:br w:type="page"/>
      </w:r>
      <w:r>
        <w:rPr>
          <w:rFonts w:hint="eastAsia" w:ascii="宋体" w:hAnsi="宋体" w:cs="宋体"/>
          <w:b/>
          <w:bCs/>
          <w:color w:val="auto"/>
          <w:sz w:val="24"/>
          <w:szCs w:val="24"/>
          <w:highlight w:val="none"/>
          <w:lang w:val="zh-CN"/>
        </w:rPr>
        <w:t>附件二：</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声</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明</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书</w:t>
      </w:r>
    </w:p>
    <w:p>
      <w:pPr>
        <w:spacing w:line="360" w:lineRule="auto"/>
        <w:ind w:firstLine="420" w:firstLineChars="200"/>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u w:val="single"/>
        </w:rPr>
        <w:t>（供应商名称）</w:t>
      </w:r>
      <w:r>
        <w:rPr>
          <w:rFonts w:hint="eastAsia" w:ascii="宋体" w:hAnsi="宋体" w:cs="宋体"/>
          <w:color w:val="auto"/>
          <w:sz w:val="24"/>
          <w:szCs w:val="24"/>
          <w:highlight w:val="none"/>
        </w:rPr>
        <w:t>系中华人民共和国合法企业，经营地址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（供应商名称）</w:t>
      </w:r>
      <w:r>
        <w:rPr>
          <w:rFonts w:hint="eastAsia" w:ascii="宋体" w:hAnsi="宋体" w:cs="宋体"/>
          <w:color w:val="auto"/>
          <w:sz w:val="24"/>
          <w:szCs w:val="24"/>
          <w:highlight w:val="none"/>
        </w:rPr>
        <w:t>的法定代表人，我方愿意参加贵方组织的</w:t>
      </w:r>
      <w:r>
        <w:rPr>
          <w:rFonts w:hint="eastAsia" w:ascii="宋体" w:hAnsi="宋体" w:cs="宋体"/>
          <w:color w:val="auto"/>
          <w:sz w:val="24"/>
          <w:szCs w:val="24"/>
          <w:highlight w:val="none"/>
          <w:u w:val="single"/>
        </w:rPr>
        <w:t>（招标项目名称）（编号为）</w:t>
      </w:r>
      <w:r>
        <w:rPr>
          <w:rFonts w:hint="eastAsia" w:ascii="宋体" w:hAnsi="宋体" w:cs="宋体"/>
          <w:color w:val="auto"/>
          <w:sz w:val="24"/>
          <w:szCs w:val="24"/>
          <w:highlight w:val="none"/>
        </w:rPr>
        <w:t>的投标，为此，我方就本次投标有关事项郑重声明如下：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、我方已详细审查全部磋商文件，同意磋商文件的各项要求。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、我方向贵方提交的所有响应文件、资料都是准确的和真实的。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、若中标，我方将按磋商文件规定履行合同责任和义务。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、我方不是采购人的附属机构；在获知本项目采购信息后，与采购人聘请的为此项目提供咨询服务的公司及其附属机构没有任何联系。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、响应文件自开标日起有效期为</w:t>
      </w:r>
      <w:r>
        <w:rPr>
          <w:rFonts w:ascii="宋体" w:hAnsi="宋体" w:cs="宋体"/>
          <w:color w:val="auto"/>
          <w:sz w:val="24"/>
          <w:szCs w:val="24"/>
          <w:highlight w:val="none"/>
        </w:rPr>
        <w:t>90</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、我方参与本项目前</w:t>
      </w:r>
      <w:r>
        <w:rPr>
          <w:rFonts w:ascii="宋体" w:hAnsi="宋体" w:cs="宋体"/>
          <w:color w:val="auto"/>
          <w:sz w:val="24"/>
          <w:szCs w:val="24"/>
          <w:highlight w:val="none"/>
        </w:rPr>
        <w:t>3</w:t>
      </w:r>
      <w:r>
        <w:rPr>
          <w:rFonts w:hint="eastAsia" w:ascii="宋体" w:hAnsi="宋体" w:cs="宋体"/>
          <w:color w:val="auto"/>
          <w:sz w:val="24"/>
          <w:szCs w:val="24"/>
          <w:highlight w:val="none"/>
        </w:rPr>
        <w:t>年内的经营活动中没有重大违法记录；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、我方通过“信用中国”网站（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）查询，未被列入失信被执行人、重大税收违法案件当事人名单、政府采购严重违法失信行为记录名单。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、以上事项如有虚假或隐瞒，我方愿意承担一切后果，并不再寻求任何旨在减轻或免除法律责任的辩解。</w:t>
      </w:r>
    </w:p>
    <w:p>
      <w:pPr>
        <w:pStyle w:val="9"/>
        <w:rPr>
          <w:rFonts w:cs="Times New Roman"/>
          <w:color w:val="auto"/>
          <w:highlight w:val="none"/>
        </w:rPr>
      </w:pPr>
    </w:p>
    <w:p>
      <w:pPr>
        <w:pStyle w:val="9"/>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pStyle w:val="9"/>
        <w:ind w:firstLine="566"/>
        <w:rPr>
          <w:rFonts w:cs="Times New Roman"/>
          <w:color w:val="auto"/>
          <w:sz w:val="28"/>
          <w:szCs w:val="28"/>
          <w:highlight w:val="none"/>
        </w:rPr>
      </w:pPr>
    </w:p>
    <w:p>
      <w:pPr>
        <w:pStyle w:val="3"/>
        <w:rPr>
          <w:rFonts w:ascii="宋体"/>
          <w:color w:val="auto"/>
          <w:highlight w:val="none"/>
        </w:rPr>
      </w:pPr>
    </w:p>
    <w:p>
      <w:pPr>
        <w:spacing w:line="360" w:lineRule="auto"/>
        <w:rPr>
          <w:rFonts w:ascii="宋体"/>
          <w:b/>
          <w:bCs/>
          <w:color w:val="auto"/>
          <w:kern w:val="0"/>
          <w:sz w:val="36"/>
          <w:szCs w:val="36"/>
          <w:highlight w:val="none"/>
        </w:rPr>
      </w:pPr>
    </w:p>
    <w:p>
      <w:pPr>
        <w:widowControl/>
        <w:jc w:val="left"/>
        <w:rPr>
          <w:rFonts w:ascii="宋体"/>
          <w:b/>
          <w:bCs/>
          <w:color w:val="auto"/>
          <w:sz w:val="24"/>
          <w:szCs w:val="24"/>
          <w:highlight w:val="none"/>
          <w:lang w:val="zh-CN"/>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9"/>
        <w:ind w:left="426" w:firstLine="486"/>
        <w:rPr>
          <w:rFonts w:cs="Times New Roman"/>
          <w:color w:val="auto"/>
          <w:highlight w:val="none"/>
        </w:rPr>
      </w:pP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技术设计书</w:t>
      </w:r>
      <w:r>
        <w:rPr>
          <w:rFonts w:hint="eastAsia" w:ascii="宋体" w:hAnsi="宋体" w:cs="宋体"/>
          <w:color w:val="auto"/>
          <w:sz w:val="24"/>
          <w:szCs w:val="24"/>
          <w:highlight w:val="none"/>
          <w:lang w:eastAsia="zh-CN"/>
        </w:rPr>
        <w:t>；</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关键技术重点、难点及解决方案；</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项目质量控制；</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项目实施进度控制措施；</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技术力量；</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质量服务；</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业绩；</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证书；</w:t>
      </w:r>
    </w:p>
    <w:p>
      <w:pPr>
        <w:numPr>
          <w:ilvl w:val="0"/>
          <w:numId w:val="20"/>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荣誉；</w:t>
      </w:r>
    </w:p>
    <w:p>
      <w:pPr>
        <w:numPr>
          <w:ilvl w:val="0"/>
          <w:numId w:val="20"/>
        </w:num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供应商认为需要的其他文件资料。。</w:t>
      </w:r>
    </w:p>
    <w:p>
      <w:pPr>
        <w:pStyle w:val="11"/>
        <w:spacing w:line="500" w:lineRule="exact"/>
        <w:ind w:firstLine="480" w:firstLineChars="200"/>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p>
    <w:p>
      <w:pPr>
        <w:pStyle w:val="9"/>
        <w:ind w:firstLine="566"/>
        <w:rPr>
          <w:rFonts w:cs="Times New Roman"/>
          <w:color w:val="auto"/>
          <w:sz w:val="28"/>
          <w:szCs w:val="28"/>
          <w:highlight w:val="none"/>
        </w:rPr>
      </w:pPr>
    </w:p>
    <w:p>
      <w:pPr>
        <w:pStyle w:val="9"/>
        <w:ind w:firstLine="566"/>
        <w:rPr>
          <w:rFonts w:cs="Times New Roman"/>
          <w:color w:val="auto"/>
          <w:sz w:val="28"/>
          <w:szCs w:val="28"/>
          <w:highlight w:val="none"/>
        </w:rPr>
      </w:pPr>
    </w:p>
    <w:p>
      <w:pPr>
        <w:rPr>
          <w:rFonts w:ascii="宋体"/>
          <w:color w:val="auto"/>
          <w:sz w:val="28"/>
          <w:szCs w:val="28"/>
          <w:highlight w:val="none"/>
        </w:rPr>
      </w:pPr>
      <w:r>
        <w:rPr>
          <w:rFonts w:ascii="宋体"/>
          <w:color w:val="auto"/>
          <w:sz w:val="28"/>
          <w:szCs w:val="28"/>
          <w:highlight w:val="none"/>
        </w:rPr>
        <w:br w:type="page"/>
      </w:r>
    </w:p>
    <w:p>
      <w:pPr>
        <w:snapToGrid w:val="0"/>
        <w:spacing w:before="50" w:after="50"/>
        <w:jc w:val="left"/>
        <w:rPr>
          <w:rFonts w:ascii="宋体"/>
          <w:b/>
          <w:bCs/>
          <w:color w:val="auto"/>
          <w:sz w:val="24"/>
          <w:szCs w:val="24"/>
          <w:highlight w:val="none"/>
          <w:lang w:val="zh-CN"/>
        </w:rPr>
      </w:pPr>
      <w:bookmarkStart w:id="100" w:name="_Toc10131"/>
      <w:r>
        <w:rPr>
          <w:rFonts w:hint="eastAsia" w:ascii="宋体" w:hAnsi="宋体" w:cs="宋体"/>
          <w:b/>
          <w:bCs/>
          <w:color w:val="auto"/>
          <w:sz w:val="24"/>
          <w:szCs w:val="24"/>
          <w:highlight w:val="none"/>
          <w:lang w:val="zh-CN"/>
        </w:rPr>
        <w:t>附件三：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100"/>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156"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附件五：</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注：在填写时，如上表不适合本项目的实际情况，可在确保投标明细内容完整的情况下，根据上表格式自行划表填写。</w:t>
      </w:r>
    </w:p>
    <w:p>
      <w:pPr>
        <w:pStyle w:val="9"/>
        <w:rPr>
          <w:rFonts w:cs="Times New Roman"/>
          <w:color w:val="auto"/>
          <w:highlight w:val="none"/>
        </w:rPr>
      </w:pPr>
    </w:p>
    <w:p>
      <w:pPr>
        <w:pStyle w:val="9"/>
        <w:rPr>
          <w:rFonts w:cs="Times New Roman"/>
          <w:color w:val="auto"/>
          <w:highlight w:val="none"/>
        </w:rPr>
      </w:pPr>
    </w:p>
    <w:p>
      <w:pPr>
        <w:pStyle w:val="9"/>
        <w:rPr>
          <w:rFonts w:cs="Times New Roman"/>
          <w:color w:val="auto"/>
          <w:highlight w:val="none"/>
        </w:rPr>
      </w:pPr>
    </w:p>
    <w:p>
      <w:pPr>
        <w:snapToGrid w:val="0"/>
        <w:spacing w:before="156"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9"/>
        <w:ind w:firstLine="686"/>
        <w:rPr>
          <w:rFonts w:cs="Times New Roman"/>
          <w:color w:val="auto"/>
          <w:spacing w:val="20"/>
          <w:sz w:val="30"/>
          <w:szCs w:val="30"/>
          <w:highlight w:val="none"/>
        </w:rPr>
      </w:pPr>
    </w:p>
    <w:p>
      <w:pPr>
        <w:pStyle w:val="9"/>
        <w:ind w:firstLine="686"/>
        <w:rPr>
          <w:rFonts w:cs="Times New Roman"/>
          <w:color w:val="auto"/>
          <w:spacing w:val="20"/>
          <w:sz w:val="30"/>
          <w:szCs w:val="30"/>
          <w:highlight w:val="none"/>
        </w:rPr>
        <w:sectPr>
          <w:footerReference r:id="rId4" w:type="default"/>
          <w:pgSz w:w="11906" w:h="16838"/>
          <w:pgMar w:top="1440" w:right="1800" w:bottom="1440" w:left="1800" w:header="851" w:footer="992" w:gutter="0"/>
          <w:cols w:space="425" w:num="1"/>
          <w:docGrid w:type="lines" w:linePitch="312" w:charSpace="0"/>
        </w:sectPr>
      </w:pPr>
    </w:p>
    <w:p>
      <w:pPr>
        <w:rPr>
          <w:b/>
          <w:bCs/>
          <w:color w:val="auto"/>
          <w:sz w:val="24"/>
          <w:szCs w:val="24"/>
          <w:highlight w:val="none"/>
        </w:rPr>
      </w:pPr>
      <w:bookmarkStart w:id="101" w:name="_Toc2823"/>
      <w:r>
        <w:rPr>
          <w:rFonts w:hint="eastAsia" w:cs="宋体"/>
          <w:b/>
          <w:bCs/>
          <w:color w:val="auto"/>
          <w:sz w:val="24"/>
          <w:szCs w:val="24"/>
          <w:highlight w:val="none"/>
        </w:rPr>
        <w:t>附件六：</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101"/>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1"/>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9"/>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附件七：</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附件八：</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156"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2"/>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snapToGrid w:val="0"/>
        <w:spacing w:before="50" w:after="156" w:afterLines="50" w:line="460" w:lineRule="exact"/>
        <w:jc w:val="left"/>
        <w:rPr>
          <w:rFonts w:ascii="宋体"/>
          <w:color w:val="auto"/>
          <w:sz w:val="24"/>
          <w:szCs w:val="24"/>
          <w:highlight w:val="none"/>
        </w:rPr>
      </w:pPr>
    </w:p>
    <w:p>
      <w:pPr>
        <w:pStyle w:val="9"/>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9"/>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）中小企业声明函</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）残疾人福利性单位声明函</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）监狱企业证明文件</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rPr>
          <w:rFonts w:ascii="宋体"/>
          <w:color w:val="auto"/>
          <w:highlight w:val="none"/>
        </w:rPr>
      </w:pPr>
    </w:p>
    <w:p>
      <w:pPr>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102" w:name="_Toc3094"/>
      <w:r>
        <w:rPr>
          <w:rFonts w:hint="eastAsia" w:cs="宋体"/>
          <w:b/>
          <w:bCs/>
          <w:color w:val="auto"/>
          <w:sz w:val="24"/>
          <w:szCs w:val="24"/>
          <w:highlight w:val="none"/>
          <w:lang w:val="zh-CN"/>
        </w:rPr>
        <w:t>附件</w:t>
      </w:r>
      <w:bookmarkStart w:id="103" w:name="_Toc98731770"/>
      <w:bookmarkStart w:id="104" w:name="_Toc130094924"/>
      <w:r>
        <w:rPr>
          <w:rFonts w:hint="eastAsia" w:cs="宋体"/>
          <w:b/>
          <w:bCs/>
          <w:color w:val="auto"/>
          <w:sz w:val="24"/>
          <w:szCs w:val="24"/>
          <w:highlight w:val="none"/>
        </w:rPr>
        <w:t>九：</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102"/>
      <w:bookmarkEnd w:id="103"/>
      <w:bookmarkEnd w:id="104"/>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1"/>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105"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106" w:name="_Toc98731771"/>
      <w:bookmarkStart w:id="107" w:name="_Toc130094925"/>
      <w:r>
        <w:rPr>
          <w:rFonts w:hint="eastAsia" w:cs="宋体"/>
          <w:b/>
          <w:bCs/>
          <w:color w:val="auto"/>
          <w:sz w:val="24"/>
          <w:szCs w:val="24"/>
          <w:highlight w:val="none"/>
        </w:rPr>
        <w:t>十：</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105"/>
      <w:bookmarkEnd w:id="106"/>
      <w:bookmarkEnd w:id="107"/>
    </w:p>
    <w:p>
      <w:pPr>
        <w:pStyle w:val="11"/>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2"/>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1"/>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投标总价</w:t>
            </w:r>
          </w:p>
        </w:tc>
        <w:tc>
          <w:tcPr>
            <w:tcW w:w="6707" w:type="dxa"/>
            <w:vAlign w:val="center"/>
          </w:tcPr>
          <w:p>
            <w:pPr>
              <w:pStyle w:val="11"/>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大写：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元（小写：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1"/>
              <w:spacing w:line="360" w:lineRule="auto"/>
              <w:ind w:firstLine="482" w:firstLineChars="200"/>
              <w:rPr>
                <w:rFonts w:hAnsi="宋体" w:cs="Times New Roman"/>
                <w:b/>
                <w:bCs/>
                <w:color w:val="auto"/>
                <w:sz w:val="24"/>
                <w:szCs w:val="24"/>
                <w:highlight w:val="none"/>
              </w:rPr>
            </w:pPr>
            <w:r>
              <w:rPr>
                <w:rFonts w:hint="eastAsia" w:hAnsi="宋体" w:cs="Times New Roman"/>
                <w:b/>
                <w:bCs/>
                <w:color w:val="auto"/>
                <w:sz w:val="24"/>
                <w:szCs w:val="24"/>
                <w:highlight w:val="none"/>
              </w:rPr>
              <w:t>本次报价应包含项目所需全部服务，不得缺漏，是履行合同的最终价格（</w:t>
            </w:r>
            <w:r>
              <w:rPr>
                <w:rFonts w:hint="eastAsia" w:hAnsi="宋体"/>
                <w:b/>
                <w:bCs/>
                <w:color w:val="auto"/>
                <w:sz w:val="24"/>
                <w:highlight w:val="none"/>
              </w:rPr>
              <w:t>人员的工资福利、员工五险费(养老保险、医疗保险、失业保险、工伤保险、生育保险)、管理费、税费、质检费、专家费、人工成本费、管理费、办公用品、税费、项目竣工验收费和采购代理费等一切费用</w:t>
            </w:r>
            <w:r>
              <w:rPr>
                <w:rFonts w:hint="eastAsia" w:hAnsi="宋体" w:cs="Times New Roman"/>
                <w:b/>
                <w:bCs/>
                <w:color w:val="auto"/>
                <w:sz w:val="24"/>
                <w:szCs w:val="24"/>
                <w:highlight w:val="none"/>
              </w:rPr>
              <w:t>）</w:t>
            </w:r>
          </w:p>
        </w:tc>
      </w:tr>
    </w:tbl>
    <w:p>
      <w:pPr>
        <w:pStyle w:val="11"/>
        <w:spacing w:line="360" w:lineRule="auto"/>
        <w:rPr>
          <w:rFonts w:hAnsi="宋体" w:cs="Times New Roman"/>
          <w:color w:val="auto"/>
          <w:sz w:val="24"/>
          <w:szCs w:val="24"/>
          <w:highlight w:val="none"/>
        </w:rPr>
      </w:pPr>
    </w:p>
    <w:p>
      <w:pPr>
        <w:pStyle w:val="11"/>
        <w:spacing w:line="360" w:lineRule="auto"/>
        <w:rPr>
          <w:rFonts w:hAnsi="宋体" w:cs="Times New Roman"/>
          <w:color w:val="auto"/>
          <w:sz w:val="24"/>
          <w:szCs w:val="24"/>
          <w:highlight w:val="none"/>
        </w:rPr>
      </w:pPr>
    </w:p>
    <w:p>
      <w:pPr>
        <w:pStyle w:val="11"/>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108" w:name="_Toc7196"/>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lang w:val="zh-CN"/>
        </w:rPr>
        <w:t>一</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磋商报价明细表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2"/>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492"/>
        <w:gridCol w:w="915"/>
        <w:gridCol w:w="1876"/>
        <w:gridCol w:w="495"/>
        <w:gridCol w:w="498"/>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序</w:t>
            </w:r>
          </w:p>
          <w:p>
            <w:pPr>
              <w:pStyle w:val="11"/>
              <w:spacing w:line="360" w:lineRule="auto"/>
              <w:jc w:val="center"/>
              <w:rPr>
                <w:rFonts w:hAnsi="宋体"/>
                <w:color w:val="auto"/>
                <w:sz w:val="22"/>
                <w:szCs w:val="22"/>
                <w:highlight w:val="none"/>
              </w:rPr>
            </w:pPr>
            <w:r>
              <w:rPr>
                <w:rFonts w:hint="eastAsia" w:hAnsi="宋体"/>
                <w:color w:val="auto"/>
                <w:sz w:val="22"/>
                <w:szCs w:val="22"/>
                <w:highlight w:val="none"/>
              </w:rPr>
              <w:t>号</w:t>
            </w:r>
          </w:p>
        </w:tc>
        <w:tc>
          <w:tcPr>
            <w:tcW w:w="2492"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名称</w:t>
            </w:r>
          </w:p>
        </w:tc>
        <w:tc>
          <w:tcPr>
            <w:tcW w:w="915"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内容</w:t>
            </w:r>
          </w:p>
        </w:tc>
        <w:tc>
          <w:tcPr>
            <w:tcW w:w="1876"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其他</w:t>
            </w:r>
          </w:p>
        </w:tc>
        <w:tc>
          <w:tcPr>
            <w:tcW w:w="495"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单</w:t>
            </w:r>
          </w:p>
          <w:p>
            <w:pPr>
              <w:pStyle w:val="11"/>
              <w:spacing w:line="360" w:lineRule="auto"/>
              <w:jc w:val="center"/>
              <w:rPr>
                <w:rFonts w:hAnsi="宋体"/>
                <w:color w:val="auto"/>
                <w:sz w:val="22"/>
                <w:szCs w:val="22"/>
                <w:highlight w:val="none"/>
              </w:rPr>
            </w:pPr>
            <w:r>
              <w:rPr>
                <w:rFonts w:hint="eastAsia" w:hAnsi="宋体"/>
                <w:color w:val="auto"/>
                <w:sz w:val="22"/>
                <w:szCs w:val="22"/>
                <w:highlight w:val="none"/>
              </w:rPr>
              <w:t>位</w:t>
            </w:r>
          </w:p>
        </w:tc>
        <w:tc>
          <w:tcPr>
            <w:tcW w:w="498"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数量</w:t>
            </w:r>
          </w:p>
        </w:tc>
        <w:tc>
          <w:tcPr>
            <w:tcW w:w="2272" w:type="dxa"/>
            <w:gridSpan w:val="2"/>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vAlign w:val="center"/>
          </w:tcPr>
          <w:p>
            <w:pPr>
              <w:pStyle w:val="11"/>
              <w:spacing w:line="360" w:lineRule="auto"/>
              <w:jc w:val="center"/>
              <w:rPr>
                <w:rFonts w:hAnsi="宋体"/>
                <w:color w:val="auto"/>
                <w:sz w:val="22"/>
                <w:szCs w:val="22"/>
                <w:highlight w:val="none"/>
              </w:rPr>
            </w:pPr>
          </w:p>
        </w:tc>
        <w:tc>
          <w:tcPr>
            <w:tcW w:w="2492" w:type="dxa"/>
            <w:vMerge w:val="continue"/>
            <w:vAlign w:val="center"/>
          </w:tcPr>
          <w:p>
            <w:pPr>
              <w:pStyle w:val="11"/>
              <w:spacing w:line="360" w:lineRule="auto"/>
              <w:jc w:val="center"/>
              <w:rPr>
                <w:rFonts w:hAnsi="宋体"/>
                <w:color w:val="auto"/>
                <w:sz w:val="22"/>
                <w:szCs w:val="22"/>
                <w:highlight w:val="none"/>
              </w:rPr>
            </w:pPr>
          </w:p>
        </w:tc>
        <w:tc>
          <w:tcPr>
            <w:tcW w:w="915" w:type="dxa"/>
            <w:vMerge w:val="continue"/>
            <w:vAlign w:val="center"/>
          </w:tcPr>
          <w:p>
            <w:pPr>
              <w:pStyle w:val="11"/>
              <w:spacing w:line="360" w:lineRule="auto"/>
              <w:jc w:val="center"/>
              <w:rPr>
                <w:rFonts w:hAnsi="宋体"/>
                <w:color w:val="auto"/>
                <w:sz w:val="22"/>
                <w:szCs w:val="22"/>
                <w:highlight w:val="none"/>
              </w:rPr>
            </w:pPr>
          </w:p>
        </w:tc>
        <w:tc>
          <w:tcPr>
            <w:tcW w:w="1876" w:type="dxa"/>
            <w:vMerge w:val="continue"/>
            <w:vAlign w:val="center"/>
          </w:tcPr>
          <w:p>
            <w:pPr>
              <w:pStyle w:val="11"/>
              <w:spacing w:line="360" w:lineRule="auto"/>
              <w:jc w:val="center"/>
              <w:rPr>
                <w:rFonts w:hAnsi="宋体"/>
                <w:color w:val="auto"/>
                <w:sz w:val="22"/>
                <w:szCs w:val="22"/>
                <w:highlight w:val="none"/>
              </w:rPr>
            </w:pPr>
          </w:p>
        </w:tc>
        <w:tc>
          <w:tcPr>
            <w:tcW w:w="495" w:type="dxa"/>
            <w:vMerge w:val="continue"/>
            <w:vAlign w:val="center"/>
          </w:tcPr>
          <w:p>
            <w:pPr>
              <w:pStyle w:val="11"/>
              <w:spacing w:line="360" w:lineRule="auto"/>
              <w:jc w:val="center"/>
              <w:rPr>
                <w:rFonts w:hAnsi="宋体"/>
                <w:color w:val="auto"/>
                <w:sz w:val="22"/>
                <w:szCs w:val="22"/>
                <w:highlight w:val="none"/>
              </w:rPr>
            </w:pPr>
          </w:p>
        </w:tc>
        <w:tc>
          <w:tcPr>
            <w:tcW w:w="498" w:type="dxa"/>
            <w:vMerge w:val="continue"/>
            <w:vAlign w:val="center"/>
          </w:tcPr>
          <w:p>
            <w:pPr>
              <w:pStyle w:val="11"/>
              <w:spacing w:line="360" w:lineRule="auto"/>
              <w:jc w:val="center"/>
              <w:rPr>
                <w:rFonts w:hAnsi="宋体"/>
                <w:color w:val="auto"/>
                <w:sz w:val="22"/>
                <w:szCs w:val="22"/>
                <w:highlight w:val="none"/>
              </w:rPr>
            </w:pPr>
          </w:p>
        </w:tc>
        <w:tc>
          <w:tcPr>
            <w:tcW w:w="1148"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单价</w:t>
            </w:r>
          </w:p>
        </w:tc>
        <w:tc>
          <w:tcPr>
            <w:tcW w:w="1124"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1</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rPr>
                <w:rFonts w:hAnsi="宋体"/>
                <w:b/>
                <w:bCs/>
                <w:color w:val="auto"/>
                <w:sz w:val="22"/>
                <w:szCs w:val="22"/>
                <w:highlight w:val="none"/>
              </w:rPr>
            </w:pPr>
          </w:p>
        </w:tc>
        <w:tc>
          <w:tcPr>
            <w:tcW w:w="1876" w:type="dxa"/>
            <w:vAlign w:val="center"/>
          </w:tcPr>
          <w:p>
            <w:pPr>
              <w:pStyle w:val="11"/>
              <w:spacing w:line="360" w:lineRule="auto"/>
              <w:rPr>
                <w:rFonts w:hAnsi="宋体"/>
                <w:b/>
                <w:bCs/>
                <w:color w:val="auto"/>
                <w:sz w:val="22"/>
                <w:szCs w:val="22"/>
                <w:highlight w:val="none"/>
              </w:rPr>
            </w:pPr>
          </w:p>
        </w:tc>
        <w:tc>
          <w:tcPr>
            <w:tcW w:w="495" w:type="dxa"/>
            <w:vAlign w:val="center"/>
          </w:tcPr>
          <w:p>
            <w:pPr>
              <w:pStyle w:val="11"/>
              <w:spacing w:line="360" w:lineRule="auto"/>
              <w:rPr>
                <w:rFonts w:hAnsi="宋体"/>
                <w:b/>
                <w:bCs/>
                <w:color w:val="auto"/>
                <w:sz w:val="22"/>
                <w:szCs w:val="22"/>
                <w:highlight w:val="none"/>
              </w:rPr>
            </w:pPr>
          </w:p>
        </w:tc>
        <w:tc>
          <w:tcPr>
            <w:tcW w:w="498" w:type="dxa"/>
            <w:vAlign w:val="center"/>
          </w:tcPr>
          <w:p>
            <w:pPr>
              <w:pStyle w:val="11"/>
              <w:spacing w:line="360" w:lineRule="auto"/>
              <w:rPr>
                <w:rFonts w:hAnsi="宋体"/>
                <w:b/>
                <w:bCs/>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2</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rPr>
                <w:rFonts w:hAnsi="宋体"/>
                <w:b/>
                <w:bCs/>
                <w:color w:val="auto"/>
                <w:sz w:val="22"/>
                <w:szCs w:val="22"/>
                <w:highlight w:val="none"/>
              </w:rPr>
            </w:pPr>
          </w:p>
        </w:tc>
        <w:tc>
          <w:tcPr>
            <w:tcW w:w="1876" w:type="dxa"/>
            <w:vAlign w:val="center"/>
          </w:tcPr>
          <w:p>
            <w:pPr>
              <w:pStyle w:val="11"/>
              <w:spacing w:line="360" w:lineRule="auto"/>
              <w:rPr>
                <w:rFonts w:hAnsi="宋体"/>
                <w:b/>
                <w:bCs/>
                <w:color w:val="auto"/>
                <w:sz w:val="22"/>
                <w:szCs w:val="22"/>
                <w:highlight w:val="none"/>
              </w:rPr>
            </w:pPr>
          </w:p>
        </w:tc>
        <w:tc>
          <w:tcPr>
            <w:tcW w:w="495" w:type="dxa"/>
            <w:vAlign w:val="center"/>
          </w:tcPr>
          <w:p>
            <w:pPr>
              <w:pStyle w:val="11"/>
              <w:spacing w:line="360" w:lineRule="auto"/>
              <w:rPr>
                <w:rFonts w:hAnsi="宋体"/>
                <w:b/>
                <w:bCs/>
                <w:color w:val="auto"/>
                <w:sz w:val="22"/>
                <w:szCs w:val="22"/>
                <w:highlight w:val="none"/>
              </w:rPr>
            </w:pPr>
          </w:p>
        </w:tc>
        <w:tc>
          <w:tcPr>
            <w:tcW w:w="498" w:type="dxa"/>
            <w:vAlign w:val="center"/>
          </w:tcPr>
          <w:p>
            <w:pPr>
              <w:pStyle w:val="11"/>
              <w:spacing w:line="360" w:lineRule="auto"/>
              <w:rPr>
                <w:rFonts w:hAnsi="宋体"/>
                <w:b/>
                <w:bCs/>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3</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rPr>
                <w:rFonts w:hAnsi="宋体"/>
                <w:b/>
                <w:bCs/>
                <w:color w:val="auto"/>
                <w:sz w:val="22"/>
                <w:szCs w:val="22"/>
                <w:highlight w:val="none"/>
              </w:rPr>
            </w:pPr>
          </w:p>
        </w:tc>
        <w:tc>
          <w:tcPr>
            <w:tcW w:w="1876" w:type="dxa"/>
            <w:vAlign w:val="center"/>
          </w:tcPr>
          <w:p>
            <w:pPr>
              <w:pStyle w:val="11"/>
              <w:spacing w:line="360" w:lineRule="auto"/>
              <w:rPr>
                <w:rFonts w:hAnsi="宋体"/>
                <w:b/>
                <w:bCs/>
                <w:color w:val="auto"/>
                <w:sz w:val="22"/>
                <w:szCs w:val="22"/>
                <w:highlight w:val="none"/>
              </w:rPr>
            </w:pPr>
          </w:p>
        </w:tc>
        <w:tc>
          <w:tcPr>
            <w:tcW w:w="495" w:type="dxa"/>
            <w:vAlign w:val="center"/>
          </w:tcPr>
          <w:p>
            <w:pPr>
              <w:pStyle w:val="11"/>
              <w:spacing w:line="360" w:lineRule="auto"/>
              <w:rPr>
                <w:rFonts w:hAnsi="宋体"/>
                <w:b/>
                <w:bCs/>
                <w:color w:val="auto"/>
                <w:sz w:val="22"/>
                <w:szCs w:val="22"/>
                <w:highlight w:val="none"/>
              </w:rPr>
            </w:pPr>
          </w:p>
        </w:tc>
        <w:tc>
          <w:tcPr>
            <w:tcW w:w="498" w:type="dxa"/>
            <w:vAlign w:val="center"/>
          </w:tcPr>
          <w:p>
            <w:pPr>
              <w:pStyle w:val="11"/>
              <w:spacing w:line="360" w:lineRule="auto"/>
              <w:rPr>
                <w:rFonts w:hAnsi="宋体"/>
                <w:b/>
                <w:bCs/>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4</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jc w:val="center"/>
              <w:rPr>
                <w:rFonts w:hAnsi="宋体"/>
                <w:color w:val="auto"/>
                <w:sz w:val="22"/>
                <w:szCs w:val="22"/>
                <w:highlight w:val="none"/>
              </w:rPr>
            </w:pPr>
          </w:p>
        </w:tc>
        <w:tc>
          <w:tcPr>
            <w:tcW w:w="1876" w:type="dxa"/>
            <w:vAlign w:val="center"/>
          </w:tcPr>
          <w:p>
            <w:pPr>
              <w:pStyle w:val="11"/>
              <w:spacing w:line="360" w:lineRule="auto"/>
              <w:jc w:val="center"/>
              <w:rPr>
                <w:rFonts w:hAnsi="宋体"/>
                <w:color w:val="auto"/>
                <w:sz w:val="22"/>
                <w:szCs w:val="22"/>
                <w:highlight w:val="none"/>
              </w:rPr>
            </w:pPr>
          </w:p>
        </w:tc>
        <w:tc>
          <w:tcPr>
            <w:tcW w:w="495" w:type="dxa"/>
            <w:vAlign w:val="center"/>
          </w:tcPr>
          <w:p>
            <w:pPr>
              <w:pStyle w:val="11"/>
              <w:spacing w:line="360" w:lineRule="auto"/>
              <w:jc w:val="center"/>
              <w:rPr>
                <w:rFonts w:hAnsi="宋体"/>
                <w:color w:val="auto"/>
                <w:sz w:val="22"/>
                <w:szCs w:val="22"/>
                <w:highlight w:val="none"/>
              </w:rPr>
            </w:pPr>
          </w:p>
        </w:tc>
        <w:tc>
          <w:tcPr>
            <w:tcW w:w="498" w:type="dxa"/>
            <w:vAlign w:val="center"/>
          </w:tcPr>
          <w:p>
            <w:pPr>
              <w:pStyle w:val="11"/>
              <w:spacing w:line="360" w:lineRule="auto"/>
              <w:jc w:val="center"/>
              <w:rPr>
                <w:rFonts w:hAnsi="宋体"/>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5</w:t>
            </w:r>
          </w:p>
        </w:tc>
        <w:tc>
          <w:tcPr>
            <w:tcW w:w="2492" w:type="dxa"/>
            <w:vAlign w:val="center"/>
          </w:tcPr>
          <w:p>
            <w:pPr>
              <w:pStyle w:val="11"/>
              <w:spacing w:line="360" w:lineRule="auto"/>
              <w:jc w:val="center"/>
              <w:rPr>
                <w:rFonts w:hAnsi="宋体"/>
                <w:color w:val="auto"/>
                <w:sz w:val="22"/>
                <w:szCs w:val="22"/>
                <w:highlight w:val="none"/>
              </w:rPr>
            </w:pPr>
          </w:p>
        </w:tc>
        <w:tc>
          <w:tcPr>
            <w:tcW w:w="915" w:type="dxa"/>
            <w:vAlign w:val="center"/>
          </w:tcPr>
          <w:p>
            <w:pPr>
              <w:jc w:val="center"/>
              <w:rPr>
                <w:rFonts w:ascii="宋体" w:hAnsi="宋体" w:cs="宋体"/>
                <w:b/>
                <w:bCs/>
                <w:color w:val="auto"/>
                <w:sz w:val="22"/>
                <w:szCs w:val="22"/>
                <w:highlight w:val="none"/>
              </w:rPr>
            </w:pPr>
          </w:p>
        </w:tc>
        <w:tc>
          <w:tcPr>
            <w:tcW w:w="1876" w:type="dxa"/>
            <w:vAlign w:val="center"/>
          </w:tcPr>
          <w:p>
            <w:pPr>
              <w:jc w:val="center"/>
              <w:rPr>
                <w:rFonts w:ascii="宋体" w:hAnsi="宋体" w:cs="宋体"/>
                <w:b/>
                <w:bCs/>
                <w:color w:val="auto"/>
                <w:sz w:val="22"/>
                <w:szCs w:val="22"/>
                <w:highlight w:val="none"/>
              </w:rPr>
            </w:pPr>
          </w:p>
        </w:tc>
        <w:tc>
          <w:tcPr>
            <w:tcW w:w="495" w:type="dxa"/>
            <w:vAlign w:val="center"/>
          </w:tcPr>
          <w:p>
            <w:pPr>
              <w:pStyle w:val="11"/>
              <w:spacing w:line="360" w:lineRule="auto"/>
              <w:jc w:val="center"/>
              <w:rPr>
                <w:rFonts w:hAnsi="宋体"/>
                <w:b/>
                <w:bCs/>
                <w:color w:val="auto"/>
                <w:sz w:val="22"/>
                <w:szCs w:val="22"/>
                <w:highlight w:val="none"/>
              </w:rPr>
            </w:pPr>
          </w:p>
        </w:tc>
        <w:tc>
          <w:tcPr>
            <w:tcW w:w="498" w:type="dxa"/>
            <w:vAlign w:val="center"/>
          </w:tcPr>
          <w:p>
            <w:pPr>
              <w:pStyle w:val="11"/>
              <w:spacing w:line="360" w:lineRule="auto"/>
              <w:jc w:val="center"/>
              <w:rPr>
                <w:rFonts w:hAnsi="宋体"/>
                <w:b/>
                <w:bCs/>
                <w:color w:val="auto"/>
                <w:sz w:val="22"/>
                <w:szCs w:val="22"/>
                <w:highlight w:val="none"/>
              </w:rPr>
            </w:pPr>
          </w:p>
        </w:tc>
        <w:tc>
          <w:tcPr>
            <w:tcW w:w="1148" w:type="dxa"/>
            <w:vAlign w:val="center"/>
          </w:tcPr>
          <w:p>
            <w:pPr>
              <w:pStyle w:val="11"/>
              <w:spacing w:line="360" w:lineRule="auto"/>
              <w:jc w:val="center"/>
              <w:rPr>
                <w:rFonts w:hAnsi="宋体"/>
                <w:b/>
                <w:bCs/>
                <w:color w:val="auto"/>
                <w:sz w:val="22"/>
                <w:szCs w:val="22"/>
                <w:highlight w:val="none"/>
              </w:rPr>
            </w:pPr>
          </w:p>
        </w:tc>
        <w:tc>
          <w:tcPr>
            <w:tcW w:w="1124" w:type="dxa"/>
            <w:vAlign w:val="center"/>
          </w:tcPr>
          <w:p>
            <w:pPr>
              <w:pStyle w:val="11"/>
              <w:spacing w:line="360" w:lineRule="auto"/>
              <w:jc w:val="center"/>
              <w:rPr>
                <w:rFonts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tcPr>
          <w:p>
            <w:pPr>
              <w:pStyle w:val="11"/>
              <w:spacing w:line="360" w:lineRule="auto"/>
              <w:rPr>
                <w:rFonts w:hAnsi="宋体"/>
                <w:color w:val="auto"/>
                <w:sz w:val="22"/>
                <w:szCs w:val="22"/>
                <w:highlight w:val="none"/>
              </w:rPr>
            </w:pPr>
            <w:r>
              <w:rPr>
                <w:rFonts w:hint="eastAsia" w:hAnsi="宋体"/>
                <w:color w:val="auto"/>
                <w:sz w:val="22"/>
                <w:szCs w:val="22"/>
                <w:highlight w:val="none"/>
              </w:rPr>
              <w:t>…</w:t>
            </w:r>
          </w:p>
        </w:tc>
        <w:tc>
          <w:tcPr>
            <w:tcW w:w="2492"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w:t>
            </w:r>
          </w:p>
        </w:tc>
        <w:tc>
          <w:tcPr>
            <w:tcW w:w="915" w:type="dxa"/>
            <w:vAlign w:val="center"/>
          </w:tcPr>
          <w:p>
            <w:pPr>
              <w:jc w:val="center"/>
              <w:rPr>
                <w:rFonts w:ascii="宋体" w:hAnsi="宋体" w:cs="宋体"/>
                <w:color w:val="auto"/>
                <w:sz w:val="22"/>
                <w:szCs w:val="22"/>
                <w:highlight w:val="none"/>
              </w:rPr>
            </w:pPr>
          </w:p>
        </w:tc>
        <w:tc>
          <w:tcPr>
            <w:tcW w:w="1876" w:type="dxa"/>
            <w:vAlign w:val="center"/>
          </w:tcPr>
          <w:p>
            <w:pPr>
              <w:jc w:val="center"/>
              <w:rPr>
                <w:rFonts w:ascii="宋体" w:hAnsi="宋体" w:cs="宋体"/>
                <w:color w:val="auto"/>
                <w:sz w:val="22"/>
                <w:szCs w:val="22"/>
                <w:highlight w:val="none"/>
              </w:rPr>
            </w:pPr>
          </w:p>
        </w:tc>
        <w:tc>
          <w:tcPr>
            <w:tcW w:w="495" w:type="dxa"/>
            <w:vAlign w:val="center"/>
          </w:tcPr>
          <w:p>
            <w:pPr>
              <w:pStyle w:val="11"/>
              <w:spacing w:line="360" w:lineRule="auto"/>
              <w:jc w:val="center"/>
              <w:rPr>
                <w:rFonts w:hAnsi="宋体"/>
                <w:color w:val="auto"/>
                <w:sz w:val="22"/>
                <w:szCs w:val="22"/>
                <w:highlight w:val="none"/>
              </w:rPr>
            </w:pPr>
          </w:p>
        </w:tc>
        <w:tc>
          <w:tcPr>
            <w:tcW w:w="498" w:type="dxa"/>
            <w:vAlign w:val="center"/>
          </w:tcPr>
          <w:p>
            <w:pPr>
              <w:pStyle w:val="11"/>
              <w:spacing w:line="360" w:lineRule="auto"/>
              <w:jc w:val="center"/>
              <w:rPr>
                <w:rFonts w:hAnsi="宋体"/>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981" w:type="dxa"/>
            <w:gridSpan w:val="2"/>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投标总价</w:t>
            </w:r>
          </w:p>
        </w:tc>
        <w:tc>
          <w:tcPr>
            <w:tcW w:w="6056" w:type="dxa"/>
            <w:gridSpan w:val="6"/>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vAlign w:val="center"/>
          </w:tcPr>
          <w:p>
            <w:pPr>
              <w:pStyle w:val="11"/>
              <w:ind w:firstLine="440" w:firstLineChars="200"/>
              <w:jc w:val="left"/>
              <w:rPr>
                <w:rFonts w:hAnsi="宋体"/>
                <w:color w:val="auto"/>
                <w:sz w:val="22"/>
                <w:szCs w:val="22"/>
                <w:highlight w:val="none"/>
              </w:rPr>
            </w:pPr>
            <w:r>
              <w:rPr>
                <w:rFonts w:hint="eastAsia" w:hAnsi="宋体"/>
                <w:color w:val="auto"/>
                <w:sz w:val="22"/>
                <w:szCs w:val="22"/>
                <w:highlight w:val="none"/>
              </w:rPr>
              <w:t>本次报价应包含项目所需全部服务，不得缺漏，是履行合同的最终价格（人员的工资福利、员工五险费(养老保险、医疗保险、失业保险、工伤保险、生育保险)、管理费、税费、质检费、专家费、人工成本费、管理费、办公用品、税费、项目竣工验收费和采购代理费等一切费用）。</w:t>
            </w:r>
          </w:p>
        </w:tc>
      </w:tr>
    </w:tbl>
    <w:p>
      <w:pPr>
        <w:pStyle w:val="11"/>
        <w:spacing w:line="360" w:lineRule="auto"/>
        <w:ind w:firstLine="960" w:firstLineChars="400"/>
        <w:rPr>
          <w:rFonts w:hAnsi="宋体" w:cs="Times New Roman"/>
          <w:color w:val="auto"/>
          <w:sz w:val="24"/>
          <w:szCs w:val="24"/>
          <w:highlight w:val="none"/>
        </w:rPr>
      </w:pPr>
      <w:r>
        <w:rPr>
          <w:rFonts w:hint="eastAsia" w:hAnsi="宋体"/>
          <w:color w:val="auto"/>
          <w:sz w:val="24"/>
          <w:szCs w:val="24"/>
          <w:highlight w:val="none"/>
        </w:rPr>
        <w:t>注：名称内容可根据供应商实际情况自行调整。</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供应商全称（公章）：</w:t>
      </w:r>
    </w:p>
    <w:p>
      <w:pPr>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spacing w:line="360" w:lineRule="auto"/>
        <w:jc w:val="left"/>
        <w:rPr>
          <w:rFonts w:ascii="宋体"/>
          <w:b/>
          <w:bCs/>
          <w:color w:val="auto"/>
          <w:sz w:val="32"/>
          <w:szCs w:val="32"/>
          <w:highlight w:val="none"/>
        </w:rPr>
      </w:pPr>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rPr>
        <w:t>二</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【不属于中小企业的无需填写、递交】</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cs="宋体"/>
          <w:color w:val="auto"/>
          <w:sz w:val="24"/>
          <w:szCs w:val="24"/>
          <w:highlight w:val="none"/>
          <w:u w:val="single"/>
        </w:rPr>
        <w:t xml:space="preserve"> （采购人名称）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（采购文件中明确的所属行业）</w:t>
      </w:r>
      <w:r>
        <w:rPr>
          <w:rFonts w:hint="eastAsia" w:ascii="宋体" w:hAnsi="宋体" w:cs="宋体"/>
          <w:color w:val="auto"/>
          <w:sz w:val="24"/>
          <w:szCs w:val="24"/>
          <w:highlight w:val="none"/>
        </w:rPr>
        <w:t>；承建（承接）企业为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（采购文件中明确的所属行业）</w:t>
      </w:r>
      <w:r>
        <w:rPr>
          <w:rFonts w:hint="eastAsia" w:ascii="宋体" w:hAnsi="宋体" w:cs="宋体"/>
          <w:color w:val="auto"/>
          <w:sz w:val="24"/>
          <w:szCs w:val="24"/>
          <w:highlight w:val="none"/>
        </w:rPr>
        <w:t>；承建（承接）企业为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800" w:firstLineChars="2000"/>
        <w:rPr>
          <w:rFonts w:ascii="宋体" w:hAnsi="宋体" w:cs="宋体"/>
          <w:color w:val="auto"/>
          <w:sz w:val="24"/>
          <w:szCs w:val="24"/>
          <w:highlight w:val="none"/>
        </w:rPr>
      </w:pPr>
      <w:r>
        <w:rPr>
          <w:rFonts w:hint="eastAsia" w:ascii="宋体" w:hAnsi="宋体" w:cs="宋体"/>
          <w:color w:val="auto"/>
          <w:sz w:val="24"/>
          <w:szCs w:val="24"/>
          <w:highlight w:val="none"/>
        </w:rPr>
        <w:t xml:space="preserve">企业名称（盖章）： </w:t>
      </w:r>
    </w:p>
    <w:p>
      <w:pPr>
        <w:spacing w:line="288" w:lineRule="auto"/>
        <w:ind w:left="3780" w:leftChars="1800"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3"/>
        <w:spacing w:line="288" w:lineRule="auto"/>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highlight w:val="none"/>
        </w:rPr>
      </w:pPr>
    </w:p>
    <w:p>
      <w:pPr>
        <w:pStyle w:val="2"/>
        <w:spacing w:line="360" w:lineRule="auto"/>
        <w:jc w:val="center"/>
        <w:rPr>
          <w:rFonts w:hAnsi="宋体" w:cs="Times New Roman"/>
          <w:color w:val="auto"/>
          <w:sz w:val="24"/>
          <w:szCs w:val="24"/>
          <w:highlight w:val="none"/>
        </w:rPr>
      </w:pPr>
    </w:p>
    <w:p>
      <w:pPr>
        <w:pStyle w:val="2"/>
        <w:spacing w:line="360" w:lineRule="auto"/>
        <w:jc w:val="center"/>
        <w:rPr>
          <w:rFonts w:hAnsi="宋体" w:cs="Times New Roman"/>
          <w:color w:val="auto"/>
          <w:sz w:val="24"/>
          <w:szCs w:val="24"/>
          <w:highlight w:val="none"/>
        </w:rPr>
      </w:pPr>
    </w:p>
    <w:p>
      <w:pPr>
        <w:jc w:val="center"/>
        <w:rPr>
          <w:color w:val="auto"/>
          <w:highlight w:val="none"/>
          <w:lang w:val="zh-CN"/>
        </w:rPr>
      </w:pPr>
      <w:bookmarkStart w:id="109" w:name="_Toc2071"/>
      <w:bookmarkStart w:id="110" w:name="_Toc30916"/>
      <w:bookmarkStart w:id="111" w:name="_Toc3295"/>
      <w:r>
        <w:rPr>
          <w:rFonts w:hAnsi="宋体"/>
          <w:color w:val="auto"/>
          <w:highlight w:val="none"/>
        </w:rPr>
        <w:br w:type="page"/>
      </w:r>
      <w:bookmarkEnd w:id="109"/>
      <w:bookmarkEnd w:id="110"/>
      <w:bookmarkEnd w:id="111"/>
    </w:p>
    <w:bookmarkEnd w:id="108"/>
    <w:p>
      <w:pPr>
        <w:rPr>
          <w:b/>
          <w:bCs/>
          <w:color w:val="auto"/>
          <w:sz w:val="24"/>
          <w:szCs w:val="24"/>
          <w:highlight w:val="none"/>
          <w:lang w:val="zh-CN"/>
        </w:rPr>
      </w:pPr>
      <w:bookmarkStart w:id="112" w:name="_Toc31472"/>
      <w:bookmarkStart w:id="113" w:name="_Toc16150"/>
      <w:bookmarkStart w:id="114" w:name="_Toc9715"/>
      <w:bookmarkStart w:id="115" w:name="_Toc25017"/>
      <w:r>
        <w:rPr>
          <w:rFonts w:hint="eastAsia" w:cs="宋体"/>
          <w:b/>
          <w:bCs/>
          <w:color w:val="auto"/>
          <w:sz w:val="24"/>
          <w:szCs w:val="24"/>
          <w:highlight w:val="none"/>
          <w:lang w:val="zh-CN"/>
        </w:rPr>
        <w:t>附件十</w:t>
      </w:r>
      <w:r>
        <w:rPr>
          <w:rFonts w:hint="eastAsia" w:cs="宋体"/>
          <w:b/>
          <w:bCs/>
          <w:color w:val="auto"/>
          <w:sz w:val="24"/>
          <w:szCs w:val="24"/>
          <w:highlight w:val="none"/>
        </w:rPr>
        <w:t>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112"/>
      <w:bookmarkEnd w:id="113"/>
      <w:bookmarkEnd w:id="114"/>
      <w:bookmarkEnd w:id="115"/>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2"/>
        <w:rPr>
          <w:rFonts w:cs="Times New Roman"/>
          <w:color w:val="auto"/>
          <w:highlight w:val="none"/>
        </w:rPr>
      </w:pPr>
    </w:p>
    <w:p>
      <w:pPr>
        <w:pStyle w:val="3"/>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bookmarkStart w:id="116" w:name="_Toc5441"/>
      <w:bookmarkStart w:id="117" w:name="_Toc2386"/>
      <w:bookmarkStart w:id="118" w:name="_Toc15966"/>
      <w:bookmarkStart w:id="119" w:name="_Toc24"/>
      <w:r>
        <w:rPr>
          <w:color w:val="auto"/>
          <w:sz w:val="24"/>
          <w:szCs w:val="24"/>
          <w:highlight w:val="none"/>
          <w:lang w:val="zh-CN"/>
        </w:rPr>
        <w:br w:type="page"/>
      </w:r>
      <w:r>
        <w:rPr>
          <w:rFonts w:hint="eastAsia" w:cs="宋体"/>
          <w:b/>
          <w:bCs/>
          <w:color w:val="auto"/>
          <w:sz w:val="24"/>
          <w:szCs w:val="24"/>
          <w:highlight w:val="none"/>
          <w:lang w:val="zh-CN"/>
        </w:rPr>
        <w:t>附件十</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bookmarkEnd w:id="116"/>
      <w:bookmarkEnd w:id="117"/>
      <w:bookmarkEnd w:id="118"/>
      <w:bookmarkEnd w:id="119"/>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2"/>
        <w:rPr>
          <w:rFonts w:cs="Times New Roman"/>
          <w:color w:val="auto"/>
          <w:highlight w:val="none"/>
        </w:rPr>
      </w:pPr>
    </w:p>
    <w:p>
      <w:pPr>
        <w:pStyle w:val="3"/>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sz w:val="24"/>
          <w:szCs w:val="24"/>
          <w:highlight w:val="none"/>
        </w:rPr>
      </w:pPr>
    </w:p>
    <w:p>
      <w:pPr>
        <w:spacing w:line="360" w:lineRule="auto"/>
        <w:rPr>
          <w:color w:val="auto"/>
          <w:sz w:val="36"/>
          <w:szCs w:val="36"/>
          <w:highlight w:val="none"/>
        </w:rPr>
      </w:pPr>
    </w:p>
    <w:p>
      <w:pPr>
        <w:pStyle w:val="20"/>
        <w:ind w:firstLine="21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535011"/>
    </w:sdtPr>
    <w:sdtContent>
      <w:p>
        <w:pPr>
          <w:pStyle w:val="14"/>
          <w:jc w:val="center"/>
        </w:pPr>
        <w:r>
          <w:fldChar w:fldCharType="begin"/>
        </w:r>
        <w:r>
          <w:instrText xml:space="preserve">PAGE   \* MERGEFORMAT</w:instrText>
        </w:r>
        <w:r>
          <w:fldChar w:fldCharType="separate"/>
        </w:r>
        <w:r>
          <w:rPr>
            <w:lang w:val="zh-CN"/>
          </w:rPr>
          <w:t>8</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p>
    <w:pPr>
      <w:pStyle w:val="1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3B993BA"/>
    <w:multiLevelType w:val="singleLevel"/>
    <w:tmpl w:val="93B993BA"/>
    <w:lvl w:ilvl="0" w:tentative="0">
      <w:start w:val="1"/>
      <w:numFmt w:val="decimal"/>
      <w:suff w:val="nothing"/>
      <w:lvlText w:val="%1．"/>
      <w:lvlJc w:val="left"/>
      <w:pPr>
        <w:ind w:firstLine="397"/>
      </w:pPr>
      <w:rPr>
        <w:rFonts w:hint="default"/>
      </w:rPr>
    </w:lvl>
  </w:abstractNum>
  <w:abstractNum w:abstractNumId="2">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3">
    <w:nsid w:val="9E7D436F"/>
    <w:multiLevelType w:val="singleLevel"/>
    <w:tmpl w:val="9E7D436F"/>
    <w:lvl w:ilvl="0" w:tentative="0">
      <w:start w:val="1"/>
      <w:numFmt w:val="chineseCounting"/>
      <w:suff w:val="nothing"/>
      <w:lvlText w:val="%1、"/>
      <w:lvlJc w:val="left"/>
      <w:rPr>
        <w:rFonts w:hint="eastAsia"/>
      </w:rPr>
    </w:lvl>
  </w:abstractNum>
  <w:abstractNum w:abstractNumId="4">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5">
    <w:nsid w:val="D7AB756B"/>
    <w:multiLevelType w:val="singleLevel"/>
    <w:tmpl w:val="D7AB756B"/>
    <w:lvl w:ilvl="0" w:tentative="0">
      <w:start w:val="3"/>
      <w:numFmt w:val="chineseCounting"/>
      <w:suff w:val="space"/>
      <w:lvlText w:val="第%1部分"/>
      <w:lvlJc w:val="left"/>
      <w:rPr>
        <w:rFonts w:hint="eastAsia"/>
      </w:rPr>
    </w:lvl>
  </w:abstractNum>
  <w:abstractNum w:abstractNumId="6">
    <w:nsid w:val="FF884951"/>
    <w:multiLevelType w:val="singleLevel"/>
    <w:tmpl w:val="FF884951"/>
    <w:lvl w:ilvl="0" w:tentative="0">
      <w:start w:val="4"/>
      <w:numFmt w:val="chineseCounting"/>
      <w:suff w:val="nothing"/>
      <w:lvlText w:val="%1、"/>
      <w:lvlJc w:val="left"/>
      <w:rPr>
        <w:rFonts w:hint="eastAsia"/>
      </w:rPr>
    </w:lvl>
  </w:abstractNum>
  <w:abstractNum w:abstractNumId="7">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8">
    <w:nsid w:val="12F353C5"/>
    <w:multiLevelType w:val="singleLevel"/>
    <w:tmpl w:val="12F353C5"/>
    <w:lvl w:ilvl="0" w:tentative="0">
      <w:start w:val="1"/>
      <w:numFmt w:val="chineseCounting"/>
      <w:suff w:val="nothing"/>
      <w:lvlText w:val="%1、"/>
      <w:lvlJc w:val="left"/>
      <w:rPr>
        <w:rFonts w:hint="eastAsia"/>
      </w:rPr>
    </w:lvl>
  </w:abstractNum>
  <w:abstractNum w:abstractNumId="9">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3">
    <w:nsid w:val="31213A5A"/>
    <w:multiLevelType w:val="singleLevel"/>
    <w:tmpl w:val="31213A5A"/>
    <w:lvl w:ilvl="0" w:tentative="0">
      <w:start w:val="4"/>
      <w:numFmt w:val="chineseCounting"/>
      <w:suff w:val="nothing"/>
      <w:lvlText w:val="%1、"/>
      <w:lvlJc w:val="left"/>
      <w:rPr>
        <w:rFonts w:hint="eastAsia"/>
      </w:rPr>
    </w:lvl>
  </w:abstractNum>
  <w:abstractNum w:abstractNumId="14">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5">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7">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8">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19">
    <w:nsid w:val="7B2826C6"/>
    <w:multiLevelType w:val="singleLevel"/>
    <w:tmpl w:val="7B2826C6"/>
    <w:lvl w:ilvl="0" w:tentative="0">
      <w:start w:val="1"/>
      <w:numFmt w:val="decimal"/>
      <w:suff w:val="nothing"/>
      <w:lvlText w:val="%1．"/>
      <w:lvlJc w:val="left"/>
      <w:pPr>
        <w:ind w:firstLine="397"/>
      </w:pPr>
      <w:rPr>
        <w:rFonts w:hint="default"/>
      </w:rPr>
    </w:lvl>
  </w:abstractNum>
  <w:num w:numId="1">
    <w:abstractNumId w:val="15"/>
  </w:num>
  <w:num w:numId="2">
    <w:abstractNumId w:val="7"/>
  </w:num>
  <w:num w:numId="3">
    <w:abstractNumId w:val="17"/>
  </w:num>
  <w:num w:numId="4">
    <w:abstractNumId w:val="10"/>
  </w:num>
  <w:num w:numId="5">
    <w:abstractNumId w:val="19"/>
  </w:num>
  <w:num w:numId="6">
    <w:abstractNumId w:val="11"/>
  </w:num>
  <w:num w:numId="7">
    <w:abstractNumId w:val="18"/>
  </w:num>
  <w:num w:numId="8">
    <w:abstractNumId w:val="1"/>
  </w:num>
  <w:num w:numId="9">
    <w:abstractNumId w:val="8"/>
  </w:num>
  <w:num w:numId="10">
    <w:abstractNumId w:val="9"/>
  </w:num>
  <w:num w:numId="11">
    <w:abstractNumId w:val="16"/>
  </w:num>
  <w:num w:numId="12">
    <w:abstractNumId w:val="14"/>
  </w:num>
  <w:num w:numId="13">
    <w:abstractNumId w:val="4"/>
  </w:num>
  <w:num w:numId="14">
    <w:abstractNumId w:val="2"/>
  </w:num>
  <w:num w:numId="15">
    <w:abstractNumId w:val="12"/>
  </w:num>
  <w:num w:numId="16">
    <w:abstractNumId w:val="5"/>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12FE"/>
    <w:rsid w:val="00051D75"/>
    <w:rsid w:val="00085ECB"/>
    <w:rsid w:val="000C69BA"/>
    <w:rsid w:val="000D7F3C"/>
    <w:rsid w:val="001039CA"/>
    <w:rsid w:val="00134221"/>
    <w:rsid w:val="00134B3A"/>
    <w:rsid w:val="0014432C"/>
    <w:rsid w:val="00183A89"/>
    <w:rsid w:val="001A4A6D"/>
    <w:rsid w:val="001B331D"/>
    <w:rsid w:val="001C573E"/>
    <w:rsid w:val="001F2F97"/>
    <w:rsid w:val="00211A53"/>
    <w:rsid w:val="00223E24"/>
    <w:rsid w:val="00273F1A"/>
    <w:rsid w:val="002759B7"/>
    <w:rsid w:val="002D3054"/>
    <w:rsid w:val="00316B43"/>
    <w:rsid w:val="003470DA"/>
    <w:rsid w:val="003914B1"/>
    <w:rsid w:val="00392B4C"/>
    <w:rsid w:val="00393C1C"/>
    <w:rsid w:val="003A0D36"/>
    <w:rsid w:val="003D07BA"/>
    <w:rsid w:val="003E2077"/>
    <w:rsid w:val="00402FF9"/>
    <w:rsid w:val="00405827"/>
    <w:rsid w:val="004277E5"/>
    <w:rsid w:val="004624B4"/>
    <w:rsid w:val="00463C96"/>
    <w:rsid w:val="00481766"/>
    <w:rsid w:val="004A1496"/>
    <w:rsid w:val="004E63AF"/>
    <w:rsid w:val="004E7DB7"/>
    <w:rsid w:val="00542925"/>
    <w:rsid w:val="005617C4"/>
    <w:rsid w:val="00623D2E"/>
    <w:rsid w:val="006C75A2"/>
    <w:rsid w:val="006E4D94"/>
    <w:rsid w:val="00730F50"/>
    <w:rsid w:val="007C1988"/>
    <w:rsid w:val="007C3122"/>
    <w:rsid w:val="007C36F2"/>
    <w:rsid w:val="007D1674"/>
    <w:rsid w:val="007E40B2"/>
    <w:rsid w:val="00804A32"/>
    <w:rsid w:val="00816086"/>
    <w:rsid w:val="00823C7F"/>
    <w:rsid w:val="008651FF"/>
    <w:rsid w:val="008C2439"/>
    <w:rsid w:val="008E0FF0"/>
    <w:rsid w:val="00913BA9"/>
    <w:rsid w:val="00913DF5"/>
    <w:rsid w:val="009241BF"/>
    <w:rsid w:val="009841BE"/>
    <w:rsid w:val="009B1E75"/>
    <w:rsid w:val="00A06FE3"/>
    <w:rsid w:val="00AB5CDD"/>
    <w:rsid w:val="00AC31B3"/>
    <w:rsid w:val="00AC7A96"/>
    <w:rsid w:val="00AE721D"/>
    <w:rsid w:val="00AF40FC"/>
    <w:rsid w:val="00B1386B"/>
    <w:rsid w:val="00B34795"/>
    <w:rsid w:val="00B47103"/>
    <w:rsid w:val="00B97A94"/>
    <w:rsid w:val="00BA76D2"/>
    <w:rsid w:val="00BB04D6"/>
    <w:rsid w:val="00BB44CA"/>
    <w:rsid w:val="00BF4DA8"/>
    <w:rsid w:val="00C46579"/>
    <w:rsid w:val="00C70180"/>
    <w:rsid w:val="00C93598"/>
    <w:rsid w:val="00CA29A3"/>
    <w:rsid w:val="00CB351E"/>
    <w:rsid w:val="00CF448E"/>
    <w:rsid w:val="00D03F05"/>
    <w:rsid w:val="00D07D16"/>
    <w:rsid w:val="00D1205D"/>
    <w:rsid w:val="00D208F6"/>
    <w:rsid w:val="00D2659C"/>
    <w:rsid w:val="00D362B8"/>
    <w:rsid w:val="00D40761"/>
    <w:rsid w:val="00DA62BD"/>
    <w:rsid w:val="00DE7CF8"/>
    <w:rsid w:val="00E109DA"/>
    <w:rsid w:val="00E53562"/>
    <w:rsid w:val="00E651C5"/>
    <w:rsid w:val="00E7359E"/>
    <w:rsid w:val="00EC5526"/>
    <w:rsid w:val="00F673E5"/>
    <w:rsid w:val="00F805E4"/>
    <w:rsid w:val="01364F85"/>
    <w:rsid w:val="0149271B"/>
    <w:rsid w:val="01B25A4D"/>
    <w:rsid w:val="02710CE9"/>
    <w:rsid w:val="02D726D3"/>
    <w:rsid w:val="02FB0AA9"/>
    <w:rsid w:val="02FB1EF4"/>
    <w:rsid w:val="04AF073B"/>
    <w:rsid w:val="04F22FF9"/>
    <w:rsid w:val="050804C3"/>
    <w:rsid w:val="067A3E50"/>
    <w:rsid w:val="06897647"/>
    <w:rsid w:val="06CC293D"/>
    <w:rsid w:val="083D19E3"/>
    <w:rsid w:val="0C6D2A00"/>
    <w:rsid w:val="0CC91FE2"/>
    <w:rsid w:val="0D1C5765"/>
    <w:rsid w:val="0F9E5390"/>
    <w:rsid w:val="10352065"/>
    <w:rsid w:val="104145F9"/>
    <w:rsid w:val="11CF6577"/>
    <w:rsid w:val="123D659E"/>
    <w:rsid w:val="12C87198"/>
    <w:rsid w:val="12FF7723"/>
    <w:rsid w:val="133E3C06"/>
    <w:rsid w:val="13495BED"/>
    <w:rsid w:val="14A827F9"/>
    <w:rsid w:val="155D552F"/>
    <w:rsid w:val="157D7686"/>
    <w:rsid w:val="15830AE2"/>
    <w:rsid w:val="15A07E8D"/>
    <w:rsid w:val="16047A13"/>
    <w:rsid w:val="1648774C"/>
    <w:rsid w:val="16EB43B2"/>
    <w:rsid w:val="185C3C52"/>
    <w:rsid w:val="19061AA7"/>
    <w:rsid w:val="19944C28"/>
    <w:rsid w:val="1B155261"/>
    <w:rsid w:val="1BDB27A5"/>
    <w:rsid w:val="1BEE0309"/>
    <w:rsid w:val="1CB664F0"/>
    <w:rsid w:val="1CFF0A9F"/>
    <w:rsid w:val="1E4D4F7F"/>
    <w:rsid w:val="1EDA1EFB"/>
    <w:rsid w:val="1F2B0346"/>
    <w:rsid w:val="1F431821"/>
    <w:rsid w:val="1F890C4B"/>
    <w:rsid w:val="1FA152A2"/>
    <w:rsid w:val="205B73C3"/>
    <w:rsid w:val="20C71575"/>
    <w:rsid w:val="20D34487"/>
    <w:rsid w:val="215A3622"/>
    <w:rsid w:val="21822C02"/>
    <w:rsid w:val="21FF3D3B"/>
    <w:rsid w:val="22514430"/>
    <w:rsid w:val="22AB5F4E"/>
    <w:rsid w:val="230D1FD0"/>
    <w:rsid w:val="244B0AF6"/>
    <w:rsid w:val="249023B7"/>
    <w:rsid w:val="251941D3"/>
    <w:rsid w:val="25760168"/>
    <w:rsid w:val="26451EEA"/>
    <w:rsid w:val="26704F2E"/>
    <w:rsid w:val="2686337A"/>
    <w:rsid w:val="28B26A72"/>
    <w:rsid w:val="28C62F56"/>
    <w:rsid w:val="28DA203A"/>
    <w:rsid w:val="28F0407A"/>
    <w:rsid w:val="291A7D32"/>
    <w:rsid w:val="29655706"/>
    <w:rsid w:val="296F7714"/>
    <w:rsid w:val="29CC00B6"/>
    <w:rsid w:val="2A516169"/>
    <w:rsid w:val="2AA57CCA"/>
    <w:rsid w:val="2C394975"/>
    <w:rsid w:val="2D346E5C"/>
    <w:rsid w:val="2E482451"/>
    <w:rsid w:val="2E664953"/>
    <w:rsid w:val="2F2801F0"/>
    <w:rsid w:val="2F8E048A"/>
    <w:rsid w:val="30FB7A19"/>
    <w:rsid w:val="310261A7"/>
    <w:rsid w:val="31FA1434"/>
    <w:rsid w:val="329F287D"/>
    <w:rsid w:val="32A75185"/>
    <w:rsid w:val="32B76176"/>
    <w:rsid w:val="33340B4D"/>
    <w:rsid w:val="349413EA"/>
    <w:rsid w:val="34FA2308"/>
    <w:rsid w:val="361A47CC"/>
    <w:rsid w:val="362D1890"/>
    <w:rsid w:val="36982D67"/>
    <w:rsid w:val="36CE34E8"/>
    <w:rsid w:val="37020770"/>
    <w:rsid w:val="371516F4"/>
    <w:rsid w:val="37EC052B"/>
    <w:rsid w:val="3AC33413"/>
    <w:rsid w:val="3B8C3F9C"/>
    <w:rsid w:val="3DCE50EF"/>
    <w:rsid w:val="3E1918E3"/>
    <w:rsid w:val="3E3759DF"/>
    <w:rsid w:val="3EEB5BC3"/>
    <w:rsid w:val="3FEA07F7"/>
    <w:rsid w:val="40D05434"/>
    <w:rsid w:val="40E80A95"/>
    <w:rsid w:val="41C50CBF"/>
    <w:rsid w:val="42234900"/>
    <w:rsid w:val="42914373"/>
    <w:rsid w:val="4297507F"/>
    <w:rsid w:val="42A44E8B"/>
    <w:rsid w:val="436C497E"/>
    <w:rsid w:val="44A02C62"/>
    <w:rsid w:val="44E618A1"/>
    <w:rsid w:val="46553B61"/>
    <w:rsid w:val="46562959"/>
    <w:rsid w:val="467F690A"/>
    <w:rsid w:val="46B85F59"/>
    <w:rsid w:val="46E25C17"/>
    <w:rsid w:val="47235459"/>
    <w:rsid w:val="4756467A"/>
    <w:rsid w:val="479D4586"/>
    <w:rsid w:val="48235D12"/>
    <w:rsid w:val="48621071"/>
    <w:rsid w:val="492D7C31"/>
    <w:rsid w:val="49A74C22"/>
    <w:rsid w:val="49C134CC"/>
    <w:rsid w:val="49FC12D8"/>
    <w:rsid w:val="4AD245F0"/>
    <w:rsid w:val="4B5C045F"/>
    <w:rsid w:val="4B613BE1"/>
    <w:rsid w:val="4B880DD1"/>
    <w:rsid w:val="4BE44EED"/>
    <w:rsid w:val="4C2A2DE5"/>
    <w:rsid w:val="4C4E3D12"/>
    <w:rsid w:val="4D782815"/>
    <w:rsid w:val="4DA55E49"/>
    <w:rsid w:val="4DB015C4"/>
    <w:rsid w:val="4F065CF9"/>
    <w:rsid w:val="4F11048F"/>
    <w:rsid w:val="4F774B46"/>
    <w:rsid w:val="4FEB109D"/>
    <w:rsid w:val="50215CCB"/>
    <w:rsid w:val="508F01B4"/>
    <w:rsid w:val="51393636"/>
    <w:rsid w:val="51573D26"/>
    <w:rsid w:val="541E44CF"/>
    <w:rsid w:val="54A90D98"/>
    <w:rsid w:val="54F65EBA"/>
    <w:rsid w:val="56116E24"/>
    <w:rsid w:val="565C1703"/>
    <w:rsid w:val="56CC0140"/>
    <w:rsid w:val="56F203B4"/>
    <w:rsid w:val="57000D5F"/>
    <w:rsid w:val="57FC55AA"/>
    <w:rsid w:val="580928E7"/>
    <w:rsid w:val="58551F7D"/>
    <w:rsid w:val="589769DA"/>
    <w:rsid w:val="595B3CBB"/>
    <w:rsid w:val="59733C4D"/>
    <w:rsid w:val="5A104446"/>
    <w:rsid w:val="5AA412FE"/>
    <w:rsid w:val="5AC72F10"/>
    <w:rsid w:val="5AEC1005"/>
    <w:rsid w:val="5D217374"/>
    <w:rsid w:val="5DE81AA6"/>
    <w:rsid w:val="5E2B51A2"/>
    <w:rsid w:val="5ECF432D"/>
    <w:rsid w:val="5F5B667A"/>
    <w:rsid w:val="5FD125EC"/>
    <w:rsid w:val="60467A6E"/>
    <w:rsid w:val="62CD048C"/>
    <w:rsid w:val="638717D9"/>
    <w:rsid w:val="63A7404B"/>
    <w:rsid w:val="64A14715"/>
    <w:rsid w:val="654E73FB"/>
    <w:rsid w:val="65B00288"/>
    <w:rsid w:val="66F34013"/>
    <w:rsid w:val="671B6AB8"/>
    <w:rsid w:val="67233CDD"/>
    <w:rsid w:val="67996221"/>
    <w:rsid w:val="681E7F53"/>
    <w:rsid w:val="687E1448"/>
    <w:rsid w:val="69801181"/>
    <w:rsid w:val="69A14E77"/>
    <w:rsid w:val="6A1E76CB"/>
    <w:rsid w:val="6B364901"/>
    <w:rsid w:val="6B946FA0"/>
    <w:rsid w:val="6D747B5A"/>
    <w:rsid w:val="6D88336F"/>
    <w:rsid w:val="6E957640"/>
    <w:rsid w:val="6F443663"/>
    <w:rsid w:val="72EA0AEA"/>
    <w:rsid w:val="73EB3D22"/>
    <w:rsid w:val="74F93ABB"/>
    <w:rsid w:val="750A3C3F"/>
    <w:rsid w:val="75126D7A"/>
    <w:rsid w:val="75BA5477"/>
    <w:rsid w:val="77537603"/>
    <w:rsid w:val="775D3C0B"/>
    <w:rsid w:val="78937CF7"/>
    <w:rsid w:val="79ED6971"/>
    <w:rsid w:val="79FE2A06"/>
    <w:rsid w:val="7AA162DA"/>
    <w:rsid w:val="7AA33536"/>
    <w:rsid w:val="7BFE1E83"/>
    <w:rsid w:val="7C3C6DC6"/>
    <w:rsid w:val="7DBF21A5"/>
    <w:rsid w:val="7DE93C59"/>
    <w:rsid w:val="7E435AEC"/>
    <w:rsid w:val="7F3F6140"/>
    <w:rsid w:val="7FAA3F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8"/>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39"/>
    <w:qFormat/>
    <w:uiPriority w:val="99"/>
    <w:pPr>
      <w:keepNext/>
      <w:spacing w:line="216" w:lineRule="auto"/>
      <w:outlineLvl w:val="1"/>
    </w:pPr>
    <w:rPr>
      <w:rFonts w:ascii="宋体" w:hAnsi="Calibri" w:cs="宋体"/>
      <w:b/>
      <w:bCs/>
      <w:sz w:val="28"/>
      <w:szCs w:val="28"/>
    </w:rPr>
  </w:style>
  <w:style w:type="paragraph" w:styleId="5">
    <w:name w:val="heading 3"/>
    <w:basedOn w:val="1"/>
    <w:next w:val="1"/>
    <w:link w:val="40"/>
    <w:qFormat/>
    <w:uiPriority w:val="99"/>
    <w:pPr>
      <w:keepNext/>
      <w:numPr>
        <w:ilvl w:val="0"/>
        <w:numId w:val="1"/>
      </w:numPr>
      <w:spacing w:line="216" w:lineRule="auto"/>
      <w:outlineLvl w:val="2"/>
    </w:pPr>
    <w:rPr>
      <w:rFonts w:ascii="宋体" w:hAnsi="Calibri" w:cs="宋体"/>
      <w:b/>
      <w:bCs/>
      <w:sz w:val="28"/>
      <w:szCs w:val="28"/>
    </w:rPr>
  </w:style>
  <w:style w:type="paragraph" w:styleId="6">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style>
  <w:style w:type="paragraph" w:styleId="7">
    <w:name w:val="caption"/>
    <w:basedOn w:val="1"/>
    <w:next w:val="1"/>
    <w:qFormat/>
    <w:locked/>
    <w:uiPriority w:val="35"/>
    <w:pPr>
      <w:jc w:val="center"/>
    </w:pPr>
    <w:rPr>
      <w:rFonts w:eastAsia="黑体"/>
      <w:szCs w:val="20"/>
    </w:rPr>
  </w:style>
  <w:style w:type="paragraph" w:styleId="8">
    <w:name w:val="Body Text"/>
    <w:basedOn w:val="1"/>
    <w:next w:val="6"/>
    <w:link w:val="41"/>
    <w:qFormat/>
    <w:uiPriority w:val="99"/>
  </w:style>
  <w:style w:type="paragraph" w:styleId="9">
    <w:name w:val="Body Text Indent"/>
    <w:basedOn w:val="1"/>
    <w:next w:val="1"/>
    <w:link w:val="42"/>
    <w:qFormat/>
    <w:uiPriority w:val="99"/>
    <w:pPr>
      <w:adjustRightInd w:val="0"/>
      <w:spacing w:line="360" w:lineRule="auto"/>
      <w:ind w:firstLine="490"/>
      <w:jc w:val="left"/>
    </w:pPr>
    <w:rPr>
      <w:rFonts w:ascii="宋体" w:hAnsi="宋体" w:cs="宋体"/>
      <w:sz w:val="24"/>
      <w:szCs w:val="24"/>
    </w:rPr>
  </w:style>
  <w:style w:type="paragraph" w:styleId="10">
    <w:name w:val="toc 3"/>
    <w:basedOn w:val="1"/>
    <w:next w:val="1"/>
    <w:qFormat/>
    <w:uiPriority w:val="39"/>
    <w:pPr>
      <w:ind w:left="840" w:leftChars="400"/>
    </w:pPr>
  </w:style>
  <w:style w:type="paragraph" w:styleId="11">
    <w:name w:val="Plain Text"/>
    <w:basedOn w:val="1"/>
    <w:next w:val="1"/>
    <w:link w:val="43"/>
    <w:qFormat/>
    <w:uiPriority w:val="0"/>
    <w:rPr>
      <w:rFonts w:ascii="宋体" w:hAnsi="Courier New" w:cs="宋体"/>
    </w:rPr>
  </w:style>
  <w:style w:type="paragraph" w:styleId="12">
    <w:name w:val="Date"/>
    <w:basedOn w:val="1"/>
    <w:next w:val="1"/>
    <w:link w:val="44"/>
    <w:qFormat/>
    <w:uiPriority w:val="99"/>
    <w:pPr>
      <w:ind w:left="100" w:leftChars="2500"/>
    </w:pPr>
    <w:rPr>
      <w:rFonts w:ascii="宋体" w:hAnsi="宋体" w:cs="宋体"/>
      <w:color w:val="000000"/>
      <w:sz w:val="24"/>
      <w:szCs w:val="24"/>
    </w:rPr>
  </w:style>
  <w:style w:type="paragraph" w:styleId="13">
    <w:name w:val="Balloon Text"/>
    <w:basedOn w:val="1"/>
    <w:link w:val="45"/>
    <w:semiHidden/>
    <w:qFormat/>
    <w:uiPriority w:val="99"/>
    <w:rPr>
      <w:sz w:val="18"/>
      <w:szCs w:val="18"/>
    </w:rPr>
  </w:style>
  <w:style w:type="paragraph" w:styleId="14">
    <w:name w:val="footer"/>
    <w:basedOn w:val="1"/>
    <w:link w:val="46"/>
    <w:qFormat/>
    <w:uiPriority w:val="99"/>
    <w:pPr>
      <w:tabs>
        <w:tab w:val="center" w:pos="4153"/>
        <w:tab w:val="right" w:pos="8306"/>
      </w:tabs>
      <w:snapToGrid w:val="0"/>
      <w:jc w:val="left"/>
    </w:pPr>
    <w:rPr>
      <w:sz w:val="18"/>
      <w:szCs w:val="18"/>
    </w:rPr>
  </w:style>
  <w:style w:type="paragraph" w:styleId="15">
    <w:name w:val="header"/>
    <w:basedOn w:val="1"/>
    <w:link w:val="47"/>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HTML Preformatted"/>
    <w:basedOn w:val="1"/>
    <w:link w:val="6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0">
    <w:name w:val="Body Text First Indent"/>
    <w:basedOn w:val="8"/>
    <w:link w:val="48"/>
    <w:qFormat/>
    <w:uiPriority w:val="99"/>
    <w:pPr>
      <w:ind w:firstLine="420" w:firstLineChars="100"/>
    </w:pPr>
  </w:style>
  <w:style w:type="paragraph" w:styleId="21">
    <w:name w:val="Body Text First Indent 2"/>
    <w:basedOn w:val="9"/>
    <w:next w:val="20"/>
    <w:qFormat/>
    <w:uiPriority w:val="0"/>
    <w:pPr>
      <w:ind w:firstLine="420"/>
    </w:pPr>
  </w:style>
  <w:style w:type="table" w:styleId="23">
    <w:name w:val="Table Grid"/>
    <w:basedOn w:val="22"/>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99"/>
    <w:rPr>
      <w:b/>
      <w:bCs/>
    </w:rPr>
  </w:style>
  <w:style w:type="character" w:styleId="26">
    <w:name w:val="page number"/>
    <w:basedOn w:val="24"/>
    <w:qFormat/>
    <w:uiPriority w:val="99"/>
  </w:style>
  <w:style w:type="character" w:styleId="27">
    <w:name w:val="Hyperlink"/>
    <w:basedOn w:val="24"/>
    <w:qFormat/>
    <w:uiPriority w:val="99"/>
    <w:rPr>
      <w:color w:val="0000FF"/>
      <w:u w:val="single"/>
    </w:rPr>
  </w:style>
  <w:style w:type="paragraph" w:customStyle="1" w:styleId="28">
    <w:name w:val="正文缩进1"/>
    <w:basedOn w:val="1"/>
    <w:next w:val="9"/>
    <w:qFormat/>
    <w:uiPriority w:val="0"/>
    <w:pPr>
      <w:ind w:firstLine="420" w:firstLineChars="200"/>
    </w:pPr>
  </w:style>
  <w:style w:type="paragraph" w:customStyle="1" w:styleId="29">
    <w:name w:val="样式 表格正文 + 两端对齐"/>
    <w:basedOn w:val="1"/>
    <w:next w:val="30"/>
    <w:qFormat/>
    <w:uiPriority w:val="99"/>
    <w:pPr>
      <w:spacing w:line="300" w:lineRule="auto"/>
    </w:pPr>
    <w:rPr>
      <w:sz w:val="24"/>
      <w:szCs w:val="24"/>
    </w:rPr>
  </w:style>
  <w:style w:type="paragraph" w:customStyle="1" w:styleId="30">
    <w:name w:val="正文1"/>
    <w:basedOn w:val="1"/>
    <w:next w:val="31"/>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1">
    <w:name w:val="自动更正"/>
    <w:next w:val="3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xl39"/>
    <w:basedOn w:val="1"/>
    <w:next w:val="33"/>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33">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34">
    <w:name w:val="BodyText1I2"/>
    <w:basedOn w:val="35"/>
    <w:qFormat/>
    <w:uiPriority w:val="0"/>
    <w:pPr>
      <w:ind w:firstLine="420"/>
    </w:pPr>
    <w:rPr>
      <w:sz w:val="21"/>
    </w:rPr>
  </w:style>
  <w:style w:type="paragraph" w:customStyle="1" w:styleId="35">
    <w:name w:val="BodyTextIndent"/>
    <w:basedOn w:val="1"/>
    <w:qFormat/>
    <w:uiPriority w:val="0"/>
    <w:pPr>
      <w:spacing w:line="360" w:lineRule="auto"/>
      <w:ind w:firstLine="490"/>
      <w:jc w:val="left"/>
    </w:pPr>
    <w:rPr>
      <w:rFonts w:ascii="宋体" w:hAnsi="宋体"/>
      <w:sz w:val="24"/>
    </w:rPr>
  </w:style>
  <w:style w:type="paragraph" w:customStyle="1" w:styleId="36">
    <w:name w:val="Body Text First Indent1"/>
    <w:basedOn w:val="8"/>
    <w:qFormat/>
    <w:uiPriority w:val="0"/>
    <w:pPr>
      <w:tabs>
        <w:tab w:val="left" w:pos="1275"/>
      </w:tabs>
      <w:ind w:firstLine="420" w:firstLineChars="100"/>
    </w:pPr>
  </w:style>
  <w:style w:type="paragraph" w:customStyle="1" w:styleId="37">
    <w:name w:val="表格文字"/>
    <w:basedOn w:val="1"/>
    <w:next w:val="8"/>
    <w:qFormat/>
    <w:uiPriority w:val="0"/>
    <w:pPr>
      <w:adjustRightInd w:val="0"/>
      <w:spacing w:line="420" w:lineRule="atLeast"/>
      <w:textAlignment w:val="baseline"/>
    </w:pPr>
  </w:style>
  <w:style w:type="character" w:customStyle="1" w:styleId="38">
    <w:name w:val="标题 1 字符"/>
    <w:basedOn w:val="24"/>
    <w:link w:val="4"/>
    <w:qFormat/>
    <w:locked/>
    <w:uiPriority w:val="99"/>
    <w:rPr>
      <w:b/>
      <w:bCs/>
      <w:kern w:val="44"/>
      <w:sz w:val="44"/>
      <w:szCs w:val="44"/>
    </w:rPr>
  </w:style>
  <w:style w:type="character" w:customStyle="1" w:styleId="39">
    <w:name w:val="标题 2 字符"/>
    <w:basedOn w:val="24"/>
    <w:link w:val="2"/>
    <w:qFormat/>
    <w:locked/>
    <w:uiPriority w:val="99"/>
    <w:rPr>
      <w:rFonts w:ascii="宋体" w:cs="宋体"/>
      <w:b/>
      <w:bCs/>
      <w:kern w:val="2"/>
      <w:sz w:val="28"/>
      <w:szCs w:val="28"/>
    </w:rPr>
  </w:style>
  <w:style w:type="character" w:customStyle="1" w:styleId="40">
    <w:name w:val="标题 3 字符"/>
    <w:basedOn w:val="24"/>
    <w:link w:val="5"/>
    <w:qFormat/>
    <w:locked/>
    <w:uiPriority w:val="99"/>
    <w:rPr>
      <w:rFonts w:ascii="宋体" w:cs="宋体"/>
      <w:b/>
      <w:bCs/>
      <w:kern w:val="2"/>
      <w:sz w:val="28"/>
      <w:szCs w:val="28"/>
    </w:rPr>
  </w:style>
  <w:style w:type="character" w:customStyle="1" w:styleId="41">
    <w:name w:val="正文文本 字符"/>
    <w:basedOn w:val="24"/>
    <w:link w:val="8"/>
    <w:semiHidden/>
    <w:qFormat/>
    <w:uiPriority w:val="99"/>
    <w:rPr>
      <w:rFonts w:ascii="Times New Roman" w:hAnsi="Times New Roman"/>
      <w:szCs w:val="21"/>
    </w:rPr>
  </w:style>
  <w:style w:type="character" w:customStyle="1" w:styleId="42">
    <w:name w:val="正文文本缩进 字符"/>
    <w:basedOn w:val="24"/>
    <w:link w:val="9"/>
    <w:semiHidden/>
    <w:qFormat/>
    <w:uiPriority w:val="99"/>
    <w:rPr>
      <w:rFonts w:ascii="Times New Roman" w:hAnsi="Times New Roman"/>
      <w:szCs w:val="21"/>
    </w:rPr>
  </w:style>
  <w:style w:type="character" w:customStyle="1" w:styleId="43">
    <w:name w:val="纯文本 字符"/>
    <w:basedOn w:val="24"/>
    <w:link w:val="11"/>
    <w:qFormat/>
    <w:uiPriority w:val="0"/>
    <w:rPr>
      <w:rFonts w:ascii="宋体" w:hAnsi="Courier New" w:cs="Courier New"/>
      <w:szCs w:val="21"/>
    </w:rPr>
  </w:style>
  <w:style w:type="character" w:customStyle="1" w:styleId="44">
    <w:name w:val="日期 字符"/>
    <w:basedOn w:val="24"/>
    <w:link w:val="12"/>
    <w:semiHidden/>
    <w:qFormat/>
    <w:uiPriority w:val="99"/>
    <w:rPr>
      <w:rFonts w:ascii="Times New Roman" w:hAnsi="Times New Roman"/>
      <w:szCs w:val="21"/>
    </w:rPr>
  </w:style>
  <w:style w:type="character" w:customStyle="1" w:styleId="45">
    <w:name w:val="批注框文本 字符"/>
    <w:basedOn w:val="24"/>
    <w:link w:val="13"/>
    <w:qFormat/>
    <w:locked/>
    <w:uiPriority w:val="99"/>
    <w:rPr>
      <w:kern w:val="2"/>
      <w:sz w:val="18"/>
      <w:szCs w:val="18"/>
    </w:rPr>
  </w:style>
  <w:style w:type="character" w:customStyle="1" w:styleId="46">
    <w:name w:val="页脚 字符"/>
    <w:basedOn w:val="24"/>
    <w:link w:val="14"/>
    <w:qFormat/>
    <w:uiPriority w:val="99"/>
    <w:rPr>
      <w:rFonts w:ascii="Times New Roman" w:hAnsi="Times New Roman"/>
      <w:sz w:val="18"/>
      <w:szCs w:val="18"/>
    </w:rPr>
  </w:style>
  <w:style w:type="character" w:customStyle="1" w:styleId="47">
    <w:name w:val="页眉 字符"/>
    <w:basedOn w:val="24"/>
    <w:link w:val="15"/>
    <w:semiHidden/>
    <w:qFormat/>
    <w:uiPriority w:val="99"/>
    <w:rPr>
      <w:rFonts w:ascii="Times New Roman" w:hAnsi="Times New Roman"/>
      <w:sz w:val="18"/>
      <w:szCs w:val="18"/>
    </w:rPr>
  </w:style>
  <w:style w:type="character" w:customStyle="1" w:styleId="48">
    <w:name w:val="正文文本首行缩进 字符"/>
    <w:basedOn w:val="41"/>
    <w:link w:val="20"/>
    <w:semiHidden/>
    <w:qFormat/>
    <w:uiPriority w:val="99"/>
    <w:rPr>
      <w:rFonts w:ascii="Times New Roman" w:hAnsi="Times New Roman"/>
      <w:szCs w:val="21"/>
    </w:rPr>
  </w:style>
  <w:style w:type="paragraph" w:customStyle="1" w:styleId="49">
    <w:name w:val="正文2"/>
    <w:basedOn w:val="1"/>
    <w:qFormat/>
    <w:uiPriority w:val="99"/>
    <w:pPr>
      <w:adjustRightInd w:val="0"/>
      <w:spacing w:before="156" w:line="360" w:lineRule="auto"/>
      <w:ind w:firstLine="510" w:firstLineChars="200"/>
    </w:pPr>
    <w:rPr>
      <w:sz w:val="24"/>
      <w:szCs w:val="24"/>
    </w:rPr>
  </w:style>
  <w:style w:type="paragraph" w:customStyle="1" w:styleId="50">
    <w:name w:val="List Paragraph1"/>
    <w:basedOn w:val="1"/>
    <w:qFormat/>
    <w:uiPriority w:val="99"/>
    <w:pPr>
      <w:widowControl/>
      <w:ind w:firstLine="420" w:firstLineChars="200"/>
      <w:jc w:val="left"/>
    </w:pPr>
    <w:rPr>
      <w:rFonts w:ascii="Calibri" w:hAnsi="Calibri" w:cs="Calibri"/>
    </w:rPr>
  </w:style>
  <w:style w:type="character" w:customStyle="1" w:styleId="51">
    <w:name w:val="style81"/>
    <w:qFormat/>
    <w:uiPriority w:val="99"/>
    <w:rPr>
      <w:sz w:val="20"/>
      <w:szCs w:val="20"/>
    </w:rPr>
  </w:style>
  <w:style w:type="paragraph" w:customStyle="1" w:styleId="52">
    <w:name w:val="列出段落1"/>
    <w:basedOn w:val="1"/>
    <w:qFormat/>
    <w:uiPriority w:val="99"/>
    <w:pPr>
      <w:ind w:firstLine="420"/>
      <w:jc w:val="left"/>
    </w:pPr>
  </w:style>
  <w:style w:type="paragraph" w:customStyle="1" w:styleId="53">
    <w:name w:val="表格"/>
    <w:basedOn w:val="1"/>
    <w:qFormat/>
    <w:uiPriority w:val="99"/>
    <w:pPr>
      <w:autoSpaceDE w:val="0"/>
      <w:autoSpaceDN w:val="0"/>
      <w:jc w:val="center"/>
      <w:textAlignment w:val="baseline"/>
    </w:pPr>
    <w:rPr>
      <w:color w:val="000000"/>
      <w:kern w:val="0"/>
    </w:rPr>
  </w:style>
  <w:style w:type="character" w:customStyle="1" w:styleId="54">
    <w:name w:val="02 Char"/>
    <w:link w:val="55"/>
    <w:qFormat/>
    <w:locked/>
    <w:uiPriority w:val="99"/>
    <w:rPr>
      <w:rFonts w:ascii="宋体" w:cs="宋体"/>
      <w:b/>
      <w:bCs/>
      <w:color w:val="FF0000"/>
      <w:kern w:val="2"/>
      <w:sz w:val="28"/>
      <w:szCs w:val="28"/>
    </w:rPr>
  </w:style>
  <w:style w:type="paragraph" w:customStyle="1" w:styleId="55">
    <w:name w:val="02"/>
    <w:basedOn w:val="2"/>
    <w:link w:val="54"/>
    <w:qFormat/>
    <w:uiPriority w:val="99"/>
    <w:pPr>
      <w:jc w:val="center"/>
    </w:pPr>
    <w:rPr>
      <w:color w:val="FF0000"/>
    </w:rPr>
  </w:style>
  <w:style w:type="character" w:customStyle="1" w:styleId="56">
    <w:name w:val="03 Char"/>
    <w:link w:val="57"/>
    <w:qFormat/>
    <w:locked/>
    <w:uiPriority w:val="99"/>
    <w:rPr>
      <w:rFonts w:ascii="宋体" w:cs="宋体"/>
      <w:b/>
      <w:bCs/>
      <w:kern w:val="2"/>
      <w:sz w:val="28"/>
      <w:szCs w:val="28"/>
    </w:rPr>
  </w:style>
  <w:style w:type="paragraph" w:customStyle="1" w:styleId="57">
    <w:name w:val="03"/>
    <w:basedOn w:val="5"/>
    <w:link w:val="56"/>
    <w:qFormat/>
    <w:uiPriority w:val="99"/>
    <w:pPr>
      <w:numPr>
        <w:ilvl w:val="0"/>
        <w:numId w:val="0"/>
      </w:numPr>
    </w:pPr>
  </w:style>
  <w:style w:type="character" w:customStyle="1" w:styleId="58">
    <w:name w:val="宋体小四 Char"/>
    <w:link w:val="59"/>
    <w:qFormat/>
    <w:locked/>
    <w:uiPriority w:val="99"/>
    <w:rPr>
      <w:rFonts w:ascii="宋体" w:eastAsia="宋体" w:cs="宋体"/>
      <w:kern w:val="2"/>
      <w:sz w:val="24"/>
      <w:szCs w:val="24"/>
    </w:rPr>
  </w:style>
  <w:style w:type="paragraph" w:customStyle="1" w:styleId="59">
    <w:name w:val="宋体小四"/>
    <w:basedOn w:val="1"/>
    <w:link w:val="58"/>
    <w:qFormat/>
    <w:uiPriority w:val="99"/>
    <w:pPr>
      <w:spacing w:line="360" w:lineRule="auto"/>
      <w:ind w:firstLine="480" w:firstLineChars="200"/>
    </w:pPr>
    <w:rPr>
      <w:rFonts w:ascii="宋体" w:hAnsi="宋体" w:cs="宋体"/>
      <w:sz w:val="24"/>
      <w:szCs w:val="24"/>
    </w:rPr>
  </w:style>
  <w:style w:type="character" w:customStyle="1" w:styleId="60">
    <w:name w:val="fontstyle01"/>
    <w:basedOn w:val="24"/>
    <w:qFormat/>
    <w:uiPriority w:val="99"/>
    <w:rPr>
      <w:rFonts w:ascii="宋体" w:eastAsia="宋体" w:cs="宋体"/>
      <w:color w:val="000000"/>
      <w:sz w:val="22"/>
      <w:szCs w:val="22"/>
    </w:rPr>
  </w:style>
  <w:style w:type="paragraph" w:customStyle="1" w:styleId="61">
    <w:name w:val="正文首行缩进2字符"/>
    <w:basedOn w:val="1"/>
    <w:qFormat/>
    <w:uiPriority w:val="99"/>
    <w:pPr>
      <w:spacing w:line="360" w:lineRule="auto"/>
      <w:ind w:firstLine="200" w:firstLineChars="200"/>
    </w:pPr>
  </w:style>
  <w:style w:type="paragraph" w:customStyle="1" w:styleId="62">
    <w:name w:val="居中表格内容标题"/>
    <w:basedOn w:val="63"/>
    <w:qFormat/>
    <w:uiPriority w:val="0"/>
    <w:pPr>
      <w:jc w:val="center"/>
    </w:pPr>
    <w:rPr>
      <w:b/>
    </w:rPr>
  </w:style>
  <w:style w:type="paragraph" w:customStyle="1" w:styleId="63">
    <w:name w:val="居中表格内容"/>
    <w:basedOn w:val="1"/>
    <w:next w:val="1"/>
    <w:qFormat/>
    <w:uiPriority w:val="0"/>
    <w:pPr>
      <w:jc w:val="left"/>
    </w:pPr>
    <w:rPr>
      <w:szCs w:val="28"/>
    </w:rPr>
  </w:style>
  <w:style w:type="character" w:customStyle="1" w:styleId="64">
    <w:name w:val="HTML 预设格式 字符"/>
    <w:basedOn w:val="24"/>
    <w:link w:val="18"/>
    <w:qFormat/>
    <w:uiPriority w:val="0"/>
    <w:rPr>
      <w:rFonts w:ascii="宋体" w:hAnsi="宋体" w:cs="宋体"/>
      <w:sz w:val="24"/>
      <w:szCs w:val="24"/>
    </w:rPr>
  </w:style>
  <w:style w:type="paragraph" w:customStyle="1" w:styleId="65">
    <w:name w:val="样式6"/>
    <w:basedOn w:val="11"/>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66">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67">
    <w:name w:val="font21"/>
    <w:basedOn w:val="24"/>
    <w:qFormat/>
    <w:uiPriority w:val="0"/>
    <w:rPr>
      <w:rFonts w:hint="default" w:ascii="Tahoma" w:hAnsi="Tahoma" w:eastAsia="Tahoma" w:cs="Tahoma"/>
      <w:color w:val="000000"/>
      <w:sz w:val="22"/>
      <w:szCs w:val="22"/>
      <w:u w:val="none"/>
    </w:rPr>
  </w:style>
  <w:style w:type="character" w:customStyle="1" w:styleId="68">
    <w:name w:val="font11"/>
    <w:basedOn w:val="24"/>
    <w:qFormat/>
    <w:uiPriority w:val="0"/>
    <w:rPr>
      <w:rFonts w:hint="eastAsia" w:ascii="宋体" w:hAnsi="宋体" w:eastAsia="宋体" w:cs="宋体"/>
      <w:color w:val="000000"/>
      <w:sz w:val="22"/>
      <w:szCs w:val="22"/>
      <w:u w:val="none"/>
    </w:rPr>
  </w:style>
  <w:style w:type="paragraph" w:customStyle="1" w:styleId="69">
    <w:name w:val="Char Char Char Char Char Char"/>
    <w:basedOn w:val="1"/>
    <w:qFormat/>
    <w:uiPriority w:val="99"/>
    <w:pPr>
      <w:widowControl/>
      <w:adjustRightInd w:val="0"/>
      <w:spacing w:beforeLines="50" w:afterLines="50" w:line="240" w:lineRule="exact"/>
      <w:jc w:val="left"/>
    </w:pPr>
    <w:rPr>
      <w:rFonts w:ascii="Verdana" w:hAnsi="Verdana"/>
      <w:sz w:val="20"/>
      <w:lang w:eastAsia="en-US"/>
    </w:rPr>
  </w:style>
  <w:style w:type="character" w:customStyle="1" w:styleId="70">
    <w:name w:val="NormalCharacter"/>
    <w:qFormat/>
    <w:uiPriority w:val="0"/>
  </w:style>
  <w:style w:type="paragraph" w:customStyle="1" w:styleId="71">
    <w:name w:val="[Normal]"/>
    <w:qFormat/>
    <w:uiPriority w:val="99"/>
    <w:rPr>
      <w:rFonts w:ascii="宋体" w:hAnsi="宋体" w:eastAsia="宋体" w:cs="Times New Roman"/>
      <w:sz w:val="24"/>
      <w:lang w:val="en-US" w:eastAsia="en-US" w:bidi="ar-SA"/>
    </w:rPr>
  </w:style>
  <w:style w:type="paragraph" w:customStyle="1" w:styleId="72">
    <w:name w:val="我的正文"/>
    <w:basedOn w:val="1"/>
    <w:qFormat/>
    <w:uiPriority w:val="0"/>
    <w:pPr>
      <w:spacing w:line="360" w:lineRule="auto"/>
      <w:ind w:firstLine="200" w:firstLineChars="200"/>
    </w:pPr>
    <w:rPr>
      <w:sz w:val="24"/>
    </w:rPr>
  </w:style>
  <w:style w:type="paragraph" w:styleId="73">
    <w:name w:val="List Paragraph"/>
    <w:basedOn w:val="1"/>
    <w:qFormat/>
    <w:uiPriority w:val="99"/>
    <w:pPr>
      <w:ind w:firstLine="420" w:firstLineChars="200"/>
    </w:pPr>
  </w:style>
  <w:style w:type="paragraph" w:customStyle="1" w:styleId="74">
    <w:name w:val="纯文本1"/>
    <w:basedOn w:val="1"/>
    <w:qFormat/>
    <w:uiPriority w:val="0"/>
    <w:pPr>
      <w:ind w:firstLine="280" w:firstLineChars="100"/>
    </w:pPr>
    <w:rPr>
      <w:rFonts w:hAnsi="宋体"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D44AE-F7CD-4F0A-A4DE-0D7E7015221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53</Pages>
  <Words>4801</Words>
  <Characters>27366</Characters>
  <Lines>228</Lines>
  <Paragraphs>64</Paragraphs>
  <TotalTime>16</TotalTime>
  <ScaleCrop>false</ScaleCrop>
  <LinksUpToDate>false</LinksUpToDate>
  <CharactersWithSpaces>32103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2021-01-21T03:14:00Z</dcterms:created>
  <dc:creator>陈圣楠</dc:creator>
  <cp:lastModifiedBy>DELL</cp:lastModifiedBy>
  <dcterms:modified xsi:type="dcterms:W3CDTF">2021-07-26T08:45:50Z</dcterms:modified>
  <dc:title>上虞区自然资源变更监测项目</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1AFD82D58D0546D2B9FC5AA79C516D06</vt:lpwstr>
  </property>
</Properties>
</file>