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z w:val="44"/>
          <w:szCs w:val="44"/>
          <w:highlight w:val="none"/>
          <w:lang w:eastAsia="zh-CN"/>
        </w:rPr>
      </w:pPr>
      <w:r>
        <w:rPr>
          <w:rFonts w:hint="eastAsia" w:ascii="宋体" w:hAnsi="宋体" w:cs="宋体"/>
          <w:b/>
          <w:bCs/>
          <w:color w:val="auto"/>
          <w:sz w:val="44"/>
          <w:szCs w:val="44"/>
          <w:highlight w:val="none"/>
          <w:lang w:eastAsia="zh-CN"/>
        </w:rPr>
        <w:t>上虞区新乡贤统战工作省级标准化试点</w:t>
      </w:r>
    </w:p>
    <w:p>
      <w:pPr>
        <w:spacing w:line="360" w:lineRule="auto"/>
        <w:jc w:val="center"/>
        <w:rPr>
          <w:rFonts w:hint="eastAsia" w:ascii="宋体" w:eastAsia="宋体"/>
          <w:b/>
          <w:bCs/>
          <w:color w:val="auto"/>
          <w:sz w:val="44"/>
          <w:szCs w:val="44"/>
          <w:highlight w:val="none"/>
          <w:lang w:eastAsia="zh-CN"/>
        </w:rPr>
      </w:pPr>
      <w:r>
        <w:rPr>
          <w:rFonts w:hint="eastAsia" w:ascii="宋体" w:hAnsi="宋体" w:cs="宋体"/>
          <w:b/>
          <w:bCs/>
          <w:color w:val="auto"/>
          <w:sz w:val="44"/>
          <w:szCs w:val="44"/>
          <w:highlight w:val="none"/>
          <w:lang w:eastAsia="zh-CN"/>
        </w:rPr>
        <w:t>项目</w:t>
      </w:r>
    </w:p>
    <w:p>
      <w:pPr>
        <w:jc w:val="center"/>
        <w:rPr>
          <w:rFonts w:ascii="宋体"/>
          <w:b/>
          <w:bCs/>
          <w:color w:val="auto"/>
          <w:sz w:val="44"/>
          <w:szCs w:val="44"/>
          <w:highlight w:val="none"/>
        </w:rPr>
      </w:pPr>
    </w:p>
    <w:p>
      <w:pPr>
        <w:pStyle w:val="3"/>
        <w:rPr>
          <w:rFonts w:hAnsi="宋体" w:cs="Times New Roman"/>
          <w:color w:val="auto"/>
          <w:sz w:val="44"/>
          <w:szCs w:val="44"/>
          <w:highlight w:val="none"/>
        </w:rPr>
      </w:pPr>
    </w:p>
    <w:p>
      <w:pPr>
        <w:pStyle w:val="4"/>
        <w:rPr>
          <w:rFonts w:ascii="宋体"/>
          <w:b/>
          <w:bCs/>
          <w:color w:val="auto"/>
          <w:sz w:val="44"/>
          <w:szCs w:val="44"/>
          <w:highlight w:val="none"/>
        </w:rPr>
      </w:pPr>
    </w:p>
    <w:p>
      <w:pPr>
        <w:pStyle w:val="4"/>
        <w:rPr>
          <w:rFonts w:ascii="宋体"/>
          <w:b/>
          <w:bCs/>
          <w:color w:val="auto"/>
          <w:sz w:val="44"/>
          <w:szCs w:val="44"/>
          <w:highlight w:val="none"/>
        </w:rPr>
      </w:pPr>
    </w:p>
    <w:p>
      <w:pPr>
        <w:pStyle w:val="4"/>
        <w:rPr>
          <w:rFonts w:ascii="宋体"/>
          <w:b/>
          <w:bCs/>
          <w:color w:val="auto"/>
          <w:sz w:val="44"/>
          <w:szCs w:val="44"/>
          <w:highlight w:val="none"/>
        </w:rPr>
      </w:pPr>
    </w:p>
    <w:p>
      <w:pPr>
        <w:pStyle w:val="4"/>
        <w:rPr>
          <w:rFonts w:ascii="宋体"/>
          <w:b/>
          <w:bCs/>
          <w:color w:val="auto"/>
          <w:sz w:val="44"/>
          <w:szCs w:val="44"/>
          <w:highlight w:val="none"/>
        </w:rPr>
      </w:pPr>
    </w:p>
    <w:p>
      <w:pPr>
        <w:pStyle w:val="4"/>
        <w:rPr>
          <w:color w:val="auto"/>
          <w:highlight w:val="none"/>
        </w:rPr>
      </w:pPr>
    </w:p>
    <w:p>
      <w:pPr>
        <w:spacing w:line="360" w:lineRule="auto"/>
        <w:jc w:val="center"/>
        <w:rPr>
          <w:rFonts w:ascii="宋体"/>
          <w:b/>
          <w:bCs/>
          <w:color w:val="auto"/>
          <w:sz w:val="24"/>
          <w:szCs w:val="24"/>
          <w:highlight w:val="none"/>
        </w:rPr>
      </w:pPr>
      <w:r>
        <w:rPr>
          <w:rFonts w:hint="eastAsia" w:ascii="宋体" w:hAnsi="宋体" w:cs="宋体"/>
          <w:b/>
          <w:bCs/>
          <w:color w:val="auto"/>
          <w:sz w:val="72"/>
          <w:szCs w:val="72"/>
          <w:highlight w:val="none"/>
        </w:rPr>
        <w:t>竞争性磋商文件</w:t>
      </w:r>
    </w:p>
    <w:p>
      <w:pPr>
        <w:spacing w:line="360" w:lineRule="auto"/>
        <w:jc w:val="center"/>
        <w:rPr>
          <w:rFonts w:ascii="宋体"/>
          <w:b/>
          <w:bCs/>
          <w:color w:val="auto"/>
          <w:sz w:val="24"/>
          <w:szCs w:val="24"/>
          <w:highlight w:val="none"/>
        </w:rPr>
      </w:pPr>
    </w:p>
    <w:p>
      <w:pPr>
        <w:snapToGrid w:val="0"/>
        <w:spacing w:line="360" w:lineRule="auto"/>
        <w:ind w:firstLine="2301" w:firstLineChars="767"/>
        <w:jc w:val="left"/>
        <w:rPr>
          <w:rFonts w:ascii="宋体"/>
          <w:color w:val="auto"/>
          <w:sz w:val="30"/>
          <w:szCs w:val="30"/>
          <w:highlight w:val="none"/>
          <w:u w:val="single"/>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u w:val="single"/>
          <w:lang w:eastAsia="zh-CN"/>
        </w:rPr>
        <w:t>YK2020251</w:t>
      </w:r>
    </w:p>
    <w:p>
      <w:pPr>
        <w:snapToGrid w:val="0"/>
        <w:spacing w:line="360" w:lineRule="auto"/>
        <w:ind w:firstLine="2301" w:firstLineChars="767"/>
        <w:jc w:val="left"/>
        <w:rPr>
          <w:rFonts w:ascii="宋体"/>
          <w:color w:val="auto"/>
          <w:sz w:val="30"/>
          <w:szCs w:val="30"/>
          <w:highlight w:val="none"/>
        </w:rPr>
      </w:pPr>
    </w:p>
    <w:p>
      <w:pPr>
        <w:spacing w:line="360" w:lineRule="auto"/>
        <w:rPr>
          <w:rFonts w:ascii="宋体"/>
          <w:color w:val="auto"/>
          <w:sz w:val="28"/>
          <w:szCs w:val="28"/>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napToGrid w:val="0"/>
        <w:spacing w:line="360" w:lineRule="auto"/>
        <w:jc w:val="center"/>
        <w:rPr>
          <w:rFonts w:hint="eastAsia" w:ascii="宋体" w:eastAsia="宋体"/>
          <w:color w:val="auto"/>
          <w:highlight w:val="none"/>
          <w:u w:val="single"/>
          <w:lang w:eastAsia="zh-CN"/>
        </w:rPr>
      </w:pPr>
      <w:r>
        <w:rPr>
          <w:rFonts w:hint="eastAsia" w:ascii="宋体" w:hAnsi="宋体" w:cs="宋体"/>
          <w:color w:val="auto"/>
          <w:sz w:val="30"/>
          <w:szCs w:val="30"/>
          <w:highlight w:val="none"/>
        </w:rPr>
        <w:t>采</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购</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人：</w:t>
      </w:r>
      <w:r>
        <w:rPr>
          <w:rFonts w:hint="eastAsia" w:ascii="宋体" w:hAnsi="宋体" w:cs="宋体"/>
          <w:color w:val="auto"/>
          <w:sz w:val="30"/>
          <w:szCs w:val="30"/>
          <w:highlight w:val="none"/>
          <w:lang w:eastAsia="zh-CN"/>
        </w:rPr>
        <w:t>中国共产党绍兴市上虞区委统一战线工作部</w:t>
      </w:r>
    </w:p>
    <w:p>
      <w:pPr>
        <w:snapToGrid w:val="0"/>
        <w:spacing w:line="360" w:lineRule="auto"/>
        <w:ind w:firstLine="1500" w:firstLineChars="500"/>
        <w:rPr>
          <w:rFonts w:ascii="宋体"/>
          <w:color w:val="auto"/>
          <w:sz w:val="30"/>
          <w:szCs w:val="30"/>
          <w:highlight w:val="none"/>
        </w:rPr>
      </w:pPr>
      <w:r>
        <w:rPr>
          <w:rFonts w:hint="eastAsia" w:ascii="宋体" w:hAnsi="宋体" w:cs="宋体"/>
          <w:color w:val="auto"/>
          <w:sz w:val="30"/>
          <w:szCs w:val="30"/>
          <w:highlight w:val="none"/>
        </w:rPr>
        <w:t>采购代理机构：浙江宇康工程管理咨询有限公司</w:t>
      </w:r>
    </w:p>
    <w:p>
      <w:pPr>
        <w:jc w:val="center"/>
        <w:rPr>
          <w:rFonts w:ascii="宋体"/>
          <w:color w:val="auto"/>
          <w:sz w:val="30"/>
          <w:szCs w:val="30"/>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 w:val="30"/>
          <w:szCs w:val="30"/>
          <w:highlight w:val="none"/>
        </w:rPr>
        <w:t>二〇二〇年十</w:t>
      </w:r>
      <w:r>
        <w:rPr>
          <w:rFonts w:hint="eastAsia" w:ascii="宋体" w:hAnsi="宋体" w:cs="宋体"/>
          <w:color w:val="auto"/>
          <w:sz w:val="30"/>
          <w:szCs w:val="30"/>
          <w:highlight w:val="none"/>
          <w:lang w:val="en-US" w:eastAsia="zh-CN"/>
        </w:rPr>
        <w:t>一</w:t>
      </w:r>
      <w:r>
        <w:rPr>
          <w:rFonts w:hint="eastAsia" w:ascii="宋体" w:hAnsi="宋体" w:cs="宋体"/>
          <w:color w:val="auto"/>
          <w:sz w:val="30"/>
          <w:szCs w:val="30"/>
          <w:highlight w:val="none"/>
        </w:rPr>
        <w:t>月</w:t>
      </w:r>
    </w:p>
    <w:p>
      <w:pPr>
        <w:spacing w:line="360" w:lineRule="auto"/>
        <w:jc w:val="center"/>
        <w:rPr>
          <w:rFonts w:hint="eastAsia"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rPr>
        <w:t>目</w:t>
      </w:r>
      <w:r>
        <w:rPr>
          <w:rFonts w:hint="eastAsia" w:asciiTheme="majorEastAsia" w:hAnsiTheme="majorEastAsia" w:eastAsiaTheme="majorEastAsia" w:cstheme="majorEastAsia"/>
          <w:color w:val="auto"/>
          <w:sz w:val="28"/>
          <w:szCs w:val="28"/>
          <w:highlight w:val="none"/>
          <w:lang w:val="en-US" w:eastAsia="zh-CN"/>
        </w:rPr>
        <w:t xml:space="preserve"> </w:t>
      </w:r>
      <w:r>
        <w:rPr>
          <w:rFonts w:hint="eastAsia" w:asciiTheme="majorEastAsia" w:hAnsiTheme="majorEastAsia" w:eastAsiaTheme="majorEastAsia" w:cstheme="majorEastAsia"/>
          <w:color w:val="auto"/>
          <w:sz w:val="28"/>
          <w:szCs w:val="28"/>
          <w:highlight w:val="none"/>
        </w:rPr>
        <w:t>录</w:t>
      </w:r>
    </w:p>
    <w:p>
      <w:pPr>
        <w:pStyle w:val="16"/>
        <w:tabs>
          <w:tab w:val="right" w:leader="dot" w:pos="8306"/>
        </w:tabs>
        <w:spacing w:line="360" w:lineRule="auto"/>
        <w:rPr>
          <w:color w:val="auto"/>
          <w:sz w:val="24"/>
          <w:szCs w:val="24"/>
          <w:highlight w:val="none"/>
        </w:rPr>
      </w:pPr>
      <w:r>
        <w:rPr>
          <w:rFonts w:hint="eastAsia" w:ascii="宋体" w:hAnsi="宋体" w:cs="宋体"/>
          <w:color w:val="auto"/>
          <w:sz w:val="40"/>
          <w:szCs w:val="40"/>
          <w:highlight w:val="none"/>
        </w:rPr>
        <w:fldChar w:fldCharType="begin"/>
      </w:r>
      <w:r>
        <w:rPr>
          <w:rFonts w:hint="eastAsia" w:ascii="宋体" w:hAnsi="宋体" w:cs="宋体"/>
          <w:color w:val="auto"/>
          <w:sz w:val="40"/>
          <w:szCs w:val="40"/>
          <w:highlight w:val="none"/>
        </w:rPr>
        <w:instrText xml:space="preserve">TOC \o "1-3" \h \u </w:instrText>
      </w:r>
      <w:r>
        <w:rPr>
          <w:rFonts w:hint="eastAsia" w:ascii="宋体" w:hAnsi="宋体" w:cs="宋体"/>
          <w:color w:val="auto"/>
          <w:sz w:val="40"/>
          <w:szCs w:val="40"/>
          <w:highlight w:val="none"/>
        </w:rPr>
        <w:fldChar w:fldCharType="separate"/>
      </w:r>
      <w:r>
        <w:rPr>
          <w:rFonts w:hint="eastAsia" w:ascii="宋体" w:hAnsi="宋体" w:cs="宋体"/>
          <w:color w:val="auto"/>
          <w:sz w:val="24"/>
          <w:szCs w:val="40"/>
          <w:highlight w:val="none"/>
        </w:rPr>
        <w:fldChar w:fldCharType="begin"/>
      </w:r>
      <w:r>
        <w:rPr>
          <w:rFonts w:hint="eastAsia" w:ascii="宋体" w:hAnsi="宋体" w:cs="宋体"/>
          <w:color w:val="auto"/>
          <w:sz w:val="24"/>
          <w:szCs w:val="40"/>
          <w:highlight w:val="none"/>
        </w:rPr>
        <w:instrText xml:space="preserve"> HYPERLINK \l _Toc8361 </w:instrText>
      </w:r>
      <w:r>
        <w:rPr>
          <w:rFonts w:hint="eastAsia" w:ascii="宋体" w:hAnsi="宋体" w:cs="宋体"/>
          <w:color w:val="auto"/>
          <w:sz w:val="24"/>
          <w:szCs w:val="40"/>
          <w:highlight w:val="none"/>
        </w:rPr>
        <w:fldChar w:fldCharType="separate"/>
      </w:r>
      <w:r>
        <w:rPr>
          <w:rFonts w:hint="eastAsia" w:cs="宋体"/>
          <w:color w:val="auto"/>
          <w:sz w:val="24"/>
          <w:szCs w:val="44"/>
          <w:highlight w:val="none"/>
        </w:rPr>
        <w:t>第一部分</w:t>
      </w:r>
      <w:r>
        <w:rPr>
          <w:color w:val="auto"/>
          <w:sz w:val="24"/>
          <w:szCs w:val="44"/>
          <w:highlight w:val="none"/>
        </w:rPr>
        <w:t xml:space="preserve"> </w:t>
      </w:r>
      <w:r>
        <w:rPr>
          <w:rFonts w:hint="eastAsia" w:cs="宋体"/>
          <w:color w:val="auto"/>
          <w:sz w:val="24"/>
          <w:szCs w:val="44"/>
          <w:highlight w:val="none"/>
        </w:rPr>
        <w:t>磋商公告</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_Toc8361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rFonts w:hint="eastAsia" w:ascii="宋体" w:hAnsi="宋体" w:cs="宋体"/>
          <w:color w:val="auto"/>
          <w:sz w:val="24"/>
          <w:szCs w:val="40"/>
          <w:highlight w:val="none"/>
        </w:rPr>
        <w:fldChar w:fldCharType="end"/>
      </w:r>
    </w:p>
    <w:p>
      <w:pPr>
        <w:pStyle w:val="16"/>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_Toc4346 </w:instrText>
      </w:r>
      <w:r>
        <w:rPr>
          <w:rFonts w:hint="eastAsia" w:hAnsi="宋体"/>
          <w:color w:val="auto"/>
          <w:sz w:val="24"/>
          <w:szCs w:val="40"/>
          <w:highlight w:val="none"/>
        </w:rPr>
        <w:fldChar w:fldCharType="separate"/>
      </w:r>
      <w:r>
        <w:rPr>
          <w:rFonts w:hint="eastAsia" w:cs="宋体"/>
          <w:color w:val="auto"/>
          <w:sz w:val="24"/>
          <w:szCs w:val="44"/>
          <w:highlight w:val="none"/>
        </w:rPr>
        <w:t>第二部分</w:t>
      </w:r>
      <w:r>
        <w:rPr>
          <w:color w:val="auto"/>
          <w:sz w:val="24"/>
          <w:szCs w:val="44"/>
          <w:highlight w:val="none"/>
        </w:rPr>
        <w:t xml:space="preserve"> </w:t>
      </w:r>
      <w:r>
        <w:rPr>
          <w:rFonts w:hint="eastAsia" w:cs="宋体"/>
          <w:color w:val="auto"/>
          <w:sz w:val="24"/>
          <w:szCs w:val="44"/>
          <w:highlight w:val="none"/>
        </w:rPr>
        <w:t>供应商须知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_Toc4346 </w:instrText>
      </w:r>
      <w:r>
        <w:rPr>
          <w:color w:val="auto"/>
          <w:sz w:val="24"/>
          <w:szCs w:val="24"/>
          <w:highlight w:val="none"/>
        </w:rPr>
        <w:fldChar w:fldCharType="separate"/>
      </w:r>
      <w:r>
        <w:rPr>
          <w:color w:val="auto"/>
          <w:sz w:val="24"/>
          <w:szCs w:val="24"/>
          <w:highlight w:val="none"/>
        </w:rPr>
        <w:t>5</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_Toc30009 </w:instrText>
      </w:r>
      <w:r>
        <w:rPr>
          <w:rFonts w:hint="eastAsia" w:hAnsi="宋体"/>
          <w:color w:val="auto"/>
          <w:sz w:val="24"/>
          <w:szCs w:val="40"/>
          <w:highlight w:val="none"/>
        </w:rPr>
        <w:fldChar w:fldCharType="separate"/>
      </w:r>
      <w:r>
        <w:rPr>
          <w:rFonts w:hint="eastAsia" w:hAnsi="宋体" w:cs="Times New Roman"/>
          <w:color w:val="auto"/>
          <w:sz w:val="24"/>
          <w:szCs w:val="24"/>
          <w:highlight w:val="none"/>
        </w:rPr>
        <w:t xml:space="preserve">一、 </w:t>
      </w:r>
      <w:r>
        <w:rPr>
          <w:rFonts w:hint="eastAsia" w:hAnsi="宋体"/>
          <w:color w:val="auto"/>
          <w:sz w:val="24"/>
          <w:szCs w:val="24"/>
          <w:highlight w:val="none"/>
        </w:rPr>
        <w:t>总则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_Toc30009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_Toc2835 </w:instrText>
      </w:r>
      <w:r>
        <w:rPr>
          <w:rFonts w:hint="eastAsia" w:hAnsi="宋体"/>
          <w:color w:val="auto"/>
          <w:sz w:val="24"/>
          <w:szCs w:val="40"/>
          <w:highlight w:val="none"/>
        </w:rPr>
        <w:fldChar w:fldCharType="separate"/>
      </w:r>
      <w:r>
        <w:rPr>
          <w:rFonts w:hint="eastAsia" w:cs="Times New Roman"/>
          <w:color w:val="auto"/>
          <w:sz w:val="24"/>
          <w:szCs w:val="24"/>
          <w:highlight w:val="none"/>
        </w:rPr>
        <w:t xml:space="preserve">二、 </w:t>
      </w:r>
      <w:r>
        <w:rPr>
          <w:rFonts w:hint="eastAsia"/>
          <w:color w:val="auto"/>
          <w:sz w:val="24"/>
          <w:szCs w:val="24"/>
          <w:highlight w:val="none"/>
        </w:rPr>
        <w:t>竞争性磋商文件</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_Toc2835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_Toc6958 </w:instrText>
      </w:r>
      <w:r>
        <w:rPr>
          <w:rFonts w:hint="eastAsia" w:hAnsi="宋体"/>
          <w:color w:val="auto"/>
          <w:sz w:val="24"/>
          <w:szCs w:val="40"/>
          <w:highlight w:val="none"/>
        </w:rPr>
        <w:fldChar w:fldCharType="separate"/>
      </w:r>
      <w:r>
        <w:rPr>
          <w:rFonts w:hint="eastAsia" w:cs="Times New Roman"/>
          <w:color w:val="auto"/>
          <w:sz w:val="24"/>
          <w:szCs w:val="24"/>
          <w:highlight w:val="none"/>
        </w:rPr>
        <w:t xml:space="preserve">三、 </w:t>
      </w:r>
      <w:r>
        <w:rPr>
          <w:rFonts w:hint="eastAsia"/>
          <w:color w:val="auto"/>
          <w:sz w:val="24"/>
          <w:szCs w:val="24"/>
          <w:highlight w:val="none"/>
        </w:rPr>
        <w:t>竞争性磋商响应文件的编写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_Toc6958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_Toc27026 </w:instrText>
      </w:r>
      <w:r>
        <w:rPr>
          <w:rFonts w:hint="eastAsia" w:hAnsi="宋体"/>
          <w:color w:val="auto"/>
          <w:sz w:val="24"/>
          <w:szCs w:val="40"/>
          <w:highlight w:val="none"/>
        </w:rPr>
        <w:fldChar w:fldCharType="separate"/>
      </w:r>
      <w:r>
        <w:rPr>
          <w:rFonts w:hint="eastAsia" w:cs="Times New Roman"/>
          <w:color w:val="auto"/>
          <w:sz w:val="24"/>
          <w:szCs w:val="24"/>
          <w:highlight w:val="none"/>
        </w:rPr>
        <w:t xml:space="preserve">四、 </w:t>
      </w:r>
      <w:r>
        <w:rPr>
          <w:rFonts w:hint="eastAsia"/>
          <w:color w:val="auto"/>
          <w:sz w:val="24"/>
          <w:szCs w:val="24"/>
          <w:highlight w:val="none"/>
        </w:rPr>
        <w:t>响应文件的递交</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_Toc27026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_Toc26425 </w:instrText>
      </w:r>
      <w:r>
        <w:rPr>
          <w:rFonts w:hint="eastAsia" w:hAnsi="宋体"/>
          <w:color w:val="auto"/>
          <w:sz w:val="24"/>
          <w:szCs w:val="40"/>
          <w:highlight w:val="none"/>
        </w:rPr>
        <w:fldChar w:fldCharType="separate"/>
      </w:r>
      <w:r>
        <w:rPr>
          <w:rFonts w:hint="eastAsia" w:hAnsi="宋体" w:cs="Times New Roman"/>
          <w:color w:val="auto"/>
          <w:sz w:val="24"/>
          <w:szCs w:val="24"/>
          <w:highlight w:val="none"/>
        </w:rPr>
        <w:t xml:space="preserve">五、 </w:t>
      </w:r>
      <w:r>
        <w:rPr>
          <w:rFonts w:hint="eastAsia"/>
          <w:color w:val="auto"/>
          <w:sz w:val="24"/>
          <w:szCs w:val="24"/>
          <w:highlight w:val="none"/>
        </w:rPr>
        <w:t>磋商无效的情形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_Toc26425 </w:instrText>
      </w:r>
      <w:r>
        <w:rPr>
          <w:color w:val="auto"/>
          <w:sz w:val="24"/>
          <w:szCs w:val="24"/>
          <w:highlight w:val="none"/>
        </w:rPr>
        <w:fldChar w:fldCharType="separate"/>
      </w:r>
      <w:r>
        <w:rPr>
          <w:color w:val="auto"/>
          <w:sz w:val="24"/>
          <w:szCs w:val="24"/>
          <w:highlight w:val="none"/>
        </w:rPr>
        <w:t>14</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_Toc17662 </w:instrText>
      </w:r>
      <w:r>
        <w:rPr>
          <w:rFonts w:hint="eastAsia" w:hAnsi="宋体"/>
          <w:color w:val="auto"/>
          <w:sz w:val="24"/>
          <w:szCs w:val="40"/>
          <w:highlight w:val="none"/>
        </w:rPr>
        <w:fldChar w:fldCharType="separate"/>
      </w:r>
      <w:r>
        <w:rPr>
          <w:rFonts w:hint="eastAsia" w:cs="Times New Roman"/>
          <w:color w:val="auto"/>
          <w:sz w:val="24"/>
          <w:szCs w:val="24"/>
          <w:highlight w:val="none"/>
        </w:rPr>
        <w:t xml:space="preserve">六、 </w:t>
      </w:r>
      <w:r>
        <w:rPr>
          <w:rFonts w:hint="eastAsia"/>
          <w:color w:val="auto"/>
          <w:sz w:val="24"/>
          <w:szCs w:val="24"/>
          <w:highlight w:val="none"/>
        </w:rPr>
        <w:t>采购中止的情形</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_Toc17662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_Toc13300 </w:instrText>
      </w:r>
      <w:r>
        <w:rPr>
          <w:rFonts w:hint="eastAsia" w:hAnsi="宋体"/>
          <w:color w:val="auto"/>
          <w:sz w:val="24"/>
          <w:szCs w:val="40"/>
          <w:highlight w:val="none"/>
        </w:rPr>
        <w:fldChar w:fldCharType="separate"/>
      </w:r>
      <w:r>
        <w:rPr>
          <w:rFonts w:hint="eastAsia" w:cs="Times New Roman"/>
          <w:color w:val="auto"/>
          <w:sz w:val="24"/>
          <w:szCs w:val="24"/>
          <w:highlight w:val="none"/>
        </w:rPr>
        <w:t xml:space="preserve">七、 </w:t>
      </w:r>
      <w:r>
        <w:rPr>
          <w:rFonts w:hint="eastAsia"/>
          <w:color w:val="auto"/>
          <w:sz w:val="24"/>
          <w:szCs w:val="24"/>
          <w:highlight w:val="none"/>
        </w:rPr>
        <w:t>确定成交供应商与签订合同</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_Toc13300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hAnsi="宋体"/>
          <w:color w:val="auto"/>
          <w:sz w:val="24"/>
          <w:szCs w:val="40"/>
          <w:highlight w:val="none"/>
        </w:rPr>
        <w:fldChar w:fldCharType="end"/>
      </w:r>
    </w:p>
    <w:p>
      <w:pPr>
        <w:pStyle w:val="16"/>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_Toc26862 </w:instrText>
      </w:r>
      <w:r>
        <w:rPr>
          <w:rFonts w:hint="eastAsia" w:hAnsi="宋体"/>
          <w:color w:val="auto"/>
          <w:sz w:val="24"/>
          <w:szCs w:val="40"/>
          <w:highlight w:val="none"/>
        </w:rPr>
        <w:fldChar w:fldCharType="separate"/>
      </w:r>
      <w:r>
        <w:rPr>
          <w:rFonts w:hint="eastAsia"/>
          <w:color w:val="auto"/>
          <w:sz w:val="24"/>
          <w:szCs w:val="44"/>
          <w:highlight w:val="none"/>
        </w:rPr>
        <w:t xml:space="preserve">第三部分 </w:t>
      </w:r>
      <w:r>
        <w:rPr>
          <w:rFonts w:hint="eastAsia" w:cs="宋体"/>
          <w:color w:val="auto"/>
          <w:sz w:val="24"/>
          <w:szCs w:val="44"/>
          <w:highlight w:val="none"/>
        </w:rPr>
        <w:t>采购内容及要求</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_Toc26862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hAnsi="宋体"/>
          <w:color w:val="auto"/>
          <w:sz w:val="24"/>
          <w:szCs w:val="40"/>
          <w:highlight w:val="none"/>
        </w:rPr>
        <w:fldChar w:fldCharType="end"/>
      </w:r>
    </w:p>
    <w:p>
      <w:pPr>
        <w:pStyle w:val="16"/>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_Toc13407 </w:instrText>
      </w:r>
      <w:r>
        <w:rPr>
          <w:rFonts w:hint="eastAsia" w:hAnsi="宋体"/>
          <w:color w:val="auto"/>
          <w:sz w:val="24"/>
          <w:szCs w:val="40"/>
          <w:highlight w:val="none"/>
        </w:rPr>
        <w:fldChar w:fldCharType="separate"/>
      </w:r>
      <w:r>
        <w:rPr>
          <w:rFonts w:hint="eastAsia" w:cs="宋体"/>
          <w:color w:val="auto"/>
          <w:sz w:val="24"/>
          <w:szCs w:val="44"/>
          <w:highlight w:val="none"/>
        </w:rPr>
        <w:t>第四部分 磋商原则及磋商方法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_Toc13407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_Toc799 </w:instrText>
      </w:r>
      <w:r>
        <w:rPr>
          <w:rFonts w:hint="eastAsia" w:hAnsi="宋体"/>
          <w:color w:val="auto"/>
          <w:sz w:val="24"/>
          <w:szCs w:val="40"/>
          <w:highlight w:val="none"/>
        </w:rPr>
        <w:fldChar w:fldCharType="separate"/>
      </w:r>
      <w:r>
        <w:rPr>
          <w:rFonts w:hint="eastAsia" w:cs="Times New Roman"/>
          <w:color w:val="auto"/>
          <w:sz w:val="24"/>
          <w:szCs w:val="24"/>
          <w:highlight w:val="none"/>
        </w:rPr>
        <w:t xml:space="preserve">一、 </w:t>
      </w:r>
      <w:r>
        <w:rPr>
          <w:rFonts w:hint="eastAsia"/>
          <w:color w:val="auto"/>
          <w:sz w:val="24"/>
          <w:szCs w:val="24"/>
          <w:highlight w:val="none"/>
        </w:rPr>
        <w:t>磋商原则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_Toc799 </w:instrText>
      </w:r>
      <w:r>
        <w:rPr>
          <w:color w:val="auto"/>
          <w:sz w:val="24"/>
          <w:szCs w:val="24"/>
          <w:highlight w:val="none"/>
        </w:rPr>
        <w:fldChar w:fldCharType="separate"/>
      </w:r>
      <w:r>
        <w:rPr>
          <w:color w:val="auto"/>
          <w:sz w:val="24"/>
          <w:szCs w:val="24"/>
          <w:highlight w:val="none"/>
        </w:rPr>
        <w:t>20</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_Toc29456 </w:instrText>
      </w:r>
      <w:r>
        <w:rPr>
          <w:rFonts w:hint="eastAsia" w:hAnsi="宋体"/>
          <w:color w:val="auto"/>
          <w:sz w:val="24"/>
          <w:szCs w:val="40"/>
          <w:highlight w:val="none"/>
        </w:rPr>
        <w:fldChar w:fldCharType="separate"/>
      </w:r>
      <w:r>
        <w:rPr>
          <w:rFonts w:hint="eastAsia" w:cs="Times New Roman"/>
          <w:color w:val="auto"/>
          <w:sz w:val="24"/>
          <w:szCs w:val="24"/>
          <w:highlight w:val="none"/>
        </w:rPr>
        <w:t xml:space="preserve">二、 </w:t>
      </w:r>
      <w:r>
        <w:rPr>
          <w:rFonts w:hint="eastAsia"/>
          <w:color w:val="auto"/>
          <w:sz w:val="24"/>
          <w:szCs w:val="24"/>
          <w:highlight w:val="none"/>
        </w:rPr>
        <w:t>磋商程序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_Toc29456 </w:instrText>
      </w:r>
      <w:r>
        <w:rPr>
          <w:color w:val="auto"/>
          <w:sz w:val="24"/>
          <w:szCs w:val="24"/>
          <w:highlight w:val="none"/>
        </w:rPr>
        <w:fldChar w:fldCharType="separate"/>
      </w:r>
      <w:r>
        <w:rPr>
          <w:color w:val="auto"/>
          <w:sz w:val="24"/>
          <w:szCs w:val="24"/>
          <w:highlight w:val="none"/>
        </w:rPr>
        <w:t>21</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_Toc93 </w:instrText>
      </w:r>
      <w:r>
        <w:rPr>
          <w:rFonts w:hint="eastAsia" w:hAnsi="宋体"/>
          <w:color w:val="auto"/>
          <w:sz w:val="24"/>
          <w:szCs w:val="40"/>
          <w:highlight w:val="none"/>
        </w:rPr>
        <w:fldChar w:fldCharType="separate"/>
      </w:r>
      <w:r>
        <w:rPr>
          <w:rFonts w:hint="eastAsia" w:cs="Times New Roman"/>
          <w:color w:val="auto"/>
          <w:sz w:val="24"/>
          <w:szCs w:val="24"/>
          <w:highlight w:val="none"/>
        </w:rPr>
        <w:t xml:space="preserve">三、 </w:t>
      </w:r>
      <w:r>
        <w:rPr>
          <w:rFonts w:hint="eastAsia"/>
          <w:color w:val="auto"/>
          <w:sz w:val="24"/>
          <w:szCs w:val="24"/>
          <w:highlight w:val="none"/>
        </w:rPr>
        <w:t>注意事项</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_Toc93 </w:instrText>
      </w:r>
      <w:r>
        <w:rPr>
          <w:color w:val="auto"/>
          <w:sz w:val="24"/>
          <w:szCs w:val="24"/>
          <w:highlight w:val="none"/>
        </w:rPr>
        <w:fldChar w:fldCharType="separate"/>
      </w:r>
      <w:r>
        <w:rPr>
          <w:color w:val="auto"/>
          <w:sz w:val="24"/>
          <w:szCs w:val="24"/>
          <w:highlight w:val="none"/>
        </w:rPr>
        <w:t>24</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_Toc11276 </w:instrText>
      </w:r>
      <w:r>
        <w:rPr>
          <w:rFonts w:hint="eastAsia" w:hAnsi="宋体"/>
          <w:color w:val="auto"/>
          <w:sz w:val="24"/>
          <w:szCs w:val="40"/>
          <w:highlight w:val="none"/>
        </w:rPr>
        <w:fldChar w:fldCharType="separate"/>
      </w:r>
      <w:r>
        <w:rPr>
          <w:rFonts w:hint="eastAsia" w:cs="Times New Roman"/>
          <w:color w:val="auto"/>
          <w:sz w:val="24"/>
          <w:szCs w:val="24"/>
          <w:highlight w:val="none"/>
        </w:rPr>
        <w:t xml:space="preserve">四、 </w:t>
      </w:r>
      <w:r>
        <w:rPr>
          <w:rFonts w:hint="eastAsia"/>
          <w:color w:val="auto"/>
          <w:sz w:val="24"/>
          <w:szCs w:val="24"/>
          <w:highlight w:val="none"/>
        </w:rPr>
        <w:t>评分细则</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_Toc11276 </w:instrText>
      </w:r>
      <w:r>
        <w:rPr>
          <w:color w:val="auto"/>
          <w:sz w:val="24"/>
          <w:szCs w:val="24"/>
          <w:highlight w:val="none"/>
        </w:rPr>
        <w:fldChar w:fldCharType="separate"/>
      </w:r>
      <w:r>
        <w:rPr>
          <w:color w:val="auto"/>
          <w:sz w:val="24"/>
          <w:szCs w:val="24"/>
          <w:highlight w:val="none"/>
        </w:rPr>
        <w:t>25</w:t>
      </w:r>
      <w:r>
        <w:rPr>
          <w:color w:val="auto"/>
          <w:sz w:val="24"/>
          <w:szCs w:val="24"/>
          <w:highlight w:val="none"/>
        </w:rPr>
        <w:fldChar w:fldCharType="end"/>
      </w:r>
      <w:r>
        <w:rPr>
          <w:rFonts w:hint="eastAsia" w:hAnsi="宋体"/>
          <w:color w:val="auto"/>
          <w:sz w:val="24"/>
          <w:szCs w:val="40"/>
          <w:highlight w:val="none"/>
        </w:rPr>
        <w:fldChar w:fldCharType="end"/>
      </w:r>
    </w:p>
    <w:p>
      <w:pPr>
        <w:pStyle w:val="16"/>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_Toc11628 </w:instrText>
      </w:r>
      <w:r>
        <w:rPr>
          <w:rFonts w:hint="eastAsia" w:hAnsi="宋体"/>
          <w:color w:val="auto"/>
          <w:sz w:val="24"/>
          <w:szCs w:val="40"/>
          <w:highlight w:val="none"/>
        </w:rPr>
        <w:fldChar w:fldCharType="separate"/>
      </w:r>
      <w:r>
        <w:rPr>
          <w:rFonts w:hint="eastAsia" w:cs="宋体"/>
          <w:color w:val="auto"/>
          <w:sz w:val="24"/>
          <w:szCs w:val="44"/>
          <w:highlight w:val="none"/>
        </w:rPr>
        <w:t>第五部分</w:t>
      </w:r>
      <w:r>
        <w:rPr>
          <w:color w:val="auto"/>
          <w:sz w:val="24"/>
          <w:szCs w:val="44"/>
          <w:highlight w:val="none"/>
        </w:rPr>
        <w:t xml:space="preserve"> </w:t>
      </w:r>
      <w:r>
        <w:rPr>
          <w:rFonts w:hint="eastAsia" w:cs="宋体"/>
          <w:color w:val="auto"/>
          <w:sz w:val="24"/>
          <w:szCs w:val="44"/>
          <w:highlight w:val="none"/>
        </w:rPr>
        <w:t>采购合同</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_Toc11628 </w:instrText>
      </w:r>
      <w:r>
        <w:rPr>
          <w:color w:val="auto"/>
          <w:sz w:val="24"/>
          <w:szCs w:val="24"/>
          <w:highlight w:val="none"/>
        </w:rPr>
        <w:fldChar w:fldCharType="separate"/>
      </w:r>
      <w:r>
        <w:rPr>
          <w:color w:val="auto"/>
          <w:sz w:val="24"/>
          <w:szCs w:val="24"/>
          <w:highlight w:val="none"/>
        </w:rPr>
        <w:t>29</w:t>
      </w:r>
      <w:r>
        <w:rPr>
          <w:color w:val="auto"/>
          <w:sz w:val="24"/>
          <w:szCs w:val="24"/>
          <w:highlight w:val="none"/>
        </w:rPr>
        <w:fldChar w:fldCharType="end"/>
      </w:r>
      <w:r>
        <w:rPr>
          <w:rFonts w:hint="eastAsia" w:hAnsi="宋体"/>
          <w:color w:val="auto"/>
          <w:sz w:val="24"/>
          <w:szCs w:val="40"/>
          <w:highlight w:val="none"/>
        </w:rPr>
        <w:fldChar w:fldCharType="end"/>
      </w:r>
    </w:p>
    <w:p>
      <w:pPr>
        <w:pStyle w:val="16"/>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_Toc24178 </w:instrText>
      </w:r>
      <w:r>
        <w:rPr>
          <w:rFonts w:hint="eastAsia" w:hAnsi="宋体"/>
          <w:color w:val="auto"/>
          <w:sz w:val="24"/>
          <w:szCs w:val="40"/>
          <w:highlight w:val="none"/>
        </w:rPr>
        <w:fldChar w:fldCharType="separate"/>
      </w:r>
      <w:r>
        <w:rPr>
          <w:rFonts w:hint="eastAsia" w:cs="宋体"/>
          <w:color w:val="auto"/>
          <w:sz w:val="24"/>
          <w:szCs w:val="44"/>
          <w:highlight w:val="none"/>
        </w:rPr>
        <w:t>第六部分</w:t>
      </w:r>
      <w:r>
        <w:rPr>
          <w:color w:val="auto"/>
          <w:sz w:val="24"/>
          <w:szCs w:val="44"/>
          <w:highlight w:val="none"/>
        </w:rPr>
        <w:t xml:space="preserve"> </w:t>
      </w:r>
      <w:r>
        <w:rPr>
          <w:rFonts w:hint="eastAsia" w:cs="宋体"/>
          <w:color w:val="auto"/>
          <w:sz w:val="24"/>
          <w:szCs w:val="44"/>
          <w:highlight w:val="none"/>
        </w:rPr>
        <w:t>应提交的有关格式范例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_Toc24178 </w:instrText>
      </w:r>
      <w:r>
        <w:rPr>
          <w:color w:val="auto"/>
          <w:sz w:val="24"/>
          <w:szCs w:val="24"/>
          <w:highlight w:val="none"/>
        </w:rPr>
        <w:fldChar w:fldCharType="separate"/>
      </w:r>
      <w:r>
        <w:rPr>
          <w:color w:val="auto"/>
          <w:sz w:val="24"/>
          <w:szCs w:val="24"/>
          <w:highlight w:val="none"/>
        </w:rPr>
        <w:t>35</w:t>
      </w:r>
      <w:r>
        <w:rPr>
          <w:color w:val="auto"/>
          <w:sz w:val="24"/>
          <w:szCs w:val="24"/>
          <w:highlight w:val="none"/>
        </w:rPr>
        <w:fldChar w:fldCharType="end"/>
      </w:r>
      <w:r>
        <w:rPr>
          <w:rFonts w:hint="eastAsia" w:hAnsi="宋体"/>
          <w:color w:val="auto"/>
          <w:sz w:val="24"/>
          <w:szCs w:val="40"/>
          <w:highlight w:val="none"/>
        </w:rPr>
        <w:fldChar w:fldCharType="end"/>
      </w:r>
    </w:p>
    <w:p>
      <w:pPr>
        <w:pStyle w:val="17"/>
        <w:tabs>
          <w:tab w:val="right" w:leader="dot" w:pos="8306"/>
        </w:tabs>
        <w:spacing w:line="360" w:lineRule="auto"/>
        <w:rPr>
          <w:color w:val="auto"/>
          <w:sz w:val="24"/>
          <w:szCs w:val="24"/>
          <w:highlight w:val="none"/>
        </w:rPr>
      </w:pPr>
      <w:r>
        <w:rPr>
          <w:rFonts w:hint="eastAsia" w:hAnsi="宋体"/>
          <w:color w:val="auto"/>
          <w:sz w:val="24"/>
          <w:szCs w:val="40"/>
          <w:highlight w:val="none"/>
        </w:rPr>
        <w:fldChar w:fldCharType="begin"/>
      </w:r>
      <w:r>
        <w:rPr>
          <w:rFonts w:hint="eastAsia" w:hAnsi="宋体"/>
          <w:color w:val="auto"/>
          <w:sz w:val="24"/>
          <w:szCs w:val="40"/>
          <w:highlight w:val="none"/>
        </w:rPr>
        <w:instrText xml:space="preserve"> HYPERLINK \l _Toc9374 </w:instrText>
      </w:r>
      <w:r>
        <w:rPr>
          <w:rFonts w:hint="eastAsia" w:hAnsi="宋体"/>
          <w:color w:val="auto"/>
          <w:sz w:val="24"/>
          <w:szCs w:val="40"/>
          <w:highlight w:val="none"/>
        </w:rPr>
        <w:fldChar w:fldCharType="separate"/>
      </w:r>
      <w:r>
        <w:rPr>
          <w:rFonts w:hint="eastAsia" w:hAnsi="宋体"/>
          <w:color w:val="auto"/>
          <w:sz w:val="24"/>
          <w:szCs w:val="24"/>
          <w:highlight w:val="none"/>
        </w:rPr>
        <w:t>“国家企业信用信息公示系统</w:t>
      </w:r>
      <w:r>
        <w:rPr>
          <w:rFonts w:hAnsi="宋体"/>
          <w:color w:val="auto"/>
          <w:sz w:val="24"/>
          <w:szCs w:val="24"/>
          <w:highlight w:val="none"/>
        </w:rPr>
        <w:t>—</w:t>
      </w:r>
      <w:r>
        <w:rPr>
          <w:rFonts w:hint="eastAsia" w:hAnsi="宋体"/>
          <w:color w:val="auto"/>
          <w:sz w:val="24"/>
          <w:szCs w:val="24"/>
          <w:highlight w:val="none"/>
        </w:rPr>
        <w:t>小微企业名录”页面查询结果</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_Toc9374 </w:instrText>
      </w:r>
      <w:r>
        <w:rPr>
          <w:color w:val="auto"/>
          <w:sz w:val="24"/>
          <w:szCs w:val="24"/>
          <w:highlight w:val="none"/>
        </w:rPr>
        <w:fldChar w:fldCharType="separate"/>
      </w:r>
      <w:r>
        <w:rPr>
          <w:color w:val="auto"/>
          <w:sz w:val="24"/>
          <w:szCs w:val="24"/>
          <w:highlight w:val="none"/>
        </w:rPr>
        <w:t>51</w:t>
      </w:r>
      <w:r>
        <w:rPr>
          <w:color w:val="auto"/>
          <w:sz w:val="24"/>
          <w:szCs w:val="24"/>
          <w:highlight w:val="none"/>
        </w:rPr>
        <w:fldChar w:fldCharType="end"/>
      </w:r>
      <w:r>
        <w:rPr>
          <w:rFonts w:hint="eastAsia" w:hAnsi="宋体"/>
          <w:color w:val="auto"/>
          <w:sz w:val="24"/>
          <w:szCs w:val="40"/>
          <w:highlight w:val="none"/>
        </w:rPr>
        <w:fldChar w:fldCharType="end"/>
      </w:r>
    </w:p>
    <w:p>
      <w:pPr>
        <w:pStyle w:val="3"/>
        <w:keepLines w:val="0"/>
        <w:pageBreakBefore w:val="0"/>
        <w:widowControl w:val="0"/>
        <w:kinsoku/>
        <w:wordWrap/>
        <w:overflowPunct/>
        <w:topLinePunct w:val="0"/>
        <w:autoSpaceDE/>
        <w:autoSpaceDN/>
        <w:bidi w:val="0"/>
        <w:adjustRightInd/>
        <w:snapToGrid/>
        <w:spacing w:line="360" w:lineRule="auto"/>
        <w:textAlignment w:val="auto"/>
        <w:rPr>
          <w:rFonts w:cs="Times New Roman"/>
          <w:color w:val="auto"/>
          <w:sz w:val="36"/>
          <w:szCs w:val="36"/>
          <w:highlight w:val="none"/>
        </w:rPr>
      </w:pPr>
      <w:r>
        <w:rPr>
          <w:rFonts w:hint="eastAsia" w:hAnsi="宋体"/>
          <w:color w:val="auto"/>
          <w:sz w:val="36"/>
          <w:szCs w:val="40"/>
          <w:highlight w:val="none"/>
        </w:rPr>
        <w:fldChar w:fldCharType="end"/>
      </w:r>
    </w:p>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3148"/>
        </w:tabs>
        <w:jc w:val="left"/>
        <w:rPr>
          <w:color w:val="auto"/>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color w:val="auto"/>
          <w:highlight w:val="none"/>
        </w:rPr>
        <w:tab/>
      </w:r>
    </w:p>
    <w:p>
      <w:pPr>
        <w:pStyle w:val="2"/>
        <w:jc w:val="center"/>
        <w:rPr>
          <w:rFonts w:ascii="宋体" w:cs="Times New Roman"/>
          <w:color w:val="auto"/>
          <w:highlight w:val="none"/>
        </w:rPr>
      </w:pPr>
      <w:bookmarkStart w:id="0" w:name="_Toc31034"/>
      <w:bookmarkStart w:id="1" w:name="_Toc32199"/>
      <w:bookmarkStart w:id="2" w:name="_Toc8361"/>
      <w:bookmarkStart w:id="3" w:name="第二部分"/>
      <w:bookmarkStart w:id="4" w:name="_Toc91899870"/>
      <w:r>
        <w:rPr>
          <w:rFonts w:hint="eastAsia" w:cs="宋体"/>
          <w:color w:val="auto"/>
          <w:sz w:val="36"/>
          <w:szCs w:val="36"/>
          <w:highlight w:val="none"/>
        </w:rPr>
        <w:t>第一部分</w:t>
      </w:r>
      <w:r>
        <w:rPr>
          <w:color w:val="auto"/>
          <w:sz w:val="36"/>
          <w:szCs w:val="36"/>
          <w:highlight w:val="none"/>
        </w:rPr>
        <w:t xml:space="preserve"> </w:t>
      </w:r>
      <w:r>
        <w:rPr>
          <w:rFonts w:hint="eastAsia" w:cs="宋体"/>
          <w:color w:val="auto"/>
          <w:sz w:val="36"/>
          <w:szCs w:val="36"/>
          <w:highlight w:val="none"/>
        </w:rPr>
        <w:t>磋商公告</w:t>
      </w:r>
      <w:bookmarkEnd w:id="0"/>
      <w:bookmarkEnd w:id="1"/>
      <w:bookmarkEnd w:id="2"/>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浙江宇康工程管理咨询有限公司关于</w:t>
      </w:r>
      <w:r>
        <w:rPr>
          <w:rFonts w:hint="eastAsia" w:ascii="宋体" w:hAnsi="宋体" w:cs="宋体"/>
          <w:color w:val="auto"/>
          <w:sz w:val="28"/>
          <w:szCs w:val="28"/>
          <w:highlight w:val="none"/>
          <w:lang w:eastAsia="zh-CN"/>
        </w:rPr>
        <w:t>中国共产党绍兴市上虞区委统一战线工作部上虞区新乡贤统战工作省级标准化试点项目</w:t>
      </w:r>
      <w:r>
        <w:rPr>
          <w:rFonts w:hint="eastAsia" w:ascii="宋体" w:hAnsi="宋体" w:cs="宋体"/>
          <w:color w:val="auto"/>
          <w:sz w:val="28"/>
          <w:szCs w:val="28"/>
          <w:highlight w:val="none"/>
        </w:rPr>
        <w:t>的竞争性磋商公告</w:t>
      </w:r>
      <w:bookmarkStart w:id="127" w:name="_GoBack"/>
      <w:bookmarkEnd w:id="127"/>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公告日期：</w:t>
      </w:r>
      <w:r>
        <w:rPr>
          <w:rFonts w:ascii="宋体" w:hAnsi="宋体" w:cs="宋体"/>
          <w:color w:val="auto"/>
          <w:sz w:val="28"/>
          <w:szCs w:val="28"/>
          <w:highlight w:val="none"/>
        </w:rPr>
        <w:t>2020</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11</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21</w:t>
      </w:r>
      <w:r>
        <w:rPr>
          <w:rFonts w:hint="eastAsia" w:ascii="宋体" w:hAnsi="宋体" w:cs="宋体"/>
          <w:color w:val="auto"/>
          <w:sz w:val="28"/>
          <w:szCs w:val="28"/>
          <w:highlight w:val="none"/>
        </w:rPr>
        <w:t>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根据《中华人民共和国政府采购法》等有关规定，</w:t>
      </w:r>
      <w:r>
        <w:rPr>
          <w:rFonts w:hint="eastAsia" w:ascii="宋体" w:hAnsi="宋体" w:cs="宋体"/>
          <w:color w:val="auto"/>
          <w:sz w:val="24"/>
          <w:szCs w:val="24"/>
          <w:highlight w:val="none"/>
          <w:u w:val="single"/>
        </w:rPr>
        <w:t>浙江宇康工程管理咨询有限公司</w:t>
      </w:r>
      <w:r>
        <w:rPr>
          <w:rFonts w:hint="eastAsia" w:ascii="宋体" w:hAnsi="宋体" w:cs="宋体"/>
          <w:color w:val="auto"/>
          <w:sz w:val="24"/>
          <w:szCs w:val="24"/>
          <w:highlight w:val="none"/>
        </w:rPr>
        <w:t>受</w:t>
      </w:r>
      <w:r>
        <w:rPr>
          <w:rFonts w:hint="eastAsia" w:ascii="宋体" w:hAnsi="宋体" w:cs="宋体"/>
          <w:color w:val="auto"/>
          <w:sz w:val="24"/>
          <w:szCs w:val="24"/>
          <w:highlight w:val="none"/>
          <w:u w:val="single"/>
          <w:lang w:eastAsia="zh-CN"/>
        </w:rPr>
        <w:t>中国共产党绍兴市上虞区委统一战线工作部</w:t>
      </w:r>
      <w:r>
        <w:rPr>
          <w:rFonts w:hint="eastAsia" w:ascii="宋体" w:hAnsi="宋体" w:cs="宋体"/>
          <w:color w:val="auto"/>
          <w:sz w:val="24"/>
          <w:szCs w:val="24"/>
          <w:highlight w:val="none"/>
        </w:rPr>
        <w:t>委托，现就</w:t>
      </w:r>
      <w:r>
        <w:rPr>
          <w:rFonts w:hint="eastAsia" w:ascii="宋体" w:hAnsi="宋体" w:cs="宋体"/>
          <w:color w:val="auto"/>
          <w:sz w:val="24"/>
          <w:szCs w:val="24"/>
          <w:highlight w:val="none"/>
          <w:u w:val="single"/>
          <w:lang w:eastAsia="zh-CN"/>
        </w:rPr>
        <w:t>上虞区新乡贤统战工作省级标准化试点项目</w:t>
      </w:r>
      <w:r>
        <w:rPr>
          <w:rFonts w:hint="eastAsia" w:ascii="宋体" w:hAnsi="宋体" w:cs="宋体"/>
          <w:color w:val="auto"/>
          <w:sz w:val="24"/>
          <w:szCs w:val="24"/>
          <w:highlight w:val="none"/>
        </w:rPr>
        <w:t>进行竞争性磋商采购，欢迎国内合格的供应商参加本次采购活动。</w:t>
      </w:r>
    </w:p>
    <w:p>
      <w:pPr>
        <w:adjustRightInd w:val="0"/>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磋商项目编号：</w:t>
      </w:r>
      <w:r>
        <w:rPr>
          <w:rFonts w:hint="eastAsia" w:ascii="宋体" w:hAnsi="宋体" w:cs="宋体"/>
          <w:color w:val="auto"/>
          <w:sz w:val="24"/>
          <w:szCs w:val="24"/>
          <w:highlight w:val="none"/>
          <w:u w:val="single"/>
          <w:lang w:eastAsia="zh-CN"/>
        </w:rPr>
        <w:t>YK2020251</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采购组织类型：</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分散采购（中介代理）</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三．</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磋商项目概况</w:t>
      </w:r>
      <w:r>
        <w:rPr>
          <w:rFonts w:ascii="宋体" w:hAnsi="宋体" w:cs="宋体"/>
          <w:color w:val="auto"/>
          <w:sz w:val="24"/>
          <w:szCs w:val="24"/>
          <w:highlight w:val="none"/>
        </w:rPr>
        <w:t>:</w:t>
      </w:r>
    </w:p>
    <w:tbl>
      <w:tblPr>
        <w:tblStyle w:val="21"/>
        <w:tblW w:w="8519"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464"/>
        <w:gridCol w:w="1533"/>
        <w:gridCol w:w="734"/>
        <w:gridCol w:w="750"/>
        <w:gridCol w:w="1184"/>
        <w:gridCol w:w="2176"/>
        <w:gridCol w:w="1211"/>
        <w:gridCol w:w="467"/>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464"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533"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项目名称</w:t>
            </w:r>
          </w:p>
        </w:tc>
        <w:tc>
          <w:tcPr>
            <w:tcW w:w="734"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数量</w:t>
            </w:r>
          </w:p>
        </w:tc>
        <w:tc>
          <w:tcPr>
            <w:tcW w:w="750"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单位</w:t>
            </w:r>
          </w:p>
        </w:tc>
        <w:tc>
          <w:tcPr>
            <w:tcW w:w="1184"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预算金额</w:t>
            </w:r>
            <w:r>
              <w:rPr>
                <w:rFonts w:ascii="宋体" w:hAnsi="宋体" w:cs="宋体"/>
                <w:color w:val="auto"/>
                <w:sz w:val="24"/>
                <w:szCs w:val="24"/>
                <w:highlight w:val="none"/>
              </w:rPr>
              <w:t>(</w:t>
            </w:r>
            <w:r>
              <w:rPr>
                <w:rFonts w:hint="eastAsia" w:ascii="宋体" w:hAnsi="宋体" w:cs="宋体"/>
                <w:color w:val="auto"/>
                <w:sz w:val="24"/>
                <w:szCs w:val="24"/>
                <w:highlight w:val="none"/>
              </w:rPr>
              <w:t>万元</w:t>
            </w:r>
            <w:r>
              <w:rPr>
                <w:rFonts w:ascii="宋体" w:hAnsi="宋体" w:cs="宋体"/>
                <w:color w:val="auto"/>
                <w:sz w:val="24"/>
                <w:szCs w:val="24"/>
                <w:highlight w:val="none"/>
              </w:rPr>
              <w:t>)</w:t>
            </w:r>
          </w:p>
        </w:tc>
        <w:tc>
          <w:tcPr>
            <w:tcW w:w="2176"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简要规格描述或标项基本概况介绍</w:t>
            </w:r>
          </w:p>
        </w:tc>
        <w:tc>
          <w:tcPr>
            <w:tcW w:w="1211"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最高限价</w:t>
            </w:r>
            <w:r>
              <w:rPr>
                <w:rFonts w:ascii="宋体" w:hAnsi="宋体" w:cs="宋体"/>
                <w:color w:val="auto"/>
                <w:sz w:val="24"/>
                <w:szCs w:val="24"/>
                <w:highlight w:val="none"/>
              </w:rPr>
              <w:t>(</w:t>
            </w:r>
            <w:r>
              <w:rPr>
                <w:rFonts w:hint="eastAsia" w:ascii="宋体" w:hAnsi="宋体" w:cs="宋体"/>
                <w:color w:val="auto"/>
                <w:sz w:val="24"/>
                <w:szCs w:val="24"/>
                <w:highlight w:val="none"/>
              </w:rPr>
              <w:t>万元</w:t>
            </w:r>
            <w:r>
              <w:rPr>
                <w:rFonts w:ascii="宋体" w:hAnsi="宋体" w:cs="宋体"/>
                <w:color w:val="auto"/>
                <w:sz w:val="24"/>
                <w:szCs w:val="24"/>
                <w:highlight w:val="none"/>
              </w:rPr>
              <w:t>)</w:t>
            </w:r>
          </w:p>
        </w:tc>
        <w:tc>
          <w:tcPr>
            <w:tcW w:w="467" w:type="dxa"/>
            <w:tcBorders>
              <w:top w:val="single" w:color="000000" w:sz="4" w:space="0"/>
            </w:tcBorders>
            <w:vAlign w:val="center"/>
          </w:tcPr>
          <w:p>
            <w:pPr>
              <w:adjustRightInd w:val="0"/>
              <w:spacing w:line="360" w:lineRule="auto"/>
              <w:jc w:val="center"/>
              <w:rPr>
                <w:rFonts w:hint="eastAsia" w:ascii="宋体" w:eastAsia="宋体"/>
                <w:color w:val="auto"/>
                <w:sz w:val="24"/>
                <w:szCs w:val="24"/>
                <w:highlight w:val="none"/>
                <w:lang w:eastAsia="zh-CN"/>
              </w:rPr>
            </w:pPr>
            <w:r>
              <w:rPr>
                <w:rFonts w:hint="eastAsia" w:ascii="宋体" w:hAnsi="宋体" w:cs="宋体"/>
                <w:color w:val="auto"/>
                <w:sz w:val="24"/>
                <w:szCs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464" w:type="dxa"/>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ascii="宋体" w:hAnsi="宋体" w:cs="宋体"/>
                <w:color w:val="auto"/>
                <w:sz w:val="24"/>
                <w:szCs w:val="24"/>
                <w:highlight w:val="none"/>
              </w:rPr>
              <w:t>1</w:t>
            </w:r>
          </w:p>
        </w:tc>
        <w:tc>
          <w:tcPr>
            <w:tcW w:w="1533" w:type="dxa"/>
            <w:tcBorders>
              <w:bottom w:val="single" w:color="000000" w:sz="4" w:space="0"/>
            </w:tcBorders>
            <w:vAlign w:val="center"/>
          </w:tcPr>
          <w:p>
            <w:pPr>
              <w:pStyle w:val="11"/>
              <w:snapToGrid w:val="0"/>
              <w:spacing w:before="120" w:after="120"/>
              <w:jc w:val="center"/>
              <w:rPr>
                <w:rFonts w:hint="eastAsia" w:hAnsi="宋体" w:cs="Times New Roman"/>
                <w:color w:val="auto"/>
                <w:sz w:val="24"/>
                <w:szCs w:val="24"/>
                <w:highlight w:val="none"/>
                <w:lang w:eastAsia="zh-CN"/>
              </w:rPr>
            </w:pPr>
            <w:r>
              <w:rPr>
                <w:rFonts w:hint="eastAsia" w:hAnsi="宋体" w:cs="Times New Roman"/>
                <w:color w:val="auto"/>
                <w:sz w:val="24"/>
                <w:szCs w:val="24"/>
                <w:highlight w:val="none"/>
                <w:lang w:val="en-US" w:eastAsia="zh-CN"/>
              </w:rPr>
              <w:t>上虞区新乡贤统战工作省级标准化试点项目</w:t>
            </w:r>
          </w:p>
        </w:tc>
        <w:tc>
          <w:tcPr>
            <w:tcW w:w="734" w:type="dxa"/>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ascii="宋体" w:hAnsi="宋体" w:cs="宋体"/>
                <w:color w:val="auto"/>
                <w:sz w:val="24"/>
                <w:szCs w:val="24"/>
                <w:highlight w:val="none"/>
              </w:rPr>
              <w:t>1</w:t>
            </w:r>
          </w:p>
        </w:tc>
        <w:tc>
          <w:tcPr>
            <w:tcW w:w="750" w:type="dxa"/>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项</w:t>
            </w:r>
          </w:p>
        </w:tc>
        <w:tc>
          <w:tcPr>
            <w:tcW w:w="1184" w:type="dxa"/>
            <w:tcBorders>
              <w:bottom w:val="single" w:color="000000" w:sz="4" w:space="0"/>
            </w:tcBorders>
            <w:vAlign w:val="center"/>
          </w:tcPr>
          <w:p>
            <w:pPr>
              <w:widowControl/>
              <w:spacing w:before="100" w:after="100" w:line="312" w:lineRule="auto"/>
              <w:jc w:val="center"/>
              <w:rPr>
                <w:rFonts w:hint="default" w:ascii="宋体" w:eastAsia="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49.9</w:t>
            </w:r>
          </w:p>
        </w:tc>
        <w:tc>
          <w:tcPr>
            <w:tcW w:w="2176" w:type="dxa"/>
            <w:tcBorders>
              <w:bottom w:val="single" w:color="000000" w:sz="4" w:space="0"/>
            </w:tcBorders>
            <w:vAlign w:val="center"/>
          </w:tcPr>
          <w:p>
            <w:pPr>
              <w:pStyle w:val="11"/>
              <w:snapToGrid w:val="0"/>
              <w:spacing w:before="120" w:after="120"/>
              <w:jc w:val="center"/>
              <w:rPr>
                <w:rFonts w:hint="default" w:hAnsi="宋体" w:eastAsia="宋体" w:cs="Times New Roman"/>
                <w:color w:val="auto"/>
                <w:sz w:val="24"/>
                <w:szCs w:val="24"/>
                <w:highlight w:val="none"/>
                <w:lang w:val="en-US" w:eastAsia="zh-CN"/>
              </w:rPr>
            </w:pPr>
            <w:r>
              <w:rPr>
                <w:rFonts w:hint="default" w:hAnsi="宋体" w:eastAsia="宋体" w:cs="Times New Roman"/>
                <w:color w:val="auto"/>
                <w:sz w:val="24"/>
                <w:szCs w:val="24"/>
                <w:highlight w:val="none"/>
                <w:lang w:val="en-US" w:eastAsia="zh-CN"/>
              </w:rPr>
              <w:t>在试点项目申报、实施、检查、自我评价、持续改进及试点项目验收等方面为</w:t>
            </w:r>
            <w:r>
              <w:rPr>
                <w:rFonts w:hint="eastAsia" w:hAnsi="宋体" w:cs="Times New Roman"/>
                <w:color w:val="auto"/>
                <w:sz w:val="24"/>
                <w:szCs w:val="24"/>
                <w:highlight w:val="none"/>
                <w:lang w:val="en-US" w:eastAsia="zh-CN"/>
              </w:rPr>
              <w:t>采购单位</w:t>
            </w:r>
            <w:r>
              <w:rPr>
                <w:rFonts w:hint="default" w:hAnsi="宋体" w:eastAsia="宋体" w:cs="Times New Roman"/>
                <w:color w:val="auto"/>
                <w:sz w:val="24"/>
                <w:szCs w:val="24"/>
                <w:highlight w:val="none"/>
                <w:lang w:val="en-US" w:eastAsia="zh-CN"/>
              </w:rPr>
              <w:t>提供技术服务</w:t>
            </w:r>
          </w:p>
        </w:tc>
        <w:tc>
          <w:tcPr>
            <w:tcW w:w="1211" w:type="dxa"/>
            <w:tcBorders>
              <w:bottom w:val="single" w:color="000000" w:sz="4" w:space="0"/>
            </w:tcBorders>
            <w:vAlign w:val="center"/>
          </w:tcPr>
          <w:p>
            <w:pPr>
              <w:adjustRightInd w:val="0"/>
              <w:spacing w:line="360" w:lineRule="auto"/>
              <w:jc w:val="center"/>
              <w:rPr>
                <w:rFonts w:hint="default" w:ascii="宋体" w:eastAsia="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49.9</w:t>
            </w:r>
          </w:p>
        </w:tc>
        <w:tc>
          <w:tcPr>
            <w:tcW w:w="467" w:type="dxa"/>
            <w:tcBorders>
              <w:bottom w:val="single" w:color="000000" w:sz="4" w:space="0"/>
            </w:tcBorders>
            <w:vAlign w:val="center"/>
          </w:tcPr>
          <w:p>
            <w:pPr>
              <w:adjustRightInd w:val="0"/>
              <w:spacing w:line="360" w:lineRule="auto"/>
              <w:jc w:val="center"/>
              <w:rPr>
                <w:rFonts w:hint="eastAsia" w:ascii="宋体" w:eastAsia="宋体"/>
                <w:color w:val="auto"/>
                <w:sz w:val="24"/>
                <w:szCs w:val="24"/>
                <w:highlight w:val="none"/>
                <w:lang w:eastAsia="zh-CN"/>
              </w:rPr>
            </w:pPr>
            <w:r>
              <w:rPr>
                <w:rFonts w:hint="eastAsia" w:ascii="宋体" w:hAnsi="宋体" w:cs="宋体"/>
                <w:color w:val="auto"/>
                <w:sz w:val="24"/>
                <w:szCs w:val="24"/>
                <w:highlight w:val="none"/>
                <w:lang w:val="en-US" w:eastAsia="zh-CN"/>
              </w:rPr>
              <w:t>/</w:t>
            </w:r>
          </w:p>
        </w:tc>
      </w:tr>
    </w:tbl>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四．</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合格供应商资格要求</w:t>
      </w:r>
      <w:r>
        <w:rPr>
          <w:rFonts w:ascii="宋体" w:hAnsi="宋体" w:cs="宋体"/>
          <w:color w:val="auto"/>
          <w:sz w:val="24"/>
          <w:szCs w:val="24"/>
          <w:highlight w:val="none"/>
        </w:rPr>
        <w:t>:</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符合政府采购法第二十二条，且未被“信用中国”（</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）列入失信被执行人、重大税收违法案件当事人名单、政府采购严重违法失信行为记录名单。</w:t>
      </w:r>
      <w:r>
        <w:rPr>
          <w:rFonts w:ascii="宋体"/>
          <w:color w:val="auto"/>
          <w:sz w:val="24"/>
          <w:szCs w:val="24"/>
          <w:highlight w:val="none"/>
        </w:rPr>
        <w:t> </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w:t>
      </w:r>
      <w:r>
        <w:rPr>
          <w:rFonts w:hint="eastAsia" w:ascii="宋体" w:hAnsi="宋体" w:cs="宋体"/>
          <w:color w:val="auto"/>
          <w:sz w:val="24"/>
          <w:szCs w:val="24"/>
          <w:highlight w:val="none"/>
          <w:u w:val="single"/>
        </w:rPr>
        <w:t>不接受</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联合体参加磋商。</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本项目采用资格后审的审查方式，由磋商小组负责审查。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五．获取磋商文件</w:t>
      </w:r>
    </w:p>
    <w:p>
      <w:pPr>
        <w:numPr>
          <w:ilvl w:val="0"/>
          <w:numId w:val="3"/>
        </w:numPr>
        <w:adjustRightInd w:val="0"/>
        <w:spacing w:line="360" w:lineRule="auto"/>
        <w:ind w:firstLine="480" w:firstLineChars="200"/>
        <w:rPr>
          <w:rFonts w:ascii="宋体"/>
          <w:color w:val="auto"/>
          <w:sz w:val="24"/>
          <w:szCs w:val="24"/>
          <w:highlight w:val="none"/>
        </w:rPr>
      </w:pPr>
      <w:bookmarkStart w:id="5" w:name="报名开始时间1"/>
      <w:r>
        <w:rPr>
          <w:rFonts w:hint="eastAsia" w:ascii="宋体" w:hAnsi="宋体" w:cs="宋体"/>
          <w:color w:val="auto"/>
          <w:sz w:val="24"/>
          <w:szCs w:val="24"/>
          <w:highlight w:val="none"/>
        </w:rPr>
        <w:t>获取磋商文件时</w:t>
      </w:r>
      <w:r>
        <w:rPr>
          <w:rFonts w:hint="eastAsia" w:ascii="宋体" w:hAnsi="宋体" w:cs="宋体"/>
          <w:color w:val="auto"/>
          <w:sz w:val="24"/>
          <w:szCs w:val="24"/>
          <w:highlight w:val="none"/>
        </w:rPr>
        <w:t>间</w:t>
      </w:r>
      <w:r>
        <w:rPr>
          <w:rFonts w:ascii="宋体" w:hAnsi="宋体" w:cs="宋体"/>
          <w:color w:val="auto"/>
          <w:sz w:val="24"/>
          <w:szCs w:val="24"/>
          <w:highlight w:val="none"/>
        </w:rPr>
        <w:t>:</w:t>
      </w:r>
      <w:bookmarkEnd w:id="5"/>
      <w:r>
        <w:rPr>
          <w:rFonts w:ascii="宋体" w:hAnsi="宋体" w:cs="宋体"/>
          <w:color w:val="auto"/>
          <w:sz w:val="24"/>
          <w:szCs w:val="24"/>
          <w:highlight w:val="none"/>
          <w:u w:val="single"/>
        </w:rPr>
        <w:t>2020</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12</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w:t>
      </w:r>
      <w:r>
        <w:rPr>
          <w:rFonts w:hint="eastAsia" w:ascii="宋体" w:hAnsi="宋体" w:cs="宋体"/>
          <w:color w:val="auto"/>
          <w:sz w:val="24"/>
          <w:szCs w:val="24"/>
          <w:highlight w:val="none"/>
          <w:u w:val="single"/>
        </w:rPr>
        <w:t>日上午</w:t>
      </w:r>
      <w:r>
        <w:rPr>
          <w:rFonts w:ascii="宋体" w:hAnsi="宋体" w:cs="宋体"/>
          <w:color w:val="auto"/>
          <w:sz w:val="24"/>
          <w:szCs w:val="24"/>
          <w:highlight w:val="none"/>
          <w:u w:val="single"/>
        </w:rPr>
        <w:t>9:30</w:t>
      </w:r>
      <w:r>
        <w:rPr>
          <w:rFonts w:hint="eastAsia" w:ascii="宋体" w:hAnsi="宋体" w:cs="宋体"/>
          <w:color w:val="auto"/>
          <w:sz w:val="24"/>
          <w:szCs w:val="24"/>
          <w:highlight w:val="none"/>
        </w:rPr>
        <w:t>之前获取。</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获取磋商文件方式：供应商登陆政采云平台</w:t>
      </w:r>
      <w:r>
        <w:rPr>
          <w:rFonts w:ascii="宋体" w:hAnsi="宋体" w:cs="宋体"/>
          <w:color w:val="auto"/>
          <w:sz w:val="24"/>
          <w:szCs w:val="24"/>
          <w:highlight w:val="none"/>
        </w:rPr>
        <w:t>http://www.zcygov.cn/</w:t>
      </w:r>
      <w:r>
        <w:rPr>
          <w:rFonts w:hint="eastAsia" w:ascii="宋体" w:hAnsi="宋体" w:cs="宋体"/>
          <w:color w:val="auto"/>
          <w:sz w:val="24"/>
          <w:szCs w:val="24"/>
          <w:highlight w:val="none"/>
        </w:rPr>
        <w:t>，在线申请获取磋商文件（进入“项目采购”应用，在获取采购文件菜单中选择项目，申请获取采购文件）。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提示：</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将拒绝接受未获取磋商文件供应商的响应文件。</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六．注意事项：</w:t>
      </w:r>
    </w:p>
    <w:p>
      <w:pPr>
        <w:numPr>
          <w:ilvl w:val="0"/>
          <w:numId w:val="5"/>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本项目实行</w:t>
      </w:r>
      <w:r>
        <w:rPr>
          <w:rFonts w:hint="eastAsia" w:ascii="宋体" w:hAnsi="宋体" w:cs="宋体"/>
          <w:b/>
          <w:bCs/>
          <w:color w:val="auto"/>
          <w:sz w:val="24"/>
          <w:szCs w:val="24"/>
          <w:highlight w:val="none"/>
        </w:rPr>
        <w:t>网上投标</w:t>
      </w:r>
      <w:r>
        <w:rPr>
          <w:rFonts w:hint="eastAsia" w:ascii="宋体" w:hAnsi="宋体" w:cs="宋体"/>
          <w:color w:val="auto"/>
          <w:sz w:val="24"/>
          <w:szCs w:val="24"/>
          <w:highlight w:val="none"/>
        </w:rPr>
        <w:t>，采用电子磋商响应文件，若供应商参与采购活动，自行承担投标一切费用。</w:t>
      </w:r>
    </w:p>
    <w:p>
      <w:pPr>
        <w:numPr>
          <w:ilvl w:val="0"/>
          <w:numId w:val="5"/>
        </w:numPr>
        <w:wordWrap w:val="0"/>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标前准备：各供应商应在开标前应确保成为浙江省政府采购网正式注册入库供应商，并完成</w:t>
      </w:r>
      <w:r>
        <w:rPr>
          <w:rFonts w:ascii="宋体" w:hAnsi="宋体" w:cs="宋体"/>
          <w:color w:val="auto"/>
          <w:sz w:val="24"/>
          <w:szCs w:val="24"/>
          <w:highlight w:val="none"/>
        </w:rPr>
        <w:t>CA</w:t>
      </w:r>
      <w:r>
        <w:rPr>
          <w:rFonts w:hint="eastAsia" w:ascii="宋体" w:hAnsi="宋体" w:cs="宋体"/>
          <w:color w:val="auto"/>
          <w:sz w:val="24"/>
          <w:szCs w:val="24"/>
          <w:highlight w:val="none"/>
        </w:rPr>
        <w:t>数字证书办理。因未注册入库、未办理</w:t>
      </w:r>
      <w:r>
        <w:rPr>
          <w:rFonts w:ascii="宋体" w:hAnsi="宋体" w:cs="宋体"/>
          <w:color w:val="auto"/>
          <w:sz w:val="24"/>
          <w:szCs w:val="24"/>
          <w:highlight w:val="none"/>
        </w:rPr>
        <w:t>CA</w:t>
      </w:r>
      <w:r>
        <w:rPr>
          <w:rFonts w:hint="eastAsia" w:ascii="宋体" w:hAnsi="宋体" w:cs="宋体"/>
          <w:color w:val="auto"/>
          <w:sz w:val="24"/>
          <w:szCs w:val="24"/>
          <w:highlight w:val="none"/>
        </w:rPr>
        <w:t>数字证书等原因造成无法磋商或磋商失败等后果由供应商自行承担。</w:t>
      </w:r>
    </w:p>
    <w:p>
      <w:pPr>
        <w:autoSpaceDE w:val="0"/>
        <w:autoSpaceDN w:val="0"/>
        <w:spacing w:line="360" w:lineRule="auto"/>
        <w:ind w:firstLine="480" w:firstLineChars="200"/>
        <w:textAlignment w:val="bottom"/>
        <w:rPr>
          <w:rFonts w:ascii="宋体"/>
          <w:color w:val="auto"/>
          <w:sz w:val="24"/>
          <w:szCs w:val="24"/>
          <w:highlight w:val="none"/>
        </w:rPr>
      </w:pPr>
      <w:r>
        <w:rPr>
          <w:rFonts w:hint="eastAsia" w:ascii="宋体" w:hAnsi="宋体" w:cs="宋体"/>
          <w:color w:val="auto"/>
          <w:sz w:val="24"/>
          <w:szCs w:val="24"/>
          <w:highlight w:val="none"/>
        </w:rPr>
        <w:t>供应商将政采云电子交易客户端下载、安装完成后，可通过账号密码或</w:t>
      </w:r>
      <w:r>
        <w:rPr>
          <w:rFonts w:ascii="宋体" w:hAnsi="宋体" w:cs="宋体"/>
          <w:color w:val="auto"/>
          <w:sz w:val="24"/>
          <w:szCs w:val="24"/>
          <w:highlight w:val="none"/>
        </w:rPr>
        <w:t>CA</w:t>
      </w:r>
      <w:r>
        <w:rPr>
          <w:rFonts w:hint="eastAsia" w:ascii="宋体" w:hAnsi="宋体" w:cs="宋体"/>
          <w:color w:val="auto"/>
          <w:sz w:val="24"/>
          <w:szCs w:val="24"/>
          <w:highlight w:val="none"/>
        </w:rPr>
        <w:t>登录客户端进行响应文件制作。在使用政采云投标客户端时，建议使用</w:t>
      </w:r>
      <w:r>
        <w:rPr>
          <w:rFonts w:ascii="宋体" w:hAnsi="宋体" w:cs="宋体"/>
          <w:color w:val="auto"/>
          <w:sz w:val="24"/>
          <w:szCs w:val="24"/>
          <w:highlight w:val="none"/>
        </w:rPr>
        <w:t>WIN7</w:t>
      </w:r>
      <w:r>
        <w:rPr>
          <w:rFonts w:hint="eastAsia" w:ascii="宋体" w:hAnsi="宋体" w:cs="宋体"/>
          <w:color w:val="auto"/>
          <w:sz w:val="24"/>
          <w:szCs w:val="24"/>
          <w:highlight w:val="none"/>
        </w:rPr>
        <w:t>及以上操作系统。</w:t>
      </w:r>
    </w:p>
    <w:p>
      <w:pPr>
        <w:autoSpaceDE w:val="0"/>
        <w:autoSpaceDN w:val="0"/>
        <w:spacing w:line="360" w:lineRule="auto"/>
        <w:ind w:firstLine="480" w:firstLineChars="200"/>
        <w:textAlignment w:val="bottom"/>
        <w:rPr>
          <w:rFonts w:ascii="宋体"/>
          <w:color w:val="auto"/>
          <w:sz w:val="24"/>
          <w:szCs w:val="24"/>
          <w:highlight w:val="none"/>
        </w:rPr>
      </w:pPr>
      <w:r>
        <w:rPr>
          <w:rFonts w:hint="eastAsia" w:ascii="宋体" w:hAnsi="宋体" w:cs="宋体"/>
          <w:color w:val="auto"/>
          <w:sz w:val="24"/>
          <w:szCs w:val="24"/>
          <w:highlight w:val="none"/>
        </w:rPr>
        <w:t>注：供应商先要申领</w:t>
      </w:r>
      <w:r>
        <w:rPr>
          <w:rFonts w:ascii="宋体" w:hAnsi="宋体" w:cs="宋体"/>
          <w:color w:val="auto"/>
          <w:sz w:val="24"/>
          <w:szCs w:val="24"/>
          <w:highlight w:val="none"/>
        </w:rPr>
        <w:t>CA</w:t>
      </w:r>
      <w:r>
        <w:rPr>
          <w:rFonts w:hint="eastAsia" w:ascii="宋体" w:hAnsi="宋体" w:cs="宋体"/>
          <w:color w:val="auto"/>
          <w:sz w:val="24"/>
          <w:szCs w:val="24"/>
          <w:highlight w:val="none"/>
        </w:rPr>
        <w:t>，取得</w:t>
      </w:r>
      <w:r>
        <w:rPr>
          <w:rFonts w:ascii="宋体" w:hAnsi="宋体" w:cs="宋体"/>
          <w:color w:val="auto"/>
          <w:sz w:val="24"/>
          <w:szCs w:val="24"/>
          <w:highlight w:val="none"/>
        </w:rPr>
        <w:t>CA</w:t>
      </w:r>
      <w:r>
        <w:rPr>
          <w:rFonts w:hint="eastAsia" w:ascii="宋体" w:hAnsi="宋体" w:cs="宋体"/>
          <w:color w:val="auto"/>
          <w:sz w:val="24"/>
          <w:szCs w:val="24"/>
          <w:highlight w:val="none"/>
        </w:rPr>
        <w:t>后需要在政采云平台进行绑定，</w:t>
      </w:r>
      <w:r>
        <w:rPr>
          <w:rFonts w:ascii="宋体" w:hAnsi="宋体" w:cs="宋体"/>
          <w:color w:val="auto"/>
          <w:sz w:val="24"/>
          <w:szCs w:val="24"/>
          <w:highlight w:val="none"/>
        </w:rPr>
        <w:t>CA</w:t>
      </w:r>
      <w:r>
        <w:rPr>
          <w:rFonts w:hint="eastAsia" w:ascii="宋体" w:hAnsi="宋体" w:cs="宋体"/>
          <w:color w:val="auto"/>
          <w:sz w:val="24"/>
          <w:szCs w:val="24"/>
          <w:highlight w:val="none"/>
        </w:rPr>
        <w:t>相关操作可参考《</w:t>
      </w:r>
      <w:r>
        <w:rPr>
          <w:rFonts w:ascii="宋体" w:hAnsi="宋体" w:cs="宋体"/>
          <w:color w:val="auto"/>
          <w:sz w:val="24"/>
          <w:szCs w:val="24"/>
          <w:highlight w:val="none"/>
        </w:rPr>
        <w:t>CA</w:t>
      </w:r>
      <w:r>
        <w:rPr>
          <w:rFonts w:hint="eastAsia" w:ascii="宋体" w:hAnsi="宋体" w:cs="宋体"/>
          <w:color w:val="auto"/>
          <w:sz w:val="24"/>
          <w:szCs w:val="24"/>
          <w:highlight w:val="none"/>
        </w:rPr>
        <w:t>申领操作指南》和《</w:t>
      </w:r>
      <w:r>
        <w:rPr>
          <w:rFonts w:ascii="宋体" w:hAnsi="宋体" w:cs="宋体"/>
          <w:color w:val="auto"/>
          <w:sz w:val="24"/>
          <w:szCs w:val="24"/>
          <w:highlight w:val="none"/>
        </w:rPr>
        <w:t>CA</w:t>
      </w:r>
      <w:r>
        <w:rPr>
          <w:rFonts w:hint="eastAsia" w:ascii="宋体" w:hAnsi="宋体" w:cs="宋体"/>
          <w:color w:val="auto"/>
          <w:sz w:val="24"/>
          <w:szCs w:val="24"/>
          <w:highlight w:val="none"/>
        </w:rPr>
        <w:t>管理操作指南》。完成</w:t>
      </w:r>
      <w:r>
        <w:rPr>
          <w:rFonts w:ascii="宋体" w:hAnsi="宋体" w:cs="宋体"/>
          <w:color w:val="auto"/>
          <w:sz w:val="24"/>
          <w:szCs w:val="24"/>
          <w:highlight w:val="none"/>
        </w:rPr>
        <w:t>CA</w:t>
      </w:r>
      <w:r>
        <w:rPr>
          <w:rFonts w:hint="eastAsia" w:ascii="宋体" w:hAnsi="宋体" w:cs="宋体"/>
          <w:color w:val="auto"/>
          <w:sz w:val="24"/>
          <w:szCs w:val="24"/>
          <w:highlight w:val="none"/>
        </w:rPr>
        <w:t>数字证书办理在资料齐全的情况下预计</w:t>
      </w:r>
      <w:r>
        <w:rPr>
          <w:rFonts w:ascii="宋体" w:hAnsi="宋体" w:cs="宋体"/>
          <w:color w:val="auto"/>
          <w:sz w:val="24"/>
          <w:szCs w:val="24"/>
          <w:highlight w:val="none"/>
        </w:rPr>
        <w:t>7</w:t>
      </w:r>
      <w:r>
        <w:rPr>
          <w:rFonts w:hint="eastAsia" w:ascii="宋体" w:hAnsi="宋体" w:cs="宋体"/>
          <w:color w:val="auto"/>
          <w:sz w:val="24"/>
          <w:szCs w:val="24"/>
          <w:highlight w:val="none"/>
        </w:rPr>
        <w:t>个工作日左右，建议供应商获取磋商文件后立即办理。</w:t>
      </w:r>
    </w:p>
    <w:p>
      <w:pPr>
        <w:adjustRightInd w:val="0"/>
        <w:spacing w:line="360" w:lineRule="auto"/>
        <w:ind w:left="420" w:left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CA</w:t>
      </w:r>
      <w:r>
        <w:rPr>
          <w:rFonts w:hint="eastAsia" w:ascii="宋体" w:hAnsi="宋体" w:cs="宋体"/>
          <w:color w:val="auto"/>
          <w:sz w:val="24"/>
          <w:szCs w:val="24"/>
          <w:highlight w:val="none"/>
        </w:rPr>
        <w:t>申领操作指南》：</w:t>
      </w:r>
    </w:p>
    <w:p>
      <w:pPr>
        <w:adjustRightInd w:val="0"/>
        <w:spacing w:line="360" w:lineRule="auto"/>
        <w:ind w:left="420" w:leftChars="200"/>
        <w:rPr>
          <w:rFonts w:ascii="宋体"/>
          <w:color w:val="auto"/>
          <w:sz w:val="24"/>
          <w:szCs w:val="24"/>
          <w:highlight w:val="none"/>
        </w:rPr>
      </w:pPr>
      <w:r>
        <w:rPr>
          <w:color w:val="auto"/>
          <w:highlight w:val="none"/>
        </w:rPr>
        <w:fldChar w:fldCharType="begin"/>
      </w:r>
      <w:r>
        <w:rPr>
          <w:color w:val="auto"/>
          <w:highlight w:val="none"/>
        </w:rPr>
        <w:instrText xml:space="preserve"> HYPERLINK "https://help.zcygov.cn/web/site_2/2018/11-29/2452.html" </w:instrText>
      </w:r>
      <w:r>
        <w:rPr>
          <w:color w:val="auto"/>
          <w:highlight w:val="none"/>
        </w:rPr>
        <w:fldChar w:fldCharType="separate"/>
      </w:r>
      <w:r>
        <w:rPr>
          <w:rFonts w:ascii="宋体" w:hAnsi="宋体" w:cs="宋体"/>
          <w:color w:val="auto"/>
          <w:sz w:val="24"/>
          <w:szCs w:val="24"/>
          <w:highlight w:val="none"/>
        </w:rPr>
        <w:t>https://help.zcygov.cn/web/site_2/2018/11-29/2452.html</w:t>
      </w:r>
      <w:r>
        <w:rPr>
          <w:rFonts w:ascii="宋体" w:hAnsi="宋体" w:cs="宋体"/>
          <w:color w:val="auto"/>
          <w:sz w:val="24"/>
          <w:szCs w:val="24"/>
          <w:highlight w:val="none"/>
        </w:rPr>
        <w:fldChar w:fldCharType="end"/>
      </w:r>
    </w:p>
    <w:p>
      <w:pPr>
        <w:adjustRightInd w:val="0"/>
        <w:spacing w:line="360" w:lineRule="auto"/>
        <w:ind w:left="420" w:left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CA</w:t>
      </w:r>
      <w:r>
        <w:rPr>
          <w:rFonts w:hint="eastAsia" w:ascii="宋体" w:hAnsi="宋体" w:cs="宋体"/>
          <w:color w:val="auto"/>
          <w:sz w:val="24"/>
          <w:szCs w:val="24"/>
          <w:highlight w:val="none"/>
        </w:rPr>
        <w:t>管理操作指南》：</w:t>
      </w:r>
    </w:p>
    <w:p>
      <w:pPr>
        <w:adjustRightInd w:val="0"/>
        <w:spacing w:line="360" w:lineRule="auto"/>
        <w:ind w:left="420" w:leftChars="200"/>
        <w:rPr>
          <w:rFonts w:ascii="宋体"/>
          <w:color w:val="auto"/>
          <w:sz w:val="24"/>
          <w:szCs w:val="24"/>
          <w:highlight w:val="none"/>
        </w:rPr>
      </w:pPr>
      <w:r>
        <w:rPr>
          <w:color w:val="auto"/>
          <w:highlight w:val="none"/>
        </w:rPr>
        <w:fldChar w:fldCharType="begin"/>
      </w:r>
      <w:r>
        <w:rPr>
          <w:color w:val="auto"/>
          <w:highlight w:val="none"/>
        </w:rPr>
        <w:instrText xml:space="preserve"> HYPERLINK "https://help.zcygov.cn/web/site_2/2019/08-20/3405.html" </w:instrText>
      </w:r>
      <w:r>
        <w:rPr>
          <w:color w:val="auto"/>
          <w:highlight w:val="none"/>
        </w:rPr>
        <w:fldChar w:fldCharType="separate"/>
      </w:r>
      <w:r>
        <w:rPr>
          <w:rFonts w:ascii="宋体" w:hAnsi="宋体" w:cs="宋体"/>
          <w:color w:val="auto"/>
          <w:sz w:val="24"/>
          <w:szCs w:val="24"/>
          <w:highlight w:val="none"/>
        </w:rPr>
        <w:t>https://help.zcygov.cn/web/site_2/2019/08-20/3405.html</w:t>
      </w:r>
      <w:r>
        <w:rPr>
          <w:rFonts w:ascii="宋体" w:hAnsi="宋体" w:cs="宋体"/>
          <w:color w:val="auto"/>
          <w:sz w:val="24"/>
          <w:szCs w:val="24"/>
          <w:highlight w:val="none"/>
        </w:rPr>
        <w:fldChar w:fldCharType="end"/>
      </w:r>
    </w:p>
    <w:p>
      <w:pPr>
        <w:adjustRightInd w:val="0"/>
        <w:spacing w:line="360" w:lineRule="auto"/>
        <w:ind w:left="420" w:left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CA</w:t>
      </w:r>
      <w:r>
        <w:rPr>
          <w:rFonts w:hint="eastAsia" w:ascii="宋体" w:hAnsi="宋体" w:cs="宋体"/>
          <w:color w:val="auto"/>
          <w:sz w:val="24"/>
          <w:szCs w:val="24"/>
          <w:highlight w:val="none"/>
        </w:rPr>
        <w:t>驱动和申领流程》</w:t>
      </w:r>
      <w:r>
        <w:rPr>
          <w:rFonts w:ascii="宋体" w:hAnsi="宋体" w:cs="宋体"/>
          <w:color w:val="auto"/>
          <w:sz w:val="24"/>
          <w:szCs w:val="24"/>
          <w:highlight w:val="none"/>
        </w:rPr>
        <w:t>:</w:t>
      </w:r>
    </w:p>
    <w:p>
      <w:pPr>
        <w:adjustRightInd w:val="0"/>
        <w:spacing w:line="360" w:lineRule="auto"/>
        <w:ind w:left="420" w:leftChars="200"/>
        <w:rPr>
          <w:rFonts w:ascii="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"http://zfcg.czt.zj.gov.cn/bidClientTemplate/2019-05-27/12945.html" </w:instrText>
      </w:r>
      <w:r>
        <w:rPr>
          <w:color w:val="auto"/>
          <w:highlight w:val="none"/>
        </w:rPr>
        <w:fldChar w:fldCharType="separate"/>
      </w:r>
      <w:r>
        <w:rPr>
          <w:rFonts w:ascii="宋体" w:hAnsi="宋体" w:cs="宋体"/>
          <w:color w:val="auto"/>
          <w:sz w:val="24"/>
          <w:szCs w:val="24"/>
          <w:highlight w:val="none"/>
        </w:rPr>
        <w:t>http://zfcg.czt.zj.gov.cn/bidClientTemplate/2019-05-27/12945.html</w:t>
      </w:r>
      <w:r>
        <w:rPr>
          <w:rFonts w:ascii="宋体" w:hAnsi="宋体" w:cs="宋体"/>
          <w:color w:val="auto"/>
          <w:sz w:val="24"/>
          <w:szCs w:val="24"/>
          <w:highlight w:val="none"/>
        </w:rPr>
        <w:fldChar w:fldCharType="end"/>
      </w:r>
    </w:p>
    <w:p>
      <w:pPr>
        <w:numPr>
          <w:ilvl w:val="0"/>
          <w:numId w:val="5"/>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响应文件制作：</w:t>
      </w:r>
    </w:p>
    <w:p>
      <w:pPr>
        <w:numPr>
          <w:ilvl w:val="0"/>
          <w:numId w:val="6"/>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应按照本项目磋商文件和政采云平台的要求编制、加密并递交响应文件。供应商在使用系统进行磋商的过程中遇到涉及平台使用的任何问题，可致电政采云平台技术支持热线咨询，联系方式：</w:t>
      </w:r>
      <w:r>
        <w:rPr>
          <w:rFonts w:ascii="宋体" w:hAnsi="宋体" w:cs="宋体"/>
          <w:color w:val="auto"/>
          <w:sz w:val="24"/>
          <w:szCs w:val="24"/>
          <w:highlight w:val="none"/>
        </w:rPr>
        <w:t>400-881-7190</w:t>
      </w:r>
      <w:r>
        <w:rPr>
          <w:rFonts w:hint="eastAsia" w:ascii="宋体" w:hAnsi="宋体" w:cs="宋体"/>
          <w:color w:val="auto"/>
          <w:sz w:val="24"/>
          <w:szCs w:val="24"/>
          <w:highlight w:val="none"/>
        </w:rPr>
        <w:t>。</w:t>
      </w:r>
    </w:p>
    <w:p>
      <w:pPr>
        <w:numPr>
          <w:ilvl w:val="0"/>
          <w:numId w:val="6"/>
        </w:numPr>
        <w:wordWrap w:val="0"/>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供应商通过“政采云”平台电子投标工具制作响应文件。</w:t>
      </w:r>
    </w:p>
    <w:p>
      <w:pPr>
        <w:adjustRightInd w:val="0"/>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《电子投标工具》：</w:t>
      </w:r>
    </w:p>
    <w:p>
      <w:pPr>
        <w:adjustRightInd w:val="0"/>
        <w:spacing w:line="360" w:lineRule="auto"/>
        <w:ind w:firstLine="420" w:firstLineChars="200"/>
        <w:jc w:val="left"/>
        <w:rPr>
          <w:rFonts w:ascii="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"http://zfcg.czt.zj.gov.cn/bidClientTemplate/2019-09-24/12975.html" </w:instrText>
      </w:r>
      <w:r>
        <w:rPr>
          <w:color w:val="auto"/>
          <w:highlight w:val="none"/>
        </w:rPr>
        <w:fldChar w:fldCharType="separate"/>
      </w:r>
      <w:r>
        <w:rPr>
          <w:rFonts w:ascii="宋体" w:hAnsi="宋体" w:cs="宋体"/>
          <w:color w:val="auto"/>
          <w:sz w:val="24"/>
          <w:szCs w:val="24"/>
          <w:highlight w:val="none"/>
        </w:rPr>
        <w:t>http://zfcg.czt.zj.gov.cn/bidClientTemplate/2019-09-24/12975.html</w:t>
      </w:r>
      <w:r>
        <w:rPr>
          <w:rFonts w:ascii="宋体" w:hAnsi="宋体" w:cs="宋体"/>
          <w:color w:val="auto"/>
          <w:sz w:val="24"/>
          <w:szCs w:val="24"/>
          <w:highlight w:val="none"/>
        </w:rPr>
        <w:fldChar w:fldCharType="end"/>
      </w:r>
    </w:p>
    <w:p>
      <w:pPr>
        <w:adjustRightInd w:val="0"/>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《供应商</w:t>
      </w:r>
      <w:r>
        <w:rPr>
          <w:rFonts w:ascii="宋体" w:cs="宋体"/>
          <w:color w:val="auto"/>
          <w:sz w:val="24"/>
          <w:szCs w:val="24"/>
          <w:highlight w:val="none"/>
        </w:rPr>
        <w:t>-</w:t>
      </w:r>
      <w:r>
        <w:rPr>
          <w:rFonts w:hint="eastAsia" w:ascii="宋体" w:hAnsi="宋体" w:cs="宋体"/>
          <w:color w:val="auto"/>
          <w:sz w:val="24"/>
          <w:szCs w:val="24"/>
          <w:highlight w:val="none"/>
        </w:rPr>
        <w:t>政府采购项目电子交易操作指南》：</w:t>
      </w:r>
    </w:p>
    <w:p>
      <w:pPr>
        <w:adjustRightInd w:val="0"/>
        <w:spacing w:line="360" w:lineRule="auto"/>
        <w:ind w:firstLine="420" w:firstLineChars="200"/>
        <w:jc w:val="left"/>
        <w:rPr>
          <w:rFonts w:ascii="宋体"/>
          <w:color w:val="auto"/>
          <w:sz w:val="24"/>
          <w:szCs w:val="24"/>
          <w:highlight w:val="none"/>
        </w:rPr>
      </w:pPr>
      <w:r>
        <w:rPr>
          <w:color w:val="auto"/>
          <w:highlight w:val="none"/>
        </w:rPr>
        <w:fldChar w:fldCharType="begin"/>
      </w:r>
      <w:r>
        <w:rPr>
          <w:color w:val="auto"/>
          <w:highlight w:val="none"/>
        </w:rPr>
        <w:instrText xml:space="preserve"> HYPERLINK "https://help.zcygov.cn/web/site_2/2020/12-28/2573.html" </w:instrText>
      </w:r>
      <w:r>
        <w:rPr>
          <w:color w:val="auto"/>
          <w:highlight w:val="none"/>
        </w:rPr>
        <w:fldChar w:fldCharType="separate"/>
      </w:r>
      <w:r>
        <w:rPr>
          <w:rFonts w:ascii="宋体" w:hAnsi="宋体" w:cs="宋体"/>
          <w:color w:val="auto"/>
          <w:sz w:val="24"/>
          <w:szCs w:val="24"/>
          <w:highlight w:val="none"/>
        </w:rPr>
        <w:t>https://help.zcygov.cn/web/site_2/2018/12-28/2573.html</w:t>
      </w:r>
      <w:r>
        <w:rPr>
          <w:rFonts w:ascii="宋体" w:hAnsi="宋体" w:cs="宋体"/>
          <w:color w:val="auto"/>
          <w:sz w:val="24"/>
          <w:szCs w:val="24"/>
          <w:highlight w:val="none"/>
        </w:rPr>
        <w:fldChar w:fldCharType="end"/>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七．磋商响应截止时间及要求：</w:t>
      </w:r>
      <w:r>
        <w:rPr>
          <w:rFonts w:ascii="宋体" w:hAnsi="宋体" w:cs="宋体"/>
          <w:color w:val="auto"/>
          <w:sz w:val="24"/>
          <w:szCs w:val="24"/>
          <w:highlight w:val="none"/>
          <w:u w:val="single"/>
        </w:rPr>
        <w:t xml:space="preserve"> 2020 </w:t>
      </w:r>
      <w:r>
        <w:rPr>
          <w:rFonts w:hint="eastAsia"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12</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2 </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上</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午</w:t>
      </w:r>
      <w:r>
        <w:rPr>
          <w:rFonts w:ascii="宋体" w:hAnsi="宋体" w:cs="宋体"/>
          <w:color w:val="auto"/>
          <w:sz w:val="24"/>
          <w:szCs w:val="24"/>
          <w:highlight w:val="none"/>
          <w:u w:val="single"/>
        </w:rPr>
        <w:t xml:space="preserve"> 9 </w:t>
      </w:r>
      <w:r>
        <w:rPr>
          <w:rFonts w:hint="eastAsia" w:ascii="宋体" w:hAnsi="宋体" w:cs="宋体"/>
          <w:color w:val="auto"/>
          <w:sz w:val="24"/>
          <w:szCs w:val="24"/>
          <w:highlight w:val="none"/>
        </w:rPr>
        <w:t>时</w:t>
      </w:r>
      <w:r>
        <w:rPr>
          <w:rFonts w:ascii="宋体" w:hAnsi="宋体" w:cs="宋体"/>
          <w:color w:val="auto"/>
          <w:sz w:val="24"/>
          <w:szCs w:val="24"/>
          <w:highlight w:val="none"/>
          <w:u w:val="single"/>
        </w:rPr>
        <w:t xml:space="preserve"> 30 </w:t>
      </w:r>
      <w:r>
        <w:rPr>
          <w:rFonts w:hint="eastAsia" w:ascii="宋体" w:hAnsi="宋体" w:cs="宋体"/>
          <w:color w:val="auto"/>
          <w:sz w:val="24"/>
          <w:szCs w:val="24"/>
          <w:highlight w:val="none"/>
        </w:rPr>
        <w:t>分整</w:t>
      </w:r>
      <w:r>
        <w:rPr>
          <w:rFonts w:hint="eastAsia" w:ascii="宋体" w:hAnsi="宋体" w:cs="宋体"/>
          <w:color w:val="auto"/>
          <w:kern w:val="0"/>
          <w:sz w:val="24"/>
          <w:szCs w:val="24"/>
          <w:highlight w:val="none"/>
        </w:rPr>
        <w:t>之前将电子磋商响应文件上传到“政采云”平台。</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八．递交首次响应文件时间及地点：</w:t>
      </w:r>
      <w:r>
        <w:rPr>
          <w:rFonts w:ascii="宋体" w:hAnsi="宋体" w:cs="宋体"/>
          <w:color w:val="auto"/>
          <w:sz w:val="24"/>
          <w:szCs w:val="24"/>
          <w:highlight w:val="none"/>
          <w:u w:val="single"/>
        </w:rPr>
        <w:t xml:space="preserve"> </w:t>
      </w:r>
      <w:r>
        <w:rPr>
          <w:rFonts w:ascii="宋体" w:hAnsi="宋体" w:cs="宋体"/>
          <w:color w:val="auto"/>
          <w:sz w:val="24"/>
          <w:szCs w:val="24"/>
          <w:highlight w:val="none"/>
          <w:u w:val="single"/>
        </w:rPr>
        <w:t xml:space="preserve">2020 </w:t>
      </w:r>
      <w:r>
        <w:rPr>
          <w:rFonts w:hint="eastAsia"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12</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2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上</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午</w:t>
      </w:r>
      <w:r>
        <w:rPr>
          <w:rFonts w:ascii="宋体" w:hAnsi="宋体" w:cs="宋体"/>
          <w:color w:val="auto"/>
          <w:sz w:val="24"/>
          <w:szCs w:val="24"/>
          <w:highlight w:val="none"/>
          <w:u w:val="single"/>
        </w:rPr>
        <w:t xml:space="preserve"> 9 </w:t>
      </w:r>
      <w:r>
        <w:rPr>
          <w:rFonts w:hint="eastAsia" w:ascii="宋体" w:hAnsi="宋体" w:cs="宋体"/>
          <w:color w:val="auto"/>
          <w:sz w:val="24"/>
          <w:szCs w:val="24"/>
          <w:highlight w:val="none"/>
        </w:rPr>
        <w:t>时</w:t>
      </w:r>
      <w:r>
        <w:rPr>
          <w:rFonts w:ascii="宋体" w:hAnsi="宋体" w:cs="宋体"/>
          <w:color w:val="auto"/>
          <w:sz w:val="24"/>
          <w:szCs w:val="24"/>
          <w:highlight w:val="none"/>
          <w:u w:val="single"/>
        </w:rPr>
        <w:t xml:space="preserve"> 30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分</w:t>
      </w:r>
      <w:bookmarkStart w:id="6" w:name="B30_开标地点"/>
      <w:r>
        <w:rPr>
          <w:rFonts w:hint="eastAsia" w:ascii="宋体" w:hAnsi="宋体" w:cs="宋体"/>
          <w:color w:val="auto"/>
          <w:sz w:val="24"/>
          <w:szCs w:val="24"/>
          <w:highlight w:val="none"/>
        </w:rPr>
        <w:t>整在绍兴市上虞区百官街道江东北路</w:t>
      </w:r>
      <w:r>
        <w:rPr>
          <w:rFonts w:ascii="宋体" w:hAnsi="宋体" w:cs="宋体"/>
          <w:color w:val="auto"/>
          <w:sz w:val="24"/>
          <w:szCs w:val="24"/>
          <w:highlight w:val="none"/>
        </w:rPr>
        <w:t>588</w:t>
      </w:r>
      <w:r>
        <w:rPr>
          <w:rFonts w:hint="eastAsia" w:ascii="宋体" w:hAnsi="宋体" w:cs="宋体"/>
          <w:color w:val="auto"/>
          <w:sz w:val="24"/>
          <w:szCs w:val="24"/>
          <w:highlight w:val="none"/>
        </w:rPr>
        <w:t>号百官广场</w:t>
      </w:r>
      <w:r>
        <w:rPr>
          <w:rFonts w:ascii="宋体" w:hAnsi="宋体" w:cs="宋体"/>
          <w:color w:val="auto"/>
          <w:sz w:val="24"/>
          <w:szCs w:val="24"/>
          <w:highlight w:val="none"/>
        </w:rPr>
        <w:t>30</w:t>
      </w:r>
      <w:r>
        <w:rPr>
          <w:rFonts w:hint="eastAsia" w:ascii="宋体" w:hAnsi="宋体" w:cs="宋体"/>
          <w:color w:val="auto"/>
          <w:sz w:val="24"/>
          <w:szCs w:val="24"/>
          <w:highlight w:val="none"/>
        </w:rPr>
        <w:t>楼开标。</w:t>
      </w:r>
      <w:bookmarkEnd w:id="6"/>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开标时间后</w:t>
      </w:r>
      <w:r>
        <w:rPr>
          <w:rFonts w:ascii="宋体" w:hAnsi="宋体" w:cs="宋体"/>
          <w:color w:val="auto"/>
          <w:sz w:val="24"/>
          <w:szCs w:val="24"/>
          <w:highlight w:val="none"/>
        </w:rPr>
        <w:t>30</w:t>
      </w:r>
      <w:r>
        <w:rPr>
          <w:rFonts w:hint="eastAsia" w:ascii="宋体" w:hAnsi="宋体" w:cs="宋体"/>
          <w:color w:val="auto"/>
          <w:sz w:val="24"/>
          <w:szCs w:val="24"/>
          <w:highlight w:val="none"/>
        </w:rPr>
        <w:t>分钟内（</w:t>
      </w:r>
      <w:r>
        <w:rPr>
          <w:rFonts w:ascii="宋体" w:hAnsi="宋体" w:cs="宋体"/>
          <w:color w:val="auto"/>
          <w:sz w:val="24"/>
          <w:szCs w:val="24"/>
          <w:highlight w:val="none"/>
        </w:rPr>
        <w:t>2020</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 xml:space="preserve"> 2</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10 : 00 </w:t>
      </w:r>
      <w:r>
        <w:rPr>
          <w:rFonts w:hint="eastAsia" w:ascii="宋体" w:hAnsi="宋体" w:cs="宋体"/>
          <w:color w:val="auto"/>
          <w:sz w:val="24"/>
          <w:szCs w:val="24"/>
          <w:highlight w:val="none"/>
        </w:rPr>
        <w:t>前）供应商可以登录“政采云”平台，用“项目采购</w:t>
      </w:r>
      <w:r>
        <w:rPr>
          <w:rFonts w:ascii="宋体" w:cs="宋体"/>
          <w:color w:val="auto"/>
          <w:sz w:val="24"/>
          <w:szCs w:val="24"/>
          <w:highlight w:val="none"/>
        </w:rPr>
        <w:t>-</w:t>
      </w:r>
      <w:r>
        <w:rPr>
          <w:rFonts w:hint="eastAsia" w:ascii="宋体" w:hAnsi="宋体" w:cs="宋体"/>
          <w:color w:val="auto"/>
          <w:sz w:val="24"/>
          <w:szCs w:val="24"/>
          <w:highlight w:val="none"/>
        </w:rPr>
        <w:t>开标评标”功能进行解密响应文件。若供应商在规定时间内（</w:t>
      </w:r>
      <w:r>
        <w:rPr>
          <w:rFonts w:ascii="宋体" w:hAnsi="宋体" w:cs="宋体"/>
          <w:color w:val="auto"/>
          <w:sz w:val="24"/>
          <w:szCs w:val="24"/>
          <w:highlight w:val="none"/>
        </w:rPr>
        <w:t>2020</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 xml:space="preserve"> 2 </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10 : 00 </w:t>
      </w:r>
      <w:r>
        <w:rPr>
          <w:rFonts w:hint="eastAsia" w:ascii="宋体" w:hAnsi="宋体" w:cs="宋体"/>
          <w:color w:val="auto"/>
          <w:sz w:val="24"/>
          <w:szCs w:val="24"/>
          <w:highlight w:val="none"/>
        </w:rPr>
        <w:t>前）解密失败，则由采购代理机构工作人员上传供应商提供的备份文件。备份文件（后缀名为</w:t>
      </w:r>
      <w:r>
        <w:rPr>
          <w:rFonts w:ascii="宋体" w:hAnsi="宋体" w:cs="宋体"/>
          <w:color w:val="auto"/>
          <w:sz w:val="24"/>
          <w:szCs w:val="24"/>
          <w:highlight w:val="none"/>
        </w:rPr>
        <w:t>.bfbs</w:t>
      </w:r>
      <w:r>
        <w:rPr>
          <w:rFonts w:hint="eastAsia" w:ascii="宋体" w:hAnsi="宋体" w:cs="宋体"/>
          <w:color w:val="auto"/>
          <w:sz w:val="24"/>
          <w:szCs w:val="24"/>
          <w:highlight w:val="none"/>
        </w:rPr>
        <w:t>）须存储在</w:t>
      </w:r>
      <w:r>
        <w:rPr>
          <w:rFonts w:ascii="宋体" w:hAnsi="宋体" w:cs="宋体"/>
          <w:color w:val="auto"/>
          <w:sz w:val="24"/>
          <w:szCs w:val="24"/>
          <w:highlight w:val="none"/>
        </w:rPr>
        <w:t>U</w:t>
      </w:r>
      <w:r>
        <w:rPr>
          <w:rFonts w:hint="eastAsia" w:ascii="宋体" w:hAnsi="宋体" w:cs="宋体"/>
          <w:color w:val="auto"/>
          <w:sz w:val="24"/>
          <w:szCs w:val="24"/>
          <w:highlight w:val="none"/>
        </w:rPr>
        <w:t>盘中，与上传的电子磋商响应文件一致，用信封进行密封并盖章</w:t>
      </w:r>
      <w:r>
        <w:rPr>
          <w:rFonts w:hint="eastAsia" w:ascii="宋体" w:hAnsi="宋体" w:cs="宋体"/>
          <w:b/>
          <w:bCs/>
          <w:color w:val="auto"/>
          <w:sz w:val="24"/>
          <w:szCs w:val="24"/>
          <w:highlight w:val="none"/>
        </w:rPr>
        <w:t>（信封内仅需放入存储备份文件的</w:t>
      </w:r>
      <w:r>
        <w:rPr>
          <w:rFonts w:ascii="宋体" w:hAnsi="宋体" w:cs="宋体"/>
          <w:b/>
          <w:bCs/>
          <w:color w:val="auto"/>
          <w:sz w:val="24"/>
          <w:szCs w:val="24"/>
          <w:highlight w:val="none"/>
        </w:rPr>
        <w:t>U</w:t>
      </w:r>
      <w:r>
        <w:rPr>
          <w:rFonts w:hint="eastAsia" w:ascii="宋体" w:hAnsi="宋体" w:cs="宋体"/>
          <w:b/>
          <w:bCs/>
          <w:color w:val="auto"/>
          <w:sz w:val="24"/>
          <w:szCs w:val="24"/>
          <w:highlight w:val="none"/>
        </w:rPr>
        <w:t>盘）</w:t>
      </w:r>
      <w:r>
        <w:rPr>
          <w:rFonts w:hint="eastAsia" w:ascii="宋体" w:hAnsi="宋体" w:cs="宋体"/>
          <w:color w:val="auto"/>
          <w:sz w:val="24"/>
          <w:szCs w:val="24"/>
          <w:highlight w:val="none"/>
        </w:rPr>
        <w:t>，由授权代表在磋商响应截止时间前递交至开标地点。若电子磋商响应文件正常解锁，则</w:t>
      </w:r>
      <w:r>
        <w:rPr>
          <w:rFonts w:ascii="宋体" w:hAnsi="宋体" w:cs="宋体"/>
          <w:color w:val="auto"/>
          <w:sz w:val="24"/>
          <w:szCs w:val="24"/>
          <w:highlight w:val="none"/>
        </w:rPr>
        <w:t>U</w:t>
      </w:r>
      <w:r>
        <w:rPr>
          <w:rFonts w:hint="eastAsia" w:ascii="宋体" w:hAnsi="宋体" w:cs="宋体"/>
          <w:color w:val="auto"/>
          <w:sz w:val="24"/>
          <w:szCs w:val="24"/>
          <w:highlight w:val="none"/>
        </w:rPr>
        <w:t>盘退还给供应商；若解锁失败，则由采购代理机构将</w:t>
      </w:r>
      <w:r>
        <w:rPr>
          <w:rFonts w:ascii="宋体" w:hAnsi="宋体" w:cs="宋体"/>
          <w:color w:val="auto"/>
          <w:sz w:val="24"/>
          <w:szCs w:val="24"/>
          <w:highlight w:val="none"/>
        </w:rPr>
        <w:t>U</w:t>
      </w:r>
      <w:r>
        <w:rPr>
          <w:rFonts w:hint="eastAsia" w:ascii="宋体" w:hAnsi="宋体" w:cs="宋体"/>
          <w:color w:val="auto"/>
          <w:sz w:val="24"/>
          <w:szCs w:val="24"/>
          <w:highlight w:val="none"/>
        </w:rPr>
        <w:t>盘中的备份文件上传，该</w:t>
      </w:r>
      <w:r>
        <w:rPr>
          <w:rFonts w:ascii="宋体" w:hAnsi="宋体" w:cs="宋体"/>
          <w:color w:val="auto"/>
          <w:sz w:val="24"/>
          <w:szCs w:val="24"/>
          <w:highlight w:val="none"/>
        </w:rPr>
        <w:t>U</w:t>
      </w:r>
      <w:r>
        <w:rPr>
          <w:rFonts w:hint="eastAsia" w:ascii="宋体" w:hAnsi="宋体" w:cs="宋体"/>
          <w:color w:val="auto"/>
          <w:sz w:val="24"/>
          <w:szCs w:val="24"/>
          <w:highlight w:val="none"/>
        </w:rPr>
        <w:t>盘将由采购代理机构保存。</w:t>
      </w:r>
    </w:p>
    <w:p>
      <w:pPr>
        <w:adjustRightInd w:val="0"/>
        <w:spacing w:line="360" w:lineRule="auto"/>
        <w:ind w:firstLine="480" w:firstLineChars="200"/>
        <w:rPr>
          <w:rFonts w:ascii="宋体"/>
          <w:color w:val="auto"/>
          <w:kern w:val="0"/>
          <w:sz w:val="24"/>
          <w:szCs w:val="24"/>
          <w:highlight w:val="none"/>
        </w:rPr>
      </w:pPr>
      <w:r>
        <w:rPr>
          <w:rFonts w:hint="eastAsia" w:ascii="宋体" w:hAnsi="宋体" w:cs="宋体"/>
          <w:color w:val="auto"/>
          <w:sz w:val="24"/>
          <w:szCs w:val="24"/>
          <w:highlight w:val="none"/>
        </w:rPr>
        <w:t>本次开标不提供现场视频。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九．磋商保证金：无</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十．公告期限：</w:t>
      </w:r>
      <w:r>
        <w:rPr>
          <w:rFonts w:ascii="宋体" w:hAnsi="宋体" w:cs="宋体"/>
          <w:color w:val="auto"/>
          <w:sz w:val="24"/>
          <w:szCs w:val="24"/>
          <w:highlight w:val="none"/>
        </w:rPr>
        <w:t>5</w:t>
      </w:r>
      <w:r>
        <w:rPr>
          <w:rFonts w:hint="eastAsia" w:ascii="宋体" w:hAnsi="宋体" w:cs="宋体"/>
          <w:color w:val="auto"/>
          <w:sz w:val="24"/>
          <w:szCs w:val="24"/>
          <w:highlight w:val="none"/>
        </w:rPr>
        <w:t>个工作日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十一．其他事项：</w:t>
      </w:r>
    </w:p>
    <w:p>
      <w:pPr>
        <w:numPr>
          <w:ilvl w:val="0"/>
          <w:numId w:val="7"/>
        </w:numPr>
        <w:adjustRightInd w:val="0"/>
        <w:spacing w:line="360" w:lineRule="auto"/>
        <w:ind w:firstLine="480" w:firstLineChars="200"/>
        <w:rPr>
          <w:rFonts w:ascii="宋体"/>
          <w:color w:val="auto"/>
          <w:sz w:val="24"/>
          <w:szCs w:val="24"/>
          <w:highlight w:val="none"/>
        </w:rPr>
      </w:pPr>
      <w:bookmarkStart w:id="7" w:name="B31_其他事项"/>
      <w:r>
        <w:rPr>
          <w:rFonts w:hint="eastAsia" w:ascii="宋体"/>
          <w:color w:val="auto"/>
          <w:sz w:val="24"/>
          <w:szCs w:val="24"/>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bookmarkEnd w:id="7"/>
    <w:p>
      <w:pPr>
        <w:numPr>
          <w:ilvl w:val="0"/>
          <w:numId w:val="7"/>
        </w:numPr>
        <w:adjustRightInd w:val="0"/>
        <w:spacing w:line="360" w:lineRule="auto"/>
        <w:ind w:firstLine="482" w:firstLineChars="200"/>
        <w:rPr>
          <w:rFonts w:ascii="宋体"/>
          <w:b/>
          <w:bCs/>
          <w:color w:val="auto"/>
          <w:sz w:val="24"/>
          <w:szCs w:val="24"/>
          <w:highlight w:val="none"/>
          <w:u w:val="single"/>
        </w:rPr>
      </w:pPr>
      <w:r>
        <w:rPr>
          <w:rFonts w:hint="eastAsia" w:ascii="宋体" w:hAnsi="宋体" w:cs="宋体"/>
          <w:b/>
          <w:bCs/>
          <w:color w:val="auto"/>
          <w:sz w:val="24"/>
          <w:szCs w:val="24"/>
          <w:highlight w:val="none"/>
          <w:u w:val="single"/>
        </w:rPr>
        <w:t>若供应商需要进行开标现场解密等操作，则需携带笔记本（同时携带</w:t>
      </w:r>
      <w:r>
        <w:rPr>
          <w:rFonts w:ascii="宋体" w:hAnsi="宋体" w:cs="宋体"/>
          <w:b/>
          <w:bCs/>
          <w:color w:val="auto"/>
          <w:sz w:val="24"/>
          <w:szCs w:val="24"/>
          <w:highlight w:val="none"/>
          <w:u w:val="single"/>
        </w:rPr>
        <w:t>CA</w:t>
      </w:r>
      <w:r>
        <w:rPr>
          <w:rFonts w:hint="eastAsia" w:ascii="宋体" w:hAnsi="宋体" w:cs="宋体"/>
          <w:b/>
          <w:bCs/>
          <w:color w:val="auto"/>
          <w:sz w:val="24"/>
          <w:szCs w:val="24"/>
          <w:highlight w:val="none"/>
          <w:u w:val="single"/>
        </w:rPr>
        <w:t>）至开标现场进行操作。开标时使用的电脑需安装谷歌浏览器、配置</w:t>
      </w:r>
      <w:r>
        <w:rPr>
          <w:rFonts w:ascii="宋体" w:hAnsi="宋体" w:cs="宋体"/>
          <w:b/>
          <w:bCs/>
          <w:color w:val="auto"/>
          <w:sz w:val="24"/>
          <w:szCs w:val="24"/>
          <w:highlight w:val="none"/>
          <w:u w:val="single"/>
        </w:rPr>
        <w:t>win7</w:t>
      </w:r>
      <w:r>
        <w:rPr>
          <w:rFonts w:hint="eastAsia" w:ascii="宋体" w:hAnsi="宋体" w:cs="宋体"/>
          <w:b/>
          <w:bCs/>
          <w:color w:val="auto"/>
          <w:sz w:val="24"/>
          <w:szCs w:val="24"/>
          <w:highlight w:val="none"/>
          <w:u w:val="single"/>
        </w:rPr>
        <w:t>及以上</w:t>
      </w:r>
      <w:r>
        <w:rPr>
          <w:rFonts w:ascii="宋体" w:hAnsi="宋体" w:cs="宋体"/>
          <w:b/>
          <w:bCs/>
          <w:color w:val="auto"/>
          <w:sz w:val="24"/>
          <w:szCs w:val="24"/>
          <w:highlight w:val="none"/>
          <w:u w:val="single"/>
        </w:rPr>
        <w:t>64</w:t>
      </w:r>
      <w:r>
        <w:rPr>
          <w:rFonts w:hint="eastAsia" w:ascii="宋体" w:hAnsi="宋体" w:cs="宋体"/>
          <w:b/>
          <w:bCs/>
          <w:color w:val="auto"/>
          <w:sz w:val="24"/>
          <w:szCs w:val="24"/>
          <w:highlight w:val="none"/>
          <w:u w:val="single"/>
        </w:rPr>
        <w:t>位、对应的</w:t>
      </w:r>
      <w:r>
        <w:rPr>
          <w:rFonts w:ascii="宋体" w:hAnsi="宋体" w:cs="宋体"/>
          <w:b/>
          <w:bCs/>
          <w:color w:val="auto"/>
          <w:sz w:val="24"/>
          <w:szCs w:val="24"/>
          <w:highlight w:val="none"/>
          <w:u w:val="single"/>
        </w:rPr>
        <w:t>CA</w:t>
      </w:r>
      <w:r>
        <w:rPr>
          <w:rFonts w:hint="eastAsia" w:ascii="宋体" w:hAnsi="宋体" w:cs="宋体"/>
          <w:b/>
          <w:bCs/>
          <w:color w:val="auto"/>
          <w:sz w:val="24"/>
          <w:szCs w:val="24"/>
          <w:highlight w:val="none"/>
          <w:u w:val="single"/>
        </w:rPr>
        <w:t>驱动和插件及投标客户端，网络须自备。</w:t>
      </w:r>
    </w:p>
    <w:p>
      <w:pPr>
        <w:numPr>
          <w:ilvl w:val="0"/>
          <w:numId w:val="7"/>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供应商可指派授权代表递交备份文件，授权代表递交备份文件需携带法定代表人授权书原件，于磋商响应截止时间前到达开标地点递交。</w:t>
      </w:r>
    </w:p>
    <w:p>
      <w:pPr>
        <w:numPr>
          <w:ilvl w:val="0"/>
          <w:numId w:val="7"/>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特别提醒</w:t>
      </w:r>
    </w:p>
    <w:p>
      <w:pPr>
        <w:numPr>
          <w:ilvl w:val="0"/>
          <w:numId w:val="8"/>
        </w:numPr>
        <w:wordWrap w:val="0"/>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单位负责人为同一人或者存在直接控股、管理关系的不同供应商，不得参加同一合同项下的政府采购活动。</w:t>
      </w:r>
    </w:p>
    <w:p>
      <w:pPr>
        <w:numPr>
          <w:ilvl w:val="0"/>
          <w:numId w:val="8"/>
        </w:numPr>
        <w:wordWrap w:val="0"/>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除单一来源采购项目外，为采购项目提供整体设计、规范编制或者项目管理、监理、检测等服务的供应商，不得再参加该采购项目的其他采购活动。</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十二．联系方式：</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．采购代理机构名称：浙江宇康工程管理咨询有限公司</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val="en-US" w:eastAsia="zh-CN"/>
        </w:rPr>
        <w:t>冯丹</w:t>
      </w:r>
      <w:r>
        <w:rPr>
          <w:rFonts w:ascii="宋体" w:hAnsi="宋体" w:cs="宋体"/>
          <w:color w:val="auto"/>
          <w:sz w:val="24"/>
          <w:szCs w:val="24"/>
          <w:highlight w:val="non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lang w:val="en-US" w:eastAsia="zh-CN"/>
        </w:rPr>
        <w:t>13675739466</w:t>
      </w:r>
      <w:r>
        <w:rPr>
          <w:rFonts w:ascii="宋体" w:hAnsi="宋体" w:cs="宋体"/>
          <w:color w:val="auto"/>
          <w:sz w:val="24"/>
          <w:szCs w:val="24"/>
          <w:highlight w:val="non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地址：绍兴市上虞区百官街道江东北路</w:t>
      </w:r>
      <w:r>
        <w:rPr>
          <w:rFonts w:ascii="宋体" w:hAnsi="宋体" w:cs="宋体"/>
          <w:color w:val="auto"/>
          <w:sz w:val="24"/>
          <w:szCs w:val="24"/>
          <w:highlight w:val="none"/>
        </w:rPr>
        <w:t>588</w:t>
      </w:r>
      <w:r>
        <w:rPr>
          <w:rFonts w:hint="eastAsia" w:ascii="宋体" w:hAnsi="宋体" w:cs="宋体"/>
          <w:color w:val="auto"/>
          <w:sz w:val="24"/>
          <w:szCs w:val="24"/>
          <w:highlight w:val="none"/>
        </w:rPr>
        <w:t>号百官广场</w:t>
      </w:r>
      <w:r>
        <w:rPr>
          <w:rFonts w:ascii="宋体" w:hAnsi="宋体" w:cs="宋体"/>
          <w:color w:val="auto"/>
          <w:sz w:val="24"/>
          <w:szCs w:val="24"/>
          <w:highlight w:val="none"/>
        </w:rPr>
        <w:t>30</w:t>
      </w:r>
      <w:r>
        <w:rPr>
          <w:rFonts w:hint="eastAsia" w:ascii="宋体" w:hAnsi="宋体" w:cs="宋体"/>
          <w:color w:val="auto"/>
          <w:sz w:val="24"/>
          <w:szCs w:val="24"/>
          <w:highlight w:val="none"/>
        </w:rPr>
        <w:t>楼</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．采购人名称：</w:t>
      </w:r>
      <w:r>
        <w:rPr>
          <w:rFonts w:hint="eastAsia" w:ascii="宋体" w:hAnsi="宋体" w:cs="宋体"/>
          <w:color w:val="auto"/>
          <w:sz w:val="24"/>
          <w:szCs w:val="24"/>
          <w:highlight w:val="none"/>
          <w:lang w:eastAsia="zh-CN"/>
        </w:rPr>
        <w:t>中国共产党绍兴市上虞区委统一战线工作部</w:t>
      </w:r>
      <w:r>
        <w:rPr>
          <w:rFonts w:ascii="宋体" w:hAnsi="宋体" w:cs="宋体"/>
          <w:color w:val="auto"/>
          <w:sz w:val="24"/>
          <w:szCs w:val="24"/>
          <w:highlight w:val="none"/>
        </w:rPr>
        <w:t xml:space="preserve">  </w:t>
      </w:r>
    </w:p>
    <w:p>
      <w:pPr>
        <w:adjustRightIn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联系人：章女士          </w:t>
      </w:r>
    </w:p>
    <w:p>
      <w:pPr>
        <w:adjustRightInd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联系电话：13857523617</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．同级政府采购监督管理部门名称：上虞区财政局政府采购监管科</w:t>
      </w:r>
    </w:p>
    <w:p>
      <w:pPr>
        <w:adjustRightInd w:val="0"/>
        <w:spacing w:line="360" w:lineRule="auto"/>
        <w:ind w:firstLine="480" w:firstLineChars="200"/>
        <w:rPr>
          <w:rFonts w:hint="eastAsia" w:ascii="宋体" w:eastAsia="宋体"/>
          <w:color w:val="auto"/>
          <w:sz w:val="24"/>
          <w:szCs w:val="24"/>
          <w:highlight w:val="none"/>
          <w:lang w:eastAsia="zh-CN"/>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val="en-US" w:eastAsia="zh-CN"/>
        </w:rPr>
        <w:t>谷先生</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监督投诉电话：</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地址：绍兴市上虞区体育场路</w:t>
      </w:r>
      <w:r>
        <w:rPr>
          <w:rFonts w:ascii="宋体" w:hAnsi="宋体" w:cs="宋体"/>
          <w:color w:val="auto"/>
          <w:sz w:val="24"/>
          <w:szCs w:val="24"/>
          <w:highlight w:val="none"/>
        </w:rPr>
        <w:t>18</w:t>
      </w:r>
      <w:r>
        <w:rPr>
          <w:rFonts w:hint="eastAsia" w:ascii="宋体" w:hAnsi="宋体" w:cs="宋体"/>
          <w:color w:val="auto"/>
          <w:sz w:val="24"/>
          <w:szCs w:val="24"/>
          <w:highlight w:val="none"/>
        </w:rPr>
        <w:t>号</w:t>
      </w:r>
    </w:p>
    <w:p>
      <w:pPr>
        <w:spacing w:line="360" w:lineRule="auto"/>
        <w:jc w:val="center"/>
        <w:outlineLvl w:val="0"/>
        <w:rPr>
          <w:rFonts w:ascii="宋体"/>
          <w:b/>
          <w:bCs/>
          <w:color w:val="auto"/>
          <w:sz w:val="36"/>
          <w:szCs w:val="36"/>
          <w:highlight w:val="none"/>
        </w:rPr>
      </w:pPr>
      <w:r>
        <w:rPr>
          <w:rFonts w:ascii="宋体"/>
          <w:b/>
          <w:bCs/>
          <w:color w:val="auto"/>
          <w:sz w:val="36"/>
          <w:szCs w:val="36"/>
          <w:highlight w:val="none"/>
        </w:rPr>
        <w:br w:type="page"/>
      </w:r>
      <w:bookmarkStart w:id="8" w:name="_Toc29834"/>
      <w:bookmarkStart w:id="9" w:name="_Toc4346"/>
      <w:bookmarkStart w:id="10" w:name="_Toc546"/>
      <w:r>
        <w:rPr>
          <w:rStyle w:val="27"/>
          <w:rFonts w:hint="eastAsia" w:cs="宋体"/>
          <w:color w:val="auto"/>
          <w:sz w:val="36"/>
          <w:szCs w:val="36"/>
          <w:highlight w:val="none"/>
        </w:rPr>
        <w:t>第二部分</w:t>
      </w:r>
      <w:bookmarkEnd w:id="3"/>
      <w:r>
        <w:rPr>
          <w:rStyle w:val="27"/>
          <w:color w:val="auto"/>
          <w:sz w:val="36"/>
          <w:szCs w:val="36"/>
          <w:highlight w:val="none"/>
        </w:rPr>
        <w:t xml:space="preserve"> </w:t>
      </w:r>
      <w:bookmarkEnd w:id="4"/>
      <w:r>
        <w:rPr>
          <w:rStyle w:val="27"/>
          <w:rFonts w:hint="eastAsia" w:cs="宋体"/>
          <w:color w:val="auto"/>
          <w:sz w:val="36"/>
          <w:szCs w:val="36"/>
          <w:highlight w:val="none"/>
        </w:rPr>
        <w:t>供应商须知</w:t>
      </w:r>
      <w:bookmarkEnd w:id="8"/>
      <w:bookmarkEnd w:id="9"/>
      <w:bookmarkEnd w:id="10"/>
    </w:p>
    <w:p>
      <w:pPr>
        <w:widowControl/>
        <w:adjustRightInd w:val="0"/>
        <w:snapToGrid w:val="0"/>
        <w:spacing w:line="360" w:lineRule="auto"/>
        <w:jc w:val="center"/>
        <w:rPr>
          <w:rFonts w:ascii="宋体"/>
          <w:b/>
          <w:bCs/>
          <w:snapToGrid w:val="0"/>
          <w:color w:val="auto"/>
          <w:kern w:val="0"/>
          <w:sz w:val="32"/>
          <w:szCs w:val="32"/>
          <w:highlight w:val="none"/>
        </w:rPr>
      </w:pPr>
      <w:r>
        <w:rPr>
          <w:rFonts w:hint="eastAsia" w:ascii="宋体" w:hAnsi="宋体" w:cs="宋体"/>
          <w:b/>
          <w:bCs/>
          <w:snapToGrid w:val="0"/>
          <w:color w:val="auto"/>
          <w:kern w:val="0"/>
          <w:sz w:val="30"/>
          <w:szCs w:val="30"/>
          <w:highlight w:val="none"/>
        </w:rPr>
        <w:t>供应商须知前附表</w:t>
      </w:r>
    </w:p>
    <w:tbl>
      <w:tblPr>
        <w:tblStyle w:val="21"/>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序号</w:t>
            </w:r>
          </w:p>
        </w:tc>
        <w:tc>
          <w:tcPr>
            <w:tcW w:w="1800"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项目</w:t>
            </w:r>
          </w:p>
        </w:tc>
        <w:tc>
          <w:tcPr>
            <w:tcW w:w="6682"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项目名称</w:t>
            </w:r>
          </w:p>
        </w:tc>
        <w:tc>
          <w:tcPr>
            <w:tcW w:w="6682" w:type="dxa"/>
            <w:vAlign w:val="center"/>
          </w:tcPr>
          <w:p>
            <w:pPr>
              <w:snapToGrid w:val="0"/>
              <w:ind w:firstLine="420" w:firstLineChars="200"/>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lang w:eastAsia="zh-CN"/>
              </w:rPr>
              <w:t>上虞区新乡贤统战工作省级标准化试点项目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服务周期</w:t>
            </w:r>
          </w:p>
        </w:tc>
        <w:tc>
          <w:tcPr>
            <w:tcW w:w="6682" w:type="dxa"/>
            <w:vAlign w:val="center"/>
          </w:tcPr>
          <w:p>
            <w:pPr>
              <w:ind w:firstLine="422" w:firstLineChars="200"/>
              <w:rPr>
                <w:rFonts w:ascii="宋体"/>
                <w:color w:val="auto"/>
                <w:highlight w:val="none"/>
              </w:rPr>
            </w:pPr>
            <w:r>
              <w:rPr>
                <w:rFonts w:hint="eastAsia" w:ascii="宋体" w:hAnsi="宋体" w:cs="宋体"/>
                <w:b/>
                <w:bCs/>
                <w:snapToGrid w:val="0"/>
                <w:color w:val="auto"/>
                <w:kern w:val="0"/>
                <w:highlight w:val="none"/>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3</w:t>
            </w:r>
          </w:p>
        </w:tc>
        <w:tc>
          <w:tcPr>
            <w:tcW w:w="1800" w:type="dxa"/>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最高限价</w:t>
            </w:r>
          </w:p>
        </w:tc>
        <w:tc>
          <w:tcPr>
            <w:tcW w:w="6682" w:type="dxa"/>
            <w:vAlign w:val="center"/>
          </w:tcPr>
          <w:p>
            <w:pPr>
              <w:snapToGrid w:val="0"/>
              <w:ind w:firstLine="420" w:firstLineChars="200"/>
              <w:rPr>
                <w:rFonts w:ascii="宋体"/>
                <w:b/>
                <w:bCs/>
                <w:snapToGrid w:val="0"/>
                <w:color w:val="auto"/>
                <w:kern w:val="0"/>
                <w:highlight w:val="none"/>
              </w:rPr>
            </w:pPr>
            <w:r>
              <w:rPr>
                <w:rFonts w:hint="eastAsia" w:ascii="宋体" w:hAnsi="宋体" w:cs="宋体"/>
                <w:color w:val="auto"/>
                <w:highlight w:val="none"/>
              </w:rPr>
              <w:t>本项目最高限价人民币</w:t>
            </w:r>
            <w:r>
              <w:rPr>
                <w:rFonts w:ascii="宋体" w:hAnsi="宋体" w:cs="宋体"/>
                <w:color w:val="auto"/>
                <w:highlight w:val="none"/>
                <w:u w:val="single"/>
              </w:rPr>
              <w:t xml:space="preserve"> </w:t>
            </w:r>
            <w:r>
              <w:rPr>
                <w:rFonts w:hint="eastAsia" w:ascii="宋体" w:hAnsi="宋体" w:cs="宋体"/>
                <w:color w:val="auto"/>
                <w:highlight w:val="none"/>
                <w:u w:val="single"/>
                <w:lang w:val="en-US" w:eastAsia="zh-CN"/>
              </w:rPr>
              <w:t>49.9</w:t>
            </w:r>
            <w:r>
              <w:rPr>
                <w:rFonts w:ascii="宋体" w:hAnsi="宋体" w:cs="宋体"/>
                <w:color w:val="auto"/>
                <w:highlight w:val="none"/>
                <w:u w:val="single"/>
              </w:rPr>
              <w:t xml:space="preserve"> </w:t>
            </w:r>
            <w:r>
              <w:rPr>
                <w:rFonts w:hint="eastAsia" w:ascii="宋体" w:hAnsi="宋体" w:cs="宋体"/>
                <w:color w:val="auto"/>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 xml:space="preserve">                                                                                                   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资格审查方式</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踏勘现场</w:t>
            </w:r>
          </w:p>
        </w:tc>
        <w:tc>
          <w:tcPr>
            <w:tcW w:w="6682" w:type="dxa"/>
            <w:vAlign w:val="center"/>
          </w:tcPr>
          <w:p>
            <w:pPr>
              <w:snapToGrid w:val="0"/>
              <w:ind w:firstLine="422" w:firstLineChars="200"/>
              <w:rPr>
                <w:rFonts w:ascii="宋体"/>
                <w:snapToGrid w:val="0"/>
                <w:color w:val="auto"/>
                <w:kern w:val="0"/>
                <w:highlight w:val="none"/>
              </w:rPr>
            </w:pPr>
            <w:r>
              <w:rPr>
                <w:rFonts w:hint="eastAsia" w:ascii="宋体" w:hAnsi="宋体" w:cs="宋体"/>
                <w:b/>
                <w:bCs/>
                <w:snapToGrid w:val="0"/>
                <w:color w:val="auto"/>
                <w:kern w:val="0"/>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询问</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供应商对政府采购活动事项有疑问的，可以向采购机构提出询问，采购人或者招标代理机构应当在</w:t>
            </w:r>
            <w:r>
              <w:rPr>
                <w:rFonts w:ascii="宋体" w:hAnsi="宋体" w:cs="宋体"/>
                <w:snapToGrid w:val="0"/>
                <w:color w:val="auto"/>
                <w:kern w:val="0"/>
                <w:highlight w:val="none"/>
              </w:rPr>
              <w:t>3</w:t>
            </w:r>
            <w:r>
              <w:rPr>
                <w:rFonts w:hint="eastAsia" w:ascii="宋体" w:hAnsi="宋体" w:cs="宋体"/>
                <w:snapToGrid w:val="0"/>
                <w:color w:val="auto"/>
                <w:kern w:val="0"/>
                <w:highlight w:val="none"/>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磋商文件的澄清与修改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采购单位可以对已发出的磋商文件进行必要澄清或者修改，澄清或者修改的内容可能影响响应文件编制的，应当在提交首次响应文件截至时间至少</w:t>
            </w:r>
            <w:r>
              <w:rPr>
                <w:rFonts w:ascii="宋体" w:hAnsi="宋体" w:cs="宋体"/>
                <w:snapToGrid w:val="0"/>
                <w:color w:val="auto"/>
                <w:kern w:val="0"/>
                <w:highlight w:val="none"/>
              </w:rPr>
              <w:t>5</w:t>
            </w:r>
            <w:r>
              <w:rPr>
                <w:rFonts w:hint="eastAsia" w:ascii="宋体" w:hAnsi="宋体" w:cs="宋体"/>
                <w:snapToGrid w:val="0"/>
                <w:color w:val="auto"/>
                <w:kern w:val="0"/>
                <w:highlight w:val="none"/>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8</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磋商响应文件组成</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9</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评标办法</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10</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磋商响应文件递交地址及截止时间</w:t>
            </w:r>
          </w:p>
        </w:tc>
        <w:tc>
          <w:tcPr>
            <w:tcW w:w="6682" w:type="dxa"/>
            <w:vAlign w:val="center"/>
          </w:tcPr>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开标时间、地点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开标时间：</w:t>
            </w:r>
            <w:r>
              <w:rPr>
                <w:rFonts w:hint="eastAsia" w:ascii="宋体" w:hAnsi="宋体" w:cs="宋体"/>
                <w:color w:val="auto"/>
                <w:kern w:val="0"/>
                <w:highlight w:val="none"/>
              </w:rPr>
              <w:t>详见磋商公告</w:t>
            </w:r>
          </w:p>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开标地点：</w:t>
            </w:r>
            <w:r>
              <w:rPr>
                <w:rFonts w:hint="eastAsia" w:ascii="宋体" w:hAnsi="宋体" w:cs="宋体"/>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磋商响应文件有效期</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响应文件有效期为从提交响应文件的截止之日起</w:t>
            </w:r>
            <w:r>
              <w:rPr>
                <w:rFonts w:ascii="宋体" w:hAnsi="宋体" w:cs="宋体"/>
                <w:snapToGrid w:val="0"/>
                <w:color w:val="auto"/>
                <w:kern w:val="0"/>
                <w:highlight w:val="none"/>
              </w:rPr>
              <w:t>90</w:t>
            </w:r>
            <w:r>
              <w:rPr>
                <w:rFonts w:hint="eastAsia" w:ascii="宋体" w:hAnsi="宋体" w:cs="宋体"/>
                <w:snapToGrid w:val="0"/>
                <w:color w:val="auto"/>
                <w:kern w:val="0"/>
                <w:highlight w:val="none"/>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13</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履约保证金</w:t>
            </w:r>
          </w:p>
        </w:tc>
        <w:tc>
          <w:tcPr>
            <w:tcW w:w="6682" w:type="dxa"/>
            <w:vAlign w:val="center"/>
          </w:tcPr>
          <w:p>
            <w:pPr>
              <w:pStyle w:val="11"/>
              <w:adjustRightInd w:val="0"/>
              <w:snapToGrid w:val="0"/>
              <w:ind w:firstLine="420" w:firstLineChars="200"/>
              <w:rPr>
                <w:rFonts w:hAnsi="宋体" w:cs="Times New Roman"/>
                <w:snapToGrid w:val="0"/>
                <w:color w:val="auto"/>
                <w:kern w:val="0"/>
                <w:highlight w:val="none"/>
              </w:rPr>
            </w:pPr>
            <w:r>
              <w:rPr>
                <w:rFonts w:hint="eastAsia" w:hAnsi="宋体"/>
                <w:snapToGrid w:val="0"/>
                <w:color w:val="auto"/>
                <w:kern w:val="0"/>
                <w:highlight w:val="none"/>
              </w:rPr>
              <w:t>供应商在收到成交通知书后，需向采购人提供合同总价</w:t>
            </w:r>
            <w:r>
              <w:rPr>
                <w:rFonts w:hint="eastAsia" w:hAnsi="宋体"/>
                <w:snapToGrid w:val="0"/>
                <w:color w:val="auto"/>
                <w:kern w:val="0"/>
                <w:highlight w:val="none"/>
                <w:u w:val="single"/>
              </w:rPr>
              <w:t>　</w:t>
            </w:r>
            <w:r>
              <w:rPr>
                <w:rFonts w:hAnsi="宋体"/>
                <w:snapToGrid w:val="0"/>
                <w:color w:val="auto"/>
                <w:kern w:val="0"/>
                <w:highlight w:val="none"/>
                <w:u w:val="single"/>
              </w:rPr>
              <w:t>5</w:t>
            </w:r>
            <w:r>
              <w:rPr>
                <w:rFonts w:hint="eastAsia" w:hAnsi="宋体"/>
                <w:snapToGrid w:val="0"/>
                <w:color w:val="auto"/>
                <w:kern w:val="0"/>
                <w:highlight w:val="none"/>
                <w:u w:val="single"/>
              </w:rPr>
              <w:t>　</w:t>
            </w:r>
            <w:r>
              <w:rPr>
                <w:rFonts w:hAnsi="宋体"/>
                <w:snapToGrid w:val="0"/>
                <w:color w:val="auto"/>
                <w:kern w:val="0"/>
                <w:highlight w:val="none"/>
              </w:rPr>
              <w:t>%</w:t>
            </w:r>
            <w:r>
              <w:rPr>
                <w:rFonts w:hint="eastAsia" w:hAnsi="宋体"/>
                <w:snapToGrid w:val="0"/>
                <w:color w:val="auto"/>
                <w:kern w:val="0"/>
                <w:highlight w:val="none"/>
              </w:rPr>
              <w:t>的履约保证金，在供应商与采购人签订合同前递交。（供应商应当以支票、汇票、本票或者金融机构、保险公司、担保机构出具的保函等非现金形式提交）</w:t>
            </w:r>
          </w:p>
          <w:p>
            <w:pPr>
              <w:pStyle w:val="11"/>
              <w:snapToGrid w:val="0"/>
              <w:ind w:firstLine="420" w:firstLineChars="200"/>
              <w:rPr>
                <w:rFonts w:hAnsi="宋体" w:cs="Times New Roman"/>
                <w:color w:val="auto"/>
                <w:kern w:val="0"/>
                <w:highlight w:val="none"/>
              </w:rPr>
            </w:pPr>
            <w:r>
              <w:rPr>
                <w:rFonts w:hint="eastAsia"/>
                <w:color w:val="auto"/>
                <w:highlight w:val="none"/>
              </w:rPr>
              <w:t>履约保证金在项目验收合格且售后服务到期后无质量问题30天内予以无息退还。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磋商公告及成交结果公告发布媒体</w:t>
            </w:r>
          </w:p>
        </w:tc>
        <w:tc>
          <w:tcPr>
            <w:tcW w:w="6682" w:type="dxa"/>
            <w:vAlign w:val="center"/>
          </w:tcPr>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浙江省政府采购网、</w:t>
            </w:r>
            <w:r>
              <w:rPr>
                <w:rFonts w:hAnsi="宋体"/>
                <w:color w:val="auto"/>
                <w:kern w:val="0"/>
                <w:highlight w:val="none"/>
              </w:rPr>
              <w:t xml:space="preserve"> </w:t>
            </w:r>
            <w:r>
              <w:rPr>
                <w:rFonts w:hint="eastAsia" w:hAnsi="宋体"/>
                <w:color w:val="auto"/>
                <w:kern w:val="0"/>
                <w:highlight w:val="none"/>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color w:val="auto"/>
                <w:highlight w:val="none"/>
              </w:rPr>
            </w:pPr>
            <w:r>
              <w:rPr>
                <w:rFonts w:ascii="宋体" w:hAnsi="宋体" w:cs="宋体"/>
                <w:color w:val="auto"/>
                <w:highlight w:val="none"/>
              </w:rPr>
              <w:t>15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质疑</w:t>
            </w:r>
          </w:p>
        </w:tc>
        <w:tc>
          <w:tcPr>
            <w:tcW w:w="6682" w:type="dxa"/>
            <w:vAlign w:val="center"/>
          </w:tcPr>
          <w:p>
            <w:pPr>
              <w:ind w:firstLine="420" w:firstLineChars="200"/>
              <w:jc w:val="left"/>
              <w:rPr>
                <w:rFonts w:ascii="宋体"/>
                <w:color w:val="auto"/>
                <w:highlight w:val="none"/>
              </w:rPr>
            </w:pPr>
            <w:r>
              <w:rPr>
                <w:rFonts w:hint="eastAsia" w:ascii="宋体" w:hAnsi="宋体" w:cs="宋体"/>
                <w:color w:val="auto"/>
                <w:highlight w:val="none"/>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color w:val="auto"/>
                <w:highlight w:val="none"/>
              </w:rPr>
            </w:pPr>
            <w:r>
              <w:rPr>
                <w:rFonts w:hint="eastAsia" w:ascii="宋体" w:hAnsi="宋体" w:cs="宋体"/>
                <w:color w:val="auto"/>
                <w:highlight w:val="none"/>
              </w:rPr>
              <w:t>供应商认为磋商文件使自己的权益受到损害的，可以在磋商文件公告期限届满之日（公告发布后的第</w:t>
            </w:r>
            <w:r>
              <w:rPr>
                <w:rFonts w:ascii="宋体" w:hAnsi="宋体" w:cs="宋体"/>
                <w:color w:val="auto"/>
                <w:highlight w:val="none"/>
              </w:rPr>
              <w:t>6</w:t>
            </w:r>
            <w:r>
              <w:rPr>
                <w:rFonts w:hint="eastAsia" w:ascii="宋体" w:hAnsi="宋体" w:cs="宋体"/>
                <w:color w:val="auto"/>
                <w:highlight w:val="none"/>
              </w:rPr>
              <w:t>个工作日）起</w:t>
            </w:r>
            <w:r>
              <w:rPr>
                <w:rFonts w:ascii="宋体" w:hAnsi="宋体" w:cs="宋体"/>
                <w:color w:val="auto"/>
                <w:highlight w:val="none"/>
              </w:rPr>
              <w:t>7</w:t>
            </w:r>
            <w:r>
              <w:rPr>
                <w:rFonts w:hint="eastAsia" w:ascii="宋体" w:hAnsi="宋体" w:cs="宋体"/>
                <w:color w:val="auto"/>
                <w:highlight w:val="none"/>
              </w:rPr>
              <w:t>个工作日内，以书面形式向采购人和采购代理机构提出质疑。供应商在法定质疑期内应一次性提出针对同一采购程序环节的质疑。否则质疑将不予受理。</w:t>
            </w:r>
          </w:p>
          <w:p>
            <w:pPr>
              <w:ind w:firstLine="420" w:firstLineChars="200"/>
              <w:jc w:val="left"/>
              <w:rPr>
                <w:rFonts w:ascii="宋体"/>
                <w:color w:val="auto"/>
                <w:highlight w:val="none"/>
              </w:rPr>
            </w:pPr>
            <w:r>
              <w:rPr>
                <w:rFonts w:hint="eastAsia" w:ascii="宋体" w:hAnsi="宋体" w:cs="宋体"/>
                <w:color w:val="auto"/>
                <w:highlight w:val="none"/>
              </w:rPr>
              <w:t>供应商如认为采购过程使自身的合法权益受到损害的，应于各采购程序环节结束之日起七个工作日内以书面形式向采购机构提出质疑；</w:t>
            </w:r>
          </w:p>
          <w:p>
            <w:pPr>
              <w:snapToGrid w:val="0"/>
              <w:ind w:firstLine="420" w:firstLineChars="200"/>
              <w:jc w:val="left"/>
              <w:rPr>
                <w:rFonts w:ascii="宋体"/>
                <w:snapToGrid w:val="0"/>
                <w:color w:val="auto"/>
                <w:kern w:val="0"/>
                <w:highlight w:val="none"/>
              </w:rPr>
            </w:pPr>
            <w:r>
              <w:rPr>
                <w:rFonts w:hint="eastAsia" w:ascii="宋体" w:hAnsi="宋体" w:cs="宋体"/>
                <w:color w:val="auto"/>
                <w:highlight w:val="none"/>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color w:val="auto"/>
                <w:kern w:val="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投诉</w:t>
            </w:r>
          </w:p>
        </w:tc>
        <w:tc>
          <w:tcPr>
            <w:tcW w:w="6682" w:type="dxa"/>
            <w:vAlign w:val="center"/>
          </w:tcPr>
          <w:p>
            <w:pPr>
              <w:snapToGrid w:val="0"/>
              <w:ind w:firstLine="420" w:firstLineChars="200"/>
              <w:jc w:val="left"/>
              <w:rPr>
                <w:rFonts w:ascii="宋体"/>
                <w:snapToGrid w:val="0"/>
                <w:color w:val="auto"/>
                <w:kern w:val="0"/>
                <w:highlight w:val="none"/>
              </w:rPr>
            </w:pPr>
            <w:r>
              <w:rPr>
                <w:rFonts w:hint="eastAsia" w:ascii="宋体" w:hAnsi="宋体" w:cs="宋体"/>
                <w:snapToGrid w:val="0"/>
                <w:color w:val="auto"/>
                <w:kern w:val="0"/>
                <w:highlight w:val="none"/>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特别说明</w:t>
            </w:r>
          </w:p>
        </w:tc>
        <w:tc>
          <w:tcPr>
            <w:tcW w:w="6682" w:type="dxa"/>
            <w:vAlign w:val="center"/>
          </w:tcPr>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1"/>
              <w:snapToGrid w:val="0"/>
              <w:ind w:firstLine="420" w:firstLineChars="200"/>
              <w:jc w:val="left"/>
              <w:rPr>
                <w:rFonts w:hAnsi="宋体" w:cs="Times New Roman"/>
                <w:color w:val="auto"/>
                <w:kern w:val="0"/>
                <w:highlight w:val="none"/>
              </w:rPr>
            </w:pPr>
            <w:r>
              <w:rPr>
                <w:rFonts w:hint="eastAsia" w:hAnsi="宋体"/>
                <w:color w:val="auto"/>
                <w:kern w:val="0"/>
                <w:highlight w:val="none"/>
              </w:rPr>
              <w:t>质疑、投诉人未按前列进行质疑、投诉（申诉），均属于扰乱政府采购市场不良行为。</w:t>
            </w:r>
          </w:p>
          <w:p>
            <w:pPr>
              <w:pStyle w:val="11"/>
              <w:snapToGrid w:val="0"/>
              <w:ind w:firstLine="420" w:firstLineChars="200"/>
              <w:jc w:val="left"/>
              <w:rPr>
                <w:rFonts w:hAnsi="宋体" w:cs="Times New Roman"/>
                <w:b/>
                <w:bCs/>
                <w:color w:val="auto"/>
                <w:kern w:val="0"/>
                <w:highlight w:val="none"/>
              </w:rPr>
            </w:pPr>
            <w:r>
              <w:rPr>
                <w:rFonts w:hint="eastAsia" w:hAnsi="宋体"/>
                <w:color w:val="auto"/>
                <w:kern w:val="0"/>
                <w:highlight w:val="none"/>
              </w:rPr>
              <w:t>磋商文件中凡标注“</w:t>
            </w:r>
            <w:r>
              <w:rPr>
                <w:rFonts w:hint="eastAsia" w:hAnsi="宋体"/>
                <w:color w:val="auto"/>
                <w:highlight w:val="none"/>
              </w:rPr>
              <w:t>★</w:t>
            </w:r>
            <w:r>
              <w:rPr>
                <w:rFonts w:hint="eastAsia" w:hAnsi="宋体"/>
                <w:color w:val="auto"/>
                <w:kern w:val="0"/>
                <w:highlight w:val="none"/>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18</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招标代理服务费</w:t>
            </w:r>
          </w:p>
        </w:tc>
        <w:tc>
          <w:tcPr>
            <w:tcW w:w="6682" w:type="dxa"/>
            <w:vAlign w:val="center"/>
          </w:tcPr>
          <w:p>
            <w:pPr>
              <w:rPr>
                <w:rFonts w:ascii="宋体"/>
                <w:color w:val="auto"/>
                <w:kern w:val="1"/>
                <w:highlight w:val="none"/>
              </w:rPr>
            </w:pPr>
            <w:r>
              <w:rPr>
                <w:rFonts w:hint="eastAsia" w:ascii="宋体" w:hAnsi="宋体" w:cs="宋体"/>
                <w:color w:val="auto"/>
                <w:kern w:val="1"/>
                <w:highlight w:val="none"/>
              </w:rPr>
              <w:t>代理费用：成交供应商需向采购代理机构支付采购代理服务费，按下列计算方式计取。</w:t>
            </w:r>
          </w:p>
          <w:tbl>
            <w:tblPr>
              <w:tblStyle w:val="21"/>
              <w:tblW w:w="6103"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0"/>
              <w:gridCol w:w="1008"/>
              <w:gridCol w:w="1008"/>
              <w:gridCol w:w="9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olor w:val="auto"/>
                      <w:highlight w:val="none"/>
                    </w:rPr>
                  </w:pPr>
                  <w:r>
                    <w:rPr>
                      <w:rFonts w:hint="eastAsia" w:ascii="宋体" w:hAnsi="宋体" w:cs="宋体"/>
                      <w:color w:val="auto"/>
                      <w:highlight w:val="none"/>
                    </w:rPr>
                    <w:t>服务类型</w:t>
                  </w:r>
                  <w:r>
                    <w:rPr>
                      <w:rFonts w:ascii="宋体" w:hAnsi="宋体" w:cs="宋体"/>
                      <w:color w:val="auto"/>
                      <w:highlight w:val="none"/>
                    </w:rPr>
                    <w:t xml:space="preserve"> </w:t>
                  </w:r>
                  <w:r>
                    <w:rPr>
                      <w:rFonts w:hint="eastAsia" w:ascii="宋体" w:hAnsi="宋体" w:cs="宋体"/>
                      <w:color w:val="auto"/>
                      <w:highlight w:val="none"/>
                    </w:rPr>
                    <w:t>中标金额（万元）</w:t>
                  </w:r>
                </w:p>
              </w:tc>
              <w:tc>
                <w:tcPr>
                  <w:tcW w:w="1008" w:type="dxa"/>
                  <w:tcBorders>
                    <w:top w:val="outset" w:color="auto" w:sz="6" w:space="0"/>
                    <w:left w:val="outset" w:color="auto" w:sz="6" w:space="0"/>
                    <w:bottom w:val="outset" w:color="auto" w:sz="6" w:space="0"/>
                    <w:right w:val="outset" w:color="auto" w:sz="6" w:space="0"/>
                  </w:tcBorders>
                  <w:vAlign w:val="center"/>
                </w:tcPr>
                <w:p>
                  <w:pPr>
                    <w:pStyle w:val="18"/>
                    <w:jc w:val="center"/>
                    <w:rPr>
                      <w:rFonts w:cs="Times New Roman"/>
                      <w:color w:val="auto"/>
                      <w:sz w:val="21"/>
                      <w:szCs w:val="21"/>
                      <w:highlight w:val="none"/>
                    </w:rPr>
                  </w:pPr>
                  <w:r>
                    <w:rPr>
                      <w:rFonts w:hint="eastAsia"/>
                      <w:color w:val="auto"/>
                      <w:sz w:val="21"/>
                      <w:szCs w:val="21"/>
                      <w:highlight w:val="none"/>
                    </w:rPr>
                    <w:t>货物招标</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hint="eastAsia" w:ascii="宋体" w:hAnsi="宋体" w:cs="宋体"/>
                      <w:color w:val="auto"/>
                      <w:highlight w:val="none"/>
                    </w:rPr>
                    <w:t>服务招标</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hint="eastAsia" w:ascii="宋体" w:hAnsi="宋体" w:cs="宋体"/>
                      <w:color w:val="auto"/>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olor w:val="auto"/>
                      <w:highlight w:val="none"/>
                    </w:rPr>
                  </w:pPr>
                  <w:r>
                    <w:rPr>
                      <w:rFonts w:ascii="宋体" w:hAnsi="宋体" w:cs="宋体"/>
                      <w:color w:val="auto"/>
                      <w:highlight w:val="none"/>
                    </w:rPr>
                    <w:t>100</w:t>
                  </w:r>
                  <w:r>
                    <w:rPr>
                      <w:rFonts w:hint="eastAsia" w:ascii="宋体" w:hAnsi="宋体" w:cs="宋体"/>
                      <w:color w:val="auto"/>
                      <w:highlight w:val="none"/>
                    </w:rPr>
                    <w:t>以下</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1.5</w:t>
                  </w:r>
                  <w:r>
                    <w:rPr>
                      <w:rFonts w:hint="eastAsia" w:ascii="宋体" w:hAnsi="宋体" w:cs="宋体"/>
                      <w:color w:val="auto"/>
                      <w:highlight w:val="none"/>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1.5</w:t>
                  </w:r>
                  <w:r>
                    <w:rPr>
                      <w:rFonts w:hint="eastAsia" w:ascii="宋体" w:hAnsi="宋体" w:cs="宋体"/>
                      <w:color w:val="auto"/>
                      <w:highlight w:val="none"/>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1.0</w:t>
                  </w:r>
                  <w:r>
                    <w:rPr>
                      <w:rFonts w:hint="eastAsia" w:ascii="宋体" w:hAnsi="宋体" w:cs="宋体"/>
                      <w:color w:val="auto"/>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olor w:val="auto"/>
                      <w:highlight w:val="none"/>
                    </w:rPr>
                  </w:pPr>
                  <w:r>
                    <w:rPr>
                      <w:rFonts w:ascii="宋体" w:hAnsi="宋体" w:cs="宋体"/>
                      <w:color w:val="auto"/>
                      <w:highlight w:val="none"/>
                    </w:rPr>
                    <w:t>100—500</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0.8</w:t>
                  </w:r>
                  <w:r>
                    <w:rPr>
                      <w:rFonts w:hint="eastAsia" w:ascii="宋体" w:hAnsi="宋体" w:cs="宋体"/>
                      <w:color w:val="auto"/>
                      <w:highlight w:val="none"/>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0.7</w:t>
                  </w:r>
                  <w:r>
                    <w:rPr>
                      <w:rFonts w:hint="eastAsia" w:ascii="宋体" w:hAnsi="宋体" w:cs="宋体"/>
                      <w:color w:val="auto"/>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olor w:val="auto"/>
                      <w:highlight w:val="none"/>
                    </w:rPr>
                  </w:pPr>
                  <w:r>
                    <w:rPr>
                      <w:rFonts w:ascii="宋体" w:hAnsi="宋体" w:cs="宋体"/>
                      <w:color w:val="auto"/>
                      <w:highlight w:val="none"/>
                    </w:rPr>
                    <w:t>500—1000</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0.8</w:t>
                  </w:r>
                  <w:r>
                    <w:rPr>
                      <w:rFonts w:hint="eastAsia" w:ascii="宋体" w:hAnsi="宋体" w:cs="宋体"/>
                      <w:color w:val="auto"/>
                      <w:highlight w:val="none"/>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0.45</w:t>
                  </w:r>
                  <w:r>
                    <w:rPr>
                      <w:rFonts w:hint="eastAsia" w:ascii="宋体" w:hAnsi="宋体" w:cs="宋体"/>
                      <w:color w:val="auto"/>
                      <w:highlight w:val="none"/>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0.55</w:t>
                  </w:r>
                  <w:r>
                    <w:rPr>
                      <w:rFonts w:hint="eastAsia" w:ascii="宋体" w:hAnsi="宋体" w:cs="宋体"/>
                      <w:color w:val="auto"/>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olor w:val="auto"/>
                      <w:highlight w:val="none"/>
                    </w:rPr>
                  </w:pPr>
                  <w:r>
                    <w:rPr>
                      <w:rFonts w:ascii="宋体" w:hAnsi="宋体" w:cs="宋体"/>
                      <w:color w:val="auto"/>
                      <w:highlight w:val="none"/>
                    </w:rPr>
                    <w:t>1000—5000</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0.5</w:t>
                  </w:r>
                  <w:r>
                    <w:rPr>
                      <w:rFonts w:hint="eastAsia" w:ascii="宋体" w:hAnsi="宋体" w:cs="宋体"/>
                      <w:color w:val="auto"/>
                      <w:highlight w:val="none"/>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0.25</w:t>
                  </w:r>
                  <w:r>
                    <w:rPr>
                      <w:rFonts w:hint="eastAsia" w:ascii="宋体" w:hAnsi="宋体" w:cs="宋体"/>
                      <w:color w:val="auto"/>
                      <w:highlight w:val="none"/>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0.35</w:t>
                  </w:r>
                  <w:r>
                    <w:rPr>
                      <w:rFonts w:hint="eastAsia" w:ascii="宋体" w:hAnsi="宋体" w:cs="宋体"/>
                      <w:color w:val="auto"/>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olor w:val="auto"/>
                      <w:highlight w:val="none"/>
                    </w:rPr>
                  </w:pPr>
                  <w:r>
                    <w:rPr>
                      <w:rFonts w:ascii="宋体" w:hAnsi="宋体" w:cs="宋体"/>
                      <w:color w:val="auto"/>
                      <w:highlight w:val="none"/>
                    </w:rPr>
                    <w:t>5000—10000</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0.25</w:t>
                  </w:r>
                  <w:r>
                    <w:rPr>
                      <w:rFonts w:hint="eastAsia" w:ascii="宋体" w:hAnsi="宋体" w:cs="宋体"/>
                      <w:color w:val="auto"/>
                      <w:highlight w:val="none"/>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0.1</w:t>
                  </w:r>
                  <w:r>
                    <w:rPr>
                      <w:rFonts w:hint="eastAsia" w:ascii="宋体" w:hAnsi="宋体" w:cs="宋体"/>
                      <w:color w:val="auto"/>
                      <w:highlight w:val="none"/>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0.2</w:t>
                  </w:r>
                  <w:r>
                    <w:rPr>
                      <w:rFonts w:hint="eastAsia" w:ascii="宋体" w:hAnsi="宋体" w:cs="宋体"/>
                      <w:color w:val="auto"/>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olor w:val="auto"/>
                      <w:highlight w:val="none"/>
                    </w:rPr>
                  </w:pPr>
                  <w:r>
                    <w:rPr>
                      <w:rFonts w:ascii="宋体" w:hAnsi="宋体" w:cs="宋体"/>
                      <w:color w:val="auto"/>
                      <w:highlight w:val="none"/>
                    </w:rPr>
                    <w:t>10000——100000</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0.05</w:t>
                  </w:r>
                  <w:r>
                    <w:rPr>
                      <w:rFonts w:hint="eastAsia" w:ascii="宋体" w:hAnsi="宋体" w:cs="宋体"/>
                      <w:color w:val="auto"/>
                      <w:highlight w:val="none"/>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0.05</w:t>
                  </w:r>
                  <w:r>
                    <w:rPr>
                      <w:rFonts w:hint="eastAsia" w:ascii="宋体" w:hAnsi="宋体" w:cs="宋体"/>
                      <w:color w:val="auto"/>
                      <w:highlight w:val="none"/>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0.05</w:t>
                  </w:r>
                  <w:r>
                    <w:rPr>
                      <w:rFonts w:hint="eastAsia" w:ascii="宋体" w:hAnsi="宋体" w:cs="宋体"/>
                      <w:color w:val="auto"/>
                      <w:highlight w:val="non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0" w:type="dxa"/>
                  <w:tcBorders>
                    <w:top w:val="outset" w:color="auto" w:sz="6" w:space="0"/>
                    <w:left w:val="outset" w:color="auto" w:sz="6" w:space="0"/>
                    <w:bottom w:val="outset" w:color="auto" w:sz="6" w:space="0"/>
                    <w:right w:val="outset" w:color="auto" w:sz="6" w:space="0"/>
                  </w:tcBorders>
                  <w:vAlign w:val="center"/>
                </w:tcPr>
                <w:p>
                  <w:pPr>
                    <w:rPr>
                      <w:rFonts w:ascii="宋体"/>
                      <w:color w:val="auto"/>
                      <w:highlight w:val="none"/>
                    </w:rPr>
                  </w:pPr>
                  <w:r>
                    <w:rPr>
                      <w:rFonts w:ascii="宋体" w:hAnsi="宋体" w:cs="宋体"/>
                      <w:color w:val="auto"/>
                      <w:highlight w:val="none"/>
                    </w:rPr>
                    <w:t>1000000</w:t>
                  </w:r>
                  <w:r>
                    <w:rPr>
                      <w:rFonts w:hint="eastAsia" w:ascii="宋体" w:hAnsi="宋体" w:cs="宋体"/>
                      <w:color w:val="auto"/>
                      <w:highlight w:val="none"/>
                    </w:rPr>
                    <w:t>以上</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0.01</w:t>
                  </w:r>
                  <w:r>
                    <w:rPr>
                      <w:rFonts w:hint="eastAsia" w:ascii="宋体" w:hAnsi="宋体" w:cs="宋体"/>
                      <w:color w:val="auto"/>
                      <w:highlight w:val="none"/>
                    </w:rPr>
                    <w:t>％</w:t>
                  </w:r>
                </w:p>
              </w:tc>
              <w:tc>
                <w:tcPr>
                  <w:tcW w:w="1008"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0.01</w:t>
                  </w:r>
                  <w:r>
                    <w:rPr>
                      <w:rFonts w:hint="eastAsia" w:ascii="宋体" w:hAnsi="宋体" w:cs="宋体"/>
                      <w:color w:val="auto"/>
                      <w:highlight w:val="none"/>
                    </w:rPr>
                    <w:t>％</w:t>
                  </w:r>
                </w:p>
              </w:tc>
              <w:tc>
                <w:tcPr>
                  <w:tcW w:w="977" w:type="dxa"/>
                  <w:tcBorders>
                    <w:top w:val="outset" w:color="auto" w:sz="6" w:space="0"/>
                    <w:left w:val="outset" w:color="auto" w:sz="6" w:space="0"/>
                    <w:bottom w:val="outset" w:color="auto" w:sz="6" w:space="0"/>
                    <w:right w:val="outset" w:color="auto" w:sz="6" w:space="0"/>
                  </w:tcBorders>
                  <w:vAlign w:val="center"/>
                </w:tcPr>
                <w:p>
                  <w:pPr>
                    <w:jc w:val="center"/>
                    <w:rPr>
                      <w:rFonts w:ascii="宋体"/>
                      <w:color w:val="auto"/>
                      <w:highlight w:val="none"/>
                    </w:rPr>
                  </w:pPr>
                  <w:r>
                    <w:rPr>
                      <w:rFonts w:ascii="宋体" w:hAnsi="宋体" w:cs="宋体"/>
                      <w:color w:val="auto"/>
                      <w:highlight w:val="none"/>
                    </w:rPr>
                    <w:t>0.01</w:t>
                  </w:r>
                  <w:r>
                    <w:rPr>
                      <w:rFonts w:hint="eastAsia" w:ascii="宋体" w:hAnsi="宋体" w:cs="宋体"/>
                      <w:color w:val="auto"/>
                      <w:highlight w:val="none"/>
                    </w:rPr>
                    <w:t>％</w:t>
                  </w:r>
                </w:p>
              </w:tc>
            </w:tr>
          </w:tbl>
          <w:p>
            <w:pPr>
              <w:ind w:firstLine="420" w:firstLineChars="200"/>
              <w:rPr>
                <w:rFonts w:ascii="宋体"/>
                <w:snapToGrid w:val="0"/>
                <w:color w:val="auto"/>
                <w:kern w:val="0"/>
                <w:highlight w:val="none"/>
              </w:rPr>
            </w:pPr>
            <w:r>
              <w:rPr>
                <w:rFonts w:hint="eastAsia" w:ascii="宋体" w:hAnsi="宋体" w:cs="宋体"/>
                <w:color w:val="auto"/>
                <w:kern w:val="1"/>
                <w:highlight w:val="none"/>
              </w:rPr>
              <w:t>结算方式及时间为：在领取成交通知书前由成交供应商一次性向采购代理机构付清。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19</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支</w:t>
            </w:r>
          </w:p>
          <w:p>
            <w:pPr>
              <w:snapToGrid w:val="0"/>
              <w:jc w:val="center"/>
              <w:rPr>
                <w:rFonts w:ascii="宋体"/>
                <w:color w:val="auto"/>
                <w:highlight w:val="none"/>
              </w:rPr>
            </w:pPr>
            <w:r>
              <w:rPr>
                <w:rFonts w:hint="eastAsia" w:ascii="宋体" w:hAnsi="宋体" w:cs="宋体"/>
                <w:color w:val="auto"/>
                <w:highlight w:val="none"/>
              </w:rPr>
              <w:t>持</w:t>
            </w:r>
          </w:p>
          <w:p>
            <w:pPr>
              <w:snapToGrid w:val="0"/>
              <w:jc w:val="center"/>
              <w:rPr>
                <w:rFonts w:ascii="宋体"/>
                <w:color w:val="auto"/>
                <w:highlight w:val="none"/>
              </w:rPr>
            </w:pPr>
            <w:r>
              <w:rPr>
                <w:rFonts w:hint="eastAsia" w:ascii="宋体" w:hAnsi="宋体" w:cs="宋体"/>
                <w:color w:val="auto"/>
                <w:highlight w:val="none"/>
              </w:rPr>
              <w:t>中</w:t>
            </w:r>
          </w:p>
          <w:p>
            <w:pPr>
              <w:snapToGrid w:val="0"/>
              <w:jc w:val="center"/>
              <w:rPr>
                <w:rFonts w:ascii="宋体"/>
                <w:color w:val="auto"/>
                <w:highlight w:val="none"/>
              </w:rPr>
            </w:pPr>
            <w:r>
              <w:rPr>
                <w:rFonts w:hint="eastAsia" w:ascii="宋体" w:hAnsi="宋体" w:cs="宋体"/>
                <w:color w:val="auto"/>
                <w:highlight w:val="none"/>
              </w:rPr>
              <w:t>小</w:t>
            </w:r>
          </w:p>
          <w:p>
            <w:pPr>
              <w:snapToGrid w:val="0"/>
              <w:jc w:val="center"/>
              <w:rPr>
                <w:rFonts w:ascii="宋体"/>
                <w:color w:val="auto"/>
                <w:highlight w:val="none"/>
              </w:rPr>
            </w:pPr>
            <w:r>
              <w:rPr>
                <w:rFonts w:hint="eastAsia" w:ascii="宋体" w:hAnsi="宋体" w:cs="宋体"/>
                <w:color w:val="auto"/>
                <w:highlight w:val="none"/>
              </w:rPr>
              <w:t>企</w:t>
            </w:r>
          </w:p>
          <w:p>
            <w:pPr>
              <w:snapToGrid w:val="0"/>
              <w:jc w:val="center"/>
              <w:rPr>
                <w:rFonts w:ascii="宋体"/>
                <w:color w:val="auto"/>
                <w:highlight w:val="none"/>
              </w:rPr>
            </w:pPr>
            <w:r>
              <w:rPr>
                <w:rFonts w:hint="eastAsia" w:ascii="宋体" w:hAnsi="宋体" w:cs="宋体"/>
                <w:color w:val="auto"/>
                <w:highlight w:val="none"/>
              </w:rPr>
              <w:t>业</w:t>
            </w:r>
          </w:p>
          <w:p>
            <w:pPr>
              <w:snapToGrid w:val="0"/>
              <w:jc w:val="center"/>
              <w:rPr>
                <w:rFonts w:ascii="宋体"/>
                <w:color w:val="auto"/>
                <w:highlight w:val="none"/>
              </w:rPr>
            </w:pP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价格扣除：根据工信部等部委发布的《关于印发中小企业划型标准规定的通知》（工信部联企业〔</w:t>
            </w:r>
            <w:r>
              <w:rPr>
                <w:rFonts w:ascii="宋体" w:hAnsi="宋体" w:cs="宋体"/>
                <w:color w:val="auto"/>
                <w:highlight w:val="none"/>
              </w:rPr>
              <w:t>2011</w:t>
            </w:r>
            <w:r>
              <w:rPr>
                <w:rFonts w:hint="eastAsia" w:ascii="宋体" w:hAnsi="宋体" w:cs="宋体"/>
                <w:color w:val="auto"/>
                <w:highlight w:val="none"/>
              </w:rPr>
              <w:t>〕</w:t>
            </w:r>
            <w:r>
              <w:rPr>
                <w:rFonts w:ascii="宋体" w:hAnsi="宋体" w:cs="宋体"/>
                <w:color w:val="auto"/>
                <w:highlight w:val="none"/>
              </w:rPr>
              <w:t>300</w:t>
            </w:r>
            <w:r>
              <w:rPr>
                <w:rFonts w:hint="eastAsia" w:ascii="宋体" w:hAnsi="宋体" w:cs="宋体"/>
                <w:color w:val="auto"/>
                <w:highlight w:val="none"/>
              </w:rPr>
              <w:t>号），根据具体品目确定相应标准。符合上述条件的中小微型企业应按照磋商文件附件</w:t>
            </w:r>
            <w:r>
              <w:rPr>
                <w:rFonts w:ascii="宋体" w:hAnsi="宋体" w:cs="宋体"/>
                <w:color w:val="auto"/>
                <w:highlight w:val="none"/>
              </w:rPr>
              <w:t>12</w:t>
            </w:r>
            <w:r>
              <w:rPr>
                <w:rFonts w:hint="eastAsia" w:ascii="宋体" w:hAnsi="宋体" w:cs="宋体"/>
                <w:color w:val="auto"/>
                <w:highlight w:val="none"/>
              </w:rPr>
              <w:t>的格式要求提供《中小企业声明函》。符合《关于促进残疾人就业政府采购政策的通知》（财库〔</w:t>
            </w:r>
            <w:r>
              <w:rPr>
                <w:rFonts w:ascii="宋体" w:hAnsi="宋体" w:cs="宋体"/>
                <w:color w:val="auto"/>
                <w:highlight w:val="none"/>
              </w:rPr>
              <w:t>2017</w:t>
            </w:r>
            <w:r>
              <w:rPr>
                <w:rFonts w:hint="eastAsia" w:ascii="宋体" w:hAnsi="宋体" w:cs="宋体"/>
                <w:color w:val="auto"/>
                <w:highlight w:val="none"/>
              </w:rPr>
              <w:t>〕</w:t>
            </w:r>
            <w:r>
              <w:rPr>
                <w:rFonts w:ascii="宋体" w:hAnsi="宋体" w:cs="宋体"/>
                <w:color w:val="auto"/>
                <w:highlight w:val="none"/>
              </w:rPr>
              <w:t>141</w:t>
            </w:r>
            <w:r>
              <w:rPr>
                <w:rFonts w:hint="eastAsia" w:ascii="宋体" w:hAnsi="宋体" w:cs="宋体"/>
                <w:color w:val="auto"/>
                <w:highlight w:val="none"/>
              </w:rPr>
              <w:t>号）规定的条件并提供《残疾人福利性单位声明函》（附件</w:t>
            </w:r>
            <w:r>
              <w:rPr>
                <w:rFonts w:ascii="宋体" w:hAnsi="宋体" w:cs="宋体"/>
                <w:color w:val="auto"/>
                <w:highlight w:val="none"/>
              </w:rPr>
              <w:t>14</w:t>
            </w:r>
            <w:r>
              <w:rPr>
                <w:rFonts w:hint="eastAsia" w:ascii="宋体" w:hAnsi="宋体" w:cs="宋体"/>
                <w:color w:val="auto"/>
                <w:highlight w:val="none"/>
              </w:rPr>
              <w:t>）的残疾人福利性单位视同小型、微型企业；根据《关于政府采购支持监狱企业发展有关问题的通知》（财库</w:t>
            </w:r>
            <w:r>
              <w:rPr>
                <w:rFonts w:ascii="宋体" w:hAnsi="宋体" w:cs="宋体"/>
                <w:color w:val="auto"/>
                <w:highlight w:val="none"/>
              </w:rPr>
              <w:t>[2014]68</w:t>
            </w:r>
            <w:r>
              <w:rPr>
                <w:rFonts w:hint="eastAsia" w:ascii="宋体" w:hAnsi="宋体" w:cs="宋体"/>
                <w:color w:val="auto"/>
                <w:highlight w:val="none"/>
              </w:rPr>
              <w:t>号）的规定，供应商提供由省级以上监狱管理局、戒毒管理局（含新疆生产建设兵团）出具的属于监狱企业证明文件的，视同为小型和微型企业。</w:t>
            </w:r>
          </w:p>
          <w:p>
            <w:pPr>
              <w:ind w:firstLine="420" w:firstLineChars="200"/>
              <w:rPr>
                <w:rFonts w:ascii="宋体"/>
                <w:color w:val="auto"/>
                <w:highlight w:val="none"/>
              </w:rPr>
            </w:pPr>
            <w:r>
              <w:rPr>
                <w:rFonts w:hint="eastAsia" w:ascii="宋体" w:hAnsi="宋体" w:cs="宋体"/>
                <w:color w:val="auto"/>
                <w:highlight w:val="none"/>
              </w:rPr>
              <w:t>根据财政部发布的《政府采购促进中小企业发展暂行办法》规定，对于非专门面向此类企业的项目，对小型和微型企业产品的投标价格给予</w:t>
            </w:r>
            <w:r>
              <w:rPr>
                <w:rFonts w:ascii="宋体" w:hAnsi="宋体" w:cs="宋体"/>
                <w:color w:val="auto"/>
                <w:highlight w:val="none"/>
              </w:rPr>
              <w:t>6%</w:t>
            </w:r>
            <w:r>
              <w:rPr>
                <w:rFonts w:hint="eastAsia" w:ascii="宋体" w:hAnsi="宋体" w:cs="宋体"/>
                <w:color w:val="auto"/>
                <w:highlight w:val="none"/>
              </w:rPr>
              <w:t>的扣除，用扣除后的价格参与评审。</w:t>
            </w:r>
          </w:p>
          <w:p>
            <w:pPr>
              <w:ind w:firstLine="420" w:firstLineChars="200"/>
              <w:rPr>
                <w:rFonts w:ascii="宋体"/>
                <w:color w:val="auto"/>
                <w:highlight w:val="none"/>
              </w:rPr>
            </w:pPr>
            <w:r>
              <w:rPr>
                <w:rFonts w:hint="eastAsia" w:ascii="宋体" w:hAnsi="宋体" w:cs="宋体"/>
                <w:color w:val="auto"/>
                <w:highlight w:val="none"/>
              </w:rPr>
              <w:t>小型、微型企业与大中型企业和其他自然人、法人或者其他组织组成联合体共同参加非专门面向中小企业的政府采购活动。联合协议中约定，小型、微型企业的协议合同金额占到联合体协议合同总金额</w:t>
            </w:r>
            <w:r>
              <w:rPr>
                <w:rFonts w:ascii="宋体" w:hAnsi="宋体" w:cs="宋体"/>
                <w:color w:val="auto"/>
                <w:highlight w:val="none"/>
              </w:rPr>
              <w:t>30%</w:t>
            </w:r>
            <w:r>
              <w:rPr>
                <w:rFonts w:hint="eastAsia" w:ascii="宋体" w:hAnsi="宋体" w:cs="宋体"/>
                <w:color w:val="auto"/>
                <w:highlight w:val="none"/>
              </w:rPr>
              <w:t>以上的，可给予联合体</w:t>
            </w:r>
            <w:r>
              <w:rPr>
                <w:rFonts w:ascii="宋体" w:hAnsi="宋体" w:cs="宋体"/>
                <w:color w:val="auto"/>
                <w:highlight w:val="none"/>
              </w:rPr>
              <w:t>2%</w:t>
            </w:r>
            <w:r>
              <w:rPr>
                <w:rFonts w:hint="eastAsia" w:ascii="宋体" w:hAnsi="宋体" w:cs="宋体"/>
                <w:color w:val="auto"/>
                <w:highlight w:val="none"/>
              </w:rPr>
              <w:t>的投标价格扣除。</w:t>
            </w:r>
          </w:p>
          <w:p>
            <w:pPr>
              <w:ind w:firstLine="420" w:firstLineChars="200"/>
              <w:rPr>
                <w:rFonts w:ascii="宋体"/>
                <w:color w:val="auto"/>
                <w:highlight w:val="none"/>
              </w:rPr>
            </w:pPr>
            <w:r>
              <w:rPr>
                <w:rFonts w:hint="eastAsia" w:ascii="宋体" w:hAnsi="宋体" w:cs="宋体"/>
                <w:color w:val="auto"/>
                <w:highlight w:val="none"/>
              </w:rPr>
              <w:t>联合体各方均为小型、微型企业的，联合体视同为小型、微型企业。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20</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是否允许分包</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不允许</w:t>
            </w:r>
            <w:r>
              <w:rPr>
                <w:rFonts w:hint="eastAsia" w:ascii="宋体" w:hAnsi="宋体" w:cs="宋体"/>
                <w:color w:val="auto"/>
                <w:highlight w:val="none"/>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21</w:t>
            </w:r>
          </w:p>
        </w:tc>
        <w:tc>
          <w:tcPr>
            <w:tcW w:w="1800" w:type="dxa"/>
            <w:tcBorders>
              <w:top w:val="sing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是否提供演示</w:t>
            </w:r>
          </w:p>
        </w:tc>
        <w:tc>
          <w:tcPr>
            <w:tcW w:w="6682" w:type="dxa"/>
            <w:tcBorders>
              <w:top w:val="single" w:color="auto" w:sz="4" w:space="0"/>
            </w:tcBorders>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不需要</w:t>
            </w:r>
            <w:r>
              <w:rPr>
                <w:rFonts w:hint="eastAsia" w:ascii="宋体" w:hAnsi="宋体" w:cs="宋体"/>
                <w:color w:val="auto"/>
                <w:highlight w:val="none"/>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22</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供应商信用信息查询渠道及截止时点、信用信息查询记录和证据留存的具体方式、信用信息的使用规则</w:t>
            </w:r>
          </w:p>
        </w:tc>
        <w:tc>
          <w:tcPr>
            <w:tcW w:w="6682" w:type="dxa"/>
            <w:vAlign w:val="center"/>
          </w:tcPr>
          <w:p>
            <w:pPr>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、查询渠道：信用中国（网址：</w:t>
            </w:r>
            <w:r>
              <w:rPr>
                <w:rFonts w:ascii="宋体" w:hAnsi="宋体" w:cs="宋体"/>
                <w:color w:val="auto"/>
                <w:highlight w:val="none"/>
              </w:rPr>
              <w:t>http://www.creditchina.gov.cn</w:t>
            </w:r>
            <w:r>
              <w:rPr>
                <w:rFonts w:hint="eastAsia" w:ascii="宋体" w:hAnsi="宋体" w:cs="宋体"/>
                <w:color w:val="auto"/>
                <w:highlight w:val="none"/>
              </w:rPr>
              <w:t>）、中国政府采购网</w:t>
            </w:r>
            <w:r>
              <w:rPr>
                <w:rFonts w:ascii="宋体" w:hAnsi="宋体" w:cs="宋体"/>
                <w:color w:val="auto"/>
                <w:highlight w:val="none"/>
              </w:rPr>
              <w:t>(</w:t>
            </w:r>
            <w:r>
              <w:rPr>
                <w:rFonts w:hint="eastAsia" w:ascii="宋体" w:hAnsi="宋体" w:cs="宋体"/>
                <w:color w:val="auto"/>
                <w:highlight w:val="none"/>
              </w:rPr>
              <w:t>网址：</w:t>
            </w:r>
            <w:r>
              <w:rPr>
                <w:rFonts w:ascii="宋体" w:hAnsi="宋体" w:cs="宋体"/>
                <w:color w:val="auto"/>
                <w:highlight w:val="none"/>
              </w:rPr>
              <w:t>http://www.ccgp.gov.cn</w:t>
            </w:r>
            <w:r>
              <w:rPr>
                <w:rFonts w:hint="eastAsia" w:ascii="宋体" w:hAnsi="宋体" w:cs="宋体"/>
                <w:color w:val="auto"/>
                <w:highlight w:val="none"/>
              </w:rPr>
              <w:t>）。</w:t>
            </w:r>
          </w:p>
          <w:p>
            <w:pPr>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、截止时点：开标后评标前。</w:t>
            </w:r>
          </w:p>
          <w:p>
            <w:pPr>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、信用信息查询记录和证据留存的具体方式：由采购组织机构在规定查询时间内打印信用信息查询记录并归入项目档案。</w:t>
            </w:r>
          </w:p>
          <w:p>
            <w:pPr>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23</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金融支持</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为支持和促进中小企业发展，进一步发挥政府采购政策功能，浙江省财政厅出台浙财采监〔</w:t>
            </w:r>
            <w:r>
              <w:rPr>
                <w:rFonts w:ascii="宋体" w:hAnsi="宋体" w:cs="宋体"/>
                <w:color w:val="auto"/>
                <w:highlight w:val="none"/>
              </w:rPr>
              <w:t>2020</w:t>
            </w:r>
            <w:r>
              <w:rPr>
                <w:rFonts w:hint="eastAsia" w:ascii="宋体" w:hAnsi="宋体" w:cs="宋体"/>
                <w:color w:val="auto"/>
                <w:highlight w:val="none"/>
              </w:rPr>
              <w:t>〕</w:t>
            </w:r>
            <w:r>
              <w:rPr>
                <w:rFonts w:ascii="宋体" w:hAnsi="宋体" w:cs="宋体"/>
                <w:color w:val="auto"/>
                <w:highlight w:val="none"/>
              </w:rPr>
              <w:t xml:space="preserve">3 </w:t>
            </w:r>
            <w:r>
              <w:rPr>
                <w:rFonts w:hint="eastAsia" w:ascii="宋体" w:hAnsi="宋体" w:cs="宋体"/>
                <w:color w:val="auto"/>
                <w:highlight w:val="none"/>
              </w:rPr>
              <w:t>号文件，企业若有融资意向，可登陆政采云平台融资服务（</w:t>
            </w:r>
            <w:r>
              <w:rPr>
                <w:rFonts w:ascii="宋体" w:hAnsi="宋体" w:cs="宋体"/>
                <w:color w:val="auto"/>
                <w:highlight w:val="none"/>
              </w:rPr>
              <w:t>https://jinrong.zcygov.cn/</w:t>
            </w:r>
            <w:r>
              <w:rPr>
                <w:rFonts w:hint="eastAsia" w:ascii="宋体" w:hAnsi="宋体" w:cs="宋体"/>
                <w:color w:val="auto"/>
                <w:highlight w:val="none"/>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24</w:t>
            </w:r>
          </w:p>
        </w:tc>
        <w:tc>
          <w:tcPr>
            <w:tcW w:w="1800" w:type="dxa"/>
            <w:tcBorders>
              <w:bottom w:val="doub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其他</w:t>
            </w:r>
          </w:p>
        </w:tc>
        <w:tc>
          <w:tcPr>
            <w:tcW w:w="6682" w:type="dxa"/>
            <w:tcBorders>
              <w:bottom w:val="double" w:color="auto" w:sz="4" w:space="0"/>
            </w:tcBorders>
            <w:vAlign w:val="center"/>
          </w:tcPr>
          <w:p>
            <w:pPr>
              <w:ind w:firstLine="422" w:firstLineChars="200"/>
              <w:rPr>
                <w:rFonts w:ascii="宋体"/>
                <w:b/>
                <w:bCs/>
                <w:color w:val="auto"/>
                <w:highlight w:val="none"/>
              </w:rPr>
            </w:pPr>
            <w:r>
              <w:rPr>
                <w:rFonts w:hint="eastAsia" w:ascii="宋体" w:hAnsi="宋体" w:cs="宋体"/>
                <w:b/>
                <w:bCs/>
                <w:color w:val="auto"/>
                <w:highlight w:val="none"/>
              </w:rPr>
              <w:t>本磋商文件要求提供的身份证复印件皆需提供正反面，否则按不提供处理。</w:t>
            </w:r>
          </w:p>
        </w:tc>
      </w:tr>
    </w:tbl>
    <w:p>
      <w:pPr>
        <w:pStyle w:val="4"/>
        <w:spacing w:line="360" w:lineRule="auto"/>
        <w:rPr>
          <w:rFonts w:ascii="宋体"/>
          <w:color w:val="auto"/>
          <w:highlight w:val="none"/>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color w:val="auto"/>
          <w:sz w:val="24"/>
          <w:szCs w:val="24"/>
          <w:highlight w:val="none"/>
        </w:rPr>
        <w:t>注：以上内容如有变化将另行通知。如通知其中某一内容发生变化，其余未提及的将不作变动。</w:t>
      </w:r>
    </w:p>
    <w:p>
      <w:pPr>
        <w:pStyle w:val="3"/>
        <w:numPr>
          <w:ilvl w:val="0"/>
          <w:numId w:val="9"/>
        </w:numPr>
        <w:jc w:val="center"/>
        <w:rPr>
          <w:rFonts w:hAnsi="宋体" w:cs="Times New Roman"/>
          <w:color w:val="auto"/>
          <w:highlight w:val="none"/>
        </w:rPr>
      </w:pPr>
      <w:r>
        <w:rPr>
          <w:rFonts w:hAnsi="宋体"/>
          <w:color w:val="auto"/>
          <w:highlight w:val="none"/>
        </w:rPr>
        <w:t xml:space="preserve"> </w:t>
      </w:r>
      <w:bookmarkStart w:id="11" w:name="_Toc30009"/>
      <w:bookmarkStart w:id="12" w:name="_Toc25187"/>
      <w:r>
        <w:rPr>
          <w:rFonts w:hint="eastAsia" w:hAnsi="宋体"/>
          <w:color w:val="auto"/>
          <w:highlight w:val="none"/>
        </w:rPr>
        <w:t>总则</w:t>
      </w:r>
      <w:bookmarkEnd w:id="11"/>
      <w:bookmarkEnd w:id="12"/>
    </w:p>
    <w:p>
      <w:pPr>
        <w:spacing w:line="360" w:lineRule="auto"/>
        <w:ind w:firstLine="480" w:firstLineChars="200"/>
        <w:rPr>
          <w:color w:val="auto"/>
          <w:highlight w:val="none"/>
        </w:rPr>
      </w:pPr>
      <w:r>
        <w:rPr>
          <w:rFonts w:hint="eastAsia" w:cs="宋体"/>
          <w:color w:val="auto"/>
          <w:sz w:val="24"/>
          <w:szCs w:val="24"/>
          <w:highlight w:val="none"/>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、适用范围</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本次磋商工作仅适用于</w:t>
      </w:r>
      <w:r>
        <w:rPr>
          <w:rFonts w:hint="eastAsia" w:ascii="宋体" w:hAnsi="宋体" w:cs="宋体"/>
          <w:color w:val="auto"/>
          <w:sz w:val="24"/>
          <w:szCs w:val="24"/>
          <w:highlight w:val="none"/>
          <w:u w:val="single"/>
          <w:lang w:eastAsia="zh-CN"/>
        </w:rPr>
        <w:t>上虞区新乡贤统战工作省级标准化试点项目</w:t>
      </w:r>
      <w:r>
        <w:rPr>
          <w:rFonts w:hint="eastAsia" w:ascii="宋体" w:hAnsi="宋体" w:cs="宋体"/>
          <w:color w:val="auto"/>
          <w:sz w:val="24"/>
          <w:szCs w:val="24"/>
          <w:highlight w:val="none"/>
        </w:rPr>
        <w:t>。</w:t>
      </w:r>
    </w:p>
    <w:p>
      <w:pPr>
        <w:pStyle w:val="19"/>
        <w:ind w:firstLine="480" w:firstLineChars="200"/>
        <w:rPr>
          <w:color w:val="auto"/>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本项目采购方式采用竞争性磋商方式。</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、定义</w:t>
      </w:r>
    </w:p>
    <w:p>
      <w:pPr>
        <w:spacing w:line="360" w:lineRule="auto"/>
        <w:ind w:firstLine="480" w:firstLineChars="200"/>
        <w:rPr>
          <w:rFonts w:ascii="宋体"/>
          <w:color w:val="auto"/>
          <w:sz w:val="24"/>
          <w:szCs w:val="24"/>
          <w:highlight w:val="none"/>
          <w:u w:val="single"/>
        </w:rPr>
      </w:pPr>
      <w:r>
        <w:rPr>
          <w:rFonts w:ascii="宋体" w:hAnsi="宋体" w:cs="宋体"/>
          <w:color w:val="auto"/>
          <w:sz w:val="24"/>
          <w:szCs w:val="24"/>
          <w:highlight w:val="none"/>
        </w:rPr>
        <w:t>2.1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采购人”系指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中国共产党绍兴市上虞区委统一战线工作部</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。采购人委托</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为本项目采购代理机构。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2.2</w:t>
      </w:r>
      <w:r>
        <w:rPr>
          <w:rFonts w:hint="eastAsia" w:ascii="宋体" w:hAnsi="宋体" w:cs="宋体"/>
          <w:color w:val="auto"/>
          <w:sz w:val="24"/>
          <w:szCs w:val="24"/>
          <w:highlight w:val="none"/>
        </w:rPr>
        <w:t>“磋商供应商”系指响应本次采购，参加本次竞争性磋商的供应商。</w:t>
      </w:r>
    </w:p>
    <w:p>
      <w:pPr>
        <w:spacing w:line="360" w:lineRule="auto"/>
        <w:ind w:firstLine="480" w:firstLineChars="200"/>
        <w:rPr>
          <w:rFonts w:ascii="宋体"/>
          <w:color w:val="auto"/>
          <w:sz w:val="24"/>
          <w:szCs w:val="24"/>
          <w:highlight w:val="none"/>
          <w:lang w:val="zh-CN"/>
        </w:rPr>
      </w:pPr>
      <w:r>
        <w:rPr>
          <w:rFonts w:ascii="宋体" w:hAnsi="宋体" w:cs="宋体"/>
          <w:color w:val="auto"/>
          <w:sz w:val="24"/>
          <w:szCs w:val="24"/>
          <w:highlight w:val="none"/>
        </w:rPr>
        <w:t>2.3</w:t>
      </w:r>
      <w:r>
        <w:rPr>
          <w:rFonts w:hint="eastAsia" w:ascii="宋体" w:hAnsi="宋体" w:cs="宋体"/>
          <w:color w:val="auto"/>
          <w:sz w:val="24"/>
          <w:szCs w:val="24"/>
          <w:highlight w:val="none"/>
          <w:lang w:val="zh-CN"/>
        </w:rPr>
        <w:t>“服务”系指</w:t>
      </w:r>
      <w:r>
        <w:rPr>
          <w:rFonts w:hint="eastAsia" w:ascii="宋体" w:hAnsi="宋体" w:cs="宋体"/>
          <w:color w:val="auto"/>
          <w:sz w:val="24"/>
          <w:szCs w:val="24"/>
          <w:highlight w:val="none"/>
        </w:rPr>
        <w:t>磋商供应商按合同规定，须承担的服务的义务</w:t>
      </w:r>
      <w:r>
        <w:rPr>
          <w:rFonts w:hint="eastAsia" w:ascii="宋体" w:hAnsi="宋体" w:cs="宋体"/>
          <w:color w:val="auto"/>
          <w:sz w:val="24"/>
          <w:szCs w:val="24"/>
          <w:highlight w:val="none"/>
          <w:lang w:val="zh-CN"/>
        </w:rPr>
        <w:t>。</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、采购项目概况</w:t>
      </w:r>
      <w:r>
        <w:rPr>
          <w:rFonts w:ascii="宋体"/>
          <w:b/>
          <w:bCs/>
          <w:color w:val="auto"/>
          <w:sz w:val="24"/>
          <w:szCs w:val="24"/>
          <w:highlight w:val="none"/>
        </w:rPr>
        <w:tab/>
      </w:r>
      <w:r>
        <w:rPr>
          <w:rFonts w:ascii="宋体"/>
          <w:b/>
          <w:bCs/>
          <w:color w:val="auto"/>
          <w:sz w:val="24"/>
          <w:szCs w:val="24"/>
          <w:highlight w:val="none"/>
        </w:rPr>
        <w:tab/>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详见竞争性磋商公告相关内容，主要要求参见本文件第</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三</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部分。</w:t>
      </w:r>
    </w:p>
    <w:p>
      <w:pPr>
        <w:adjustRightIn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、合格的磋商供应商</w:t>
      </w:r>
    </w:p>
    <w:p>
      <w:pPr>
        <w:spacing w:line="360" w:lineRule="auto"/>
        <w:ind w:firstLine="480" w:firstLineChars="200"/>
        <w:rPr>
          <w:rFonts w:ascii="宋体"/>
          <w:color w:val="auto"/>
          <w:sz w:val="24"/>
          <w:szCs w:val="24"/>
          <w:highlight w:val="none"/>
        </w:rPr>
      </w:pPr>
      <w:bookmarkStart w:id="13" w:name="_Toc211412066"/>
      <w:bookmarkStart w:id="14" w:name="_Toc208913145"/>
      <w:bookmarkStart w:id="15" w:name="_Toc193523219"/>
      <w:bookmarkStart w:id="16" w:name="_Toc193538208"/>
      <w:bookmarkStart w:id="17" w:name="_Toc209504018"/>
      <w:bookmarkStart w:id="18" w:name="_Toc209435242"/>
      <w:bookmarkStart w:id="19" w:name="_Toc197156227"/>
      <w:bookmarkStart w:id="20" w:name="_Toc204683265"/>
      <w:bookmarkStart w:id="21" w:name="_Toc208287611"/>
      <w:bookmarkStart w:id="22" w:name="_Toc197163261"/>
      <w:bookmarkStart w:id="23" w:name="_Toc207946571"/>
      <w:bookmarkStart w:id="24" w:name="_Toc197657950"/>
      <w:bookmarkStart w:id="25" w:name="_Toc209520993"/>
      <w:bookmarkStart w:id="26" w:name="_Toc197053926"/>
      <w:r>
        <w:rPr>
          <w:rFonts w:hint="eastAsia" w:ascii="宋体" w:hAnsi="宋体" w:cs="宋体"/>
          <w:color w:val="auto"/>
          <w:sz w:val="24"/>
          <w:szCs w:val="24"/>
          <w:highlight w:val="none"/>
        </w:rPr>
        <w:t>详见竞争性磋商采购公告磋商供应商的资格要求规定。</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hint="eastAsia" w:ascii="宋体" w:hAnsi="宋体" w:cs="宋体"/>
          <w:b/>
          <w:bCs/>
          <w:color w:val="auto"/>
          <w:sz w:val="24"/>
          <w:szCs w:val="24"/>
          <w:highlight w:val="none"/>
        </w:rPr>
        <w:t>、磋商费用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磋商供应商应承担其参加磋商所涉及的一切费用，不管结果如何，采购人对上述费用不负任何责任。</w:t>
      </w:r>
    </w:p>
    <w:p>
      <w:pPr>
        <w:pStyle w:val="3"/>
        <w:numPr>
          <w:ilvl w:val="0"/>
          <w:numId w:val="9"/>
        </w:numPr>
        <w:jc w:val="center"/>
        <w:rPr>
          <w:rFonts w:cs="Times New Roman"/>
          <w:color w:val="auto"/>
          <w:highlight w:val="none"/>
        </w:rPr>
      </w:pPr>
      <w:bookmarkStart w:id="27" w:name="_Toc25923"/>
      <w:bookmarkStart w:id="28" w:name="_Toc416992151"/>
      <w:bookmarkStart w:id="29" w:name="_Toc32689"/>
      <w:r>
        <w:rPr>
          <w:color w:val="auto"/>
          <w:highlight w:val="none"/>
        </w:rPr>
        <w:t xml:space="preserve"> </w:t>
      </w:r>
      <w:bookmarkStart w:id="30" w:name="_Toc2835"/>
      <w:bookmarkStart w:id="31" w:name="_Toc11814"/>
      <w:r>
        <w:rPr>
          <w:rFonts w:hint="eastAsia"/>
          <w:color w:val="auto"/>
          <w:highlight w:val="none"/>
        </w:rPr>
        <w:t>竞争性磋商文件</w:t>
      </w:r>
      <w:bookmarkEnd w:id="27"/>
      <w:bookmarkEnd w:id="28"/>
      <w:bookmarkEnd w:id="29"/>
      <w:bookmarkEnd w:id="30"/>
      <w:bookmarkEnd w:id="31"/>
    </w:p>
    <w:p>
      <w:pPr>
        <w:adjustRightIn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6</w:t>
      </w:r>
      <w:r>
        <w:rPr>
          <w:rFonts w:hint="eastAsia" w:ascii="宋体" w:hAnsi="宋体" w:cs="宋体"/>
          <w:b/>
          <w:bCs/>
          <w:color w:val="auto"/>
          <w:sz w:val="24"/>
          <w:szCs w:val="24"/>
          <w:highlight w:val="none"/>
        </w:rPr>
        <w:t>、磋商文件的组成</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6.1</w:t>
      </w:r>
      <w:r>
        <w:rPr>
          <w:rFonts w:hint="eastAsia" w:ascii="宋体" w:hAnsi="宋体" w:cs="宋体"/>
          <w:color w:val="auto"/>
          <w:sz w:val="24"/>
          <w:szCs w:val="24"/>
          <w:highlight w:val="none"/>
        </w:rPr>
        <w:t>本磋商文件包括目录所示内容及所有按本须知发出的补充资料（如果有）。</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6.2</w:t>
      </w:r>
      <w:r>
        <w:rPr>
          <w:rFonts w:hint="eastAsia" w:ascii="宋体" w:hAnsi="宋体" w:cs="宋体"/>
          <w:color w:val="auto"/>
          <w:sz w:val="24"/>
          <w:szCs w:val="24"/>
          <w:highlight w:val="none"/>
        </w:rPr>
        <w:t>除上述所列内容外，采购人及采购代理机构的任何工作人员对磋商供应商所作的任何口头解释、介绍、答复，只能供磋商供应商参考，对采购人和磋商供应商无任何约束力。</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6.3</w:t>
      </w:r>
      <w:r>
        <w:rPr>
          <w:rFonts w:hint="eastAsia" w:ascii="宋体" w:hAnsi="宋体" w:cs="宋体"/>
          <w:color w:val="auto"/>
          <w:sz w:val="24"/>
          <w:szCs w:val="24"/>
          <w:highlight w:val="none"/>
        </w:rPr>
        <w:t>磋商供应商应仔细阅读磋商文件的所有内容，按照文件要求提交响应文件，并保证所提交的全部资料的真实性。不按磋商文件的要求提供的响应文件和资料，可能导致磋商被拒绝。</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6.4</w:t>
      </w:r>
      <w:r>
        <w:rPr>
          <w:rFonts w:hint="eastAsia" w:ascii="宋体" w:hAnsi="宋体" w:cs="宋体"/>
          <w:color w:val="auto"/>
          <w:sz w:val="24"/>
          <w:szCs w:val="24"/>
          <w:highlight w:val="none"/>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60" w:lineRule="auto"/>
        <w:ind w:firstLine="472" w:firstLineChars="196"/>
        <w:rPr>
          <w:rFonts w:ascii="宋体"/>
          <w:b/>
          <w:bCs/>
          <w:color w:val="auto"/>
          <w:sz w:val="24"/>
          <w:szCs w:val="24"/>
          <w:highlight w:val="none"/>
        </w:rPr>
      </w:pPr>
      <w:r>
        <w:rPr>
          <w:rFonts w:ascii="宋体" w:hAnsi="宋体" w:cs="宋体"/>
          <w:b/>
          <w:bCs/>
          <w:color w:val="auto"/>
          <w:sz w:val="24"/>
          <w:szCs w:val="24"/>
          <w:highlight w:val="none"/>
        </w:rPr>
        <w:t>7</w:t>
      </w:r>
      <w:r>
        <w:rPr>
          <w:rFonts w:hint="eastAsia" w:ascii="宋体" w:hAnsi="宋体" w:cs="宋体"/>
          <w:b/>
          <w:bCs/>
          <w:color w:val="auto"/>
          <w:sz w:val="24"/>
          <w:szCs w:val="24"/>
          <w:highlight w:val="none"/>
        </w:rPr>
        <w:t>、磋商文件的澄清与修改</w:t>
      </w:r>
    </w:p>
    <w:p>
      <w:pPr>
        <w:pStyle w:val="9"/>
        <w:ind w:firstLine="480" w:firstLineChars="200"/>
        <w:rPr>
          <w:rFonts w:cs="Times New Roman"/>
          <w:color w:val="auto"/>
          <w:highlight w:val="none"/>
        </w:rPr>
      </w:pPr>
      <w:r>
        <w:rPr>
          <w:color w:val="auto"/>
          <w:highlight w:val="none"/>
        </w:rPr>
        <w:t>7.1</w:t>
      </w:r>
      <w:r>
        <w:rPr>
          <w:rFonts w:hint="eastAsia"/>
          <w:color w:val="auto"/>
          <w:highlight w:val="none"/>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9"/>
        <w:ind w:right="-252" w:rightChars="-120" w:firstLine="480" w:firstLineChars="200"/>
        <w:rPr>
          <w:rFonts w:cs="Times New Roman"/>
          <w:color w:val="auto"/>
          <w:highlight w:val="none"/>
        </w:rPr>
      </w:pPr>
      <w:r>
        <w:rPr>
          <w:color w:val="auto"/>
          <w:highlight w:val="none"/>
        </w:rPr>
        <w:t>7.2</w:t>
      </w:r>
      <w:r>
        <w:rPr>
          <w:rFonts w:hint="eastAsia"/>
          <w:color w:val="auto"/>
          <w:highlight w:val="none"/>
        </w:rPr>
        <w:t>磋商供应商要求解释或澄清的问题应以书面形式，并加盖公章、写明日期。</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7.3</w:t>
      </w:r>
      <w:r>
        <w:rPr>
          <w:rFonts w:hint="eastAsia" w:ascii="宋体" w:hAnsi="宋体" w:cs="宋体"/>
          <w:color w:val="auto"/>
          <w:sz w:val="24"/>
          <w:szCs w:val="24"/>
          <w:highlight w:val="none"/>
        </w:rPr>
        <w:t>提交响应文件截止之日前，采购人、采购代理机构或者磋商小组可以对已发出的磋商文件进行必要的澄清或者修改，澄清或者修改的内容作为磋商文件的组成部分。</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7.4</w:t>
      </w:r>
      <w:r>
        <w:rPr>
          <w:rFonts w:hint="eastAsia" w:ascii="宋体" w:hAnsi="宋体" w:cs="宋体"/>
          <w:color w:val="auto"/>
          <w:sz w:val="24"/>
          <w:szCs w:val="24"/>
          <w:highlight w:val="none"/>
        </w:rPr>
        <w:t>竞争性磋商文件的澄清修改文件及更正补充公告，请自行登录浙江政府采购网或绍兴市上虞区公共资源交易中心网站，在采购公告页面中下载。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7.5</w:t>
      </w:r>
      <w:r>
        <w:rPr>
          <w:rFonts w:hint="eastAsia" w:ascii="宋体" w:hAnsi="宋体" w:cs="宋体"/>
          <w:color w:val="auto"/>
          <w:sz w:val="24"/>
          <w:szCs w:val="24"/>
          <w:highlight w:val="none"/>
        </w:rPr>
        <w:t>澄清或者修改的内容可能影响响应文件编制的，采购人、采购代理机构将在提交响应文件截止时间至少</w:t>
      </w:r>
      <w:r>
        <w:rPr>
          <w:rFonts w:ascii="宋体" w:hAnsi="宋体" w:cs="宋体"/>
          <w:color w:val="auto"/>
          <w:sz w:val="24"/>
          <w:szCs w:val="24"/>
          <w:highlight w:val="none"/>
        </w:rPr>
        <w:t>5</w:t>
      </w:r>
      <w:r>
        <w:rPr>
          <w:rFonts w:hint="eastAsia" w:ascii="宋体" w:hAnsi="宋体" w:cs="宋体"/>
          <w:color w:val="auto"/>
          <w:sz w:val="24"/>
          <w:szCs w:val="24"/>
          <w:highlight w:val="none"/>
        </w:rPr>
        <w:t>日前，以公告形式通知所有获取磋商文件的供应商；不足</w:t>
      </w:r>
      <w:r>
        <w:rPr>
          <w:rFonts w:ascii="宋体" w:hAnsi="宋体" w:cs="宋体"/>
          <w:color w:val="auto"/>
          <w:sz w:val="24"/>
          <w:szCs w:val="24"/>
          <w:highlight w:val="none"/>
        </w:rPr>
        <w:t>5</w:t>
      </w:r>
      <w:r>
        <w:rPr>
          <w:rFonts w:hint="eastAsia" w:ascii="宋体" w:hAnsi="宋体" w:cs="宋体"/>
          <w:color w:val="auto"/>
          <w:sz w:val="24"/>
          <w:szCs w:val="24"/>
          <w:highlight w:val="none"/>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7.6</w:t>
      </w:r>
      <w:r>
        <w:rPr>
          <w:rFonts w:hint="eastAsia" w:ascii="宋体" w:hAnsi="宋体" w:cs="宋体"/>
          <w:color w:val="auto"/>
          <w:sz w:val="24"/>
          <w:szCs w:val="24"/>
          <w:highlight w:val="none"/>
        </w:rPr>
        <w:t>竞争性磋商文件澄清、答复、修改、补充的内容为竞争性磋商文件的组成部分。</w:t>
      </w:r>
    </w:p>
    <w:p>
      <w:pPr>
        <w:pStyle w:val="4"/>
        <w:spacing w:line="360" w:lineRule="auto"/>
        <w:rPr>
          <w:rFonts w:ascii="宋体"/>
          <w:color w:val="auto"/>
          <w:sz w:val="24"/>
          <w:szCs w:val="24"/>
          <w:highlight w:val="none"/>
        </w:rPr>
      </w:pPr>
      <w:r>
        <w:rPr>
          <w:rFonts w:ascii="宋体" w:hAnsi="宋体" w:cs="宋体"/>
          <w:color w:val="auto"/>
          <w:sz w:val="24"/>
          <w:szCs w:val="24"/>
          <w:highlight w:val="none"/>
        </w:rPr>
        <w:t>7.7</w:t>
      </w:r>
      <w:r>
        <w:rPr>
          <w:rFonts w:hint="eastAsia" w:ascii="宋体" w:hAnsi="宋体" w:cs="宋体"/>
          <w:color w:val="auto"/>
          <w:sz w:val="24"/>
          <w:szCs w:val="24"/>
          <w:highlight w:val="none"/>
        </w:rPr>
        <w:t>磋商文件发售截止日后，经采购人同意后购买磋商文件的磋商供应商不得对磋商文件和补充文件提出答疑或质疑。</w:t>
      </w:r>
    </w:p>
    <w:p>
      <w:pPr>
        <w:pStyle w:val="3"/>
        <w:numPr>
          <w:ilvl w:val="0"/>
          <w:numId w:val="9"/>
        </w:numPr>
        <w:jc w:val="center"/>
        <w:rPr>
          <w:rFonts w:cs="Times New Roman"/>
          <w:color w:val="auto"/>
          <w:highlight w:val="none"/>
        </w:rPr>
      </w:pPr>
      <w:bookmarkStart w:id="32" w:name="_Toc31748"/>
      <w:bookmarkStart w:id="33" w:name="_Toc8860"/>
      <w:bookmarkStart w:id="34" w:name="_Toc6457"/>
      <w:bookmarkStart w:id="35" w:name="_Toc26027"/>
      <w:bookmarkStart w:id="36" w:name="_Toc10810"/>
      <w:bookmarkStart w:id="37" w:name="_Toc23135"/>
      <w:bookmarkStart w:id="38" w:name="_Toc18702"/>
      <w:bookmarkStart w:id="39" w:name="_Toc6273"/>
      <w:bookmarkStart w:id="40" w:name="_Toc11669"/>
      <w:bookmarkStart w:id="41" w:name="_Toc11093"/>
      <w:bookmarkStart w:id="42" w:name="_Toc1828"/>
      <w:bookmarkStart w:id="43" w:name="_Toc23975"/>
      <w:bookmarkStart w:id="44" w:name="_Toc26603"/>
      <w:bookmarkStart w:id="45" w:name="_Toc11692"/>
      <w:bookmarkStart w:id="46" w:name="_Toc24622"/>
      <w:bookmarkStart w:id="47" w:name="_Toc1202"/>
      <w:bookmarkStart w:id="48" w:name="_Toc14650"/>
      <w:bookmarkStart w:id="49" w:name="_Toc7126"/>
      <w:bookmarkStart w:id="50" w:name="_Toc10669"/>
      <w:bookmarkStart w:id="51" w:name="_Toc1729"/>
      <w:bookmarkStart w:id="52" w:name="_Toc6079"/>
      <w:bookmarkStart w:id="53" w:name="_Toc391298957"/>
      <w:r>
        <w:rPr>
          <w:color w:val="auto"/>
          <w:highlight w:val="none"/>
        </w:rPr>
        <w:t xml:space="preserve"> </w:t>
      </w:r>
      <w:bookmarkStart w:id="54" w:name="_Toc11515"/>
      <w:bookmarkStart w:id="55" w:name="_Toc6958"/>
      <w:r>
        <w:rPr>
          <w:rFonts w:hint="eastAsia"/>
          <w:color w:val="auto"/>
          <w:highlight w:val="none"/>
        </w:rPr>
        <w:t>竞争性磋商响应文件的编写</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、要求</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8.1</w:t>
      </w:r>
      <w:r>
        <w:rPr>
          <w:rFonts w:hint="eastAsia" w:ascii="宋体" w:hAnsi="宋体" w:cs="宋体"/>
          <w:color w:val="auto"/>
          <w:sz w:val="24"/>
          <w:szCs w:val="24"/>
          <w:highlight w:val="none"/>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8.2</w:t>
      </w:r>
      <w:r>
        <w:rPr>
          <w:rFonts w:hint="eastAsia" w:ascii="宋体" w:hAnsi="宋体" w:cs="宋体"/>
          <w:color w:val="auto"/>
          <w:sz w:val="24"/>
          <w:szCs w:val="24"/>
          <w:highlight w:val="none"/>
        </w:rPr>
        <w:t>报价</w:t>
      </w:r>
    </w:p>
    <w:p>
      <w:pPr>
        <w:spacing w:line="360" w:lineRule="auto"/>
        <w:ind w:firstLine="480" w:firstLineChars="200"/>
        <w:rPr>
          <w:rFonts w:ascii="宋体"/>
          <w:b/>
          <w:bCs/>
          <w:color w:val="auto"/>
          <w:sz w:val="24"/>
          <w:szCs w:val="24"/>
          <w:highlight w:val="none"/>
          <w:shd w:val="clear" w:color="FFFFFF" w:fill="D9D9D9"/>
        </w:rPr>
      </w:pPr>
      <w:r>
        <w:rPr>
          <w:rFonts w:ascii="宋体" w:hAnsi="宋体" w:cs="宋体"/>
          <w:color w:val="auto"/>
          <w:sz w:val="24"/>
          <w:szCs w:val="24"/>
          <w:highlight w:val="none"/>
        </w:rPr>
        <w:t>8.2.1</w:t>
      </w:r>
      <w:r>
        <w:rPr>
          <w:rFonts w:hint="eastAsia" w:ascii="宋体" w:hAnsi="宋体" w:cs="宋体"/>
          <w:color w:val="auto"/>
          <w:sz w:val="24"/>
          <w:szCs w:val="24"/>
          <w:highlight w:val="none"/>
        </w:rPr>
        <w:t>本次报价非一次性报价，报价币种为人民币。在磋商后根据磋商情况（包括细化采购方案和要求，增补部分采购内容等），供应商须二次报价（最终报价），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43"/>
        <w:tabs>
          <w:tab w:val="left" w:pos="0"/>
        </w:tabs>
        <w:ind w:firstLine="480"/>
        <w:rPr>
          <w:rFonts w:ascii="宋体"/>
          <w:color w:val="auto"/>
          <w:highlight w:val="none"/>
          <w:u w:val="single"/>
        </w:rPr>
      </w:pPr>
      <w:r>
        <w:rPr>
          <w:rFonts w:ascii="宋体" w:hAnsi="宋体" w:cs="宋体"/>
          <w:color w:val="auto"/>
          <w:highlight w:val="none"/>
        </w:rPr>
        <w:t>8.2.2</w:t>
      </w:r>
      <w:r>
        <w:rPr>
          <w:rFonts w:hint="eastAsia" w:ascii="宋体" w:hAnsi="宋体" w:cs="宋体"/>
          <w:color w:val="auto"/>
          <w:highlight w:val="none"/>
          <w:u w:val="single"/>
        </w:rPr>
        <w:t>本次报价应包含项目所需全部服务，不得缺漏，是履行合同的最终价格（包含完成采购范围内全部工作及提交成果资料所需的一切费用，如人工成本、资料费、差旅费、交通、通讯、劳务、利润、税收、验收费、培训等以及所有有关的管理成本。）。</w:t>
      </w:r>
      <w:r>
        <w:rPr>
          <w:rFonts w:hint="eastAsia" w:cs="宋体"/>
          <w:color w:val="auto"/>
          <w:highlight w:val="none"/>
        </w:rPr>
        <w:t>投标报价为供应商所能承受的最低、最终报价，供应商不得再要求追加任何费用。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投标报价固定是指供应商所填写的投标报价在合同实施期间不因市场因素而变动，供应商在计算报价时可考虑一定的风险系数（由供应商自行考虑）。</w:t>
      </w:r>
    </w:p>
    <w:p>
      <w:pPr>
        <w:spacing w:line="360" w:lineRule="auto"/>
        <w:ind w:firstLine="480" w:firstLineChars="200"/>
        <w:rPr>
          <w:rFonts w:ascii="宋体"/>
          <w:color w:val="auto"/>
          <w:highlight w:val="none"/>
        </w:rPr>
      </w:pPr>
      <w:r>
        <w:rPr>
          <w:rFonts w:ascii="宋体" w:hAnsi="宋体" w:cs="宋体"/>
          <w:color w:val="auto"/>
          <w:sz w:val="24"/>
          <w:szCs w:val="24"/>
          <w:highlight w:val="none"/>
        </w:rPr>
        <w:t>8.2.3</w:t>
      </w:r>
      <w:r>
        <w:rPr>
          <w:rFonts w:hint="eastAsia" w:ascii="宋体" w:hAnsi="宋体" w:cs="宋体"/>
          <w:color w:val="auto"/>
          <w:sz w:val="24"/>
          <w:szCs w:val="24"/>
          <w:highlight w:val="none"/>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1"/>
        <w:spacing w:line="360" w:lineRule="auto"/>
        <w:ind w:firstLine="482" w:firstLineChars="200"/>
        <w:rPr>
          <w:rFonts w:hAnsi="宋体" w:cs="Times New Roman"/>
          <w:b/>
          <w:bCs/>
          <w:color w:val="auto"/>
          <w:sz w:val="24"/>
          <w:szCs w:val="24"/>
          <w:highlight w:val="none"/>
          <w:u w:val="single"/>
        </w:rPr>
      </w:pPr>
      <w:r>
        <w:rPr>
          <w:rFonts w:hAnsi="宋体"/>
          <w:b/>
          <w:bCs/>
          <w:color w:val="auto"/>
          <w:sz w:val="24"/>
          <w:szCs w:val="24"/>
          <w:highlight w:val="none"/>
        </w:rPr>
        <w:t>9</w:t>
      </w:r>
      <w:r>
        <w:rPr>
          <w:rFonts w:hint="eastAsia" w:hAnsi="宋体"/>
          <w:b/>
          <w:bCs/>
          <w:color w:val="auto"/>
          <w:sz w:val="24"/>
          <w:szCs w:val="24"/>
          <w:highlight w:val="none"/>
        </w:rPr>
        <w:t>、响应文件的组成</w:t>
      </w:r>
      <w:r>
        <w:rPr>
          <w:rFonts w:hint="eastAsia" w:hAnsi="宋体"/>
          <w:b/>
          <w:bCs/>
          <w:color w:val="auto"/>
          <w:sz w:val="24"/>
          <w:szCs w:val="24"/>
          <w:highlight w:val="none"/>
          <w:u w:val="single"/>
        </w:rPr>
        <w:t>（供应商应根据采购文件的要求提供相应的内容且设置关联定位，供应商可查看《供应商</w:t>
      </w:r>
      <w:r>
        <w:rPr>
          <w:rFonts w:hAnsi="宋体"/>
          <w:b/>
          <w:bCs/>
          <w:color w:val="auto"/>
          <w:sz w:val="24"/>
          <w:szCs w:val="24"/>
          <w:highlight w:val="none"/>
          <w:u w:val="single"/>
        </w:rPr>
        <w:t>-</w:t>
      </w:r>
      <w:r>
        <w:rPr>
          <w:rFonts w:hint="eastAsia" w:hAnsi="宋体"/>
          <w:b/>
          <w:bCs/>
          <w:color w:val="auto"/>
          <w:sz w:val="24"/>
          <w:szCs w:val="24"/>
          <w:highlight w:val="none"/>
          <w:u w:val="single"/>
        </w:rPr>
        <w:t>政府采购项目电子交易操作指南》进行操作：</w:t>
      </w:r>
      <w:r>
        <w:rPr>
          <w:rFonts w:hAnsi="宋体"/>
          <w:b/>
          <w:bCs/>
          <w:color w:val="auto"/>
          <w:sz w:val="24"/>
          <w:szCs w:val="24"/>
          <w:highlight w:val="none"/>
          <w:u w:val="single"/>
        </w:rPr>
        <w:t>https://help.zcygov.cn/web/site_2/2018/12-28/2573.html</w:t>
      </w:r>
      <w:r>
        <w:rPr>
          <w:rFonts w:hint="eastAsia" w:hAnsi="宋体"/>
          <w:b/>
          <w:bCs/>
          <w:color w:val="auto"/>
          <w:sz w:val="24"/>
          <w:szCs w:val="24"/>
          <w:highlight w:val="none"/>
          <w:u w:val="single"/>
        </w:rPr>
        <w:t>）</w:t>
      </w:r>
    </w:p>
    <w:p>
      <w:pPr>
        <w:pStyle w:val="43"/>
        <w:tabs>
          <w:tab w:val="left" w:pos="0"/>
        </w:tabs>
        <w:spacing w:before="0"/>
        <w:ind w:firstLine="480"/>
        <w:rPr>
          <w:rFonts w:ascii="宋体"/>
          <w:color w:val="auto"/>
          <w:highlight w:val="none"/>
        </w:rPr>
      </w:pPr>
      <w:r>
        <w:rPr>
          <w:rFonts w:hint="eastAsia" w:ascii="宋体" w:hAnsi="宋体" w:cs="宋体"/>
          <w:color w:val="auto"/>
          <w:highlight w:val="none"/>
        </w:rPr>
        <w:t>响应文件应当包括以下主要内容：资格文件、商务技术文件、报价文件。</w:t>
      </w:r>
    </w:p>
    <w:p>
      <w:pPr>
        <w:pStyle w:val="43"/>
        <w:numPr>
          <w:ilvl w:val="0"/>
          <w:numId w:val="10"/>
        </w:numPr>
        <w:spacing w:before="0"/>
        <w:ind w:firstLine="480"/>
        <w:rPr>
          <w:rFonts w:ascii="宋体"/>
          <w:color w:val="auto"/>
          <w:highlight w:val="none"/>
        </w:rPr>
      </w:pPr>
      <w:r>
        <w:rPr>
          <w:rFonts w:hint="eastAsia" w:ascii="宋体" w:hAnsi="宋体" w:cs="宋体"/>
          <w:color w:val="auto"/>
          <w:highlight w:val="none"/>
        </w:rPr>
        <w:t>资格文件包括以下内容：</w:t>
      </w:r>
    </w:p>
    <w:p>
      <w:pPr>
        <w:pStyle w:val="43"/>
        <w:numPr>
          <w:ilvl w:val="0"/>
          <w:numId w:val="11"/>
        </w:numPr>
        <w:spacing w:before="0"/>
        <w:ind w:firstLine="480"/>
        <w:rPr>
          <w:rFonts w:ascii="宋体"/>
          <w:color w:val="auto"/>
          <w:highlight w:val="none"/>
        </w:rPr>
      </w:pPr>
      <w:r>
        <w:rPr>
          <w:rFonts w:hint="eastAsia" w:ascii="宋体" w:hAnsi="宋体" w:cs="宋体"/>
          <w:color w:val="auto"/>
          <w:highlight w:val="none"/>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43"/>
        <w:numPr>
          <w:ilvl w:val="0"/>
          <w:numId w:val="11"/>
        </w:numPr>
        <w:spacing w:before="0"/>
        <w:ind w:firstLine="480"/>
        <w:rPr>
          <w:rFonts w:ascii="宋体"/>
          <w:color w:val="auto"/>
          <w:highlight w:val="none"/>
        </w:rPr>
      </w:pPr>
      <w:r>
        <w:rPr>
          <w:rFonts w:hint="eastAsia" w:ascii="宋体" w:hAnsi="宋体" w:cs="宋体"/>
          <w:color w:val="auto"/>
          <w:highlight w:val="none"/>
        </w:rPr>
        <w:t>声明书；（格式见附件）</w:t>
      </w:r>
    </w:p>
    <w:p>
      <w:pPr>
        <w:pStyle w:val="43"/>
        <w:numPr>
          <w:ilvl w:val="0"/>
          <w:numId w:val="11"/>
        </w:numPr>
        <w:spacing w:before="0"/>
        <w:ind w:firstLine="480"/>
        <w:rPr>
          <w:rFonts w:ascii="宋体"/>
          <w:color w:val="auto"/>
          <w:highlight w:val="none"/>
        </w:rPr>
      </w:pPr>
      <w:r>
        <w:rPr>
          <w:rFonts w:hint="eastAsia" w:ascii="宋体" w:hAnsi="宋体" w:cs="宋体"/>
          <w:color w:val="auto"/>
          <w:highlight w:val="none"/>
        </w:rPr>
        <w:t>营业执照</w:t>
      </w:r>
      <w:r>
        <w:rPr>
          <w:rFonts w:ascii="宋体" w:hAnsi="宋体" w:cs="宋体"/>
          <w:color w:val="auto"/>
          <w:highlight w:val="none"/>
        </w:rPr>
        <w:t>(</w:t>
      </w:r>
      <w:r>
        <w:rPr>
          <w:rFonts w:hint="eastAsia" w:ascii="宋体" w:hAnsi="宋体" w:cs="宋体"/>
          <w:color w:val="auto"/>
          <w:highlight w:val="none"/>
        </w:rPr>
        <w:t>或事业法人登记证或其他工商等登记证明材料</w:t>
      </w:r>
      <w:r>
        <w:rPr>
          <w:rFonts w:ascii="宋体" w:hAnsi="宋体" w:cs="宋体"/>
          <w:color w:val="auto"/>
          <w:highlight w:val="none"/>
        </w:rPr>
        <w:t>)</w:t>
      </w:r>
      <w:r>
        <w:rPr>
          <w:rFonts w:hint="eastAsia" w:ascii="宋体" w:hAnsi="宋体" w:cs="宋体"/>
          <w:color w:val="auto"/>
          <w:highlight w:val="none"/>
        </w:rPr>
        <w:t>复印件、税务登记证</w:t>
      </w:r>
      <w:r>
        <w:rPr>
          <w:rFonts w:ascii="宋体" w:hAnsi="宋体" w:cs="宋体"/>
          <w:color w:val="auto"/>
          <w:highlight w:val="none"/>
        </w:rPr>
        <w:t>(</w:t>
      </w:r>
      <w:r>
        <w:rPr>
          <w:rFonts w:hint="eastAsia" w:ascii="宋体" w:hAnsi="宋体" w:cs="宋体"/>
          <w:color w:val="auto"/>
          <w:highlight w:val="none"/>
        </w:rPr>
        <w:t>或其它缴纳证明材料</w:t>
      </w:r>
      <w:r>
        <w:rPr>
          <w:rFonts w:ascii="宋体" w:hAnsi="宋体" w:cs="宋体"/>
          <w:color w:val="auto"/>
          <w:highlight w:val="none"/>
        </w:rPr>
        <w:t>)</w:t>
      </w:r>
      <w:r>
        <w:rPr>
          <w:rFonts w:hint="eastAsia" w:ascii="宋体" w:hAnsi="宋体" w:cs="宋体"/>
          <w:color w:val="auto"/>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43"/>
        <w:numPr>
          <w:ilvl w:val="0"/>
          <w:numId w:val="11"/>
        </w:numPr>
        <w:spacing w:before="0"/>
        <w:ind w:firstLine="480"/>
        <w:rPr>
          <w:rFonts w:ascii="宋体"/>
          <w:color w:val="auto"/>
          <w:highlight w:val="none"/>
        </w:rPr>
      </w:pPr>
      <w:r>
        <w:rPr>
          <w:rFonts w:hint="eastAsia" w:ascii="宋体" w:hAnsi="宋体" w:cs="宋体"/>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43"/>
        <w:numPr>
          <w:ilvl w:val="0"/>
          <w:numId w:val="11"/>
        </w:numPr>
        <w:spacing w:before="0"/>
        <w:ind w:firstLine="480"/>
        <w:rPr>
          <w:rFonts w:ascii="宋体"/>
          <w:color w:val="auto"/>
          <w:highlight w:val="none"/>
        </w:rPr>
      </w:pPr>
      <w:r>
        <w:rPr>
          <w:rFonts w:hint="eastAsia" w:ascii="宋体" w:hAnsi="宋体" w:cs="宋体"/>
          <w:color w:val="auto"/>
          <w:highlight w:val="none"/>
        </w:rPr>
        <w:t>前一年度资产负债表等财务报表资料文件；</w:t>
      </w:r>
      <w:r>
        <w:rPr>
          <w:rFonts w:ascii="宋体" w:hAnsi="宋体" w:cs="宋体"/>
          <w:color w:val="auto"/>
          <w:highlight w:val="none"/>
        </w:rPr>
        <w:t>(</w:t>
      </w:r>
      <w:r>
        <w:rPr>
          <w:rFonts w:hint="eastAsia" w:ascii="宋体" w:hAnsi="宋体" w:cs="宋体"/>
          <w:color w:val="auto"/>
          <w:highlight w:val="none"/>
        </w:rPr>
        <w:t>新成立的公司，必须提供情况说明</w:t>
      </w:r>
      <w:r>
        <w:rPr>
          <w:rFonts w:ascii="宋体" w:hAnsi="宋体" w:cs="宋体"/>
          <w:color w:val="auto"/>
          <w:highlight w:val="none"/>
        </w:rPr>
        <w:t>)</w:t>
      </w:r>
    </w:p>
    <w:p>
      <w:pPr>
        <w:pStyle w:val="43"/>
        <w:numPr>
          <w:ilvl w:val="0"/>
          <w:numId w:val="11"/>
        </w:numPr>
        <w:spacing w:before="0"/>
        <w:ind w:firstLine="480"/>
        <w:rPr>
          <w:rFonts w:ascii="宋体"/>
          <w:color w:val="auto"/>
          <w:highlight w:val="none"/>
        </w:rPr>
      </w:pPr>
      <w:r>
        <w:rPr>
          <w:rFonts w:hint="eastAsia" w:ascii="宋体" w:hAnsi="宋体" w:cs="宋体"/>
          <w:color w:val="auto"/>
          <w:highlight w:val="none"/>
        </w:rPr>
        <w:t>具有履行合同所必需的产品和专业技术能力的承诺函；</w:t>
      </w:r>
    </w:p>
    <w:p>
      <w:pPr>
        <w:pStyle w:val="43"/>
        <w:numPr>
          <w:ilvl w:val="0"/>
          <w:numId w:val="11"/>
        </w:numPr>
        <w:spacing w:before="0"/>
        <w:ind w:firstLine="480"/>
        <w:rPr>
          <w:rFonts w:ascii="宋体"/>
          <w:color w:val="auto"/>
          <w:highlight w:val="none"/>
        </w:rPr>
      </w:pPr>
      <w:r>
        <w:rPr>
          <w:rFonts w:hint="eastAsia" w:ascii="宋体" w:hAnsi="宋体" w:cs="宋体"/>
          <w:color w:val="auto"/>
          <w:highlight w:val="none"/>
        </w:rPr>
        <w:t>提供有效的依法缴纳税收证明（完税凭证或税务部门出具的证明）和提供有效的依法缴纳社会保障资金证明（缴纳凭证或人社部门出具的证明）；</w:t>
      </w:r>
    </w:p>
    <w:p>
      <w:pPr>
        <w:pStyle w:val="43"/>
        <w:numPr>
          <w:ilvl w:val="0"/>
          <w:numId w:val="11"/>
        </w:numPr>
        <w:spacing w:before="0"/>
        <w:ind w:firstLine="480"/>
        <w:rPr>
          <w:rFonts w:ascii="宋体"/>
          <w:color w:val="auto"/>
          <w:highlight w:val="none"/>
        </w:rPr>
      </w:pPr>
      <w:r>
        <w:rPr>
          <w:rFonts w:hint="eastAsia" w:ascii="宋体" w:hAnsi="宋体" w:cs="宋体"/>
          <w:color w:val="auto"/>
          <w:highlight w:val="none"/>
        </w:rPr>
        <w:t>参加政府采购活动前三年内，在经营活动中没有重大违法记录的声明</w:t>
      </w:r>
      <w:r>
        <w:rPr>
          <w:rFonts w:hint="eastAsia" w:ascii="宋体"/>
          <w:color w:val="auto"/>
          <w:highlight w:val="none"/>
        </w:rPr>
        <w:t>。</w:t>
      </w:r>
    </w:p>
    <w:p>
      <w:pPr>
        <w:pStyle w:val="43"/>
        <w:numPr>
          <w:ilvl w:val="0"/>
          <w:numId w:val="10"/>
        </w:numPr>
        <w:spacing w:before="0"/>
        <w:ind w:firstLine="480"/>
        <w:rPr>
          <w:rFonts w:ascii="宋体"/>
          <w:color w:val="auto"/>
          <w:highlight w:val="none"/>
        </w:rPr>
      </w:pPr>
      <w:r>
        <w:rPr>
          <w:rFonts w:hint="eastAsia" w:ascii="宋体" w:hAnsi="宋体" w:cs="宋体"/>
          <w:color w:val="auto"/>
          <w:highlight w:val="none"/>
        </w:rPr>
        <w:t>商务技术文件，本次磋商需要供应商提供以下项所列的技术文件：</w:t>
      </w:r>
    </w:p>
    <w:p>
      <w:pPr>
        <w:pStyle w:val="43"/>
        <w:numPr>
          <w:ilvl w:val="0"/>
          <w:numId w:val="12"/>
        </w:numPr>
        <w:spacing w:before="0"/>
        <w:ind w:firstLine="480"/>
        <w:rPr>
          <w:rFonts w:ascii="宋体"/>
          <w:color w:val="auto"/>
          <w:highlight w:val="none"/>
        </w:rPr>
      </w:pPr>
      <w:r>
        <w:rPr>
          <w:rFonts w:hint="eastAsia" w:ascii="宋体" w:hAnsi="宋体" w:cs="宋体"/>
          <w:color w:val="auto"/>
          <w:highlight w:val="none"/>
        </w:rPr>
        <w:t>评分对应表（格式见附件，主要用于评委对应评分内容）</w:t>
      </w:r>
    </w:p>
    <w:p>
      <w:pPr>
        <w:pStyle w:val="43"/>
        <w:numPr>
          <w:ilvl w:val="0"/>
          <w:numId w:val="12"/>
        </w:numPr>
        <w:spacing w:before="0"/>
        <w:ind w:firstLine="480"/>
        <w:rPr>
          <w:rFonts w:ascii="宋体"/>
          <w:color w:val="auto"/>
          <w:highlight w:val="none"/>
        </w:rPr>
      </w:pPr>
      <w:r>
        <w:rPr>
          <w:rFonts w:hint="eastAsia" w:ascii="宋体" w:hAnsi="宋体" w:cs="宋体"/>
          <w:color w:val="auto"/>
          <w:highlight w:val="none"/>
        </w:rPr>
        <w:t>供应商商务技术文件中资信分自评表（格式见附件）；</w:t>
      </w:r>
    </w:p>
    <w:p>
      <w:pPr>
        <w:pStyle w:val="43"/>
        <w:numPr>
          <w:ilvl w:val="0"/>
          <w:numId w:val="12"/>
        </w:numPr>
        <w:spacing w:before="0"/>
        <w:ind w:firstLine="480"/>
        <w:rPr>
          <w:rFonts w:ascii="宋体"/>
          <w:color w:val="auto"/>
          <w:highlight w:val="none"/>
        </w:rPr>
      </w:pPr>
      <w:r>
        <w:rPr>
          <w:rFonts w:hint="eastAsia" w:ascii="宋体" w:hAnsi="宋体" w:cs="宋体"/>
          <w:color w:val="auto"/>
          <w:highlight w:val="none"/>
        </w:rPr>
        <w:t>磋商项目明细清单（格式见附件）；</w:t>
      </w:r>
    </w:p>
    <w:p>
      <w:pPr>
        <w:pStyle w:val="43"/>
        <w:numPr>
          <w:ilvl w:val="0"/>
          <w:numId w:val="12"/>
        </w:numPr>
        <w:spacing w:before="0"/>
        <w:ind w:firstLine="480"/>
        <w:rPr>
          <w:rFonts w:ascii="宋体"/>
          <w:color w:val="auto"/>
          <w:highlight w:val="none"/>
        </w:rPr>
      </w:pPr>
      <w:r>
        <w:rPr>
          <w:rFonts w:hint="eastAsia" w:ascii="宋体" w:hAnsi="宋体" w:cs="宋体"/>
          <w:color w:val="auto"/>
          <w:highlight w:val="none"/>
        </w:rPr>
        <w:t>技术响应及建议表（格式见附件）；</w:t>
      </w:r>
    </w:p>
    <w:p>
      <w:pPr>
        <w:pStyle w:val="43"/>
        <w:numPr>
          <w:ilvl w:val="0"/>
          <w:numId w:val="12"/>
        </w:numPr>
        <w:spacing w:before="0"/>
        <w:ind w:firstLine="480"/>
        <w:rPr>
          <w:rFonts w:ascii="宋体"/>
          <w:color w:val="auto"/>
          <w:highlight w:val="none"/>
        </w:rPr>
      </w:pPr>
      <w:r>
        <w:rPr>
          <w:rFonts w:hint="eastAsia" w:ascii="宋体" w:hAnsi="宋体" w:cs="宋体"/>
          <w:color w:val="auto"/>
          <w:highlight w:val="none"/>
        </w:rPr>
        <w:t>商务响应表（格式见附件）；</w:t>
      </w:r>
    </w:p>
    <w:p>
      <w:pPr>
        <w:pStyle w:val="43"/>
        <w:numPr>
          <w:ilvl w:val="0"/>
          <w:numId w:val="12"/>
        </w:numPr>
        <w:spacing w:before="0"/>
        <w:ind w:firstLine="480"/>
        <w:rPr>
          <w:rFonts w:ascii="宋体"/>
          <w:color w:val="auto"/>
          <w:highlight w:val="none"/>
        </w:rPr>
      </w:pPr>
      <w:r>
        <w:rPr>
          <w:rFonts w:hint="eastAsia" w:ascii="宋体" w:hAnsi="宋体" w:cs="宋体"/>
          <w:color w:val="auto"/>
          <w:sz w:val="24"/>
          <w:highlight w:val="none"/>
          <w:lang w:val="en-US" w:eastAsia="zh-CN"/>
        </w:rPr>
        <w:t>项目认识</w:t>
      </w:r>
      <w:r>
        <w:rPr>
          <w:rFonts w:hint="eastAsia" w:ascii="宋体" w:hAnsi="宋体" w:cs="宋体"/>
          <w:color w:val="auto"/>
          <w:sz w:val="24"/>
          <w:szCs w:val="24"/>
          <w:highlight w:val="none"/>
          <w:lang w:eastAsia="zh-CN"/>
        </w:rPr>
        <w:t>；</w:t>
      </w:r>
    </w:p>
    <w:p>
      <w:pPr>
        <w:pStyle w:val="43"/>
        <w:numPr>
          <w:ilvl w:val="0"/>
          <w:numId w:val="12"/>
        </w:numPr>
        <w:spacing w:before="0"/>
        <w:ind w:firstLine="480"/>
        <w:rPr>
          <w:rFonts w:ascii="宋体"/>
          <w:color w:val="auto"/>
          <w:highlight w:val="none"/>
        </w:rPr>
      </w:pPr>
      <w:r>
        <w:rPr>
          <w:rFonts w:hint="eastAsia" w:ascii="宋体" w:hAnsi="宋体"/>
          <w:color w:val="auto"/>
          <w:kern w:val="0"/>
          <w:sz w:val="24"/>
          <w:highlight w:val="none"/>
          <w:lang w:val="en-US" w:eastAsia="zh-CN"/>
        </w:rPr>
        <w:t>项目</w:t>
      </w:r>
      <w:r>
        <w:rPr>
          <w:rFonts w:hint="eastAsia" w:ascii="宋体" w:hAnsi="宋体"/>
          <w:color w:val="auto"/>
          <w:kern w:val="0"/>
          <w:sz w:val="24"/>
          <w:highlight w:val="none"/>
        </w:rPr>
        <w:t>方案</w:t>
      </w:r>
      <w:r>
        <w:rPr>
          <w:rFonts w:hint="eastAsia" w:ascii="宋体" w:hAnsi="宋体" w:cs="宋体"/>
          <w:color w:val="auto"/>
          <w:highlight w:val="none"/>
        </w:rPr>
        <w:t>；</w:t>
      </w:r>
    </w:p>
    <w:p>
      <w:pPr>
        <w:pStyle w:val="43"/>
        <w:numPr>
          <w:ilvl w:val="0"/>
          <w:numId w:val="12"/>
        </w:numPr>
        <w:spacing w:before="0"/>
        <w:ind w:firstLine="480"/>
        <w:rPr>
          <w:rFonts w:ascii="宋体"/>
          <w:color w:val="auto"/>
          <w:highlight w:val="none"/>
        </w:rPr>
      </w:pPr>
      <w:r>
        <w:rPr>
          <w:rFonts w:hint="eastAsia" w:ascii="宋体" w:hAnsi="宋体"/>
          <w:color w:val="auto"/>
          <w:sz w:val="24"/>
          <w:highlight w:val="none"/>
        </w:rPr>
        <w:t>进度保障</w:t>
      </w:r>
      <w:r>
        <w:rPr>
          <w:rFonts w:hint="eastAsia" w:ascii="宋体" w:hAnsi="宋体" w:cs="宋体"/>
          <w:color w:val="auto"/>
          <w:highlight w:val="none"/>
        </w:rPr>
        <w:t>；</w:t>
      </w:r>
    </w:p>
    <w:p>
      <w:pPr>
        <w:pStyle w:val="43"/>
        <w:numPr>
          <w:ilvl w:val="0"/>
          <w:numId w:val="12"/>
        </w:numPr>
        <w:spacing w:before="0"/>
        <w:ind w:firstLine="480"/>
        <w:rPr>
          <w:rFonts w:ascii="宋体"/>
          <w:color w:val="auto"/>
          <w:highlight w:val="none"/>
        </w:rPr>
      </w:pPr>
      <w:r>
        <w:rPr>
          <w:rFonts w:hint="eastAsia" w:ascii="宋体" w:cs="宋体"/>
          <w:color w:val="auto"/>
          <w:kern w:val="0"/>
          <w:sz w:val="24"/>
          <w:highlight w:val="none"/>
          <w:lang w:bidi="ar"/>
        </w:rPr>
        <w:t>合理化建议</w:t>
      </w:r>
      <w:r>
        <w:rPr>
          <w:rFonts w:hint="eastAsia" w:ascii="宋体" w:hAnsi="宋体" w:cs="宋体"/>
          <w:color w:val="auto"/>
          <w:highlight w:val="none"/>
        </w:rPr>
        <w:t>；</w:t>
      </w:r>
    </w:p>
    <w:p>
      <w:pPr>
        <w:pStyle w:val="43"/>
        <w:numPr>
          <w:ilvl w:val="0"/>
          <w:numId w:val="12"/>
        </w:numPr>
        <w:spacing w:before="0"/>
        <w:ind w:firstLine="480"/>
        <w:rPr>
          <w:rFonts w:ascii="宋体"/>
          <w:color w:val="auto"/>
          <w:highlight w:val="none"/>
        </w:rPr>
      </w:pPr>
      <w:r>
        <w:rPr>
          <w:rFonts w:hint="eastAsia" w:ascii="宋体" w:hAnsi="宋体"/>
          <w:color w:val="auto"/>
          <w:kern w:val="0"/>
          <w:sz w:val="24"/>
          <w:highlight w:val="none"/>
        </w:rPr>
        <w:t>人员配置</w:t>
      </w:r>
      <w:r>
        <w:rPr>
          <w:rFonts w:hint="eastAsia" w:ascii="宋体" w:hAnsi="宋体"/>
          <w:color w:val="auto"/>
          <w:kern w:val="0"/>
          <w:sz w:val="24"/>
          <w:highlight w:val="none"/>
          <w:lang w:eastAsia="zh-CN"/>
        </w:rPr>
        <w:t>；</w:t>
      </w:r>
    </w:p>
    <w:p>
      <w:pPr>
        <w:pStyle w:val="43"/>
        <w:numPr>
          <w:ilvl w:val="0"/>
          <w:numId w:val="12"/>
        </w:numPr>
        <w:spacing w:before="0"/>
        <w:ind w:firstLine="480"/>
        <w:rPr>
          <w:rFonts w:ascii="宋体"/>
          <w:color w:val="auto"/>
          <w:highlight w:val="none"/>
        </w:rPr>
      </w:pPr>
      <w:r>
        <w:rPr>
          <w:rFonts w:hint="eastAsia" w:ascii="宋体" w:hAnsi="宋体"/>
          <w:bCs/>
          <w:color w:val="auto"/>
          <w:sz w:val="24"/>
          <w:highlight w:val="none"/>
        </w:rPr>
        <w:t>服务</w:t>
      </w:r>
      <w:r>
        <w:rPr>
          <w:rFonts w:hint="eastAsia" w:ascii="宋体" w:hAnsi="宋体"/>
          <w:bCs/>
          <w:color w:val="auto"/>
          <w:sz w:val="24"/>
          <w:highlight w:val="none"/>
          <w:lang w:val="en-US" w:eastAsia="zh-CN"/>
        </w:rPr>
        <w:t>承诺；</w:t>
      </w:r>
    </w:p>
    <w:p>
      <w:pPr>
        <w:pStyle w:val="43"/>
        <w:numPr>
          <w:ilvl w:val="0"/>
          <w:numId w:val="12"/>
        </w:numPr>
        <w:spacing w:before="0"/>
        <w:ind w:firstLine="480"/>
        <w:rPr>
          <w:rFonts w:ascii="宋体"/>
          <w:color w:val="auto"/>
          <w:highlight w:val="none"/>
        </w:rPr>
      </w:pPr>
      <w:r>
        <w:rPr>
          <w:rFonts w:hint="eastAsia" w:ascii="宋体"/>
          <w:color w:val="auto"/>
          <w:highlight w:val="none"/>
          <w:lang w:val="en-US" w:eastAsia="zh-CN"/>
        </w:rPr>
        <w:t>本地化服务；</w:t>
      </w:r>
    </w:p>
    <w:p>
      <w:pPr>
        <w:pStyle w:val="43"/>
        <w:numPr>
          <w:ilvl w:val="0"/>
          <w:numId w:val="12"/>
        </w:numPr>
        <w:spacing w:before="0"/>
        <w:ind w:firstLine="480"/>
        <w:rPr>
          <w:rFonts w:ascii="宋体"/>
          <w:color w:val="auto"/>
          <w:highlight w:val="none"/>
        </w:rPr>
      </w:pPr>
      <w:r>
        <w:rPr>
          <w:rFonts w:hint="eastAsia" w:ascii="宋体" w:hAnsi="宋体" w:cs="宋体"/>
          <w:color w:val="auto"/>
          <w:highlight w:val="none"/>
          <w:lang w:val="en-US" w:eastAsia="zh-CN"/>
        </w:rPr>
        <w:t>标书质量</w:t>
      </w:r>
      <w:r>
        <w:rPr>
          <w:rFonts w:hint="eastAsia" w:ascii="宋体" w:hAnsi="宋体" w:cs="宋体"/>
          <w:color w:val="auto"/>
          <w:highlight w:val="none"/>
        </w:rPr>
        <w:t>；</w:t>
      </w:r>
    </w:p>
    <w:p>
      <w:pPr>
        <w:pStyle w:val="43"/>
        <w:numPr>
          <w:ilvl w:val="0"/>
          <w:numId w:val="12"/>
        </w:numPr>
        <w:spacing w:before="0"/>
        <w:ind w:firstLine="480"/>
        <w:rPr>
          <w:rFonts w:ascii="宋体"/>
          <w:color w:val="auto"/>
          <w:highlight w:val="none"/>
        </w:rPr>
      </w:pPr>
      <w:r>
        <w:rPr>
          <w:rFonts w:hint="eastAsia" w:ascii="宋体" w:hAnsi="宋体" w:cs="宋体"/>
          <w:color w:val="auto"/>
          <w:sz w:val="24"/>
          <w:szCs w:val="24"/>
          <w:highlight w:val="none"/>
          <w:lang w:val="en-US" w:eastAsia="zh-CN"/>
        </w:rPr>
        <w:t>认证证书</w:t>
      </w:r>
      <w:r>
        <w:rPr>
          <w:rFonts w:hint="eastAsia" w:ascii="宋体" w:hAnsi="宋体" w:cs="宋体"/>
          <w:color w:val="auto"/>
          <w:highlight w:val="none"/>
        </w:rPr>
        <w:t>；</w:t>
      </w:r>
    </w:p>
    <w:p>
      <w:pPr>
        <w:pStyle w:val="43"/>
        <w:numPr>
          <w:ilvl w:val="0"/>
          <w:numId w:val="12"/>
        </w:numPr>
        <w:spacing w:before="0"/>
        <w:ind w:firstLine="480"/>
        <w:rPr>
          <w:rFonts w:ascii="宋体"/>
          <w:color w:val="auto"/>
          <w:highlight w:val="none"/>
        </w:rPr>
      </w:pPr>
      <w:r>
        <w:rPr>
          <w:rFonts w:hint="eastAsia" w:ascii="宋体" w:hAnsi="宋体" w:cs="宋体"/>
          <w:color w:val="auto"/>
          <w:highlight w:val="none"/>
        </w:rPr>
        <w:t>业绩</w:t>
      </w:r>
      <w:r>
        <w:rPr>
          <w:rFonts w:hint="eastAsia" w:ascii="宋体" w:hAnsi="宋体" w:cs="宋体"/>
          <w:color w:val="auto"/>
          <w:highlight w:val="none"/>
          <w:lang w:val="en-US" w:eastAsia="zh-CN"/>
        </w:rPr>
        <w:t>证明</w:t>
      </w:r>
      <w:r>
        <w:rPr>
          <w:rFonts w:hint="eastAsia" w:ascii="宋体" w:hAnsi="宋体" w:cs="宋体"/>
          <w:color w:val="auto"/>
          <w:sz w:val="24"/>
          <w:szCs w:val="24"/>
          <w:highlight w:val="none"/>
          <w:lang w:val="en-US" w:eastAsia="zh-CN"/>
        </w:rPr>
        <w:t>；</w:t>
      </w:r>
    </w:p>
    <w:p>
      <w:pPr>
        <w:pStyle w:val="43"/>
        <w:numPr>
          <w:ilvl w:val="0"/>
          <w:numId w:val="12"/>
        </w:numPr>
        <w:spacing w:before="0"/>
        <w:ind w:firstLine="480"/>
        <w:rPr>
          <w:rFonts w:ascii="宋体"/>
          <w:color w:val="auto"/>
          <w:highlight w:val="none"/>
        </w:rPr>
      </w:pPr>
      <w:r>
        <w:rPr>
          <w:rFonts w:hint="eastAsia" w:ascii="宋体" w:hAnsi="宋体" w:cs="宋体"/>
          <w:color w:val="auto"/>
          <w:highlight w:val="none"/>
        </w:rPr>
        <w:t>供应商认为需要的其他文件资料。</w:t>
      </w:r>
      <w:r>
        <w:rPr>
          <w:rFonts w:ascii="宋体" w:hAnsi="宋体" w:cs="宋体"/>
          <w:color w:val="auto"/>
          <w:highlight w:val="none"/>
        </w:rPr>
        <w:t xml:space="preserve"> </w:t>
      </w:r>
    </w:p>
    <w:p>
      <w:pPr>
        <w:pStyle w:val="43"/>
        <w:tabs>
          <w:tab w:val="left" w:pos="0"/>
        </w:tabs>
        <w:spacing w:before="0"/>
        <w:ind w:firstLine="480"/>
        <w:rPr>
          <w:rFonts w:ascii="宋体"/>
          <w:color w:val="auto"/>
          <w:highlight w:val="none"/>
        </w:rPr>
      </w:pPr>
      <w:r>
        <w:rPr>
          <w:rFonts w:hint="eastAsia" w:ascii="宋体" w:hAnsi="宋体" w:cs="宋体"/>
          <w:color w:val="auto"/>
          <w:highlight w:val="none"/>
        </w:rPr>
        <w:t>注：以上内容应与评标办法中内容具有一致性。</w:t>
      </w:r>
    </w:p>
    <w:p>
      <w:pPr>
        <w:pStyle w:val="43"/>
        <w:tabs>
          <w:tab w:val="left" w:pos="0"/>
        </w:tabs>
        <w:spacing w:before="0"/>
        <w:ind w:firstLine="480"/>
        <w:rPr>
          <w:rFonts w:ascii="宋体"/>
          <w:color w:val="auto"/>
          <w:highlight w:val="none"/>
        </w:rPr>
      </w:pPr>
      <w:r>
        <w:rPr>
          <w:rFonts w:hint="eastAsia" w:ascii="宋体" w:hAnsi="宋体" w:cs="宋体"/>
          <w:color w:val="auto"/>
          <w:highlight w:val="none"/>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43"/>
        <w:tabs>
          <w:tab w:val="left" w:pos="0"/>
        </w:tabs>
        <w:spacing w:before="0"/>
        <w:ind w:firstLine="480"/>
        <w:rPr>
          <w:rFonts w:ascii="宋体"/>
          <w:color w:val="auto"/>
          <w:highlight w:val="none"/>
        </w:rPr>
      </w:pPr>
      <w:r>
        <w:rPr>
          <w:rFonts w:hint="eastAsia" w:ascii="宋体" w:hAnsi="宋体" w:cs="宋体"/>
          <w:color w:val="auto"/>
          <w:highlight w:val="none"/>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color w:val="auto"/>
          <w:highlight w:val="none"/>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43"/>
        <w:numPr>
          <w:ilvl w:val="0"/>
          <w:numId w:val="10"/>
        </w:numPr>
        <w:spacing w:before="0"/>
        <w:ind w:firstLine="480"/>
        <w:rPr>
          <w:rFonts w:ascii="宋体"/>
          <w:color w:val="auto"/>
          <w:highlight w:val="none"/>
        </w:rPr>
      </w:pPr>
      <w:r>
        <w:rPr>
          <w:rFonts w:hint="eastAsia" w:ascii="宋体" w:hAnsi="宋体" w:cs="宋体"/>
          <w:color w:val="auto"/>
          <w:highlight w:val="none"/>
        </w:rPr>
        <w:t>报价文件包括以下内容：</w:t>
      </w:r>
    </w:p>
    <w:p>
      <w:pPr>
        <w:pStyle w:val="43"/>
        <w:numPr>
          <w:ilvl w:val="0"/>
          <w:numId w:val="13"/>
        </w:numPr>
        <w:spacing w:before="0"/>
        <w:ind w:firstLine="480"/>
        <w:rPr>
          <w:rFonts w:ascii="宋体"/>
          <w:color w:val="auto"/>
          <w:highlight w:val="none"/>
        </w:rPr>
      </w:pPr>
      <w:r>
        <w:rPr>
          <w:rFonts w:hint="eastAsia" w:ascii="宋体" w:hAnsi="宋体" w:cs="宋体"/>
          <w:color w:val="auto"/>
          <w:highlight w:val="none"/>
        </w:rPr>
        <w:t>磋商函（格式见附件）；</w:t>
      </w:r>
    </w:p>
    <w:p>
      <w:pPr>
        <w:pStyle w:val="43"/>
        <w:numPr>
          <w:ilvl w:val="0"/>
          <w:numId w:val="13"/>
        </w:numPr>
        <w:spacing w:before="0"/>
        <w:ind w:firstLine="480"/>
        <w:rPr>
          <w:rFonts w:ascii="宋体"/>
          <w:color w:val="auto"/>
          <w:highlight w:val="none"/>
        </w:rPr>
      </w:pPr>
      <w:r>
        <w:rPr>
          <w:rFonts w:hint="eastAsia" w:ascii="宋体" w:hAnsi="宋体" w:cs="宋体"/>
          <w:color w:val="auto"/>
          <w:highlight w:val="none"/>
        </w:rPr>
        <w:t>报价一览表（格式见附件）；</w:t>
      </w:r>
    </w:p>
    <w:p>
      <w:pPr>
        <w:pStyle w:val="43"/>
        <w:numPr>
          <w:ilvl w:val="0"/>
          <w:numId w:val="13"/>
        </w:numPr>
        <w:spacing w:before="0"/>
        <w:ind w:firstLine="480"/>
        <w:rPr>
          <w:rFonts w:ascii="宋体"/>
          <w:color w:val="auto"/>
          <w:highlight w:val="none"/>
        </w:rPr>
      </w:pPr>
      <w:r>
        <w:rPr>
          <w:rFonts w:hint="eastAsia" w:ascii="宋体" w:hAnsi="宋体" w:cs="宋体"/>
          <w:color w:val="auto"/>
          <w:highlight w:val="none"/>
        </w:rPr>
        <w:t>磋商报价明细表（格式见附件）；</w:t>
      </w:r>
    </w:p>
    <w:p>
      <w:pPr>
        <w:pStyle w:val="43"/>
        <w:numPr>
          <w:ilvl w:val="0"/>
          <w:numId w:val="13"/>
        </w:numPr>
        <w:spacing w:before="0"/>
        <w:ind w:firstLine="480"/>
        <w:rPr>
          <w:rFonts w:ascii="宋体"/>
          <w:color w:val="auto"/>
          <w:highlight w:val="none"/>
        </w:rPr>
      </w:pPr>
      <w:r>
        <w:rPr>
          <w:rFonts w:hint="eastAsia" w:ascii="宋体" w:hAnsi="宋体" w:cs="宋体"/>
          <w:color w:val="auto"/>
          <w:highlight w:val="none"/>
        </w:rPr>
        <w:t>中小企业声明函</w:t>
      </w:r>
      <w:r>
        <w:rPr>
          <w:rFonts w:ascii="宋体" w:hAnsi="宋体" w:cs="宋体"/>
          <w:color w:val="auto"/>
          <w:highlight w:val="none"/>
        </w:rPr>
        <w:t>(</w:t>
      </w:r>
      <w:r>
        <w:rPr>
          <w:rFonts w:hint="eastAsia" w:ascii="宋体" w:hAnsi="宋体" w:cs="宋体"/>
          <w:color w:val="auto"/>
          <w:highlight w:val="none"/>
        </w:rPr>
        <w:t>如有</w:t>
      </w:r>
      <w:r>
        <w:rPr>
          <w:rFonts w:ascii="宋体" w:hAnsi="宋体" w:cs="宋体"/>
          <w:color w:val="auto"/>
          <w:highlight w:val="none"/>
        </w:rPr>
        <w:t>)</w:t>
      </w:r>
      <w:r>
        <w:rPr>
          <w:rFonts w:hint="eastAsia" w:ascii="宋体" w:hAnsi="宋体" w:cs="宋体"/>
          <w:color w:val="auto"/>
          <w:highlight w:val="none"/>
        </w:rPr>
        <w:t>（格式见附件）；</w:t>
      </w:r>
    </w:p>
    <w:p>
      <w:pPr>
        <w:pStyle w:val="43"/>
        <w:numPr>
          <w:ilvl w:val="0"/>
          <w:numId w:val="13"/>
        </w:numPr>
        <w:spacing w:before="0"/>
        <w:ind w:firstLine="480"/>
        <w:rPr>
          <w:rFonts w:ascii="宋体"/>
          <w:color w:val="auto"/>
          <w:highlight w:val="none"/>
        </w:rPr>
      </w:pPr>
      <w:r>
        <w:rPr>
          <w:rFonts w:hint="eastAsia" w:ascii="宋体" w:hAnsi="宋体" w:cs="宋体"/>
          <w:color w:val="auto"/>
          <w:highlight w:val="none"/>
        </w:rPr>
        <w:t>残疾人福利性单位声明函</w:t>
      </w:r>
      <w:r>
        <w:rPr>
          <w:rFonts w:ascii="宋体" w:hAnsi="宋体" w:cs="宋体"/>
          <w:color w:val="auto"/>
          <w:highlight w:val="none"/>
        </w:rPr>
        <w:t>(</w:t>
      </w:r>
      <w:r>
        <w:rPr>
          <w:rFonts w:hint="eastAsia" w:ascii="宋体" w:hAnsi="宋体" w:cs="宋体"/>
          <w:color w:val="auto"/>
          <w:highlight w:val="none"/>
        </w:rPr>
        <w:t>如有</w:t>
      </w:r>
      <w:r>
        <w:rPr>
          <w:rFonts w:ascii="宋体" w:hAnsi="宋体" w:cs="宋体"/>
          <w:color w:val="auto"/>
          <w:highlight w:val="none"/>
        </w:rPr>
        <w:t>)</w:t>
      </w:r>
      <w:r>
        <w:rPr>
          <w:rFonts w:hint="eastAsia" w:ascii="宋体" w:hAnsi="宋体" w:cs="宋体"/>
          <w:color w:val="auto"/>
          <w:highlight w:val="none"/>
        </w:rPr>
        <w:t>（格式见附件）；</w:t>
      </w:r>
    </w:p>
    <w:p>
      <w:pPr>
        <w:pStyle w:val="43"/>
        <w:numPr>
          <w:ilvl w:val="0"/>
          <w:numId w:val="13"/>
        </w:numPr>
        <w:spacing w:before="0"/>
        <w:ind w:firstLine="480"/>
        <w:rPr>
          <w:rFonts w:ascii="宋体"/>
          <w:color w:val="auto"/>
          <w:highlight w:val="none"/>
        </w:rPr>
      </w:pPr>
      <w:r>
        <w:rPr>
          <w:rFonts w:hint="eastAsia" w:ascii="宋体" w:hAnsi="宋体" w:cs="宋体"/>
          <w:color w:val="auto"/>
          <w:highlight w:val="none"/>
        </w:rPr>
        <w:t>监狱企业证明文件</w:t>
      </w:r>
      <w:r>
        <w:rPr>
          <w:rFonts w:ascii="宋体" w:hAnsi="宋体" w:cs="宋体"/>
          <w:color w:val="auto"/>
          <w:highlight w:val="none"/>
        </w:rPr>
        <w:t>(</w:t>
      </w:r>
      <w:r>
        <w:rPr>
          <w:rFonts w:hint="eastAsia" w:ascii="宋体" w:hAnsi="宋体" w:cs="宋体"/>
          <w:color w:val="auto"/>
          <w:highlight w:val="none"/>
        </w:rPr>
        <w:t>如有</w:t>
      </w:r>
      <w:r>
        <w:rPr>
          <w:rFonts w:ascii="宋体" w:hAnsi="宋体" w:cs="宋体"/>
          <w:color w:val="auto"/>
          <w:highlight w:val="none"/>
        </w:rPr>
        <w:t>)</w:t>
      </w:r>
      <w:r>
        <w:rPr>
          <w:rFonts w:hint="eastAsia" w:ascii="宋体" w:hAnsi="宋体" w:cs="宋体"/>
          <w:color w:val="auto"/>
          <w:highlight w:val="none"/>
        </w:rPr>
        <w:t>（格式见附件）。</w:t>
      </w:r>
    </w:p>
    <w:p>
      <w:pPr>
        <w:pStyle w:val="43"/>
        <w:spacing w:before="0"/>
        <w:ind w:firstLine="241" w:firstLineChars="100"/>
        <w:rPr>
          <w:rFonts w:ascii="宋体"/>
          <w:b/>
          <w:bCs/>
          <w:color w:val="auto"/>
          <w:highlight w:val="none"/>
          <w:u w:val="single"/>
        </w:rPr>
      </w:pPr>
      <w:r>
        <w:rPr>
          <w:rFonts w:hint="eastAsia" w:ascii="宋体" w:hAnsi="宋体" w:cs="宋体"/>
          <w:b/>
          <w:bCs/>
          <w:color w:val="auto"/>
          <w:highlight w:val="none"/>
          <w:u w:val="single"/>
        </w:rPr>
        <w:t>注：“资格文件”、“商务技术文件”、“报价文件”须分</w:t>
      </w:r>
      <w:r>
        <w:rPr>
          <w:rFonts w:ascii="宋体" w:hAnsi="宋体" w:cs="宋体"/>
          <w:b/>
          <w:bCs/>
          <w:color w:val="auto"/>
          <w:highlight w:val="none"/>
          <w:u w:val="single"/>
        </w:rPr>
        <w:t>3</w:t>
      </w:r>
      <w:r>
        <w:rPr>
          <w:rFonts w:hint="eastAsia" w:ascii="宋体" w:hAnsi="宋体" w:cs="宋体"/>
          <w:b/>
          <w:bCs/>
          <w:color w:val="auto"/>
          <w:highlight w:val="none"/>
          <w:u w:val="single"/>
        </w:rPr>
        <w:t>个</w:t>
      </w:r>
      <w:r>
        <w:rPr>
          <w:rFonts w:ascii="宋体" w:hAnsi="宋体" w:cs="宋体"/>
          <w:b/>
          <w:bCs/>
          <w:color w:val="auto"/>
          <w:highlight w:val="none"/>
          <w:u w:val="single"/>
        </w:rPr>
        <w:t>PDF</w:t>
      </w:r>
      <w:r>
        <w:rPr>
          <w:rFonts w:hint="eastAsia" w:ascii="宋体" w:hAnsi="宋体" w:cs="宋体"/>
          <w:b/>
          <w:bCs/>
          <w:color w:val="auto"/>
          <w:highlight w:val="none"/>
          <w:u w:val="single"/>
        </w:rPr>
        <w:t>格式分别导入。</w:t>
      </w:r>
    </w:p>
    <w:p>
      <w:pPr>
        <w:pStyle w:val="43"/>
        <w:spacing w:before="0"/>
        <w:ind w:left="420" w:leftChars="200" w:firstLine="0" w:firstLineChars="0"/>
        <w:rPr>
          <w:rFonts w:ascii="宋体"/>
          <w:b/>
          <w:bCs/>
          <w:color w:val="auto"/>
          <w:highlight w:val="none"/>
        </w:rPr>
      </w:pPr>
      <w:r>
        <w:rPr>
          <w:rFonts w:ascii="宋体" w:hAnsi="宋体" w:cs="宋体"/>
          <w:b/>
          <w:bCs/>
          <w:color w:val="auto"/>
          <w:highlight w:val="none"/>
        </w:rPr>
        <w:t>10</w:t>
      </w:r>
      <w:r>
        <w:rPr>
          <w:rFonts w:hint="eastAsia" w:ascii="宋体" w:hAnsi="宋体" w:cs="宋体"/>
          <w:b/>
          <w:bCs/>
          <w:color w:val="auto"/>
          <w:highlight w:val="none"/>
        </w:rPr>
        <w:t>．响应文件有效期</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10.1 </w:t>
      </w:r>
      <w:r>
        <w:rPr>
          <w:rFonts w:hint="eastAsia" w:ascii="宋体" w:hAnsi="宋体" w:cs="宋体"/>
          <w:color w:val="auto"/>
          <w:highlight w:val="none"/>
        </w:rPr>
        <w:t>响应文件未在磋商响应截止时间前完成传输的或者未按时解密的，视为放弃磋商；响应文件解密失败后未提供备份文件或者备份文件也出现异常情况无法进行评审的，亦视为放弃磋商。</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10.2 </w:t>
      </w:r>
      <w:r>
        <w:rPr>
          <w:rFonts w:hint="eastAsia" w:ascii="宋体" w:hAnsi="宋体" w:cs="宋体"/>
          <w:color w:val="auto"/>
          <w:highlight w:val="none"/>
        </w:rPr>
        <w:t>响应文件上传后，自磋商响应截止日期起，在前附表所列的磋商响应文件有效期内有效。</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10.3 </w:t>
      </w:r>
      <w:r>
        <w:rPr>
          <w:rFonts w:hint="eastAsia" w:ascii="宋体" w:hAnsi="宋体" w:cs="宋体"/>
          <w:color w:val="auto"/>
          <w:highlight w:val="none"/>
        </w:rPr>
        <w:t>在原定有效期满之前，如果出现特殊情况，采购代理机构可以以书面形式向磋商供应商提出延长磋商有效期的要求，磋商供应商对此须以书面形式予以答复。</w:t>
      </w:r>
    </w:p>
    <w:p>
      <w:pPr>
        <w:pStyle w:val="43"/>
        <w:spacing w:before="0"/>
        <w:ind w:left="420" w:leftChars="200" w:firstLine="0" w:firstLineChars="0"/>
        <w:rPr>
          <w:rFonts w:ascii="宋体"/>
          <w:b/>
          <w:bCs/>
          <w:color w:val="auto"/>
          <w:highlight w:val="none"/>
        </w:rPr>
      </w:pPr>
      <w:r>
        <w:rPr>
          <w:rFonts w:ascii="宋体" w:hAnsi="宋体" w:cs="宋体"/>
          <w:b/>
          <w:bCs/>
          <w:color w:val="auto"/>
          <w:highlight w:val="none"/>
        </w:rPr>
        <w:t>11</w:t>
      </w:r>
      <w:r>
        <w:rPr>
          <w:rFonts w:hint="eastAsia" w:ascii="宋体" w:hAnsi="宋体" w:cs="宋体"/>
          <w:b/>
          <w:bCs/>
          <w:color w:val="auto"/>
          <w:highlight w:val="none"/>
        </w:rPr>
        <w:t>．供应商如有下列情况之一者列入不良行为记录：</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11.1 </w:t>
      </w:r>
      <w:r>
        <w:rPr>
          <w:rFonts w:hint="eastAsia" w:ascii="宋体" w:hAnsi="宋体" w:cs="宋体"/>
          <w:color w:val="auto"/>
          <w:highlight w:val="none"/>
        </w:rPr>
        <w:t>供应商在磋商响应文件有效期内撤回投标的；</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11.2 </w:t>
      </w:r>
      <w:r>
        <w:rPr>
          <w:rFonts w:hint="eastAsia" w:ascii="宋体" w:hAnsi="宋体" w:cs="宋体"/>
          <w:color w:val="auto"/>
          <w:highlight w:val="none"/>
        </w:rPr>
        <w:t>供应商或中标候选人放弃中标或中标候选人资格的；</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11.3 </w:t>
      </w:r>
      <w:r>
        <w:rPr>
          <w:rFonts w:hint="eastAsia" w:ascii="宋体" w:hAnsi="宋体" w:cs="宋体"/>
          <w:color w:val="auto"/>
          <w:highlight w:val="none"/>
        </w:rPr>
        <w:t>擅自修改或拒绝接受已经确认的条款；</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11.4 </w:t>
      </w:r>
      <w:r>
        <w:rPr>
          <w:rFonts w:hint="eastAsia" w:ascii="宋体" w:hAnsi="宋体" w:cs="宋体"/>
          <w:color w:val="auto"/>
          <w:highlight w:val="none"/>
        </w:rPr>
        <w:t>成交供应商未按规定与采购人签订合同；</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11.5 </w:t>
      </w:r>
      <w:r>
        <w:rPr>
          <w:rFonts w:hint="eastAsia" w:ascii="宋体" w:hAnsi="宋体" w:cs="宋体"/>
          <w:color w:val="auto"/>
          <w:highlight w:val="none"/>
        </w:rPr>
        <w:t>未按规定提供履约保证金；</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11.6 </w:t>
      </w:r>
      <w:r>
        <w:rPr>
          <w:rFonts w:hint="eastAsia" w:ascii="宋体" w:hAnsi="宋体" w:cs="宋体"/>
          <w:color w:val="auto"/>
          <w:highlight w:val="none"/>
        </w:rPr>
        <w:t>供应商采取提供虚假资料等不正当手段的；</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11.7 </w:t>
      </w:r>
      <w:r>
        <w:rPr>
          <w:rFonts w:hint="eastAsia" w:ascii="宋体" w:hAnsi="宋体" w:cs="宋体"/>
          <w:color w:val="auto"/>
          <w:highlight w:val="none"/>
        </w:rPr>
        <w:t>供应商在投标过程中串通投标的。</w:t>
      </w:r>
    </w:p>
    <w:p>
      <w:pPr>
        <w:pStyle w:val="43"/>
        <w:spacing w:before="0"/>
        <w:ind w:left="420" w:leftChars="200" w:firstLine="0" w:firstLineChars="0"/>
        <w:rPr>
          <w:rFonts w:ascii="宋体"/>
          <w:b/>
          <w:bCs/>
          <w:color w:val="auto"/>
          <w:highlight w:val="none"/>
        </w:rPr>
      </w:pPr>
      <w:r>
        <w:rPr>
          <w:rFonts w:ascii="宋体" w:hAnsi="宋体" w:cs="宋体"/>
          <w:b/>
          <w:bCs/>
          <w:color w:val="auto"/>
          <w:highlight w:val="none"/>
        </w:rPr>
        <w:t>12</w:t>
      </w:r>
      <w:r>
        <w:rPr>
          <w:rFonts w:hint="eastAsia" w:ascii="宋体" w:hAnsi="宋体" w:cs="宋体"/>
          <w:b/>
          <w:bCs/>
          <w:color w:val="auto"/>
          <w:highlight w:val="none"/>
        </w:rPr>
        <w:t>．响应文件的编制和签署</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12.1 </w:t>
      </w:r>
      <w:r>
        <w:rPr>
          <w:rFonts w:hint="eastAsia" w:ascii="宋体" w:hAnsi="宋体" w:cs="宋体"/>
          <w:color w:val="auto"/>
          <w:highlight w:val="none"/>
        </w:rPr>
        <w:t>按磋商文件</w:t>
      </w:r>
      <w:r>
        <w:rPr>
          <w:rFonts w:ascii="宋体" w:hAnsi="宋体" w:cs="宋体"/>
          <w:color w:val="auto"/>
          <w:highlight w:val="none"/>
        </w:rPr>
        <w:t>9.1</w:t>
      </w:r>
      <w:r>
        <w:rPr>
          <w:rFonts w:hint="eastAsia" w:ascii="宋体" w:hAnsi="宋体" w:cs="宋体"/>
          <w:color w:val="auto"/>
          <w:highlight w:val="none"/>
        </w:rPr>
        <w:t>条、</w:t>
      </w:r>
      <w:r>
        <w:rPr>
          <w:rFonts w:ascii="宋体" w:hAnsi="宋体" w:cs="宋体"/>
          <w:color w:val="auto"/>
          <w:highlight w:val="none"/>
        </w:rPr>
        <w:t>9.2</w:t>
      </w:r>
      <w:r>
        <w:rPr>
          <w:rFonts w:hint="eastAsia" w:ascii="宋体" w:hAnsi="宋体" w:cs="宋体"/>
          <w:color w:val="auto"/>
          <w:highlight w:val="none"/>
        </w:rPr>
        <w:t>条、</w:t>
      </w:r>
      <w:r>
        <w:rPr>
          <w:rFonts w:ascii="宋体" w:hAnsi="宋体" w:cs="宋体"/>
          <w:color w:val="auto"/>
          <w:highlight w:val="none"/>
        </w:rPr>
        <w:t>9.3</w:t>
      </w:r>
      <w:r>
        <w:rPr>
          <w:rFonts w:hint="eastAsia" w:ascii="宋体" w:hAnsi="宋体" w:cs="宋体"/>
          <w:color w:val="auto"/>
          <w:highlight w:val="none"/>
        </w:rPr>
        <w:t>条要求提供的各种文件，响应文件分为资格文件、商务技术文件和报价文件三部分。</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12.2 </w:t>
      </w:r>
      <w:r>
        <w:rPr>
          <w:rFonts w:hint="eastAsia" w:ascii="宋体" w:hAnsi="宋体" w:cs="宋体"/>
          <w:color w:val="auto"/>
          <w:highlight w:val="none"/>
        </w:rPr>
        <w:t>响应文件须按附件格式要求进行电子签章，供应商应写全称。（电子磋商响应文件中所须加盖公章部分均应采用电子签章）</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12.3 </w:t>
      </w:r>
      <w:r>
        <w:rPr>
          <w:rFonts w:hint="eastAsia" w:ascii="宋体" w:hAnsi="宋体" w:cs="宋体"/>
          <w:color w:val="auto"/>
          <w:highlight w:val="none"/>
        </w:rPr>
        <w:t>全套响应文件应无涂改和行间插字，除非这些删改是根据采购代理机构要求进行，或者是供应商造成的必须修改的错误。所修改处应由法定代表人或其授权代表签字盖章予以确认。</w:t>
      </w:r>
    </w:p>
    <w:p>
      <w:pPr>
        <w:pStyle w:val="43"/>
        <w:spacing w:before="0"/>
        <w:ind w:left="420" w:leftChars="200" w:firstLine="0" w:firstLineChars="0"/>
        <w:rPr>
          <w:rFonts w:ascii="宋体"/>
          <w:color w:val="auto"/>
          <w:highlight w:val="none"/>
        </w:rPr>
      </w:pPr>
      <w:r>
        <w:rPr>
          <w:rFonts w:ascii="宋体" w:hAnsi="宋体" w:cs="宋体"/>
          <w:color w:val="auto"/>
          <w:highlight w:val="none"/>
        </w:rPr>
        <w:t xml:space="preserve">12.4 </w:t>
      </w:r>
      <w:r>
        <w:rPr>
          <w:rFonts w:hint="eastAsia" w:ascii="宋体" w:hAnsi="宋体" w:cs="宋体"/>
          <w:color w:val="auto"/>
          <w:highlight w:val="none"/>
        </w:rPr>
        <w:t>由于字迹模糊或表达不清引起的后果由供应商负责。</w:t>
      </w:r>
    </w:p>
    <w:p>
      <w:pPr>
        <w:pStyle w:val="43"/>
        <w:spacing w:before="0"/>
        <w:ind w:left="420" w:leftChars="200" w:firstLine="0" w:firstLineChars="0"/>
        <w:rPr>
          <w:rFonts w:ascii="宋体"/>
          <w:b/>
          <w:bCs/>
          <w:color w:val="auto"/>
          <w:highlight w:val="none"/>
        </w:rPr>
      </w:pPr>
      <w:r>
        <w:rPr>
          <w:rFonts w:ascii="宋体" w:hAnsi="宋体" w:cs="宋体"/>
          <w:b/>
          <w:bCs/>
          <w:color w:val="auto"/>
          <w:highlight w:val="none"/>
        </w:rPr>
        <w:t>13</w:t>
      </w:r>
      <w:r>
        <w:rPr>
          <w:rFonts w:hint="eastAsia" w:ascii="宋体" w:hAnsi="宋体" w:cs="宋体"/>
          <w:b/>
          <w:bCs/>
          <w:color w:val="auto"/>
          <w:highlight w:val="none"/>
        </w:rPr>
        <w:t>．</w:t>
      </w:r>
      <w:r>
        <w:rPr>
          <w:rFonts w:ascii="宋体" w:hAnsi="宋体" w:cs="宋体"/>
          <w:b/>
          <w:bCs/>
          <w:color w:val="auto"/>
          <w:highlight w:val="none"/>
        </w:rPr>
        <w:t xml:space="preserve"> </w:t>
      </w:r>
      <w:r>
        <w:rPr>
          <w:rFonts w:hint="eastAsia" w:ascii="宋体" w:hAnsi="宋体" w:cs="宋体"/>
          <w:b/>
          <w:bCs/>
          <w:color w:val="auto"/>
          <w:highlight w:val="none"/>
        </w:rPr>
        <w:t>响应文件的形式</w:t>
      </w:r>
    </w:p>
    <w:p>
      <w:pPr>
        <w:pStyle w:val="43"/>
        <w:spacing w:before="0"/>
        <w:ind w:left="420" w:leftChars="200" w:firstLine="0" w:firstLineChars="0"/>
        <w:rPr>
          <w:rFonts w:ascii="宋体"/>
          <w:color w:val="auto"/>
          <w:highlight w:val="none"/>
        </w:rPr>
      </w:pPr>
      <w:r>
        <w:rPr>
          <w:rFonts w:hint="eastAsia" w:ascii="宋体" w:hAnsi="宋体" w:cs="宋体"/>
          <w:color w:val="auto"/>
          <w:highlight w:val="none"/>
        </w:rPr>
        <w:t>响应文件为电子磋商响应文件，电子磋商响应文件按“政采云供应商项目采购</w:t>
      </w:r>
      <w:r>
        <w:rPr>
          <w:rFonts w:ascii="宋体" w:cs="宋体"/>
          <w:color w:val="auto"/>
          <w:highlight w:val="none"/>
        </w:rPr>
        <w:t>-</w:t>
      </w:r>
      <w:r>
        <w:rPr>
          <w:rFonts w:hint="eastAsia" w:ascii="宋体" w:hAnsi="宋体" w:cs="宋体"/>
          <w:color w:val="auto"/>
          <w:highlight w:val="none"/>
        </w:rPr>
        <w:t>电子招投标操作指南”及本磋商文件要求制作、加密传输。</w:t>
      </w:r>
    </w:p>
    <w:p>
      <w:pPr>
        <w:pStyle w:val="3"/>
        <w:numPr>
          <w:ilvl w:val="0"/>
          <w:numId w:val="9"/>
        </w:numPr>
        <w:jc w:val="center"/>
        <w:rPr>
          <w:rFonts w:cs="Times New Roman"/>
          <w:color w:val="auto"/>
          <w:highlight w:val="none"/>
        </w:rPr>
      </w:pPr>
      <w:bookmarkStart w:id="56" w:name="_Toc1420"/>
      <w:r>
        <w:rPr>
          <w:color w:val="auto"/>
          <w:highlight w:val="none"/>
        </w:rPr>
        <w:t xml:space="preserve"> </w:t>
      </w:r>
      <w:bookmarkStart w:id="57" w:name="_Toc21266"/>
      <w:bookmarkStart w:id="58" w:name="_Toc27026"/>
      <w:r>
        <w:rPr>
          <w:rFonts w:hint="eastAsia"/>
          <w:color w:val="auto"/>
          <w:highlight w:val="none"/>
        </w:rPr>
        <w:t>响应文件的递交</w:t>
      </w:r>
      <w:bookmarkEnd w:id="56"/>
      <w:bookmarkEnd w:id="57"/>
      <w:bookmarkEnd w:id="58"/>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14</w:t>
      </w:r>
      <w:r>
        <w:rPr>
          <w:rFonts w:hint="eastAsia" w:hAnsi="宋体"/>
          <w:b/>
          <w:bCs/>
          <w:color w:val="auto"/>
          <w:sz w:val="24"/>
          <w:szCs w:val="24"/>
          <w:highlight w:val="none"/>
        </w:rPr>
        <w:t>、磋商响应截止期</w:t>
      </w:r>
    </w:p>
    <w:p>
      <w:pPr>
        <w:pStyle w:val="43"/>
        <w:numPr>
          <w:ilvl w:val="0"/>
          <w:numId w:val="14"/>
        </w:numPr>
        <w:spacing w:before="0"/>
        <w:ind w:firstLine="480"/>
        <w:rPr>
          <w:rFonts w:ascii="宋体"/>
          <w:color w:val="auto"/>
          <w:highlight w:val="none"/>
        </w:rPr>
      </w:pPr>
      <w:r>
        <w:rPr>
          <w:rFonts w:hint="eastAsia" w:ascii="宋体" w:hAnsi="宋体" w:cs="宋体"/>
          <w:color w:val="auto"/>
          <w:highlight w:val="none"/>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43"/>
        <w:numPr>
          <w:ilvl w:val="0"/>
          <w:numId w:val="14"/>
        </w:numPr>
        <w:spacing w:before="0"/>
        <w:ind w:firstLine="480"/>
        <w:rPr>
          <w:rFonts w:ascii="宋体"/>
          <w:color w:val="auto"/>
          <w:highlight w:val="none"/>
        </w:rPr>
      </w:pPr>
      <w:r>
        <w:rPr>
          <w:rFonts w:hint="eastAsia" w:ascii="宋体" w:hAnsi="宋体" w:cs="宋体"/>
          <w:color w:val="auto"/>
          <w:highlight w:val="none"/>
        </w:rPr>
        <w:t>采购人因故推迟磋商响应截止时间，将以公告形式通知。在这种情况下，采购人和供应商的权利和义务将受到新的截止时间的约束。</w:t>
      </w:r>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15</w:t>
      </w:r>
      <w:r>
        <w:rPr>
          <w:rFonts w:hint="eastAsia" w:hAnsi="宋体"/>
          <w:b/>
          <w:bCs/>
          <w:color w:val="auto"/>
          <w:sz w:val="24"/>
          <w:szCs w:val="24"/>
          <w:highlight w:val="none"/>
        </w:rPr>
        <w:t>、响应文件的修改、撤销</w:t>
      </w:r>
    </w:p>
    <w:p>
      <w:pPr>
        <w:pStyle w:val="11"/>
        <w:spacing w:line="360" w:lineRule="auto"/>
        <w:ind w:firstLine="480" w:firstLineChars="200"/>
        <w:rPr>
          <w:rFonts w:hAnsi="宋体" w:cs="Times New Roman"/>
          <w:color w:val="auto"/>
          <w:sz w:val="24"/>
          <w:szCs w:val="24"/>
          <w:highlight w:val="none"/>
        </w:rPr>
      </w:pPr>
      <w:r>
        <w:rPr>
          <w:rFonts w:hint="eastAsia" w:hAnsi="宋体"/>
          <w:color w:val="auto"/>
          <w:sz w:val="24"/>
          <w:szCs w:val="24"/>
          <w:highlight w:val="none"/>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3"/>
        <w:numPr>
          <w:ilvl w:val="0"/>
          <w:numId w:val="9"/>
        </w:numPr>
        <w:jc w:val="center"/>
        <w:rPr>
          <w:rFonts w:hAnsi="宋体" w:cs="Times New Roman"/>
          <w:color w:val="auto"/>
          <w:highlight w:val="none"/>
        </w:rPr>
      </w:pPr>
      <w:r>
        <w:rPr>
          <w:color w:val="auto"/>
          <w:highlight w:val="none"/>
        </w:rPr>
        <w:t xml:space="preserve"> </w:t>
      </w:r>
      <w:bookmarkStart w:id="59" w:name="_Toc24120"/>
      <w:bookmarkStart w:id="60" w:name="_Toc26425"/>
      <w:r>
        <w:rPr>
          <w:rFonts w:hint="eastAsia"/>
          <w:color w:val="auto"/>
          <w:highlight w:val="none"/>
        </w:rPr>
        <w:t>磋商无效的情形</w:t>
      </w:r>
      <w:bookmarkEnd w:id="59"/>
      <w:bookmarkEnd w:id="60"/>
    </w:p>
    <w:p>
      <w:pPr>
        <w:pStyle w:val="11"/>
        <w:snapToGrid w:val="0"/>
        <w:spacing w:line="360"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16.</w:t>
      </w:r>
      <w:r>
        <w:rPr>
          <w:rFonts w:hint="eastAsia" w:hAnsi="宋体"/>
          <w:b/>
          <w:bCs/>
          <w:color w:val="auto"/>
          <w:sz w:val="24"/>
          <w:szCs w:val="24"/>
          <w:highlight w:val="none"/>
        </w:rPr>
        <w:t>无效响应</w:t>
      </w:r>
    </w:p>
    <w:p>
      <w:pPr>
        <w:pStyle w:val="11"/>
        <w:snapToGrid w:val="0"/>
        <w:spacing w:line="360" w:lineRule="auto"/>
        <w:ind w:firstLine="480" w:firstLineChars="200"/>
        <w:rPr>
          <w:rFonts w:hAnsi="宋体" w:cs="Times New Roman"/>
          <w:color w:val="auto"/>
          <w:sz w:val="24"/>
          <w:szCs w:val="24"/>
          <w:highlight w:val="none"/>
        </w:rPr>
      </w:pPr>
      <w:r>
        <w:rPr>
          <w:rFonts w:hint="eastAsia" w:hAnsi="宋体"/>
          <w:color w:val="auto"/>
          <w:sz w:val="24"/>
          <w:szCs w:val="24"/>
          <w:highlight w:val="none"/>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w:t>
      </w:r>
      <w:r>
        <w:rPr>
          <w:rFonts w:hint="eastAsia" w:ascii="宋体" w:hAnsi="宋体" w:cs="宋体"/>
          <w:b/>
          <w:bCs/>
          <w:color w:val="auto"/>
          <w:sz w:val="24"/>
          <w:szCs w:val="24"/>
          <w:highlight w:val="none"/>
        </w:rPr>
        <w:t>未按照磋商文件规定要求签署、盖章的；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16.2</w:t>
      </w:r>
      <w:r>
        <w:rPr>
          <w:rFonts w:hint="eastAsia" w:ascii="宋体" w:hAnsi="宋体" w:cs="宋体"/>
          <w:b/>
          <w:bCs/>
          <w:color w:val="auto"/>
          <w:sz w:val="24"/>
          <w:szCs w:val="24"/>
          <w:highlight w:val="none"/>
        </w:rPr>
        <w:t>《法定代表人授权书》填写不全、错误、未加盖供应商公章（公章和签字或盖章缺一不可）；</w:t>
      </w:r>
      <w:r>
        <w:rPr>
          <w:rFonts w:ascii="宋体" w:hAnsi="宋体" w:cs="宋体"/>
          <w:b/>
          <w:bCs/>
          <w:color w:val="auto"/>
          <w:sz w:val="24"/>
          <w:szCs w:val="24"/>
          <w:highlight w:val="none"/>
        </w:rPr>
        <w:t xml:space="preserve"> </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16.3</w:t>
      </w:r>
      <w:r>
        <w:rPr>
          <w:rFonts w:hint="eastAsia" w:ascii="宋体" w:hAnsi="宋体" w:cs="宋体"/>
          <w:b/>
          <w:bCs/>
          <w:color w:val="auto"/>
          <w:sz w:val="24"/>
          <w:szCs w:val="24"/>
          <w:highlight w:val="none"/>
        </w:rPr>
        <w:t>个体工商户的身份证明与营业执照不一致的；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16.4</w:t>
      </w:r>
      <w:r>
        <w:rPr>
          <w:rFonts w:hint="eastAsia" w:ascii="宋体" w:hAnsi="宋体" w:cs="宋体"/>
          <w:b/>
          <w:bCs/>
          <w:color w:val="auto"/>
          <w:sz w:val="24"/>
          <w:szCs w:val="24"/>
          <w:highlight w:val="none"/>
        </w:rPr>
        <w:t>响应文件中的磋商函未加盖供应商的企业公章或填写不全的；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16.5</w:t>
      </w:r>
      <w:r>
        <w:rPr>
          <w:rFonts w:hint="eastAsia" w:ascii="宋体" w:hAnsi="宋体" w:cs="宋体"/>
          <w:b/>
          <w:bCs/>
          <w:color w:val="auto"/>
          <w:sz w:val="24"/>
          <w:szCs w:val="24"/>
          <w:highlight w:val="none"/>
        </w:rPr>
        <w:t>报价一经涂改，未在涂改处加盖投标单位公章或者未经法定代表人或其授权代表签字或盖章的；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16.6</w:t>
      </w:r>
      <w:r>
        <w:rPr>
          <w:rFonts w:hint="eastAsia" w:ascii="宋体" w:hAnsi="宋体" w:cs="宋体"/>
          <w:b/>
          <w:bCs/>
          <w:color w:val="auto"/>
          <w:sz w:val="24"/>
          <w:szCs w:val="24"/>
          <w:highlight w:val="none"/>
        </w:rPr>
        <w:t>因未按规定的格式填写，内容不全或主要实质性内容字迹模糊辨认不清</w:t>
      </w:r>
      <w:r>
        <w:rPr>
          <w:rFonts w:ascii="宋体" w:cs="宋体"/>
          <w:b/>
          <w:bCs/>
          <w:color w:val="auto"/>
          <w:sz w:val="24"/>
          <w:szCs w:val="24"/>
          <w:highlight w:val="none"/>
        </w:rPr>
        <w:t>,</w:t>
      </w:r>
      <w:r>
        <w:rPr>
          <w:rFonts w:hint="eastAsia" w:ascii="宋体" w:hAnsi="宋体" w:cs="宋体"/>
          <w:b/>
          <w:bCs/>
          <w:color w:val="auto"/>
          <w:sz w:val="24"/>
          <w:szCs w:val="24"/>
          <w:highlight w:val="none"/>
        </w:rPr>
        <w:t>经评标委员会认定为无法评审的；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16.7</w:t>
      </w:r>
      <w:r>
        <w:rPr>
          <w:rFonts w:hint="eastAsia" w:ascii="宋体" w:hAnsi="宋体" w:cs="宋体"/>
          <w:b/>
          <w:bCs/>
          <w:color w:val="auto"/>
          <w:sz w:val="24"/>
          <w:szCs w:val="24"/>
          <w:highlight w:val="none"/>
        </w:rPr>
        <w:t>出现同一标的物或本次采购产品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服务</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内的主要产品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重要组成部分</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出现技术、商务描述不一致或前后描述不一致，经评标委员会认定后为无法评审的；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16.8</w:t>
      </w:r>
      <w:r>
        <w:rPr>
          <w:rFonts w:hint="eastAsia" w:ascii="宋体" w:hAnsi="宋体" w:cs="宋体"/>
          <w:b/>
          <w:bCs/>
          <w:color w:val="auto"/>
          <w:sz w:val="24"/>
          <w:szCs w:val="24"/>
          <w:highlight w:val="none"/>
        </w:rPr>
        <w:t>响应详细配置清单响应表不真实填写或弄虚作假的；改变磋商文件提供的清单中的计量单位、工程数量；</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16.9</w:t>
      </w:r>
      <w:r>
        <w:rPr>
          <w:rFonts w:hint="eastAsia" w:ascii="宋体" w:hAnsi="宋体" w:cs="宋体"/>
          <w:b/>
          <w:bCs/>
          <w:color w:val="auto"/>
          <w:sz w:val="24"/>
          <w:szCs w:val="24"/>
          <w:highlight w:val="none"/>
        </w:rPr>
        <w:t>对采购产品技术规格未详细应答，致使其技术文件无法评审的；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16.10</w:t>
      </w:r>
      <w:r>
        <w:rPr>
          <w:rFonts w:hint="eastAsia" w:ascii="宋体" w:hAnsi="宋体" w:cs="宋体"/>
          <w:b/>
          <w:bCs/>
          <w:color w:val="auto"/>
          <w:sz w:val="24"/>
          <w:szCs w:val="24"/>
          <w:highlight w:val="none"/>
        </w:rPr>
        <w:t>响应文件有采购方不能接受的条件；</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16.11</w:t>
      </w:r>
      <w:r>
        <w:rPr>
          <w:rFonts w:hint="eastAsia" w:ascii="宋体" w:hAnsi="宋体" w:cs="宋体"/>
          <w:b/>
          <w:bCs/>
          <w:color w:val="auto"/>
          <w:sz w:val="24"/>
          <w:szCs w:val="24"/>
          <w:highlight w:val="none"/>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16.12</w:t>
      </w:r>
      <w:r>
        <w:rPr>
          <w:rFonts w:hint="eastAsia" w:ascii="宋体" w:hAnsi="宋体" w:cs="宋体"/>
          <w:b/>
          <w:bCs/>
          <w:color w:val="auto"/>
          <w:sz w:val="24"/>
          <w:szCs w:val="24"/>
          <w:highlight w:val="none"/>
        </w:rPr>
        <w:t>磋商报价超过预算金额或最高限价的；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16.13</w:t>
      </w:r>
      <w:r>
        <w:rPr>
          <w:rFonts w:hint="eastAsia" w:ascii="宋体" w:hAnsi="宋体" w:cs="宋体"/>
          <w:b/>
          <w:bCs/>
          <w:color w:val="auto"/>
          <w:sz w:val="24"/>
          <w:szCs w:val="24"/>
          <w:highlight w:val="none"/>
        </w:rPr>
        <w:t>响应文件“商务技术文件资料”部分中出现《报价一览表》或《磋商报价明细表》相关内容的；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16.14</w:t>
      </w:r>
      <w:r>
        <w:rPr>
          <w:rFonts w:hint="eastAsia" w:ascii="宋体" w:hAnsi="宋体" w:cs="宋体"/>
          <w:b/>
          <w:bCs/>
          <w:color w:val="auto"/>
          <w:sz w:val="24"/>
          <w:szCs w:val="24"/>
          <w:highlight w:val="none"/>
        </w:rPr>
        <w:t>评标委员会认定有重大偏差或实质性不响应磋商文件要求的，即“★”的关键性指标及技术参数要求负偏离或缺漏；</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16.15</w:t>
      </w:r>
      <w:r>
        <w:rPr>
          <w:rFonts w:hint="eastAsia" w:ascii="宋体" w:hAnsi="宋体" w:cs="宋体"/>
          <w:b/>
          <w:bCs/>
          <w:color w:val="auto"/>
          <w:sz w:val="24"/>
          <w:szCs w:val="24"/>
          <w:highlight w:val="none"/>
        </w:rPr>
        <w:t>供应商拒绝按磋商文件规定的修正原则对响应文件进行修改的；</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w:t>
      </w:r>
      <w:r>
        <w:rPr>
          <w:rFonts w:hint="eastAsia" w:ascii="宋体" w:hAnsi="宋体" w:cs="宋体"/>
          <w:b/>
          <w:bCs/>
          <w:color w:val="auto"/>
          <w:sz w:val="24"/>
          <w:szCs w:val="24"/>
          <w:highlight w:val="none"/>
        </w:rPr>
        <w:t>有下列情形之一的，视为供应商串通投标，其投标无效：</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16.16.1</w:t>
      </w:r>
      <w:r>
        <w:rPr>
          <w:rFonts w:hint="eastAsia" w:ascii="宋体" w:hAnsi="宋体" w:cs="宋体"/>
          <w:b/>
          <w:bCs/>
          <w:color w:val="auto"/>
          <w:sz w:val="24"/>
          <w:szCs w:val="24"/>
          <w:highlight w:val="none"/>
        </w:rPr>
        <w:t>不同供应商的响应文件由同一单位或者个人编制；</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16.16.2</w:t>
      </w:r>
      <w:r>
        <w:rPr>
          <w:rFonts w:hint="eastAsia" w:ascii="宋体" w:hAnsi="宋体" w:cs="宋体"/>
          <w:b/>
          <w:bCs/>
          <w:color w:val="auto"/>
          <w:sz w:val="24"/>
          <w:szCs w:val="24"/>
          <w:highlight w:val="none"/>
        </w:rPr>
        <w:t>不同供应商委托同一单位或者个人办理投标事宜；</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16.16.3</w:t>
      </w:r>
      <w:r>
        <w:rPr>
          <w:rFonts w:hint="eastAsia" w:ascii="宋体" w:hAnsi="宋体" w:cs="宋体"/>
          <w:b/>
          <w:bCs/>
          <w:color w:val="auto"/>
          <w:sz w:val="24"/>
          <w:szCs w:val="24"/>
          <w:highlight w:val="none"/>
        </w:rPr>
        <w:t>不同供应商的响应文件载明的项目管理成员或者联系人员为同一人；</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16.16.4</w:t>
      </w:r>
      <w:r>
        <w:rPr>
          <w:rFonts w:hint="eastAsia" w:ascii="宋体" w:hAnsi="宋体" w:cs="宋体"/>
          <w:b/>
          <w:bCs/>
          <w:color w:val="auto"/>
          <w:sz w:val="24"/>
          <w:szCs w:val="24"/>
          <w:highlight w:val="none"/>
        </w:rPr>
        <w:t>不同供应商的响应文件异常一致或者投标报价呈规律性差异；</w:t>
      </w:r>
    </w:p>
    <w:p>
      <w:pPr>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16.16.5</w:t>
      </w:r>
      <w:r>
        <w:rPr>
          <w:rFonts w:hint="eastAsia" w:ascii="宋体" w:hAnsi="宋体" w:cs="宋体"/>
          <w:b/>
          <w:bCs/>
          <w:color w:val="auto"/>
          <w:sz w:val="24"/>
          <w:szCs w:val="24"/>
          <w:highlight w:val="none"/>
        </w:rPr>
        <w:t>不同供应商提供的响应文件出自同一终端设备的，或在相同</w:t>
      </w:r>
      <w:r>
        <w:rPr>
          <w:rFonts w:ascii="宋体" w:hAnsi="宋体" w:cs="宋体"/>
          <w:b/>
          <w:bCs/>
          <w:color w:val="auto"/>
          <w:sz w:val="24"/>
          <w:szCs w:val="24"/>
          <w:highlight w:val="none"/>
        </w:rPr>
        <w:t>Internet</w:t>
      </w:r>
      <w:r>
        <w:rPr>
          <w:rFonts w:hint="eastAsia" w:ascii="宋体" w:hAnsi="宋体" w:cs="宋体"/>
          <w:b/>
          <w:bCs/>
          <w:color w:val="auto"/>
          <w:sz w:val="24"/>
          <w:szCs w:val="24"/>
          <w:highlight w:val="none"/>
        </w:rPr>
        <w:t>主机分配地址（相同</w:t>
      </w:r>
      <w:r>
        <w:rPr>
          <w:rFonts w:ascii="宋体" w:hAnsi="宋体" w:cs="宋体"/>
          <w:b/>
          <w:bCs/>
          <w:color w:val="auto"/>
          <w:sz w:val="24"/>
          <w:szCs w:val="24"/>
          <w:highlight w:val="none"/>
        </w:rPr>
        <w:t>IP</w:t>
      </w:r>
      <w:r>
        <w:rPr>
          <w:rFonts w:hint="eastAsia" w:ascii="宋体" w:hAnsi="宋体" w:cs="宋体"/>
          <w:b/>
          <w:bCs/>
          <w:color w:val="auto"/>
          <w:sz w:val="24"/>
          <w:szCs w:val="24"/>
          <w:highlight w:val="none"/>
        </w:rPr>
        <w:t>地址）报名或网上投标的，且经询标澄清供应商无令人信服的理由和可靠证据证明其合理性的，经评标委员会半数以上成员确认有串通投标嫌疑的。</w:t>
      </w:r>
    </w:p>
    <w:p>
      <w:pPr>
        <w:pStyle w:val="3"/>
        <w:numPr>
          <w:ilvl w:val="0"/>
          <w:numId w:val="9"/>
        </w:numPr>
        <w:jc w:val="center"/>
        <w:rPr>
          <w:rFonts w:cs="Times New Roman"/>
          <w:color w:val="auto"/>
          <w:highlight w:val="none"/>
        </w:rPr>
      </w:pPr>
      <w:r>
        <w:rPr>
          <w:color w:val="auto"/>
          <w:highlight w:val="none"/>
        </w:rPr>
        <w:t xml:space="preserve"> </w:t>
      </w:r>
      <w:bookmarkStart w:id="61" w:name="_Toc21752"/>
      <w:bookmarkStart w:id="62" w:name="_Toc17662"/>
      <w:r>
        <w:rPr>
          <w:rFonts w:hint="eastAsia"/>
          <w:color w:val="auto"/>
          <w:highlight w:val="none"/>
        </w:rPr>
        <w:t>采购中止的情形</w:t>
      </w:r>
      <w:bookmarkEnd w:id="61"/>
      <w:bookmarkEnd w:id="62"/>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17</w:t>
      </w:r>
      <w:r>
        <w:rPr>
          <w:rFonts w:hint="eastAsia" w:hAnsi="宋体"/>
          <w:b/>
          <w:bCs/>
          <w:color w:val="auto"/>
          <w:sz w:val="24"/>
          <w:szCs w:val="24"/>
          <w:highlight w:val="none"/>
        </w:rPr>
        <w:t>、</w:t>
      </w:r>
      <w:r>
        <w:rPr>
          <w:rFonts w:hint="eastAsia" w:hAnsi="宋体"/>
          <w:b/>
          <w:bCs/>
          <w:color w:val="auto"/>
          <w:sz w:val="24"/>
          <w:szCs w:val="24"/>
          <w:highlight w:val="none"/>
          <w:lang w:val="zh-CN"/>
        </w:rPr>
        <w:t>中止电子交易活动和</w:t>
      </w:r>
      <w:r>
        <w:rPr>
          <w:rFonts w:hint="eastAsia" w:hAnsi="宋体"/>
          <w:b/>
          <w:bCs/>
          <w:color w:val="auto"/>
          <w:sz w:val="24"/>
          <w:szCs w:val="24"/>
          <w:highlight w:val="none"/>
        </w:rPr>
        <w:t>重新组织采购</w:t>
      </w:r>
    </w:p>
    <w:p>
      <w:pPr>
        <w:pStyle w:val="43"/>
        <w:tabs>
          <w:tab w:val="left" w:pos="0"/>
        </w:tabs>
        <w:spacing w:before="0"/>
        <w:ind w:left="420" w:leftChars="200" w:firstLine="0" w:firstLineChars="0"/>
        <w:rPr>
          <w:rFonts w:ascii="宋体"/>
          <w:color w:val="auto"/>
          <w:highlight w:val="none"/>
          <w:lang w:val="zh-CN"/>
        </w:rPr>
      </w:pPr>
      <w:r>
        <w:rPr>
          <w:rFonts w:ascii="宋体" w:hAnsi="宋体" w:cs="宋体"/>
          <w:color w:val="auto"/>
          <w:highlight w:val="none"/>
        </w:rPr>
        <w:t>17.1</w:t>
      </w:r>
      <w:r>
        <w:rPr>
          <w:rFonts w:hint="eastAsia" w:ascii="宋体" w:hAnsi="宋体" w:cs="宋体"/>
          <w:color w:val="auto"/>
          <w:highlight w:val="none"/>
          <w:lang w:val="zh-CN"/>
        </w:rPr>
        <w:t>采购过程中出现以下情形，导致电子交易平台无法正常运行，或者无法保证电子交易的公平、公正和安全时，采购组织机构可中止电子交易活动：</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电子交易平台发生故障而无法登录访问的；</w:t>
      </w:r>
      <w:r>
        <w:rPr>
          <w:rFonts w:ascii="宋体" w:hAnsi="宋体" w:cs="宋体"/>
          <w:color w:val="auto"/>
          <w:sz w:val="24"/>
          <w:szCs w:val="24"/>
          <w:highlight w:val="none"/>
        </w:rPr>
        <w:t xml:space="preserve"> </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电子交易平台应用或数据库出现错误，不能进行正常操作的；</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电子交易平台发现严重安全漏洞，有潜在泄密危险的；</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病毒发作导致不能进行正常操作的；</w:t>
      </w:r>
      <w:r>
        <w:rPr>
          <w:rFonts w:ascii="宋体" w:hAnsi="宋体" w:cs="宋体"/>
          <w:color w:val="auto"/>
          <w:sz w:val="24"/>
          <w:szCs w:val="24"/>
          <w:highlight w:val="none"/>
        </w:rPr>
        <w:t xml:space="preserve"> </w:t>
      </w:r>
    </w:p>
    <w:p>
      <w:pPr>
        <w:numPr>
          <w:ilvl w:val="0"/>
          <w:numId w:val="15"/>
        </w:numPr>
        <w:tabs>
          <w:tab w:val="left" w:pos="0"/>
        </w:tabs>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其他无法保证电子交易的公平、公正和安全的情况。</w:t>
      </w:r>
    </w:p>
    <w:p>
      <w:pPr>
        <w:pStyle w:val="43"/>
        <w:tabs>
          <w:tab w:val="left" w:pos="0"/>
        </w:tabs>
        <w:spacing w:before="0"/>
        <w:ind w:firstLine="480"/>
        <w:rPr>
          <w:rFonts w:ascii="宋体"/>
          <w:color w:val="auto"/>
          <w:highlight w:val="none"/>
        </w:rPr>
      </w:pPr>
      <w:r>
        <w:rPr>
          <w:rFonts w:ascii="宋体" w:hAnsi="宋体" w:cs="宋体"/>
          <w:color w:val="auto"/>
          <w:highlight w:val="none"/>
        </w:rPr>
        <w:t>17.2</w:t>
      </w:r>
      <w:r>
        <w:rPr>
          <w:rFonts w:hint="eastAsia" w:ascii="宋体" w:hAnsi="宋体" w:cs="宋体"/>
          <w:color w:val="auto"/>
          <w:highlight w:val="none"/>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3"/>
        <w:numPr>
          <w:ilvl w:val="0"/>
          <w:numId w:val="9"/>
        </w:numPr>
        <w:jc w:val="center"/>
        <w:rPr>
          <w:rFonts w:cs="Times New Roman"/>
          <w:color w:val="auto"/>
          <w:highlight w:val="none"/>
        </w:rPr>
      </w:pPr>
      <w:r>
        <w:rPr>
          <w:color w:val="auto"/>
          <w:highlight w:val="none"/>
        </w:rPr>
        <w:t xml:space="preserve"> </w:t>
      </w:r>
      <w:bookmarkStart w:id="63" w:name="_Toc13300"/>
      <w:bookmarkStart w:id="64" w:name="_Toc14029"/>
      <w:r>
        <w:rPr>
          <w:rFonts w:hint="eastAsia"/>
          <w:color w:val="auto"/>
          <w:highlight w:val="none"/>
        </w:rPr>
        <w:t>确定成交供应商与签订合同</w:t>
      </w:r>
      <w:bookmarkEnd w:id="63"/>
      <w:bookmarkEnd w:id="64"/>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18</w:t>
      </w:r>
      <w:r>
        <w:rPr>
          <w:rFonts w:hint="eastAsia" w:ascii="宋体" w:hAnsi="宋体" w:cs="宋体"/>
          <w:b/>
          <w:bCs/>
          <w:color w:val="auto"/>
          <w:sz w:val="24"/>
          <w:szCs w:val="24"/>
          <w:highlight w:val="none"/>
        </w:rPr>
        <w:t>、推荐成交候选供应商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18.1 </w:t>
      </w:r>
      <w:r>
        <w:rPr>
          <w:rFonts w:hint="eastAsia" w:ascii="宋体" w:hAnsi="宋体" w:cs="宋体"/>
          <w:color w:val="auto"/>
          <w:sz w:val="24"/>
          <w:szCs w:val="24"/>
          <w:highlight w:val="none"/>
        </w:rPr>
        <w:t>磋商小组应当根据综合评分情况，按照评审得分由高到低顺序推荐</w:t>
      </w:r>
      <w:r>
        <w:rPr>
          <w:rFonts w:ascii="宋体" w:hAnsi="宋体" w:cs="宋体"/>
          <w:color w:val="auto"/>
          <w:sz w:val="24"/>
          <w:szCs w:val="24"/>
          <w:highlight w:val="none"/>
        </w:rPr>
        <w:t>1</w:t>
      </w:r>
      <w:r>
        <w:rPr>
          <w:rFonts w:hint="eastAsia" w:ascii="宋体" w:hAnsi="宋体" w:cs="宋体"/>
          <w:color w:val="auto"/>
          <w:sz w:val="24"/>
          <w:szCs w:val="24"/>
          <w:highlight w:val="none"/>
        </w:rPr>
        <w:t>名或以上成交候选供应商，并编写评审报告。评审得分相同的，按照最后报价由低到高的顺序推荐。评审得分且最后报价相同的，按照技术指标优劣顺序推荐。</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18.2 </w:t>
      </w:r>
      <w:r>
        <w:rPr>
          <w:rFonts w:hint="eastAsia" w:ascii="宋体" w:hAnsi="宋体" w:cs="宋体"/>
          <w:color w:val="auto"/>
          <w:sz w:val="24"/>
          <w:szCs w:val="24"/>
          <w:highlight w:val="none"/>
        </w:rPr>
        <w:t>采购代理机构应当在评审结束后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个工作日内将评审报告送采购人确认。</w:t>
      </w:r>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19</w:t>
      </w:r>
      <w:r>
        <w:rPr>
          <w:rFonts w:hint="eastAsia" w:ascii="宋体" w:hAnsi="宋体" w:cs="宋体"/>
          <w:b/>
          <w:bCs/>
          <w:color w:val="auto"/>
          <w:sz w:val="24"/>
          <w:szCs w:val="24"/>
          <w:highlight w:val="none"/>
        </w:rPr>
        <w:t>、确定成交供应商</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19.1</w:t>
      </w:r>
      <w:r>
        <w:rPr>
          <w:rFonts w:hint="eastAsia" w:ascii="宋体" w:hAnsi="宋体" w:cs="宋体"/>
          <w:color w:val="auto"/>
          <w:sz w:val="24"/>
          <w:szCs w:val="24"/>
          <w:highlight w:val="none"/>
        </w:rPr>
        <w:t>采购人应当在收到评审报告后</w:t>
      </w:r>
      <w:r>
        <w:rPr>
          <w:rFonts w:ascii="宋体" w:hAnsi="宋体" w:cs="宋体"/>
          <w:color w:val="auto"/>
          <w:sz w:val="24"/>
          <w:szCs w:val="24"/>
          <w:highlight w:val="none"/>
        </w:rPr>
        <w:t>5</w:t>
      </w:r>
      <w:r>
        <w:rPr>
          <w:rFonts w:hint="eastAsia" w:ascii="宋体" w:hAnsi="宋体" w:cs="宋体"/>
          <w:color w:val="auto"/>
          <w:sz w:val="24"/>
          <w:szCs w:val="24"/>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19.2</w:t>
      </w:r>
      <w:r>
        <w:rPr>
          <w:rFonts w:hint="eastAsia" w:ascii="宋体" w:hAnsi="宋体" w:cs="宋体"/>
          <w:color w:val="auto"/>
          <w:sz w:val="24"/>
          <w:szCs w:val="24"/>
          <w:highlight w:val="none"/>
        </w:rPr>
        <w:t>采购人或者采购代理机构应当在成交供应商确定后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个工作日内，在省级以上财政部门指定的政府采购信息发布媒体上公告成交结果，同时向成交供应商发出成交通知书。</w:t>
      </w:r>
    </w:p>
    <w:p>
      <w:pPr>
        <w:adjustRightIn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20</w:t>
      </w:r>
      <w:r>
        <w:rPr>
          <w:rFonts w:hint="eastAsia" w:ascii="宋体" w:hAnsi="宋体" w:cs="宋体"/>
          <w:b/>
          <w:bCs/>
          <w:color w:val="auto"/>
          <w:sz w:val="24"/>
          <w:szCs w:val="24"/>
          <w:highlight w:val="none"/>
        </w:rPr>
        <w:t>、签订合同</w:t>
      </w:r>
    </w:p>
    <w:p>
      <w:pPr>
        <w:pStyle w:val="43"/>
        <w:snapToGrid w:val="0"/>
        <w:spacing w:before="0"/>
        <w:ind w:firstLine="480"/>
        <w:rPr>
          <w:rFonts w:ascii="宋体"/>
          <w:color w:val="auto"/>
          <w:highlight w:val="none"/>
        </w:rPr>
      </w:pPr>
      <w:r>
        <w:rPr>
          <w:rFonts w:ascii="宋体" w:hAnsi="宋体" w:cs="宋体"/>
          <w:color w:val="auto"/>
          <w:highlight w:val="none"/>
        </w:rPr>
        <w:t xml:space="preserve">20.1. </w:t>
      </w:r>
      <w:r>
        <w:rPr>
          <w:rFonts w:hint="eastAsia" w:ascii="宋体" w:hAnsi="宋体" w:cs="宋体"/>
          <w:color w:val="auto"/>
          <w:highlight w:val="none"/>
        </w:rPr>
        <w:t>采购人与成交供应商应当在成交通知书发出之日起</w:t>
      </w:r>
      <w:r>
        <w:rPr>
          <w:rFonts w:ascii="宋体" w:hAnsi="宋体" w:cs="宋体"/>
          <w:color w:val="auto"/>
          <w:highlight w:val="none"/>
        </w:rPr>
        <w:t>30</w:t>
      </w:r>
      <w:r>
        <w:rPr>
          <w:rFonts w:hint="eastAsia" w:ascii="宋体" w:hAnsi="宋体" w:cs="宋体"/>
          <w:color w:val="auto"/>
          <w:highlight w:val="none"/>
        </w:rPr>
        <w:t>日内，按照磋商文件确定的合同文本以及采购标的、规格型号、采购金额、采购数量、技术和服务要求等事项签订政府采购合同。</w:t>
      </w:r>
    </w:p>
    <w:p>
      <w:pPr>
        <w:pStyle w:val="43"/>
        <w:snapToGrid w:val="0"/>
        <w:spacing w:before="0"/>
        <w:ind w:firstLine="480"/>
        <w:rPr>
          <w:rFonts w:ascii="宋体"/>
          <w:color w:val="auto"/>
          <w:highlight w:val="none"/>
        </w:rPr>
      </w:pPr>
      <w:r>
        <w:rPr>
          <w:rFonts w:ascii="宋体" w:hAnsi="宋体" w:cs="宋体"/>
          <w:color w:val="auto"/>
          <w:highlight w:val="none"/>
        </w:rPr>
        <w:t xml:space="preserve">20.2. </w:t>
      </w:r>
      <w:r>
        <w:rPr>
          <w:rFonts w:hint="eastAsia" w:ascii="宋体" w:hAnsi="宋体" w:cs="宋体"/>
          <w:color w:val="auto"/>
          <w:highlight w:val="none"/>
        </w:rPr>
        <w:t>成交供应商拒绝签订政府采购合同的，采购人可以按照《政府采购竞争性磋商采购方式管理暂行办法》（财库〔</w:t>
      </w:r>
      <w:r>
        <w:rPr>
          <w:rFonts w:ascii="宋体" w:hAnsi="宋体" w:cs="宋体"/>
          <w:color w:val="auto"/>
          <w:highlight w:val="none"/>
        </w:rPr>
        <w:t>2014</w:t>
      </w:r>
      <w:r>
        <w:rPr>
          <w:rFonts w:hint="eastAsia" w:ascii="宋体" w:hAnsi="宋体" w:cs="宋体"/>
          <w:color w:val="auto"/>
          <w:highlight w:val="none"/>
        </w:rPr>
        <w:t>〕</w:t>
      </w:r>
      <w:r>
        <w:rPr>
          <w:rFonts w:ascii="宋体" w:hAnsi="宋体" w:cs="宋体"/>
          <w:color w:val="auto"/>
          <w:highlight w:val="none"/>
        </w:rPr>
        <w:t>214</w:t>
      </w:r>
      <w:r>
        <w:rPr>
          <w:rFonts w:hint="eastAsia" w:ascii="宋体" w:hAnsi="宋体" w:cs="宋体"/>
          <w:color w:val="auto"/>
          <w:highlight w:val="none"/>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21</w:t>
      </w:r>
      <w:r>
        <w:rPr>
          <w:rFonts w:hint="eastAsia" w:ascii="宋体" w:hAnsi="宋体" w:cs="宋体"/>
          <w:b/>
          <w:bCs/>
          <w:color w:val="auto"/>
          <w:sz w:val="24"/>
          <w:szCs w:val="24"/>
          <w:highlight w:val="none"/>
        </w:rPr>
        <w:t>、解释权</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磋商文件的解释权均属于</w:t>
      </w:r>
      <w:r>
        <w:rPr>
          <w:rFonts w:hint="eastAsia" w:ascii="宋体" w:hAnsi="宋体" w:cs="宋体"/>
          <w:color w:val="auto"/>
          <w:sz w:val="24"/>
          <w:szCs w:val="24"/>
          <w:highlight w:val="none"/>
          <w:u w:val="single"/>
          <w:lang w:eastAsia="zh-CN"/>
        </w:rPr>
        <w:t>中国共产党绍兴市上虞区委统一战线工作部</w:t>
      </w:r>
      <w:r>
        <w:rPr>
          <w:rFonts w:hint="eastAsia" w:ascii="宋体" w:hAnsi="宋体" w:cs="宋体"/>
          <w:color w:val="auto"/>
          <w:sz w:val="24"/>
          <w:szCs w:val="24"/>
          <w:highlight w:val="none"/>
        </w:rPr>
        <w:t>和</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pStyle w:val="9"/>
        <w:rPr>
          <w:rFonts w:cs="Times New Roman"/>
          <w:color w:val="auto"/>
          <w:highlight w:val="none"/>
        </w:rPr>
      </w:pPr>
    </w:p>
    <w:p>
      <w:pPr>
        <w:pStyle w:val="2"/>
        <w:jc w:val="center"/>
        <w:rPr>
          <w:rFonts w:cs="Times New Roman"/>
          <w:color w:val="auto"/>
          <w:sz w:val="36"/>
          <w:szCs w:val="36"/>
          <w:highlight w:val="none"/>
        </w:rPr>
      </w:pPr>
      <w:r>
        <w:rPr>
          <w:color w:val="auto"/>
          <w:sz w:val="36"/>
          <w:szCs w:val="36"/>
          <w:highlight w:val="none"/>
        </w:rPr>
        <w:br w:type="page"/>
      </w:r>
      <w:bookmarkStart w:id="65" w:name="_Toc21248"/>
      <w:bookmarkStart w:id="66" w:name="_Toc26862"/>
      <w:r>
        <w:rPr>
          <w:rFonts w:hint="eastAsia"/>
          <w:color w:val="auto"/>
          <w:sz w:val="36"/>
          <w:szCs w:val="36"/>
          <w:highlight w:val="none"/>
        </w:rPr>
        <w:t xml:space="preserve">第三部分 </w:t>
      </w:r>
      <w:r>
        <w:rPr>
          <w:rFonts w:hint="eastAsia" w:cs="宋体"/>
          <w:color w:val="auto"/>
          <w:sz w:val="36"/>
          <w:szCs w:val="36"/>
          <w:highlight w:val="none"/>
        </w:rPr>
        <w:t>采购内容及要求</w:t>
      </w:r>
      <w:bookmarkEnd w:id="65"/>
      <w:bookmarkEnd w:id="66"/>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一、项目目标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宋体" w:hAnsi="宋体"/>
          <w:color w:val="auto"/>
          <w:sz w:val="24"/>
          <w:szCs w:val="24"/>
          <w:highlight w:val="none"/>
          <w:lang w:val="en-US" w:eastAsia="zh-CN"/>
        </w:rPr>
      </w:pPr>
      <w:r>
        <w:rPr>
          <w:rFonts w:hint="default" w:ascii="宋体" w:hAnsi="宋体"/>
          <w:color w:val="auto"/>
          <w:sz w:val="24"/>
          <w:szCs w:val="24"/>
          <w:highlight w:val="none"/>
          <w:lang w:val="en-US" w:eastAsia="zh-CN"/>
        </w:rPr>
        <w:t>通过新乡贤统战工作省级标准化试点项目的开展，实现新乡贤统战组织标准化、新乡贤统战队伍建设标准化、新乡贤统战工作制度建设标准化、新乡贤统战工作业务标准化、新乡贤统战工作阵地标准化；</w:t>
      </w:r>
      <w:r>
        <w:rPr>
          <w:rFonts w:hint="eastAsia" w:ascii="宋体" w:hAnsi="宋体"/>
          <w:color w:val="auto"/>
          <w:sz w:val="24"/>
          <w:szCs w:val="24"/>
          <w:highlight w:val="none"/>
          <w:lang w:val="en-US" w:eastAsia="zh-CN"/>
        </w:rPr>
        <w:t>供应商</w:t>
      </w:r>
      <w:r>
        <w:rPr>
          <w:rFonts w:hint="default" w:ascii="宋体" w:hAnsi="宋体"/>
          <w:color w:val="auto"/>
          <w:sz w:val="24"/>
          <w:szCs w:val="24"/>
          <w:highlight w:val="none"/>
          <w:lang w:val="en-US" w:eastAsia="zh-CN"/>
        </w:rPr>
        <w:t>将在试点项目申报、实施、检查、自我评价、持续改进及试点项目验收等方面为</w:t>
      </w:r>
      <w:r>
        <w:rPr>
          <w:rFonts w:hint="eastAsia" w:ascii="宋体" w:hAnsi="宋体"/>
          <w:color w:val="auto"/>
          <w:sz w:val="24"/>
          <w:szCs w:val="24"/>
          <w:highlight w:val="none"/>
          <w:lang w:val="en-US" w:eastAsia="zh-CN"/>
        </w:rPr>
        <w:t>采购方</w:t>
      </w:r>
      <w:r>
        <w:rPr>
          <w:rFonts w:hint="default" w:ascii="宋体" w:hAnsi="宋体"/>
          <w:color w:val="auto"/>
          <w:sz w:val="24"/>
          <w:szCs w:val="24"/>
          <w:highlight w:val="none"/>
          <w:lang w:val="en-US" w:eastAsia="zh-CN"/>
        </w:rPr>
        <w:t>提供技术服务。</w:t>
      </w:r>
    </w:p>
    <w:p>
      <w:pPr>
        <w:keepNext w:val="0"/>
        <w:keepLines w:val="0"/>
        <w:pageBreakBefore w:val="0"/>
        <w:widowControl w:val="0"/>
        <w:numPr>
          <w:ilvl w:val="0"/>
          <w:numId w:val="0"/>
        </w:numPr>
        <w:kinsoku/>
        <w:wordWrap/>
        <w:overflowPunct/>
        <w:topLinePunct w:val="0"/>
        <w:autoSpaceDE/>
        <w:autoSpaceDN/>
        <w:bidi w:val="0"/>
        <w:spacing w:line="360" w:lineRule="auto"/>
        <w:ind w:firstLine="482" w:firstLineChars="200"/>
        <w:textAlignment w:val="auto"/>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二、项目内容</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（1）新乡贤统战工作试点项目的可行性研究</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将开展新乡贤统战工作试点项目理论研究、相关文献收集，对浙江省各地市新乡贤统战组织工作开展的实际情况开展调研工作，为试点项目的申报工作打好基础。</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（2）新乡贤统战工作试点项目申报前期准备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将协助</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起草新乡贤统战工作省级试点项目可行性报告，编制项目建议书。</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（3）新乡贤统战工作省级标准化试点项目申报</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将协助</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向浙江省试点项目管理单位提交项目申报书，推动完成试点立项申报工作。</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（4）新乡贤统战工作标准化试点策划准备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将协助</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成立新乡贤统战工作标准化领导小组和标准化工作小组，推进上虞区新乡贤统战工作标准化试点建设工作。</w:t>
      </w: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将协助</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召开试点项目动员大会，营造良好的标准化氛围。</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（5）新乡贤统战工作标准体系建设</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将协助</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整理现有工作成果，提炼优秀经验做法，组织构建试点项目标准体系，针对新乡贤统战工作的关键环节和重点内容，形成条理明确和层次清晰的标准明细表，并开展标准研制工作。</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（5）新乡贤统战工作标准宣贯实施</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协助</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有计划、有步骤地对上虞区各级新乡贤联谊会工作人员分层次进行新乡贤统战标准宣贯培训，定期开展标准实施检查，对检查发现的问题进行记录，要求责任单位制定纠正和预防措施，调整实施方案，持续改进，在过程中总结提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（6）新乡贤统战工作标准体系自我评估和整改</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协助</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成立自我评价小组，完成试点项目自我评价和持续改进工作。</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（7）新乡贤统战工作试点项目验收总结</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协助</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完成新乡贤统战工作省级标准化试点项目验收。</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lang w:val="en-US" w:eastAsia="zh-CN"/>
        </w:rPr>
        <w:t>三、完成技术服务工作形式</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通过技术服务推进新乡贤统战工作省级标准化试点项目工作，，完成新乡贤统战工作省级标准化试点项目的申报、立项、实施及验收。</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宋体" w:hAnsi="宋体" w:cs="仿宋_GB2312"/>
          <w:b/>
          <w:color w:val="auto"/>
          <w:sz w:val="24"/>
          <w:szCs w:val="24"/>
          <w:highlight w:val="none"/>
          <w:lang w:val="en-US" w:eastAsia="zh-CN"/>
        </w:rPr>
      </w:pPr>
      <w:r>
        <w:rPr>
          <w:rFonts w:hint="eastAsia" w:ascii="宋体" w:hAnsi="宋体" w:cs="仿宋_GB2312"/>
          <w:b/>
          <w:color w:val="auto"/>
          <w:sz w:val="24"/>
          <w:szCs w:val="24"/>
          <w:highlight w:val="none"/>
          <w:lang w:val="en-US" w:eastAsia="zh-CN"/>
        </w:rPr>
        <w:t>四</w:t>
      </w:r>
      <w:r>
        <w:rPr>
          <w:rFonts w:hint="eastAsia" w:ascii="宋体" w:hAnsi="宋体" w:cs="仿宋_GB2312"/>
          <w:b/>
          <w:color w:val="auto"/>
          <w:sz w:val="24"/>
          <w:szCs w:val="24"/>
          <w:highlight w:val="none"/>
        </w:rPr>
        <w:t>、</w:t>
      </w:r>
      <w:r>
        <w:rPr>
          <w:rFonts w:hint="eastAsia" w:ascii="宋体" w:hAnsi="宋体" w:cs="仿宋_GB2312"/>
          <w:b/>
          <w:color w:val="auto"/>
          <w:sz w:val="24"/>
          <w:szCs w:val="24"/>
          <w:highlight w:val="none"/>
          <w:lang w:val="en-US" w:eastAsia="zh-CN"/>
        </w:rPr>
        <w:t>服务期限</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b/>
          <w:bCs/>
          <w:color w:val="auto"/>
          <w:sz w:val="24"/>
          <w:szCs w:val="24"/>
          <w:highlight w:val="none"/>
          <w:lang w:val="en-US" w:eastAsia="zh-CN"/>
        </w:rPr>
      </w:pPr>
      <w:r>
        <w:rPr>
          <w:rFonts w:hint="eastAsia" w:ascii="宋体" w:hAnsi="宋体" w:eastAsia="宋体" w:cs="Times New Roman"/>
          <w:color w:val="auto"/>
          <w:kern w:val="2"/>
          <w:sz w:val="24"/>
          <w:szCs w:val="24"/>
          <w:highlight w:val="none"/>
          <w:lang w:val="en-US" w:eastAsia="zh-CN" w:bidi="ar-SA"/>
        </w:rPr>
        <w:t>2020年6月～2021年12月</w:t>
      </w:r>
      <w:r>
        <w:rPr>
          <w:rFonts w:hint="eastAsia"/>
          <w:color w:val="auto"/>
          <w:sz w:val="24"/>
          <w:szCs w:val="24"/>
          <w:highlight w:val="none"/>
        </w:rPr>
        <w:t>。</w:t>
      </w:r>
    </w:p>
    <w:p>
      <w:pPr>
        <w:spacing w:line="360" w:lineRule="auto"/>
        <w:jc w:val="center"/>
        <w:outlineLvl w:val="0"/>
        <w:rPr>
          <w:rStyle w:val="28"/>
          <w:rFonts w:hint="eastAsia"/>
          <w:color w:val="auto"/>
          <w:highlight w:val="none"/>
        </w:rPr>
      </w:pPr>
      <w:bookmarkStart w:id="67" w:name="_Toc13407"/>
      <w:bookmarkStart w:id="68" w:name="_Toc15284"/>
    </w:p>
    <w:p>
      <w:pPr>
        <w:spacing w:line="360" w:lineRule="auto"/>
        <w:jc w:val="center"/>
        <w:outlineLvl w:val="0"/>
        <w:rPr>
          <w:rStyle w:val="28"/>
          <w:rFonts w:hint="eastAsia"/>
          <w:color w:val="auto"/>
          <w:highlight w:val="none"/>
        </w:rPr>
      </w:pPr>
    </w:p>
    <w:p>
      <w:pPr>
        <w:spacing w:line="360" w:lineRule="auto"/>
        <w:jc w:val="center"/>
        <w:outlineLvl w:val="0"/>
        <w:rPr>
          <w:rStyle w:val="28"/>
          <w:rFonts w:hint="eastAsia"/>
          <w:color w:val="auto"/>
          <w:highlight w:val="none"/>
        </w:rPr>
      </w:pPr>
      <w:r>
        <w:rPr>
          <w:rStyle w:val="28"/>
          <w:rFonts w:hint="eastAsia"/>
          <w:color w:val="auto"/>
          <w:highlight w:val="none"/>
        </w:rPr>
        <w:t>第二章 付款方式及要求</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（1）合同签订后5个工作日内，</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向</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支付合同总价的60%，该费用为项目启动费用，用于新乡贤统战工作试点项目的可行性研究、省级标准化试点项目申报等技术服务。</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（2）省级标准化试点项目立项后，</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向</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支付合同总价的20%，该费用为试点项目中新乡贤统战工作调研阶段、新乡贤统战工作标准体系构建阶段、标准研制阶段、标准实施阶段的工作经费。</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（3）省级标准化试点项目完成验收，</w:t>
      </w:r>
      <w:r>
        <w:rPr>
          <w:rFonts w:hint="eastAsia" w:ascii="宋体" w:hAnsi="宋体"/>
          <w:color w:val="auto"/>
          <w:sz w:val="24"/>
          <w:szCs w:val="24"/>
          <w:highlight w:val="none"/>
          <w:lang w:eastAsia="zh-CN"/>
        </w:rPr>
        <w:t>采购方</w:t>
      </w:r>
      <w:r>
        <w:rPr>
          <w:rFonts w:hint="eastAsia" w:ascii="宋体" w:hAnsi="宋体"/>
          <w:color w:val="auto"/>
          <w:sz w:val="24"/>
          <w:szCs w:val="24"/>
          <w:highlight w:val="none"/>
        </w:rPr>
        <w:t>支付</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合同总价的20%</w:t>
      </w:r>
    </w:p>
    <w:p>
      <w:pPr>
        <w:rPr>
          <w:rFonts w:hint="eastAsia" w:cs="宋体"/>
          <w:color w:val="auto"/>
          <w:sz w:val="36"/>
          <w:szCs w:val="36"/>
          <w:highlight w:val="none"/>
        </w:rPr>
      </w:pPr>
      <w:r>
        <w:rPr>
          <w:rFonts w:hint="eastAsia" w:cs="宋体"/>
          <w:color w:val="auto"/>
          <w:sz w:val="36"/>
          <w:szCs w:val="36"/>
          <w:highlight w:val="none"/>
        </w:rPr>
        <w:br w:type="page"/>
      </w:r>
    </w:p>
    <w:p>
      <w:pPr>
        <w:pStyle w:val="2"/>
        <w:jc w:val="center"/>
        <w:rPr>
          <w:rFonts w:cs="Times New Roman"/>
          <w:color w:val="auto"/>
          <w:sz w:val="36"/>
          <w:szCs w:val="36"/>
          <w:highlight w:val="none"/>
        </w:rPr>
      </w:pPr>
      <w:r>
        <w:rPr>
          <w:rFonts w:hint="eastAsia" w:cs="宋体"/>
          <w:color w:val="auto"/>
          <w:sz w:val="36"/>
          <w:szCs w:val="36"/>
          <w:highlight w:val="none"/>
        </w:rPr>
        <w:t>第四部分 磋商原则及磋商方法</w:t>
      </w:r>
      <w:bookmarkEnd w:id="67"/>
      <w:bookmarkEnd w:id="68"/>
    </w:p>
    <w:p>
      <w:pPr>
        <w:pStyle w:val="3"/>
        <w:numPr>
          <w:ilvl w:val="0"/>
          <w:numId w:val="16"/>
        </w:numPr>
        <w:jc w:val="center"/>
        <w:rPr>
          <w:rFonts w:cs="Times New Roman"/>
          <w:color w:val="auto"/>
          <w:highlight w:val="none"/>
        </w:rPr>
      </w:pPr>
      <w:bookmarkStart w:id="69" w:name="_Toc1265"/>
      <w:r>
        <w:rPr>
          <w:rFonts w:hint="eastAsia"/>
          <w:color w:val="auto"/>
          <w:highlight w:val="none"/>
        </w:rPr>
        <w:t xml:space="preserve"> </w:t>
      </w:r>
      <w:bookmarkStart w:id="70" w:name="_Toc799"/>
      <w:r>
        <w:rPr>
          <w:rFonts w:hint="eastAsia"/>
          <w:color w:val="auto"/>
          <w:highlight w:val="none"/>
        </w:rPr>
        <w:t>磋商原则</w:t>
      </w:r>
      <w:bookmarkEnd w:id="69"/>
      <w:bookmarkEnd w:id="70"/>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、本次竞争性磋商本着公平、公正、科学、择优的原则，邀请各磋商方参加报价。</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、磋商小组将严格按照竞争性磋商文件的要求，对供应商的响应性文件进行认真评审；磋商小组对响应性文件的评审仅依据响应性文件本身，而不依据响应性文件以外的任何因素。</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、磋商小组按照统一的磋商原则和磋商方法，用同一标准对所有响应性文件进行评审。</w:t>
      </w:r>
    </w:p>
    <w:p>
      <w:pPr>
        <w:pStyle w:val="11"/>
        <w:spacing w:line="360"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4</w:t>
      </w:r>
      <w:r>
        <w:rPr>
          <w:rFonts w:hint="eastAsia" w:hAnsi="宋体"/>
          <w:b/>
          <w:bCs/>
          <w:color w:val="auto"/>
          <w:sz w:val="24"/>
          <w:szCs w:val="24"/>
          <w:highlight w:val="none"/>
        </w:rPr>
        <w:t>、评审</w:t>
      </w:r>
    </w:p>
    <w:p>
      <w:pPr>
        <w:pStyle w:val="11"/>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在磋商响应截止时间前按规定提交响应文件的供应商在三家（含）以上的，由采购人或采购代理机构组织进行开标。</w:t>
      </w:r>
    </w:p>
    <w:p>
      <w:pPr>
        <w:pStyle w:val="11"/>
        <w:spacing w:line="360" w:lineRule="auto"/>
        <w:ind w:firstLine="482" w:firstLineChars="200"/>
        <w:rPr>
          <w:rFonts w:hAnsi="宋体" w:cs="Times New Roman"/>
          <w:color w:val="auto"/>
          <w:sz w:val="24"/>
          <w:szCs w:val="24"/>
          <w:highlight w:val="none"/>
        </w:rPr>
      </w:pPr>
      <w:r>
        <w:rPr>
          <w:rFonts w:hAnsi="宋体"/>
          <w:b/>
          <w:bCs/>
          <w:color w:val="auto"/>
          <w:sz w:val="24"/>
          <w:szCs w:val="24"/>
          <w:highlight w:val="none"/>
        </w:rPr>
        <w:t>4.2</w:t>
      </w:r>
      <w:r>
        <w:rPr>
          <w:rFonts w:hint="eastAsia" w:hAnsi="宋体"/>
          <w:b/>
          <w:bCs/>
          <w:color w:val="auto"/>
          <w:sz w:val="24"/>
          <w:szCs w:val="24"/>
          <w:highlight w:val="none"/>
        </w:rPr>
        <w:t>供应商登录政采云平台，用“项目采购</w:t>
      </w:r>
      <w:r>
        <w:rPr>
          <w:rFonts w:hAnsi="宋体"/>
          <w:b/>
          <w:bCs/>
          <w:color w:val="auto"/>
          <w:sz w:val="24"/>
          <w:szCs w:val="24"/>
          <w:highlight w:val="none"/>
        </w:rPr>
        <w:t>-</w:t>
      </w:r>
      <w:r>
        <w:rPr>
          <w:rFonts w:hint="eastAsia" w:hAnsi="宋体"/>
          <w:b/>
          <w:bCs/>
          <w:color w:val="auto"/>
          <w:sz w:val="24"/>
          <w:szCs w:val="24"/>
          <w:highlight w:val="none"/>
        </w:rPr>
        <w:t>开标评标”功能对电子磋商响应文件进行在线解密。在线解密电子磋商响应文件时间为开标时间起</w:t>
      </w:r>
      <w:r>
        <w:rPr>
          <w:rFonts w:hAnsi="宋体"/>
          <w:b/>
          <w:bCs/>
          <w:color w:val="auto"/>
          <w:sz w:val="24"/>
          <w:szCs w:val="24"/>
          <w:highlight w:val="none"/>
        </w:rPr>
        <w:t>30</w:t>
      </w:r>
      <w:r>
        <w:rPr>
          <w:rFonts w:hint="eastAsia" w:hAnsi="宋体"/>
          <w:b/>
          <w:bCs/>
          <w:color w:val="auto"/>
          <w:sz w:val="24"/>
          <w:szCs w:val="24"/>
          <w:highlight w:val="none"/>
        </w:rPr>
        <w:t>分钟内。若电子磋商响应文件解密失败，则由采购代理机构工作人员上传供应商提供的备份文件。</w:t>
      </w:r>
      <w:r>
        <w:rPr>
          <w:rFonts w:hint="eastAsia" w:hAnsi="宋体"/>
          <w:color w:val="auto"/>
          <w:sz w:val="24"/>
          <w:szCs w:val="24"/>
          <w:highlight w:val="none"/>
        </w:rPr>
        <w:t>备份文件（后缀名为</w:t>
      </w:r>
      <w:r>
        <w:rPr>
          <w:rFonts w:hAnsi="宋体"/>
          <w:color w:val="auto"/>
          <w:sz w:val="24"/>
          <w:szCs w:val="24"/>
          <w:highlight w:val="none"/>
        </w:rPr>
        <w:t>.bfbs</w:t>
      </w:r>
      <w:r>
        <w:rPr>
          <w:rFonts w:hint="eastAsia" w:hAnsi="宋体"/>
          <w:color w:val="auto"/>
          <w:sz w:val="24"/>
          <w:szCs w:val="24"/>
          <w:highlight w:val="none"/>
        </w:rPr>
        <w:t>）须存储在</w:t>
      </w:r>
      <w:r>
        <w:rPr>
          <w:rFonts w:hAnsi="宋体"/>
          <w:color w:val="auto"/>
          <w:sz w:val="24"/>
          <w:szCs w:val="24"/>
          <w:highlight w:val="none"/>
        </w:rPr>
        <w:t>U</w:t>
      </w:r>
      <w:r>
        <w:rPr>
          <w:rFonts w:hint="eastAsia" w:hAnsi="宋体"/>
          <w:color w:val="auto"/>
          <w:sz w:val="24"/>
          <w:szCs w:val="24"/>
          <w:highlight w:val="none"/>
        </w:rPr>
        <w:t>盘中，与上传的电子磋商响应文件一致，用信封进行密封并盖章</w:t>
      </w:r>
      <w:r>
        <w:rPr>
          <w:rFonts w:hint="eastAsia" w:hAnsi="宋体"/>
          <w:b/>
          <w:bCs/>
          <w:color w:val="auto"/>
          <w:sz w:val="24"/>
          <w:szCs w:val="24"/>
          <w:highlight w:val="none"/>
        </w:rPr>
        <w:t>（信封内仅需放入存储备份文件的</w:t>
      </w:r>
      <w:r>
        <w:rPr>
          <w:rFonts w:hAnsi="宋体"/>
          <w:b/>
          <w:bCs/>
          <w:color w:val="auto"/>
          <w:sz w:val="24"/>
          <w:szCs w:val="24"/>
          <w:highlight w:val="none"/>
        </w:rPr>
        <w:t>U</w:t>
      </w:r>
      <w:r>
        <w:rPr>
          <w:rFonts w:hint="eastAsia" w:hAnsi="宋体"/>
          <w:b/>
          <w:bCs/>
          <w:color w:val="auto"/>
          <w:sz w:val="24"/>
          <w:szCs w:val="24"/>
          <w:highlight w:val="none"/>
        </w:rPr>
        <w:t>盘）</w:t>
      </w:r>
      <w:r>
        <w:rPr>
          <w:rFonts w:hint="eastAsia" w:hAnsi="宋体"/>
          <w:color w:val="auto"/>
          <w:sz w:val="24"/>
          <w:szCs w:val="24"/>
          <w:highlight w:val="none"/>
        </w:rPr>
        <w:t>，由授权代表在磋商响应截止时间前递交至开标地点。</w:t>
      </w:r>
    </w:p>
    <w:p>
      <w:pPr>
        <w:pStyle w:val="11"/>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4.3</w:t>
      </w:r>
      <w:r>
        <w:rPr>
          <w:rFonts w:hint="eastAsia" w:hAnsi="宋体"/>
          <w:color w:val="auto"/>
          <w:sz w:val="24"/>
          <w:szCs w:val="24"/>
          <w:highlight w:val="none"/>
        </w:rPr>
        <w:t>采购人按磋商文件规定的时间、地点公开开标。开标仪式由采购人或采购代理机构主持及有关人员参加。</w:t>
      </w:r>
    </w:p>
    <w:p>
      <w:pPr>
        <w:pStyle w:val="43"/>
        <w:spacing w:before="0"/>
        <w:ind w:firstLine="480"/>
        <w:rPr>
          <w:rFonts w:ascii="宋体"/>
          <w:color w:val="auto"/>
          <w:highlight w:val="none"/>
        </w:rPr>
      </w:pPr>
      <w:r>
        <w:rPr>
          <w:rFonts w:ascii="宋体" w:hAnsi="宋体" w:cs="宋体"/>
          <w:color w:val="auto"/>
          <w:highlight w:val="none"/>
        </w:rPr>
        <w:t>4.4</w:t>
      </w:r>
      <w:r>
        <w:rPr>
          <w:rFonts w:hint="eastAsia" w:ascii="宋体" w:hAnsi="宋体" w:cs="宋体"/>
          <w:color w:val="auto"/>
          <w:highlight w:val="none"/>
        </w:rPr>
        <w:t>本项目为电子投标项目，供应商一般不需要参加现场投标和开标，若供应商需要指派授权代表递交备份文件，则授权代表应随身携带法定代表人授权书原件于</w:t>
      </w:r>
      <w:r>
        <w:rPr>
          <w:rFonts w:hint="eastAsia" w:hAnsi="宋体" w:cs="宋体"/>
          <w:color w:val="auto"/>
          <w:highlight w:val="none"/>
        </w:rPr>
        <w:t>磋商响应</w:t>
      </w:r>
      <w:r>
        <w:rPr>
          <w:rFonts w:hint="eastAsia" w:ascii="宋体" w:hAnsi="宋体" w:cs="宋体"/>
          <w:color w:val="auto"/>
          <w:highlight w:val="none"/>
        </w:rPr>
        <w:t>截止时间前到达开标地点递交备份文件。若电子磋商响应文件正常解锁，则</w:t>
      </w:r>
      <w:r>
        <w:rPr>
          <w:rFonts w:ascii="宋体" w:hAnsi="宋体" w:cs="宋体"/>
          <w:color w:val="auto"/>
          <w:highlight w:val="none"/>
        </w:rPr>
        <w:t>U</w:t>
      </w:r>
      <w:r>
        <w:rPr>
          <w:rFonts w:hint="eastAsia" w:ascii="宋体" w:hAnsi="宋体" w:cs="宋体"/>
          <w:color w:val="auto"/>
          <w:highlight w:val="none"/>
        </w:rPr>
        <w:t>盘退还给供应商；若解锁失败，则由采购代理机构将</w:t>
      </w:r>
      <w:r>
        <w:rPr>
          <w:rFonts w:ascii="宋体" w:hAnsi="宋体" w:cs="宋体"/>
          <w:color w:val="auto"/>
          <w:highlight w:val="none"/>
        </w:rPr>
        <w:t>U</w:t>
      </w:r>
      <w:r>
        <w:rPr>
          <w:rFonts w:hint="eastAsia" w:ascii="宋体" w:hAnsi="宋体" w:cs="宋体"/>
          <w:color w:val="auto"/>
          <w:highlight w:val="none"/>
        </w:rPr>
        <w:t>盘中的备份文件上传，该</w:t>
      </w:r>
      <w:r>
        <w:rPr>
          <w:rFonts w:ascii="宋体" w:hAnsi="宋体" w:cs="宋体"/>
          <w:color w:val="auto"/>
          <w:highlight w:val="none"/>
        </w:rPr>
        <w:t>U</w:t>
      </w:r>
      <w:r>
        <w:rPr>
          <w:rFonts w:hint="eastAsia" w:ascii="宋体" w:hAnsi="宋体" w:cs="宋体"/>
          <w:color w:val="auto"/>
          <w:highlight w:val="none"/>
        </w:rPr>
        <w:t>盘将由采购代理机构保存。</w:t>
      </w:r>
    </w:p>
    <w:p>
      <w:pPr>
        <w:pStyle w:val="43"/>
        <w:spacing w:before="0"/>
        <w:ind w:firstLine="480"/>
        <w:rPr>
          <w:rFonts w:ascii="宋体"/>
          <w:color w:val="auto"/>
          <w:highlight w:val="none"/>
        </w:rPr>
      </w:pPr>
      <w:r>
        <w:rPr>
          <w:rFonts w:ascii="宋体" w:hAnsi="宋体" w:cs="宋体"/>
          <w:color w:val="auto"/>
          <w:highlight w:val="none"/>
        </w:rPr>
        <w:t>4.5</w:t>
      </w:r>
      <w:r>
        <w:rPr>
          <w:rFonts w:hint="eastAsia" w:ascii="宋体" w:hAnsi="宋体" w:cs="宋体"/>
          <w:color w:val="auto"/>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、组建磋商小组</w:t>
      </w:r>
    </w:p>
    <w:p>
      <w:pPr>
        <w:pStyle w:val="43"/>
        <w:spacing w:before="0"/>
        <w:ind w:firstLine="480"/>
        <w:rPr>
          <w:rFonts w:ascii="宋体"/>
          <w:color w:val="auto"/>
          <w:highlight w:val="none"/>
        </w:rPr>
      </w:pPr>
      <w:r>
        <w:rPr>
          <w:rFonts w:ascii="宋体" w:hAnsi="宋体" w:cs="宋体"/>
          <w:color w:val="auto"/>
          <w:highlight w:val="none"/>
        </w:rPr>
        <w:t>5.1</w:t>
      </w:r>
      <w:r>
        <w:rPr>
          <w:rFonts w:hint="eastAsia" w:ascii="宋体" w:hAnsi="宋体" w:cs="宋体"/>
          <w:color w:val="auto"/>
          <w:highlight w:val="none"/>
        </w:rPr>
        <w:t>磋商小组由采购人代表和评审专家共</w:t>
      </w:r>
      <w:r>
        <w:rPr>
          <w:rFonts w:hint="eastAsia" w:ascii="宋体" w:hAnsi="宋体" w:cs="宋体"/>
          <w:color w:val="auto"/>
          <w:highlight w:val="none"/>
          <w:lang w:val="en-US" w:eastAsia="zh-CN"/>
        </w:rPr>
        <w:t>5</w:t>
      </w:r>
      <w:r>
        <w:rPr>
          <w:rFonts w:hint="eastAsia" w:ascii="宋体" w:hAnsi="宋体" w:cs="宋体"/>
          <w:color w:val="auto"/>
          <w:highlight w:val="none"/>
        </w:rPr>
        <w:t>人或以上单数组成，其中评审专家人数不少于磋商小组成员总数的</w:t>
      </w:r>
      <w:r>
        <w:rPr>
          <w:rFonts w:ascii="宋体" w:hAnsi="宋体" w:cs="宋体"/>
          <w:color w:val="auto"/>
          <w:highlight w:val="none"/>
        </w:rPr>
        <w:t>2/3</w:t>
      </w:r>
      <w:r>
        <w:rPr>
          <w:rFonts w:hint="eastAsia" w:ascii="宋体" w:hAnsi="宋体" w:cs="宋体"/>
          <w:color w:val="auto"/>
          <w:highlight w:val="none"/>
        </w:rPr>
        <w:t>。</w:t>
      </w:r>
    </w:p>
    <w:p>
      <w:pPr>
        <w:pStyle w:val="43"/>
        <w:tabs>
          <w:tab w:val="left" w:pos="0"/>
        </w:tabs>
        <w:spacing w:before="0"/>
        <w:ind w:firstLine="480"/>
        <w:rPr>
          <w:rFonts w:ascii="宋体"/>
          <w:color w:val="auto"/>
          <w:highlight w:val="none"/>
          <w:lang w:val="zh-CN"/>
        </w:rPr>
      </w:pPr>
      <w:r>
        <w:rPr>
          <w:rFonts w:ascii="宋体" w:hAnsi="宋体" w:cs="宋体"/>
          <w:color w:val="auto"/>
          <w:highlight w:val="none"/>
        </w:rPr>
        <w:t>5.2</w:t>
      </w:r>
      <w:r>
        <w:rPr>
          <w:rFonts w:hint="eastAsia" w:ascii="宋体" w:hAnsi="宋体" w:cs="宋体"/>
          <w:color w:val="auto"/>
          <w:highlight w:val="none"/>
          <w:lang w:val="zh-CN"/>
        </w:rPr>
        <w:t>评标工作由评标委员会负责，并推选产生的组长主持；</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5.3</w:t>
      </w:r>
      <w:r>
        <w:rPr>
          <w:rFonts w:hint="eastAsia" w:ascii="宋体" w:hAnsi="宋体" w:cs="宋体"/>
          <w:color w:val="auto"/>
          <w:sz w:val="24"/>
          <w:szCs w:val="24"/>
          <w:highlight w:val="none"/>
          <w:lang w:val="zh-CN"/>
        </w:rPr>
        <w:t>本次评标为在线评标。</w:t>
      </w:r>
    </w:p>
    <w:p>
      <w:pPr>
        <w:pStyle w:val="3"/>
        <w:numPr>
          <w:ilvl w:val="0"/>
          <w:numId w:val="16"/>
        </w:numPr>
        <w:jc w:val="center"/>
        <w:rPr>
          <w:rFonts w:cs="Times New Roman"/>
          <w:color w:val="auto"/>
          <w:highlight w:val="none"/>
        </w:rPr>
      </w:pPr>
      <w:r>
        <w:rPr>
          <w:color w:val="auto"/>
          <w:highlight w:val="none"/>
        </w:rPr>
        <w:t xml:space="preserve"> </w:t>
      </w:r>
      <w:bookmarkStart w:id="71" w:name="_Toc10093"/>
      <w:bookmarkStart w:id="72" w:name="_Toc29456"/>
      <w:r>
        <w:rPr>
          <w:rFonts w:hint="eastAsia"/>
          <w:color w:val="auto"/>
          <w:highlight w:val="none"/>
        </w:rPr>
        <w:t>磋商程序</w:t>
      </w:r>
      <w:bookmarkEnd w:id="71"/>
      <w:bookmarkEnd w:id="72"/>
    </w:p>
    <w:p>
      <w:pPr>
        <w:snapToGrid w:val="0"/>
        <w:spacing w:line="360" w:lineRule="auto"/>
        <w:ind w:firstLine="48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、对所有响应文件的初审</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资格审查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）开标后，磋商小组将依法对供应商的资格进行审查。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color w:val="auto"/>
          <w:sz w:val="24"/>
          <w:szCs w:val="24"/>
          <w:highlight w:val="none"/>
        </w:rPr>
        <w:t>.</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）采购人或采购代理机构将通过“信用中国”网站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）响应文件无法定代表人或其委托授权代表签名或盖章。</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）响应文件内容虚假的。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）响应文件有采购人不能接受的附加条件的。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）磋商有效期、服务期等商务条款不能满足磋商文件要求的。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）投标价格超出预算或最高限价，导致采购单位无法支付的。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）磋商文件明确规定的其他无效条款的。</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1.3 </w:t>
      </w:r>
      <w:r>
        <w:rPr>
          <w:rFonts w:hint="eastAsia" w:ascii="宋体" w:hAnsi="宋体" w:cs="宋体"/>
          <w:color w:val="auto"/>
          <w:sz w:val="24"/>
          <w:szCs w:val="24"/>
          <w:highlight w:val="none"/>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3"/>
        <w:tabs>
          <w:tab w:val="left" w:pos="0"/>
        </w:tabs>
        <w:spacing w:before="0"/>
        <w:ind w:firstLine="480"/>
        <w:rPr>
          <w:rFonts w:ascii="宋体"/>
          <w:color w:val="auto"/>
          <w:highlight w:val="none"/>
        </w:rPr>
      </w:pPr>
      <w:r>
        <w:rPr>
          <w:rFonts w:ascii="宋体" w:hAnsi="宋体" w:cs="宋体"/>
          <w:color w:val="auto"/>
          <w:highlight w:val="none"/>
        </w:rPr>
        <w:t>1.4</w:t>
      </w:r>
      <w:r>
        <w:rPr>
          <w:rFonts w:hint="eastAsia" w:ascii="宋体" w:hAnsi="宋体" w:cs="宋体"/>
          <w:color w:val="auto"/>
          <w:highlight w:val="none"/>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lang w:val="zh-CN"/>
        </w:rPr>
        <w:t>、磋商</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2.1 </w:t>
      </w:r>
      <w:r>
        <w:rPr>
          <w:rFonts w:hint="eastAsia" w:ascii="宋体" w:hAnsi="宋体" w:cs="宋体"/>
          <w:color w:val="auto"/>
          <w:sz w:val="24"/>
          <w:szCs w:val="24"/>
          <w:highlight w:val="none"/>
        </w:rPr>
        <w:t>初审合格的供应商进入下一步的磋商活动。</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2.2 </w:t>
      </w:r>
      <w:r>
        <w:rPr>
          <w:rFonts w:hint="eastAsia" w:ascii="宋体" w:hAnsi="宋体" w:cs="宋体"/>
          <w:color w:val="auto"/>
          <w:sz w:val="24"/>
          <w:szCs w:val="24"/>
          <w:highlight w:val="none"/>
        </w:rPr>
        <w:t>磋商小组所有成员应当集中与单一供应商分别进行磋商，并给予所有参加磋商的供应商平等的磋商机会。</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2.3 </w:t>
      </w:r>
      <w:r>
        <w:rPr>
          <w:rFonts w:hint="eastAsia" w:ascii="宋体" w:hAnsi="宋体" w:cs="宋体"/>
          <w:color w:val="auto"/>
          <w:sz w:val="24"/>
          <w:szCs w:val="24"/>
          <w:highlight w:val="none"/>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color w:val="auto"/>
          <w:sz w:val="24"/>
          <w:szCs w:val="24"/>
          <w:highlight w:val="none"/>
        </w:rPr>
        <w:t xml:space="preserve"> </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2.4 </w:t>
      </w:r>
      <w:r>
        <w:rPr>
          <w:rFonts w:hint="eastAsia" w:ascii="宋体" w:hAnsi="宋体" w:cs="宋体"/>
          <w:color w:val="auto"/>
          <w:sz w:val="24"/>
          <w:szCs w:val="24"/>
          <w:highlight w:val="none"/>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2.5 </w:t>
      </w:r>
      <w:r>
        <w:rPr>
          <w:rFonts w:hint="eastAsia" w:ascii="宋体" w:hAnsi="宋体" w:cs="宋体"/>
          <w:color w:val="auto"/>
          <w:sz w:val="24"/>
          <w:szCs w:val="24"/>
          <w:highlight w:val="none"/>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2.6 </w:t>
      </w:r>
      <w:r>
        <w:rPr>
          <w:rFonts w:hint="eastAsia" w:ascii="宋体" w:hAnsi="宋体" w:cs="宋体"/>
          <w:color w:val="auto"/>
          <w:sz w:val="24"/>
          <w:szCs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2.7 </w:t>
      </w:r>
      <w:r>
        <w:rPr>
          <w:rFonts w:hint="eastAsia" w:ascii="宋体" w:hAnsi="宋体" w:cs="宋体"/>
          <w:color w:val="auto"/>
          <w:sz w:val="24"/>
          <w:szCs w:val="24"/>
          <w:highlight w:val="none"/>
        </w:rPr>
        <w:t>符合《政府采购竞争性磋商采购方式管理暂行办法》（财库〔</w:t>
      </w:r>
      <w:r>
        <w:rPr>
          <w:rFonts w:ascii="宋体" w:hAnsi="宋体" w:cs="宋体"/>
          <w:color w:val="auto"/>
          <w:sz w:val="24"/>
          <w:szCs w:val="24"/>
          <w:highlight w:val="none"/>
        </w:rPr>
        <w:t>2014</w:t>
      </w:r>
      <w:r>
        <w:rPr>
          <w:rFonts w:hint="eastAsia" w:ascii="宋体" w:hAnsi="宋体" w:cs="宋体"/>
          <w:color w:val="auto"/>
          <w:sz w:val="24"/>
          <w:szCs w:val="24"/>
          <w:highlight w:val="none"/>
        </w:rPr>
        <w:t>〕</w:t>
      </w:r>
      <w:r>
        <w:rPr>
          <w:rFonts w:ascii="宋体" w:hAnsi="宋体" w:cs="宋体"/>
          <w:color w:val="auto"/>
          <w:sz w:val="24"/>
          <w:szCs w:val="24"/>
          <w:highlight w:val="none"/>
        </w:rPr>
        <w:t>214</w:t>
      </w:r>
      <w:r>
        <w:rPr>
          <w:rFonts w:hint="eastAsia" w:ascii="宋体" w:hAnsi="宋体" w:cs="宋体"/>
          <w:color w:val="auto"/>
          <w:sz w:val="24"/>
          <w:szCs w:val="24"/>
          <w:highlight w:val="none"/>
        </w:rPr>
        <w:t>号）第三条第四项即“市场竞争不充分的科研项目，以及需要扶持的科技成果转化项目”情形的，提交最后报价的供应商可以为</w:t>
      </w:r>
      <w:r>
        <w:rPr>
          <w:rFonts w:ascii="宋体" w:hAnsi="宋体" w:cs="宋体"/>
          <w:color w:val="auto"/>
          <w:sz w:val="24"/>
          <w:szCs w:val="24"/>
          <w:highlight w:val="none"/>
        </w:rPr>
        <w:t>2</w:t>
      </w:r>
      <w:r>
        <w:rPr>
          <w:rFonts w:hint="eastAsia" w:ascii="宋体" w:hAnsi="宋体" w:cs="宋体"/>
          <w:color w:val="auto"/>
          <w:sz w:val="24"/>
          <w:szCs w:val="24"/>
          <w:highlight w:val="none"/>
        </w:rPr>
        <w:t>家。</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2.8 </w:t>
      </w:r>
      <w:r>
        <w:rPr>
          <w:rFonts w:hint="eastAsia" w:ascii="宋体" w:hAnsi="宋体" w:cs="宋体"/>
          <w:color w:val="auto"/>
          <w:sz w:val="24"/>
          <w:szCs w:val="24"/>
          <w:highlight w:val="none"/>
        </w:rPr>
        <w:t>采用竞争性磋商采购方式采购的政府购买服务项目（含政府和社会资本合作项目），在采购过程中符合要求的供应商（社会资本）只有</w:t>
      </w:r>
      <w:r>
        <w:rPr>
          <w:rFonts w:ascii="宋体" w:hAnsi="宋体" w:cs="宋体"/>
          <w:color w:val="auto"/>
          <w:sz w:val="24"/>
          <w:szCs w:val="24"/>
          <w:highlight w:val="none"/>
        </w:rPr>
        <w:t>2</w:t>
      </w:r>
      <w:r>
        <w:rPr>
          <w:rFonts w:hint="eastAsia" w:ascii="宋体" w:hAnsi="宋体" w:cs="宋体"/>
          <w:color w:val="auto"/>
          <w:sz w:val="24"/>
          <w:szCs w:val="24"/>
          <w:highlight w:val="none"/>
        </w:rPr>
        <w:t>家的，竞争性磋商采购活动可以继续进行。采购过程中符合要求的供应商（社会资本）只有</w:t>
      </w:r>
      <w:r>
        <w:rPr>
          <w:rFonts w:ascii="宋体" w:hAnsi="宋体" w:cs="宋体"/>
          <w:color w:val="auto"/>
          <w:sz w:val="24"/>
          <w:szCs w:val="24"/>
          <w:highlight w:val="none"/>
        </w:rPr>
        <w:t>1</w:t>
      </w:r>
      <w:r>
        <w:rPr>
          <w:rFonts w:hint="eastAsia" w:ascii="宋体" w:hAnsi="宋体" w:cs="宋体"/>
          <w:color w:val="auto"/>
          <w:sz w:val="24"/>
          <w:szCs w:val="24"/>
          <w:highlight w:val="none"/>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lang w:val="zh-CN"/>
        </w:rPr>
        <w:t>、最后报价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3.1</w:t>
      </w:r>
      <w:r>
        <w:rPr>
          <w:rFonts w:hint="eastAsia" w:ascii="宋体" w:hAnsi="宋体" w:cs="宋体"/>
          <w:color w:val="auto"/>
          <w:sz w:val="24"/>
          <w:szCs w:val="24"/>
          <w:highlight w:val="none"/>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3.2</w:t>
      </w:r>
      <w:r>
        <w:rPr>
          <w:rFonts w:hint="eastAsia" w:ascii="宋体" w:hAnsi="宋体" w:cs="宋体"/>
          <w:color w:val="auto"/>
          <w:sz w:val="24"/>
          <w:szCs w:val="24"/>
          <w:highlight w:val="none"/>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3.3</w:t>
      </w:r>
      <w:r>
        <w:rPr>
          <w:rFonts w:hint="eastAsia" w:ascii="宋体" w:hAnsi="宋体" w:cs="宋体"/>
          <w:color w:val="auto"/>
          <w:sz w:val="24"/>
          <w:szCs w:val="24"/>
          <w:highlight w:val="none"/>
        </w:rPr>
        <w:t>已提交响应文件的供应商，在提交最后报价之前，若因磋商文件实质性变动导致供应商无法满足采购需求的，允许供应商退出磋商。</w:t>
      </w:r>
    </w:p>
    <w:p>
      <w:pPr>
        <w:pStyle w:val="4"/>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、电子评标</w:t>
      </w:r>
    </w:p>
    <w:p>
      <w:pPr>
        <w:pStyle w:val="4"/>
        <w:spacing w:line="360" w:lineRule="auto"/>
        <w:ind w:firstLine="0"/>
        <w:rPr>
          <w:rFonts w:ascii="宋体"/>
          <w:color w:val="auto"/>
          <w:sz w:val="24"/>
          <w:szCs w:val="24"/>
          <w:highlight w:val="none"/>
        </w:rPr>
      </w:pPr>
      <w:r>
        <w:rPr>
          <w:rFonts w:ascii="宋体" w:hAnsi="宋体" w:cs="宋体"/>
          <w:color w:val="auto"/>
          <w:sz w:val="24"/>
          <w:szCs w:val="24"/>
          <w:highlight w:val="none"/>
        </w:rPr>
        <w:t xml:space="preserve">    4.1</w:t>
      </w:r>
      <w:r>
        <w:rPr>
          <w:rFonts w:hint="eastAsia" w:ascii="宋体" w:hAnsi="宋体" w:cs="宋体"/>
          <w:color w:val="auto"/>
          <w:sz w:val="24"/>
          <w:szCs w:val="24"/>
          <w:highlight w:val="none"/>
        </w:rPr>
        <w:t>磋商活动由采购代理机构主持</w:t>
      </w:r>
      <w:r>
        <w:rPr>
          <w:rFonts w:ascii="宋体" w:cs="宋体"/>
          <w:color w:val="auto"/>
          <w:sz w:val="24"/>
          <w:szCs w:val="24"/>
          <w:highlight w:val="none"/>
        </w:rPr>
        <w:t>,</w:t>
      </w:r>
      <w:r>
        <w:rPr>
          <w:rFonts w:hint="eastAsia" w:ascii="宋体" w:hAnsi="宋体" w:cs="宋体"/>
          <w:color w:val="auto"/>
          <w:sz w:val="24"/>
          <w:szCs w:val="24"/>
          <w:highlight w:val="none"/>
        </w:rPr>
        <w:t>磋商响应截止时间后</w:t>
      </w:r>
      <w:r>
        <w:rPr>
          <w:rFonts w:ascii="宋体" w:cs="宋体"/>
          <w:color w:val="auto"/>
          <w:sz w:val="24"/>
          <w:szCs w:val="24"/>
          <w:highlight w:val="none"/>
        </w:rPr>
        <w:t>,</w:t>
      </w:r>
      <w:r>
        <w:rPr>
          <w:rFonts w:hint="eastAsia" w:ascii="宋体" w:hAnsi="宋体" w:cs="宋体"/>
          <w:color w:val="auto"/>
          <w:sz w:val="24"/>
          <w:szCs w:val="24"/>
          <w:highlight w:val="none"/>
        </w:rPr>
        <w:t>供应商登录政采云平台对电子响应文件进行在线解密；</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4.2</w:t>
      </w:r>
      <w:r>
        <w:rPr>
          <w:rFonts w:hint="eastAsia" w:ascii="宋体" w:hAnsi="宋体" w:cs="宋体"/>
          <w:color w:val="auto"/>
          <w:sz w:val="24"/>
          <w:szCs w:val="24"/>
          <w:highlight w:val="none"/>
        </w:rPr>
        <w:t>响应文件解密结束</w:t>
      </w:r>
      <w:r>
        <w:rPr>
          <w:rFonts w:ascii="宋体" w:cs="宋体"/>
          <w:color w:val="auto"/>
          <w:sz w:val="24"/>
          <w:szCs w:val="24"/>
          <w:highlight w:val="none"/>
        </w:rPr>
        <w:t>,</w:t>
      </w:r>
      <w:r>
        <w:rPr>
          <w:rFonts w:hint="eastAsia" w:ascii="宋体" w:hAnsi="宋体" w:cs="宋体"/>
          <w:color w:val="auto"/>
          <w:sz w:val="24"/>
          <w:szCs w:val="24"/>
          <w:highlight w:val="none"/>
        </w:rPr>
        <w:t>开启响应文件</w:t>
      </w:r>
      <w:r>
        <w:rPr>
          <w:rFonts w:ascii="宋体" w:cs="宋体"/>
          <w:color w:val="auto"/>
          <w:sz w:val="24"/>
          <w:szCs w:val="24"/>
          <w:highlight w:val="none"/>
        </w:rPr>
        <w:t>,</w:t>
      </w:r>
      <w:r>
        <w:rPr>
          <w:rFonts w:hint="eastAsia" w:ascii="宋体" w:hAnsi="宋体" w:cs="宋体"/>
          <w:color w:val="auto"/>
          <w:sz w:val="24"/>
          <w:szCs w:val="24"/>
          <w:highlight w:val="none"/>
        </w:rPr>
        <w:t>磋商小组对资格和商务技术响应文件进行资格审查和符合性审查；</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4.3</w:t>
      </w:r>
      <w:r>
        <w:rPr>
          <w:rFonts w:hint="eastAsia" w:ascii="宋体" w:hAnsi="宋体" w:cs="宋体"/>
          <w:color w:val="auto"/>
          <w:sz w:val="24"/>
          <w:szCs w:val="24"/>
          <w:highlight w:val="none"/>
        </w:rPr>
        <w:t>供应商按递交磋商响应文件的前后顺序决定磋商的顺序</w:t>
      </w:r>
      <w:r>
        <w:rPr>
          <w:rFonts w:ascii="宋体" w:cs="宋体"/>
          <w:color w:val="auto"/>
          <w:sz w:val="24"/>
          <w:szCs w:val="24"/>
          <w:highlight w:val="none"/>
        </w:rPr>
        <w:t>,</w:t>
      </w:r>
      <w:r>
        <w:rPr>
          <w:rFonts w:hint="eastAsia" w:ascii="宋体" w:hAnsi="宋体" w:cs="宋体"/>
          <w:color w:val="auto"/>
          <w:sz w:val="24"/>
          <w:szCs w:val="24"/>
          <w:highlight w:val="none"/>
        </w:rPr>
        <w:t>就价格、服务等认为需要磋商的内容进行磋商</w:t>
      </w:r>
      <w:r>
        <w:rPr>
          <w:rFonts w:ascii="宋体" w:cs="宋体"/>
          <w:color w:val="auto"/>
          <w:sz w:val="24"/>
          <w:szCs w:val="24"/>
          <w:highlight w:val="none"/>
        </w:rPr>
        <w:t>,</w:t>
      </w:r>
      <w:r>
        <w:rPr>
          <w:rFonts w:hint="eastAsia" w:ascii="宋体" w:hAnsi="宋体" w:cs="宋体"/>
          <w:color w:val="auto"/>
          <w:sz w:val="24"/>
          <w:szCs w:val="24"/>
          <w:highlight w:val="none"/>
        </w:rPr>
        <w:t>供应商逐家回答磋商小组的提问</w:t>
      </w:r>
      <w:r>
        <w:rPr>
          <w:rFonts w:ascii="宋体" w:cs="宋体"/>
          <w:color w:val="auto"/>
          <w:sz w:val="24"/>
          <w:szCs w:val="24"/>
          <w:highlight w:val="none"/>
        </w:rPr>
        <w:t>,</w:t>
      </w:r>
      <w:r>
        <w:rPr>
          <w:rFonts w:hint="eastAsia" w:ascii="宋体" w:hAnsi="宋体" w:cs="宋体"/>
          <w:color w:val="auto"/>
          <w:sz w:val="24"/>
          <w:szCs w:val="24"/>
          <w:highlight w:val="none"/>
        </w:rPr>
        <w:t>供应商作出最终承诺；</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4.4</w:t>
      </w:r>
      <w:r>
        <w:rPr>
          <w:rFonts w:hint="eastAsia" w:ascii="宋体" w:hAnsi="宋体" w:cs="宋体"/>
          <w:color w:val="auto"/>
          <w:sz w:val="24"/>
          <w:szCs w:val="24"/>
          <w:highlight w:val="none"/>
        </w:rPr>
        <w:t>磋商小组对商务技术响应文件进行评审；</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4.5</w:t>
      </w:r>
      <w:r>
        <w:rPr>
          <w:rFonts w:hint="eastAsia" w:ascii="宋体" w:hAnsi="宋体" w:cs="宋体"/>
          <w:color w:val="auto"/>
          <w:sz w:val="24"/>
          <w:szCs w:val="24"/>
          <w:highlight w:val="none"/>
        </w:rPr>
        <w:t>商务技术汇总后，供应商开启报价文件，进行磋商二次报价（最终报价），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4.6</w:t>
      </w:r>
      <w:r>
        <w:rPr>
          <w:rFonts w:hint="eastAsia" w:ascii="宋体" w:hAnsi="宋体" w:cs="宋体"/>
          <w:color w:val="auto"/>
          <w:sz w:val="24"/>
          <w:szCs w:val="24"/>
          <w:highlight w:val="none"/>
        </w:rPr>
        <w:t>在系统上开启最终报价情况；</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4.7</w:t>
      </w:r>
      <w:r>
        <w:rPr>
          <w:rFonts w:hint="eastAsia" w:ascii="宋体" w:hAnsi="宋体" w:cs="宋体"/>
          <w:color w:val="auto"/>
          <w:sz w:val="24"/>
          <w:szCs w:val="24"/>
          <w:highlight w:val="none"/>
        </w:rPr>
        <w:t>磋商小组对报价情况进行评审；</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4.8</w:t>
      </w:r>
      <w:r>
        <w:rPr>
          <w:rFonts w:hint="eastAsia" w:ascii="宋体" w:hAnsi="宋体" w:cs="宋体"/>
          <w:color w:val="auto"/>
          <w:sz w:val="24"/>
          <w:szCs w:val="24"/>
          <w:highlight w:val="none"/>
        </w:rPr>
        <w:t>在系统上公开资格和商务技术评审结果；</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4.9</w:t>
      </w:r>
      <w:r>
        <w:rPr>
          <w:rFonts w:hint="eastAsia" w:ascii="宋体" w:hAnsi="宋体" w:cs="宋体"/>
          <w:color w:val="auto"/>
          <w:sz w:val="24"/>
          <w:szCs w:val="24"/>
          <w:highlight w:val="none"/>
        </w:rPr>
        <w:t>在系统上公布评审结果。</w:t>
      </w:r>
    </w:p>
    <w:p>
      <w:pPr>
        <w:pStyle w:val="4"/>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4.10</w:t>
      </w:r>
      <w:r>
        <w:rPr>
          <w:rFonts w:hint="eastAsia" w:ascii="宋体" w:hAnsi="宋体" w:cs="宋体"/>
          <w:color w:val="auto"/>
          <w:sz w:val="24"/>
          <w:szCs w:val="24"/>
          <w:highlight w:val="none"/>
        </w:rPr>
        <w:t>开标会结束。</w:t>
      </w:r>
    </w:p>
    <w:p>
      <w:pPr>
        <w:snapToGrid w:val="0"/>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特别说明</w:t>
      </w:r>
      <w:r>
        <w:rPr>
          <w:rFonts w:ascii="宋体" w:hAnsi="宋体" w:cs="宋体"/>
          <w:color w:val="auto"/>
          <w:sz w:val="24"/>
          <w:szCs w:val="24"/>
          <w:highlight w:val="none"/>
        </w:rPr>
        <w:t>:</w:t>
      </w:r>
      <w:r>
        <w:rPr>
          <w:rFonts w:hint="eastAsia" w:ascii="宋体" w:hAnsi="宋体" w:cs="宋体"/>
          <w:color w:val="auto"/>
          <w:sz w:val="24"/>
          <w:szCs w:val="24"/>
          <w:highlight w:val="none"/>
        </w:rPr>
        <w:t>政采云如对电子化开标及评审程序有调整的</w:t>
      </w:r>
      <w:r>
        <w:rPr>
          <w:rFonts w:ascii="宋体" w:cs="宋体"/>
          <w:color w:val="auto"/>
          <w:sz w:val="24"/>
          <w:szCs w:val="24"/>
          <w:highlight w:val="none"/>
        </w:rPr>
        <w:t>,</w:t>
      </w:r>
      <w:r>
        <w:rPr>
          <w:rFonts w:hint="eastAsia" w:ascii="宋体" w:hAnsi="宋体" w:cs="宋体"/>
          <w:color w:val="auto"/>
          <w:sz w:val="24"/>
          <w:szCs w:val="24"/>
          <w:highlight w:val="none"/>
        </w:rPr>
        <w:t>按调整后的程序操作。</w:t>
      </w:r>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ascii="宋体" w:cs="宋体"/>
          <w:b/>
          <w:bCs/>
          <w:color w:val="auto"/>
          <w:sz w:val="24"/>
          <w:szCs w:val="24"/>
          <w:highlight w:val="none"/>
        </w:rPr>
        <w:t>.</w:t>
      </w:r>
      <w:r>
        <w:rPr>
          <w:rFonts w:hint="eastAsia" w:ascii="宋体" w:hAnsi="宋体" w:cs="宋体"/>
          <w:b/>
          <w:bCs/>
          <w:color w:val="auto"/>
          <w:sz w:val="24"/>
          <w:szCs w:val="24"/>
          <w:highlight w:val="none"/>
        </w:rPr>
        <w:t>综合评分</w:t>
      </w:r>
    </w:p>
    <w:p>
      <w:pPr>
        <w:tabs>
          <w:tab w:val="left" w:pos="-1080"/>
          <w:tab w:val="left" w:pos="180"/>
          <w:tab w:val="left" w:pos="1080"/>
        </w:tabs>
        <w:snapToGrid w:val="0"/>
        <w:spacing w:line="360" w:lineRule="auto"/>
        <w:ind w:firstLine="480"/>
        <w:rPr>
          <w:rFonts w:ascii="宋体"/>
          <w:color w:val="auto"/>
          <w:kern w:val="0"/>
          <w:sz w:val="24"/>
          <w:szCs w:val="24"/>
          <w:highlight w:val="none"/>
        </w:rPr>
      </w:pPr>
      <w:r>
        <w:rPr>
          <w:rFonts w:ascii="宋体" w:hAnsi="宋体" w:cs="宋体"/>
          <w:color w:val="auto"/>
          <w:sz w:val="24"/>
          <w:szCs w:val="24"/>
          <w:highlight w:val="none"/>
        </w:rPr>
        <w:t>5.1</w:t>
      </w:r>
      <w:r>
        <w:rPr>
          <w:rFonts w:hint="eastAsia" w:ascii="宋体" w:hAnsi="宋体" w:cs="宋体"/>
          <w:color w:val="auto"/>
          <w:sz w:val="24"/>
          <w:szCs w:val="24"/>
          <w:highlight w:val="none"/>
        </w:rPr>
        <w:t>本评标办法采用综合评标法，由商务技术分和报价分合计组成，其中商务技术分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8</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分、报价分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2</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分；满分为</w:t>
      </w:r>
      <w:r>
        <w:rPr>
          <w:rFonts w:ascii="宋体" w:hAnsi="宋体" w:cs="宋体"/>
          <w:color w:val="auto"/>
          <w:sz w:val="24"/>
          <w:szCs w:val="24"/>
          <w:highlight w:val="none"/>
        </w:rPr>
        <w:t>100</w:t>
      </w:r>
      <w:r>
        <w:rPr>
          <w:rFonts w:hint="eastAsia" w:ascii="宋体" w:hAnsi="宋体" w:cs="宋体"/>
          <w:color w:val="auto"/>
          <w:sz w:val="24"/>
          <w:szCs w:val="24"/>
          <w:highlight w:val="none"/>
        </w:rPr>
        <w:t>分。</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5.2</w:t>
      </w:r>
      <w:r>
        <w:rPr>
          <w:rFonts w:hint="eastAsia" w:ascii="宋体" w:hAnsi="宋体" w:cs="宋体"/>
          <w:color w:val="auto"/>
          <w:sz w:val="24"/>
          <w:szCs w:val="24"/>
          <w:highlight w:val="none"/>
        </w:rPr>
        <w:t>经初步评审合格的响应文件，磋商小组根据竞争性磋商文件确定的评审标准和方法，对其商务技术部分作进一步评审、比较、打分。</w:t>
      </w:r>
    </w:p>
    <w:p>
      <w:pPr>
        <w:pStyle w:val="11"/>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5.3</w:t>
      </w:r>
      <w:r>
        <w:rPr>
          <w:rFonts w:hint="eastAsia" w:hAnsi="宋体"/>
          <w:color w:val="auto"/>
          <w:sz w:val="24"/>
          <w:szCs w:val="24"/>
          <w:highlight w:val="none"/>
        </w:rPr>
        <w:t>磋商小组成员首先分别对每个供应商商务技术部分进行评审打分，然后计算出算术平均值（保留</w:t>
      </w:r>
      <w:r>
        <w:rPr>
          <w:rFonts w:hAnsi="宋体"/>
          <w:color w:val="auto"/>
          <w:sz w:val="24"/>
          <w:szCs w:val="24"/>
          <w:highlight w:val="none"/>
        </w:rPr>
        <w:t>2</w:t>
      </w:r>
      <w:r>
        <w:rPr>
          <w:rFonts w:hint="eastAsia" w:hAnsi="宋体"/>
          <w:color w:val="auto"/>
          <w:sz w:val="24"/>
          <w:szCs w:val="24"/>
          <w:highlight w:val="none"/>
        </w:rPr>
        <w:t>位小数），即为供应商的商务技术得分，后计算二次报价，计算公式：投标价格分</w:t>
      </w:r>
      <w:r>
        <w:rPr>
          <w:rFonts w:hAnsi="宋体"/>
          <w:color w:val="auto"/>
          <w:sz w:val="24"/>
          <w:szCs w:val="24"/>
          <w:highlight w:val="none"/>
        </w:rPr>
        <w:t>=(</w:t>
      </w:r>
      <w:r>
        <w:rPr>
          <w:rFonts w:hint="eastAsia" w:hAnsi="宋体"/>
          <w:color w:val="auto"/>
          <w:sz w:val="24"/>
          <w:szCs w:val="24"/>
          <w:highlight w:val="none"/>
        </w:rPr>
        <w:t>最佳报价</w:t>
      </w:r>
      <w:r>
        <w:rPr>
          <w:rFonts w:hAnsi="宋体"/>
          <w:color w:val="auto"/>
          <w:sz w:val="24"/>
          <w:szCs w:val="24"/>
          <w:highlight w:val="none"/>
        </w:rPr>
        <w:t>/</w:t>
      </w:r>
      <w:r>
        <w:rPr>
          <w:rFonts w:hint="eastAsia" w:hAnsi="宋体"/>
          <w:color w:val="auto"/>
          <w:sz w:val="24"/>
          <w:szCs w:val="24"/>
          <w:highlight w:val="none"/>
        </w:rPr>
        <w:t>投标报价</w:t>
      </w:r>
      <w:r>
        <w:rPr>
          <w:rFonts w:hAnsi="宋体"/>
          <w:color w:val="auto"/>
          <w:sz w:val="24"/>
          <w:szCs w:val="24"/>
          <w:highlight w:val="none"/>
        </w:rPr>
        <w:t>)*</w:t>
      </w:r>
      <w:r>
        <w:rPr>
          <w:rFonts w:hint="eastAsia" w:hAnsi="宋体"/>
          <w:color w:val="auto"/>
          <w:sz w:val="24"/>
          <w:szCs w:val="24"/>
          <w:highlight w:val="none"/>
        </w:rPr>
        <w:t>价格权值</w:t>
      </w:r>
      <w:r>
        <w:rPr>
          <w:rFonts w:hAnsi="宋体"/>
          <w:color w:val="auto"/>
          <w:sz w:val="24"/>
          <w:szCs w:val="24"/>
          <w:highlight w:val="none"/>
        </w:rPr>
        <w:t>*100</w:t>
      </w:r>
      <w:r>
        <w:rPr>
          <w:rFonts w:hint="eastAsia" w:hAnsi="宋体"/>
          <w:color w:val="auto"/>
          <w:sz w:val="24"/>
          <w:szCs w:val="24"/>
          <w:highlight w:val="none"/>
        </w:rPr>
        <w:t>。，综合得分</w:t>
      </w:r>
      <w:r>
        <w:rPr>
          <w:rFonts w:hAnsi="宋体"/>
          <w:color w:val="auto"/>
          <w:sz w:val="24"/>
          <w:szCs w:val="24"/>
          <w:highlight w:val="none"/>
        </w:rPr>
        <w:t>=</w:t>
      </w:r>
      <w:r>
        <w:rPr>
          <w:rFonts w:hint="eastAsia" w:hAnsi="宋体"/>
          <w:color w:val="auto"/>
          <w:sz w:val="24"/>
          <w:szCs w:val="24"/>
          <w:highlight w:val="none"/>
        </w:rPr>
        <w:t>商务技术分</w:t>
      </w:r>
      <w:r>
        <w:rPr>
          <w:rFonts w:hAnsi="宋体"/>
          <w:color w:val="auto"/>
          <w:sz w:val="24"/>
          <w:szCs w:val="24"/>
          <w:highlight w:val="none"/>
        </w:rPr>
        <w:t>+</w:t>
      </w:r>
      <w:r>
        <w:rPr>
          <w:rFonts w:hint="eastAsia" w:hAnsi="宋体"/>
          <w:color w:val="auto"/>
          <w:sz w:val="24"/>
          <w:szCs w:val="24"/>
          <w:highlight w:val="none"/>
        </w:rPr>
        <w:t>报价分，以综合得分（保留</w:t>
      </w:r>
      <w:r>
        <w:rPr>
          <w:rFonts w:hAnsi="宋体"/>
          <w:color w:val="auto"/>
          <w:sz w:val="24"/>
          <w:szCs w:val="24"/>
          <w:highlight w:val="none"/>
        </w:rPr>
        <w:t>2</w:t>
      </w:r>
      <w:r>
        <w:rPr>
          <w:rFonts w:hint="eastAsia" w:hAnsi="宋体"/>
          <w:color w:val="auto"/>
          <w:sz w:val="24"/>
          <w:szCs w:val="24"/>
          <w:highlight w:val="none"/>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6</w:t>
      </w:r>
      <w:r>
        <w:rPr>
          <w:rFonts w:hint="eastAsia" w:hAnsi="宋体"/>
          <w:b/>
          <w:bCs/>
          <w:color w:val="auto"/>
          <w:sz w:val="24"/>
          <w:szCs w:val="24"/>
          <w:highlight w:val="none"/>
        </w:rPr>
        <w:t>、修正原则</w:t>
      </w:r>
    </w:p>
    <w:p>
      <w:pPr>
        <w:pStyle w:val="43"/>
        <w:spacing w:before="0"/>
        <w:ind w:left="420" w:leftChars="200" w:firstLine="0" w:firstLineChars="0"/>
        <w:rPr>
          <w:rFonts w:ascii="宋体"/>
          <w:color w:val="auto"/>
          <w:highlight w:val="none"/>
          <w:lang w:val="zh-CN"/>
        </w:rPr>
      </w:pPr>
      <w:r>
        <w:rPr>
          <w:rFonts w:hint="eastAsia" w:ascii="宋体" w:hAnsi="宋体" w:cs="宋体"/>
          <w:color w:val="auto"/>
          <w:highlight w:val="none"/>
        </w:rPr>
        <w:t>响应</w:t>
      </w:r>
      <w:r>
        <w:rPr>
          <w:rFonts w:hint="eastAsia" w:ascii="宋体" w:hAnsi="宋体" w:cs="宋体"/>
          <w:color w:val="auto"/>
          <w:highlight w:val="none"/>
          <w:lang w:val="zh-CN"/>
        </w:rPr>
        <w:t>文件报价出现前后不一致的，按照下列规定修正：</w:t>
      </w:r>
    </w:p>
    <w:p>
      <w:pPr>
        <w:pStyle w:val="43"/>
        <w:tabs>
          <w:tab w:val="left" w:pos="0"/>
        </w:tabs>
        <w:spacing w:before="0"/>
        <w:ind w:firstLine="480"/>
        <w:rPr>
          <w:rFonts w:ascii="宋体"/>
          <w:color w:val="auto"/>
          <w:highlight w:val="none"/>
          <w:lang w:val="zh-CN"/>
        </w:rPr>
      </w:pPr>
      <w:r>
        <w:rPr>
          <w:rFonts w:ascii="宋体" w:hAnsi="宋体" w:cs="宋体"/>
          <w:color w:val="auto"/>
          <w:highlight w:val="none"/>
        </w:rPr>
        <w:t>6.1</w:t>
      </w:r>
      <w:r>
        <w:rPr>
          <w:rFonts w:hint="eastAsia" w:ascii="宋体" w:hAnsi="宋体" w:cs="宋体"/>
          <w:color w:val="auto"/>
          <w:highlight w:val="none"/>
        </w:rPr>
        <w:t>响应</w:t>
      </w:r>
      <w:r>
        <w:rPr>
          <w:rFonts w:hint="eastAsia" w:ascii="宋体" w:hAnsi="宋体" w:cs="宋体"/>
          <w:color w:val="auto"/>
          <w:highlight w:val="none"/>
          <w:lang w:val="zh-CN"/>
        </w:rPr>
        <w:t>文件中</w:t>
      </w:r>
      <w:r>
        <w:rPr>
          <w:rFonts w:hint="eastAsia" w:ascii="宋体" w:hAnsi="宋体" w:cs="宋体"/>
          <w:color w:val="auto"/>
          <w:highlight w:val="none"/>
        </w:rPr>
        <w:t>报价</w:t>
      </w:r>
      <w:r>
        <w:rPr>
          <w:rFonts w:hint="eastAsia" w:ascii="宋体" w:hAnsi="宋体" w:cs="宋体"/>
          <w:color w:val="auto"/>
          <w:highlight w:val="none"/>
          <w:lang w:val="zh-CN"/>
        </w:rPr>
        <w:t>一览表内容与</w:t>
      </w:r>
      <w:r>
        <w:rPr>
          <w:rFonts w:hint="eastAsia" w:ascii="宋体" w:hAnsi="宋体" w:cs="宋体"/>
          <w:color w:val="auto"/>
          <w:highlight w:val="none"/>
        </w:rPr>
        <w:t>响应</w:t>
      </w:r>
      <w:r>
        <w:rPr>
          <w:rFonts w:hint="eastAsia" w:ascii="宋体" w:hAnsi="宋体" w:cs="宋体"/>
          <w:color w:val="auto"/>
          <w:highlight w:val="none"/>
          <w:lang w:val="zh-CN"/>
        </w:rPr>
        <w:t>文件中相应内容不一致的，以</w:t>
      </w:r>
      <w:r>
        <w:rPr>
          <w:rFonts w:hint="eastAsia" w:ascii="宋体" w:hAnsi="宋体" w:cs="宋体"/>
          <w:color w:val="auto"/>
          <w:highlight w:val="none"/>
        </w:rPr>
        <w:t>报价</w:t>
      </w:r>
      <w:r>
        <w:rPr>
          <w:rFonts w:hint="eastAsia" w:ascii="宋体" w:hAnsi="宋体" w:cs="宋体"/>
          <w:color w:val="auto"/>
          <w:highlight w:val="none"/>
          <w:lang w:val="zh-CN"/>
        </w:rPr>
        <w:t>一览表为准；</w:t>
      </w:r>
    </w:p>
    <w:p>
      <w:pPr>
        <w:pStyle w:val="43"/>
        <w:tabs>
          <w:tab w:val="left" w:pos="0"/>
        </w:tabs>
        <w:spacing w:before="0"/>
        <w:ind w:firstLine="480"/>
        <w:rPr>
          <w:rFonts w:ascii="宋体"/>
          <w:color w:val="auto"/>
          <w:highlight w:val="none"/>
          <w:lang w:val="zh-CN"/>
        </w:rPr>
      </w:pPr>
      <w:r>
        <w:rPr>
          <w:rFonts w:ascii="宋体" w:hAnsi="宋体" w:cs="宋体"/>
          <w:color w:val="auto"/>
          <w:highlight w:val="none"/>
        </w:rPr>
        <w:t>6.2</w:t>
      </w:r>
      <w:r>
        <w:rPr>
          <w:rFonts w:hint="eastAsia" w:ascii="宋体" w:hAnsi="宋体" w:cs="宋体"/>
          <w:color w:val="auto"/>
          <w:highlight w:val="none"/>
          <w:lang w:val="zh-CN"/>
        </w:rPr>
        <w:t>大写金额和小写金额不一致的，以大写金额为准；</w:t>
      </w:r>
    </w:p>
    <w:p>
      <w:pPr>
        <w:pStyle w:val="43"/>
        <w:tabs>
          <w:tab w:val="left" w:pos="0"/>
        </w:tabs>
        <w:spacing w:before="0"/>
        <w:ind w:firstLine="480"/>
        <w:rPr>
          <w:rFonts w:ascii="宋体"/>
          <w:color w:val="auto"/>
          <w:highlight w:val="none"/>
          <w:lang w:val="zh-CN"/>
        </w:rPr>
      </w:pPr>
      <w:r>
        <w:rPr>
          <w:rFonts w:ascii="宋体" w:hAnsi="宋体" w:cs="宋体"/>
          <w:color w:val="auto"/>
          <w:highlight w:val="none"/>
        </w:rPr>
        <w:t>6.3</w:t>
      </w:r>
      <w:r>
        <w:rPr>
          <w:rFonts w:hint="eastAsia" w:ascii="宋体" w:hAnsi="宋体" w:cs="宋体"/>
          <w:color w:val="auto"/>
          <w:highlight w:val="none"/>
          <w:lang w:val="zh-CN"/>
        </w:rPr>
        <w:t>单价金额小数点或者百分比有明显错位的，以</w:t>
      </w:r>
      <w:r>
        <w:rPr>
          <w:rFonts w:hint="eastAsia" w:ascii="宋体" w:hAnsi="宋体" w:cs="宋体"/>
          <w:color w:val="auto"/>
          <w:highlight w:val="none"/>
        </w:rPr>
        <w:t>报价</w:t>
      </w:r>
      <w:r>
        <w:rPr>
          <w:rFonts w:hint="eastAsia" w:ascii="宋体" w:hAnsi="宋体" w:cs="宋体"/>
          <w:color w:val="auto"/>
          <w:highlight w:val="none"/>
          <w:lang w:val="zh-CN"/>
        </w:rPr>
        <w:t>一览表的总价为准，并修改单价；</w:t>
      </w:r>
    </w:p>
    <w:p>
      <w:pPr>
        <w:pStyle w:val="43"/>
        <w:tabs>
          <w:tab w:val="left" w:pos="0"/>
        </w:tabs>
        <w:spacing w:before="0"/>
        <w:ind w:firstLine="480"/>
        <w:rPr>
          <w:rFonts w:ascii="宋体"/>
          <w:color w:val="auto"/>
          <w:highlight w:val="none"/>
          <w:lang w:val="zh-CN"/>
        </w:rPr>
      </w:pPr>
      <w:r>
        <w:rPr>
          <w:rFonts w:ascii="宋体" w:hAnsi="宋体" w:cs="宋体"/>
          <w:color w:val="auto"/>
          <w:highlight w:val="none"/>
        </w:rPr>
        <w:t>6.4</w:t>
      </w:r>
      <w:r>
        <w:rPr>
          <w:rFonts w:hint="eastAsia" w:ascii="宋体" w:hAnsi="宋体" w:cs="宋体"/>
          <w:color w:val="auto"/>
          <w:highlight w:val="none"/>
          <w:lang w:val="zh-CN"/>
        </w:rPr>
        <w:t>总价金额与按单价汇总金额不一致的，以单价金额计算结果为准。</w:t>
      </w:r>
    </w:p>
    <w:p>
      <w:pPr>
        <w:pStyle w:val="43"/>
        <w:spacing w:before="0"/>
        <w:ind w:firstLine="480"/>
        <w:rPr>
          <w:rFonts w:ascii="宋体"/>
          <w:color w:val="auto"/>
          <w:highlight w:val="none"/>
          <w:lang w:val="zh-CN"/>
        </w:rPr>
      </w:pPr>
      <w:r>
        <w:rPr>
          <w:rFonts w:hint="eastAsia" w:ascii="宋体" w:hAnsi="宋体" w:cs="宋体"/>
          <w:color w:val="auto"/>
          <w:highlight w:val="none"/>
          <w:lang w:val="zh-CN"/>
        </w:rPr>
        <w:t>同时出现两种以上不一致的，按照前款规定的顺序修正。修正后的报价按照财政部公布第</w:t>
      </w:r>
      <w:r>
        <w:rPr>
          <w:rFonts w:ascii="宋体" w:hAnsi="宋体" w:cs="宋体"/>
          <w:color w:val="auto"/>
          <w:highlight w:val="none"/>
          <w:lang w:val="zh-CN"/>
        </w:rPr>
        <w:t>87</w:t>
      </w:r>
      <w:r>
        <w:rPr>
          <w:rFonts w:hint="eastAsia" w:ascii="宋体" w:hAnsi="宋体" w:cs="宋体"/>
          <w:color w:val="auto"/>
          <w:highlight w:val="none"/>
          <w:lang w:val="zh-CN"/>
        </w:rPr>
        <w:t>号令</w:t>
      </w:r>
      <w:r>
        <w:rPr>
          <w:rFonts w:ascii="宋体" w:hAnsi="宋体" w:cs="宋体"/>
          <w:color w:val="auto"/>
          <w:highlight w:val="none"/>
          <w:lang w:val="zh-CN"/>
        </w:rPr>
        <w:t xml:space="preserve"> </w:t>
      </w:r>
      <w:r>
        <w:rPr>
          <w:rFonts w:hint="eastAsia" w:ascii="宋体" w:hAnsi="宋体" w:cs="宋体"/>
          <w:color w:val="auto"/>
          <w:highlight w:val="none"/>
          <w:lang w:val="zh-CN"/>
        </w:rPr>
        <w:t>《政府采购产品和服务招标投标管理办法》第五十一条第二款的规定经</w:t>
      </w:r>
      <w:r>
        <w:rPr>
          <w:rFonts w:hint="eastAsia" w:ascii="宋体" w:hAnsi="宋体" w:cs="宋体"/>
          <w:color w:val="auto"/>
          <w:highlight w:val="none"/>
        </w:rPr>
        <w:t>供应商</w:t>
      </w:r>
      <w:r>
        <w:rPr>
          <w:rFonts w:hint="eastAsia" w:ascii="宋体" w:hAnsi="宋体" w:cs="宋体"/>
          <w:color w:val="auto"/>
          <w:highlight w:val="none"/>
          <w:lang w:val="zh-CN"/>
        </w:rPr>
        <w:t>确认后产生约束力，</w:t>
      </w:r>
      <w:r>
        <w:rPr>
          <w:rFonts w:hint="eastAsia" w:ascii="宋体" w:hAnsi="宋体" w:cs="宋体"/>
          <w:color w:val="auto"/>
          <w:highlight w:val="none"/>
        </w:rPr>
        <w:t>供应商</w:t>
      </w:r>
      <w:r>
        <w:rPr>
          <w:rFonts w:hint="eastAsia" w:ascii="宋体" w:hAnsi="宋体" w:cs="宋体"/>
          <w:color w:val="auto"/>
          <w:highlight w:val="none"/>
          <w:lang w:val="zh-CN"/>
        </w:rPr>
        <w:t>不确认的，其</w:t>
      </w:r>
      <w:r>
        <w:rPr>
          <w:rFonts w:hint="eastAsia" w:ascii="宋体" w:hAnsi="宋体" w:cs="宋体"/>
          <w:color w:val="auto"/>
          <w:highlight w:val="none"/>
        </w:rPr>
        <w:t>磋商</w:t>
      </w:r>
      <w:r>
        <w:rPr>
          <w:rFonts w:hint="eastAsia" w:ascii="宋体" w:hAnsi="宋体" w:cs="宋体"/>
          <w:color w:val="auto"/>
          <w:highlight w:val="none"/>
          <w:lang w:val="zh-CN"/>
        </w:rPr>
        <w:t>无效。</w:t>
      </w:r>
    </w:p>
    <w:p>
      <w:pPr>
        <w:pStyle w:val="11"/>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7</w:t>
      </w:r>
      <w:r>
        <w:rPr>
          <w:rFonts w:hint="eastAsia" w:hAnsi="宋体"/>
          <w:b/>
          <w:bCs/>
          <w:color w:val="auto"/>
          <w:sz w:val="24"/>
          <w:szCs w:val="24"/>
          <w:highlight w:val="none"/>
        </w:rPr>
        <w:t>、响应文件的澄清</w:t>
      </w:r>
    </w:p>
    <w:p>
      <w:pPr>
        <w:pStyle w:val="43"/>
        <w:tabs>
          <w:tab w:val="left" w:pos="0"/>
        </w:tabs>
        <w:spacing w:before="0"/>
        <w:ind w:firstLine="480"/>
        <w:rPr>
          <w:rFonts w:ascii="宋体"/>
          <w:color w:val="auto"/>
          <w:highlight w:val="none"/>
          <w:lang w:val="zh-CN"/>
        </w:rPr>
      </w:pPr>
      <w:r>
        <w:rPr>
          <w:rFonts w:ascii="宋体" w:hAnsi="宋体" w:cs="宋体"/>
          <w:color w:val="auto"/>
          <w:highlight w:val="none"/>
        </w:rPr>
        <w:t>7.1</w:t>
      </w:r>
      <w:r>
        <w:rPr>
          <w:rFonts w:hint="eastAsia" w:ascii="宋体" w:hAnsi="宋体" w:cs="宋体"/>
          <w:color w:val="auto"/>
          <w:highlight w:val="none"/>
          <w:lang w:val="zh-CN"/>
        </w:rPr>
        <w:t>评审中因</w:t>
      </w:r>
      <w:r>
        <w:rPr>
          <w:rFonts w:hint="eastAsia" w:ascii="宋体" w:hAnsi="宋体" w:cs="宋体"/>
          <w:color w:val="auto"/>
          <w:highlight w:val="none"/>
        </w:rPr>
        <w:t>响应</w:t>
      </w:r>
      <w:r>
        <w:rPr>
          <w:rFonts w:hint="eastAsia" w:ascii="宋体" w:hAnsi="宋体" w:cs="宋体"/>
          <w:color w:val="auto"/>
          <w:highlight w:val="none"/>
          <w:lang w:val="zh-CN"/>
        </w:rPr>
        <w:t>文件含义不明、表述不一致或有明显计算错误等内容需要供应商作出澄清、说明或者补正的，</w:t>
      </w:r>
      <w:r>
        <w:rPr>
          <w:rFonts w:hint="eastAsia" w:ascii="宋体" w:hAnsi="宋体" w:cs="宋体"/>
          <w:color w:val="auto"/>
          <w:highlight w:val="none"/>
        </w:rPr>
        <w:t>磋商小组</w:t>
      </w:r>
      <w:r>
        <w:rPr>
          <w:rFonts w:hint="eastAsia" w:ascii="宋体" w:hAnsi="宋体" w:cs="宋体"/>
          <w:color w:val="auto"/>
          <w:highlight w:val="none"/>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zh-CN"/>
        </w:rPr>
        <w:t>供应商通过政采云平台交换的数据电文必须进行电子签章。</w:t>
      </w:r>
    </w:p>
    <w:p>
      <w:pPr>
        <w:pStyle w:val="3"/>
        <w:numPr>
          <w:ilvl w:val="0"/>
          <w:numId w:val="16"/>
        </w:numPr>
        <w:jc w:val="center"/>
        <w:rPr>
          <w:rFonts w:cs="Times New Roman"/>
          <w:color w:val="auto"/>
          <w:highlight w:val="none"/>
        </w:rPr>
      </w:pPr>
      <w:r>
        <w:rPr>
          <w:color w:val="auto"/>
          <w:highlight w:val="none"/>
        </w:rPr>
        <w:t xml:space="preserve"> </w:t>
      </w:r>
      <w:bookmarkStart w:id="73" w:name="_Toc12816"/>
      <w:bookmarkStart w:id="74" w:name="_Toc93"/>
      <w:r>
        <w:rPr>
          <w:rFonts w:hint="eastAsia"/>
          <w:color w:val="auto"/>
          <w:highlight w:val="none"/>
        </w:rPr>
        <w:t>注意事项</w:t>
      </w:r>
      <w:bookmarkEnd w:id="73"/>
      <w:bookmarkEnd w:id="74"/>
    </w:p>
    <w:p>
      <w:pPr>
        <w:pStyle w:val="4"/>
        <w:spacing w:line="360" w:lineRule="auto"/>
        <w:rPr>
          <w:b/>
          <w:bCs/>
          <w:color w:val="auto"/>
          <w:sz w:val="24"/>
          <w:szCs w:val="24"/>
          <w:highlight w:val="none"/>
        </w:rPr>
      </w:pPr>
      <w:r>
        <w:rPr>
          <w:rFonts w:hint="eastAsia" w:cs="宋体"/>
          <w:b/>
          <w:bCs/>
          <w:color w:val="auto"/>
          <w:sz w:val="24"/>
          <w:szCs w:val="24"/>
          <w:highlight w:val="none"/>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3"/>
        <w:numPr>
          <w:ilvl w:val="0"/>
          <w:numId w:val="17"/>
        </w:numPr>
        <w:jc w:val="center"/>
        <w:rPr>
          <w:rFonts w:cs="Times New Roman"/>
          <w:color w:val="auto"/>
          <w:highlight w:val="none"/>
        </w:rPr>
      </w:pPr>
      <w:r>
        <w:rPr>
          <w:color w:val="auto"/>
          <w:highlight w:val="none"/>
        </w:rPr>
        <w:t xml:space="preserve"> </w:t>
      </w:r>
      <w:bookmarkStart w:id="75" w:name="_Toc11276"/>
      <w:bookmarkStart w:id="76" w:name="_Toc13782"/>
      <w:r>
        <w:rPr>
          <w:rFonts w:hint="eastAsia"/>
          <w:color w:val="auto"/>
          <w:highlight w:val="none"/>
        </w:rPr>
        <w:t>评分细则</w:t>
      </w:r>
      <w:bookmarkEnd w:id="75"/>
      <w:bookmarkEnd w:id="76"/>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一、报价文件评分标准（</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rPr>
        <w:t>2</w:t>
      </w:r>
      <w:r>
        <w:rPr>
          <w:rFonts w:ascii="宋体" w:hAnsi="宋体" w:cs="宋体"/>
          <w:b/>
          <w:bCs/>
          <w:color w:val="auto"/>
          <w:sz w:val="24"/>
          <w:szCs w:val="24"/>
          <w:highlight w:val="none"/>
          <w:u w:val="single"/>
        </w:rPr>
        <w:t xml:space="preserve">0 </w:t>
      </w:r>
      <w:r>
        <w:rPr>
          <w:rFonts w:hint="eastAsia" w:ascii="宋体" w:hAnsi="宋体" w:cs="宋体"/>
          <w:b/>
          <w:bCs/>
          <w:color w:val="auto"/>
          <w:sz w:val="24"/>
          <w:szCs w:val="24"/>
          <w:highlight w:val="none"/>
        </w:rPr>
        <w:t>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报价文件主要是对供应商的有效报价进行评议，其评分标准及分值设置规则如下：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、本次采购最高限价规定如下：</w:t>
      </w:r>
    </w:p>
    <w:p>
      <w:pPr>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本项目投标报价的最高限价</w:t>
      </w:r>
      <w:r>
        <w:rPr>
          <w:rFonts w:hint="eastAsia" w:ascii="宋体" w:hAnsi="宋体" w:cs="宋体"/>
          <w:b/>
          <w:bCs/>
          <w:color w:val="auto"/>
          <w:sz w:val="24"/>
          <w:szCs w:val="24"/>
          <w:highlight w:val="none"/>
        </w:rPr>
        <w:t>为人民币</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rPr>
        <w:fldChar w:fldCharType="begin"/>
      </w:r>
      <w:r>
        <w:rPr>
          <w:rFonts w:hint="eastAsia" w:ascii="宋体" w:hAnsi="宋体" w:cs="宋体"/>
          <w:b/>
          <w:bCs/>
          <w:color w:val="auto"/>
          <w:sz w:val="24"/>
          <w:szCs w:val="24"/>
          <w:highlight w:val="none"/>
          <w:u w:val="single"/>
        </w:rPr>
        <w:instrText xml:space="preserve"> = 1000000 \* CHINESENUM4 \* MERGEFORMAT </w:instrText>
      </w:r>
      <w:r>
        <w:rPr>
          <w:rFonts w:hint="eastAsia" w:ascii="宋体" w:hAnsi="宋体" w:cs="宋体"/>
          <w:b/>
          <w:bCs/>
          <w:color w:val="auto"/>
          <w:sz w:val="24"/>
          <w:szCs w:val="24"/>
          <w:highlight w:val="none"/>
          <w:u w:val="single"/>
        </w:rPr>
        <w:fldChar w:fldCharType="separate"/>
      </w:r>
      <w:r>
        <w:rPr>
          <w:rFonts w:hint="eastAsia" w:ascii="宋体" w:hAnsi="宋体" w:cs="宋体"/>
          <w:b/>
          <w:bCs/>
          <w:color w:val="auto"/>
          <w:sz w:val="24"/>
          <w:szCs w:val="24"/>
          <w:highlight w:val="none"/>
          <w:u w:val="single"/>
          <w:lang w:val="en-US" w:eastAsia="zh-CN"/>
        </w:rPr>
        <w:t>肆拾玖万玖仟</w:t>
      </w:r>
      <w:r>
        <w:rPr>
          <w:rFonts w:ascii="宋体" w:hAnsi="宋体" w:cs="宋体"/>
          <w:b/>
          <w:bCs/>
          <w:color w:val="auto"/>
          <w:sz w:val="24"/>
          <w:szCs w:val="24"/>
          <w:highlight w:val="none"/>
          <w:u w:val="single"/>
        </w:rPr>
        <w:t>元整</w:t>
      </w:r>
      <w:r>
        <w:rPr>
          <w:rFonts w:hint="eastAsia" w:ascii="宋体" w:hAnsi="宋体" w:cs="宋体"/>
          <w:b/>
          <w:bCs/>
          <w:color w:val="auto"/>
          <w:sz w:val="24"/>
          <w:szCs w:val="24"/>
          <w:highlight w:val="none"/>
          <w:u w:val="single"/>
        </w:rPr>
        <w:fldChar w:fldCharType="end"/>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（小写</w:t>
      </w:r>
      <w:r>
        <w:rPr>
          <w:rFonts w:hint="eastAsia" w:ascii="宋体" w:hAnsi="宋体" w:cs="宋体"/>
          <w:b/>
          <w:bCs/>
          <w:color w:val="auto"/>
          <w:sz w:val="24"/>
          <w:szCs w:val="24"/>
          <w:highlight w:val="none"/>
          <w:u w:val="single"/>
          <w:lang w:val="en-US" w:eastAsia="zh-CN"/>
        </w:rPr>
        <w:t>499</w:t>
      </w:r>
      <w:r>
        <w:rPr>
          <w:rFonts w:ascii="宋体" w:hAnsi="宋体" w:cs="宋体"/>
          <w:b/>
          <w:bCs/>
          <w:color w:val="auto"/>
          <w:sz w:val="24"/>
          <w:szCs w:val="24"/>
          <w:highlight w:val="none"/>
          <w:u w:val="single"/>
        </w:rPr>
        <w:t xml:space="preserve">000.00 </w:t>
      </w:r>
      <w:r>
        <w:rPr>
          <w:rFonts w:hint="eastAsia" w:ascii="宋体" w:hAnsi="宋体" w:cs="宋体"/>
          <w:b/>
          <w:bCs/>
          <w:color w:val="auto"/>
          <w:sz w:val="24"/>
          <w:szCs w:val="24"/>
          <w:highlight w:val="none"/>
        </w:rPr>
        <w:t>元）。最高限价由采购人根据市场价格的调查设定，并且不高于本项目财政预算。</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、供应商的报价在最高限价内的，为有效报价。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、本次评标设有最佳报价。最佳报价确定方式：根据所有入围供应商有效报价中的最低报价作为最佳报价。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、最佳报价者的报价分为满分，其他供应商的有效报价与最佳报价相比，按下列方法计算其报价分：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投标价格分</w:t>
      </w:r>
      <w:r>
        <w:rPr>
          <w:rFonts w:ascii="宋体" w:hAnsi="宋体" w:cs="宋体"/>
          <w:color w:val="auto"/>
          <w:sz w:val="24"/>
          <w:szCs w:val="24"/>
          <w:highlight w:val="none"/>
        </w:rPr>
        <w:t>=(</w:t>
      </w:r>
      <w:r>
        <w:rPr>
          <w:rFonts w:hint="eastAsia" w:ascii="宋体" w:hAnsi="宋体" w:cs="宋体"/>
          <w:color w:val="auto"/>
          <w:sz w:val="24"/>
          <w:szCs w:val="24"/>
          <w:highlight w:val="none"/>
        </w:rPr>
        <w:t>最佳报价</w:t>
      </w:r>
      <w:r>
        <w:rPr>
          <w:rFonts w:ascii="宋体" w:hAnsi="宋体" w:cs="宋体"/>
          <w:color w:val="auto"/>
          <w:sz w:val="24"/>
          <w:szCs w:val="24"/>
          <w:highlight w:val="none"/>
        </w:rPr>
        <w:t>/</w:t>
      </w:r>
      <w:r>
        <w:rPr>
          <w:rFonts w:hint="eastAsia" w:ascii="宋体" w:hAnsi="宋体" w:cs="宋体"/>
          <w:color w:val="auto"/>
          <w:sz w:val="24"/>
          <w:szCs w:val="24"/>
          <w:highlight w:val="none"/>
        </w:rPr>
        <w:t>投标报价</w:t>
      </w:r>
      <w:r>
        <w:rPr>
          <w:rFonts w:ascii="宋体" w:hAnsi="宋体" w:cs="宋体"/>
          <w:color w:val="auto"/>
          <w:sz w:val="24"/>
          <w:szCs w:val="24"/>
          <w:highlight w:val="none"/>
        </w:rPr>
        <w:t>)*</w:t>
      </w:r>
      <w:r>
        <w:rPr>
          <w:rFonts w:hint="eastAsia" w:ascii="宋体" w:hAnsi="宋体" w:cs="宋体"/>
          <w:color w:val="auto"/>
          <w:sz w:val="24"/>
          <w:szCs w:val="24"/>
          <w:highlight w:val="none"/>
        </w:rPr>
        <w:t>价格权值</w:t>
      </w:r>
      <w:r>
        <w:rPr>
          <w:rFonts w:ascii="宋体" w:hAnsi="宋体" w:cs="宋体"/>
          <w:color w:val="auto"/>
          <w:sz w:val="24"/>
          <w:szCs w:val="24"/>
          <w:highlight w:val="none"/>
        </w:rPr>
        <w:t>*100</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、响应文件只允许有一个报价，磋商报价应按磋商文件中相关附表格式填报，该磋商报价应与明细报价汇总相等，且不允许出现报价优惠、赠送等字样（明细出现“</w:t>
      </w:r>
      <w:r>
        <w:rPr>
          <w:rFonts w:ascii="宋体" w:cs="宋体"/>
          <w:color w:val="auto"/>
          <w:sz w:val="24"/>
          <w:szCs w:val="24"/>
          <w:highlight w:val="none"/>
        </w:rPr>
        <w:t>0</w:t>
      </w:r>
      <w:r>
        <w:rPr>
          <w:rFonts w:hint="eastAsia" w:ascii="宋体" w:hAnsi="宋体" w:cs="宋体"/>
          <w:color w:val="auto"/>
          <w:sz w:val="24"/>
          <w:szCs w:val="24"/>
          <w:highlight w:val="none"/>
        </w:rPr>
        <w:t>”元，视同赠送）</w:t>
      </w:r>
      <w:r>
        <w:rPr>
          <w:rFonts w:ascii="宋体" w:cs="宋体"/>
          <w:color w:val="auto"/>
          <w:sz w:val="24"/>
          <w:szCs w:val="24"/>
          <w:highlight w:val="none"/>
        </w:rPr>
        <w:t>,</w:t>
      </w:r>
      <w:r>
        <w:rPr>
          <w:rFonts w:hint="eastAsia" w:ascii="宋体" w:hAnsi="宋体" w:cs="宋体"/>
          <w:color w:val="auto"/>
          <w:sz w:val="24"/>
          <w:szCs w:val="24"/>
          <w:highlight w:val="none"/>
        </w:rPr>
        <w:t>如出现则做</w:t>
      </w:r>
      <w:r>
        <w:rPr>
          <w:rFonts w:hint="eastAsia" w:ascii="宋体" w:hAnsi="宋体" w:cs="宋体"/>
          <w:b/>
          <w:bCs/>
          <w:color w:val="auto"/>
          <w:sz w:val="24"/>
          <w:szCs w:val="24"/>
          <w:highlight w:val="none"/>
        </w:rPr>
        <w:t>无效响应</w:t>
      </w:r>
      <w:r>
        <w:rPr>
          <w:rFonts w:hint="eastAsia" w:ascii="宋体" w:hAnsi="宋体" w:cs="宋体"/>
          <w:color w:val="auto"/>
          <w:sz w:val="24"/>
          <w:szCs w:val="24"/>
          <w:highlight w:val="none"/>
        </w:rPr>
        <w:t>处理。</w:t>
      </w:r>
    </w:p>
    <w:p>
      <w:pPr>
        <w:autoSpaceDE w:val="0"/>
        <w:autoSpaceDN w:val="0"/>
        <w:spacing w:line="360" w:lineRule="auto"/>
        <w:ind w:firstLine="482"/>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投标价格的合理性</w:t>
      </w:r>
      <w:r>
        <w:rPr>
          <w:rFonts w:hint="eastAsia" w:ascii="宋体" w:hAnsi="宋体" w:cs="宋体"/>
          <w:color w:val="auto"/>
          <w:sz w:val="24"/>
          <w:szCs w:val="24"/>
          <w:highlight w:val="none"/>
        </w:rPr>
        <w:t>：</w:t>
      </w:r>
      <w:r>
        <w:rPr>
          <w:rFonts w:hint="eastAsia" w:ascii="Arial" w:hAnsi="Arial" w:cs="宋体"/>
          <w:color w:val="auto"/>
          <w:sz w:val="24"/>
          <w:szCs w:val="24"/>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、价格扣除：根据工信部等部委发布的《关于印发中小企业划型标准规定的通知》（工信部联企业〔</w:t>
      </w:r>
      <w:r>
        <w:rPr>
          <w:rFonts w:ascii="宋体" w:hAnsi="宋体" w:cs="宋体"/>
          <w:color w:val="auto"/>
          <w:sz w:val="24"/>
          <w:szCs w:val="24"/>
          <w:highlight w:val="none"/>
        </w:rPr>
        <w:t>2011</w:t>
      </w:r>
      <w:r>
        <w:rPr>
          <w:rFonts w:hint="eastAsia" w:ascii="宋体" w:hAnsi="宋体" w:cs="宋体"/>
          <w:color w:val="auto"/>
          <w:sz w:val="24"/>
          <w:szCs w:val="24"/>
          <w:highlight w:val="none"/>
        </w:rPr>
        <w:t>〕</w:t>
      </w:r>
      <w:r>
        <w:rPr>
          <w:rFonts w:ascii="宋体" w:hAnsi="宋体" w:cs="宋体"/>
          <w:color w:val="auto"/>
          <w:sz w:val="24"/>
          <w:szCs w:val="24"/>
          <w:highlight w:val="none"/>
        </w:rPr>
        <w:t>300</w:t>
      </w:r>
      <w:r>
        <w:rPr>
          <w:rFonts w:hint="eastAsia" w:ascii="宋体" w:hAnsi="宋体" w:cs="宋体"/>
          <w:color w:val="auto"/>
          <w:sz w:val="24"/>
          <w:szCs w:val="24"/>
          <w:highlight w:val="none"/>
        </w:rPr>
        <w:t>号），根据具体品目确定相应标准。符合上述条件的中小微型企业应按照磋商文件的格式要求提供《中小企业声明函》及其相关的充分的证明材料。符合《关于促进残疾人就业政府采购政策的通知》（财库〔</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141</w:t>
      </w:r>
      <w:r>
        <w:rPr>
          <w:rFonts w:hint="eastAsia" w:ascii="宋体" w:hAnsi="宋体" w:cs="宋体"/>
          <w:color w:val="auto"/>
          <w:sz w:val="24"/>
          <w:szCs w:val="24"/>
          <w:highlight w:val="none"/>
        </w:rPr>
        <w:t>号）规定的条件并提供《残疾人福利性单位声明函》的残疾人福利性单位视同小型、微型企业；根据《关于政府采购支持监狱企业发展有关问题的通知》（财库</w:t>
      </w:r>
      <w:r>
        <w:rPr>
          <w:rFonts w:ascii="宋体" w:hAnsi="宋体" w:cs="宋体"/>
          <w:color w:val="auto"/>
          <w:sz w:val="24"/>
          <w:szCs w:val="24"/>
          <w:highlight w:val="none"/>
        </w:rPr>
        <w:t>[2014]68</w:t>
      </w:r>
      <w:r>
        <w:rPr>
          <w:rFonts w:hint="eastAsia" w:ascii="宋体" w:hAnsi="宋体" w:cs="宋体"/>
          <w:color w:val="auto"/>
          <w:sz w:val="24"/>
          <w:szCs w:val="24"/>
          <w:highlight w:val="none"/>
        </w:rPr>
        <w:t>号）的规定，供应商提供由省级以上监狱管理局、戒毒管理局（含新疆生产建设兵团）出具的属于监狱企业证明文件的，视同为小型和微型企业。</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根据财政部发布的《政府采购促进中小企业发展暂行办法》规定，对于非专门面向此类企业的项目，对小型和微型企业产品的投标价格给予</w:t>
      </w:r>
      <w:r>
        <w:rPr>
          <w:rFonts w:ascii="宋体" w:hAnsi="宋体" w:cs="宋体"/>
          <w:color w:val="auto"/>
          <w:sz w:val="24"/>
          <w:szCs w:val="24"/>
          <w:highlight w:val="none"/>
        </w:rPr>
        <w:t>6%</w:t>
      </w:r>
      <w:r>
        <w:rPr>
          <w:rFonts w:hint="eastAsia" w:ascii="宋体" w:hAnsi="宋体" w:cs="宋体"/>
          <w:color w:val="auto"/>
          <w:sz w:val="24"/>
          <w:szCs w:val="24"/>
          <w:highlight w:val="none"/>
        </w:rPr>
        <w:t>除（即投标报价</w:t>
      </w:r>
      <w:r>
        <w:rPr>
          <w:rFonts w:ascii="宋体" w:hAnsi="宋体" w:cs="宋体"/>
          <w:color w:val="auto"/>
          <w:sz w:val="24"/>
          <w:szCs w:val="24"/>
          <w:highlight w:val="none"/>
        </w:rPr>
        <w:t>*94%</w:t>
      </w:r>
      <w:r>
        <w:rPr>
          <w:rFonts w:hint="eastAsia" w:ascii="宋体" w:hAnsi="宋体" w:cs="宋体"/>
          <w:color w:val="auto"/>
          <w:sz w:val="24"/>
          <w:szCs w:val="24"/>
          <w:highlight w:val="none"/>
        </w:rPr>
        <w:t>），用扣除后的价格参与评审（中标价及合同价仍以其投标报价为准）。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小型、微型企业与大中型企业和其他自然人、法人或者其他组织组成联合体共同参加非专门面向中小企业的政府采购活动。联合协议中约定，小型、微型企业的协议合同金额占到联合体协议合同总金额</w:t>
      </w:r>
      <w:r>
        <w:rPr>
          <w:rFonts w:ascii="宋体" w:hAnsi="宋体" w:cs="宋体"/>
          <w:color w:val="auto"/>
          <w:sz w:val="24"/>
          <w:szCs w:val="24"/>
          <w:highlight w:val="none"/>
        </w:rPr>
        <w:t>30%</w:t>
      </w:r>
      <w:r>
        <w:rPr>
          <w:rFonts w:hint="eastAsia" w:ascii="宋体" w:hAnsi="宋体" w:cs="宋体"/>
          <w:color w:val="auto"/>
          <w:sz w:val="24"/>
          <w:szCs w:val="24"/>
          <w:highlight w:val="none"/>
        </w:rPr>
        <w:t>以上的，可给予联合体</w:t>
      </w:r>
      <w:r>
        <w:rPr>
          <w:rFonts w:ascii="宋体" w:hAnsi="宋体" w:cs="宋体"/>
          <w:color w:val="auto"/>
          <w:sz w:val="24"/>
          <w:szCs w:val="24"/>
          <w:highlight w:val="none"/>
        </w:rPr>
        <w:t>2%</w:t>
      </w:r>
      <w:r>
        <w:rPr>
          <w:rFonts w:hint="eastAsia" w:ascii="宋体" w:hAnsi="宋体" w:cs="宋体"/>
          <w:color w:val="auto"/>
          <w:sz w:val="24"/>
          <w:szCs w:val="24"/>
          <w:highlight w:val="none"/>
        </w:rPr>
        <w:t>的投标价格扣除。（即投标报价</w:t>
      </w:r>
      <w:r>
        <w:rPr>
          <w:rFonts w:ascii="宋体" w:hAnsi="宋体" w:cs="宋体"/>
          <w:color w:val="auto"/>
          <w:sz w:val="24"/>
          <w:szCs w:val="24"/>
          <w:highlight w:val="none"/>
        </w:rPr>
        <w:t>*98%</w:t>
      </w:r>
      <w:r>
        <w:rPr>
          <w:rFonts w:hint="eastAsia" w:ascii="宋体" w:hAnsi="宋体" w:cs="宋体"/>
          <w:color w:val="auto"/>
          <w:sz w:val="24"/>
          <w:szCs w:val="24"/>
          <w:highlight w:val="none"/>
        </w:rPr>
        <w:t>），用扣除后的价格参与评审（中标价及合同价仍以其投标报价为准）。</w:t>
      </w:r>
    </w:p>
    <w:p>
      <w:pPr>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联合体各方均为小型、微型企业的，联合体视同为小型、微型企业。</w:t>
      </w:r>
    </w:p>
    <w:p>
      <w:pPr>
        <w:spacing w:line="360" w:lineRule="auto"/>
        <w:ind w:firstLine="482" w:firstLineChars="200"/>
        <w:rPr>
          <w:rFonts w:hint="eastAsia" w:ascii="宋体" w:hAnsi="宋体" w:cs="宋体"/>
          <w:b/>
          <w:bCs/>
          <w:color w:val="auto"/>
          <w:sz w:val="24"/>
          <w:szCs w:val="24"/>
          <w:highlight w:val="none"/>
        </w:rPr>
      </w:pP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二、商务技术文件评标内容及标准（</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rPr>
        <w:t>8</w:t>
      </w:r>
      <w:r>
        <w:rPr>
          <w:rFonts w:ascii="宋体" w:hAnsi="宋体" w:cs="宋体"/>
          <w:b/>
          <w:bCs/>
          <w:color w:val="auto"/>
          <w:sz w:val="24"/>
          <w:szCs w:val="24"/>
          <w:highlight w:val="none"/>
          <w:u w:val="single"/>
        </w:rPr>
        <w:t xml:space="preserve">0 </w:t>
      </w:r>
      <w:r>
        <w:rPr>
          <w:rFonts w:hint="eastAsia" w:ascii="宋体" w:hAnsi="宋体" w:cs="宋体"/>
          <w:b/>
          <w:bCs/>
          <w:color w:val="auto"/>
          <w:sz w:val="24"/>
          <w:szCs w:val="24"/>
          <w:highlight w:val="none"/>
        </w:rPr>
        <w:t>分）</w:t>
      </w:r>
    </w:p>
    <w:p>
      <w:pPr>
        <w:spacing w:line="360" w:lineRule="auto"/>
        <w:ind w:firstLine="482" w:firstLineChars="200"/>
        <w:rPr>
          <w:rFonts w:hint="eastAsia" w:ascii="宋体" w:hAnsi="宋体" w:cs="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、评分细则</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314"/>
        <w:gridCol w:w="481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before="156" w:beforeLines="50" w:line="360" w:lineRule="auto"/>
              <w:jc w:val="center"/>
              <w:rPr>
                <w:rFonts w:ascii="宋体" w:hAnsi="宋体"/>
                <w:color w:val="auto"/>
                <w:sz w:val="24"/>
                <w:highlight w:val="none"/>
              </w:rPr>
            </w:pPr>
            <w:r>
              <w:rPr>
                <w:rFonts w:hint="eastAsia" w:ascii="宋体" w:hAnsi="宋体"/>
                <w:color w:val="auto"/>
                <w:sz w:val="24"/>
                <w:highlight w:val="none"/>
              </w:rPr>
              <w:t>评分项目</w:t>
            </w:r>
          </w:p>
        </w:tc>
        <w:tc>
          <w:tcPr>
            <w:tcW w:w="6129" w:type="dxa"/>
            <w:gridSpan w:val="2"/>
            <w:tcBorders>
              <w:top w:val="single" w:color="auto" w:sz="4" w:space="0"/>
              <w:left w:val="nil"/>
              <w:bottom w:val="single" w:color="auto" w:sz="4" w:space="0"/>
              <w:right w:val="single" w:color="auto" w:sz="4" w:space="0"/>
            </w:tcBorders>
            <w:noWrap w:val="0"/>
            <w:vAlign w:val="center"/>
          </w:tcPr>
          <w:p>
            <w:pPr>
              <w:autoSpaceDE w:val="0"/>
              <w:adjustRightInd w:val="0"/>
              <w:spacing w:before="156" w:beforeLines="50" w:line="360" w:lineRule="auto"/>
              <w:jc w:val="center"/>
              <w:rPr>
                <w:rFonts w:ascii="宋体" w:hAnsi="宋体"/>
                <w:color w:val="auto"/>
                <w:sz w:val="24"/>
                <w:highlight w:val="none"/>
              </w:rPr>
            </w:pPr>
            <w:r>
              <w:rPr>
                <w:rFonts w:hint="eastAsia" w:ascii="宋体" w:hAnsi="宋体"/>
                <w:color w:val="auto"/>
                <w:sz w:val="24"/>
                <w:highlight w:val="none"/>
              </w:rPr>
              <w:t>评标要点及说明</w:t>
            </w:r>
          </w:p>
        </w:tc>
        <w:tc>
          <w:tcPr>
            <w:tcW w:w="780"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before="156" w:beforeLines="50" w:line="360" w:lineRule="auto"/>
              <w:jc w:val="center"/>
              <w:rPr>
                <w:rFonts w:ascii="宋体" w:hAnsi="宋体"/>
                <w:color w:val="auto"/>
                <w:sz w:val="24"/>
                <w:highlight w:val="none"/>
              </w:rPr>
            </w:pPr>
            <w:r>
              <w:rPr>
                <w:rFonts w:hint="eastAsia" w:ascii="宋体" w:hAnsi="宋体"/>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6"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ascii="宋体" w:hAnsi="宋体"/>
                <w:color w:val="auto"/>
                <w:sz w:val="24"/>
                <w:highlight w:val="none"/>
              </w:rPr>
            </w:pPr>
            <w:r>
              <w:rPr>
                <w:rFonts w:hint="eastAsia" w:ascii="宋体" w:hAnsi="宋体"/>
                <w:color w:val="auto"/>
                <w:sz w:val="24"/>
                <w:highlight w:val="none"/>
              </w:rPr>
              <w:t>技术</w:t>
            </w:r>
          </w:p>
          <w:p>
            <w:pPr>
              <w:spacing w:line="360" w:lineRule="auto"/>
              <w:jc w:val="center"/>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0）</w:t>
            </w:r>
          </w:p>
        </w:tc>
        <w:tc>
          <w:tcPr>
            <w:tcW w:w="1314"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olor w:val="auto"/>
                <w:kern w:val="0"/>
                <w:sz w:val="24"/>
                <w:highlight w:val="none"/>
                <w:lang w:eastAsia="zh-CN"/>
              </w:rPr>
            </w:pPr>
            <w:r>
              <w:rPr>
                <w:rFonts w:hint="eastAsia" w:ascii="宋体" w:hAnsi="宋体" w:cs="宋体"/>
                <w:color w:val="auto"/>
                <w:sz w:val="24"/>
                <w:highlight w:val="none"/>
                <w:lang w:val="en-US" w:eastAsia="zh-CN"/>
              </w:rPr>
              <w:t>项目认识</w:t>
            </w:r>
          </w:p>
        </w:tc>
        <w:tc>
          <w:tcPr>
            <w:tcW w:w="48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olor w:val="auto"/>
                <w:kern w:val="0"/>
                <w:sz w:val="24"/>
                <w:highlight w:val="none"/>
              </w:rPr>
            </w:pPr>
            <w:r>
              <w:rPr>
                <w:rFonts w:hint="eastAsia" w:ascii="宋体" w:hAnsi="宋体" w:cs="宋体"/>
                <w:color w:val="auto"/>
                <w:sz w:val="24"/>
                <w:highlight w:val="none"/>
              </w:rPr>
              <w:t>评委根据</w:t>
            </w:r>
            <w:r>
              <w:rPr>
                <w:rFonts w:hint="eastAsia" w:ascii="宋体" w:hAnsi="宋体" w:cs="宋体"/>
                <w:color w:val="auto"/>
                <w:sz w:val="24"/>
                <w:highlight w:val="none"/>
                <w:lang w:val="en-US" w:eastAsia="zh-CN"/>
              </w:rPr>
              <w:t>供应商</w:t>
            </w:r>
            <w:r>
              <w:rPr>
                <w:rFonts w:hint="eastAsia" w:ascii="宋体" w:hAnsi="宋体" w:eastAsia="宋体" w:cs="宋体"/>
                <w:bCs/>
                <w:color w:val="auto"/>
                <w:sz w:val="24"/>
                <w:highlight w:val="none"/>
                <w:lang w:bidi="ar"/>
              </w:rPr>
              <w:t>对项目背景、目标、任务解读的准确性、符合性</w:t>
            </w:r>
            <w:r>
              <w:rPr>
                <w:rFonts w:hint="eastAsia" w:ascii="宋体" w:hAnsi="宋体" w:cs="宋体"/>
                <w:color w:val="auto"/>
                <w:sz w:val="24"/>
                <w:highlight w:val="none"/>
              </w:rPr>
              <w:t>进行打分。</w:t>
            </w:r>
          </w:p>
        </w:tc>
        <w:tc>
          <w:tcPr>
            <w:tcW w:w="780" w:type="dxa"/>
            <w:tcBorders>
              <w:top w:val="single" w:color="auto" w:sz="4" w:space="0"/>
              <w:left w:val="single" w:color="auto" w:sz="4" w:space="0"/>
              <w:right w:val="single" w:color="auto" w:sz="4" w:space="0"/>
            </w:tcBorders>
            <w:noWrap w:val="0"/>
            <w:vAlign w:val="center"/>
          </w:tcPr>
          <w:p>
            <w:pPr>
              <w:jc w:val="center"/>
              <w:rPr>
                <w:rFonts w:hint="eastAsia" w:ascii="宋体" w:hAnsi="宋体"/>
                <w:color w:val="auto"/>
                <w:kern w:val="0"/>
                <w:sz w:val="24"/>
                <w:highlight w:val="none"/>
              </w:rPr>
            </w:pPr>
            <w:r>
              <w:rPr>
                <w:rFonts w:hint="eastAsia" w:ascii="宋体" w:hAnsi="宋体"/>
                <w:color w:val="auto"/>
                <w:kern w:val="0"/>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26" w:type="dxa"/>
            <w:vMerge w:val="continue"/>
            <w:tcBorders>
              <w:left w:val="single" w:color="auto" w:sz="4" w:space="0"/>
              <w:right w:val="single" w:color="auto" w:sz="4" w:space="0"/>
            </w:tcBorders>
            <w:noWrap w:val="0"/>
            <w:vAlign w:val="center"/>
          </w:tcPr>
          <w:p>
            <w:pPr>
              <w:autoSpaceDE w:val="0"/>
              <w:autoSpaceDN w:val="0"/>
              <w:adjustRightInd w:val="0"/>
              <w:jc w:val="left"/>
              <w:textAlignment w:val="baseline"/>
              <w:rPr>
                <w:color w:val="auto"/>
                <w:highlight w:val="none"/>
              </w:rPr>
            </w:pPr>
          </w:p>
        </w:tc>
        <w:tc>
          <w:tcPr>
            <w:tcW w:w="1314" w:type="dxa"/>
            <w:vMerge w:val="restart"/>
            <w:tcBorders>
              <w:left w:val="single" w:color="auto" w:sz="4" w:space="0"/>
              <w:right w:val="single" w:color="auto" w:sz="4" w:space="0"/>
            </w:tcBorders>
            <w:noWrap w:val="0"/>
            <w:vAlign w:val="center"/>
          </w:tcPr>
          <w:p>
            <w:pPr>
              <w:jc w:val="center"/>
              <w:rPr>
                <w:color w:val="auto"/>
                <w:highlight w:val="none"/>
              </w:rPr>
            </w:pPr>
            <w:r>
              <w:rPr>
                <w:rFonts w:hint="eastAsia" w:ascii="宋体" w:hAnsi="宋体"/>
                <w:color w:val="auto"/>
                <w:kern w:val="0"/>
                <w:sz w:val="24"/>
                <w:highlight w:val="none"/>
                <w:lang w:val="en-US" w:eastAsia="zh-CN"/>
              </w:rPr>
              <w:t>项目</w:t>
            </w:r>
            <w:r>
              <w:rPr>
                <w:rFonts w:hint="eastAsia" w:ascii="宋体" w:hAnsi="宋体"/>
                <w:color w:val="auto"/>
                <w:kern w:val="0"/>
                <w:sz w:val="24"/>
                <w:highlight w:val="none"/>
              </w:rPr>
              <w:t>方案</w:t>
            </w:r>
          </w:p>
        </w:tc>
        <w:tc>
          <w:tcPr>
            <w:tcW w:w="481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kern w:val="0"/>
                <w:sz w:val="24"/>
                <w:highlight w:val="none"/>
              </w:rPr>
            </w:pPr>
            <w:r>
              <w:rPr>
                <w:rFonts w:hint="eastAsia" w:ascii="宋体" w:hAnsi="宋体"/>
                <w:color w:val="auto"/>
                <w:kern w:val="0"/>
                <w:sz w:val="24"/>
                <w:highlight w:val="none"/>
              </w:rPr>
              <w:t>评委根据</w:t>
            </w:r>
            <w:r>
              <w:rPr>
                <w:rFonts w:hint="eastAsia" w:ascii="宋体" w:hAnsi="宋体"/>
                <w:color w:val="auto"/>
                <w:kern w:val="0"/>
                <w:sz w:val="24"/>
                <w:highlight w:val="none"/>
                <w:lang w:val="en-US" w:eastAsia="zh-CN"/>
              </w:rPr>
              <w:t>供应商提供的</w:t>
            </w:r>
            <w:r>
              <w:rPr>
                <w:rFonts w:hint="eastAsia" w:ascii="宋体" w:hAnsi="宋体" w:eastAsia="宋体" w:cs="宋体"/>
                <w:bCs/>
                <w:color w:val="auto"/>
                <w:sz w:val="24"/>
                <w:highlight w:val="none"/>
                <w:lang w:bidi="ar"/>
              </w:rPr>
              <w:t>总体项目服务方案的完整性、合理性及针对性</w:t>
            </w:r>
            <w:r>
              <w:rPr>
                <w:rFonts w:hint="eastAsia" w:ascii="宋体" w:hAnsi="宋体"/>
                <w:color w:val="auto"/>
                <w:kern w:val="0"/>
                <w:sz w:val="24"/>
                <w:highlight w:val="none"/>
                <w:lang w:val="en-US" w:eastAsia="zh-CN"/>
              </w:rPr>
              <w:t>进行打分</w:t>
            </w:r>
            <w:r>
              <w:rPr>
                <w:rFonts w:hint="eastAsia" w:ascii="宋体" w:hAnsi="宋体"/>
                <w:color w:val="auto"/>
                <w:kern w:val="0"/>
                <w:sz w:val="24"/>
                <w:highlight w:val="none"/>
              </w:rPr>
              <w:t>。</w:t>
            </w:r>
          </w:p>
        </w:tc>
        <w:tc>
          <w:tcPr>
            <w:tcW w:w="780"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26" w:type="dxa"/>
            <w:vMerge w:val="continue"/>
            <w:tcBorders>
              <w:left w:val="single" w:color="auto" w:sz="4" w:space="0"/>
              <w:right w:val="single" w:color="auto" w:sz="4" w:space="0"/>
            </w:tcBorders>
            <w:noWrap w:val="0"/>
            <w:vAlign w:val="center"/>
          </w:tcPr>
          <w:p>
            <w:pPr>
              <w:autoSpaceDE w:val="0"/>
              <w:autoSpaceDN w:val="0"/>
              <w:adjustRightInd w:val="0"/>
              <w:jc w:val="left"/>
              <w:textAlignment w:val="baseline"/>
              <w:rPr>
                <w:color w:val="auto"/>
                <w:highlight w:val="none"/>
              </w:rPr>
            </w:pPr>
          </w:p>
        </w:tc>
        <w:tc>
          <w:tcPr>
            <w:tcW w:w="1314" w:type="dxa"/>
            <w:vMerge w:val="continue"/>
            <w:tcBorders>
              <w:left w:val="single" w:color="auto" w:sz="4" w:space="0"/>
              <w:right w:val="single" w:color="auto" w:sz="4" w:space="0"/>
            </w:tcBorders>
            <w:noWrap w:val="0"/>
            <w:vAlign w:val="center"/>
          </w:tcPr>
          <w:p>
            <w:pPr>
              <w:jc w:val="center"/>
              <w:rPr>
                <w:color w:val="auto"/>
                <w:highlight w:val="none"/>
              </w:rPr>
            </w:pPr>
          </w:p>
        </w:tc>
        <w:tc>
          <w:tcPr>
            <w:tcW w:w="481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kern w:val="0"/>
                <w:sz w:val="24"/>
                <w:highlight w:val="none"/>
              </w:rPr>
            </w:pPr>
            <w:r>
              <w:rPr>
                <w:rFonts w:hint="eastAsia" w:ascii="宋体" w:hAnsi="宋体"/>
                <w:color w:val="auto"/>
                <w:kern w:val="0"/>
                <w:sz w:val="24"/>
                <w:highlight w:val="none"/>
              </w:rPr>
              <w:t>评委根据</w:t>
            </w:r>
            <w:r>
              <w:rPr>
                <w:rFonts w:hint="eastAsia" w:ascii="宋体" w:hAnsi="宋体"/>
                <w:color w:val="auto"/>
                <w:kern w:val="0"/>
                <w:sz w:val="24"/>
                <w:highlight w:val="none"/>
                <w:lang w:val="en-US" w:eastAsia="zh-CN"/>
              </w:rPr>
              <w:t>供应商提供的</w:t>
            </w:r>
            <w:r>
              <w:rPr>
                <w:rFonts w:hint="eastAsia" w:ascii="宋体" w:hAnsi="宋体" w:eastAsia="宋体" w:cs="宋体"/>
                <w:bCs/>
                <w:color w:val="auto"/>
                <w:sz w:val="24"/>
                <w:highlight w:val="none"/>
                <w:lang w:bidi="ar"/>
              </w:rPr>
              <w:t>项目实施方案对项目启动、实施、检查和验收等各阶段计划安排</w:t>
            </w:r>
            <w:r>
              <w:rPr>
                <w:rFonts w:hint="eastAsia" w:ascii="宋体" w:hAnsi="宋体" w:eastAsia="宋体" w:cs="宋体"/>
                <w:bCs/>
                <w:color w:val="auto"/>
                <w:sz w:val="24"/>
                <w:highlight w:val="none"/>
                <w:lang w:val="en-US" w:eastAsia="zh-CN" w:bidi="ar"/>
              </w:rPr>
              <w:t>的</w:t>
            </w:r>
            <w:r>
              <w:rPr>
                <w:rFonts w:hint="eastAsia" w:ascii="宋体" w:hAnsi="宋体" w:eastAsia="宋体" w:cs="宋体"/>
                <w:bCs/>
                <w:color w:val="auto"/>
                <w:sz w:val="24"/>
                <w:highlight w:val="none"/>
                <w:lang w:bidi="ar"/>
              </w:rPr>
              <w:t>科学合理</w:t>
            </w:r>
            <w:r>
              <w:rPr>
                <w:rFonts w:hint="eastAsia" w:ascii="宋体" w:hAnsi="宋体" w:eastAsia="宋体" w:cs="宋体"/>
                <w:bCs/>
                <w:color w:val="auto"/>
                <w:sz w:val="24"/>
                <w:highlight w:val="none"/>
                <w:lang w:val="en-US" w:eastAsia="zh-CN" w:bidi="ar"/>
              </w:rPr>
              <w:t>性</w:t>
            </w:r>
            <w:r>
              <w:rPr>
                <w:rFonts w:hint="eastAsia" w:ascii="宋体" w:hAnsi="宋体"/>
                <w:color w:val="auto"/>
                <w:kern w:val="0"/>
                <w:sz w:val="24"/>
                <w:highlight w:val="none"/>
                <w:lang w:val="en-US" w:eastAsia="zh-CN"/>
              </w:rPr>
              <w:t>进行打分</w:t>
            </w:r>
            <w:r>
              <w:rPr>
                <w:rFonts w:hint="eastAsia" w:ascii="宋体" w:hAnsi="宋体"/>
                <w:color w:val="auto"/>
                <w:kern w:val="0"/>
                <w:sz w:val="24"/>
                <w:highlight w:val="none"/>
              </w:rPr>
              <w:t>。</w:t>
            </w:r>
          </w:p>
        </w:tc>
        <w:tc>
          <w:tcPr>
            <w:tcW w:w="780"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26" w:type="dxa"/>
            <w:vMerge w:val="continue"/>
            <w:tcBorders>
              <w:left w:val="single" w:color="auto" w:sz="4" w:space="0"/>
              <w:right w:val="single" w:color="auto" w:sz="4" w:space="0"/>
            </w:tcBorders>
            <w:noWrap w:val="0"/>
            <w:vAlign w:val="center"/>
          </w:tcPr>
          <w:p>
            <w:pPr>
              <w:autoSpaceDE w:val="0"/>
              <w:autoSpaceDN w:val="0"/>
              <w:adjustRightInd w:val="0"/>
              <w:jc w:val="left"/>
              <w:textAlignment w:val="baseline"/>
              <w:rPr>
                <w:color w:val="auto"/>
                <w:highlight w:val="none"/>
              </w:rPr>
            </w:pPr>
          </w:p>
        </w:tc>
        <w:tc>
          <w:tcPr>
            <w:tcW w:w="1314" w:type="dxa"/>
            <w:vMerge w:val="continue"/>
            <w:tcBorders>
              <w:left w:val="single" w:color="auto" w:sz="4" w:space="0"/>
              <w:right w:val="single" w:color="auto" w:sz="4" w:space="0"/>
            </w:tcBorders>
            <w:noWrap w:val="0"/>
            <w:vAlign w:val="center"/>
          </w:tcPr>
          <w:p>
            <w:pPr>
              <w:autoSpaceDE w:val="0"/>
              <w:autoSpaceDN w:val="0"/>
              <w:adjustRightInd w:val="0"/>
              <w:jc w:val="left"/>
              <w:textAlignment w:val="baseline"/>
              <w:rPr>
                <w:color w:val="auto"/>
                <w:highlight w:val="none"/>
              </w:rPr>
            </w:pPr>
          </w:p>
        </w:tc>
        <w:tc>
          <w:tcPr>
            <w:tcW w:w="481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kern w:val="0"/>
                <w:sz w:val="24"/>
                <w:highlight w:val="none"/>
              </w:rPr>
            </w:pPr>
            <w:r>
              <w:rPr>
                <w:rFonts w:hint="eastAsia" w:ascii="宋体" w:hAnsi="宋体"/>
                <w:color w:val="auto"/>
                <w:kern w:val="0"/>
                <w:sz w:val="24"/>
                <w:highlight w:val="none"/>
                <w:lang w:val="en-US" w:eastAsia="zh-CN"/>
              </w:rPr>
              <w:t>评委</w:t>
            </w:r>
            <w:r>
              <w:rPr>
                <w:rFonts w:hint="eastAsia" w:ascii="宋体" w:hAnsi="宋体"/>
                <w:color w:val="auto"/>
                <w:kern w:val="0"/>
                <w:sz w:val="24"/>
                <w:highlight w:val="none"/>
              </w:rPr>
              <w:t>根据</w:t>
            </w:r>
            <w:r>
              <w:rPr>
                <w:rFonts w:hint="eastAsia" w:ascii="宋体" w:hAnsi="宋体"/>
                <w:color w:val="auto"/>
                <w:kern w:val="0"/>
                <w:sz w:val="24"/>
                <w:highlight w:val="none"/>
                <w:lang w:val="en-US" w:eastAsia="zh-CN"/>
              </w:rPr>
              <w:t>供应商提供的</w:t>
            </w:r>
            <w:r>
              <w:rPr>
                <w:rFonts w:hint="eastAsia" w:ascii="宋体" w:hAnsi="宋体" w:eastAsia="宋体" w:cs="宋体"/>
                <w:bCs/>
                <w:color w:val="auto"/>
                <w:sz w:val="24"/>
                <w:highlight w:val="none"/>
                <w:lang w:bidi="ar"/>
              </w:rPr>
              <w:t>工作方法和步骤</w:t>
            </w:r>
            <w:r>
              <w:rPr>
                <w:rFonts w:hint="eastAsia" w:ascii="宋体" w:hAnsi="宋体" w:eastAsia="宋体" w:cs="宋体"/>
                <w:bCs/>
                <w:color w:val="auto"/>
                <w:sz w:val="24"/>
                <w:highlight w:val="none"/>
                <w:lang w:val="en-US" w:eastAsia="zh-CN" w:bidi="ar"/>
              </w:rPr>
              <w:t>的</w:t>
            </w:r>
            <w:r>
              <w:rPr>
                <w:rFonts w:hint="eastAsia" w:ascii="宋体" w:hAnsi="宋体" w:eastAsia="宋体" w:cs="宋体"/>
                <w:bCs/>
                <w:color w:val="auto"/>
                <w:sz w:val="24"/>
                <w:highlight w:val="none"/>
                <w:lang w:bidi="ar"/>
              </w:rPr>
              <w:t>可操作性</w:t>
            </w:r>
            <w:r>
              <w:rPr>
                <w:rFonts w:hint="eastAsia" w:ascii="宋体" w:hAnsi="宋体" w:eastAsia="宋体" w:cs="宋体"/>
                <w:bCs/>
                <w:color w:val="auto"/>
                <w:sz w:val="24"/>
                <w:highlight w:val="none"/>
                <w:lang w:val="en-US" w:eastAsia="zh-CN" w:bidi="ar"/>
              </w:rPr>
              <w:t>进行</w:t>
            </w:r>
            <w:r>
              <w:rPr>
                <w:rFonts w:hint="eastAsia" w:ascii="宋体" w:hAnsi="宋体"/>
                <w:color w:val="auto"/>
                <w:kern w:val="0"/>
                <w:sz w:val="24"/>
                <w:highlight w:val="none"/>
              </w:rPr>
              <w:t>打分。</w:t>
            </w:r>
          </w:p>
        </w:tc>
        <w:tc>
          <w:tcPr>
            <w:tcW w:w="780"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26" w:type="dxa"/>
            <w:vMerge w:val="continue"/>
            <w:tcBorders>
              <w:left w:val="single" w:color="auto" w:sz="4" w:space="0"/>
              <w:right w:val="single" w:color="auto" w:sz="4" w:space="0"/>
            </w:tcBorders>
            <w:noWrap w:val="0"/>
            <w:vAlign w:val="center"/>
          </w:tcPr>
          <w:p>
            <w:pPr>
              <w:widowControl/>
              <w:jc w:val="left"/>
              <w:rPr>
                <w:rFonts w:ascii="宋体" w:hAnsi="宋体"/>
                <w:color w:val="auto"/>
                <w:sz w:val="24"/>
                <w:highlight w:val="none"/>
              </w:rPr>
            </w:pPr>
          </w:p>
        </w:tc>
        <w:tc>
          <w:tcPr>
            <w:tcW w:w="1314" w:type="dxa"/>
            <w:vMerge w:val="restart"/>
            <w:tcBorders>
              <w:top w:val="single" w:color="auto" w:sz="4" w:space="0"/>
              <w:left w:val="nil"/>
              <w:right w:val="single" w:color="auto" w:sz="4" w:space="0"/>
            </w:tcBorders>
            <w:noWrap w:val="0"/>
            <w:vAlign w:val="center"/>
          </w:tcPr>
          <w:p>
            <w:pPr>
              <w:jc w:val="center"/>
              <w:rPr>
                <w:rFonts w:ascii="宋体" w:hAnsi="宋体"/>
                <w:color w:val="auto"/>
                <w:kern w:val="0"/>
                <w:sz w:val="24"/>
                <w:highlight w:val="none"/>
              </w:rPr>
            </w:pPr>
            <w:r>
              <w:rPr>
                <w:rFonts w:hint="eastAsia" w:ascii="宋体" w:hAnsi="宋体"/>
                <w:color w:val="auto"/>
                <w:sz w:val="24"/>
                <w:highlight w:val="none"/>
              </w:rPr>
              <w:t>进度保障</w:t>
            </w:r>
          </w:p>
        </w:tc>
        <w:tc>
          <w:tcPr>
            <w:tcW w:w="4815" w:type="dxa"/>
            <w:tcBorders>
              <w:top w:val="single" w:color="auto" w:sz="4" w:space="0"/>
              <w:left w:val="single" w:color="auto" w:sz="4" w:space="0"/>
              <w:right w:val="single" w:color="auto" w:sz="4" w:space="0"/>
            </w:tcBorders>
            <w:noWrap w:val="0"/>
            <w:vAlign w:val="center"/>
          </w:tcPr>
          <w:p>
            <w:pPr>
              <w:jc w:val="left"/>
              <w:rPr>
                <w:rFonts w:hint="eastAsia" w:ascii="宋体" w:hAnsi="宋体"/>
                <w:color w:val="auto"/>
                <w:kern w:val="0"/>
                <w:sz w:val="24"/>
                <w:highlight w:val="none"/>
              </w:rPr>
            </w:pPr>
            <w:r>
              <w:rPr>
                <w:rFonts w:hint="eastAsia" w:ascii="宋体" w:hAnsi="宋体"/>
                <w:color w:val="auto"/>
                <w:kern w:val="0"/>
                <w:sz w:val="24"/>
                <w:highlight w:val="none"/>
              </w:rPr>
              <w:t>投标人提供全面、详尽的</w:t>
            </w:r>
            <w:r>
              <w:rPr>
                <w:rFonts w:hint="eastAsia" w:ascii="宋体" w:hAnsi="宋体"/>
                <w:color w:val="auto"/>
                <w:kern w:val="0"/>
                <w:sz w:val="24"/>
                <w:highlight w:val="none"/>
                <w:lang w:val="en-US" w:eastAsia="zh-CN"/>
              </w:rPr>
              <w:t>进度计划</w:t>
            </w:r>
            <w:r>
              <w:rPr>
                <w:rFonts w:hint="eastAsia" w:ascii="宋体" w:hAnsi="宋体"/>
                <w:color w:val="auto"/>
                <w:kern w:val="0"/>
                <w:sz w:val="24"/>
                <w:highlight w:val="none"/>
              </w:rPr>
              <w:t>方案，根据其详细严密程度，保证措施合理性、具体可行性，可操作性程度进行打分。</w:t>
            </w:r>
          </w:p>
        </w:tc>
        <w:tc>
          <w:tcPr>
            <w:tcW w:w="780" w:type="dxa"/>
            <w:tcBorders>
              <w:top w:val="single" w:color="auto" w:sz="4" w:space="0"/>
              <w:left w:val="single" w:color="auto" w:sz="4" w:space="0"/>
              <w:right w:val="single" w:color="auto" w:sz="4" w:space="0"/>
            </w:tcBorders>
            <w:noWrap w:val="0"/>
            <w:vAlign w:val="center"/>
          </w:tcPr>
          <w:p>
            <w:pPr>
              <w:jc w:val="center"/>
              <w:rPr>
                <w:rFonts w:hint="eastAsia" w:ascii="宋体" w:hAnsi="宋体"/>
                <w:color w:val="auto"/>
                <w:kern w:val="0"/>
                <w:sz w:val="24"/>
                <w:highlight w:val="none"/>
              </w:rPr>
            </w:pPr>
            <w:r>
              <w:rPr>
                <w:rFonts w:hint="eastAsia" w:ascii="宋体" w:hAnsi="宋体"/>
                <w:color w:val="auto"/>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26" w:type="dxa"/>
            <w:vMerge w:val="continue"/>
            <w:tcBorders>
              <w:left w:val="single" w:color="auto" w:sz="4" w:space="0"/>
              <w:right w:val="single" w:color="auto" w:sz="4" w:space="0"/>
            </w:tcBorders>
            <w:noWrap w:val="0"/>
            <w:vAlign w:val="center"/>
          </w:tcPr>
          <w:p>
            <w:pPr>
              <w:widowControl/>
              <w:jc w:val="left"/>
              <w:rPr>
                <w:rFonts w:ascii="宋体" w:hAnsi="宋体"/>
                <w:color w:val="auto"/>
                <w:sz w:val="24"/>
                <w:highlight w:val="none"/>
              </w:rPr>
            </w:pPr>
          </w:p>
        </w:tc>
        <w:tc>
          <w:tcPr>
            <w:tcW w:w="1314" w:type="dxa"/>
            <w:vMerge w:val="continue"/>
            <w:tcBorders>
              <w:left w:val="nil"/>
              <w:right w:val="single" w:color="auto" w:sz="4" w:space="0"/>
            </w:tcBorders>
            <w:noWrap w:val="0"/>
            <w:vAlign w:val="center"/>
          </w:tcPr>
          <w:p>
            <w:pPr>
              <w:jc w:val="center"/>
              <w:rPr>
                <w:rFonts w:hint="eastAsia" w:ascii="宋体" w:hAnsi="宋体"/>
                <w:color w:val="auto"/>
                <w:sz w:val="24"/>
                <w:highlight w:val="none"/>
              </w:rPr>
            </w:pPr>
          </w:p>
        </w:tc>
        <w:tc>
          <w:tcPr>
            <w:tcW w:w="4815"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评委</w:t>
            </w:r>
            <w:r>
              <w:rPr>
                <w:rFonts w:hint="eastAsia" w:ascii="宋体" w:hAnsi="宋体"/>
                <w:color w:val="auto"/>
                <w:kern w:val="0"/>
                <w:sz w:val="24"/>
                <w:highlight w:val="none"/>
              </w:rPr>
              <w:t>根据投标人</w:t>
            </w:r>
            <w:r>
              <w:rPr>
                <w:rFonts w:hint="eastAsia" w:ascii="宋体" w:hAnsi="宋体"/>
                <w:color w:val="auto"/>
                <w:kern w:val="0"/>
                <w:sz w:val="24"/>
                <w:highlight w:val="none"/>
                <w:lang w:val="en-US" w:eastAsia="zh-CN"/>
              </w:rPr>
              <w:t>提供的</w:t>
            </w:r>
            <w:r>
              <w:rPr>
                <w:rFonts w:hint="eastAsia" w:ascii="宋体" w:hAnsi="宋体" w:cs="Arial"/>
                <w:bCs/>
                <w:color w:val="auto"/>
                <w:kern w:val="0"/>
                <w:sz w:val="24"/>
                <w:highlight w:val="none"/>
              </w:rPr>
              <w:t>项目质量保障措施</w:t>
            </w:r>
            <w:r>
              <w:rPr>
                <w:rFonts w:hint="eastAsia" w:ascii="宋体" w:hAnsi="宋体" w:cs="Arial"/>
                <w:bCs/>
                <w:color w:val="auto"/>
                <w:kern w:val="0"/>
                <w:sz w:val="24"/>
                <w:highlight w:val="none"/>
                <w:lang w:val="en-US" w:eastAsia="zh-CN"/>
              </w:rPr>
              <w:t>的</w:t>
            </w:r>
            <w:r>
              <w:rPr>
                <w:rFonts w:hint="eastAsia" w:ascii="宋体" w:hAnsi="宋体" w:cs="Arial"/>
                <w:bCs/>
                <w:color w:val="auto"/>
                <w:kern w:val="0"/>
                <w:sz w:val="24"/>
                <w:highlight w:val="none"/>
              </w:rPr>
              <w:t>具体</w:t>
            </w:r>
            <w:r>
              <w:rPr>
                <w:rFonts w:hint="eastAsia" w:ascii="宋体" w:hAnsi="宋体" w:cs="Arial"/>
                <w:bCs/>
                <w:color w:val="auto"/>
                <w:kern w:val="0"/>
                <w:sz w:val="24"/>
                <w:highlight w:val="none"/>
                <w:lang w:val="en-US" w:eastAsia="zh-CN"/>
              </w:rPr>
              <w:t>性</w:t>
            </w:r>
            <w:r>
              <w:rPr>
                <w:rFonts w:hint="eastAsia" w:ascii="宋体" w:hAnsi="宋体" w:cs="Arial"/>
                <w:bCs/>
                <w:color w:val="auto"/>
                <w:kern w:val="0"/>
                <w:sz w:val="24"/>
                <w:highlight w:val="none"/>
              </w:rPr>
              <w:t>、合理</w:t>
            </w:r>
            <w:r>
              <w:rPr>
                <w:rFonts w:hint="eastAsia" w:ascii="宋体" w:hAnsi="宋体" w:cs="Arial"/>
                <w:bCs/>
                <w:color w:val="auto"/>
                <w:kern w:val="0"/>
                <w:sz w:val="24"/>
                <w:highlight w:val="none"/>
                <w:lang w:val="en-US" w:eastAsia="zh-CN"/>
              </w:rPr>
              <w:t>性</w:t>
            </w:r>
            <w:r>
              <w:rPr>
                <w:rFonts w:hint="eastAsia" w:ascii="宋体" w:hAnsi="宋体" w:cs="Arial"/>
                <w:bCs/>
                <w:color w:val="auto"/>
                <w:kern w:val="0"/>
                <w:sz w:val="24"/>
                <w:highlight w:val="none"/>
              </w:rPr>
              <w:t>、可行</w:t>
            </w:r>
            <w:r>
              <w:rPr>
                <w:rFonts w:hint="eastAsia" w:ascii="宋体" w:hAnsi="宋体" w:cs="Arial"/>
                <w:bCs/>
                <w:color w:val="auto"/>
                <w:kern w:val="0"/>
                <w:sz w:val="24"/>
                <w:highlight w:val="none"/>
                <w:lang w:val="en-US" w:eastAsia="zh-CN"/>
              </w:rPr>
              <w:t>性</w:t>
            </w:r>
            <w:r>
              <w:rPr>
                <w:rFonts w:hint="eastAsia" w:ascii="宋体" w:hAnsi="宋体"/>
                <w:color w:val="auto"/>
                <w:kern w:val="0"/>
                <w:sz w:val="24"/>
                <w:highlight w:val="none"/>
              </w:rPr>
              <w:t>进行打分。</w:t>
            </w:r>
          </w:p>
        </w:tc>
        <w:tc>
          <w:tcPr>
            <w:tcW w:w="78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526" w:type="dxa"/>
            <w:vMerge w:val="continue"/>
            <w:tcBorders>
              <w:left w:val="single" w:color="auto" w:sz="4" w:space="0"/>
              <w:right w:val="single" w:color="auto" w:sz="4" w:space="0"/>
            </w:tcBorders>
            <w:noWrap w:val="0"/>
            <w:vAlign w:val="center"/>
          </w:tcPr>
          <w:p>
            <w:pPr>
              <w:widowControl/>
              <w:jc w:val="left"/>
              <w:rPr>
                <w:rFonts w:ascii="宋体" w:hAnsi="宋体"/>
                <w:color w:val="auto"/>
                <w:sz w:val="24"/>
                <w:highlight w:val="none"/>
              </w:rPr>
            </w:pPr>
          </w:p>
        </w:tc>
        <w:tc>
          <w:tcPr>
            <w:tcW w:w="1314" w:type="dxa"/>
            <w:tcBorders>
              <w:top w:val="single" w:color="auto" w:sz="4" w:space="0"/>
              <w:left w:val="nil"/>
              <w:right w:val="single" w:color="auto" w:sz="4" w:space="0"/>
            </w:tcBorders>
            <w:noWrap w:val="0"/>
            <w:vAlign w:val="center"/>
          </w:tcPr>
          <w:p>
            <w:pPr>
              <w:widowControl/>
              <w:jc w:val="center"/>
              <w:rPr>
                <w:rFonts w:hint="eastAsia" w:ascii="宋体" w:hAnsi="宋体"/>
                <w:color w:val="auto"/>
                <w:kern w:val="0"/>
                <w:sz w:val="24"/>
                <w:highlight w:val="none"/>
              </w:rPr>
            </w:pPr>
            <w:r>
              <w:rPr>
                <w:rFonts w:hint="eastAsia" w:ascii="宋体" w:cs="宋体"/>
                <w:color w:val="auto"/>
                <w:kern w:val="0"/>
                <w:sz w:val="24"/>
                <w:highlight w:val="none"/>
                <w:lang w:bidi="ar"/>
              </w:rPr>
              <w:t>合理化建议</w:t>
            </w:r>
          </w:p>
        </w:tc>
        <w:tc>
          <w:tcPr>
            <w:tcW w:w="4815" w:type="dxa"/>
            <w:tcBorders>
              <w:top w:val="single" w:color="auto" w:sz="4" w:space="0"/>
              <w:left w:val="single" w:color="auto" w:sz="4" w:space="0"/>
              <w:right w:val="single" w:color="auto" w:sz="4" w:space="0"/>
            </w:tcBorders>
            <w:noWrap w:val="0"/>
            <w:vAlign w:val="center"/>
          </w:tcPr>
          <w:p>
            <w:pPr>
              <w:widowControl/>
              <w:spacing w:line="400" w:lineRule="exact"/>
              <w:rPr>
                <w:rFonts w:hint="eastAsia" w:ascii="宋体" w:hAnsi="宋体" w:eastAsia="宋体" w:cs="仿宋"/>
                <w:color w:val="auto"/>
                <w:kern w:val="0"/>
                <w:sz w:val="24"/>
                <w:highlight w:val="none"/>
                <w:lang w:eastAsia="zh-CN"/>
              </w:rPr>
            </w:pPr>
            <w:r>
              <w:rPr>
                <w:rFonts w:hint="eastAsia" w:ascii="宋体" w:cs="宋体"/>
                <w:color w:val="auto"/>
                <w:kern w:val="0"/>
                <w:sz w:val="24"/>
                <w:highlight w:val="none"/>
                <w:lang w:bidi="ar"/>
              </w:rPr>
              <w:t>评委根据投标人提供的针对本项目提供的合理化建议</w:t>
            </w:r>
            <w:r>
              <w:rPr>
                <w:rFonts w:hint="eastAsia" w:ascii="宋体" w:cs="宋体"/>
                <w:color w:val="auto"/>
                <w:kern w:val="0"/>
                <w:sz w:val="24"/>
                <w:highlight w:val="none"/>
                <w:lang w:val="en-US" w:eastAsia="zh-CN" w:bidi="ar"/>
              </w:rPr>
              <w:t>的</w:t>
            </w:r>
            <w:r>
              <w:rPr>
                <w:rFonts w:hint="eastAsia" w:ascii="宋体" w:hAnsi="宋体" w:cs="Arial"/>
                <w:bCs/>
                <w:color w:val="auto"/>
                <w:kern w:val="0"/>
                <w:sz w:val="24"/>
                <w:highlight w:val="none"/>
              </w:rPr>
              <w:t>建设性</w:t>
            </w:r>
            <w:r>
              <w:rPr>
                <w:rFonts w:hint="eastAsia" w:ascii="宋体" w:hAnsi="宋体" w:cs="Arial"/>
                <w:bCs/>
                <w:color w:val="auto"/>
                <w:kern w:val="0"/>
                <w:sz w:val="24"/>
                <w:highlight w:val="none"/>
                <w:lang w:eastAsia="zh-CN"/>
              </w:rPr>
              <w:t>、</w:t>
            </w:r>
            <w:r>
              <w:rPr>
                <w:rFonts w:hint="eastAsia" w:ascii="宋体" w:hAnsi="宋体" w:cs="Arial"/>
                <w:bCs/>
                <w:color w:val="auto"/>
                <w:kern w:val="0"/>
                <w:sz w:val="24"/>
                <w:highlight w:val="none"/>
              </w:rPr>
              <w:t>合理</w:t>
            </w:r>
            <w:r>
              <w:rPr>
                <w:rFonts w:hint="eastAsia" w:ascii="宋体" w:hAnsi="宋体" w:cs="Arial"/>
                <w:bCs/>
                <w:color w:val="auto"/>
                <w:kern w:val="0"/>
                <w:sz w:val="24"/>
                <w:highlight w:val="none"/>
                <w:lang w:val="en-US" w:eastAsia="zh-CN"/>
              </w:rPr>
              <w:t>以及</w:t>
            </w:r>
            <w:r>
              <w:rPr>
                <w:rFonts w:hint="eastAsia" w:ascii="宋体" w:hAnsi="宋体" w:cs="Arial"/>
                <w:bCs/>
                <w:color w:val="auto"/>
                <w:kern w:val="0"/>
                <w:sz w:val="24"/>
                <w:highlight w:val="none"/>
              </w:rPr>
              <w:t>可行</w:t>
            </w:r>
            <w:r>
              <w:rPr>
                <w:rFonts w:hint="eastAsia" w:ascii="宋体" w:cs="宋体"/>
                <w:color w:val="auto"/>
                <w:kern w:val="0"/>
                <w:sz w:val="24"/>
                <w:highlight w:val="none"/>
                <w:lang w:bidi="ar"/>
              </w:rPr>
              <w:t>进行打分</w:t>
            </w:r>
            <w:r>
              <w:rPr>
                <w:rFonts w:hint="eastAsia" w:ascii="宋体" w:cs="宋体"/>
                <w:color w:val="auto"/>
                <w:kern w:val="0"/>
                <w:sz w:val="24"/>
                <w:highlight w:val="none"/>
                <w:lang w:eastAsia="zh-CN" w:bidi="ar"/>
              </w:rPr>
              <w:t>。</w:t>
            </w:r>
          </w:p>
        </w:tc>
        <w:tc>
          <w:tcPr>
            <w:tcW w:w="780" w:type="dxa"/>
            <w:tcBorders>
              <w:top w:val="single" w:color="auto" w:sz="4" w:space="0"/>
              <w:left w:val="single" w:color="auto" w:sz="4" w:space="0"/>
              <w:right w:val="single" w:color="auto" w:sz="4" w:space="0"/>
            </w:tcBorders>
            <w:noWrap w:val="0"/>
            <w:vAlign w:val="center"/>
          </w:tcPr>
          <w:p>
            <w:pPr>
              <w:tabs>
                <w:tab w:val="left" w:pos="1080"/>
              </w:tabs>
              <w:spacing w:line="312" w:lineRule="auto"/>
              <w:jc w:val="center"/>
              <w:rPr>
                <w:rFonts w:hint="eastAsia" w:ascii="宋体" w:hAnsi="宋体" w:cs="宋体"/>
                <w:color w:val="auto"/>
                <w:sz w:val="24"/>
                <w:highlight w:val="none"/>
                <w:lang w:val="en-US" w:eastAsia="zh-CN"/>
              </w:rPr>
            </w:pPr>
            <w:r>
              <w:rPr>
                <w:rFonts w:hint="eastAsia" w:ascii="宋体" w:cs="宋体"/>
                <w:color w:val="auto"/>
                <w:kern w:val="0"/>
                <w:sz w:val="24"/>
                <w:highlight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526" w:type="dxa"/>
            <w:vMerge w:val="continue"/>
            <w:tcBorders>
              <w:left w:val="single" w:color="auto" w:sz="4" w:space="0"/>
              <w:right w:val="single" w:color="auto" w:sz="4" w:space="0"/>
            </w:tcBorders>
            <w:noWrap w:val="0"/>
            <w:vAlign w:val="center"/>
          </w:tcPr>
          <w:p>
            <w:pPr>
              <w:widowControl/>
              <w:jc w:val="left"/>
              <w:rPr>
                <w:rFonts w:ascii="宋体" w:hAnsi="宋体"/>
                <w:color w:val="auto"/>
                <w:sz w:val="24"/>
                <w:highlight w:val="none"/>
              </w:rPr>
            </w:pPr>
          </w:p>
        </w:tc>
        <w:tc>
          <w:tcPr>
            <w:tcW w:w="1314" w:type="dxa"/>
            <w:vMerge w:val="restart"/>
            <w:tcBorders>
              <w:top w:val="single" w:color="auto" w:sz="4" w:space="0"/>
              <w:left w:val="nil"/>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kern w:val="0"/>
                <w:sz w:val="24"/>
                <w:highlight w:val="none"/>
              </w:rPr>
              <w:t>人员配置</w:t>
            </w:r>
          </w:p>
        </w:tc>
        <w:tc>
          <w:tcPr>
            <w:tcW w:w="4815" w:type="dxa"/>
            <w:tcBorders>
              <w:top w:val="single" w:color="auto" w:sz="4" w:space="0"/>
              <w:left w:val="single" w:color="auto" w:sz="4" w:space="0"/>
              <w:right w:val="single" w:color="auto" w:sz="4" w:space="0"/>
            </w:tcBorders>
            <w:noWrap w:val="0"/>
            <w:vAlign w:val="center"/>
          </w:tcPr>
          <w:p>
            <w:pPr>
              <w:spacing w:line="300" w:lineRule="exact"/>
              <w:jc w:val="left"/>
              <w:rPr>
                <w:rFonts w:hint="eastAsia" w:ascii="宋体" w:hAnsi="宋体" w:cs="宋体"/>
                <w:color w:val="auto"/>
                <w:kern w:val="0"/>
                <w:sz w:val="24"/>
                <w:highlight w:val="none"/>
              </w:rPr>
            </w:pPr>
            <w:r>
              <w:rPr>
                <w:rFonts w:hint="eastAsia" w:ascii="宋体" w:hAnsi="宋体" w:cs="仿宋"/>
                <w:color w:val="auto"/>
                <w:kern w:val="0"/>
                <w:sz w:val="24"/>
                <w:highlight w:val="none"/>
              </w:rPr>
              <w:t>拟投入本项目技术人员分配方案合理性、稳定性、便于协调性和可操作性进行打分。</w:t>
            </w:r>
          </w:p>
        </w:tc>
        <w:tc>
          <w:tcPr>
            <w:tcW w:w="78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526" w:type="dxa"/>
            <w:vMerge w:val="continue"/>
            <w:tcBorders>
              <w:left w:val="single" w:color="auto" w:sz="4" w:space="0"/>
              <w:right w:val="single" w:color="auto" w:sz="4" w:space="0"/>
            </w:tcBorders>
            <w:noWrap w:val="0"/>
            <w:vAlign w:val="center"/>
          </w:tcPr>
          <w:p>
            <w:pPr>
              <w:widowControl/>
              <w:jc w:val="left"/>
              <w:rPr>
                <w:rFonts w:ascii="宋体" w:hAnsi="宋体"/>
                <w:color w:val="auto"/>
                <w:sz w:val="24"/>
                <w:highlight w:val="none"/>
              </w:rPr>
            </w:pPr>
          </w:p>
        </w:tc>
        <w:tc>
          <w:tcPr>
            <w:tcW w:w="1314" w:type="dxa"/>
            <w:vMerge w:val="continue"/>
            <w:tcBorders>
              <w:left w:val="nil"/>
              <w:right w:val="single" w:color="auto" w:sz="4" w:space="0"/>
            </w:tcBorders>
            <w:noWrap w:val="0"/>
            <w:vAlign w:val="center"/>
          </w:tcPr>
          <w:p>
            <w:pPr>
              <w:jc w:val="center"/>
              <w:rPr>
                <w:rFonts w:ascii="宋体" w:hAnsi="宋体"/>
                <w:color w:val="auto"/>
                <w:sz w:val="24"/>
                <w:highlight w:val="none"/>
              </w:rPr>
            </w:pPr>
          </w:p>
        </w:tc>
        <w:tc>
          <w:tcPr>
            <w:tcW w:w="48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评委根据投标人拟投入本项目</w:t>
            </w:r>
            <w:r>
              <w:rPr>
                <w:rFonts w:hint="eastAsia" w:ascii="宋体" w:hAnsi="宋体" w:cs="宋体"/>
                <w:color w:val="auto"/>
                <w:kern w:val="0"/>
                <w:sz w:val="24"/>
                <w:highlight w:val="none"/>
              </w:rPr>
              <w:t>项目负责人</w:t>
            </w:r>
            <w:r>
              <w:rPr>
                <w:rFonts w:hint="eastAsia" w:ascii="宋体" w:hAnsi="宋体" w:cs="宋体"/>
                <w:color w:val="auto"/>
                <w:kern w:val="0"/>
                <w:sz w:val="24"/>
                <w:highlight w:val="none"/>
                <w:lang w:val="en-US" w:eastAsia="zh-CN"/>
              </w:rPr>
              <w:t>业绩</w:t>
            </w:r>
            <w:r>
              <w:rPr>
                <w:rFonts w:hint="eastAsia" w:ascii="宋体" w:hAnsi="宋体" w:cs="宋体"/>
                <w:color w:val="auto"/>
                <w:kern w:val="0"/>
                <w:sz w:val="24"/>
                <w:highlight w:val="none"/>
              </w:rPr>
              <w:t>经验、水平</w:t>
            </w:r>
            <w:r>
              <w:rPr>
                <w:rFonts w:hint="eastAsia" w:ascii="宋体" w:hAnsi="宋体" w:cs="宋体"/>
                <w:color w:val="auto"/>
                <w:kern w:val="0"/>
                <w:sz w:val="24"/>
                <w:highlight w:val="none"/>
                <w:lang w:val="en-US" w:eastAsia="zh-CN"/>
              </w:rPr>
              <w:t>及专业程度进行打分。</w:t>
            </w:r>
            <w:r>
              <w:rPr>
                <w:rFonts w:hint="eastAsia" w:ascii="宋体" w:hAnsi="宋体" w:cs="宋体"/>
                <w:color w:val="auto"/>
                <w:kern w:val="0"/>
                <w:sz w:val="24"/>
                <w:highlight w:val="none"/>
              </w:rPr>
              <w:t>（需提供相关证书或有效证明</w:t>
            </w:r>
            <w:r>
              <w:rPr>
                <w:rFonts w:hint="eastAsia" w:ascii="宋体" w:hAnsi="宋体" w:cs="宋体"/>
                <w:color w:val="auto"/>
                <w:kern w:val="0"/>
                <w:sz w:val="24"/>
                <w:highlight w:val="none"/>
                <w:lang w:val="en-US" w:eastAsia="zh-CN"/>
              </w:rPr>
              <w:t>资料</w:t>
            </w:r>
            <w:r>
              <w:rPr>
                <w:rFonts w:hint="eastAsia" w:ascii="宋体" w:hAnsi="宋体" w:cs="宋体"/>
                <w:color w:val="auto"/>
                <w:kern w:val="0"/>
                <w:sz w:val="24"/>
                <w:highlight w:val="none"/>
              </w:rPr>
              <w:t>以及在本单位</w:t>
            </w:r>
            <w:r>
              <w:rPr>
                <w:rFonts w:hint="eastAsia" w:ascii="宋体" w:hAnsi="宋体" w:cs="宋体"/>
                <w:color w:val="auto"/>
                <w:kern w:val="0"/>
                <w:sz w:val="24"/>
                <w:highlight w:val="none"/>
                <w:lang w:val="en-US" w:eastAsia="zh-CN"/>
              </w:rPr>
              <w:t>2020年7月至9月</w:t>
            </w:r>
            <w:r>
              <w:rPr>
                <w:rFonts w:hint="eastAsia" w:ascii="宋体" w:hAnsi="宋体" w:cs="宋体"/>
                <w:color w:val="auto"/>
                <w:kern w:val="0"/>
                <w:sz w:val="24"/>
                <w:highlight w:val="none"/>
              </w:rPr>
              <w:t>社保缴纳证明扫描件加盖公章）。</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26" w:type="dxa"/>
            <w:vMerge w:val="continue"/>
            <w:tcBorders>
              <w:left w:val="single" w:color="auto" w:sz="4" w:space="0"/>
              <w:right w:val="single" w:color="auto" w:sz="4" w:space="0"/>
            </w:tcBorders>
            <w:noWrap w:val="0"/>
            <w:vAlign w:val="center"/>
          </w:tcPr>
          <w:p>
            <w:pPr>
              <w:widowControl/>
              <w:jc w:val="left"/>
              <w:rPr>
                <w:rFonts w:ascii="宋体" w:hAnsi="宋体"/>
                <w:color w:val="auto"/>
                <w:sz w:val="24"/>
                <w:highlight w:val="none"/>
              </w:rPr>
            </w:pPr>
          </w:p>
        </w:tc>
        <w:tc>
          <w:tcPr>
            <w:tcW w:w="1314" w:type="dxa"/>
            <w:vMerge w:val="continue"/>
            <w:tcBorders>
              <w:left w:val="nil"/>
              <w:right w:val="single" w:color="auto" w:sz="4" w:space="0"/>
            </w:tcBorders>
            <w:noWrap w:val="0"/>
            <w:vAlign w:val="center"/>
          </w:tcPr>
          <w:p>
            <w:pPr>
              <w:autoSpaceDE w:val="0"/>
              <w:autoSpaceDN w:val="0"/>
              <w:adjustRightInd w:val="0"/>
              <w:jc w:val="center"/>
              <w:rPr>
                <w:rFonts w:ascii="宋体" w:hAnsi="宋体"/>
                <w:color w:val="auto"/>
                <w:sz w:val="24"/>
                <w:highlight w:val="none"/>
              </w:rPr>
            </w:pPr>
          </w:p>
        </w:tc>
        <w:tc>
          <w:tcPr>
            <w:tcW w:w="48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评委根据投标人拟投入其他专业人员（除项目负责人）情况进行打分。（需提供相关证书或有效证明</w:t>
            </w:r>
            <w:r>
              <w:rPr>
                <w:rFonts w:hint="eastAsia" w:ascii="宋体" w:hAnsi="宋体" w:cs="宋体"/>
                <w:color w:val="auto"/>
                <w:kern w:val="0"/>
                <w:sz w:val="24"/>
                <w:highlight w:val="none"/>
                <w:lang w:val="en-US" w:eastAsia="zh-CN"/>
              </w:rPr>
              <w:t>资料</w:t>
            </w:r>
            <w:r>
              <w:rPr>
                <w:rFonts w:hint="eastAsia" w:ascii="宋体" w:hAnsi="宋体" w:cs="宋体"/>
                <w:color w:val="auto"/>
                <w:kern w:val="0"/>
                <w:sz w:val="24"/>
                <w:highlight w:val="none"/>
              </w:rPr>
              <w:t>以及在本单位</w:t>
            </w:r>
            <w:r>
              <w:rPr>
                <w:rFonts w:hint="eastAsia" w:ascii="宋体" w:hAnsi="宋体" w:cs="宋体"/>
                <w:color w:val="auto"/>
                <w:kern w:val="0"/>
                <w:sz w:val="24"/>
                <w:highlight w:val="none"/>
                <w:lang w:val="en-US" w:eastAsia="zh-CN"/>
              </w:rPr>
              <w:t>2020年7月至9月</w:t>
            </w:r>
            <w:r>
              <w:rPr>
                <w:rFonts w:hint="eastAsia" w:ascii="宋体" w:hAnsi="宋体" w:cs="宋体"/>
                <w:color w:val="auto"/>
                <w:kern w:val="0"/>
                <w:sz w:val="24"/>
                <w:highlight w:val="none"/>
              </w:rPr>
              <w:t>社保缴纳证明扫描件加盖公章）。</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26" w:type="dxa"/>
            <w:vMerge w:val="continue"/>
            <w:tcBorders>
              <w:left w:val="single" w:color="auto" w:sz="4" w:space="0"/>
              <w:right w:val="single" w:color="auto" w:sz="4" w:space="0"/>
            </w:tcBorders>
            <w:noWrap w:val="0"/>
            <w:vAlign w:val="center"/>
          </w:tcPr>
          <w:p>
            <w:pPr>
              <w:widowControl/>
              <w:jc w:val="left"/>
              <w:rPr>
                <w:rFonts w:ascii="宋体" w:hAnsi="宋体"/>
                <w:color w:val="auto"/>
                <w:sz w:val="24"/>
                <w:highlight w:val="none"/>
              </w:rPr>
            </w:pPr>
          </w:p>
        </w:tc>
        <w:tc>
          <w:tcPr>
            <w:tcW w:w="1314" w:type="dxa"/>
            <w:tcBorders>
              <w:top w:val="single" w:color="auto" w:sz="4" w:space="0"/>
              <w:left w:val="nil"/>
              <w:right w:val="single" w:color="auto" w:sz="4" w:space="0"/>
            </w:tcBorders>
            <w:noWrap w:val="0"/>
            <w:vAlign w:val="center"/>
          </w:tcPr>
          <w:p>
            <w:pPr>
              <w:widowControl/>
              <w:snapToGrid w:val="0"/>
              <w:jc w:val="center"/>
              <w:rPr>
                <w:rFonts w:hint="eastAsia" w:ascii="宋体" w:hAnsi="宋体" w:eastAsia="宋体"/>
                <w:bCs/>
                <w:color w:val="auto"/>
                <w:sz w:val="24"/>
                <w:highlight w:val="none"/>
                <w:lang w:val="en-US" w:eastAsia="zh-CN"/>
              </w:rPr>
            </w:pPr>
            <w:r>
              <w:rPr>
                <w:rFonts w:hint="eastAsia" w:ascii="宋体" w:hAnsi="宋体"/>
                <w:bCs/>
                <w:color w:val="auto"/>
                <w:sz w:val="24"/>
                <w:highlight w:val="none"/>
              </w:rPr>
              <w:t>服务</w:t>
            </w:r>
            <w:r>
              <w:rPr>
                <w:rFonts w:hint="eastAsia" w:ascii="宋体" w:hAnsi="宋体"/>
                <w:bCs/>
                <w:color w:val="auto"/>
                <w:sz w:val="24"/>
                <w:highlight w:val="none"/>
                <w:lang w:val="en-US" w:eastAsia="zh-CN"/>
              </w:rPr>
              <w:t>承诺</w:t>
            </w:r>
          </w:p>
        </w:tc>
        <w:tc>
          <w:tcPr>
            <w:tcW w:w="481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Cs/>
                <w:color w:val="auto"/>
                <w:kern w:val="0"/>
                <w:sz w:val="24"/>
                <w:highlight w:val="none"/>
              </w:rPr>
            </w:pPr>
            <w:r>
              <w:rPr>
                <w:rFonts w:hint="eastAsia" w:ascii="宋体" w:hAnsi="宋体" w:cs="宋体"/>
                <w:color w:val="auto"/>
                <w:kern w:val="0"/>
                <w:sz w:val="24"/>
                <w:highlight w:val="none"/>
              </w:rPr>
              <w:t>评委根据投标人</w:t>
            </w:r>
            <w:r>
              <w:rPr>
                <w:rFonts w:hint="eastAsia" w:ascii="宋体" w:hAnsi="宋体" w:cs="宋体"/>
                <w:color w:val="auto"/>
                <w:kern w:val="0"/>
                <w:sz w:val="24"/>
                <w:highlight w:val="none"/>
                <w:lang w:val="en-US" w:eastAsia="zh-CN"/>
              </w:rPr>
              <w:t>针对本项目</w:t>
            </w:r>
            <w:r>
              <w:rPr>
                <w:rFonts w:hint="eastAsia" w:ascii="宋体" w:hAnsi="宋体"/>
                <w:bCs/>
                <w:color w:val="auto"/>
                <w:sz w:val="24"/>
                <w:highlight w:val="none"/>
              </w:rPr>
              <w:t>服务</w:t>
            </w:r>
            <w:r>
              <w:rPr>
                <w:rFonts w:hint="eastAsia" w:ascii="宋体" w:hAnsi="宋体"/>
                <w:bCs/>
                <w:color w:val="auto"/>
                <w:sz w:val="24"/>
                <w:highlight w:val="none"/>
                <w:lang w:val="en-US" w:eastAsia="zh-CN"/>
              </w:rPr>
              <w:t>承诺的</w:t>
            </w:r>
            <w:r>
              <w:rPr>
                <w:rFonts w:hint="eastAsia" w:ascii="宋体" w:hAnsi="宋体"/>
                <w:color w:val="auto"/>
                <w:sz w:val="24"/>
                <w:highlight w:val="none"/>
              </w:rPr>
              <w:t>便捷性、合理性及可实施性</w:t>
            </w:r>
            <w:r>
              <w:rPr>
                <w:rFonts w:hint="eastAsia" w:ascii="宋体" w:hAnsi="宋体"/>
                <w:color w:val="auto"/>
                <w:sz w:val="24"/>
                <w:highlight w:val="none"/>
                <w:lang w:val="en-US" w:eastAsia="zh-CN"/>
              </w:rPr>
              <w:t>进行</w:t>
            </w:r>
            <w:r>
              <w:rPr>
                <w:rFonts w:hint="eastAsia" w:ascii="宋体" w:hAnsi="宋体"/>
                <w:bCs/>
                <w:color w:val="auto"/>
                <w:sz w:val="24"/>
                <w:highlight w:val="none"/>
              </w:rPr>
              <w:t>打分</w:t>
            </w:r>
            <w:r>
              <w:rPr>
                <w:rFonts w:hint="eastAsia" w:ascii="宋体" w:hAnsi="宋体"/>
                <w:bCs/>
                <w:color w:val="auto"/>
                <w:kern w:val="0"/>
                <w:sz w:val="24"/>
                <w:highlight w:val="none"/>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26" w:type="dxa"/>
            <w:vMerge w:val="continue"/>
            <w:tcBorders>
              <w:left w:val="single" w:color="auto" w:sz="4" w:space="0"/>
              <w:right w:val="single" w:color="auto" w:sz="4" w:space="0"/>
            </w:tcBorders>
            <w:noWrap w:val="0"/>
            <w:vAlign w:val="center"/>
          </w:tcPr>
          <w:p>
            <w:pPr>
              <w:widowControl/>
              <w:jc w:val="left"/>
              <w:rPr>
                <w:rFonts w:ascii="宋体" w:hAnsi="宋体"/>
                <w:color w:val="auto"/>
                <w:sz w:val="24"/>
                <w:highlight w:val="none"/>
              </w:rPr>
            </w:pPr>
          </w:p>
        </w:tc>
        <w:tc>
          <w:tcPr>
            <w:tcW w:w="1314" w:type="dxa"/>
            <w:tcBorders>
              <w:top w:val="single" w:color="auto" w:sz="4" w:space="0"/>
              <w:left w:val="nil"/>
              <w:right w:val="single" w:color="auto" w:sz="4" w:space="0"/>
            </w:tcBorders>
            <w:noWrap w:val="0"/>
            <w:vAlign w:val="center"/>
          </w:tcPr>
          <w:p>
            <w:pPr>
              <w:jc w:val="center"/>
              <w:rPr>
                <w:rFonts w:ascii="宋体" w:hAnsi="宋体"/>
                <w:color w:val="auto"/>
                <w:sz w:val="24"/>
                <w:highlight w:val="none"/>
              </w:rPr>
            </w:pPr>
            <w:r>
              <w:rPr>
                <w:rFonts w:hint="eastAsia" w:ascii="宋体" w:hAnsi="宋体" w:cs="宋体"/>
                <w:bCs/>
                <w:color w:val="auto"/>
                <w:sz w:val="24"/>
                <w:highlight w:val="none"/>
              </w:rPr>
              <w:t>本地化服务能力</w:t>
            </w:r>
          </w:p>
        </w:tc>
        <w:tc>
          <w:tcPr>
            <w:tcW w:w="48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评委根据投标人提供的售后维护机构和人员等情况进行打分，包括是否具有较强的本地化服务能力，在本地是否拥有常驻服务和技术支持机构（非本地投标人在绍兴地区是否有分公司）以及较强的专业技术队伍，是否能提供快速的售后服务响应。</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526"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olor w:val="auto"/>
                <w:sz w:val="24"/>
                <w:highlight w:val="none"/>
              </w:rPr>
            </w:pPr>
          </w:p>
        </w:tc>
        <w:tc>
          <w:tcPr>
            <w:tcW w:w="131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sz w:val="24"/>
                <w:highlight w:val="none"/>
              </w:rPr>
            </w:pPr>
            <w:r>
              <w:rPr>
                <w:rFonts w:hint="eastAsia" w:ascii="宋体" w:hAnsi="宋体" w:cs="宋体"/>
                <w:color w:val="auto"/>
                <w:kern w:val="0"/>
                <w:sz w:val="24"/>
                <w:highlight w:val="none"/>
              </w:rPr>
              <w:t>标书质量</w:t>
            </w:r>
          </w:p>
        </w:tc>
        <w:tc>
          <w:tcPr>
            <w:tcW w:w="48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cs="宋体"/>
                <w:color w:val="auto"/>
                <w:kern w:val="0"/>
                <w:sz w:val="24"/>
                <w:highlight w:val="none"/>
              </w:rPr>
            </w:pPr>
            <w:r>
              <w:rPr>
                <w:rFonts w:hint="eastAsia" w:ascii="宋体" w:hAnsi="宋体" w:cs="宋体"/>
                <w:color w:val="auto"/>
                <w:kern w:val="0"/>
                <w:sz w:val="24"/>
                <w:highlight w:val="none"/>
              </w:rPr>
              <w:t>评委根据投标文件的内容详实、条理清晰、有无错误、与招标文件的评分要点准确设置关联点、文本图片清晰、前后矛盾等情况进行打分。</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26"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lang w:val="en-US" w:eastAsia="zh-CN"/>
              </w:rPr>
              <w:t>商务</w:t>
            </w:r>
            <w:r>
              <w:rPr>
                <w:rFonts w:hint="eastAsia" w:ascii="宋体" w:hAnsi="宋体"/>
                <w:color w:val="auto"/>
                <w:sz w:val="24"/>
                <w:highlight w:val="none"/>
              </w:rPr>
              <w:t>资信（</w:t>
            </w:r>
            <w:r>
              <w:rPr>
                <w:rFonts w:hint="eastAsia" w:ascii="宋体" w:hAnsi="宋体"/>
                <w:color w:val="auto"/>
                <w:sz w:val="24"/>
                <w:highlight w:val="none"/>
                <w:lang w:val="en-US" w:eastAsia="zh-CN"/>
              </w:rPr>
              <w:t>10</w:t>
            </w:r>
            <w:r>
              <w:rPr>
                <w:rFonts w:hint="eastAsia" w:ascii="宋体" w:hAnsi="宋体"/>
                <w:color w:val="auto"/>
                <w:sz w:val="24"/>
                <w:highlight w:val="none"/>
              </w:rPr>
              <w:t>）</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lang w:val="en-US" w:eastAsia="zh-CN"/>
              </w:rPr>
              <w:t>认证证书</w:t>
            </w:r>
          </w:p>
        </w:tc>
        <w:tc>
          <w:tcPr>
            <w:tcW w:w="48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auto"/>
                <w:sz w:val="24"/>
                <w:highlight w:val="none"/>
              </w:rPr>
            </w:pPr>
            <w:r>
              <w:rPr>
                <w:rFonts w:hint="eastAsia" w:ascii="宋体" w:hAnsi="宋体"/>
                <w:color w:val="auto"/>
                <w:sz w:val="24"/>
                <w:highlight w:val="none"/>
                <w:lang w:val="en-US" w:eastAsia="zh-CN"/>
              </w:rPr>
              <w:t>认证证书</w:t>
            </w:r>
            <w:r>
              <w:rPr>
                <w:rFonts w:hint="eastAsia" w:ascii="宋体" w:hAnsi="宋体"/>
                <w:b/>
                <w:bCs/>
                <w:color w:val="auto"/>
                <w:sz w:val="24"/>
                <w:highlight w:val="none"/>
              </w:rPr>
              <w:t>（具体详见商务要求表）</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26"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olor w:val="auto"/>
                <w:sz w:val="24"/>
                <w:highlight w:val="none"/>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业绩</w:t>
            </w:r>
          </w:p>
        </w:tc>
        <w:tc>
          <w:tcPr>
            <w:tcW w:w="48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360" w:lineRule="auto"/>
              <w:rPr>
                <w:rFonts w:ascii="宋体" w:hAnsi="宋体"/>
                <w:color w:val="auto"/>
                <w:sz w:val="24"/>
                <w:highlight w:val="none"/>
              </w:rPr>
            </w:pPr>
            <w:r>
              <w:rPr>
                <w:rFonts w:hint="eastAsia" w:ascii="宋体" w:hAnsi="宋体"/>
                <w:color w:val="auto"/>
                <w:sz w:val="24"/>
                <w:highlight w:val="none"/>
              </w:rPr>
              <w:t>投标人业绩</w:t>
            </w:r>
            <w:r>
              <w:rPr>
                <w:rFonts w:hint="eastAsia" w:ascii="宋体" w:hAnsi="宋体"/>
                <w:b/>
                <w:bCs/>
                <w:color w:val="auto"/>
                <w:sz w:val="24"/>
                <w:highlight w:val="none"/>
              </w:rPr>
              <w:t>（具体详见商务要求表）</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8</w:t>
            </w:r>
          </w:p>
        </w:tc>
      </w:tr>
    </w:tbl>
    <w:p>
      <w:pPr>
        <w:keepNext w:val="0"/>
        <w:keepLines w:val="0"/>
        <w:pageBreakBefore w:val="0"/>
        <w:kinsoku/>
        <w:wordWrap/>
        <w:overflowPunct/>
        <w:topLinePunct w:val="0"/>
        <w:bidi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、商务要求表</w:t>
      </w:r>
      <w:r>
        <w:rPr>
          <w:rFonts w:hint="eastAsia" w:ascii="宋体" w:hAnsi="宋体" w:cs="宋体"/>
          <w:color w:val="auto"/>
          <w:sz w:val="24"/>
          <w:szCs w:val="24"/>
          <w:highlight w:val="none"/>
        </w:rPr>
        <w:t>（对应评分标准）</w:t>
      </w:r>
    </w:p>
    <w:tbl>
      <w:tblPr>
        <w:tblStyle w:val="21"/>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309"/>
        <w:gridCol w:w="5585"/>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56" w:type="dxa"/>
            <w:vMerge w:val="restart"/>
            <w:vAlign w:val="center"/>
          </w:tcPr>
          <w:p>
            <w:pPr>
              <w:keepNext w:val="0"/>
              <w:keepLines w:val="0"/>
              <w:pageBreakBefore w:val="0"/>
              <w:kinsoku/>
              <w:wordWrap/>
              <w:overflowPunct/>
              <w:topLinePunct w:val="0"/>
              <w:bidi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商务资信</w:t>
            </w:r>
          </w:p>
        </w:tc>
        <w:tc>
          <w:tcPr>
            <w:tcW w:w="1309" w:type="dxa"/>
            <w:vAlign w:val="center"/>
          </w:tcPr>
          <w:p>
            <w:pPr>
              <w:keepNext w:val="0"/>
              <w:keepLines w:val="0"/>
              <w:pageBreakBefore w:val="0"/>
              <w:kinsoku/>
              <w:wordWrap/>
              <w:overflowPunct/>
              <w:topLinePunct w:val="0"/>
              <w:bidi w:val="0"/>
              <w:spacing w:line="24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认证证书</w:t>
            </w:r>
          </w:p>
        </w:tc>
        <w:tc>
          <w:tcPr>
            <w:tcW w:w="5585" w:type="dxa"/>
            <w:vAlign w:val="center"/>
          </w:tcPr>
          <w:p>
            <w:pPr>
              <w:keepNext w:val="0"/>
              <w:keepLines w:val="0"/>
              <w:pageBreakBefore w:val="0"/>
              <w:kinsoku/>
              <w:wordWrap/>
              <w:overflowPunct/>
              <w:topLinePunct w:val="0"/>
              <w:bidi w:val="0"/>
              <w:spacing w:line="24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w:t>
            </w:r>
            <w:r>
              <w:rPr>
                <w:rFonts w:hint="eastAsia" w:ascii="宋体" w:hAnsi="宋体" w:cs="宋体"/>
                <w:color w:val="auto"/>
                <w:sz w:val="24"/>
                <w:highlight w:val="none"/>
                <w:lang w:val="en-US" w:eastAsia="zh-CN"/>
              </w:rPr>
              <w:t>拥有有效期内质量管理体系认证证书的得2分</w:t>
            </w:r>
            <w:r>
              <w:rPr>
                <w:rFonts w:hint="eastAsia" w:ascii="宋体" w:hAnsi="宋体" w:cs="宋体"/>
                <w:color w:val="auto"/>
                <w:sz w:val="24"/>
                <w:highlight w:val="none"/>
              </w:rPr>
              <w:t>。</w:t>
            </w:r>
          </w:p>
          <w:p>
            <w:pPr>
              <w:keepNext w:val="0"/>
              <w:keepLines w:val="0"/>
              <w:pageBreakBefore w:val="0"/>
              <w:kinsoku/>
              <w:wordWrap/>
              <w:overflowPunct/>
              <w:topLinePunct w:val="0"/>
              <w:bidi w:val="0"/>
              <w:spacing w:line="240" w:lineRule="auto"/>
              <w:rPr>
                <w:rFonts w:hint="eastAsia" w:ascii="宋体" w:hAnsi="宋体" w:cs="宋体"/>
                <w:color w:val="auto"/>
                <w:sz w:val="24"/>
                <w:szCs w:val="24"/>
                <w:highlight w:val="none"/>
              </w:rPr>
            </w:pPr>
            <w:r>
              <w:rPr>
                <w:rFonts w:hint="eastAsia" w:ascii="宋体" w:hAnsi="宋体" w:cs="宋体"/>
                <w:color w:val="auto"/>
                <w:sz w:val="24"/>
                <w:highlight w:val="none"/>
              </w:rPr>
              <w:t>注：需提供</w:t>
            </w:r>
            <w:r>
              <w:rPr>
                <w:rFonts w:hint="eastAsia" w:ascii="宋体" w:hAnsi="宋体" w:cs="宋体"/>
                <w:color w:val="auto"/>
                <w:sz w:val="24"/>
                <w:highlight w:val="none"/>
                <w:lang w:val="en-US" w:eastAsia="zh-CN"/>
              </w:rPr>
              <w:t>证书</w:t>
            </w:r>
            <w:r>
              <w:rPr>
                <w:rFonts w:hint="eastAsia" w:ascii="宋体" w:hAnsi="宋体" w:cs="宋体"/>
                <w:color w:val="auto"/>
                <w:sz w:val="24"/>
                <w:highlight w:val="none"/>
              </w:rPr>
              <w:t>复印件加盖公章。</w:t>
            </w:r>
          </w:p>
        </w:tc>
        <w:tc>
          <w:tcPr>
            <w:tcW w:w="769" w:type="dxa"/>
            <w:vAlign w:val="center"/>
          </w:tcPr>
          <w:p>
            <w:pPr>
              <w:keepNext w:val="0"/>
              <w:keepLines w:val="0"/>
              <w:pageBreakBefore w:val="0"/>
              <w:kinsoku/>
              <w:wordWrap/>
              <w:overflowPunct/>
              <w:topLinePunct w:val="0"/>
              <w:bidi w:val="0"/>
              <w:spacing w:line="240" w:lineRule="auto"/>
              <w:jc w:val="center"/>
              <w:rPr>
                <w:rFonts w:hint="eastAsia" w:ascii="宋体" w:eastAsia="宋体"/>
                <w:color w:val="auto"/>
                <w:sz w:val="24"/>
                <w:szCs w:val="24"/>
                <w:highlight w:val="none"/>
                <w:lang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56" w:type="dxa"/>
            <w:vMerge w:val="continue"/>
            <w:vAlign w:val="center"/>
          </w:tcPr>
          <w:p>
            <w:pPr>
              <w:keepNext w:val="0"/>
              <w:keepLines w:val="0"/>
              <w:pageBreakBefore w:val="0"/>
              <w:kinsoku/>
              <w:wordWrap/>
              <w:overflowPunct/>
              <w:topLinePunct w:val="0"/>
              <w:bidi w:val="0"/>
              <w:spacing w:line="360" w:lineRule="auto"/>
              <w:jc w:val="center"/>
              <w:rPr>
                <w:rFonts w:ascii="宋体"/>
                <w:color w:val="auto"/>
                <w:sz w:val="24"/>
                <w:szCs w:val="24"/>
                <w:highlight w:val="none"/>
              </w:rPr>
            </w:pPr>
          </w:p>
        </w:tc>
        <w:tc>
          <w:tcPr>
            <w:tcW w:w="1309" w:type="dxa"/>
            <w:vAlign w:val="center"/>
          </w:tcPr>
          <w:p>
            <w:pPr>
              <w:keepNext w:val="0"/>
              <w:keepLines w:val="0"/>
              <w:pageBreakBefore w:val="0"/>
              <w:kinsoku/>
              <w:wordWrap/>
              <w:overflowPunct/>
              <w:topLinePunct w:val="0"/>
              <w:bidi w:val="0"/>
              <w:spacing w:line="240" w:lineRule="auto"/>
              <w:jc w:val="center"/>
              <w:rPr>
                <w:rFonts w:hint="eastAsia" w:ascii="宋体" w:hAnsi="Times New Roman" w:eastAsia="宋体" w:cs="Times New Roman"/>
                <w:color w:val="auto"/>
                <w:kern w:val="2"/>
                <w:sz w:val="24"/>
                <w:szCs w:val="24"/>
                <w:highlight w:val="none"/>
                <w:lang w:val="en-US" w:eastAsia="zh-CN" w:bidi="ar-SA"/>
              </w:rPr>
            </w:pPr>
            <w:r>
              <w:rPr>
                <w:rFonts w:hint="eastAsia" w:ascii="宋体" w:hAnsi="宋体" w:cs="宋体"/>
                <w:color w:val="auto"/>
                <w:sz w:val="24"/>
                <w:szCs w:val="24"/>
                <w:highlight w:val="none"/>
              </w:rPr>
              <w:t>业绩</w:t>
            </w:r>
          </w:p>
        </w:tc>
        <w:tc>
          <w:tcPr>
            <w:tcW w:w="5585" w:type="dxa"/>
            <w:vAlign w:val="top"/>
          </w:tcPr>
          <w:p>
            <w:pPr>
              <w:keepNext w:val="0"/>
              <w:keepLines w:val="0"/>
              <w:pageBreakBefore w:val="0"/>
              <w:kinsoku/>
              <w:wordWrap/>
              <w:overflowPunct/>
              <w:topLinePunct w:val="0"/>
              <w:bidi w:val="0"/>
              <w:spacing w:line="240" w:lineRule="auto"/>
              <w:jc w:val="left"/>
              <w:rPr>
                <w:rFonts w:ascii="宋体" w:hAnsi="宋体" w:cs="宋体"/>
                <w:color w:val="auto"/>
                <w:sz w:val="24"/>
                <w:highlight w:val="none"/>
              </w:rPr>
            </w:pPr>
            <w:r>
              <w:rPr>
                <w:rFonts w:hint="eastAsia" w:ascii="宋体" w:hAnsi="宋体" w:cs="宋体"/>
                <w:color w:val="auto"/>
                <w:sz w:val="24"/>
                <w:highlight w:val="none"/>
              </w:rPr>
              <w:t>供应商自2017年1月1日起至今（以合同签署时间为准）承接过类似项目业绩的得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r>
              <w:rPr>
                <w:rFonts w:hint="eastAsia" w:ascii="宋体" w:hAnsi="宋体" w:cs="宋体"/>
                <w:color w:val="auto"/>
                <w:sz w:val="24"/>
                <w:highlight w:val="none"/>
                <w:lang w:val="en-US" w:eastAsia="zh-CN"/>
              </w:rPr>
              <w:t>最高得8分，</w:t>
            </w:r>
            <w:r>
              <w:rPr>
                <w:rFonts w:hint="eastAsia" w:ascii="宋体" w:hAnsi="宋体" w:cs="宋体"/>
                <w:color w:val="auto"/>
                <w:sz w:val="24"/>
                <w:highlight w:val="none"/>
              </w:rPr>
              <w:t>没有不得分。</w:t>
            </w:r>
          </w:p>
          <w:p>
            <w:pPr>
              <w:keepNext w:val="0"/>
              <w:keepLines w:val="0"/>
              <w:pageBreakBefore w:val="0"/>
              <w:kinsoku/>
              <w:wordWrap/>
              <w:overflowPunct/>
              <w:topLinePunct w:val="0"/>
              <w:bidi w:val="0"/>
              <w:spacing w:line="240" w:lineRule="auto"/>
              <w:jc w:val="left"/>
              <w:rPr>
                <w:rFonts w:hint="eastAsia" w:ascii="宋体" w:hAnsi="Times New Roman" w:eastAsia="宋体" w:cs="Times New Roman"/>
                <w:color w:val="auto"/>
                <w:kern w:val="2"/>
                <w:sz w:val="24"/>
                <w:szCs w:val="24"/>
                <w:highlight w:val="none"/>
                <w:lang w:val="en-US" w:eastAsia="zh-CN" w:bidi="ar-SA"/>
              </w:rPr>
            </w:pPr>
            <w:r>
              <w:rPr>
                <w:rFonts w:hint="eastAsia" w:ascii="宋体" w:hAnsi="宋体" w:cs="宋体"/>
                <w:color w:val="auto"/>
                <w:sz w:val="24"/>
                <w:highlight w:val="none"/>
              </w:rPr>
              <w:t>注：需提供合同和中标通知书复印件加盖公章。</w:t>
            </w:r>
          </w:p>
        </w:tc>
        <w:tc>
          <w:tcPr>
            <w:tcW w:w="769" w:type="dxa"/>
            <w:vAlign w:val="center"/>
          </w:tcPr>
          <w:p>
            <w:pPr>
              <w:keepNext w:val="0"/>
              <w:keepLines w:val="0"/>
              <w:pageBreakBefore w:val="0"/>
              <w:kinsoku/>
              <w:wordWrap/>
              <w:overflowPunct/>
              <w:topLinePunct w:val="0"/>
              <w:bidi w:val="0"/>
              <w:spacing w:line="240" w:lineRule="auto"/>
              <w:jc w:val="center"/>
              <w:rPr>
                <w:rFonts w:hint="eastAsia" w:ascii="宋体" w:hAnsi="Times New Roman" w:eastAsia="宋体" w:cs="Times New Roman"/>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r>
    </w:tbl>
    <w:p>
      <w:pPr>
        <w:keepNext w:val="0"/>
        <w:keepLines w:val="0"/>
        <w:pageBreakBefore w:val="0"/>
        <w:kinsoku/>
        <w:wordWrap/>
        <w:overflowPunct/>
        <w:topLinePunct w:val="0"/>
        <w:bidi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w:t>
      </w:r>
    </w:p>
    <w:p>
      <w:pPr>
        <w:keepNext w:val="0"/>
        <w:keepLines w:val="0"/>
        <w:pageBreakBefore w:val="0"/>
        <w:kinsoku/>
        <w:wordWrap/>
        <w:overflowPunct/>
        <w:topLinePunct w:val="0"/>
        <w:bidi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、评标委员会各成员应当独立对每个供应商的响应文件进行评价，并汇总每个供应商的得分。资信分为客观分，也需独立进行评价并核对分值，最终分值需一致。</w:t>
      </w:r>
    </w:p>
    <w:p>
      <w:pPr>
        <w:keepNext w:val="0"/>
        <w:keepLines w:val="0"/>
        <w:pageBreakBefore w:val="0"/>
        <w:kinsoku/>
        <w:wordWrap/>
        <w:overflowPunct/>
        <w:topLinePunct w:val="0"/>
        <w:bidi w:val="0"/>
        <w:spacing w:line="360" w:lineRule="auto"/>
        <w:ind w:firstLine="480" w:firstLineChars="200"/>
        <w:rPr>
          <w:color w:val="auto"/>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、所有文件、合同、证书、资质等需要真实有效。成交供应商在中标后签订合同时需提供以上证明文件原件，若发现资料作假的取消中标资格。</w:t>
      </w:r>
    </w:p>
    <w:p>
      <w:pPr>
        <w:rPr>
          <w:rFonts w:ascii="宋体"/>
          <w:b/>
          <w:bCs/>
          <w:color w:val="auto"/>
          <w:sz w:val="36"/>
          <w:szCs w:val="36"/>
          <w:highlight w:val="none"/>
        </w:rPr>
      </w:pPr>
      <w:bookmarkStart w:id="77" w:name="_Toc8033"/>
      <w:r>
        <w:rPr>
          <w:rFonts w:ascii="宋体"/>
          <w:b/>
          <w:bCs/>
          <w:color w:val="auto"/>
          <w:sz w:val="36"/>
          <w:szCs w:val="36"/>
          <w:highlight w:val="none"/>
        </w:rPr>
        <w:br w:type="page"/>
      </w:r>
    </w:p>
    <w:p>
      <w:pPr>
        <w:pStyle w:val="2"/>
        <w:jc w:val="center"/>
        <w:rPr>
          <w:rFonts w:ascii="宋体" w:cs="Times New Roman"/>
          <w:color w:val="auto"/>
          <w:highlight w:val="none"/>
        </w:rPr>
      </w:pPr>
      <w:bookmarkStart w:id="78" w:name="_Toc11628"/>
      <w:bookmarkStart w:id="79" w:name="_Toc4517"/>
      <w:r>
        <w:rPr>
          <w:rFonts w:hint="eastAsia" w:cs="宋体"/>
          <w:color w:val="auto"/>
          <w:sz w:val="36"/>
          <w:szCs w:val="36"/>
          <w:highlight w:val="none"/>
        </w:rPr>
        <w:t>第五部分</w:t>
      </w:r>
      <w:r>
        <w:rPr>
          <w:color w:val="auto"/>
          <w:sz w:val="36"/>
          <w:szCs w:val="36"/>
          <w:highlight w:val="none"/>
        </w:rPr>
        <w:t xml:space="preserve"> </w:t>
      </w:r>
      <w:r>
        <w:rPr>
          <w:rFonts w:hint="eastAsia" w:cs="宋体"/>
          <w:color w:val="auto"/>
          <w:sz w:val="36"/>
          <w:szCs w:val="36"/>
          <w:highlight w:val="none"/>
        </w:rPr>
        <w:t>采购合同</w:t>
      </w:r>
      <w:bookmarkEnd w:id="77"/>
      <w:bookmarkEnd w:id="78"/>
      <w:bookmarkEnd w:id="79"/>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宋体"/>
          <w:color w:val="auto"/>
          <w:kern w:val="0"/>
          <w:sz w:val="24"/>
          <w:szCs w:val="24"/>
          <w:highlight w:val="none"/>
        </w:rPr>
      </w:pPr>
      <w:r>
        <w:rPr>
          <w:rFonts w:hint="eastAsia" w:ascii="宋体" w:hAnsi="宋体" w:cs="宋体"/>
          <w:color w:val="auto"/>
          <w:kern w:val="0"/>
          <w:sz w:val="24"/>
          <w:szCs w:val="24"/>
          <w:highlight w:val="none"/>
        </w:rPr>
        <w:t>　合同编号：（</w:t>
      </w:r>
      <w:r>
        <w:rPr>
          <w:rFonts w:ascii="宋体" w:hAnsi="宋体" w:cs="宋体"/>
          <w:color w:val="auto"/>
          <w:kern w:val="0"/>
          <w:sz w:val="24"/>
          <w:szCs w:val="24"/>
          <w:highlight w:val="none"/>
        </w:rPr>
        <w:t>2020</w:t>
      </w:r>
      <w:r>
        <w:rPr>
          <w:rFonts w:hint="eastAsia" w:ascii="宋体" w:hAnsi="宋体" w:cs="宋体"/>
          <w:color w:val="auto"/>
          <w:kern w:val="0"/>
          <w:sz w:val="24"/>
          <w:szCs w:val="24"/>
          <w:highlight w:val="none"/>
        </w:rPr>
        <w:t>）第</w:t>
      </w:r>
      <w:r>
        <w:rPr>
          <w:rFonts w:hint="eastAsia" w:ascii="宋体" w:hAnsi="宋体" w:cs="宋体"/>
          <w:color w:val="auto"/>
          <w:kern w:val="0"/>
          <w:sz w:val="24"/>
          <w:szCs w:val="24"/>
          <w:highlight w:val="none"/>
          <w:u w:val="single"/>
        </w:rPr>
        <w:t>　　</w:t>
      </w:r>
      <w:r>
        <w:rPr>
          <w:rFonts w:hint="eastAsia" w:ascii="宋体" w:hAnsi="宋体" w:cs="宋体"/>
          <w:color w:val="auto"/>
          <w:kern w:val="0"/>
          <w:sz w:val="24"/>
          <w:szCs w:val="24"/>
          <w:highlight w:val="none"/>
        </w:rPr>
        <w:t>号</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宋体"/>
          <w:color w:val="auto"/>
          <w:kern w:val="0"/>
          <w:sz w:val="24"/>
          <w:szCs w:val="24"/>
          <w:highlight w:val="none"/>
        </w:rPr>
      </w:pPr>
      <w:r>
        <w:rPr>
          <w:rFonts w:hint="eastAsia" w:ascii="宋体" w:hAnsi="宋体" w:cs="宋体"/>
          <w:color w:val="auto"/>
          <w:kern w:val="0"/>
          <w:sz w:val="24"/>
          <w:szCs w:val="24"/>
          <w:highlight w:val="none"/>
        </w:rPr>
        <w:t>　签订日期：</w:t>
      </w:r>
      <w:r>
        <w:rPr>
          <w:rFonts w:ascii="宋体" w:hAnsi="宋体" w:cs="宋体"/>
          <w:color w:val="auto"/>
          <w:kern w:val="0"/>
          <w:sz w:val="24"/>
          <w:szCs w:val="24"/>
          <w:highlight w:val="none"/>
        </w:rPr>
        <w:t>2020</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u w:val="single"/>
        </w:rPr>
        <w:t>　　</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u w:val="single"/>
        </w:rPr>
        <w:t>　　</w:t>
      </w:r>
      <w:r>
        <w:rPr>
          <w:rFonts w:hint="eastAsia" w:ascii="宋体" w:hAnsi="宋体" w:cs="宋体"/>
          <w:color w:val="auto"/>
          <w:kern w:val="0"/>
          <w:sz w:val="24"/>
          <w:szCs w:val="24"/>
          <w:highlight w:val="none"/>
        </w:rPr>
        <w:t>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color w:val="auto"/>
          <w:sz w:val="28"/>
          <w:szCs w:val="28"/>
          <w:highlight w:val="none"/>
          <w:u w:val="single"/>
        </w:rPr>
      </w:pPr>
      <w:r>
        <w:rPr>
          <w:rFonts w:hint="eastAsia" w:ascii="宋体" w:hAnsi="宋体" w:cs="宋体"/>
          <w:color w:val="auto"/>
          <w:kern w:val="0"/>
          <w:sz w:val="24"/>
          <w:szCs w:val="24"/>
          <w:highlight w:val="none"/>
        </w:rPr>
        <w:t>　甲方</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rPr>
        <w:t>　　　　　　　　　　　　　　　　　　　　　　　　　</w:t>
      </w:r>
    </w:p>
    <w:p>
      <w:pPr>
        <w:keepNext w:val="0"/>
        <w:keepLines w:val="0"/>
        <w:pageBreakBefore w:val="0"/>
        <w:widowControl w:val="0"/>
        <w:kinsoku/>
        <w:wordWrap/>
        <w:overflowPunct/>
        <w:topLinePunct w:val="0"/>
        <w:autoSpaceDE/>
        <w:autoSpaceDN/>
        <w:bidi w:val="0"/>
        <w:spacing w:line="360" w:lineRule="auto"/>
        <w:ind w:firstLine="720" w:firstLineChars="300"/>
        <w:jc w:val="left"/>
        <w:textAlignment w:val="auto"/>
        <w:rPr>
          <w:rFonts w:ascii="宋体"/>
          <w:color w:val="auto"/>
          <w:sz w:val="28"/>
          <w:szCs w:val="28"/>
          <w:highlight w:val="none"/>
          <w:u w:val="single"/>
        </w:rPr>
      </w:pPr>
      <w:r>
        <w:rPr>
          <w:rFonts w:hint="eastAsia" w:ascii="宋体" w:hAnsi="宋体" w:cs="宋体"/>
          <w:color w:val="auto"/>
          <w:kern w:val="0"/>
          <w:sz w:val="24"/>
          <w:szCs w:val="24"/>
          <w:highlight w:val="none"/>
        </w:rPr>
        <w:t>乙方</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rPr>
        <w:t>　　　　　　　　　　　　　　　　　　　　　　　　　</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lef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根据《中华人民共和国合同法》、政</w:t>
      </w:r>
      <w:r>
        <w:rPr>
          <w:rFonts w:hint="eastAsia" w:ascii="宋体" w:hAnsi="宋体" w:cs="宋体"/>
          <w:color w:val="auto"/>
          <w:kern w:val="0"/>
          <w:sz w:val="24"/>
          <w:szCs w:val="24"/>
          <w:highlight w:val="none"/>
        </w:rPr>
        <w:t>府采购编号为</w:t>
      </w:r>
      <w:r>
        <w:rPr>
          <w:rFonts w:hint="eastAsia" w:ascii="宋体" w:hAnsi="宋体" w:cs="宋体"/>
          <w:color w:val="auto"/>
          <w:kern w:val="0"/>
          <w:sz w:val="24"/>
          <w:szCs w:val="24"/>
          <w:highlight w:val="none"/>
          <w:lang w:eastAsia="zh-CN"/>
        </w:rPr>
        <w:t>YK2020251</w:t>
      </w:r>
      <w:r>
        <w:rPr>
          <w:rFonts w:hint="eastAsia" w:ascii="宋体" w:hAnsi="宋体" w:cs="宋体"/>
          <w:color w:val="auto"/>
          <w:kern w:val="0"/>
          <w:sz w:val="24"/>
          <w:szCs w:val="24"/>
          <w:highlight w:val="none"/>
        </w:rPr>
        <w:t>磋商文件、成交供应商响应文件的规定，经竞争性磋商采购，签订本合同。</w:t>
      </w:r>
    </w:p>
    <w:p>
      <w:pPr>
        <w:keepNext w:val="0"/>
        <w:keepLines w:val="0"/>
        <w:pageBreakBefore w:val="0"/>
        <w:widowControl w:val="0"/>
        <w:numPr>
          <w:ilvl w:val="0"/>
          <w:numId w:val="18"/>
        </w:numPr>
        <w:kinsoku/>
        <w:wordWrap/>
        <w:overflowPunct/>
        <w:topLinePunct w:val="0"/>
        <w:autoSpaceDE/>
        <w:autoSpaceDN/>
        <w:bidi w:val="0"/>
        <w:spacing w:line="360" w:lineRule="auto"/>
        <w:textAlignment w:val="auto"/>
        <w:rPr>
          <w:rFonts w:ascii="宋体" w:cs="宋体"/>
          <w:b/>
          <w:bCs/>
          <w:color w:val="auto"/>
          <w:sz w:val="24"/>
          <w:szCs w:val="22"/>
          <w:highlight w:val="none"/>
        </w:rPr>
      </w:pPr>
      <w:r>
        <w:rPr>
          <w:rFonts w:hint="eastAsia" w:ascii="宋体" w:hAnsi="宋体" w:cs="宋体"/>
          <w:b/>
          <w:color w:val="auto"/>
          <w:sz w:val="24"/>
          <w:szCs w:val="22"/>
          <w:highlight w:val="none"/>
        </w:rPr>
        <w:t>项目内容</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一、项目目标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宋体" w:hAnsi="宋体"/>
          <w:color w:val="auto"/>
          <w:sz w:val="24"/>
          <w:szCs w:val="24"/>
          <w:highlight w:val="none"/>
          <w:lang w:val="en-US" w:eastAsia="zh-CN"/>
        </w:rPr>
      </w:pPr>
      <w:r>
        <w:rPr>
          <w:rFonts w:hint="default" w:ascii="宋体" w:hAnsi="宋体"/>
          <w:color w:val="auto"/>
          <w:sz w:val="24"/>
          <w:szCs w:val="24"/>
          <w:highlight w:val="none"/>
          <w:lang w:val="en-US" w:eastAsia="zh-CN"/>
        </w:rPr>
        <w:t>通过新乡贤统战工作省级标准化试点项目的开展，实现新乡贤统战组织标准化、新乡贤统战队伍建设标准化、新乡贤统战工作制度建设标准化、新乡贤统战工作业务标准化、新乡贤统战工作阵地标准化；乙方将在试点项目申报、实施、检查、自我评价、持续改进及试点项目验收等方面为甲方提供技术服务。</w:t>
      </w:r>
    </w:p>
    <w:p>
      <w:pPr>
        <w:keepNext w:val="0"/>
        <w:keepLines w:val="0"/>
        <w:pageBreakBefore w:val="0"/>
        <w:widowControl w:val="0"/>
        <w:numPr>
          <w:ilvl w:val="0"/>
          <w:numId w:val="0"/>
        </w:numPr>
        <w:kinsoku/>
        <w:wordWrap/>
        <w:overflowPunct/>
        <w:topLinePunct w:val="0"/>
        <w:autoSpaceDE/>
        <w:autoSpaceDN/>
        <w:bidi w:val="0"/>
        <w:spacing w:line="360" w:lineRule="auto"/>
        <w:ind w:firstLine="482" w:firstLineChars="200"/>
        <w:textAlignment w:val="auto"/>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二、项目内容</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（1）新乡贤统战工作试点项目的可行性研究</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乙方将开展新乡贤统战工作试点项目理论研究、相关文献收集，对浙江省各地市新乡贤统战组织工作开展的实际情况开展调研工作，为试点项目的申报工作打好基础。</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（2）新乡贤统战工作试点项目申报前期准备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乙方将协助甲方起草新乡贤统战工作省级试点项目可行性报告，编制项目建议书。</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（3）新乡贤统战工作省级标准化试点项目申报</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乙方将协助甲方向浙江省试点项目管理单位提交项目申报书，推动完成试点立项申报工作。</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（4）新乡贤统战工作标准化试点策划准备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乙方将协助甲方成立新乡贤统战工作标准化领导小组和标准化工作小组，推进上虞区新乡贤统战工作标准化试点建设工作。乙方将协助甲方召开试点项目动员大会，营造良好的标准化氛围。</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（5）新乡贤统战工作标准体系建设</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乙方将协助甲方整理现有工作成果，提炼优秀经验做法，组织构建试点项目标准体系，针对新乡贤统战工作的关键环节和重点内容，形成条理明确和层次清晰的标准明细表，并开展标准研制工作。</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（5）新乡贤统战工作标准宣贯实施</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乙方协助甲方有计划、有步骤地对上虞区各级新乡贤联谊会工作人员分层次进行新乡贤统战标准宣贯培训，定期开展标准实施检查，对检查发现的问题进行记录，要求责任单位制定纠正和预防措施，调整实施方案，持续改进，在过程中总结提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（6）新乡贤统战工作标准体系自我评估和整改</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乙方协助甲方成立自我评价小组，完成试点项目自我评价和持续改进工作。</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（7）新乡贤统战工作试点项目验收总结</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乙方协助甲方完成新乡贤统战工作省级标准化试点项目验收。</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firstLine="482" w:firstLineChars="20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lang w:val="en-US" w:eastAsia="zh-CN"/>
        </w:rPr>
        <w:t>三、完成技术服务工作形式</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通过技术服务推进新乡贤统战工作省级标准化试点项目工作，，完成新乡贤统战工作省级标准化试点项目的申报、立项、实施及验收。</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eastAsia" w:ascii="宋体" w:hAnsi="宋体" w:cs="仿宋_GB2312"/>
          <w:b/>
          <w:color w:val="auto"/>
          <w:sz w:val="24"/>
          <w:szCs w:val="24"/>
          <w:highlight w:val="none"/>
          <w:lang w:val="en-US" w:eastAsia="zh-CN"/>
        </w:rPr>
      </w:pPr>
      <w:r>
        <w:rPr>
          <w:rFonts w:hint="eastAsia" w:ascii="宋体" w:hAnsi="宋体" w:cs="仿宋_GB2312"/>
          <w:b/>
          <w:color w:val="auto"/>
          <w:sz w:val="24"/>
          <w:szCs w:val="24"/>
          <w:highlight w:val="none"/>
          <w:lang w:val="en-US" w:eastAsia="zh-CN"/>
        </w:rPr>
        <w:t>四</w:t>
      </w:r>
      <w:r>
        <w:rPr>
          <w:rFonts w:hint="eastAsia" w:ascii="宋体" w:hAnsi="宋体" w:cs="仿宋_GB2312"/>
          <w:b/>
          <w:color w:val="auto"/>
          <w:sz w:val="24"/>
          <w:szCs w:val="24"/>
          <w:highlight w:val="none"/>
        </w:rPr>
        <w:t>、</w:t>
      </w:r>
      <w:r>
        <w:rPr>
          <w:rFonts w:hint="eastAsia" w:ascii="宋体" w:hAnsi="宋体" w:cs="仿宋_GB2312"/>
          <w:b/>
          <w:color w:val="auto"/>
          <w:sz w:val="24"/>
          <w:szCs w:val="24"/>
          <w:highlight w:val="none"/>
          <w:lang w:val="en-US" w:eastAsia="zh-CN"/>
        </w:rPr>
        <w:t>服务期限</w:t>
      </w:r>
    </w:p>
    <w:p>
      <w:pPr>
        <w:pStyle w:val="20"/>
        <w:rPr>
          <w:rFonts w:hint="eastAsia" w:ascii="宋体" w:hAnsi="宋体" w:eastAsia="宋体" w:cs="仿宋_GB2312"/>
          <w:color w:val="auto"/>
          <w:sz w:val="24"/>
          <w:szCs w:val="24"/>
          <w:highlight w:val="none"/>
          <w:lang w:val="en-US" w:eastAsia="zh-CN"/>
        </w:rPr>
      </w:pPr>
      <w:r>
        <w:rPr>
          <w:rFonts w:hint="eastAsia" w:ascii="宋体" w:hAnsi="宋体" w:eastAsia="宋体" w:cs="Times New Roman"/>
          <w:color w:val="auto"/>
          <w:kern w:val="2"/>
          <w:sz w:val="24"/>
          <w:szCs w:val="24"/>
          <w:highlight w:val="none"/>
          <w:lang w:val="en-US" w:eastAsia="zh-CN" w:bidi="ar-SA"/>
        </w:rPr>
        <w:t>2020年6月～2021年12月。</w:t>
      </w:r>
    </w:p>
    <w:p>
      <w:pPr>
        <w:keepNext w:val="0"/>
        <w:keepLines w:val="0"/>
        <w:pageBreakBefore w:val="0"/>
        <w:widowControl w:val="0"/>
        <w:numPr>
          <w:ilvl w:val="0"/>
          <w:numId w:val="18"/>
        </w:numPr>
        <w:kinsoku/>
        <w:wordWrap/>
        <w:overflowPunct/>
        <w:topLinePunct w:val="0"/>
        <w:autoSpaceDE/>
        <w:autoSpaceDN/>
        <w:bidi w:val="0"/>
        <w:spacing w:line="360" w:lineRule="auto"/>
        <w:textAlignment w:val="auto"/>
        <w:rPr>
          <w:rFonts w:ascii="宋体" w:cs="宋体"/>
          <w:b/>
          <w:bCs/>
          <w:color w:val="auto"/>
          <w:sz w:val="24"/>
          <w:highlight w:val="none"/>
        </w:rPr>
      </w:pPr>
      <w:r>
        <w:rPr>
          <w:rFonts w:hint="eastAsia" w:ascii="宋体" w:hAnsi="宋体" w:cs="宋体"/>
          <w:b/>
          <w:bCs/>
          <w:color w:val="auto"/>
          <w:sz w:val="24"/>
          <w:highlight w:val="none"/>
        </w:rPr>
        <w:t>付款方式：</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cs="宋体"/>
          <w:bCs/>
          <w:color w:val="auto"/>
          <w:sz w:val="24"/>
          <w:highlight w:val="none"/>
        </w:rPr>
      </w:pPr>
      <w:r>
        <w:rPr>
          <w:rFonts w:ascii="宋体" w:hAnsi="宋体" w:cs="宋体"/>
          <w:bCs/>
          <w:color w:val="auto"/>
          <w:sz w:val="24"/>
          <w:highlight w:val="none"/>
        </w:rPr>
        <w:t>1</w:t>
      </w:r>
      <w:r>
        <w:rPr>
          <w:rFonts w:hint="eastAsia" w:ascii="宋体" w:hAnsi="宋体" w:cs="宋体"/>
          <w:bCs/>
          <w:color w:val="auto"/>
          <w:sz w:val="24"/>
          <w:highlight w:val="none"/>
        </w:rPr>
        <w:t>、中标价：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cs="宋体"/>
          <w:bCs/>
          <w:color w:val="auto"/>
          <w:sz w:val="24"/>
          <w:highlight w:val="none"/>
        </w:rPr>
      </w:pPr>
      <w:r>
        <w:rPr>
          <w:rFonts w:hint="eastAsia" w:ascii="宋体" w:hAnsi="宋体" w:cs="宋体"/>
          <w:bCs/>
          <w:color w:val="auto"/>
          <w:sz w:val="24"/>
          <w:highlight w:val="none"/>
        </w:rPr>
        <w:t>中标价为人民币（大写）：</w:t>
      </w:r>
      <w:r>
        <w:rPr>
          <w:rFonts w:ascii="宋体" w:hAnsi="宋体" w:cs="宋体"/>
          <w:bCs/>
          <w:color w:val="auto"/>
          <w:sz w:val="24"/>
          <w:highlight w:val="none"/>
          <w:u w:val="single"/>
        </w:rPr>
        <w:t xml:space="preserve">        </w:t>
      </w:r>
      <w:r>
        <w:rPr>
          <w:rFonts w:hint="eastAsia" w:ascii="宋体" w:hAnsi="宋体" w:cs="宋体"/>
          <w:bCs/>
          <w:color w:val="auto"/>
          <w:sz w:val="24"/>
          <w:highlight w:val="none"/>
        </w:rPr>
        <w:t>元（￥</w:t>
      </w:r>
      <w:r>
        <w:rPr>
          <w:rFonts w:ascii="宋体" w:hAnsi="宋体" w:cs="宋体"/>
          <w:bCs/>
          <w:color w:val="auto"/>
          <w:sz w:val="24"/>
          <w:highlight w:val="none"/>
          <w:u w:val="single"/>
        </w:rPr>
        <w:t xml:space="preserve">       </w:t>
      </w:r>
      <w:r>
        <w:rPr>
          <w:rFonts w:hint="eastAsia" w:ascii="宋体" w:hAnsi="宋体" w:cs="宋体"/>
          <w:bCs/>
          <w:color w:val="auto"/>
          <w:sz w:val="24"/>
          <w:highlight w:val="none"/>
        </w:rPr>
        <w:t>元）。成交价</w:t>
      </w:r>
      <w:r>
        <w:rPr>
          <w:rFonts w:hint="eastAsia" w:ascii="宋体" w:hAnsi="宋体" w:cs="宋体"/>
          <w:color w:val="auto"/>
          <w:sz w:val="24"/>
          <w:szCs w:val="32"/>
          <w:highlight w:val="none"/>
        </w:rPr>
        <w:t>包括包含完成采购范围内全部工作及提交成果资料所需的一切费用，如人工成本、资料费、差旅费、交通、通讯、劳务、利润、税收、验收费、培训等以及所有有关的管理成本</w:t>
      </w:r>
      <w:r>
        <w:rPr>
          <w:rFonts w:hint="eastAsia" w:ascii="宋体" w:hAnsi="宋体" w:cs="宋体"/>
          <w:bCs/>
          <w:color w:val="auto"/>
          <w:sz w:val="24"/>
          <w:highlight w:val="none"/>
        </w:rPr>
        <w:t>。凡乙方在报价中未列明但又为本次采购所必备的项目或遗漏项目，甲方将一律视为已包括在合同价中，在合同执行中将不予考虑。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cs="宋体"/>
          <w:bCs/>
          <w:color w:val="auto"/>
          <w:sz w:val="24"/>
          <w:highlight w:val="none"/>
        </w:rPr>
      </w:pPr>
      <w:r>
        <w:rPr>
          <w:rFonts w:ascii="宋体" w:hAnsi="宋体" w:cs="宋体"/>
          <w:bCs/>
          <w:color w:val="auto"/>
          <w:sz w:val="24"/>
          <w:highlight w:val="none"/>
        </w:rPr>
        <w:t>2</w:t>
      </w:r>
      <w:r>
        <w:rPr>
          <w:rFonts w:hint="eastAsia" w:ascii="宋体" w:hAnsi="宋体" w:cs="宋体"/>
          <w:bCs/>
          <w:color w:val="auto"/>
          <w:sz w:val="24"/>
          <w:highlight w:val="none"/>
        </w:rPr>
        <w:t>、本项目付款方式：</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color w:val="auto"/>
          <w:sz w:val="24"/>
          <w:highlight w:val="none"/>
        </w:rPr>
      </w:pPr>
      <w:r>
        <w:rPr>
          <w:rFonts w:hint="eastAsia"/>
          <w:color w:val="auto"/>
          <w:sz w:val="24"/>
          <w:highlight w:val="none"/>
        </w:rPr>
        <w:t>（1）合同签订后5个工作日内，甲方向乙方支付合同总价的60%，该费用为项目启动费用，用于新乡贤统战工作试点项目的可行性研究、省级标准化试点项目申报等技术服务。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color w:val="auto"/>
          <w:sz w:val="24"/>
          <w:highlight w:val="none"/>
        </w:rPr>
      </w:pPr>
      <w:r>
        <w:rPr>
          <w:rFonts w:hint="eastAsia"/>
          <w:color w:val="auto"/>
          <w:sz w:val="24"/>
          <w:highlight w:val="none"/>
        </w:rPr>
        <w:t>（2）省级标准化试点项目立项后，甲方向乙方支付合同总价的20%，该费用为试点项目中新乡贤统战工作调研阶段、新乡贤统战工作标准体系构建阶段、标准研制阶段、标准实施阶段的工作经费。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color w:val="auto"/>
          <w:highlight w:val="none"/>
        </w:rPr>
      </w:pPr>
      <w:r>
        <w:rPr>
          <w:rFonts w:hint="eastAsia"/>
          <w:color w:val="auto"/>
          <w:sz w:val="24"/>
          <w:highlight w:val="none"/>
        </w:rPr>
        <w:t>（3）省级标准化试点项目完成验收，甲方支付乙方合同总价的20%。</w:t>
      </w:r>
    </w:p>
    <w:p>
      <w:pPr>
        <w:keepNext w:val="0"/>
        <w:keepLines w:val="0"/>
        <w:pageBreakBefore w:val="0"/>
        <w:widowControl w:val="0"/>
        <w:numPr>
          <w:ilvl w:val="0"/>
          <w:numId w:val="18"/>
        </w:numPr>
        <w:kinsoku/>
        <w:wordWrap/>
        <w:overflowPunct/>
        <w:topLinePunct w:val="0"/>
        <w:autoSpaceDE/>
        <w:autoSpaceDN/>
        <w:bidi w:val="0"/>
        <w:spacing w:line="360" w:lineRule="auto"/>
        <w:textAlignment w:val="auto"/>
        <w:rPr>
          <w:rFonts w:ascii="宋体" w:cs="宋体"/>
          <w:b/>
          <w:bCs/>
          <w:color w:val="auto"/>
          <w:sz w:val="24"/>
          <w:highlight w:val="none"/>
        </w:rPr>
      </w:pPr>
      <w:r>
        <w:rPr>
          <w:rFonts w:hint="eastAsia" w:ascii="宋体" w:hAnsi="宋体" w:cs="宋体"/>
          <w:b/>
          <w:bCs/>
          <w:color w:val="auto"/>
          <w:sz w:val="24"/>
          <w:highlight w:val="none"/>
        </w:rPr>
        <w:t>甲方权利与义务</w:t>
      </w:r>
    </w:p>
    <w:p>
      <w:pPr>
        <w:keepNext w:val="0"/>
        <w:keepLines w:val="0"/>
        <w:pageBreakBefore w:val="0"/>
        <w:widowControl w:val="0"/>
        <w:numPr>
          <w:ilvl w:val="0"/>
          <w:numId w:val="19"/>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甲方有权对乙方的合同履约和实施情况、质量、效果进行全面的检查、管理和监督，对发现的问题及时向乙方提出书面或口头改进意见，并限期予以整改。</w:t>
      </w:r>
    </w:p>
    <w:p>
      <w:pPr>
        <w:keepNext w:val="0"/>
        <w:keepLines w:val="0"/>
        <w:pageBreakBefore w:val="0"/>
        <w:widowControl w:val="0"/>
        <w:numPr>
          <w:ilvl w:val="0"/>
          <w:numId w:val="19"/>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甲方有权对乙方不履行合同义务及其磋商承诺的行为进行合同款项扣罚及经济处罚，情节严重或严重影响</w:t>
      </w:r>
      <w:r>
        <w:rPr>
          <w:rFonts w:hint="eastAsia" w:ascii="宋体" w:hAnsi="宋体" w:cs="宋体"/>
          <w:color w:val="auto"/>
          <w:sz w:val="24"/>
          <w:szCs w:val="22"/>
          <w:highlight w:val="none"/>
          <w:lang w:val="en-US" w:eastAsia="zh-CN"/>
        </w:rPr>
        <w:t>服务质量</w:t>
      </w:r>
      <w:r>
        <w:rPr>
          <w:rFonts w:hint="eastAsia" w:ascii="宋体" w:hAnsi="宋体" w:cs="宋体"/>
          <w:color w:val="auto"/>
          <w:sz w:val="24"/>
          <w:szCs w:val="22"/>
          <w:highlight w:val="none"/>
        </w:rPr>
        <w:t>的，乙方应赔偿甲方相应的损失。</w:t>
      </w:r>
    </w:p>
    <w:p>
      <w:pPr>
        <w:keepNext w:val="0"/>
        <w:keepLines w:val="0"/>
        <w:pageBreakBefore w:val="0"/>
        <w:widowControl w:val="0"/>
        <w:numPr>
          <w:ilvl w:val="0"/>
          <w:numId w:val="19"/>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甲方应按时向乙方支付合同款项，如出现有合同款项扣罚或经济处罚的情况，将在扣罚相关金额后进行余额的支付。</w:t>
      </w:r>
    </w:p>
    <w:p>
      <w:pPr>
        <w:keepNext w:val="0"/>
        <w:keepLines w:val="0"/>
        <w:pageBreakBefore w:val="0"/>
        <w:widowControl w:val="0"/>
        <w:numPr>
          <w:ilvl w:val="0"/>
          <w:numId w:val="19"/>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甲方需积极协助配合乙方开展相关工作，协助乙方解决问题、使之顺利开展工作。</w:t>
      </w:r>
    </w:p>
    <w:p>
      <w:pPr>
        <w:keepNext w:val="0"/>
        <w:keepLines w:val="0"/>
        <w:pageBreakBefore w:val="0"/>
        <w:widowControl w:val="0"/>
        <w:numPr>
          <w:ilvl w:val="0"/>
          <w:numId w:val="19"/>
        </w:numPr>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甲方可要求乙方调整不合格项目组成员及员工，并在要求的时间内及时调整到位。</w:t>
      </w:r>
    </w:p>
    <w:p>
      <w:pPr>
        <w:keepNext w:val="0"/>
        <w:keepLines w:val="0"/>
        <w:pageBreakBefore w:val="0"/>
        <w:widowControl w:val="0"/>
        <w:numPr>
          <w:ilvl w:val="0"/>
          <w:numId w:val="19"/>
        </w:numPr>
        <w:kinsoku/>
        <w:wordWrap/>
        <w:overflowPunct/>
        <w:topLinePunct w:val="0"/>
        <w:autoSpaceDE/>
        <w:autoSpaceDN/>
        <w:bidi w:val="0"/>
        <w:spacing w:line="360" w:lineRule="auto"/>
        <w:ind w:firstLine="480" w:firstLineChars="200"/>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甲方</w:t>
      </w:r>
      <w:r>
        <w:rPr>
          <w:rFonts w:hint="eastAsia" w:ascii="宋体" w:hAnsi="宋体" w:cs="宋体"/>
          <w:color w:val="auto"/>
          <w:sz w:val="24"/>
          <w:szCs w:val="22"/>
          <w:highlight w:val="none"/>
          <w:lang w:val="en-US" w:eastAsia="zh-CN"/>
        </w:rPr>
        <w:t>需</w:t>
      </w:r>
      <w:r>
        <w:rPr>
          <w:rFonts w:hint="eastAsia" w:ascii="宋体" w:hAnsi="宋体" w:cs="宋体"/>
          <w:color w:val="auto"/>
          <w:sz w:val="24"/>
          <w:szCs w:val="22"/>
          <w:highlight w:val="none"/>
        </w:rPr>
        <w:t>向乙方提供“上虞区新乡贤统战工作省级标准化试点”项目所需相关资料。</w:t>
      </w:r>
    </w:p>
    <w:p>
      <w:pPr>
        <w:keepNext w:val="0"/>
        <w:keepLines w:val="0"/>
        <w:pageBreakBefore w:val="0"/>
        <w:widowControl w:val="0"/>
        <w:numPr>
          <w:ilvl w:val="0"/>
          <w:numId w:val="18"/>
        </w:numPr>
        <w:kinsoku/>
        <w:wordWrap/>
        <w:overflowPunct/>
        <w:topLinePunct w:val="0"/>
        <w:autoSpaceDE/>
        <w:autoSpaceDN/>
        <w:bidi w:val="0"/>
        <w:spacing w:line="360" w:lineRule="auto"/>
        <w:textAlignment w:val="auto"/>
        <w:rPr>
          <w:rFonts w:ascii="宋体" w:cs="宋体"/>
          <w:b/>
          <w:bCs/>
          <w:color w:val="auto"/>
          <w:sz w:val="24"/>
          <w:highlight w:val="none"/>
        </w:rPr>
      </w:pPr>
      <w:r>
        <w:rPr>
          <w:rFonts w:hint="eastAsia" w:ascii="宋体" w:hAnsi="宋体" w:cs="宋体"/>
          <w:b/>
          <w:bCs/>
          <w:color w:val="auto"/>
          <w:sz w:val="24"/>
          <w:highlight w:val="none"/>
        </w:rPr>
        <w:t>乙方权利与义务</w:t>
      </w:r>
    </w:p>
    <w:p>
      <w:pPr>
        <w:keepNext w:val="0"/>
        <w:keepLines w:val="0"/>
        <w:pageBreakBefore w:val="0"/>
        <w:widowControl w:val="0"/>
        <w:numPr>
          <w:ilvl w:val="0"/>
          <w:numId w:val="20"/>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cs="宋体"/>
          <w:color w:val="auto"/>
          <w:sz w:val="24"/>
          <w:szCs w:val="22"/>
          <w:highlight w:val="none"/>
          <w:lang w:val="en-US" w:eastAsia="zh-CN"/>
        </w:rPr>
        <w:t>乙方保密义务</w:t>
      </w:r>
    </w:p>
    <w:p>
      <w:pPr>
        <w:spacing w:line="360" w:lineRule="auto"/>
        <w:ind w:firstLine="480" w:firstLineChars="200"/>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1</w:t>
      </w:r>
      <w:r>
        <w:rPr>
          <w:rFonts w:hint="eastAsia"/>
          <w:color w:val="auto"/>
          <w:sz w:val="24"/>
          <w:szCs w:val="24"/>
          <w:highlight w:val="none"/>
          <w:lang w:eastAsia="zh-CN"/>
        </w:rPr>
        <w:t>）</w:t>
      </w:r>
      <w:r>
        <w:rPr>
          <w:rFonts w:hint="eastAsia"/>
          <w:color w:val="auto"/>
          <w:sz w:val="24"/>
          <w:szCs w:val="24"/>
          <w:highlight w:val="none"/>
        </w:rPr>
        <w:t>保密内容（包括技术信息和经营信息）</w:t>
      </w:r>
      <w:r>
        <w:rPr>
          <w:color w:val="auto"/>
          <w:sz w:val="24"/>
          <w:szCs w:val="24"/>
          <w:highlight w:val="none"/>
        </w:rPr>
        <w:t>:</w:t>
      </w:r>
      <w:r>
        <w:rPr>
          <w:color w:val="auto"/>
          <w:sz w:val="24"/>
          <w:szCs w:val="24"/>
          <w:highlight w:val="none"/>
          <w:u w:val="single"/>
        </w:rPr>
        <w:t xml:space="preserve"> </w:t>
      </w:r>
      <w:r>
        <w:rPr>
          <w:rFonts w:hint="eastAsia"/>
          <w:color w:val="auto"/>
          <w:sz w:val="24"/>
          <w:szCs w:val="24"/>
          <w:highlight w:val="none"/>
          <w:u w:val="single"/>
        </w:rPr>
        <w:t>为甲方提供的技术资料、背景资料等承担保密义务，乙方调研到的信息不得向第三方透露</w:t>
      </w:r>
      <w:r>
        <w:rPr>
          <w:rFonts w:hint="eastAsia"/>
          <w:color w:val="auto"/>
          <w:sz w:val="24"/>
          <w:szCs w:val="24"/>
          <w:highlight w:val="none"/>
        </w:rPr>
        <w:t>。</w:t>
      </w:r>
    </w:p>
    <w:p>
      <w:pPr>
        <w:spacing w:line="360" w:lineRule="auto"/>
        <w:ind w:firstLine="480" w:firstLineChars="200"/>
        <w:rPr>
          <w:color w:val="auto"/>
          <w:sz w:val="24"/>
          <w:szCs w:val="24"/>
          <w:highlight w:val="none"/>
        </w:rPr>
      </w:pPr>
      <w:r>
        <w:rPr>
          <w:rFonts w:hint="eastAsia"/>
          <w:color w:val="auto"/>
          <w:sz w:val="24"/>
          <w:szCs w:val="24"/>
          <w:highlight w:val="none"/>
          <w:lang w:eastAsia="zh-CN"/>
        </w:rPr>
        <w:t>（</w:t>
      </w:r>
      <w:r>
        <w:rPr>
          <w:rFonts w:hint="eastAsia"/>
          <w:color w:val="auto"/>
          <w:sz w:val="24"/>
          <w:szCs w:val="24"/>
          <w:highlight w:val="none"/>
          <w:lang w:val="en-US" w:eastAsia="zh-CN"/>
        </w:rPr>
        <w:t>2</w:t>
      </w:r>
      <w:r>
        <w:rPr>
          <w:rFonts w:hint="eastAsia"/>
          <w:color w:val="auto"/>
          <w:sz w:val="24"/>
          <w:szCs w:val="24"/>
          <w:highlight w:val="none"/>
          <w:lang w:eastAsia="zh-CN"/>
        </w:rPr>
        <w:t>）</w:t>
      </w:r>
      <w:r>
        <w:rPr>
          <w:rFonts w:hint="eastAsia"/>
          <w:color w:val="auto"/>
          <w:sz w:val="24"/>
          <w:szCs w:val="24"/>
          <w:highlight w:val="none"/>
        </w:rPr>
        <w:t>涉密人员范围</w:t>
      </w:r>
      <w:r>
        <w:rPr>
          <w:color w:val="auto"/>
          <w:sz w:val="24"/>
          <w:szCs w:val="24"/>
          <w:highlight w:val="none"/>
        </w:rPr>
        <w:t xml:space="preserve">: </w:t>
      </w:r>
      <w:r>
        <w:rPr>
          <w:rFonts w:hint="eastAsia"/>
          <w:color w:val="auto"/>
          <w:sz w:val="24"/>
          <w:szCs w:val="24"/>
          <w:highlight w:val="none"/>
          <w:u w:val="single"/>
        </w:rPr>
        <w:t>参与调查和项目研究的所有人员</w:t>
      </w:r>
      <w:r>
        <w:rPr>
          <w:rFonts w:hint="eastAsia"/>
          <w:color w:val="auto"/>
          <w:sz w:val="24"/>
          <w:szCs w:val="24"/>
          <w:highlight w:val="none"/>
        </w:rPr>
        <w:t>。</w:t>
      </w:r>
    </w:p>
    <w:p>
      <w:pPr>
        <w:spacing w:line="360" w:lineRule="auto"/>
        <w:ind w:firstLine="480" w:firstLineChars="200"/>
        <w:rPr>
          <w:color w:val="auto"/>
          <w:sz w:val="24"/>
          <w:szCs w:val="24"/>
          <w:highlight w:val="none"/>
          <w:u w:val="single"/>
        </w:rPr>
      </w:pPr>
      <w:r>
        <w:rPr>
          <w:rFonts w:hint="eastAsia"/>
          <w:color w:val="auto"/>
          <w:sz w:val="24"/>
          <w:szCs w:val="24"/>
          <w:highlight w:val="none"/>
          <w:lang w:eastAsia="zh-CN"/>
        </w:rPr>
        <w:t>（</w:t>
      </w:r>
      <w:r>
        <w:rPr>
          <w:rFonts w:hint="eastAsia"/>
          <w:color w:val="auto"/>
          <w:sz w:val="24"/>
          <w:szCs w:val="24"/>
          <w:highlight w:val="none"/>
          <w:lang w:val="en-US" w:eastAsia="zh-CN"/>
        </w:rPr>
        <w:t>3</w:t>
      </w:r>
      <w:r>
        <w:rPr>
          <w:rFonts w:hint="eastAsia"/>
          <w:color w:val="auto"/>
          <w:sz w:val="24"/>
          <w:szCs w:val="24"/>
          <w:highlight w:val="none"/>
          <w:lang w:eastAsia="zh-CN"/>
        </w:rPr>
        <w:t>）</w:t>
      </w:r>
      <w:r>
        <w:rPr>
          <w:rFonts w:hint="eastAsia"/>
          <w:color w:val="auto"/>
          <w:sz w:val="24"/>
          <w:szCs w:val="24"/>
          <w:highlight w:val="none"/>
        </w:rPr>
        <w:t>保密期限：</w:t>
      </w:r>
      <w:r>
        <w:rPr>
          <w:rFonts w:hint="eastAsia"/>
          <w:color w:val="auto"/>
          <w:sz w:val="24"/>
          <w:szCs w:val="24"/>
          <w:highlight w:val="none"/>
          <w:u w:val="single"/>
        </w:rPr>
        <w:t>十年</w:t>
      </w:r>
      <w:r>
        <w:rPr>
          <w:rFonts w:hint="eastAsia"/>
          <w:color w:val="auto"/>
          <w:sz w:val="24"/>
          <w:szCs w:val="24"/>
          <w:highlight w:val="none"/>
        </w:rPr>
        <w:t>。</w:t>
      </w:r>
    </w:p>
    <w:p>
      <w:pPr>
        <w:tabs>
          <w:tab w:val="left" w:pos="426"/>
          <w:tab w:val="left" w:pos="709"/>
          <w:tab w:val="left" w:pos="851"/>
        </w:tabs>
        <w:spacing w:line="360" w:lineRule="auto"/>
        <w:ind w:firstLine="480" w:firstLineChars="200"/>
        <w:rPr>
          <w:color w:val="auto"/>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lang w:eastAsia="zh-CN"/>
        </w:rPr>
        <w:t>）</w:t>
      </w:r>
      <w:r>
        <w:rPr>
          <w:rFonts w:hint="eastAsia" w:ascii="宋体" w:hAnsi="宋体"/>
          <w:color w:val="auto"/>
          <w:sz w:val="24"/>
          <w:szCs w:val="24"/>
          <w:highlight w:val="none"/>
        </w:rPr>
        <w:t>泄密责任：</w:t>
      </w:r>
      <w:r>
        <w:rPr>
          <w:rFonts w:hint="eastAsia" w:ascii="宋体" w:hAnsi="宋体"/>
          <w:color w:val="auto"/>
          <w:spacing w:val="-20"/>
          <w:sz w:val="24"/>
          <w:szCs w:val="24"/>
          <w:highlight w:val="none"/>
          <w:u w:val="single"/>
        </w:rPr>
        <w:t>赔偿经济损失</w:t>
      </w:r>
      <w:r>
        <w:rPr>
          <w:rFonts w:hint="eastAsia" w:ascii="宋体" w:hAnsi="宋体"/>
          <w:color w:val="auto"/>
          <w:sz w:val="24"/>
          <w:szCs w:val="24"/>
          <w:highlight w:val="none"/>
        </w:rPr>
        <w:t>。</w:t>
      </w:r>
    </w:p>
    <w:p>
      <w:pPr>
        <w:keepNext w:val="0"/>
        <w:keepLines w:val="0"/>
        <w:pageBreakBefore w:val="0"/>
        <w:widowControl w:val="0"/>
        <w:numPr>
          <w:ilvl w:val="0"/>
          <w:numId w:val="20"/>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乙方应全面、高效、优质的履行合同约定的各项要求（包括磋商文件的要求及履约过程中甲方交待的事项）以及己方承诺的义务（包括磋商响应文件的承诺）。</w:t>
      </w:r>
    </w:p>
    <w:p>
      <w:pPr>
        <w:keepNext w:val="0"/>
        <w:keepLines w:val="0"/>
        <w:pageBreakBefore w:val="0"/>
        <w:widowControl w:val="0"/>
        <w:numPr>
          <w:ilvl w:val="0"/>
          <w:numId w:val="20"/>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乙方应按甲方的要求开展工作，如在合同履约过程中出现计划或方案变更情况时，应及时向甲方提出，并在征得甲方的同意后方可实施。</w:t>
      </w:r>
    </w:p>
    <w:p>
      <w:pPr>
        <w:keepNext w:val="0"/>
        <w:keepLines w:val="0"/>
        <w:pageBreakBefore w:val="0"/>
        <w:widowControl w:val="0"/>
        <w:numPr>
          <w:ilvl w:val="0"/>
          <w:numId w:val="20"/>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乙方应按照甲方的要求，合理确定各项目组的工作人员，全程参与组委会各工作机构的工作，积极配合有关职能部门，做好各项筹备和保障工作，确保</w:t>
      </w:r>
      <w:r>
        <w:rPr>
          <w:rFonts w:hint="eastAsia" w:ascii="宋体" w:hAnsi="宋体" w:cs="宋体"/>
          <w:color w:val="auto"/>
          <w:sz w:val="24"/>
          <w:szCs w:val="22"/>
          <w:highlight w:val="none"/>
          <w:lang w:val="en-US" w:eastAsia="zh-CN"/>
        </w:rPr>
        <w:t>项目顺利进行</w:t>
      </w:r>
      <w:r>
        <w:rPr>
          <w:rFonts w:hint="eastAsia" w:ascii="宋体" w:hAnsi="宋体" w:cs="宋体"/>
          <w:color w:val="auto"/>
          <w:sz w:val="24"/>
          <w:szCs w:val="22"/>
          <w:highlight w:val="none"/>
        </w:rPr>
        <w:t>。</w:t>
      </w:r>
    </w:p>
    <w:p>
      <w:pPr>
        <w:keepNext w:val="0"/>
        <w:keepLines w:val="0"/>
        <w:pageBreakBefore w:val="0"/>
        <w:widowControl w:val="0"/>
        <w:numPr>
          <w:ilvl w:val="0"/>
          <w:numId w:val="20"/>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乙方应接受甲方的管理、监督、检查及指导，在项目实施过程中出现问题应及时的纠正并向甲方进行通报。</w:t>
      </w:r>
    </w:p>
    <w:p>
      <w:pPr>
        <w:keepNext w:val="0"/>
        <w:keepLines w:val="0"/>
        <w:pageBreakBefore w:val="0"/>
        <w:widowControl w:val="0"/>
        <w:numPr>
          <w:ilvl w:val="0"/>
          <w:numId w:val="20"/>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乙方应维护甲方的声誉和利益，服从甲方的统一安排。</w:t>
      </w:r>
    </w:p>
    <w:p>
      <w:pPr>
        <w:keepNext w:val="0"/>
        <w:keepLines w:val="0"/>
        <w:pageBreakBefore w:val="0"/>
        <w:widowControl w:val="0"/>
        <w:numPr>
          <w:ilvl w:val="0"/>
          <w:numId w:val="20"/>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甲方不承担乙方在合同履行过程中因其责任引起的一切事故、法律纠纷和经济责任，乙方须自行负责并处理合同履行过程中与第三方发生的所有事故、法律纠纷及一切费用。</w:t>
      </w:r>
    </w:p>
    <w:p>
      <w:pPr>
        <w:keepNext w:val="0"/>
        <w:keepLines w:val="0"/>
        <w:pageBreakBefore w:val="0"/>
        <w:widowControl w:val="0"/>
        <w:numPr>
          <w:ilvl w:val="0"/>
          <w:numId w:val="20"/>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乙方应严格遵守国家有关法律、法规，若有违反，由此造成的一切后果由乙方承担。乙方如因上述原因使合同性质发生改变，甲方不负赔偿责任。</w:t>
      </w:r>
    </w:p>
    <w:p>
      <w:pPr>
        <w:keepNext w:val="0"/>
        <w:keepLines w:val="0"/>
        <w:pageBreakBefore w:val="0"/>
        <w:widowControl w:val="0"/>
        <w:numPr>
          <w:ilvl w:val="0"/>
          <w:numId w:val="20"/>
        </w:numPr>
        <w:kinsoku/>
        <w:wordWrap/>
        <w:overflowPunct/>
        <w:topLinePunct w:val="0"/>
        <w:autoSpaceDE/>
        <w:autoSpaceDN/>
        <w:bidi w:val="0"/>
        <w:spacing w:line="360" w:lineRule="auto"/>
        <w:ind w:firstLine="480" w:firstLineChars="200"/>
        <w:textAlignment w:val="auto"/>
        <w:rPr>
          <w:rFonts w:ascii="宋体" w:cs="宋体"/>
          <w:color w:val="auto"/>
          <w:sz w:val="24"/>
          <w:szCs w:val="22"/>
          <w:highlight w:val="none"/>
        </w:rPr>
      </w:pPr>
      <w:r>
        <w:rPr>
          <w:rFonts w:hint="eastAsia" w:ascii="宋体" w:hAnsi="宋体" w:cs="宋体"/>
          <w:color w:val="auto"/>
          <w:sz w:val="24"/>
          <w:szCs w:val="22"/>
          <w:highlight w:val="none"/>
        </w:rPr>
        <w:t>乙方应做好本项目的各类</w:t>
      </w:r>
      <w:r>
        <w:rPr>
          <w:rFonts w:hint="eastAsia"/>
          <w:color w:val="auto"/>
          <w:sz w:val="24"/>
          <w:szCs w:val="24"/>
          <w:highlight w:val="none"/>
        </w:rPr>
        <w:t>技术资料和工作条件所完成的新技术成果</w:t>
      </w:r>
      <w:r>
        <w:rPr>
          <w:rFonts w:hint="eastAsia" w:ascii="宋体" w:hAnsi="宋体" w:cs="宋体"/>
          <w:color w:val="auto"/>
          <w:sz w:val="24"/>
          <w:szCs w:val="22"/>
          <w:highlight w:val="none"/>
        </w:rPr>
        <w:t>的收集整理工作，项目结束后统一移交给甲方立卷、归档。</w:t>
      </w:r>
    </w:p>
    <w:p>
      <w:pPr>
        <w:keepNext w:val="0"/>
        <w:keepLines w:val="0"/>
        <w:pageBreakBefore w:val="0"/>
        <w:widowControl w:val="0"/>
        <w:numPr>
          <w:ilvl w:val="0"/>
          <w:numId w:val="18"/>
        </w:numPr>
        <w:kinsoku/>
        <w:wordWrap/>
        <w:overflowPunct/>
        <w:topLinePunct w:val="0"/>
        <w:autoSpaceDE/>
        <w:autoSpaceDN/>
        <w:bidi w:val="0"/>
        <w:spacing w:line="360" w:lineRule="auto"/>
        <w:textAlignment w:val="auto"/>
        <w:rPr>
          <w:rFonts w:ascii="宋体" w:cs="宋体"/>
          <w:b/>
          <w:bCs/>
          <w:color w:val="auto"/>
          <w:sz w:val="24"/>
          <w:highlight w:val="none"/>
        </w:rPr>
      </w:pPr>
      <w:r>
        <w:rPr>
          <w:rFonts w:ascii="宋体" w:hAnsi="宋体" w:cs="宋体"/>
          <w:b/>
          <w:bCs/>
          <w:color w:val="auto"/>
          <w:sz w:val="24"/>
          <w:highlight w:val="none"/>
        </w:rPr>
        <w:t xml:space="preserve"> </w:t>
      </w:r>
      <w:r>
        <w:rPr>
          <w:rFonts w:hint="eastAsia" w:ascii="宋体" w:hAnsi="宋体" w:cs="宋体"/>
          <w:b/>
          <w:bCs/>
          <w:color w:val="auto"/>
          <w:sz w:val="24"/>
          <w:highlight w:val="none"/>
        </w:rPr>
        <w:t>违约责任：</w:t>
      </w:r>
    </w:p>
    <w:p>
      <w:pPr>
        <w:pStyle w:val="4"/>
        <w:keepNext w:val="0"/>
        <w:keepLines w:val="0"/>
        <w:pageBreakBefore w:val="0"/>
        <w:widowControl w:val="0"/>
        <w:kinsoku/>
        <w:wordWrap/>
        <w:overflowPunct/>
        <w:topLinePunct w:val="0"/>
        <w:autoSpaceDE/>
        <w:autoSpaceDN/>
        <w:bidi w:val="0"/>
        <w:spacing w:line="360" w:lineRule="auto"/>
        <w:ind w:firstLine="456" w:firstLineChars="190"/>
        <w:textAlignment w:val="auto"/>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、在项目实施过程中，因乙方原因导致</w:t>
      </w:r>
      <w:r>
        <w:rPr>
          <w:rFonts w:hint="eastAsia" w:ascii="宋体" w:hAnsi="宋体" w:cs="宋体"/>
          <w:color w:val="auto"/>
          <w:sz w:val="24"/>
          <w:szCs w:val="24"/>
          <w:highlight w:val="none"/>
          <w:lang w:val="en-US" w:eastAsia="zh-CN"/>
        </w:rPr>
        <w:t>项目实施</w:t>
      </w:r>
      <w:r>
        <w:rPr>
          <w:rFonts w:hint="eastAsia" w:ascii="宋体" w:hAnsi="宋体" w:cs="宋体"/>
          <w:color w:val="auto"/>
          <w:sz w:val="24"/>
          <w:szCs w:val="24"/>
          <w:highlight w:val="none"/>
        </w:rPr>
        <w:t>过程出现问题，严重影响</w:t>
      </w:r>
      <w:r>
        <w:rPr>
          <w:rFonts w:hint="eastAsia" w:ascii="宋体" w:hAnsi="宋体" w:cs="宋体"/>
          <w:color w:val="auto"/>
          <w:sz w:val="24"/>
          <w:szCs w:val="24"/>
          <w:highlight w:val="none"/>
          <w:lang w:val="en-US" w:eastAsia="zh-CN"/>
        </w:rPr>
        <w:t>项目进程及效果</w:t>
      </w:r>
      <w:r>
        <w:rPr>
          <w:rFonts w:hint="eastAsia" w:ascii="宋体" w:hAnsi="宋体" w:cs="宋体"/>
          <w:color w:val="auto"/>
          <w:sz w:val="24"/>
          <w:szCs w:val="24"/>
          <w:highlight w:val="none"/>
        </w:rPr>
        <w:t>的，</w:t>
      </w:r>
      <w:r>
        <w:rPr>
          <w:rFonts w:hint="eastAsia" w:ascii="宋体" w:hAnsi="宋体" w:cs="宋体"/>
          <w:color w:val="auto"/>
          <w:sz w:val="24"/>
          <w:szCs w:val="22"/>
          <w:highlight w:val="none"/>
        </w:rPr>
        <w:t>乙方应赔偿甲方相应的损失</w:t>
      </w:r>
      <w:r>
        <w:rPr>
          <w:rFonts w:hint="eastAsia" w:ascii="宋体" w:hAnsi="宋体" w:cs="宋体"/>
          <w:color w:val="auto"/>
          <w:sz w:val="24"/>
          <w:szCs w:val="24"/>
          <w:highlight w:val="none"/>
        </w:rPr>
        <w:t>；</w:t>
      </w:r>
    </w:p>
    <w:p>
      <w:pPr>
        <w:pStyle w:val="4"/>
        <w:keepNext w:val="0"/>
        <w:keepLines w:val="0"/>
        <w:pageBreakBefore w:val="0"/>
        <w:widowControl w:val="0"/>
        <w:kinsoku/>
        <w:wordWrap/>
        <w:overflowPunct/>
        <w:topLinePunct w:val="0"/>
        <w:autoSpaceDE/>
        <w:autoSpaceDN/>
        <w:bidi w:val="0"/>
        <w:spacing w:line="360" w:lineRule="auto"/>
        <w:ind w:firstLine="456" w:firstLineChars="190"/>
        <w:textAlignment w:val="auto"/>
        <w:rPr>
          <w:rFonts w:asci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、乙方未能履行本合同约定，造成甲方直接经济损失的，经相关部门认定后，乙方须承担赔偿责任；</w:t>
      </w:r>
    </w:p>
    <w:p>
      <w:pPr>
        <w:pStyle w:val="4"/>
        <w:keepNext w:val="0"/>
        <w:keepLines w:val="0"/>
        <w:pageBreakBefore w:val="0"/>
        <w:widowControl w:val="0"/>
        <w:kinsoku/>
        <w:wordWrap/>
        <w:overflowPunct/>
        <w:topLinePunct w:val="0"/>
        <w:autoSpaceDE/>
        <w:autoSpaceDN/>
        <w:bidi w:val="0"/>
        <w:spacing w:line="360" w:lineRule="auto"/>
        <w:ind w:firstLine="456" w:firstLineChars="190"/>
        <w:textAlignment w:val="auto"/>
        <w:rPr>
          <w:rFonts w:asci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、若给甲方工作造成严重影响的，甲方有权提前终止合同，由此给甲方带来经济损失的，乙方须承担相应的经济赔偿责任。</w:t>
      </w:r>
    </w:p>
    <w:p>
      <w:pPr>
        <w:keepNext w:val="0"/>
        <w:keepLines w:val="0"/>
        <w:pageBreakBefore w:val="0"/>
        <w:widowControl w:val="0"/>
        <w:numPr>
          <w:ilvl w:val="0"/>
          <w:numId w:val="18"/>
        </w:numPr>
        <w:kinsoku/>
        <w:wordWrap/>
        <w:overflowPunct/>
        <w:topLinePunct w:val="0"/>
        <w:autoSpaceDE/>
        <w:autoSpaceDN/>
        <w:bidi w:val="0"/>
        <w:spacing w:line="360" w:lineRule="auto"/>
        <w:textAlignment w:val="auto"/>
        <w:rPr>
          <w:rFonts w:ascii="宋体" w:cs="宋体"/>
          <w:b/>
          <w:bCs/>
          <w:color w:val="auto"/>
          <w:sz w:val="24"/>
          <w:highlight w:val="none"/>
        </w:rPr>
      </w:pPr>
    </w:p>
    <w:p>
      <w:pPr>
        <w:keepNext w:val="0"/>
        <w:keepLines w:val="0"/>
        <w:pageBreakBefore w:val="0"/>
        <w:widowControl w:val="0"/>
        <w:kinsoku/>
        <w:wordWrap/>
        <w:overflowPunct/>
        <w:topLinePunct w:val="0"/>
        <w:autoSpaceDE/>
        <w:autoSpaceDN/>
        <w:bidi w:val="0"/>
        <w:spacing w:line="360" w:lineRule="auto"/>
        <w:ind w:firstLine="481"/>
        <w:textAlignment w:val="auto"/>
        <w:rPr>
          <w:rFonts w:ascii="宋体" w:cs="宋体"/>
          <w:color w:val="auto"/>
          <w:sz w:val="24"/>
          <w:szCs w:val="21"/>
          <w:highlight w:val="none"/>
        </w:rPr>
      </w:pPr>
      <w:r>
        <w:rPr>
          <w:rFonts w:hint="eastAsia" w:ascii="宋体" w:hAnsi="宋体" w:cs="宋体"/>
          <w:color w:val="auto"/>
          <w:sz w:val="24"/>
          <w:szCs w:val="21"/>
          <w:highlight w:val="none"/>
        </w:rPr>
        <w:t>本合同执行过程中的未尽事宜，双方应本着实事求是友好协商的态度加以解决。双方协商一致的，签订补充协议。补充协议与本合同具有同等效力。</w:t>
      </w:r>
    </w:p>
    <w:p>
      <w:pPr>
        <w:keepNext w:val="0"/>
        <w:keepLines w:val="0"/>
        <w:pageBreakBefore w:val="0"/>
        <w:widowControl w:val="0"/>
        <w:numPr>
          <w:ilvl w:val="0"/>
          <w:numId w:val="18"/>
        </w:numPr>
        <w:kinsoku/>
        <w:wordWrap/>
        <w:overflowPunct/>
        <w:topLinePunct w:val="0"/>
        <w:autoSpaceDE/>
        <w:autoSpaceDN/>
        <w:bidi w:val="0"/>
        <w:spacing w:line="360" w:lineRule="auto"/>
        <w:textAlignment w:val="auto"/>
        <w:rPr>
          <w:rFonts w:ascii="宋体" w:cs="宋体"/>
          <w:b/>
          <w:bCs/>
          <w:color w:val="auto"/>
          <w:sz w:val="24"/>
          <w:highlight w:val="none"/>
        </w:rPr>
      </w:pPr>
      <w:r>
        <w:rPr>
          <w:rFonts w:ascii="宋体" w:hAnsi="宋体" w:cs="宋体"/>
          <w:b/>
          <w:bCs/>
          <w:color w:val="auto"/>
          <w:sz w:val="24"/>
          <w:highlight w:val="none"/>
        </w:rPr>
        <w:t xml:space="preserve"> </w:t>
      </w:r>
    </w:p>
    <w:p>
      <w:pPr>
        <w:keepNext w:val="0"/>
        <w:keepLines w:val="0"/>
        <w:pageBreakBefore w:val="0"/>
        <w:widowControl w:val="0"/>
        <w:kinsoku/>
        <w:wordWrap/>
        <w:overflowPunct/>
        <w:topLinePunct w:val="0"/>
        <w:autoSpaceDE/>
        <w:autoSpaceDN/>
        <w:bidi w:val="0"/>
        <w:spacing w:line="360" w:lineRule="auto"/>
        <w:ind w:firstLine="481"/>
        <w:textAlignment w:val="auto"/>
        <w:rPr>
          <w:rFonts w:ascii="宋体" w:cs="宋体"/>
          <w:color w:val="auto"/>
          <w:sz w:val="24"/>
          <w:szCs w:val="21"/>
          <w:highlight w:val="none"/>
        </w:rPr>
      </w:pPr>
      <w:r>
        <w:rPr>
          <w:rFonts w:ascii="宋体" w:hAnsi="宋体" w:cs="宋体"/>
          <w:color w:val="auto"/>
          <w:sz w:val="24"/>
          <w:szCs w:val="21"/>
          <w:highlight w:val="none"/>
        </w:rPr>
        <w:t>1</w:t>
      </w:r>
      <w:r>
        <w:rPr>
          <w:rFonts w:hint="eastAsia" w:ascii="宋体" w:hAnsi="宋体" w:cs="宋体"/>
          <w:color w:val="auto"/>
          <w:sz w:val="24"/>
          <w:szCs w:val="21"/>
          <w:highlight w:val="none"/>
        </w:rPr>
        <w:t>、由于不可抗力，致使合同无法履行时，双方应按有关法律规定及时协商处理。</w:t>
      </w:r>
    </w:p>
    <w:p>
      <w:pPr>
        <w:keepNext w:val="0"/>
        <w:keepLines w:val="0"/>
        <w:pageBreakBefore w:val="0"/>
        <w:widowControl w:val="0"/>
        <w:kinsoku/>
        <w:wordWrap/>
        <w:overflowPunct/>
        <w:topLinePunct w:val="0"/>
        <w:autoSpaceDE/>
        <w:autoSpaceDN/>
        <w:bidi w:val="0"/>
        <w:spacing w:line="360" w:lineRule="auto"/>
        <w:ind w:firstLine="481"/>
        <w:textAlignment w:val="auto"/>
        <w:rPr>
          <w:rFonts w:ascii="宋体" w:cs="宋体"/>
          <w:color w:val="auto"/>
          <w:sz w:val="24"/>
          <w:szCs w:val="21"/>
          <w:highlight w:val="none"/>
        </w:rPr>
      </w:pPr>
      <w:r>
        <w:rPr>
          <w:rFonts w:ascii="宋体" w:hAnsi="宋体" w:cs="宋体"/>
          <w:color w:val="auto"/>
          <w:sz w:val="24"/>
          <w:szCs w:val="21"/>
          <w:highlight w:val="none"/>
        </w:rPr>
        <w:t>2</w:t>
      </w:r>
      <w:r>
        <w:rPr>
          <w:rFonts w:hint="eastAsia" w:ascii="宋体" w:hAnsi="宋体" w:cs="宋体"/>
          <w:color w:val="auto"/>
          <w:sz w:val="24"/>
          <w:szCs w:val="21"/>
          <w:highlight w:val="none"/>
        </w:rPr>
        <w:t>、因合同执行过程中双方发生纠纷，可由双方协商解决或由双方主管部门调解，若达不成协议，双方同意就本合同产生的纠纷向仲裁委员会申请仲裁。当事人双方不在合同中约定仲裁机构的，事后又没有达成书面仲裁协议的，可向有管辖权的人民法院起诉。</w:t>
      </w:r>
    </w:p>
    <w:p>
      <w:pPr>
        <w:keepNext w:val="0"/>
        <w:keepLines w:val="0"/>
        <w:pageBreakBefore w:val="0"/>
        <w:widowControl w:val="0"/>
        <w:numPr>
          <w:ilvl w:val="0"/>
          <w:numId w:val="18"/>
        </w:numPr>
        <w:kinsoku/>
        <w:wordWrap/>
        <w:overflowPunct/>
        <w:topLinePunct w:val="0"/>
        <w:autoSpaceDE/>
        <w:autoSpaceDN/>
        <w:bidi w:val="0"/>
        <w:spacing w:line="360" w:lineRule="auto"/>
        <w:textAlignment w:val="auto"/>
        <w:rPr>
          <w:rFonts w:ascii="宋体" w:cs="宋体"/>
          <w:b/>
          <w:bCs/>
          <w:color w:val="auto"/>
          <w:sz w:val="24"/>
          <w:highlight w:val="none"/>
        </w:rPr>
      </w:pPr>
      <w:r>
        <w:rPr>
          <w:rFonts w:hint="eastAsia" w:ascii="宋体" w:hAnsi="宋体" w:cs="宋体"/>
          <w:b/>
          <w:bCs/>
          <w:color w:val="auto"/>
          <w:sz w:val="24"/>
          <w:highlight w:val="none"/>
        </w:rPr>
        <w:t>附则</w:t>
      </w:r>
    </w:p>
    <w:p>
      <w:pPr>
        <w:keepNext w:val="0"/>
        <w:keepLines w:val="0"/>
        <w:pageBreakBefore w:val="0"/>
        <w:widowControl w:val="0"/>
        <w:kinsoku/>
        <w:wordWrap/>
        <w:overflowPunct/>
        <w:topLinePunct w:val="0"/>
        <w:autoSpaceDE/>
        <w:autoSpaceDN/>
        <w:bidi w:val="0"/>
        <w:spacing w:line="360" w:lineRule="auto"/>
        <w:ind w:firstLine="481"/>
        <w:textAlignment w:val="auto"/>
        <w:rPr>
          <w:rFonts w:ascii="宋体"/>
          <w:color w:val="auto"/>
          <w:kern w:val="0"/>
          <w:sz w:val="24"/>
          <w:szCs w:val="24"/>
          <w:highlight w:val="none"/>
        </w:rPr>
      </w:pPr>
      <w:r>
        <w:rPr>
          <w:rFonts w:hint="eastAsia" w:ascii="宋体" w:hAnsi="宋体" w:cs="宋体"/>
          <w:color w:val="auto"/>
          <w:sz w:val="24"/>
          <w:highlight w:val="none"/>
        </w:rPr>
        <w:t>本合同由双方代表签字，加盖双方公章或合同专用章即生效。</w:t>
      </w:r>
      <w:r>
        <w:rPr>
          <w:rFonts w:hint="eastAsia" w:ascii="宋体" w:hAnsi="宋体" w:cs="宋体"/>
          <w:color w:val="auto"/>
          <w:sz w:val="24"/>
          <w:highlight w:val="none"/>
          <w:lang w:val="en-US" w:eastAsia="zh-CN"/>
        </w:rPr>
        <w:t>本项目完成并将所有资料交接业主</w:t>
      </w:r>
      <w:r>
        <w:rPr>
          <w:rFonts w:hint="eastAsia" w:ascii="宋体" w:hAnsi="宋体" w:cs="宋体"/>
          <w:color w:val="auto"/>
          <w:sz w:val="24"/>
          <w:highlight w:val="none"/>
        </w:rPr>
        <w:t>后，本合同终止</w:t>
      </w:r>
      <w:r>
        <w:rPr>
          <w:rFonts w:hint="eastAsia" w:ascii="宋体" w:hAnsi="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ascii="宋体"/>
          <w:b/>
          <w:bCs/>
          <w:color w:val="auto"/>
          <w:kern w:val="0"/>
          <w:sz w:val="24"/>
          <w:szCs w:val="24"/>
          <w:highlight w:val="none"/>
        </w:rPr>
      </w:pPr>
      <w:r>
        <w:rPr>
          <w:rFonts w:hint="eastAsia" w:ascii="宋体" w:hAnsi="宋体" w:cs="宋体"/>
          <w:b/>
          <w:bCs/>
          <w:color w:val="auto"/>
          <w:kern w:val="0"/>
          <w:sz w:val="24"/>
          <w:szCs w:val="24"/>
          <w:highlight w:val="none"/>
        </w:rPr>
        <w:t>本合同一式</w:t>
      </w:r>
      <w:r>
        <w:rPr>
          <w:rFonts w:hint="eastAsia" w:ascii="宋体" w:hAnsi="宋体" w:cs="宋体"/>
          <w:b/>
          <w:bCs/>
          <w:color w:val="auto"/>
          <w:kern w:val="0"/>
          <w:sz w:val="24"/>
          <w:szCs w:val="24"/>
          <w:highlight w:val="none"/>
          <w:u w:val="single"/>
        </w:rPr>
        <w:t>　　　</w:t>
      </w:r>
      <w:r>
        <w:rPr>
          <w:rFonts w:ascii="宋体" w:hAnsi="宋体" w:cs="宋体"/>
          <w:b/>
          <w:bCs/>
          <w:color w:val="auto"/>
          <w:kern w:val="0"/>
          <w:sz w:val="24"/>
          <w:szCs w:val="24"/>
          <w:highlight w:val="none"/>
          <w:u w:val="single"/>
        </w:rPr>
        <w:t xml:space="preserve"> </w:t>
      </w:r>
      <w:r>
        <w:rPr>
          <w:rFonts w:hint="eastAsia" w:ascii="宋体" w:hAnsi="宋体" w:cs="宋体"/>
          <w:b/>
          <w:bCs/>
          <w:color w:val="auto"/>
          <w:kern w:val="0"/>
          <w:sz w:val="24"/>
          <w:szCs w:val="24"/>
          <w:highlight w:val="none"/>
        </w:rPr>
        <w:t>份，其中正本两份，采购人和成交供应商各执一份，并由采购人在</w:t>
      </w:r>
      <w:r>
        <w:rPr>
          <w:rFonts w:ascii="宋体" w:hAnsi="宋体" w:cs="宋体"/>
          <w:b/>
          <w:bCs/>
          <w:color w:val="auto"/>
          <w:kern w:val="0"/>
          <w:sz w:val="24"/>
          <w:szCs w:val="24"/>
          <w:highlight w:val="none"/>
        </w:rPr>
        <w:t>30</w:t>
      </w:r>
      <w:r>
        <w:rPr>
          <w:rFonts w:hint="eastAsia" w:ascii="宋体" w:hAnsi="宋体" w:cs="宋体"/>
          <w:b/>
          <w:bCs/>
          <w:color w:val="auto"/>
          <w:kern w:val="0"/>
          <w:sz w:val="24"/>
          <w:szCs w:val="24"/>
          <w:highlight w:val="none"/>
        </w:rPr>
        <w:t>日内做好政采云平台网上合同创建及备案。</w:t>
      </w:r>
    </w:p>
    <w:tbl>
      <w:tblPr>
        <w:tblStyle w:val="21"/>
        <w:tblW w:w="81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甲方单位</w:t>
            </w:r>
          </w:p>
        </w:tc>
        <w:tc>
          <w:tcPr>
            <w:tcW w:w="23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（盖章）</w:t>
            </w:r>
          </w:p>
        </w:tc>
        <w:tc>
          <w:tcPr>
            <w:tcW w:w="162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乙方单位</w:t>
            </w:r>
          </w:p>
        </w:tc>
        <w:tc>
          <w:tcPr>
            <w:tcW w:w="270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代表签名</w:t>
            </w:r>
          </w:p>
        </w:tc>
        <w:tc>
          <w:tcPr>
            <w:tcW w:w="23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p>
        </w:tc>
        <w:tc>
          <w:tcPr>
            <w:tcW w:w="162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代表签名</w:t>
            </w:r>
          </w:p>
        </w:tc>
        <w:tc>
          <w:tcPr>
            <w:tcW w:w="270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地址</w:t>
            </w:r>
          </w:p>
        </w:tc>
        <w:tc>
          <w:tcPr>
            <w:tcW w:w="23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p>
        </w:tc>
        <w:tc>
          <w:tcPr>
            <w:tcW w:w="162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地址</w:t>
            </w:r>
          </w:p>
        </w:tc>
        <w:tc>
          <w:tcPr>
            <w:tcW w:w="270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电话</w:t>
            </w:r>
          </w:p>
        </w:tc>
        <w:tc>
          <w:tcPr>
            <w:tcW w:w="23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p>
        </w:tc>
        <w:tc>
          <w:tcPr>
            <w:tcW w:w="162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电话</w:t>
            </w:r>
          </w:p>
        </w:tc>
        <w:tc>
          <w:tcPr>
            <w:tcW w:w="270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开户银行</w:t>
            </w:r>
          </w:p>
        </w:tc>
        <w:tc>
          <w:tcPr>
            <w:tcW w:w="23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p>
        </w:tc>
        <w:tc>
          <w:tcPr>
            <w:tcW w:w="162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开户银行</w:t>
            </w:r>
          </w:p>
        </w:tc>
        <w:tc>
          <w:tcPr>
            <w:tcW w:w="270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帐号</w:t>
            </w:r>
          </w:p>
        </w:tc>
        <w:tc>
          <w:tcPr>
            <w:tcW w:w="234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p>
        </w:tc>
        <w:tc>
          <w:tcPr>
            <w:tcW w:w="162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r>
              <w:rPr>
                <w:rFonts w:hint="eastAsia" w:ascii="宋体" w:hAnsi="宋体" w:cs="宋体"/>
                <w:snapToGrid w:val="0"/>
                <w:color w:val="auto"/>
                <w:kern w:val="0"/>
                <w:highlight w:val="none"/>
              </w:rPr>
              <w:t>帐号</w:t>
            </w:r>
          </w:p>
        </w:tc>
        <w:tc>
          <w:tcPr>
            <w:tcW w:w="2700" w:type="dxa"/>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ascii="宋体"/>
                <w:snapToGrid w:val="0"/>
                <w:color w:val="auto"/>
                <w:kern w:val="0"/>
                <w:highlight w:val="none"/>
              </w:rPr>
            </w:pPr>
          </w:p>
        </w:tc>
      </w:tr>
    </w:tbl>
    <w:p>
      <w:pPr>
        <w:keepNext w:val="0"/>
        <w:keepLines w:val="0"/>
        <w:pageBreakBefore w:val="0"/>
        <w:widowControl w:val="0"/>
        <w:kinsoku/>
        <w:wordWrap/>
        <w:overflowPunct/>
        <w:topLinePunct w:val="0"/>
        <w:autoSpaceDE/>
        <w:autoSpaceDN/>
        <w:bidi w:val="0"/>
        <w:spacing w:line="360" w:lineRule="auto"/>
        <w:textAlignment w:val="auto"/>
        <w:rPr>
          <w:color w:val="auto"/>
          <w:highlight w:val="none"/>
        </w:rPr>
      </w:pPr>
      <w:r>
        <w:rPr>
          <w:color w:val="auto"/>
          <w:highlight w:val="none"/>
        </w:rPr>
        <w:br w:type="page"/>
      </w:r>
    </w:p>
    <w:p>
      <w:pPr>
        <w:pStyle w:val="2"/>
        <w:jc w:val="center"/>
        <w:rPr>
          <w:rFonts w:cs="Times New Roman"/>
          <w:color w:val="auto"/>
          <w:sz w:val="36"/>
          <w:szCs w:val="36"/>
          <w:highlight w:val="none"/>
        </w:rPr>
      </w:pPr>
      <w:bookmarkStart w:id="80" w:name="_Toc7690"/>
      <w:bookmarkStart w:id="81" w:name="_Toc4669"/>
      <w:bookmarkStart w:id="82" w:name="_Toc24178"/>
      <w:r>
        <w:rPr>
          <w:rFonts w:hint="eastAsia" w:cs="宋体"/>
          <w:color w:val="auto"/>
          <w:sz w:val="36"/>
          <w:szCs w:val="36"/>
          <w:highlight w:val="none"/>
        </w:rPr>
        <w:t>第六部分</w:t>
      </w:r>
      <w:r>
        <w:rPr>
          <w:color w:val="auto"/>
          <w:sz w:val="36"/>
          <w:szCs w:val="36"/>
          <w:highlight w:val="none"/>
        </w:rPr>
        <w:t xml:space="preserve"> </w:t>
      </w:r>
      <w:r>
        <w:rPr>
          <w:rFonts w:hint="eastAsia" w:cs="宋体"/>
          <w:color w:val="auto"/>
          <w:sz w:val="36"/>
          <w:szCs w:val="36"/>
          <w:highlight w:val="none"/>
        </w:rPr>
        <w:t>应提交的有关格式范例</w:t>
      </w:r>
      <w:bookmarkEnd w:id="80"/>
      <w:bookmarkEnd w:id="81"/>
      <w:bookmarkEnd w:id="82"/>
    </w:p>
    <w:p>
      <w:pPr>
        <w:spacing w:line="360" w:lineRule="auto"/>
        <w:ind w:firstLine="480" w:firstLineChars="200"/>
        <w:outlineLvl w:val="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供应商按照以下格式编制响应文件，</w:t>
      </w:r>
      <w:r>
        <w:rPr>
          <w:rFonts w:hint="eastAsia" w:ascii="宋体" w:hAnsi="宋体" w:cs="宋体"/>
          <w:b/>
          <w:bCs/>
          <w:color w:val="auto"/>
          <w:sz w:val="24"/>
          <w:szCs w:val="24"/>
          <w:highlight w:val="none"/>
        </w:rPr>
        <w:t>“资格文件”、“商务技术文件”、“报价文件”须分</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个</w:t>
      </w:r>
      <w:r>
        <w:rPr>
          <w:rFonts w:ascii="宋体" w:hAnsi="宋体" w:cs="宋体"/>
          <w:b/>
          <w:bCs/>
          <w:color w:val="auto"/>
          <w:sz w:val="24"/>
          <w:szCs w:val="24"/>
          <w:highlight w:val="none"/>
        </w:rPr>
        <w:t>PDF</w:t>
      </w:r>
      <w:r>
        <w:rPr>
          <w:rFonts w:hint="eastAsia" w:ascii="宋体" w:hAnsi="宋体" w:cs="宋体"/>
          <w:b/>
          <w:bCs/>
          <w:color w:val="auto"/>
          <w:sz w:val="24"/>
          <w:szCs w:val="24"/>
          <w:highlight w:val="none"/>
        </w:rPr>
        <w:t>格式分别导入。</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color w:val="auto"/>
          <w:kern w:val="0"/>
          <w:sz w:val="36"/>
          <w:szCs w:val="36"/>
          <w:highlight w:val="none"/>
        </w:rPr>
      </w:pPr>
      <w:r>
        <w:rPr>
          <w:rFonts w:ascii="宋体"/>
          <w:b/>
          <w:bCs/>
          <w:color w:val="auto"/>
          <w:sz w:val="24"/>
          <w:szCs w:val="24"/>
          <w:highlight w:val="none"/>
        </w:rPr>
        <w:br w:type="page"/>
      </w:r>
      <w:r>
        <w:rPr>
          <w:rFonts w:hint="eastAsia" w:ascii="宋体" w:hAnsi="宋体" w:cs="宋体"/>
          <w:b/>
          <w:bCs/>
          <w:color w:val="auto"/>
          <w:kern w:val="0"/>
          <w:sz w:val="36"/>
          <w:szCs w:val="36"/>
          <w:highlight w:val="none"/>
        </w:rPr>
        <w:t>资格文件部分</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）法定代表人授权书；（格式见附件）</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）声明书；（格式见附件）</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）营业执照</w:t>
      </w:r>
      <w:r>
        <w:rPr>
          <w:rFonts w:ascii="宋体" w:hAnsi="宋体" w:cs="宋体"/>
          <w:color w:val="auto"/>
          <w:sz w:val="24"/>
          <w:szCs w:val="24"/>
          <w:highlight w:val="none"/>
        </w:rPr>
        <w:t>(</w:t>
      </w:r>
      <w:r>
        <w:rPr>
          <w:rFonts w:hint="eastAsia" w:ascii="宋体" w:hAnsi="宋体" w:cs="宋体"/>
          <w:color w:val="auto"/>
          <w:sz w:val="24"/>
          <w:szCs w:val="24"/>
          <w:highlight w:val="none"/>
        </w:rPr>
        <w:t>或事业法人登记证或其他工商等登记证明材料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复印件、税务登记证</w:t>
      </w:r>
      <w:r>
        <w:rPr>
          <w:rFonts w:ascii="宋体" w:hAnsi="宋体" w:cs="宋体"/>
          <w:color w:val="auto"/>
          <w:sz w:val="24"/>
          <w:szCs w:val="24"/>
          <w:highlight w:val="none"/>
        </w:rPr>
        <w:t>(</w:t>
      </w:r>
      <w:r>
        <w:rPr>
          <w:rFonts w:hint="eastAsia" w:ascii="宋体" w:hAnsi="宋体" w:cs="宋体"/>
          <w:color w:val="auto"/>
          <w:sz w:val="24"/>
          <w:szCs w:val="24"/>
          <w:highlight w:val="none"/>
        </w:rPr>
        <w:t>或其它缴纳证明材料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）前一年度资产负债表等财务报表资料文件；</w:t>
      </w:r>
      <w:r>
        <w:rPr>
          <w:rFonts w:ascii="宋体" w:hAnsi="宋体" w:cs="宋体"/>
          <w:color w:val="auto"/>
          <w:sz w:val="24"/>
          <w:szCs w:val="24"/>
          <w:highlight w:val="none"/>
        </w:rPr>
        <w:t>(</w:t>
      </w:r>
      <w:r>
        <w:rPr>
          <w:rFonts w:hint="eastAsia" w:ascii="宋体" w:hAnsi="宋体" w:cs="宋体"/>
          <w:color w:val="auto"/>
          <w:sz w:val="24"/>
          <w:szCs w:val="24"/>
          <w:highlight w:val="none"/>
        </w:rPr>
        <w:t>新成立的公司，必须提供情况说明</w:t>
      </w:r>
      <w:r>
        <w:rPr>
          <w:rFonts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）具有履行合同所必需的产品和专业技术能力的承诺函；</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）提供有效的依法缴纳税收证明（完税凭证或税务部门出具的证明）和提供有效的依法缴纳社会保障资金证明（缴纳凭证或人社部门出具的证明）；</w:t>
      </w:r>
    </w:p>
    <w:p>
      <w:pPr>
        <w:pStyle w:val="19"/>
        <w:spacing w:line="360" w:lineRule="auto"/>
        <w:ind w:firstLine="480" w:firstLineChars="200"/>
        <w:rPr>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）参加政府采购活动前三年内，在经营活动中没有重大违法记录的声明。</w:t>
      </w:r>
    </w:p>
    <w:p>
      <w:pPr>
        <w:pStyle w:val="9"/>
        <w:ind w:firstLine="486"/>
        <w:rPr>
          <w:rFonts w:cs="Times New Roman"/>
          <w:color w:val="auto"/>
          <w:highlight w:val="none"/>
        </w:rPr>
      </w:pPr>
    </w:p>
    <w:p>
      <w:pPr>
        <w:pStyle w:val="9"/>
        <w:ind w:firstLine="486"/>
        <w:rPr>
          <w:rFonts w:cs="Times New Roman"/>
          <w:color w:val="auto"/>
          <w:highlight w:val="none"/>
        </w:rPr>
      </w:pPr>
    </w:p>
    <w:p>
      <w:pPr>
        <w:rPr>
          <w:rFonts w:ascii="宋体"/>
          <w:color w:val="auto"/>
          <w:highlight w:val="none"/>
        </w:rPr>
      </w:pPr>
      <w:r>
        <w:rPr>
          <w:rFonts w:ascii="宋体"/>
          <w:color w:val="auto"/>
          <w:highlight w:val="none"/>
        </w:rPr>
        <w:br w:type="page"/>
      </w:r>
      <w:bookmarkStart w:id="83" w:name="_Toc24699"/>
    </w:p>
    <w:p>
      <w:pPr>
        <w:rPr>
          <w:b/>
          <w:bCs/>
          <w:color w:val="auto"/>
          <w:highlight w:val="none"/>
        </w:rPr>
      </w:pPr>
      <w:r>
        <w:rPr>
          <w:rFonts w:hint="eastAsia" w:cs="宋体"/>
          <w:b/>
          <w:bCs/>
          <w:color w:val="auto"/>
          <w:highlight w:val="none"/>
        </w:rPr>
        <w:t>附件一：</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法定代表人授权书</w:t>
      </w:r>
      <w:bookmarkEnd w:id="83"/>
    </w:p>
    <w:p>
      <w:pPr>
        <w:pStyle w:val="4"/>
        <w:spacing w:line="360" w:lineRule="auto"/>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eastAsia="zh-CN"/>
        </w:rPr>
        <w:t>中国共产党绍兴市上虞区委统一战线工作部</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（供应商全称）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法定代表人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w:t>
      </w:r>
      <w:r>
        <w:rPr>
          <w:rFonts w:hint="eastAsia" w:ascii="宋体" w:hAnsi="宋体" w:cs="宋体"/>
          <w:color w:val="auto"/>
          <w:sz w:val="24"/>
          <w:szCs w:val="24"/>
          <w:highlight w:val="none"/>
          <w:u w:val="single"/>
        </w:rPr>
        <w:t>（授权代表名称）</w:t>
      </w:r>
      <w:r>
        <w:rPr>
          <w:rFonts w:hint="eastAsia" w:ascii="宋体" w:hAnsi="宋体" w:cs="宋体"/>
          <w:color w:val="auto"/>
          <w:sz w:val="24"/>
          <w:szCs w:val="24"/>
          <w:highlight w:val="none"/>
        </w:rPr>
        <w:t>为授权代表，参加贵处组织的</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w:t>
      </w:r>
      <w:r>
        <w:rPr>
          <w:rFonts w:hint="eastAsia" w:ascii="宋体" w:hAnsi="宋体" w:cs="宋体"/>
          <w:color w:val="auto"/>
          <w:sz w:val="24"/>
          <w:szCs w:val="24"/>
          <w:highlight w:val="none"/>
          <w:u w:val="single"/>
        </w:rPr>
        <w:t>（括号内填写招标编号）</w:t>
      </w:r>
      <w:r>
        <w:rPr>
          <w:rFonts w:hint="eastAsia" w:ascii="宋体" w:hAnsi="宋体" w:cs="宋体"/>
          <w:color w:val="auto"/>
          <w:sz w:val="24"/>
          <w:szCs w:val="24"/>
          <w:highlight w:val="none"/>
        </w:rPr>
        <w:t>，授权处理招投标活动中的一切事宜。</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法定代表人签字：</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供应商全称：（盖章）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授权代表姓名：</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职务：</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详细通讯地址：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电话：</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邮政编码：</w:t>
      </w:r>
    </w:p>
    <w:p>
      <w:pPr>
        <w:pStyle w:val="11"/>
        <w:snapToGrid w:val="0"/>
        <w:spacing w:line="360" w:lineRule="auto"/>
        <w:rPr>
          <w:rFonts w:hAnsi="宋体" w:cs="Times New Roman"/>
          <w:color w:val="auto"/>
          <w:sz w:val="24"/>
          <w:szCs w:val="24"/>
          <w:highlight w:val="none"/>
        </w:rPr>
      </w:pPr>
    </w:p>
    <w:p>
      <w:pPr>
        <w:pStyle w:val="11"/>
        <w:snapToGrid w:val="0"/>
        <w:spacing w:line="360" w:lineRule="auto"/>
        <w:rPr>
          <w:rFonts w:hAnsi="宋体" w:cs="Times New Roman"/>
          <w:color w:val="auto"/>
          <w:sz w:val="24"/>
          <w:szCs w:val="24"/>
          <w:highlight w:val="none"/>
        </w:rPr>
      </w:pPr>
    </w:p>
    <w:p>
      <w:pPr>
        <w:pStyle w:val="11"/>
        <w:snapToGrid w:val="0"/>
        <w:spacing w:line="360" w:lineRule="auto"/>
        <w:rPr>
          <w:rFonts w:hAnsi="宋体" w:cs="Times New Roman"/>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附：授权代表身份证复印件（正反面）</w:t>
      </w:r>
    </w:p>
    <w:p>
      <w:pPr>
        <w:spacing w:line="360" w:lineRule="auto"/>
        <w:rPr>
          <w:rFonts w:ascii="宋体"/>
          <w:b/>
          <w:bCs/>
          <w:color w:val="auto"/>
          <w:sz w:val="24"/>
          <w:szCs w:val="24"/>
          <w:highlight w:val="none"/>
        </w:rPr>
      </w:pPr>
    </w:p>
    <w:p>
      <w:pPr>
        <w:pStyle w:val="9"/>
        <w:ind w:firstLine="486"/>
        <w:rPr>
          <w:rFonts w:cs="Times New Roman"/>
          <w:color w:val="auto"/>
          <w:highlight w:val="none"/>
        </w:rPr>
      </w:pPr>
    </w:p>
    <w:p>
      <w:pPr>
        <w:snapToGrid w:val="0"/>
        <w:spacing w:before="50" w:after="156" w:afterLines="50"/>
        <w:jc w:val="left"/>
        <w:rPr>
          <w:rFonts w:ascii="宋体"/>
          <w:b/>
          <w:bCs/>
          <w:color w:val="auto"/>
          <w:sz w:val="24"/>
          <w:szCs w:val="24"/>
          <w:highlight w:val="none"/>
          <w:lang w:val="zh-CN"/>
        </w:rPr>
      </w:pPr>
      <w:r>
        <w:rPr>
          <w:rFonts w:ascii="宋体"/>
          <w:b/>
          <w:bCs/>
          <w:color w:val="auto"/>
          <w:sz w:val="24"/>
          <w:szCs w:val="24"/>
          <w:highlight w:val="none"/>
        </w:rPr>
        <w:br w:type="page"/>
      </w:r>
      <w:r>
        <w:rPr>
          <w:rFonts w:hint="eastAsia" w:ascii="宋体" w:hAnsi="宋体" w:cs="宋体"/>
          <w:b/>
          <w:bCs/>
          <w:color w:val="auto"/>
          <w:sz w:val="24"/>
          <w:szCs w:val="24"/>
          <w:highlight w:val="none"/>
          <w:lang w:val="zh-CN"/>
        </w:rPr>
        <w:t>附件二：</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声</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明</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书</w:t>
      </w:r>
    </w:p>
    <w:p>
      <w:pPr>
        <w:spacing w:line="360" w:lineRule="auto"/>
        <w:ind w:firstLine="420" w:firstLineChars="200"/>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eastAsia="zh-CN"/>
        </w:rPr>
        <w:t>中国共产党绍兴市上虞区委统一战线工作部</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u w:val="single"/>
        </w:rPr>
        <w:t>（供应商名称）</w:t>
      </w:r>
      <w:r>
        <w:rPr>
          <w:rFonts w:hint="eastAsia" w:ascii="宋体" w:hAnsi="宋体" w:cs="宋体"/>
          <w:color w:val="auto"/>
          <w:sz w:val="24"/>
          <w:szCs w:val="24"/>
          <w:highlight w:val="none"/>
        </w:rPr>
        <w:t>系中华人民共和国合法企业，经营地址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我</w:t>
      </w:r>
      <w:r>
        <w:rPr>
          <w:rFonts w:hint="eastAsia" w:ascii="宋体" w:hAnsi="宋体" w:cs="宋体"/>
          <w:color w:val="auto"/>
          <w:sz w:val="24"/>
          <w:szCs w:val="24"/>
          <w:highlight w:val="none"/>
          <w:u w:val="single"/>
        </w:rPr>
        <w:t>（姓名）</w:t>
      </w: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（供应商名称）</w:t>
      </w:r>
      <w:r>
        <w:rPr>
          <w:rFonts w:hint="eastAsia" w:ascii="宋体" w:hAnsi="宋体" w:cs="宋体"/>
          <w:color w:val="auto"/>
          <w:sz w:val="24"/>
          <w:szCs w:val="24"/>
          <w:highlight w:val="none"/>
        </w:rPr>
        <w:t>的法定代表人，我方愿意参加贵方组织的</w:t>
      </w:r>
      <w:r>
        <w:rPr>
          <w:rFonts w:hint="eastAsia" w:ascii="宋体" w:hAnsi="宋体" w:cs="宋体"/>
          <w:color w:val="auto"/>
          <w:sz w:val="24"/>
          <w:szCs w:val="24"/>
          <w:highlight w:val="none"/>
          <w:u w:val="single"/>
        </w:rPr>
        <w:t>（招标项目名称）（编号为）</w:t>
      </w:r>
      <w:r>
        <w:rPr>
          <w:rFonts w:hint="eastAsia" w:ascii="宋体" w:hAnsi="宋体" w:cs="宋体"/>
          <w:color w:val="auto"/>
          <w:sz w:val="24"/>
          <w:szCs w:val="24"/>
          <w:highlight w:val="none"/>
        </w:rPr>
        <w:t>的投标，为此，我方就本次投标有关事项郑重声明如下：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、我方已详细审查全部磋商文件，同意磋商文件的各项要求。</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、我方向贵方提交的所有响应文件、资料都是准确的和真实的。</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、若中标，我方将按磋商文件规定履行合同责任和义务。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、我方不是采购人的附属机构；在获知本项目采购信息后，与采购人聘请的为此项目提供咨询服务的公司及其附属机构没有任何联系。</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、响应文件自开标日起有效期为</w:t>
      </w:r>
      <w:r>
        <w:rPr>
          <w:rFonts w:ascii="宋体" w:hAnsi="宋体" w:cs="宋体"/>
          <w:color w:val="auto"/>
          <w:sz w:val="24"/>
          <w:szCs w:val="24"/>
          <w:highlight w:val="none"/>
        </w:rPr>
        <w:t>90</w:t>
      </w:r>
      <w:r>
        <w:rPr>
          <w:rFonts w:hint="eastAsia" w:ascii="宋体" w:hAnsi="宋体" w:cs="宋体"/>
          <w:color w:val="auto"/>
          <w:sz w:val="24"/>
          <w:szCs w:val="24"/>
          <w:highlight w:val="none"/>
        </w:rPr>
        <w:t>天。</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、我方参与本项目前</w:t>
      </w:r>
      <w:r>
        <w:rPr>
          <w:rFonts w:ascii="宋体" w:hAnsi="宋体" w:cs="宋体"/>
          <w:color w:val="auto"/>
          <w:sz w:val="24"/>
          <w:szCs w:val="24"/>
          <w:highlight w:val="none"/>
        </w:rPr>
        <w:t>3</w:t>
      </w:r>
      <w:r>
        <w:rPr>
          <w:rFonts w:hint="eastAsia" w:ascii="宋体" w:hAnsi="宋体" w:cs="宋体"/>
          <w:color w:val="auto"/>
          <w:sz w:val="24"/>
          <w:szCs w:val="24"/>
          <w:highlight w:val="none"/>
        </w:rPr>
        <w:t>年内的经营活动中没有重大违法记录；</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、我方通过“信用中国”网站（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）查询，未被列入失信被执行人、重大税收违法案件当事人名单、政府采购严重违法失信行为记录名单。</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、以上事项如有虚假或隐瞒，我方愿意承担一切后果，并不再寻求任何旨在减轻或免除法律责任的辩解。</w:t>
      </w:r>
    </w:p>
    <w:p>
      <w:pPr>
        <w:pStyle w:val="9"/>
        <w:rPr>
          <w:rFonts w:cs="Times New Roman"/>
          <w:color w:val="auto"/>
          <w:highlight w:val="none"/>
        </w:rPr>
      </w:pPr>
    </w:p>
    <w:p>
      <w:pPr>
        <w:pStyle w:val="9"/>
        <w:rPr>
          <w:rFonts w:cs="Times New Roman"/>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pStyle w:val="9"/>
        <w:ind w:firstLine="566"/>
        <w:rPr>
          <w:rFonts w:cs="Times New Roman"/>
          <w:color w:val="auto"/>
          <w:sz w:val="28"/>
          <w:szCs w:val="28"/>
          <w:highlight w:val="none"/>
        </w:rPr>
      </w:pPr>
    </w:p>
    <w:p>
      <w:pPr>
        <w:pStyle w:val="4"/>
        <w:rPr>
          <w:rFonts w:ascii="宋体"/>
          <w:color w:val="auto"/>
          <w:highlight w:val="none"/>
        </w:rPr>
      </w:pPr>
    </w:p>
    <w:p>
      <w:pPr>
        <w:spacing w:line="360" w:lineRule="auto"/>
        <w:rPr>
          <w:rFonts w:ascii="宋体"/>
          <w:b/>
          <w:bCs/>
          <w:color w:val="auto"/>
          <w:kern w:val="0"/>
          <w:sz w:val="36"/>
          <w:szCs w:val="36"/>
          <w:highlight w:val="none"/>
        </w:rPr>
      </w:pPr>
    </w:p>
    <w:p>
      <w:pPr>
        <w:widowControl/>
        <w:jc w:val="left"/>
        <w:rPr>
          <w:rFonts w:ascii="宋体"/>
          <w:b/>
          <w:bCs/>
          <w:color w:val="auto"/>
          <w:sz w:val="24"/>
          <w:szCs w:val="24"/>
          <w:highlight w:val="none"/>
          <w:lang w:val="zh-CN"/>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商务技术文件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9"/>
        <w:ind w:left="426" w:firstLine="486"/>
        <w:rPr>
          <w:rFonts w:cs="Times New Roman"/>
          <w:color w:val="auto"/>
          <w:highlight w:val="none"/>
        </w:rPr>
      </w:pP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评分对应表（格式见附件，主要用于评委对应评分内容）</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供应商商务技术文件中资信分自评表（格式见附件）；</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磋商项目明细清单（格式见附件）；</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技术响应及建议表（格式见附件）；</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商务响应表（格式见附件）；</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项目认识；</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项目方案；</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进度保障；</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合理化建议；</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人员配置；</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服务承诺；</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本地化服务；</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标书质量；</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认证证书；</w:t>
      </w:r>
    </w:p>
    <w:p>
      <w:pPr>
        <w:numPr>
          <w:ilvl w:val="0"/>
          <w:numId w:val="21"/>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业绩证明；</w:t>
      </w:r>
    </w:p>
    <w:p>
      <w:pPr>
        <w:numPr>
          <w:ilvl w:val="0"/>
          <w:numId w:val="21"/>
        </w:num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供应商认为需要的其他文件资料。</w:t>
      </w:r>
    </w:p>
    <w:p>
      <w:pPr>
        <w:pStyle w:val="11"/>
        <w:spacing w:line="500" w:lineRule="exact"/>
        <w:ind w:firstLine="480" w:firstLineChars="200"/>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p>
    <w:p>
      <w:pPr>
        <w:pStyle w:val="9"/>
        <w:ind w:firstLine="566"/>
        <w:rPr>
          <w:rFonts w:cs="Times New Roman"/>
          <w:color w:val="auto"/>
          <w:sz w:val="28"/>
          <w:szCs w:val="28"/>
          <w:highlight w:val="none"/>
        </w:rPr>
      </w:pPr>
    </w:p>
    <w:p>
      <w:pPr>
        <w:pStyle w:val="9"/>
        <w:ind w:firstLine="566"/>
        <w:rPr>
          <w:rFonts w:cs="Times New Roman"/>
          <w:color w:val="auto"/>
          <w:sz w:val="28"/>
          <w:szCs w:val="28"/>
          <w:highlight w:val="none"/>
        </w:rPr>
      </w:pPr>
    </w:p>
    <w:p>
      <w:pPr>
        <w:rPr>
          <w:rFonts w:ascii="宋体"/>
          <w:color w:val="auto"/>
          <w:sz w:val="28"/>
          <w:szCs w:val="28"/>
          <w:highlight w:val="none"/>
        </w:rPr>
      </w:pPr>
      <w:r>
        <w:rPr>
          <w:rFonts w:ascii="宋体"/>
          <w:color w:val="auto"/>
          <w:sz w:val="28"/>
          <w:szCs w:val="28"/>
          <w:highlight w:val="none"/>
        </w:rPr>
        <w:br w:type="page"/>
      </w:r>
    </w:p>
    <w:p>
      <w:pPr>
        <w:snapToGrid w:val="0"/>
        <w:spacing w:before="50" w:after="50"/>
        <w:jc w:val="left"/>
        <w:rPr>
          <w:rFonts w:ascii="宋体"/>
          <w:b/>
          <w:bCs/>
          <w:color w:val="auto"/>
          <w:sz w:val="24"/>
          <w:szCs w:val="24"/>
          <w:highlight w:val="none"/>
          <w:lang w:val="zh-CN"/>
        </w:rPr>
      </w:pPr>
      <w:bookmarkStart w:id="84" w:name="_Toc10131"/>
      <w:r>
        <w:rPr>
          <w:rFonts w:hint="eastAsia" w:ascii="宋体" w:hAnsi="宋体" w:cs="宋体"/>
          <w:b/>
          <w:bCs/>
          <w:color w:val="auto"/>
          <w:sz w:val="24"/>
          <w:szCs w:val="24"/>
          <w:highlight w:val="none"/>
          <w:lang w:val="zh-CN"/>
        </w:rPr>
        <w:t>附件三：</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评分对应表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1"/>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对应评分办法及评分标准</w:t>
            </w:r>
          </w:p>
          <w:p>
            <w:pPr>
              <w:jc w:val="center"/>
              <w:rPr>
                <w:rFonts w:ascii="宋体"/>
                <w:color w:val="auto"/>
                <w:sz w:val="24"/>
                <w:szCs w:val="24"/>
                <w:highlight w:val="none"/>
              </w:rPr>
            </w:pPr>
            <w:r>
              <w:rPr>
                <w:rFonts w:hint="eastAsia" w:ascii="宋体" w:hAnsi="宋体" w:cs="宋体"/>
                <w:color w:val="auto"/>
                <w:sz w:val="24"/>
                <w:szCs w:val="24"/>
                <w:highlight w:val="none"/>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highlight w:val="none"/>
          <w:lang w:val="zh-CN"/>
        </w:rPr>
      </w:pPr>
    </w:p>
    <w:p>
      <w:pPr>
        <w:rPr>
          <w:b/>
          <w:bCs/>
          <w:color w:val="auto"/>
          <w:sz w:val="24"/>
          <w:szCs w:val="24"/>
          <w:highlight w:val="none"/>
          <w:lang w:val="zh-CN"/>
        </w:rPr>
      </w:pPr>
      <w:r>
        <w:rPr>
          <w:rFonts w:hint="eastAsia" w:cs="宋体"/>
          <w:b/>
          <w:bCs/>
          <w:color w:val="auto"/>
          <w:sz w:val="24"/>
          <w:szCs w:val="24"/>
          <w:highlight w:val="none"/>
          <w:lang w:val="zh-CN"/>
        </w:rPr>
        <w:t>附件</w:t>
      </w:r>
      <w:r>
        <w:rPr>
          <w:rFonts w:hint="eastAsia" w:cs="宋体"/>
          <w:b/>
          <w:bCs/>
          <w:color w:val="auto"/>
          <w:sz w:val="24"/>
          <w:szCs w:val="24"/>
          <w:highlight w:val="none"/>
        </w:rPr>
        <w:t>四：</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供应商商务技术文件中资信分自评表</w:t>
      </w:r>
      <w:bookmarkEnd w:id="84"/>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1"/>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387"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资信分内容</w:t>
            </w:r>
          </w:p>
        </w:tc>
        <w:tc>
          <w:tcPr>
            <w:tcW w:w="146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自评得分</w:t>
            </w:r>
          </w:p>
        </w:tc>
        <w:tc>
          <w:tcPr>
            <w:tcW w:w="2415" w:type="dxa"/>
            <w:tcBorders>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746" w:type="dxa"/>
            <w:tcBorders>
              <w:lef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1</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2</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3</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4</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5</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6</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7</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8</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合计</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156" w:afterLines="50"/>
        <w:jc w:val="left"/>
        <w:rPr>
          <w:rFonts w:ascii="宋体"/>
          <w:b/>
          <w:bCs/>
          <w:color w:val="auto"/>
          <w:sz w:val="24"/>
          <w:szCs w:val="24"/>
          <w:highlight w:val="none"/>
          <w:lang w:val="zh-CN"/>
        </w:rPr>
      </w:pPr>
      <w:r>
        <w:rPr>
          <w:rFonts w:ascii="宋体"/>
          <w:b/>
          <w:bCs/>
          <w:color w:val="auto"/>
          <w:sz w:val="30"/>
          <w:szCs w:val="30"/>
          <w:highlight w:val="none"/>
        </w:rPr>
        <w:br w:type="page"/>
      </w:r>
      <w:r>
        <w:rPr>
          <w:rFonts w:hint="eastAsia" w:ascii="宋体" w:hAnsi="宋体" w:cs="宋体"/>
          <w:b/>
          <w:bCs/>
          <w:color w:val="auto"/>
          <w:sz w:val="24"/>
          <w:szCs w:val="24"/>
          <w:highlight w:val="none"/>
          <w:lang w:val="zh-CN"/>
        </w:rPr>
        <w:t>附件五：</w:t>
      </w:r>
    </w:p>
    <w:p>
      <w:pPr>
        <w:spacing w:line="360" w:lineRule="auto"/>
        <w:jc w:val="center"/>
        <w:rPr>
          <w:rFonts w:ascii="宋体" w:cs="宋体"/>
          <w:b/>
          <w:bCs/>
          <w:color w:val="auto"/>
          <w:sz w:val="32"/>
          <w:szCs w:val="32"/>
          <w:highlight w:val="none"/>
        </w:rPr>
      </w:pPr>
      <w:r>
        <w:rPr>
          <w:rFonts w:hint="eastAsia" w:ascii="宋体" w:hAnsi="宋体" w:cs="宋体"/>
          <w:b/>
          <w:bCs/>
          <w:color w:val="auto"/>
          <w:sz w:val="32"/>
          <w:szCs w:val="32"/>
          <w:highlight w:val="none"/>
        </w:rPr>
        <w:t>投标项目明细清单</w:t>
      </w:r>
    </w:p>
    <w:p>
      <w:pPr>
        <w:spacing w:line="360" w:lineRule="auto"/>
        <w:ind w:firstLine="480" w:firstLineChars="200"/>
        <w:rPr>
          <w:rFonts w:ascii="宋体" w:cs="宋体"/>
          <w:color w:val="auto"/>
          <w:sz w:val="24"/>
          <w:highlight w:val="none"/>
        </w:rPr>
      </w:pP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采购编号：</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s="宋体"/>
                <w:color w:val="auto"/>
                <w:sz w:val="24"/>
                <w:highlight w:val="none"/>
              </w:rPr>
            </w:pPr>
            <w:r>
              <w:rPr>
                <w:rFonts w:hint="eastAsia" w:ascii="宋体" w:hAnsi="宋体" w:cs="宋体"/>
                <w:color w:val="auto"/>
                <w:sz w:val="24"/>
                <w:highlight w:val="none"/>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color w:val="auto"/>
                <w:sz w:val="24"/>
                <w:highlight w:val="none"/>
              </w:rPr>
            </w:pPr>
            <w:r>
              <w:rPr>
                <w:rFonts w:hint="eastAsia" w:ascii="宋体" w:hAnsi="宋体" w:cs="宋体"/>
                <w:color w:val="auto"/>
                <w:sz w:val="24"/>
                <w:highlight w:val="none"/>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color w:val="auto"/>
                <w:sz w:val="24"/>
                <w:highlight w:val="none"/>
              </w:rPr>
            </w:pPr>
            <w:r>
              <w:rPr>
                <w:rFonts w:hint="eastAsia" w:ascii="宋体" w:hAnsi="宋体" w:cs="宋体"/>
                <w:color w:val="auto"/>
                <w:sz w:val="24"/>
                <w:highlight w:val="none"/>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s="宋体"/>
                <w:color w:val="auto"/>
                <w:sz w:val="24"/>
                <w:highlight w:val="none"/>
              </w:rPr>
            </w:pPr>
            <w:r>
              <w:rPr>
                <w:rFonts w:hint="eastAsia" w:ascii="宋体" w:hAnsi="宋体" w:cs="宋体"/>
                <w:color w:val="auto"/>
                <w:sz w:val="24"/>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s="宋体"/>
                <w:color w:val="auto"/>
                <w:sz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s="宋体"/>
                <w:color w:val="auto"/>
                <w:sz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s="宋体"/>
                <w:color w:val="auto"/>
                <w:sz w:val="24"/>
                <w:highlight w:val="none"/>
              </w:rPr>
            </w:pPr>
          </w:p>
        </w:tc>
      </w:tr>
    </w:tbl>
    <w:p>
      <w:pPr>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highlight w:val="none"/>
        </w:rPr>
        <w:t>注：在填写时，如上表不适合本项目的实际情况，可在确保投标明细内容完整的情况下，根据上表格式自行划表填写</w:t>
      </w:r>
    </w:p>
    <w:p>
      <w:pPr>
        <w:pStyle w:val="9"/>
        <w:rPr>
          <w:rFonts w:cs="Times New Roman"/>
          <w:color w:val="auto"/>
          <w:highlight w:val="none"/>
        </w:rPr>
      </w:pPr>
    </w:p>
    <w:p>
      <w:pPr>
        <w:pStyle w:val="9"/>
        <w:rPr>
          <w:rFonts w:cs="Times New Roman"/>
          <w:color w:val="auto"/>
          <w:highlight w:val="none"/>
        </w:rPr>
      </w:pPr>
    </w:p>
    <w:p>
      <w:pPr>
        <w:pStyle w:val="9"/>
        <w:rPr>
          <w:rFonts w:cs="Times New Roman"/>
          <w:color w:val="auto"/>
          <w:highlight w:val="none"/>
        </w:rPr>
      </w:pPr>
    </w:p>
    <w:p>
      <w:pPr>
        <w:snapToGrid w:val="0"/>
        <w:spacing w:before="156" w:beforeLines="5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color w:val="auto"/>
          <w:spacing w:val="20"/>
          <w:sz w:val="24"/>
          <w:szCs w:val="24"/>
          <w:highlight w:val="none"/>
        </w:rPr>
      </w:pPr>
    </w:p>
    <w:p>
      <w:pPr>
        <w:snapToGrid w:val="0"/>
        <w:spacing w:before="50" w:after="50"/>
        <w:rPr>
          <w:rFonts w:ascii="宋体"/>
          <w:color w:val="auto"/>
          <w:spacing w:val="20"/>
          <w:sz w:val="30"/>
          <w:szCs w:val="30"/>
          <w:highlight w:val="none"/>
        </w:rPr>
      </w:pPr>
    </w:p>
    <w:p>
      <w:pPr>
        <w:pStyle w:val="9"/>
        <w:ind w:firstLine="686"/>
        <w:rPr>
          <w:rFonts w:cs="Times New Roman"/>
          <w:color w:val="auto"/>
          <w:spacing w:val="20"/>
          <w:sz w:val="30"/>
          <w:szCs w:val="30"/>
          <w:highlight w:val="none"/>
        </w:rPr>
      </w:pPr>
    </w:p>
    <w:p>
      <w:pPr>
        <w:pStyle w:val="9"/>
        <w:ind w:firstLine="686"/>
        <w:rPr>
          <w:rFonts w:cs="Times New Roman"/>
          <w:color w:val="auto"/>
          <w:spacing w:val="20"/>
          <w:sz w:val="30"/>
          <w:szCs w:val="30"/>
          <w:highlight w:val="none"/>
        </w:rPr>
        <w:sectPr>
          <w:pgSz w:w="11906" w:h="16838"/>
          <w:pgMar w:top="1440" w:right="1800" w:bottom="1440" w:left="1800" w:header="851" w:footer="992" w:gutter="0"/>
          <w:cols w:space="425" w:num="1"/>
          <w:docGrid w:type="lines" w:linePitch="312" w:charSpace="0"/>
        </w:sectPr>
      </w:pPr>
    </w:p>
    <w:p>
      <w:pPr>
        <w:rPr>
          <w:b/>
          <w:bCs/>
          <w:color w:val="auto"/>
          <w:sz w:val="24"/>
          <w:szCs w:val="24"/>
          <w:highlight w:val="none"/>
        </w:rPr>
      </w:pPr>
      <w:bookmarkStart w:id="85" w:name="_Toc2823"/>
      <w:r>
        <w:rPr>
          <w:rFonts w:hint="eastAsia" w:cs="宋体"/>
          <w:b/>
          <w:bCs/>
          <w:color w:val="auto"/>
          <w:sz w:val="24"/>
          <w:szCs w:val="24"/>
          <w:highlight w:val="none"/>
        </w:rPr>
        <w:t>附件六：</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技术响应及建议表</w:t>
      </w:r>
      <w:bookmarkEnd w:id="85"/>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1"/>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44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名称</w:t>
            </w:r>
          </w:p>
        </w:tc>
        <w:tc>
          <w:tcPr>
            <w:tcW w:w="198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25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响应文件响应</w:t>
            </w:r>
          </w:p>
        </w:tc>
        <w:tc>
          <w:tcPr>
            <w:tcW w:w="1953"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投标建议</w:t>
            </w:r>
          </w:p>
        </w:tc>
        <w:tc>
          <w:tcPr>
            <w:tcW w:w="6453" w:type="dxa"/>
            <w:gridSpan w:val="3"/>
            <w:vAlign w:val="center"/>
          </w:tcPr>
          <w:p>
            <w:pPr>
              <w:spacing w:line="360" w:lineRule="auto"/>
              <w:jc w:val="center"/>
              <w:rPr>
                <w:rFonts w:ascii="宋体"/>
                <w:color w:val="auto"/>
                <w:sz w:val="24"/>
                <w:szCs w:val="24"/>
                <w:highlight w:val="none"/>
              </w:rPr>
            </w:pPr>
          </w:p>
        </w:tc>
      </w:tr>
    </w:tbl>
    <w:p>
      <w:pPr>
        <w:snapToGrid w:val="0"/>
        <w:spacing w:line="360" w:lineRule="auto"/>
        <w:rPr>
          <w:rFonts w:ascii="宋体"/>
          <w:color w:val="auto"/>
          <w:sz w:val="24"/>
          <w:szCs w:val="24"/>
          <w:highlight w:val="none"/>
        </w:rPr>
      </w:pPr>
    </w:p>
    <w:p>
      <w:pPr>
        <w:pStyle w:val="11"/>
        <w:spacing w:line="360" w:lineRule="auto"/>
        <w:rPr>
          <w:rFonts w:hAnsi="宋体" w:cs="Times New Roman"/>
          <w:color w:val="auto"/>
          <w:sz w:val="24"/>
          <w:szCs w:val="24"/>
          <w:highlight w:val="none"/>
        </w:rPr>
      </w:pPr>
      <w:r>
        <w:rPr>
          <w:rFonts w:hint="eastAsia" w:hAnsi="宋体"/>
          <w:color w:val="auto"/>
          <w:sz w:val="24"/>
          <w:szCs w:val="24"/>
          <w:highlight w:val="none"/>
        </w:rPr>
        <w:t>注：名称可基于项目清单根据供应商实际情况调整。</w:t>
      </w:r>
    </w:p>
    <w:p>
      <w:pPr>
        <w:rPr>
          <w:rFonts w:ascii="宋体"/>
          <w:color w:val="auto"/>
          <w:sz w:val="24"/>
          <w:szCs w:val="24"/>
          <w:highlight w:val="none"/>
        </w:rPr>
      </w:pPr>
    </w:p>
    <w:p>
      <w:pPr>
        <w:pStyle w:val="9"/>
        <w:rPr>
          <w:rFonts w:cs="Times New Roman"/>
          <w:color w:val="auto"/>
          <w:highlight w:val="none"/>
        </w:rPr>
      </w:pPr>
    </w:p>
    <w:p>
      <w:pPr>
        <w:snapToGrid w:val="0"/>
        <w:spacing w:line="360" w:lineRule="auto"/>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sz w:val="24"/>
          <w:szCs w:val="24"/>
          <w:highlight w:val="none"/>
        </w:rPr>
      </w:pPr>
      <w:r>
        <w:rPr>
          <w:color w:val="auto"/>
          <w:sz w:val="24"/>
          <w:szCs w:val="24"/>
          <w:highlight w:val="none"/>
        </w:rPr>
        <w:br w:type="page"/>
      </w:r>
    </w:p>
    <w:p>
      <w:pPr>
        <w:rPr>
          <w:b/>
          <w:bCs/>
          <w:color w:val="auto"/>
          <w:sz w:val="24"/>
          <w:szCs w:val="24"/>
          <w:highlight w:val="none"/>
        </w:rPr>
      </w:pPr>
      <w:r>
        <w:rPr>
          <w:rFonts w:hint="eastAsia" w:cs="宋体"/>
          <w:b/>
          <w:bCs/>
          <w:color w:val="auto"/>
          <w:sz w:val="24"/>
          <w:szCs w:val="24"/>
          <w:highlight w:val="none"/>
        </w:rPr>
        <w:t>附件七：</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商务响应表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1"/>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是否</w:t>
            </w:r>
          </w:p>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b/>
          <w:bCs/>
          <w:color w:val="auto"/>
          <w:sz w:val="24"/>
          <w:szCs w:val="24"/>
          <w:highlight w:val="none"/>
          <w:lang w:val="zh-CN"/>
        </w:rPr>
      </w:pPr>
      <w:r>
        <w:rPr>
          <w:rFonts w:ascii="宋体"/>
          <w:color w:val="auto"/>
          <w:sz w:val="24"/>
          <w:szCs w:val="24"/>
          <w:highlight w:val="none"/>
        </w:rPr>
        <w:br w:type="page"/>
      </w:r>
      <w:r>
        <w:rPr>
          <w:rFonts w:hint="eastAsia" w:ascii="宋体" w:hAnsi="宋体" w:cs="宋体"/>
          <w:b/>
          <w:bCs/>
          <w:color w:val="auto"/>
          <w:sz w:val="24"/>
          <w:szCs w:val="24"/>
          <w:highlight w:val="none"/>
          <w:lang w:val="zh-CN"/>
        </w:rPr>
        <w:t>附件八：</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项目组人员清单</w:t>
      </w:r>
    </w:p>
    <w:p>
      <w:pPr>
        <w:snapToGrid w:val="0"/>
        <w:spacing w:before="156" w:beforeLines="50" w:after="50"/>
        <w:jc w:val="center"/>
        <w:rPr>
          <w:rFonts w:ascii="宋体"/>
          <w:b/>
          <w:bCs/>
          <w:color w:val="auto"/>
          <w:sz w:val="30"/>
          <w:szCs w:val="30"/>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1"/>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12"/>
              <w:snapToGrid w:val="0"/>
              <w:spacing w:before="156" w:beforeLines="50" w:after="50" w:line="460" w:lineRule="exact"/>
              <w:ind w:left="5250"/>
              <w:rPr>
                <w:rFonts w:cs="Times New Roman"/>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bl>
    <w:p>
      <w:pPr>
        <w:adjustRightInd w:val="0"/>
        <w:snapToGrid w:val="0"/>
        <w:spacing w:line="360" w:lineRule="auto"/>
        <w:jc w:val="left"/>
        <w:rPr>
          <w:rFonts w:ascii="宋体"/>
          <w:color w:val="auto"/>
          <w:sz w:val="24"/>
          <w:szCs w:val="24"/>
          <w:highlight w:val="none"/>
        </w:rPr>
      </w:pPr>
    </w:p>
    <w:p>
      <w:pPr>
        <w:adjustRightInd w:val="0"/>
        <w:snapToGrid w:val="0"/>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注：在填写时，如本表格不适合投标单位的实际情况，可根据本表格式自行划表填写。</w:t>
      </w:r>
      <w:r>
        <w:rPr>
          <w:rFonts w:ascii="宋体" w:hAnsi="宋体" w:cs="宋体"/>
          <w:color w:val="auto"/>
          <w:sz w:val="24"/>
          <w:szCs w:val="24"/>
          <w:highlight w:val="none"/>
        </w:rPr>
        <w:t xml:space="preserve"> </w:t>
      </w:r>
    </w:p>
    <w:p>
      <w:pPr>
        <w:snapToGrid w:val="0"/>
        <w:spacing w:before="50" w:after="156" w:afterLines="50" w:line="460" w:lineRule="exact"/>
        <w:jc w:val="left"/>
        <w:rPr>
          <w:rFonts w:ascii="宋体"/>
          <w:color w:val="auto"/>
          <w:sz w:val="24"/>
          <w:szCs w:val="24"/>
          <w:highlight w:val="none"/>
        </w:rPr>
      </w:pPr>
    </w:p>
    <w:p>
      <w:pPr>
        <w:pStyle w:val="9"/>
        <w:rPr>
          <w:rFonts w:cs="Times New Roman"/>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center"/>
        <w:rPr>
          <w:rFonts w:ascii="宋体"/>
          <w:b/>
          <w:bCs/>
          <w:color w:val="auto"/>
          <w:kern w:val="0"/>
          <w:sz w:val="36"/>
          <w:szCs w:val="36"/>
          <w:highlight w:val="none"/>
        </w:rPr>
      </w:pPr>
      <w:r>
        <w:rPr>
          <w:rFonts w:ascii="宋体"/>
          <w:color w:val="auto"/>
          <w:spacing w:val="20"/>
          <w:sz w:val="30"/>
          <w:szCs w:val="30"/>
          <w:highlight w:val="none"/>
        </w:rPr>
        <w:br w:type="page"/>
      </w:r>
      <w:r>
        <w:rPr>
          <w:rFonts w:hint="eastAsia" w:ascii="宋体" w:hAnsi="宋体" w:cs="宋体"/>
          <w:b/>
          <w:bCs/>
          <w:color w:val="auto"/>
          <w:kern w:val="0"/>
          <w:sz w:val="36"/>
          <w:szCs w:val="36"/>
          <w:highlight w:val="none"/>
        </w:rPr>
        <w:t>报价文件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9"/>
        <w:ind w:firstLine="723"/>
        <w:rPr>
          <w:rFonts w:cs="Times New Roman"/>
          <w:b/>
          <w:bCs/>
          <w:color w:val="auto"/>
          <w:kern w:val="0"/>
          <w:sz w:val="36"/>
          <w:szCs w:val="36"/>
          <w:highlight w:val="none"/>
        </w:rPr>
      </w:pP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）磋商函（格式见附件）；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）报价一览表（格式见附件）；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）磋商报价明细表（格式见附件）；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）中小企业声明函</w:t>
      </w:r>
      <w:r>
        <w:rPr>
          <w:rFonts w:ascii="宋体" w:hAnsi="宋体" w:cs="宋体"/>
          <w:color w:val="auto"/>
          <w:sz w:val="24"/>
          <w:szCs w:val="24"/>
          <w:highlight w:val="none"/>
        </w:rPr>
        <w:t>(</w:t>
      </w:r>
      <w:r>
        <w:rPr>
          <w:rFonts w:hint="eastAsia" w:ascii="宋体" w:hAnsi="宋体" w:cs="宋体"/>
          <w:color w:val="auto"/>
          <w:sz w:val="24"/>
          <w:szCs w:val="24"/>
          <w:highlight w:val="none"/>
        </w:rPr>
        <w:t>如有</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）残疾人福利性单位声明函</w:t>
      </w:r>
      <w:r>
        <w:rPr>
          <w:rFonts w:ascii="宋体" w:hAnsi="宋体" w:cs="宋体"/>
          <w:color w:val="auto"/>
          <w:sz w:val="24"/>
          <w:szCs w:val="24"/>
          <w:highlight w:val="none"/>
        </w:rPr>
        <w:t>(</w:t>
      </w:r>
      <w:r>
        <w:rPr>
          <w:rFonts w:hint="eastAsia" w:ascii="宋体" w:hAnsi="宋体" w:cs="宋体"/>
          <w:color w:val="auto"/>
          <w:sz w:val="24"/>
          <w:szCs w:val="24"/>
          <w:highlight w:val="none"/>
        </w:rPr>
        <w:t>如有</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）监狱企业证明文件</w:t>
      </w:r>
      <w:r>
        <w:rPr>
          <w:rFonts w:ascii="宋体" w:hAnsi="宋体" w:cs="宋体"/>
          <w:color w:val="auto"/>
          <w:sz w:val="24"/>
          <w:szCs w:val="24"/>
          <w:highlight w:val="none"/>
        </w:rPr>
        <w:t>(</w:t>
      </w:r>
      <w:r>
        <w:rPr>
          <w:rFonts w:hint="eastAsia" w:ascii="宋体" w:hAnsi="宋体" w:cs="宋体"/>
          <w:color w:val="auto"/>
          <w:sz w:val="24"/>
          <w:szCs w:val="24"/>
          <w:highlight w:val="none"/>
        </w:rPr>
        <w:t>如有</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p>
    <w:p>
      <w:pPr>
        <w:rPr>
          <w:rFonts w:ascii="宋体"/>
          <w:color w:val="auto"/>
          <w:highlight w:val="none"/>
        </w:rPr>
      </w:pPr>
    </w:p>
    <w:p>
      <w:pPr>
        <w:rPr>
          <w:rFonts w:ascii="宋体"/>
          <w:color w:val="auto"/>
          <w:highlight w:val="none"/>
        </w:rPr>
      </w:pPr>
      <w:r>
        <w:rPr>
          <w:rFonts w:ascii="宋体"/>
          <w:color w:val="auto"/>
          <w:highlight w:val="none"/>
        </w:rPr>
        <w:br w:type="page"/>
      </w:r>
    </w:p>
    <w:p>
      <w:pPr>
        <w:rPr>
          <w:rFonts w:ascii="宋体"/>
          <w:b/>
          <w:bCs/>
          <w:color w:val="auto"/>
          <w:highlight w:val="none"/>
          <w:lang w:val="zh-CN"/>
        </w:rPr>
      </w:pPr>
      <w:bookmarkStart w:id="86" w:name="_Toc3094"/>
      <w:r>
        <w:rPr>
          <w:rFonts w:hint="eastAsia" w:cs="宋体"/>
          <w:b/>
          <w:bCs/>
          <w:color w:val="auto"/>
          <w:sz w:val="24"/>
          <w:szCs w:val="24"/>
          <w:highlight w:val="none"/>
          <w:lang w:val="zh-CN"/>
        </w:rPr>
        <w:t>附件</w:t>
      </w:r>
      <w:bookmarkStart w:id="87" w:name="_Toc98731770"/>
      <w:bookmarkStart w:id="88" w:name="_Toc130094924"/>
      <w:r>
        <w:rPr>
          <w:rFonts w:hint="eastAsia" w:cs="宋体"/>
          <w:b/>
          <w:bCs/>
          <w:color w:val="auto"/>
          <w:sz w:val="24"/>
          <w:szCs w:val="24"/>
          <w:highlight w:val="none"/>
        </w:rPr>
        <w:t>九：</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商</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函</w:t>
      </w:r>
      <w:bookmarkEnd w:id="86"/>
      <w:bookmarkEnd w:id="87"/>
      <w:bookmarkEnd w:id="88"/>
    </w:p>
    <w:p>
      <w:pPr>
        <w:spacing w:line="360" w:lineRule="auto"/>
        <w:ind w:firstLine="480" w:firstLineChars="200"/>
        <w:rPr>
          <w:rFonts w:ascii="宋体"/>
          <w:color w:val="auto"/>
          <w:sz w:val="24"/>
          <w:szCs w:val="24"/>
          <w:highlight w:val="none"/>
          <w:u w:val="singl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eastAsia="zh-CN"/>
        </w:rPr>
        <w:t>中国共产党绍兴市上虞区委统一战线工作部</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jc w:val="left"/>
        <w:rPr>
          <w:rFonts w:ascii="宋体"/>
          <w:color w:val="auto"/>
          <w:sz w:val="24"/>
          <w:szCs w:val="24"/>
          <w:highlight w:val="none"/>
        </w:rPr>
      </w:pPr>
      <w:r>
        <w:rPr>
          <w:rFonts w:hint="eastAsia" w:ascii="宋体" w:hAnsi="宋体" w:cs="宋体"/>
          <w:color w:val="auto"/>
          <w:sz w:val="24"/>
          <w:szCs w:val="24"/>
          <w:highlight w:val="none"/>
        </w:rPr>
        <w:t>我单位认真研究了关于</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color w:val="auto"/>
          <w:sz w:val="24"/>
          <w:szCs w:val="24"/>
          <w:highlight w:val="none"/>
        </w:rPr>
      </w:pPr>
      <w:r>
        <w:rPr>
          <w:color w:val="auto"/>
          <w:highlight w:val="none"/>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9pt;margin-top:39pt;height:0pt;width:0.05pt;z-index:251658240;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k9JBrSAAAABwEAAA8AAAAAAAAAAQAg&#10;AAAAIgAAAGRycy9kb3ducmV2LnhtbFBLAQIUABQAAAAIAIdO4kAiJioG2wEAAMsDAAAOAAAAAAAA&#10;AAEAIAAAACEBAABkcnMvZTJvRG9jLnhtbFBLBQYAAAAABgAGAFkBAABuBQAAAAA=&#10;">
                <v:fill on="f" focussize="0,0"/>
                <v:stroke color="#000000" joinstyle="round"/>
                <v:imagedata o:title=""/>
                <o:lock v:ext="edit" aspectratio="f"/>
              </v:line>
            </w:pict>
          </mc:Fallback>
        </mc:AlternateContent>
      </w:r>
      <w:r>
        <w:rPr>
          <w:rFonts w:ascii="宋体" w:hAnsi="宋体" w:cs="宋体"/>
          <w:color w:val="auto"/>
          <w:sz w:val="24"/>
          <w:szCs w:val="24"/>
          <w:highlight w:val="none"/>
        </w:rPr>
        <w:t>1</w:t>
      </w:r>
      <w:r>
        <w:rPr>
          <w:rFonts w:hint="eastAsia" w:ascii="宋体" w:hAnsi="宋体" w:cs="宋体"/>
          <w:color w:val="auto"/>
          <w:sz w:val="24"/>
          <w:szCs w:val="24"/>
          <w:highlight w:val="none"/>
        </w:rPr>
        <w:t>、一旦我单位中标，我单位愿意承接报价一览表中所列的技术服务，服务期为：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天。</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、一旦我单位中标，我们保证按照磋商文件的要求，完成服务。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、如果我单位中标，我方将按照要求提交履约保证金，严格履行合同义务。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、除非另行达成协议并生效，你方的成交通知书和本磋商函将构成约束你我双方的合同。</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、我单位承诺，一旦发生磋商文件第二部分第</w:t>
      </w:r>
      <w:r>
        <w:rPr>
          <w:rFonts w:ascii="宋体" w:hAnsi="宋体" w:cs="宋体"/>
          <w:color w:val="auto"/>
          <w:sz w:val="24"/>
          <w:szCs w:val="24"/>
          <w:highlight w:val="none"/>
        </w:rPr>
        <w:t>11</w:t>
      </w:r>
      <w:r>
        <w:rPr>
          <w:rFonts w:hint="eastAsia" w:ascii="宋体" w:hAnsi="宋体" w:cs="宋体"/>
          <w:color w:val="auto"/>
          <w:sz w:val="24"/>
          <w:szCs w:val="24"/>
          <w:highlight w:val="none"/>
        </w:rPr>
        <w:t>条规定情形之一的，承担该条款约定的责任。</w:t>
      </w:r>
    </w:p>
    <w:p>
      <w:pPr>
        <w:pStyle w:val="11"/>
        <w:snapToGrid w:val="0"/>
        <w:spacing w:line="360" w:lineRule="auto"/>
        <w:ind w:left="480"/>
        <w:jc w:val="left"/>
        <w:rPr>
          <w:rFonts w:hAnsi="宋体"/>
          <w:color w:val="auto"/>
          <w:sz w:val="24"/>
          <w:szCs w:val="24"/>
          <w:highlight w:val="none"/>
        </w:rPr>
      </w:pPr>
      <w:r>
        <w:rPr>
          <w:rFonts w:hAnsi="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邮编：</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电话：</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传真：</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供应商代表姓名：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供应商名称</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（公章）：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firstLine="5280" w:firstLineChars="2200"/>
        <w:rPr>
          <w:rFonts w:ascii="宋体"/>
          <w:color w:val="auto"/>
          <w:sz w:val="24"/>
          <w:szCs w:val="24"/>
          <w:highlight w:val="none"/>
        </w:rPr>
      </w:pPr>
    </w:p>
    <w:p>
      <w:pPr>
        <w:rPr>
          <w:color w:val="auto"/>
          <w:sz w:val="24"/>
          <w:szCs w:val="24"/>
          <w:highlight w:val="none"/>
          <w:lang w:val="zh-CN"/>
        </w:rPr>
      </w:pPr>
      <w:bookmarkStart w:id="89" w:name="_Toc12011"/>
      <w:r>
        <w:rPr>
          <w:color w:val="auto"/>
          <w:sz w:val="24"/>
          <w:szCs w:val="24"/>
          <w:highlight w:val="none"/>
          <w:lang w:val="zh-CN"/>
        </w:rPr>
        <w:br w:type="page"/>
      </w:r>
    </w:p>
    <w:p>
      <w:pPr>
        <w:rPr>
          <w:b/>
          <w:bCs/>
          <w:color w:val="auto"/>
          <w:sz w:val="24"/>
          <w:szCs w:val="24"/>
          <w:highlight w:val="none"/>
          <w:lang w:val="zh-CN"/>
        </w:rPr>
      </w:pPr>
      <w:r>
        <w:rPr>
          <w:rFonts w:hint="eastAsia" w:cs="宋体"/>
          <w:b/>
          <w:bCs/>
          <w:color w:val="auto"/>
          <w:sz w:val="24"/>
          <w:szCs w:val="24"/>
          <w:highlight w:val="none"/>
          <w:lang w:val="zh-CN"/>
        </w:rPr>
        <w:t>附件</w:t>
      </w:r>
      <w:bookmarkStart w:id="90" w:name="_Toc130094925"/>
      <w:bookmarkStart w:id="91" w:name="_Toc98731771"/>
      <w:r>
        <w:rPr>
          <w:rFonts w:hint="eastAsia" w:cs="宋体"/>
          <w:b/>
          <w:bCs/>
          <w:color w:val="auto"/>
          <w:sz w:val="24"/>
          <w:szCs w:val="24"/>
          <w:highlight w:val="none"/>
        </w:rPr>
        <w:t>十：</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报价一览表</w:t>
      </w:r>
      <w:bookmarkEnd w:id="89"/>
      <w:bookmarkEnd w:id="90"/>
      <w:bookmarkEnd w:id="91"/>
    </w:p>
    <w:p>
      <w:pPr>
        <w:pStyle w:val="11"/>
        <w:spacing w:line="360" w:lineRule="auto"/>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1"/>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1"/>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投标总价</w:t>
            </w:r>
          </w:p>
        </w:tc>
        <w:tc>
          <w:tcPr>
            <w:tcW w:w="6707" w:type="dxa"/>
            <w:vAlign w:val="center"/>
          </w:tcPr>
          <w:p>
            <w:pPr>
              <w:pStyle w:val="11"/>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大写：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元（小写：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1"/>
              <w:spacing w:line="360" w:lineRule="auto"/>
              <w:ind w:firstLine="482" w:firstLineChars="200"/>
              <w:rPr>
                <w:rFonts w:hAnsi="宋体" w:cs="Times New Roman"/>
                <w:b/>
                <w:bCs/>
                <w:color w:val="auto"/>
                <w:sz w:val="24"/>
                <w:szCs w:val="24"/>
                <w:highlight w:val="none"/>
              </w:rPr>
            </w:pPr>
            <w:r>
              <w:rPr>
                <w:rFonts w:hint="eastAsia" w:hAnsi="宋体" w:cs="Times New Roman"/>
                <w:b/>
                <w:bCs/>
                <w:color w:val="auto"/>
                <w:sz w:val="24"/>
                <w:szCs w:val="24"/>
                <w:highlight w:val="none"/>
              </w:rPr>
              <w:t>本次报价应包含项目所需全部服务，不得缺漏，是履行合同的最终价格（包含完成采购范围内全部工作及提交成果资料所需的一切费用，如人工成本、资料费、差旅费、交通、通讯、劳务、利润、税收、验收费、培训等以及所有有关的管理成本，所有费用一次性包干）。</w:t>
            </w:r>
          </w:p>
        </w:tc>
      </w:tr>
    </w:tbl>
    <w:p>
      <w:pPr>
        <w:pStyle w:val="11"/>
        <w:spacing w:line="360" w:lineRule="auto"/>
        <w:rPr>
          <w:rFonts w:hAnsi="宋体" w:cs="Times New Roman"/>
          <w:color w:val="auto"/>
          <w:sz w:val="24"/>
          <w:szCs w:val="24"/>
          <w:highlight w:val="none"/>
        </w:rPr>
      </w:pPr>
    </w:p>
    <w:p>
      <w:pPr>
        <w:pStyle w:val="11"/>
        <w:spacing w:line="360" w:lineRule="auto"/>
        <w:rPr>
          <w:rFonts w:hAnsi="宋体" w:cs="Times New Roman"/>
          <w:color w:val="auto"/>
          <w:sz w:val="24"/>
          <w:szCs w:val="24"/>
          <w:highlight w:val="none"/>
        </w:rPr>
      </w:pPr>
    </w:p>
    <w:p>
      <w:pPr>
        <w:pStyle w:val="11"/>
        <w:spacing w:line="360" w:lineRule="auto"/>
        <w:rPr>
          <w:rFonts w:hAnsi="宋体" w:cs="Times New Roman"/>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pacing w:line="360" w:lineRule="auto"/>
        <w:jc w:val="left"/>
        <w:rPr>
          <w:rFonts w:ascii="宋体"/>
          <w:b/>
          <w:bCs/>
          <w:color w:val="auto"/>
          <w:sz w:val="24"/>
          <w:szCs w:val="24"/>
          <w:highlight w:val="none"/>
          <w:lang w:val="zh-CN"/>
        </w:rPr>
      </w:pPr>
      <w:r>
        <w:rPr>
          <w:rFonts w:ascii="宋体"/>
          <w:color w:val="auto"/>
          <w:highlight w:val="none"/>
        </w:rPr>
        <w:br w:type="page"/>
      </w:r>
      <w:bookmarkStart w:id="92" w:name="_Toc7196"/>
      <w:r>
        <w:rPr>
          <w:rFonts w:hint="eastAsia" w:ascii="宋体" w:hAnsi="宋体" w:cs="宋体"/>
          <w:b/>
          <w:bCs/>
          <w:color w:val="auto"/>
          <w:sz w:val="24"/>
          <w:szCs w:val="24"/>
          <w:highlight w:val="none"/>
          <w:lang w:val="zh-CN"/>
        </w:rPr>
        <w:t>附件十</w:t>
      </w:r>
      <w:r>
        <w:rPr>
          <w:rFonts w:hint="eastAsia" w:hAnsi="宋体" w:cs="宋体"/>
          <w:b/>
          <w:bCs/>
          <w:color w:val="auto"/>
          <w:sz w:val="24"/>
          <w:szCs w:val="24"/>
          <w:highlight w:val="none"/>
          <w:lang w:val="zh-CN"/>
        </w:rPr>
        <w:t>一</w:t>
      </w:r>
      <w:r>
        <w:rPr>
          <w:rFonts w:hint="eastAsia" w:ascii="宋体" w:hAnsi="宋体" w:cs="宋体"/>
          <w:b/>
          <w:bCs/>
          <w:color w:val="auto"/>
          <w:sz w:val="24"/>
          <w:szCs w:val="24"/>
          <w:highlight w:val="none"/>
          <w:lang w:val="zh-CN"/>
        </w:rPr>
        <w:t>：</w:t>
      </w:r>
    </w:p>
    <w:p>
      <w:pPr>
        <w:spacing w:line="360" w:lineRule="auto"/>
        <w:jc w:val="center"/>
        <w:rPr>
          <w:rFonts w:ascii="宋体" w:cs="宋体"/>
          <w:b/>
          <w:bCs/>
          <w:color w:val="auto"/>
          <w:sz w:val="32"/>
          <w:szCs w:val="32"/>
          <w:highlight w:val="none"/>
        </w:rPr>
      </w:pPr>
      <w:r>
        <w:rPr>
          <w:rFonts w:hint="eastAsia" w:ascii="宋体" w:hAnsi="宋体" w:cs="宋体"/>
          <w:b/>
          <w:bCs/>
          <w:color w:val="auto"/>
          <w:sz w:val="32"/>
          <w:szCs w:val="32"/>
          <w:highlight w:val="none"/>
        </w:rPr>
        <w:t>磋商报价明细表</w:t>
      </w:r>
    </w:p>
    <w:p>
      <w:pPr>
        <w:pStyle w:val="11"/>
        <w:spacing w:line="360" w:lineRule="auto"/>
        <w:rPr>
          <w:rFonts w:hAnsi="宋体" w:cs="宋体"/>
          <w:color w:val="auto"/>
          <w:sz w:val="24"/>
          <w:highlight w:val="none"/>
        </w:rPr>
      </w:pP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采购编号：</w:t>
      </w:r>
      <w:r>
        <w:rPr>
          <w:rFonts w:ascii="宋体" w:hAnsi="宋体" w:cs="宋体"/>
          <w:color w:val="auto"/>
          <w:sz w:val="24"/>
          <w:highlight w:val="none"/>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84"/>
        <w:gridCol w:w="1490"/>
        <w:gridCol w:w="720"/>
        <w:gridCol w:w="648"/>
        <w:gridCol w:w="114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restart"/>
            <w:vAlign w:val="center"/>
          </w:tcPr>
          <w:p>
            <w:pPr>
              <w:pStyle w:val="11"/>
              <w:spacing w:line="360" w:lineRule="auto"/>
              <w:jc w:val="center"/>
              <w:rPr>
                <w:rFonts w:hAnsi="宋体" w:cs="宋体"/>
                <w:color w:val="auto"/>
                <w:sz w:val="24"/>
                <w:highlight w:val="none"/>
              </w:rPr>
            </w:pPr>
            <w:r>
              <w:rPr>
                <w:rFonts w:hint="eastAsia" w:hAnsi="宋体" w:cs="宋体"/>
                <w:color w:val="auto"/>
                <w:sz w:val="24"/>
                <w:highlight w:val="none"/>
              </w:rPr>
              <w:t>序</w:t>
            </w:r>
          </w:p>
          <w:p>
            <w:pPr>
              <w:pStyle w:val="11"/>
              <w:spacing w:line="360" w:lineRule="auto"/>
              <w:jc w:val="center"/>
              <w:rPr>
                <w:rFonts w:hAnsi="宋体" w:cs="宋体"/>
                <w:color w:val="auto"/>
                <w:sz w:val="24"/>
                <w:highlight w:val="none"/>
              </w:rPr>
            </w:pPr>
            <w:r>
              <w:rPr>
                <w:rFonts w:hint="eastAsia" w:hAnsi="宋体" w:cs="宋体"/>
                <w:color w:val="auto"/>
                <w:sz w:val="24"/>
                <w:highlight w:val="none"/>
              </w:rPr>
              <w:t>号</w:t>
            </w:r>
          </w:p>
        </w:tc>
        <w:tc>
          <w:tcPr>
            <w:tcW w:w="1080" w:type="dxa"/>
            <w:vMerge w:val="restart"/>
            <w:vAlign w:val="center"/>
          </w:tcPr>
          <w:p>
            <w:pPr>
              <w:pStyle w:val="11"/>
              <w:spacing w:line="360" w:lineRule="auto"/>
              <w:jc w:val="center"/>
              <w:rPr>
                <w:rFonts w:hAnsi="宋体" w:cs="宋体"/>
                <w:color w:val="auto"/>
                <w:sz w:val="24"/>
                <w:highlight w:val="none"/>
              </w:rPr>
            </w:pPr>
            <w:r>
              <w:rPr>
                <w:rFonts w:hint="eastAsia" w:hAnsi="宋体" w:cs="宋体"/>
                <w:color w:val="auto"/>
                <w:sz w:val="24"/>
                <w:highlight w:val="none"/>
              </w:rPr>
              <w:t>名称</w:t>
            </w:r>
          </w:p>
        </w:tc>
        <w:tc>
          <w:tcPr>
            <w:tcW w:w="2284" w:type="dxa"/>
            <w:vMerge w:val="restart"/>
            <w:vAlign w:val="center"/>
          </w:tcPr>
          <w:p>
            <w:pPr>
              <w:pStyle w:val="11"/>
              <w:spacing w:line="360" w:lineRule="auto"/>
              <w:jc w:val="center"/>
              <w:rPr>
                <w:rFonts w:hAnsi="宋体" w:cs="宋体"/>
                <w:color w:val="auto"/>
                <w:sz w:val="24"/>
                <w:highlight w:val="none"/>
              </w:rPr>
            </w:pPr>
            <w:r>
              <w:rPr>
                <w:rFonts w:hint="eastAsia" w:hAnsi="宋体" w:cs="宋体"/>
                <w:color w:val="auto"/>
                <w:sz w:val="24"/>
                <w:highlight w:val="none"/>
              </w:rPr>
              <w:t>内容</w:t>
            </w:r>
          </w:p>
        </w:tc>
        <w:tc>
          <w:tcPr>
            <w:tcW w:w="1490" w:type="dxa"/>
            <w:vMerge w:val="restart"/>
            <w:vAlign w:val="center"/>
          </w:tcPr>
          <w:p>
            <w:pPr>
              <w:pStyle w:val="11"/>
              <w:spacing w:line="360" w:lineRule="auto"/>
              <w:jc w:val="center"/>
              <w:rPr>
                <w:rFonts w:hint="eastAsia" w:hAnsi="宋体" w:eastAsia="宋体" w:cs="宋体"/>
                <w:color w:val="auto"/>
                <w:sz w:val="24"/>
                <w:highlight w:val="none"/>
                <w:lang w:eastAsia="zh-CN"/>
              </w:rPr>
            </w:pPr>
            <w:r>
              <w:rPr>
                <w:rFonts w:hint="eastAsia" w:hAnsi="宋体" w:cs="宋体"/>
                <w:color w:val="auto"/>
                <w:sz w:val="24"/>
                <w:highlight w:val="none"/>
                <w:lang w:val="en-US" w:eastAsia="zh-CN"/>
              </w:rPr>
              <w:t>备注</w:t>
            </w:r>
          </w:p>
        </w:tc>
        <w:tc>
          <w:tcPr>
            <w:tcW w:w="720" w:type="dxa"/>
            <w:vMerge w:val="restart"/>
            <w:vAlign w:val="center"/>
          </w:tcPr>
          <w:p>
            <w:pPr>
              <w:pStyle w:val="11"/>
              <w:spacing w:line="360" w:lineRule="auto"/>
              <w:jc w:val="center"/>
              <w:rPr>
                <w:rFonts w:hAnsi="宋体" w:cs="宋体"/>
                <w:color w:val="auto"/>
                <w:sz w:val="24"/>
                <w:highlight w:val="none"/>
              </w:rPr>
            </w:pPr>
            <w:r>
              <w:rPr>
                <w:rFonts w:hint="eastAsia" w:hAnsi="宋体" w:cs="宋体"/>
                <w:color w:val="auto"/>
                <w:sz w:val="24"/>
                <w:highlight w:val="none"/>
              </w:rPr>
              <w:t>单</w:t>
            </w:r>
          </w:p>
          <w:p>
            <w:pPr>
              <w:pStyle w:val="11"/>
              <w:spacing w:line="360" w:lineRule="auto"/>
              <w:jc w:val="center"/>
              <w:rPr>
                <w:rFonts w:hAnsi="宋体" w:cs="宋体"/>
                <w:color w:val="auto"/>
                <w:highlight w:val="none"/>
              </w:rPr>
            </w:pPr>
            <w:r>
              <w:rPr>
                <w:rFonts w:hint="eastAsia" w:hAnsi="宋体" w:cs="宋体"/>
                <w:color w:val="auto"/>
                <w:sz w:val="24"/>
                <w:highlight w:val="none"/>
              </w:rPr>
              <w:t>位</w:t>
            </w:r>
          </w:p>
        </w:tc>
        <w:tc>
          <w:tcPr>
            <w:tcW w:w="648" w:type="dxa"/>
            <w:vMerge w:val="restart"/>
            <w:vAlign w:val="center"/>
          </w:tcPr>
          <w:p>
            <w:pPr>
              <w:pStyle w:val="11"/>
              <w:spacing w:line="360" w:lineRule="auto"/>
              <w:jc w:val="center"/>
              <w:rPr>
                <w:rFonts w:hAnsi="宋体" w:cs="宋体"/>
                <w:color w:val="auto"/>
                <w:sz w:val="24"/>
                <w:highlight w:val="none"/>
              </w:rPr>
            </w:pPr>
            <w:r>
              <w:rPr>
                <w:rFonts w:hint="eastAsia" w:hAnsi="宋体" w:cs="宋体"/>
                <w:color w:val="auto"/>
                <w:sz w:val="24"/>
                <w:highlight w:val="none"/>
              </w:rPr>
              <w:t>数量</w:t>
            </w:r>
          </w:p>
        </w:tc>
        <w:tc>
          <w:tcPr>
            <w:tcW w:w="2270" w:type="dxa"/>
            <w:gridSpan w:val="2"/>
            <w:vAlign w:val="center"/>
          </w:tcPr>
          <w:p>
            <w:pPr>
              <w:pStyle w:val="11"/>
              <w:spacing w:line="360" w:lineRule="auto"/>
              <w:jc w:val="center"/>
              <w:rPr>
                <w:rFonts w:hAnsi="宋体" w:cs="宋体"/>
                <w:color w:val="auto"/>
                <w:sz w:val="24"/>
                <w:highlight w:val="none"/>
              </w:rPr>
            </w:pPr>
            <w:r>
              <w:rPr>
                <w:rFonts w:hint="eastAsia" w:hAnsi="宋体" w:cs="宋体"/>
                <w:color w:val="auto"/>
                <w:sz w:val="24"/>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vAlign w:val="center"/>
          </w:tcPr>
          <w:p>
            <w:pPr>
              <w:pStyle w:val="11"/>
              <w:spacing w:line="360" w:lineRule="auto"/>
              <w:jc w:val="center"/>
              <w:rPr>
                <w:rFonts w:hAnsi="宋体" w:cs="宋体"/>
                <w:color w:val="auto"/>
                <w:sz w:val="24"/>
                <w:highlight w:val="none"/>
              </w:rPr>
            </w:pPr>
          </w:p>
        </w:tc>
        <w:tc>
          <w:tcPr>
            <w:tcW w:w="1080" w:type="dxa"/>
            <w:vMerge w:val="continue"/>
            <w:vAlign w:val="center"/>
          </w:tcPr>
          <w:p>
            <w:pPr>
              <w:pStyle w:val="11"/>
              <w:spacing w:line="360" w:lineRule="auto"/>
              <w:jc w:val="center"/>
              <w:rPr>
                <w:rFonts w:hAnsi="宋体" w:cs="宋体"/>
                <w:color w:val="auto"/>
                <w:sz w:val="24"/>
                <w:highlight w:val="none"/>
              </w:rPr>
            </w:pPr>
          </w:p>
        </w:tc>
        <w:tc>
          <w:tcPr>
            <w:tcW w:w="2284" w:type="dxa"/>
            <w:vMerge w:val="continue"/>
            <w:vAlign w:val="center"/>
          </w:tcPr>
          <w:p>
            <w:pPr>
              <w:pStyle w:val="11"/>
              <w:spacing w:line="360" w:lineRule="auto"/>
              <w:jc w:val="center"/>
              <w:rPr>
                <w:rFonts w:hAnsi="宋体" w:cs="宋体"/>
                <w:color w:val="auto"/>
                <w:sz w:val="24"/>
                <w:highlight w:val="none"/>
              </w:rPr>
            </w:pPr>
          </w:p>
        </w:tc>
        <w:tc>
          <w:tcPr>
            <w:tcW w:w="1490" w:type="dxa"/>
            <w:vMerge w:val="continue"/>
            <w:vAlign w:val="center"/>
          </w:tcPr>
          <w:p>
            <w:pPr>
              <w:pStyle w:val="11"/>
              <w:spacing w:line="360" w:lineRule="auto"/>
              <w:jc w:val="center"/>
              <w:rPr>
                <w:rFonts w:hAnsi="宋体" w:cs="宋体"/>
                <w:color w:val="auto"/>
                <w:sz w:val="24"/>
                <w:highlight w:val="none"/>
              </w:rPr>
            </w:pPr>
          </w:p>
        </w:tc>
        <w:tc>
          <w:tcPr>
            <w:tcW w:w="720" w:type="dxa"/>
            <w:vMerge w:val="continue"/>
            <w:vAlign w:val="center"/>
          </w:tcPr>
          <w:p>
            <w:pPr>
              <w:pStyle w:val="11"/>
              <w:spacing w:line="360" w:lineRule="auto"/>
              <w:jc w:val="center"/>
              <w:rPr>
                <w:rFonts w:hAnsi="宋体" w:cs="宋体"/>
                <w:color w:val="auto"/>
                <w:sz w:val="24"/>
                <w:highlight w:val="none"/>
              </w:rPr>
            </w:pPr>
          </w:p>
        </w:tc>
        <w:tc>
          <w:tcPr>
            <w:tcW w:w="648" w:type="dxa"/>
            <w:vMerge w:val="continue"/>
            <w:vAlign w:val="center"/>
          </w:tcPr>
          <w:p>
            <w:pPr>
              <w:pStyle w:val="11"/>
              <w:spacing w:line="360" w:lineRule="auto"/>
              <w:jc w:val="center"/>
              <w:rPr>
                <w:rFonts w:hAnsi="宋体" w:cs="宋体"/>
                <w:color w:val="auto"/>
                <w:sz w:val="24"/>
                <w:highlight w:val="none"/>
              </w:rPr>
            </w:pPr>
          </w:p>
        </w:tc>
        <w:tc>
          <w:tcPr>
            <w:tcW w:w="1147" w:type="dxa"/>
            <w:vAlign w:val="center"/>
          </w:tcPr>
          <w:p>
            <w:pPr>
              <w:pStyle w:val="11"/>
              <w:spacing w:line="360" w:lineRule="auto"/>
              <w:jc w:val="center"/>
              <w:rPr>
                <w:rFonts w:hAnsi="宋体" w:cs="宋体"/>
                <w:color w:val="auto"/>
                <w:sz w:val="24"/>
                <w:highlight w:val="none"/>
              </w:rPr>
            </w:pPr>
            <w:r>
              <w:rPr>
                <w:rFonts w:hint="eastAsia" w:hAnsi="宋体" w:cs="宋体"/>
                <w:color w:val="auto"/>
                <w:sz w:val="24"/>
                <w:highlight w:val="none"/>
              </w:rPr>
              <w:t>单价</w:t>
            </w:r>
          </w:p>
        </w:tc>
        <w:tc>
          <w:tcPr>
            <w:tcW w:w="1123" w:type="dxa"/>
            <w:vAlign w:val="center"/>
          </w:tcPr>
          <w:p>
            <w:pPr>
              <w:pStyle w:val="11"/>
              <w:spacing w:line="360" w:lineRule="auto"/>
              <w:jc w:val="center"/>
              <w:rPr>
                <w:rFonts w:hAnsi="宋体" w:cs="宋体"/>
                <w:color w:val="auto"/>
                <w:sz w:val="24"/>
                <w:highlight w:val="none"/>
              </w:rPr>
            </w:pPr>
            <w:r>
              <w:rPr>
                <w:rFonts w:hint="eastAsia" w:hAnsi="宋体" w:cs="宋体"/>
                <w:color w:val="auto"/>
                <w:sz w:val="24"/>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1"/>
              <w:spacing w:line="360" w:lineRule="auto"/>
              <w:jc w:val="center"/>
              <w:rPr>
                <w:rFonts w:hAnsi="宋体" w:cs="宋体"/>
                <w:b/>
                <w:color w:val="auto"/>
                <w:sz w:val="24"/>
                <w:highlight w:val="none"/>
              </w:rPr>
            </w:pPr>
          </w:p>
        </w:tc>
        <w:tc>
          <w:tcPr>
            <w:tcW w:w="1080" w:type="dxa"/>
            <w:vAlign w:val="center"/>
          </w:tcPr>
          <w:p>
            <w:pPr>
              <w:pStyle w:val="11"/>
              <w:spacing w:line="360" w:lineRule="auto"/>
              <w:rPr>
                <w:rFonts w:hAnsi="宋体" w:cs="宋体"/>
                <w:b/>
                <w:color w:val="auto"/>
                <w:sz w:val="24"/>
                <w:highlight w:val="none"/>
              </w:rPr>
            </w:pPr>
          </w:p>
        </w:tc>
        <w:tc>
          <w:tcPr>
            <w:tcW w:w="2284" w:type="dxa"/>
            <w:vAlign w:val="center"/>
          </w:tcPr>
          <w:p>
            <w:pPr>
              <w:pStyle w:val="11"/>
              <w:spacing w:line="360" w:lineRule="auto"/>
              <w:rPr>
                <w:rFonts w:hAnsi="宋体" w:cs="宋体"/>
                <w:b/>
                <w:color w:val="auto"/>
                <w:sz w:val="24"/>
                <w:highlight w:val="none"/>
              </w:rPr>
            </w:pPr>
          </w:p>
        </w:tc>
        <w:tc>
          <w:tcPr>
            <w:tcW w:w="1490" w:type="dxa"/>
            <w:vAlign w:val="center"/>
          </w:tcPr>
          <w:p>
            <w:pPr>
              <w:pStyle w:val="11"/>
              <w:spacing w:line="360" w:lineRule="auto"/>
              <w:rPr>
                <w:rFonts w:hAnsi="宋体" w:cs="宋体"/>
                <w:b/>
                <w:color w:val="auto"/>
                <w:sz w:val="24"/>
                <w:highlight w:val="none"/>
              </w:rPr>
            </w:pPr>
          </w:p>
        </w:tc>
        <w:tc>
          <w:tcPr>
            <w:tcW w:w="720" w:type="dxa"/>
            <w:vAlign w:val="center"/>
          </w:tcPr>
          <w:p>
            <w:pPr>
              <w:pStyle w:val="11"/>
              <w:spacing w:line="360" w:lineRule="auto"/>
              <w:rPr>
                <w:rFonts w:hAnsi="宋体" w:cs="宋体"/>
                <w:b/>
                <w:color w:val="auto"/>
                <w:sz w:val="24"/>
                <w:highlight w:val="none"/>
              </w:rPr>
            </w:pPr>
          </w:p>
        </w:tc>
        <w:tc>
          <w:tcPr>
            <w:tcW w:w="648" w:type="dxa"/>
            <w:vAlign w:val="center"/>
          </w:tcPr>
          <w:p>
            <w:pPr>
              <w:pStyle w:val="11"/>
              <w:spacing w:line="360" w:lineRule="auto"/>
              <w:rPr>
                <w:rFonts w:hAnsi="宋体" w:cs="宋体"/>
                <w:b/>
                <w:color w:val="auto"/>
                <w:sz w:val="24"/>
                <w:highlight w:val="none"/>
              </w:rPr>
            </w:pPr>
          </w:p>
        </w:tc>
        <w:tc>
          <w:tcPr>
            <w:tcW w:w="1147" w:type="dxa"/>
          </w:tcPr>
          <w:p>
            <w:pPr>
              <w:pStyle w:val="11"/>
              <w:spacing w:line="360" w:lineRule="auto"/>
              <w:rPr>
                <w:rFonts w:hAnsi="宋体" w:cs="宋体"/>
                <w:color w:val="auto"/>
                <w:sz w:val="24"/>
                <w:highlight w:val="none"/>
              </w:rPr>
            </w:pPr>
          </w:p>
        </w:tc>
        <w:tc>
          <w:tcPr>
            <w:tcW w:w="1123" w:type="dxa"/>
          </w:tcPr>
          <w:p>
            <w:pPr>
              <w:pStyle w:val="11"/>
              <w:spacing w:line="360" w:lineRule="auto"/>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1"/>
              <w:spacing w:line="360" w:lineRule="auto"/>
              <w:jc w:val="center"/>
              <w:rPr>
                <w:rFonts w:hAnsi="宋体" w:cs="宋体"/>
                <w:b/>
                <w:color w:val="auto"/>
                <w:sz w:val="24"/>
                <w:highlight w:val="none"/>
              </w:rPr>
            </w:pPr>
          </w:p>
        </w:tc>
        <w:tc>
          <w:tcPr>
            <w:tcW w:w="1080" w:type="dxa"/>
            <w:vAlign w:val="center"/>
          </w:tcPr>
          <w:p>
            <w:pPr>
              <w:pStyle w:val="11"/>
              <w:spacing w:line="360" w:lineRule="auto"/>
              <w:rPr>
                <w:rFonts w:hAnsi="宋体" w:cs="宋体"/>
                <w:b/>
                <w:color w:val="auto"/>
                <w:sz w:val="24"/>
                <w:highlight w:val="none"/>
              </w:rPr>
            </w:pPr>
          </w:p>
        </w:tc>
        <w:tc>
          <w:tcPr>
            <w:tcW w:w="2284" w:type="dxa"/>
            <w:vAlign w:val="center"/>
          </w:tcPr>
          <w:p>
            <w:pPr>
              <w:pStyle w:val="11"/>
              <w:spacing w:line="360" w:lineRule="auto"/>
              <w:rPr>
                <w:rFonts w:hAnsi="宋体" w:cs="宋体"/>
                <w:b/>
                <w:color w:val="auto"/>
                <w:sz w:val="24"/>
                <w:highlight w:val="none"/>
              </w:rPr>
            </w:pPr>
          </w:p>
        </w:tc>
        <w:tc>
          <w:tcPr>
            <w:tcW w:w="1490" w:type="dxa"/>
            <w:vAlign w:val="center"/>
          </w:tcPr>
          <w:p>
            <w:pPr>
              <w:pStyle w:val="11"/>
              <w:spacing w:line="360" w:lineRule="auto"/>
              <w:rPr>
                <w:rFonts w:hAnsi="宋体" w:cs="宋体"/>
                <w:b/>
                <w:color w:val="auto"/>
                <w:sz w:val="24"/>
                <w:highlight w:val="none"/>
              </w:rPr>
            </w:pPr>
          </w:p>
        </w:tc>
        <w:tc>
          <w:tcPr>
            <w:tcW w:w="720" w:type="dxa"/>
            <w:vAlign w:val="center"/>
          </w:tcPr>
          <w:p>
            <w:pPr>
              <w:pStyle w:val="11"/>
              <w:spacing w:line="360" w:lineRule="auto"/>
              <w:rPr>
                <w:rFonts w:hAnsi="宋体" w:cs="宋体"/>
                <w:b/>
                <w:color w:val="auto"/>
                <w:sz w:val="24"/>
                <w:highlight w:val="none"/>
              </w:rPr>
            </w:pPr>
          </w:p>
        </w:tc>
        <w:tc>
          <w:tcPr>
            <w:tcW w:w="648" w:type="dxa"/>
            <w:vAlign w:val="center"/>
          </w:tcPr>
          <w:p>
            <w:pPr>
              <w:pStyle w:val="11"/>
              <w:spacing w:line="360" w:lineRule="auto"/>
              <w:rPr>
                <w:rFonts w:hAnsi="宋体" w:cs="宋体"/>
                <w:b/>
                <w:color w:val="auto"/>
                <w:sz w:val="24"/>
                <w:highlight w:val="none"/>
              </w:rPr>
            </w:pPr>
          </w:p>
        </w:tc>
        <w:tc>
          <w:tcPr>
            <w:tcW w:w="1147" w:type="dxa"/>
          </w:tcPr>
          <w:p>
            <w:pPr>
              <w:pStyle w:val="11"/>
              <w:spacing w:line="360" w:lineRule="auto"/>
              <w:rPr>
                <w:rFonts w:hAnsi="宋体" w:cs="宋体"/>
                <w:color w:val="auto"/>
                <w:sz w:val="24"/>
                <w:highlight w:val="none"/>
              </w:rPr>
            </w:pPr>
          </w:p>
        </w:tc>
        <w:tc>
          <w:tcPr>
            <w:tcW w:w="1123" w:type="dxa"/>
          </w:tcPr>
          <w:p>
            <w:pPr>
              <w:pStyle w:val="11"/>
              <w:spacing w:line="360" w:lineRule="auto"/>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1"/>
              <w:spacing w:line="360" w:lineRule="auto"/>
              <w:jc w:val="center"/>
              <w:rPr>
                <w:rFonts w:hAnsi="宋体" w:cs="宋体"/>
                <w:b/>
                <w:color w:val="auto"/>
                <w:sz w:val="24"/>
                <w:highlight w:val="none"/>
              </w:rPr>
            </w:pPr>
          </w:p>
        </w:tc>
        <w:tc>
          <w:tcPr>
            <w:tcW w:w="1080" w:type="dxa"/>
            <w:vAlign w:val="center"/>
          </w:tcPr>
          <w:p>
            <w:pPr>
              <w:pStyle w:val="11"/>
              <w:spacing w:line="360" w:lineRule="auto"/>
              <w:rPr>
                <w:rFonts w:hAnsi="宋体" w:cs="宋体"/>
                <w:b/>
                <w:color w:val="auto"/>
                <w:sz w:val="24"/>
                <w:highlight w:val="none"/>
              </w:rPr>
            </w:pPr>
          </w:p>
        </w:tc>
        <w:tc>
          <w:tcPr>
            <w:tcW w:w="2284" w:type="dxa"/>
            <w:vAlign w:val="center"/>
          </w:tcPr>
          <w:p>
            <w:pPr>
              <w:pStyle w:val="11"/>
              <w:spacing w:line="360" w:lineRule="auto"/>
              <w:rPr>
                <w:rFonts w:hAnsi="宋体" w:cs="宋体"/>
                <w:b/>
                <w:color w:val="auto"/>
                <w:highlight w:val="none"/>
              </w:rPr>
            </w:pPr>
          </w:p>
        </w:tc>
        <w:tc>
          <w:tcPr>
            <w:tcW w:w="1490" w:type="dxa"/>
            <w:vAlign w:val="center"/>
          </w:tcPr>
          <w:p>
            <w:pPr>
              <w:pStyle w:val="11"/>
              <w:spacing w:line="360" w:lineRule="auto"/>
              <w:rPr>
                <w:rFonts w:hAnsi="宋体" w:cs="宋体"/>
                <w:b/>
                <w:color w:val="auto"/>
                <w:sz w:val="24"/>
                <w:highlight w:val="none"/>
              </w:rPr>
            </w:pPr>
          </w:p>
        </w:tc>
        <w:tc>
          <w:tcPr>
            <w:tcW w:w="720" w:type="dxa"/>
            <w:vAlign w:val="center"/>
          </w:tcPr>
          <w:p>
            <w:pPr>
              <w:pStyle w:val="11"/>
              <w:spacing w:line="360" w:lineRule="auto"/>
              <w:rPr>
                <w:rFonts w:hAnsi="宋体" w:cs="宋体"/>
                <w:b/>
                <w:color w:val="auto"/>
                <w:sz w:val="24"/>
                <w:highlight w:val="none"/>
              </w:rPr>
            </w:pPr>
          </w:p>
        </w:tc>
        <w:tc>
          <w:tcPr>
            <w:tcW w:w="648" w:type="dxa"/>
            <w:vAlign w:val="center"/>
          </w:tcPr>
          <w:p>
            <w:pPr>
              <w:pStyle w:val="11"/>
              <w:spacing w:line="360" w:lineRule="auto"/>
              <w:rPr>
                <w:rFonts w:hAnsi="宋体" w:cs="宋体"/>
                <w:b/>
                <w:color w:val="auto"/>
                <w:sz w:val="24"/>
                <w:highlight w:val="none"/>
              </w:rPr>
            </w:pPr>
          </w:p>
        </w:tc>
        <w:tc>
          <w:tcPr>
            <w:tcW w:w="1147" w:type="dxa"/>
          </w:tcPr>
          <w:p>
            <w:pPr>
              <w:pStyle w:val="11"/>
              <w:spacing w:line="360" w:lineRule="auto"/>
              <w:rPr>
                <w:rFonts w:hAnsi="宋体" w:cs="宋体"/>
                <w:color w:val="auto"/>
                <w:sz w:val="24"/>
                <w:highlight w:val="none"/>
              </w:rPr>
            </w:pPr>
          </w:p>
        </w:tc>
        <w:tc>
          <w:tcPr>
            <w:tcW w:w="1123" w:type="dxa"/>
          </w:tcPr>
          <w:p>
            <w:pPr>
              <w:pStyle w:val="11"/>
              <w:spacing w:line="360" w:lineRule="auto"/>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tcPr>
          <w:p>
            <w:pPr>
              <w:pStyle w:val="11"/>
              <w:spacing w:line="360" w:lineRule="auto"/>
              <w:rPr>
                <w:rFonts w:hAnsi="宋体" w:cs="宋体"/>
                <w:color w:val="auto"/>
                <w:sz w:val="24"/>
                <w:highlight w:val="none"/>
              </w:rPr>
            </w:pPr>
          </w:p>
        </w:tc>
        <w:tc>
          <w:tcPr>
            <w:tcW w:w="1080" w:type="dxa"/>
          </w:tcPr>
          <w:p>
            <w:pPr>
              <w:pStyle w:val="11"/>
              <w:spacing w:line="360" w:lineRule="auto"/>
              <w:rPr>
                <w:rFonts w:hAnsi="宋体" w:cs="宋体"/>
                <w:color w:val="auto"/>
                <w:sz w:val="24"/>
                <w:highlight w:val="none"/>
              </w:rPr>
            </w:pPr>
          </w:p>
        </w:tc>
        <w:tc>
          <w:tcPr>
            <w:tcW w:w="2284" w:type="dxa"/>
          </w:tcPr>
          <w:p>
            <w:pPr>
              <w:pStyle w:val="11"/>
              <w:spacing w:line="360" w:lineRule="auto"/>
              <w:rPr>
                <w:rFonts w:hAnsi="宋体" w:cs="宋体"/>
                <w:color w:val="auto"/>
                <w:sz w:val="24"/>
                <w:highlight w:val="none"/>
              </w:rPr>
            </w:pPr>
          </w:p>
        </w:tc>
        <w:tc>
          <w:tcPr>
            <w:tcW w:w="1490" w:type="dxa"/>
          </w:tcPr>
          <w:p>
            <w:pPr>
              <w:pStyle w:val="11"/>
              <w:spacing w:line="360" w:lineRule="auto"/>
              <w:rPr>
                <w:rFonts w:hAnsi="宋体" w:cs="宋体"/>
                <w:color w:val="auto"/>
                <w:sz w:val="24"/>
                <w:highlight w:val="none"/>
              </w:rPr>
            </w:pPr>
          </w:p>
        </w:tc>
        <w:tc>
          <w:tcPr>
            <w:tcW w:w="720" w:type="dxa"/>
          </w:tcPr>
          <w:p>
            <w:pPr>
              <w:pStyle w:val="11"/>
              <w:spacing w:line="360" w:lineRule="auto"/>
              <w:rPr>
                <w:rFonts w:hAnsi="宋体" w:cs="宋体"/>
                <w:color w:val="auto"/>
                <w:sz w:val="24"/>
                <w:highlight w:val="none"/>
              </w:rPr>
            </w:pPr>
          </w:p>
        </w:tc>
        <w:tc>
          <w:tcPr>
            <w:tcW w:w="648" w:type="dxa"/>
          </w:tcPr>
          <w:p>
            <w:pPr>
              <w:pStyle w:val="11"/>
              <w:spacing w:line="360" w:lineRule="auto"/>
              <w:rPr>
                <w:rFonts w:hAnsi="宋体" w:cs="宋体"/>
                <w:color w:val="auto"/>
                <w:sz w:val="24"/>
                <w:highlight w:val="none"/>
              </w:rPr>
            </w:pPr>
          </w:p>
        </w:tc>
        <w:tc>
          <w:tcPr>
            <w:tcW w:w="1147" w:type="dxa"/>
          </w:tcPr>
          <w:p>
            <w:pPr>
              <w:pStyle w:val="11"/>
              <w:spacing w:line="360" w:lineRule="auto"/>
              <w:rPr>
                <w:rFonts w:hAnsi="宋体" w:cs="宋体"/>
                <w:color w:val="auto"/>
                <w:sz w:val="24"/>
                <w:highlight w:val="none"/>
              </w:rPr>
            </w:pPr>
          </w:p>
        </w:tc>
        <w:tc>
          <w:tcPr>
            <w:tcW w:w="1123" w:type="dxa"/>
          </w:tcPr>
          <w:p>
            <w:pPr>
              <w:pStyle w:val="11"/>
              <w:spacing w:line="360" w:lineRule="auto"/>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620" w:type="dxa"/>
            <w:gridSpan w:val="2"/>
            <w:vAlign w:val="center"/>
          </w:tcPr>
          <w:p>
            <w:pPr>
              <w:pStyle w:val="11"/>
              <w:spacing w:line="360" w:lineRule="auto"/>
              <w:jc w:val="center"/>
              <w:rPr>
                <w:rFonts w:hAnsi="宋体" w:cs="宋体"/>
                <w:color w:val="auto"/>
                <w:sz w:val="24"/>
                <w:highlight w:val="none"/>
              </w:rPr>
            </w:pPr>
            <w:r>
              <w:rPr>
                <w:rFonts w:hint="eastAsia" w:hAnsi="宋体" w:cs="宋体"/>
                <w:color w:val="auto"/>
                <w:sz w:val="24"/>
                <w:highlight w:val="none"/>
              </w:rPr>
              <w:t>投标总价</w:t>
            </w:r>
          </w:p>
        </w:tc>
        <w:tc>
          <w:tcPr>
            <w:tcW w:w="7412" w:type="dxa"/>
            <w:gridSpan w:val="6"/>
            <w:vAlign w:val="center"/>
          </w:tcPr>
          <w:p>
            <w:pPr>
              <w:pStyle w:val="11"/>
              <w:spacing w:line="360" w:lineRule="auto"/>
              <w:jc w:val="center"/>
              <w:rPr>
                <w:rFonts w:hAnsi="宋体" w:cs="宋体"/>
                <w:color w:val="auto"/>
                <w:sz w:val="24"/>
                <w:highlight w:val="none"/>
              </w:rPr>
            </w:pPr>
            <w:r>
              <w:rPr>
                <w:rFonts w:hint="eastAsia" w:hAnsi="宋体" w:cs="宋体"/>
                <w:color w:val="auto"/>
                <w:sz w:val="24"/>
                <w:highlight w:val="none"/>
              </w:rPr>
              <w:t>大写：　　　　</w:t>
            </w:r>
            <w:r>
              <w:rPr>
                <w:rFonts w:hAnsi="宋体" w:cs="宋体"/>
                <w:color w:val="auto"/>
                <w:sz w:val="24"/>
                <w:highlight w:val="none"/>
              </w:rPr>
              <w:t xml:space="preserve">                </w:t>
            </w:r>
            <w:r>
              <w:rPr>
                <w:rFonts w:hint="eastAsia" w:hAnsi="宋体" w:cs="宋体"/>
                <w:color w:val="auto"/>
                <w:sz w:val="24"/>
                <w:highlight w:val="none"/>
              </w:rPr>
              <w:t>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32" w:type="dxa"/>
            <w:gridSpan w:val="8"/>
          </w:tcPr>
          <w:p>
            <w:pPr>
              <w:pStyle w:val="11"/>
              <w:spacing w:line="360" w:lineRule="auto"/>
              <w:ind w:firstLine="480" w:firstLineChars="200"/>
              <w:rPr>
                <w:rFonts w:hint="eastAsia" w:hAnsi="宋体" w:eastAsia="宋体" w:cs="宋体"/>
                <w:color w:val="auto"/>
                <w:sz w:val="24"/>
                <w:highlight w:val="none"/>
                <w:lang w:eastAsia="zh-CN"/>
              </w:rPr>
            </w:pPr>
            <w:r>
              <w:rPr>
                <w:rFonts w:hint="eastAsia" w:hAnsi="宋体" w:cs="宋体"/>
                <w:color w:val="auto"/>
                <w:sz w:val="24"/>
                <w:highlight w:val="none"/>
              </w:rPr>
              <w:t>本次报价</w:t>
            </w:r>
            <w:r>
              <w:rPr>
                <w:rFonts w:hint="eastAsia" w:ascii="宋体" w:hAnsi="宋体" w:eastAsia="宋体"/>
                <w:color w:val="auto"/>
                <w:sz w:val="24"/>
                <w:highlight w:val="none"/>
              </w:rPr>
              <w:t>包含完成采购范围内全部工作及提交成果资料所需的一切费用，如人工成本、资料费、差旅费、交通、通讯、劳务、利润、税收、验收费、培训等以及所有有关的管理成本</w:t>
            </w:r>
            <w:r>
              <w:rPr>
                <w:rFonts w:hint="eastAsia" w:hAnsi="宋体" w:cs="宋体"/>
                <w:color w:val="auto"/>
                <w:sz w:val="24"/>
                <w:highlight w:val="none"/>
              </w:rPr>
              <w:t>，所有费用一次性包干</w:t>
            </w:r>
            <w:r>
              <w:rPr>
                <w:rFonts w:hint="eastAsia" w:hAnsi="宋体" w:cs="宋体"/>
                <w:color w:val="auto"/>
                <w:sz w:val="24"/>
                <w:highlight w:val="none"/>
                <w:lang w:eastAsia="zh-CN"/>
              </w:rPr>
              <w:t>。</w:t>
            </w:r>
          </w:p>
        </w:tc>
      </w:tr>
    </w:tbl>
    <w:p>
      <w:pPr>
        <w:pStyle w:val="11"/>
        <w:spacing w:line="360" w:lineRule="auto"/>
        <w:ind w:firstLine="480" w:firstLineChars="200"/>
        <w:rPr>
          <w:rFonts w:hint="eastAsia" w:hAnsi="宋体" w:cs="宋体"/>
          <w:color w:val="auto"/>
          <w:sz w:val="24"/>
          <w:highlight w:val="none"/>
        </w:rPr>
      </w:pPr>
      <w:r>
        <w:rPr>
          <w:rFonts w:hint="eastAsia" w:hAnsi="宋体" w:cs="宋体"/>
          <w:color w:val="auto"/>
          <w:sz w:val="24"/>
          <w:highlight w:val="none"/>
        </w:rPr>
        <w:t>注：内容可根据供应商实际情况自行调整。</w:t>
      </w:r>
    </w:p>
    <w:p>
      <w:pPr>
        <w:rPr>
          <w:rFonts w:hint="eastAsia" w:hAnsi="宋体" w:cs="宋体"/>
          <w:color w:val="auto"/>
          <w:sz w:val="24"/>
          <w:highlight w:val="none"/>
        </w:rPr>
      </w:pPr>
    </w:p>
    <w:p>
      <w:pPr>
        <w:pStyle w:val="3"/>
        <w:rPr>
          <w:rFonts w:hint="eastAsia" w:hAnsi="宋体" w:cs="宋体"/>
          <w:color w:val="auto"/>
          <w:sz w:val="24"/>
          <w:highlight w:val="none"/>
        </w:rPr>
      </w:pPr>
    </w:p>
    <w:p>
      <w:pPr>
        <w:pStyle w:val="4"/>
        <w:rPr>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left"/>
        <w:rPr>
          <w:rFonts w:hint="eastAsia" w:ascii="宋体" w:hAnsi="宋体" w:cs="宋体"/>
          <w:b/>
          <w:bCs/>
          <w:color w:val="auto"/>
          <w:sz w:val="24"/>
          <w:szCs w:val="24"/>
          <w:highlight w:val="none"/>
          <w:lang w:val="zh-CN"/>
        </w:rPr>
      </w:pPr>
    </w:p>
    <w:p>
      <w:pPr>
        <w:spacing w:line="360" w:lineRule="auto"/>
        <w:jc w:val="left"/>
        <w:rPr>
          <w:rFonts w:hint="eastAsia" w:ascii="宋体" w:hAnsi="宋体" w:cs="宋体"/>
          <w:b/>
          <w:bCs/>
          <w:color w:val="auto"/>
          <w:sz w:val="24"/>
          <w:szCs w:val="24"/>
          <w:highlight w:val="none"/>
          <w:lang w:val="zh-CN"/>
        </w:rPr>
      </w:pPr>
    </w:p>
    <w:p>
      <w:pPr>
        <w:spacing w:line="360" w:lineRule="auto"/>
        <w:jc w:val="left"/>
        <w:rPr>
          <w:rFonts w:hint="eastAsia" w:ascii="宋体" w:hAnsi="宋体" w:cs="宋体"/>
          <w:b/>
          <w:bCs/>
          <w:color w:val="auto"/>
          <w:sz w:val="24"/>
          <w:szCs w:val="24"/>
          <w:highlight w:val="none"/>
          <w:lang w:val="zh-CN"/>
        </w:rPr>
      </w:pPr>
    </w:p>
    <w:p>
      <w:pPr>
        <w:spacing w:line="360" w:lineRule="auto"/>
        <w:jc w:val="left"/>
        <w:rPr>
          <w:rFonts w:hint="eastAsia" w:ascii="宋体" w:hAnsi="宋体" w:cs="宋体"/>
          <w:b/>
          <w:bCs/>
          <w:color w:val="auto"/>
          <w:sz w:val="24"/>
          <w:szCs w:val="24"/>
          <w:highlight w:val="none"/>
          <w:lang w:val="zh-CN"/>
        </w:rPr>
      </w:pPr>
    </w:p>
    <w:p>
      <w:pPr>
        <w:spacing w:line="360" w:lineRule="auto"/>
        <w:jc w:val="left"/>
        <w:rPr>
          <w:rFonts w:hint="eastAsia" w:ascii="宋体" w:hAnsi="宋体" w:cs="宋体"/>
          <w:b/>
          <w:bCs/>
          <w:color w:val="auto"/>
          <w:sz w:val="24"/>
          <w:szCs w:val="24"/>
          <w:highlight w:val="none"/>
          <w:lang w:val="zh-CN"/>
        </w:rPr>
      </w:pPr>
    </w:p>
    <w:p>
      <w:pPr>
        <w:spacing w:line="360" w:lineRule="auto"/>
        <w:jc w:val="left"/>
        <w:rPr>
          <w:rFonts w:hint="eastAsia" w:ascii="宋体" w:hAnsi="宋体" w:cs="宋体"/>
          <w:b/>
          <w:bCs/>
          <w:color w:val="auto"/>
          <w:sz w:val="24"/>
          <w:szCs w:val="24"/>
          <w:highlight w:val="none"/>
          <w:lang w:val="zh-CN"/>
        </w:rPr>
      </w:pPr>
    </w:p>
    <w:p>
      <w:pPr>
        <w:spacing w:line="360" w:lineRule="auto"/>
        <w:jc w:val="left"/>
        <w:rPr>
          <w:rFonts w:ascii="宋体"/>
          <w:b/>
          <w:bCs/>
          <w:color w:val="auto"/>
          <w:sz w:val="32"/>
          <w:szCs w:val="32"/>
          <w:highlight w:val="none"/>
        </w:rPr>
      </w:pPr>
      <w:r>
        <w:rPr>
          <w:rFonts w:hint="eastAsia" w:ascii="宋体" w:hAnsi="宋体" w:cs="宋体"/>
          <w:b/>
          <w:bCs/>
          <w:color w:val="auto"/>
          <w:sz w:val="24"/>
          <w:szCs w:val="24"/>
          <w:highlight w:val="none"/>
          <w:lang w:val="zh-CN"/>
        </w:rPr>
        <w:t>附件十</w:t>
      </w:r>
      <w:r>
        <w:rPr>
          <w:rFonts w:hint="eastAsia" w:hAnsi="宋体" w:cs="宋体"/>
          <w:b/>
          <w:bCs/>
          <w:color w:val="auto"/>
          <w:sz w:val="24"/>
          <w:szCs w:val="24"/>
          <w:highlight w:val="none"/>
        </w:rPr>
        <w:t>二</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中小企业声明函</w:t>
      </w:r>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【不属于中小企业的无需填写、递交】</w:t>
      </w:r>
    </w:p>
    <w:p>
      <w:pPr>
        <w:widowControl/>
        <w:snapToGrid w:val="0"/>
        <w:spacing w:line="324"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本公司郑重声明，根据《政府采购促进中小企业发展暂行办法》（财库</w:t>
      </w:r>
      <w:r>
        <w:rPr>
          <w:rFonts w:ascii="宋体" w:hAnsi="宋体" w:cs="宋体"/>
          <w:color w:val="auto"/>
          <w:sz w:val="24"/>
          <w:szCs w:val="24"/>
          <w:highlight w:val="none"/>
        </w:rPr>
        <w:t xml:space="preserve">[2011]181 </w:t>
      </w:r>
      <w:r>
        <w:rPr>
          <w:rFonts w:hint="eastAsia" w:ascii="宋体" w:hAnsi="宋体" w:cs="宋体"/>
          <w:color w:val="auto"/>
          <w:sz w:val="24"/>
          <w:szCs w:val="24"/>
          <w:highlight w:val="none"/>
        </w:rPr>
        <w:t>号）的规定，本公司为的</w:t>
      </w:r>
      <w:r>
        <w:rPr>
          <w:rFonts w:ascii="宋体" w:hAnsi="宋体" w:cs="宋体"/>
          <w:color w:val="auto"/>
          <w:sz w:val="24"/>
          <w:szCs w:val="24"/>
          <w:highlight w:val="none"/>
        </w:rPr>
        <w:t>______</w:t>
      </w:r>
      <w:r>
        <w:rPr>
          <w:rFonts w:hint="eastAsia" w:ascii="宋体" w:hAnsi="宋体" w:cs="宋体"/>
          <w:color w:val="auto"/>
          <w:sz w:val="24"/>
          <w:szCs w:val="24"/>
          <w:highlight w:val="none"/>
        </w:rPr>
        <w:t>（请填写：中型、小型、微型）企业。即，本公司同时满足以下条件：</w:t>
      </w:r>
    </w:p>
    <w:p>
      <w:pPr>
        <w:widowControl/>
        <w:snapToGrid w:val="0"/>
        <w:spacing w:line="324"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、根据《工业和信息化部、国家统计局、国家发展和改革委员会、财政部关于印发中小企业划型标准规定的通知》（工信部联企业</w:t>
      </w:r>
      <w:r>
        <w:rPr>
          <w:rFonts w:ascii="宋体" w:hAnsi="宋体" w:cs="宋体"/>
          <w:color w:val="auto"/>
          <w:sz w:val="24"/>
          <w:szCs w:val="24"/>
          <w:highlight w:val="none"/>
        </w:rPr>
        <w:t>[2011]300</w:t>
      </w:r>
      <w:r>
        <w:rPr>
          <w:rFonts w:hint="eastAsia" w:ascii="宋体" w:hAnsi="宋体" w:cs="宋体"/>
          <w:color w:val="auto"/>
          <w:sz w:val="24"/>
          <w:szCs w:val="24"/>
          <w:highlight w:val="none"/>
        </w:rPr>
        <w:t>号）规定的划分标准，本公司为</w:t>
      </w:r>
      <w:r>
        <w:rPr>
          <w:rFonts w:ascii="宋体" w:hAnsi="宋体" w:cs="宋体"/>
          <w:color w:val="auto"/>
          <w:sz w:val="24"/>
          <w:szCs w:val="24"/>
          <w:highlight w:val="none"/>
        </w:rPr>
        <w:t>______</w:t>
      </w:r>
      <w:r>
        <w:rPr>
          <w:rFonts w:hint="eastAsia" w:ascii="宋体" w:hAnsi="宋体" w:cs="宋体"/>
          <w:color w:val="auto"/>
          <w:sz w:val="24"/>
          <w:szCs w:val="24"/>
          <w:highlight w:val="none"/>
        </w:rPr>
        <w:t>（请填写：中型、小型、微型）企业。</w:t>
      </w:r>
    </w:p>
    <w:p>
      <w:pPr>
        <w:widowControl/>
        <w:snapToGrid w:val="0"/>
        <w:spacing w:line="324"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、本公司参加</w:t>
      </w:r>
      <w:r>
        <w:rPr>
          <w:rFonts w:ascii="宋体" w:hAnsi="宋体" w:cs="宋体"/>
          <w:color w:val="auto"/>
          <w:sz w:val="24"/>
          <w:szCs w:val="24"/>
          <w:highlight w:val="none"/>
        </w:rPr>
        <w:t>______</w:t>
      </w:r>
      <w:r>
        <w:rPr>
          <w:rFonts w:hint="eastAsia" w:ascii="宋体" w:hAnsi="宋体" w:cs="宋体"/>
          <w:color w:val="auto"/>
          <w:sz w:val="24"/>
          <w:szCs w:val="24"/>
          <w:highlight w:val="none"/>
        </w:rPr>
        <w:t>（采购人）的</w:t>
      </w:r>
      <w:r>
        <w:rPr>
          <w:rFonts w:ascii="宋体" w:hAnsi="宋体" w:cs="宋体"/>
          <w:color w:val="auto"/>
          <w:sz w:val="24"/>
          <w:szCs w:val="24"/>
          <w:highlight w:val="none"/>
        </w:rPr>
        <w:t>______</w:t>
      </w:r>
      <w:r>
        <w:rPr>
          <w:rFonts w:hint="eastAsia" w:ascii="宋体" w:hAnsi="宋体" w:cs="宋体"/>
          <w:color w:val="auto"/>
          <w:sz w:val="24"/>
          <w:szCs w:val="24"/>
          <w:highlight w:val="none"/>
        </w:rPr>
        <w:t>（项目名称）采购活动提供本企业服务。本公司对上述声明的真实性负责。如有虚假，将依法承担相应责任。</w:t>
      </w:r>
    </w:p>
    <w:p>
      <w:pPr>
        <w:widowControl/>
        <w:snapToGrid w:val="0"/>
        <w:spacing w:line="324" w:lineRule="auto"/>
        <w:ind w:firstLine="480" w:firstLineChars="200"/>
        <w:jc w:val="left"/>
        <w:rPr>
          <w:rFonts w:ascii="宋体"/>
          <w:color w:val="auto"/>
          <w:sz w:val="24"/>
          <w:szCs w:val="24"/>
          <w:highlight w:val="none"/>
        </w:rPr>
      </w:pPr>
    </w:p>
    <w:p>
      <w:pPr>
        <w:snapToGrid w:val="0"/>
        <w:spacing w:line="360" w:lineRule="auto"/>
        <w:ind w:right="480"/>
        <w:rPr>
          <w:rFonts w:ascii="宋体"/>
          <w:color w:val="auto"/>
          <w:sz w:val="24"/>
          <w:szCs w:val="24"/>
          <w:highlight w:val="none"/>
          <w:lang w:val="zh-CN"/>
        </w:rPr>
      </w:pPr>
      <w:r>
        <w:rPr>
          <w:rFonts w:hint="eastAsia" w:ascii="宋体" w:hAnsi="宋体" w:cs="宋体"/>
          <w:color w:val="auto"/>
          <w:sz w:val="24"/>
          <w:szCs w:val="24"/>
          <w:highlight w:val="none"/>
        </w:rPr>
        <w:t>供应商</w:t>
      </w:r>
      <w:r>
        <w:rPr>
          <w:rFonts w:hint="eastAsia" w:ascii="宋体" w:hAnsi="宋体" w:cs="宋体"/>
          <w:color w:val="auto"/>
          <w:sz w:val="24"/>
          <w:szCs w:val="24"/>
          <w:highlight w:val="none"/>
          <w:lang w:val="zh-CN"/>
        </w:rPr>
        <w:t>名称</w:t>
      </w:r>
      <w:r>
        <w:rPr>
          <w:rFonts w:ascii="宋体" w:hAnsi="宋体" w:cs="宋体"/>
          <w:color w:val="auto"/>
          <w:sz w:val="24"/>
          <w:szCs w:val="24"/>
          <w:highlight w:val="none"/>
          <w:lang w:val="zh-CN"/>
        </w:rPr>
        <w:t>(</w:t>
      </w:r>
      <w:r>
        <w:rPr>
          <w:rFonts w:hint="eastAsia" w:ascii="宋体" w:hAnsi="宋体" w:cs="宋体"/>
          <w:color w:val="auto"/>
          <w:sz w:val="24"/>
          <w:szCs w:val="24"/>
          <w:highlight w:val="none"/>
          <w:lang w:val="zh-CN"/>
        </w:rPr>
        <w:t>公章</w:t>
      </w:r>
      <w:r>
        <w:rPr>
          <w:rFonts w:ascii="宋体" w:hAnsi="宋体" w:cs="宋体"/>
          <w:color w:val="auto"/>
          <w:sz w:val="24"/>
          <w:szCs w:val="24"/>
          <w:highlight w:val="none"/>
          <w:lang w:val="zh-CN"/>
        </w:rPr>
        <w:t>)</w:t>
      </w:r>
      <w:r>
        <w:rPr>
          <w:rFonts w:hint="eastAsia" w:ascii="宋体" w:hAnsi="宋体" w:cs="宋体"/>
          <w:color w:val="auto"/>
          <w:sz w:val="24"/>
          <w:szCs w:val="24"/>
          <w:highlight w:val="none"/>
          <w:lang w:val="zh-CN"/>
        </w:rPr>
        <w:t>：</w:t>
      </w:r>
      <w:r>
        <w:rPr>
          <w:rFonts w:ascii="宋体" w:hAnsi="宋体" w:cs="宋体"/>
          <w:color w:val="auto"/>
          <w:sz w:val="24"/>
          <w:szCs w:val="24"/>
          <w:highlight w:val="none"/>
          <w:lang w:val="zh-CN"/>
        </w:rPr>
        <w:t xml:space="preserve">                                        </w:t>
      </w:r>
    </w:p>
    <w:p>
      <w:pPr>
        <w:snapToGrid w:val="0"/>
        <w:spacing w:line="360" w:lineRule="auto"/>
        <w:ind w:right="480"/>
        <w:rPr>
          <w:rFonts w:ascii="宋体"/>
          <w:color w:val="auto"/>
          <w:sz w:val="24"/>
          <w:szCs w:val="24"/>
          <w:highlight w:val="none"/>
          <w:lang w:val="zh-CN"/>
        </w:rPr>
      </w:pPr>
      <w:r>
        <w:rPr>
          <w:rFonts w:hint="eastAsia" w:ascii="宋体" w:hAnsi="宋体" w:cs="宋体"/>
          <w:color w:val="auto"/>
          <w:sz w:val="24"/>
          <w:szCs w:val="24"/>
          <w:highlight w:val="none"/>
          <w:lang w:val="zh-CN"/>
        </w:rPr>
        <w:t>法定代表人或其授权代表</w:t>
      </w:r>
      <w:r>
        <w:rPr>
          <w:rFonts w:ascii="宋体" w:hAnsi="宋体" w:cs="宋体"/>
          <w:color w:val="auto"/>
          <w:sz w:val="24"/>
          <w:szCs w:val="24"/>
          <w:highlight w:val="none"/>
          <w:lang w:val="zh-CN"/>
        </w:rPr>
        <w:t>(</w:t>
      </w:r>
      <w:r>
        <w:rPr>
          <w:rFonts w:hint="eastAsia" w:ascii="宋体" w:hAnsi="宋体" w:cs="宋体"/>
          <w:color w:val="auto"/>
          <w:sz w:val="24"/>
          <w:szCs w:val="24"/>
          <w:highlight w:val="none"/>
          <w:lang w:val="zh-CN"/>
        </w:rPr>
        <w:t>签字</w:t>
      </w:r>
      <w:r>
        <w:rPr>
          <w:rFonts w:ascii="宋体" w:hAnsi="宋体" w:cs="宋体"/>
          <w:color w:val="auto"/>
          <w:sz w:val="24"/>
          <w:szCs w:val="24"/>
          <w:highlight w:val="none"/>
          <w:lang w:val="zh-CN"/>
        </w:rPr>
        <w:t>)</w:t>
      </w:r>
      <w:r>
        <w:rPr>
          <w:rFonts w:hint="eastAsia" w:ascii="宋体" w:hAnsi="宋体" w:cs="宋体"/>
          <w:color w:val="auto"/>
          <w:sz w:val="24"/>
          <w:szCs w:val="24"/>
          <w:highlight w:val="none"/>
          <w:lang w:val="zh-CN"/>
        </w:rPr>
        <w:t>：</w:t>
      </w:r>
    </w:p>
    <w:p>
      <w:pPr>
        <w:snapToGrid w:val="0"/>
        <w:spacing w:line="360" w:lineRule="auto"/>
        <w:ind w:right="480"/>
        <w:rPr>
          <w:rFonts w:ascii="宋体"/>
          <w:color w:val="auto"/>
          <w:sz w:val="24"/>
          <w:szCs w:val="24"/>
          <w:highlight w:val="none"/>
          <w:lang w:val="zh-CN"/>
        </w:rPr>
      </w:pPr>
      <w:r>
        <w:rPr>
          <w:rFonts w:hint="eastAsia" w:ascii="宋体" w:hAnsi="宋体" w:cs="宋体"/>
          <w:color w:val="auto"/>
          <w:sz w:val="24"/>
          <w:szCs w:val="24"/>
          <w:highlight w:val="none"/>
          <w:lang w:val="zh-CN"/>
        </w:rPr>
        <w:t>日期：</w:t>
      </w:r>
      <w:r>
        <w:rPr>
          <w:rFonts w:ascii="宋体" w:hAnsi="宋体" w:cs="宋体"/>
          <w:color w:val="auto"/>
          <w:sz w:val="24"/>
          <w:szCs w:val="24"/>
          <w:highlight w:val="none"/>
          <w:lang w:val="zh-CN"/>
        </w:rPr>
        <w:t xml:space="preserve">  </w:t>
      </w:r>
      <w:r>
        <w:rPr>
          <w:rFonts w:hint="eastAsia" w:ascii="宋体" w:hAnsi="宋体" w:cs="宋体"/>
          <w:color w:val="auto"/>
          <w:sz w:val="24"/>
          <w:szCs w:val="24"/>
          <w:highlight w:val="none"/>
          <w:lang w:val="zh-CN"/>
        </w:rPr>
        <w:t>年</w:t>
      </w:r>
      <w:r>
        <w:rPr>
          <w:rFonts w:ascii="宋体" w:hAnsi="宋体" w:cs="宋体"/>
          <w:color w:val="auto"/>
          <w:sz w:val="24"/>
          <w:szCs w:val="24"/>
          <w:highlight w:val="none"/>
          <w:lang w:val="zh-CN"/>
        </w:rPr>
        <w:t xml:space="preserve">  </w:t>
      </w:r>
      <w:r>
        <w:rPr>
          <w:rFonts w:hint="eastAsia" w:ascii="宋体" w:hAnsi="宋体" w:cs="宋体"/>
          <w:color w:val="auto"/>
          <w:sz w:val="24"/>
          <w:szCs w:val="24"/>
          <w:highlight w:val="none"/>
          <w:lang w:val="zh-CN"/>
        </w:rPr>
        <w:t>月</w:t>
      </w:r>
      <w:r>
        <w:rPr>
          <w:rFonts w:ascii="宋体" w:hAnsi="宋体" w:cs="宋体"/>
          <w:color w:val="auto"/>
          <w:sz w:val="24"/>
          <w:szCs w:val="24"/>
          <w:highlight w:val="none"/>
          <w:lang w:val="zh-CN"/>
        </w:rPr>
        <w:t xml:space="preserve">   </w:t>
      </w:r>
      <w:r>
        <w:rPr>
          <w:rFonts w:hint="eastAsia" w:ascii="宋体" w:hAnsi="宋体" w:cs="宋体"/>
          <w:color w:val="auto"/>
          <w:sz w:val="24"/>
          <w:szCs w:val="24"/>
          <w:highlight w:val="none"/>
          <w:lang w:val="zh-CN"/>
        </w:rPr>
        <w:t>日</w:t>
      </w:r>
    </w:p>
    <w:p>
      <w:pPr>
        <w:widowControl/>
        <w:snapToGrid w:val="0"/>
        <w:spacing w:line="324" w:lineRule="auto"/>
        <w:ind w:firstLine="480" w:firstLineChars="200"/>
        <w:jc w:val="left"/>
        <w:rPr>
          <w:rFonts w:ascii="宋体"/>
          <w:color w:val="auto"/>
          <w:sz w:val="24"/>
          <w:szCs w:val="24"/>
          <w:highlight w:val="none"/>
        </w:rPr>
      </w:pPr>
    </w:p>
    <w:p>
      <w:pPr>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附：</w:t>
      </w:r>
    </w:p>
    <w:p>
      <w:pPr>
        <w:widowControl/>
        <w:snapToGrid w:val="0"/>
        <w:spacing w:line="324"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投标人的小微企业证明（投标截止时间前</w:t>
      </w:r>
      <w:r>
        <w:rPr>
          <w:rFonts w:ascii="宋体" w:hAnsi="宋体" w:cs="宋体"/>
          <w:color w:val="auto"/>
          <w:sz w:val="24"/>
          <w:szCs w:val="24"/>
          <w:highlight w:val="none"/>
        </w:rPr>
        <w:t>7</w:t>
      </w:r>
      <w:r>
        <w:rPr>
          <w:rFonts w:hint="eastAsia" w:ascii="宋体" w:hAnsi="宋体" w:cs="宋体"/>
          <w:color w:val="auto"/>
          <w:sz w:val="24"/>
          <w:szCs w:val="24"/>
          <w:highlight w:val="none"/>
        </w:rPr>
        <w:t>日内“国家企业信用信息公示系统</w:t>
      </w:r>
      <w:r>
        <w:rPr>
          <w:rFonts w:ascii="宋体" w:hAnsi="宋体" w:cs="宋体"/>
          <w:color w:val="auto"/>
          <w:sz w:val="24"/>
          <w:szCs w:val="24"/>
          <w:highlight w:val="none"/>
        </w:rPr>
        <w:t>—</w:t>
      </w:r>
      <w:r>
        <w:rPr>
          <w:rFonts w:hint="eastAsia" w:ascii="宋体" w:hAnsi="宋体" w:cs="宋体"/>
          <w:color w:val="auto"/>
          <w:sz w:val="24"/>
          <w:szCs w:val="24"/>
          <w:highlight w:val="none"/>
        </w:rPr>
        <w:t>小微企业名录”页面查询结果）</w:t>
      </w:r>
    </w:p>
    <w:p>
      <w:pPr>
        <w:pStyle w:val="3"/>
        <w:spacing w:line="360" w:lineRule="auto"/>
        <w:jc w:val="center"/>
        <w:rPr>
          <w:rFonts w:hAnsi="宋体" w:cs="Times New Roman"/>
          <w:color w:val="auto"/>
          <w:sz w:val="24"/>
          <w:szCs w:val="24"/>
          <w:highlight w:val="none"/>
        </w:rPr>
      </w:pPr>
    </w:p>
    <w:p>
      <w:pPr>
        <w:pStyle w:val="3"/>
        <w:spacing w:line="360" w:lineRule="auto"/>
        <w:jc w:val="center"/>
        <w:rPr>
          <w:rFonts w:hAnsi="宋体" w:cs="Times New Roman"/>
          <w:color w:val="auto"/>
          <w:sz w:val="24"/>
          <w:szCs w:val="24"/>
          <w:highlight w:val="none"/>
        </w:rPr>
      </w:pPr>
    </w:p>
    <w:p>
      <w:pPr>
        <w:pStyle w:val="3"/>
        <w:widowControl/>
        <w:tabs>
          <w:tab w:val="left" w:pos="432"/>
        </w:tabs>
        <w:spacing w:line="240" w:lineRule="atLeast"/>
        <w:jc w:val="center"/>
        <w:rPr>
          <w:rFonts w:hAnsi="宋体" w:cs="Times New Roman"/>
          <w:color w:val="auto"/>
          <w:highlight w:val="none"/>
        </w:rPr>
      </w:pPr>
      <w:bookmarkStart w:id="93" w:name="_Toc2071"/>
      <w:bookmarkStart w:id="94" w:name="_Toc30916"/>
      <w:bookmarkStart w:id="95" w:name="_Toc3295"/>
      <w:r>
        <w:rPr>
          <w:rFonts w:hAnsi="宋体" w:cs="Times New Roman"/>
          <w:color w:val="auto"/>
          <w:highlight w:val="none"/>
        </w:rPr>
        <w:br w:type="page"/>
      </w:r>
      <w:bookmarkStart w:id="96" w:name="_Toc23448"/>
      <w:bookmarkStart w:id="97" w:name="_Toc27183"/>
      <w:bookmarkStart w:id="98" w:name="_Toc23920"/>
      <w:bookmarkStart w:id="99" w:name="_Toc28963"/>
      <w:bookmarkStart w:id="100" w:name="_Toc25238"/>
      <w:bookmarkStart w:id="101" w:name="_Toc18531"/>
      <w:bookmarkStart w:id="102" w:name="_Toc26395"/>
      <w:bookmarkStart w:id="103" w:name="_Toc9374"/>
      <w:bookmarkStart w:id="104" w:name="_Toc7658"/>
      <w:bookmarkStart w:id="105" w:name="_Toc23422"/>
      <w:bookmarkStart w:id="106" w:name="_Toc14358"/>
      <w:bookmarkStart w:id="107" w:name="_Toc16718"/>
      <w:bookmarkStart w:id="108" w:name="_Toc28358"/>
      <w:r>
        <w:rPr>
          <w:rFonts w:hint="eastAsia" w:hAnsi="宋体"/>
          <w:color w:val="auto"/>
          <w:highlight w:val="none"/>
        </w:rPr>
        <w:t>“国家企业信用信息公示系统</w:t>
      </w:r>
      <w:r>
        <w:rPr>
          <w:rFonts w:hAnsi="宋体"/>
          <w:color w:val="auto"/>
          <w:highlight w:val="none"/>
        </w:rPr>
        <w:t>—</w:t>
      </w:r>
      <w:r>
        <w:rPr>
          <w:rFonts w:hint="eastAsia" w:hAnsi="宋体"/>
          <w:color w:val="auto"/>
          <w:highlight w:val="none"/>
        </w:rPr>
        <w:t>小微企业名录”页面查询结果</w:t>
      </w:r>
      <w:bookmarkEnd w:id="93"/>
      <w:bookmarkEnd w:id="94"/>
      <w:bookmarkEnd w:id="96"/>
      <w:bookmarkEnd w:id="97"/>
      <w:bookmarkEnd w:id="98"/>
      <w:bookmarkEnd w:id="99"/>
      <w:bookmarkEnd w:id="100"/>
      <w:bookmarkEnd w:id="101"/>
      <w:bookmarkEnd w:id="102"/>
      <w:bookmarkEnd w:id="103"/>
      <w:bookmarkEnd w:id="104"/>
      <w:bookmarkEnd w:id="105"/>
      <w:bookmarkEnd w:id="106"/>
      <w:bookmarkEnd w:id="107"/>
      <w:bookmarkEnd w:id="108"/>
    </w:p>
    <w:p>
      <w:pPr>
        <w:jc w:val="center"/>
        <w:rPr>
          <w:color w:val="auto"/>
          <w:highlight w:val="none"/>
          <w:lang w:val="zh-CN"/>
        </w:rPr>
      </w:pPr>
      <w:bookmarkStart w:id="109" w:name="_Toc10256"/>
      <w:bookmarkStart w:id="110" w:name="_Toc12380"/>
      <w:bookmarkStart w:id="111" w:name="_Toc10843"/>
      <w:bookmarkStart w:id="112" w:name="_Toc27930"/>
      <w:bookmarkStart w:id="113" w:name="_Toc10841"/>
      <w:bookmarkStart w:id="114" w:name="_Toc4490"/>
      <w:bookmarkStart w:id="115" w:name="_Toc5890"/>
      <w:bookmarkStart w:id="116" w:name="_Toc5367"/>
      <w:bookmarkStart w:id="117" w:name="_Toc31656"/>
      <w:bookmarkStart w:id="118" w:name="_Toc13862"/>
      <w:r>
        <w:rPr>
          <w:rFonts w:hint="eastAsia" w:cs="宋体"/>
          <w:b/>
          <w:bCs/>
          <w:color w:val="auto"/>
          <w:sz w:val="28"/>
          <w:szCs w:val="28"/>
          <w:highlight w:val="none"/>
        </w:rPr>
        <w:t>（加盖公章）</w:t>
      </w:r>
      <w:bookmarkEnd w:id="95"/>
      <w:bookmarkEnd w:id="109"/>
      <w:bookmarkEnd w:id="110"/>
      <w:bookmarkEnd w:id="111"/>
      <w:bookmarkEnd w:id="112"/>
      <w:bookmarkEnd w:id="113"/>
      <w:bookmarkEnd w:id="114"/>
      <w:bookmarkEnd w:id="115"/>
      <w:bookmarkEnd w:id="116"/>
      <w:bookmarkEnd w:id="117"/>
      <w:bookmarkEnd w:id="118"/>
      <w:r>
        <w:rPr>
          <w:color w:val="auto"/>
          <w:highlight w:val="none"/>
          <w:lang w:val="zh-CN"/>
        </w:rPr>
        <w:br w:type="page"/>
      </w:r>
    </w:p>
    <w:bookmarkEnd w:id="92"/>
    <w:p>
      <w:pPr>
        <w:rPr>
          <w:b/>
          <w:bCs/>
          <w:color w:val="auto"/>
          <w:sz w:val="24"/>
          <w:szCs w:val="24"/>
          <w:highlight w:val="none"/>
          <w:lang w:val="zh-CN"/>
        </w:rPr>
      </w:pPr>
      <w:bookmarkStart w:id="119" w:name="_Toc25017"/>
      <w:bookmarkStart w:id="120" w:name="_Toc9715"/>
      <w:bookmarkStart w:id="121" w:name="_Toc31472"/>
      <w:bookmarkStart w:id="122" w:name="_Toc16150"/>
      <w:r>
        <w:rPr>
          <w:rFonts w:hint="eastAsia" w:cs="宋体"/>
          <w:b/>
          <w:bCs/>
          <w:color w:val="auto"/>
          <w:sz w:val="24"/>
          <w:szCs w:val="24"/>
          <w:highlight w:val="none"/>
          <w:lang w:val="zh-CN"/>
        </w:rPr>
        <w:t>附件十</w:t>
      </w:r>
      <w:r>
        <w:rPr>
          <w:rFonts w:hint="eastAsia" w:cs="宋体"/>
          <w:b/>
          <w:bCs/>
          <w:color w:val="auto"/>
          <w:sz w:val="24"/>
          <w:szCs w:val="24"/>
          <w:highlight w:val="none"/>
        </w:rPr>
        <w:t>三：</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残疾人福利性单位声明函</w:t>
      </w:r>
      <w:bookmarkEnd w:id="119"/>
      <w:bookmarkEnd w:id="120"/>
      <w:bookmarkEnd w:id="121"/>
      <w:bookmarkEnd w:id="122"/>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【不属于残疾人福利性单位的无需填写、递交】</w:t>
      </w:r>
    </w:p>
    <w:p>
      <w:pPr>
        <w:spacing w:line="588" w:lineRule="exact"/>
        <w:rPr>
          <w:rFonts w:ascii="宋体"/>
          <w:b/>
          <w:bCs/>
          <w:color w:val="auto"/>
          <w:spacing w:val="6"/>
          <w:sz w:val="30"/>
          <w:szCs w:val="30"/>
          <w:highlight w:val="none"/>
        </w:rPr>
      </w:pPr>
    </w:p>
    <w:p>
      <w:pPr>
        <w:spacing w:line="588"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本单位郑重声明，根据《财政部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民政部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中国残疾人联合会关于促进残疾人就业政府采购政策的通知》（财库〔</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141</w:t>
      </w:r>
      <w:r>
        <w:rPr>
          <w:rFonts w:hint="eastAsia" w:ascii="宋体" w:hAnsi="宋体" w:cs="宋体"/>
          <w:color w:val="auto"/>
          <w:sz w:val="24"/>
          <w:szCs w:val="24"/>
          <w:highlight w:val="none"/>
        </w:rPr>
        <w:t>号）的规定，本单位为符合条件的残疾人福利性单位，且本单位参加</w:t>
      </w:r>
      <w:r>
        <w:rPr>
          <w:rFonts w:ascii="宋体" w:hAnsi="宋体" w:cs="宋体"/>
          <w:color w:val="auto"/>
          <w:sz w:val="24"/>
          <w:szCs w:val="24"/>
          <w:highlight w:val="none"/>
        </w:rPr>
        <w:t>______</w:t>
      </w:r>
      <w:r>
        <w:rPr>
          <w:rFonts w:hint="eastAsia" w:ascii="宋体" w:hAnsi="宋体" w:cs="宋体"/>
          <w:color w:val="auto"/>
          <w:sz w:val="24"/>
          <w:szCs w:val="24"/>
          <w:highlight w:val="none"/>
        </w:rPr>
        <w:t>单位的</w:t>
      </w:r>
      <w:r>
        <w:rPr>
          <w:rFonts w:ascii="宋体" w:hAnsi="宋体" w:cs="宋体"/>
          <w:color w:val="auto"/>
          <w:sz w:val="24"/>
          <w:szCs w:val="24"/>
          <w:highlight w:val="none"/>
        </w:rPr>
        <w:t>______</w:t>
      </w:r>
      <w:r>
        <w:rPr>
          <w:rFonts w:hint="eastAsia" w:ascii="宋体" w:hAnsi="宋体" w:cs="宋体"/>
          <w:color w:val="auto"/>
          <w:sz w:val="24"/>
          <w:szCs w:val="24"/>
          <w:highlight w:val="none"/>
        </w:rPr>
        <w:t>项目采购活动提供本单位服务，或者提供其他残疾人福利性单位提供的服务。本单位对上述声明的真实性负责。如有虚假，将依法承担相应责任。</w:t>
      </w:r>
    </w:p>
    <w:p>
      <w:pPr>
        <w:pStyle w:val="3"/>
        <w:rPr>
          <w:rFonts w:cs="Times New Roman"/>
          <w:color w:val="auto"/>
          <w:highlight w:val="none"/>
        </w:rPr>
      </w:pPr>
    </w:p>
    <w:p>
      <w:pPr>
        <w:pStyle w:val="4"/>
        <w:rPr>
          <w:color w:val="auto"/>
          <w:highlight w:val="none"/>
        </w:rPr>
      </w:pPr>
    </w:p>
    <w:p>
      <w:pPr>
        <w:spacing w:line="588" w:lineRule="exact"/>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b/>
          <w:bCs/>
          <w:color w:val="auto"/>
          <w:sz w:val="24"/>
          <w:szCs w:val="24"/>
          <w:highlight w:val="none"/>
          <w:lang w:val="zh-CN"/>
        </w:rPr>
      </w:pPr>
      <w:bookmarkStart w:id="123" w:name="_Toc2386"/>
      <w:bookmarkStart w:id="124" w:name="_Toc24"/>
      <w:bookmarkStart w:id="125" w:name="_Toc5441"/>
      <w:bookmarkStart w:id="126" w:name="_Toc15966"/>
      <w:r>
        <w:rPr>
          <w:color w:val="auto"/>
          <w:sz w:val="24"/>
          <w:szCs w:val="24"/>
          <w:highlight w:val="none"/>
          <w:lang w:val="zh-CN"/>
        </w:rPr>
        <w:br w:type="page"/>
      </w:r>
      <w:r>
        <w:rPr>
          <w:rFonts w:hint="eastAsia" w:cs="宋体"/>
          <w:b/>
          <w:bCs/>
          <w:color w:val="auto"/>
          <w:sz w:val="24"/>
          <w:szCs w:val="24"/>
          <w:highlight w:val="none"/>
          <w:lang w:val="zh-CN"/>
        </w:rPr>
        <w:t>附件十</w:t>
      </w:r>
      <w:r>
        <w:rPr>
          <w:rFonts w:hint="eastAsia" w:cs="宋体"/>
          <w:b/>
          <w:bCs/>
          <w:color w:val="auto"/>
          <w:sz w:val="24"/>
          <w:szCs w:val="24"/>
          <w:highlight w:val="none"/>
        </w:rPr>
        <w:t>四：</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监狱企业证明文件</w:t>
      </w:r>
      <w:bookmarkEnd w:id="123"/>
      <w:bookmarkEnd w:id="124"/>
      <w:bookmarkEnd w:id="125"/>
      <w:bookmarkEnd w:id="126"/>
    </w:p>
    <w:p>
      <w:pPr>
        <w:widowControl/>
        <w:snapToGrid w:val="0"/>
        <w:spacing w:line="360" w:lineRule="auto"/>
        <w:jc w:val="center"/>
        <w:rPr>
          <w:rFonts w:ascii="宋体"/>
          <w:color w:val="auto"/>
          <w:kern w:val="0"/>
          <w:sz w:val="28"/>
          <w:szCs w:val="28"/>
          <w:highlight w:val="none"/>
        </w:rPr>
      </w:pPr>
      <w:r>
        <w:rPr>
          <w:rFonts w:hint="eastAsia" w:ascii="宋体" w:hAnsi="宋体" w:cs="宋体"/>
          <w:color w:val="auto"/>
          <w:kern w:val="0"/>
          <w:sz w:val="28"/>
          <w:szCs w:val="28"/>
          <w:highlight w:val="none"/>
        </w:rPr>
        <w:t>【不属于监狱企业的无需填写、递交】</w:t>
      </w:r>
    </w:p>
    <w:p>
      <w:pPr>
        <w:widowControl/>
        <w:snapToGrid w:val="0"/>
        <w:spacing w:line="324" w:lineRule="auto"/>
        <w:jc w:val="center"/>
        <w:rPr>
          <w:rFonts w:ascii="宋体"/>
          <w:color w:val="auto"/>
          <w:kern w:val="0"/>
          <w:sz w:val="24"/>
          <w:szCs w:val="24"/>
          <w:highlight w:val="none"/>
        </w:rPr>
      </w:pPr>
    </w:p>
    <w:p>
      <w:pPr>
        <w:spacing w:line="588" w:lineRule="exact"/>
        <w:ind w:firstLine="480" w:firstLineChars="200"/>
        <w:rPr>
          <w:rFonts w:ascii="宋体"/>
          <w:color w:val="auto"/>
          <w:sz w:val="24"/>
          <w:szCs w:val="24"/>
          <w:highlight w:val="none"/>
        </w:rPr>
      </w:pPr>
    </w:p>
    <w:p>
      <w:pPr>
        <w:adjustRightInd w:val="0"/>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监狱企业需提供省级以上的监狱管理局、戒毒管理局（含新疆生产建设兵团）出具的属于监狱企业的证明文件。</w:t>
      </w:r>
      <w:r>
        <w:rPr>
          <w:rFonts w:ascii="宋体" w:hAnsi="宋体" w:cs="宋体"/>
          <w:color w:val="auto"/>
          <w:sz w:val="24"/>
          <w:szCs w:val="24"/>
          <w:highlight w:val="none"/>
        </w:rPr>
        <w:t xml:space="preserve">  </w:t>
      </w:r>
    </w:p>
    <w:p>
      <w:pPr>
        <w:pStyle w:val="3"/>
        <w:rPr>
          <w:rFonts w:cs="Times New Roman"/>
          <w:color w:val="auto"/>
          <w:highlight w:val="none"/>
        </w:rPr>
      </w:pPr>
    </w:p>
    <w:p>
      <w:pPr>
        <w:pStyle w:val="4"/>
        <w:rPr>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center"/>
        <w:rPr>
          <w:rFonts w:ascii="宋体"/>
          <w:b/>
          <w:bCs/>
          <w:color w:val="auto"/>
          <w:sz w:val="24"/>
          <w:szCs w:val="24"/>
          <w:highlight w:val="none"/>
        </w:rPr>
      </w:pPr>
    </w:p>
    <w:p>
      <w:pPr>
        <w:spacing w:line="360" w:lineRule="auto"/>
        <w:rPr>
          <w:color w:val="auto"/>
          <w:sz w:val="36"/>
          <w:szCs w:val="36"/>
          <w:highlight w:val="none"/>
        </w:rPr>
      </w:pPr>
    </w:p>
    <w:p>
      <w:pPr>
        <w:pStyle w:val="19"/>
        <w:ind w:firstLine="21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4"/>
                          </w:pPr>
                          <w:r>
                            <w:fldChar w:fldCharType="begin"/>
                          </w:r>
                          <w:r>
                            <w:instrText xml:space="preserve"> PAGE  \* MERGEFORMAT </w:instrText>
                          </w:r>
                          <w:r>
                            <w:fldChar w:fldCharType="separate"/>
                          </w:r>
                          <w:r>
                            <w:t>34</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qNuHRAQAAog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7BGJjE2m6007IeJ2d63ZyTW4wYw&#10;6nDhKTEfHAqcl2U24mzsZ+MYoj502OOy1IPw9piwm9JkrjDCToVxdIXmtGZ5N/72S9bj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aKjbh0QEAAKIDAAAOAAAAAAAAAAEAIAAAAB8BAABk&#10;cnMvZTJvRG9jLnhtbFBLBQYAAAAABgAGAFkBAAB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99C87"/>
    <w:multiLevelType w:val="singleLevel"/>
    <w:tmpl w:val="91799C87"/>
    <w:lvl w:ilvl="0" w:tentative="0">
      <w:start w:val="1"/>
      <w:numFmt w:val="decimal"/>
      <w:suff w:val="nothing"/>
      <w:lvlText w:val="（%1）"/>
      <w:lvlJc w:val="left"/>
    </w:lvl>
  </w:abstractNum>
  <w:abstractNum w:abstractNumId="1">
    <w:nsid w:val="93B993BA"/>
    <w:multiLevelType w:val="singleLevel"/>
    <w:tmpl w:val="93B993BA"/>
    <w:lvl w:ilvl="0" w:tentative="0">
      <w:start w:val="1"/>
      <w:numFmt w:val="decimal"/>
      <w:suff w:val="nothing"/>
      <w:lvlText w:val="%1．"/>
      <w:lvlJc w:val="left"/>
      <w:pPr>
        <w:ind w:firstLine="397"/>
      </w:pPr>
      <w:rPr>
        <w:rFonts w:hint="default"/>
      </w:rPr>
    </w:lvl>
  </w:abstractNum>
  <w:abstractNum w:abstractNumId="2">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3">
    <w:nsid w:val="9E7D436F"/>
    <w:multiLevelType w:val="singleLevel"/>
    <w:tmpl w:val="9E7D436F"/>
    <w:lvl w:ilvl="0" w:tentative="0">
      <w:start w:val="1"/>
      <w:numFmt w:val="chineseCounting"/>
      <w:suff w:val="nothing"/>
      <w:lvlText w:val="%1、"/>
      <w:lvlJc w:val="left"/>
      <w:rPr>
        <w:rFonts w:hint="eastAsia"/>
      </w:rPr>
    </w:lvl>
  </w:abstractNum>
  <w:abstractNum w:abstractNumId="4">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5">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6">
    <w:nsid w:val="12F353C5"/>
    <w:multiLevelType w:val="singleLevel"/>
    <w:tmpl w:val="12F353C5"/>
    <w:lvl w:ilvl="0" w:tentative="0">
      <w:start w:val="1"/>
      <w:numFmt w:val="chineseCounting"/>
      <w:suff w:val="nothing"/>
      <w:lvlText w:val="%1、"/>
      <w:lvlJc w:val="left"/>
      <w:rPr>
        <w:rFonts w:hint="eastAsia"/>
      </w:rPr>
    </w:lvl>
  </w:abstractNum>
  <w:abstractNum w:abstractNumId="7">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8">
    <w:nsid w:val="1D8CA61A"/>
    <w:multiLevelType w:val="singleLevel"/>
    <w:tmpl w:val="1D8CA61A"/>
    <w:lvl w:ilvl="0" w:tentative="0">
      <w:start w:val="1"/>
      <w:numFmt w:val="decimal"/>
      <w:suff w:val="nothing"/>
      <w:lvlText w:val="%1、"/>
      <w:lvlJc w:val="left"/>
    </w:lvl>
  </w:abstractNum>
  <w:abstractNum w:abstractNumId="9">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0">
    <w:nsid w:val="1EC1A361"/>
    <w:multiLevelType w:val="singleLevel"/>
    <w:tmpl w:val="1EC1A361"/>
    <w:lvl w:ilvl="0" w:tentative="0">
      <w:start w:val="1"/>
      <w:numFmt w:val="decimalEnclosedCircleChinese"/>
      <w:suff w:val="nothing"/>
      <w:lvlText w:val="%1　"/>
      <w:lvlJc w:val="left"/>
      <w:pPr>
        <w:ind w:firstLine="397"/>
      </w:pPr>
      <w:rPr>
        <w:rFonts w:hint="eastAsia"/>
      </w:rPr>
    </w:lvl>
  </w:abstractNum>
  <w:abstractNum w:abstractNumId="11">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2">
    <w:nsid w:val="31213A5A"/>
    <w:multiLevelType w:val="singleLevel"/>
    <w:tmpl w:val="31213A5A"/>
    <w:lvl w:ilvl="0" w:tentative="0">
      <w:start w:val="4"/>
      <w:numFmt w:val="chineseCounting"/>
      <w:suff w:val="nothing"/>
      <w:lvlText w:val="%1、"/>
      <w:lvlJc w:val="left"/>
      <w:rPr>
        <w:rFonts w:hint="eastAsia"/>
      </w:rPr>
    </w:lvl>
  </w:abstractNum>
  <w:abstractNum w:abstractNumId="13">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4">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5">
    <w:nsid w:val="474E1A63"/>
    <w:multiLevelType w:val="singleLevel"/>
    <w:tmpl w:val="474E1A63"/>
    <w:lvl w:ilvl="0" w:tentative="0">
      <w:start w:val="1"/>
      <w:numFmt w:val="decimalEnclosedCircleChinese"/>
      <w:suff w:val="nothing"/>
      <w:lvlText w:val="%1　"/>
      <w:lvlJc w:val="left"/>
      <w:pPr>
        <w:ind w:firstLine="1134"/>
      </w:pPr>
      <w:rPr>
        <w:rFonts w:hint="eastAsia"/>
      </w:rPr>
    </w:lvl>
  </w:abstractNum>
  <w:abstractNum w:abstractNumId="16">
    <w:nsid w:val="4977A3EC"/>
    <w:multiLevelType w:val="singleLevel"/>
    <w:tmpl w:val="4977A3EC"/>
    <w:lvl w:ilvl="0" w:tentative="0">
      <w:start w:val="1"/>
      <w:numFmt w:val="chineseCounting"/>
      <w:suff w:val="space"/>
      <w:lvlText w:val="第%1条"/>
      <w:lvlJc w:val="left"/>
      <w:pPr>
        <w:ind w:left="480" w:firstLine="0"/>
      </w:pPr>
      <w:rPr>
        <w:rFonts w:hint="eastAsia"/>
      </w:rPr>
    </w:lvl>
  </w:abstractNum>
  <w:abstractNum w:abstractNumId="17">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8">
    <w:nsid w:val="5E92E1E8"/>
    <w:multiLevelType w:val="singleLevel"/>
    <w:tmpl w:val="5E92E1E8"/>
    <w:lvl w:ilvl="0" w:tentative="0">
      <w:start w:val="1"/>
      <w:numFmt w:val="decimal"/>
      <w:suff w:val="nothing"/>
      <w:lvlText w:val="%1、"/>
      <w:lvlJc w:val="left"/>
    </w:lvl>
  </w:abstractNum>
  <w:abstractNum w:abstractNumId="19">
    <w:nsid w:val="62705028"/>
    <w:multiLevelType w:val="singleLevel"/>
    <w:tmpl w:val="62705028"/>
    <w:lvl w:ilvl="0" w:tentative="0">
      <w:start w:val="1"/>
      <w:numFmt w:val="decimalEnclosedCircleChinese"/>
      <w:suff w:val="nothing"/>
      <w:lvlText w:val="%1　"/>
      <w:lvlJc w:val="left"/>
      <w:pPr>
        <w:ind w:firstLine="397"/>
      </w:pPr>
      <w:rPr>
        <w:rFonts w:hint="eastAsia"/>
      </w:rPr>
    </w:lvl>
  </w:abstractNum>
  <w:abstractNum w:abstractNumId="20">
    <w:nsid w:val="7B2826C6"/>
    <w:multiLevelType w:val="singleLevel"/>
    <w:tmpl w:val="7B2826C6"/>
    <w:lvl w:ilvl="0" w:tentative="0">
      <w:start w:val="1"/>
      <w:numFmt w:val="decimal"/>
      <w:suff w:val="nothing"/>
      <w:lvlText w:val="%1．"/>
      <w:lvlJc w:val="left"/>
      <w:pPr>
        <w:ind w:firstLine="397"/>
      </w:pPr>
      <w:rPr>
        <w:rFonts w:hint="default"/>
      </w:rPr>
    </w:lvl>
  </w:abstractNum>
  <w:num w:numId="1">
    <w:abstractNumId w:val="14"/>
  </w:num>
  <w:num w:numId="2">
    <w:abstractNumId w:val="5"/>
  </w:num>
  <w:num w:numId="3">
    <w:abstractNumId w:val="17"/>
  </w:num>
  <w:num w:numId="4">
    <w:abstractNumId w:val="9"/>
  </w:num>
  <w:num w:numId="5">
    <w:abstractNumId w:val="20"/>
  </w:num>
  <w:num w:numId="6">
    <w:abstractNumId w:val="10"/>
  </w:num>
  <w:num w:numId="7">
    <w:abstractNumId w:val="1"/>
  </w:num>
  <w:num w:numId="8">
    <w:abstractNumId w:val="19"/>
  </w:num>
  <w:num w:numId="9">
    <w:abstractNumId w:val="6"/>
  </w:num>
  <w:num w:numId="10">
    <w:abstractNumId w:val="7"/>
  </w:num>
  <w:num w:numId="11">
    <w:abstractNumId w:val="15"/>
  </w:num>
  <w:num w:numId="12">
    <w:abstractNumId w:val="13"/>
  </w:num>
  <w:num w:numId="13">
    <w:abstractNumId w:val="4"/>
  </w:num>
  <w:num w:numId="14">
    <w:abstractNumId w:val="2"/>
  </w:num>
  <w:num w:numId="15">
    <w:abstractNumId w:val="11"/>
  </w:num>
  <w:num w:numId="16">
    <w:abstractNumId w:val="3"/>
  </w:num>
  <w:num w:numId="17">
    <w:abstractNumId w:val="12"/>
  </w:num>
  <w:num w:numId="18">
    <w:abstractNumId w:val="16"/>
  </w:num>
  <w:num w:numId="19">
    <w:abstractNumId w:val="18"/>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412FE"/>
    <w:rsid w:val="00085ECB"/>
    <w:rsid w:val="001039CA"/>
    <w:rsid w:val="00223E24"/>
    <w:rsid w:val="00392B4C"/>
    <w:rsid w:val="004277E5"/>
    <w:rsid w:val="00463C96"/>
    <w:rsid w:val="004E63AF"/>
    <w:rsid w:val="00542925"/>
    <w:rsid w:val="005617C4"/>
    <w:rsid w:val="006E4D94"/>
    <w:rsid w:val="007C1988"/>
    <w:rsid w:val="00816086"/>
    <w:rsid w:val="008C2439"/>
    <w:rsid w:val="009241BF"/>
    <w:rsid w:val="00AF40FC"/>
    <w:rsid w:val="00B47103"/>
    <w:rsid w:val="00C70180"/>
    <w:rsid w:val="00C93598"/>
    <w:rsid w:val="00E53562"/>
    <w:rsid w:val="00F673E5"/>
    <w:rsid w:val="0149271B"/>
    <w:rsid w:val="02710CE9"/>
    <w:rsid w:val="02FB1EF4"/>
    <w:rsid w:val="13495BED"/>
    <w:rsid w:val="14195EA4"/>
    <w:rsid w:val="15830AE2"/>
    <w:rsid w:val="15A07E8D"/>
    <w:rsid w:val="163255E3"/>
    <w:rsid w:val="1648774C"/>
    <w:rsid w:val="16EB43B2"/>
    <w:rsid w:val="19061AA7"/>
    <w:rsid w:val="1B155261"/>
    <w:rsid w:val="1BDB27A5"/>
    <w:rsid w:val="1EDA1EFB"/>
    <w:rsid w:val="205B73C3"/>
    <w:rsid w:val="20D34487"/>
    <w:rsid w:val="26451EEA"/>
    <w:rsid w:val="26704F2E"/>
    <w:rsid w:val="28C62F56"/>
    <w:rsid w:val="28F0407A"/>
    <w:rsid w:val="29655706"/>
    <w:rsid w:val="2D346E5C"/>
    <w:rsid w:val="2E664953"/>
    <w:rsid w:val="30FB7A19"/>
    <w:rsid w:val="30FC165D"/>
    <w:rsid w:val="310261A7"/>
    <w:rsid w:val="32A75185"/>
    <w:rsid w:val="33340B4D"/>
    <w:rsid w:val="349413EA"/>
    <w:rsid w:val="36CE34E8"/>
    <w:rsid w:val="3C8A45CA"/>
    <w:rsid w:val="3DCE50EF"/>
    <w:rsid w:val="3DDA6EEB"/>
    <w:rsid w:val="40E80A95"/>
    <w:rsid w:val="41C50CBF"/>
    <w:rsid w:val="42234900"/>
    <w:rsid w:val="42914373"/>
    <w:rsid w:val="4297507F"/>
    <w:rsid w:val="42A44E8B"/>
    <w:rsid w:val="436C497E"/>
    <w:rsid w:val="467F690A"/>
    <w:rsid w:val="46B85F59"/>
    <w:rsid w:val="48621071"/>
    <w:rsid w:val="49845A60"/>
    <w:rsid w:val="49C134CC"/>
    <w:rsid w:val="4AD245F0"/>
    <w:rsid w:val="4BE44EED"/>
    <w:rsid w:val="4CCC3E4B"/>
    <w:rsid w:val="50A75235"/>
    <w:rsid w:val="54A90D98"/>
    <w:rsid w:val="54F65EBA"/>
    <w:rsid w:val="55913FAD"/>
    <w:rsid w:val="55A966C3"/>
    <w:rsid w:val="56F203B4"/>
    <w:rsid w:val="57FC55AA"/>
    <w:rsid w:val="58551F7D"/>
    <w:rsid w:val="5AA412FE"/>
    <w:rsid w:val="5D217374"/>
    <w:rsid w:val="5DE81AA6"/>
    <w:rsid w:val="5E2B51A2"/>
    <w:rsid w:val="5F5B667A"/>
    <w:rsid w:val="5FD125EC"/>
    <w:rsid w:val="638717D9"/>
    <w:rsid w:val="67996221"/>
    <w:rsid w:val="69A14E77"/>
    <w:rsid w:val="6D88336F"/>
    <w:rsid w:val="6E957640"/>
    <w:rsid w:val="6FD76B53"/>
    <w:rsid w:val="71986472"/>
    <w:rsid w:val="72EA0AEA"/>
    <w:rsid w:val="75126D7A"/>
    <w:rsid w:val="75BA5477"/>
    <w:rsid w:val="767D2EBC"/>
    <w:rsid w:val="77417FED"/>
    <w:rsid w:val="77537603"/>
    <w:rsid w:val="78937CF7"/>
    <w:rsid w:val="7AA33536"/>
    <w:rsid w:val="7DBF21A5"/>
    <w:rsid w:val="7DC911D1"/>
    <w:rsid w:val="7DE93C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uiPriority w:val="99"/>
    <w:pPr>
      <w:keepNext/>
      <w:keepLines/>
      <w:spacing w:line="576" w:lineRule="auto"/>
      <w:outlineLvl w:val="0"/>
    </w:pPr>
    <w:rPr>
      <w:rFonts w:ascii="Calibri" w:hAnsi="Calibri" w:cs="Calibri"/>
      <w:b/>
      <w:bCs/>
      <w:kern w:val="44"/>
      <w:sz w:val="44"/>
      <w:szCs w:val="44"/>
    </w:rPr>
  </w:style>
  <w:style w:type="paragraph" w:styleId="3">
    <w:name w:val="heading 2"/>
    <w:basedOn w:val="1"/>
    <w:next w:val="4"/>
    <w:link w:val="28"/>
    <w:qFormat/>
    <w:uiPriority w:val="99"/>
    <w:pPr>
      <w:keepNext/>
      <w:spacing w:line="216" w:lineRule="auto"/>
      <w:outlineLvl w:val="1"/>
    </w:pPr>
    <w:rPr>
      <w:rFonts w:ascii="宋体" w:hAnsi="Calibri" w:cs="宋体"/>
      <w:b/>
      <w:bCs/>
      <w:sz w:val="28"/>
      <w:szCs w:val="28"/>
    </w:rPr>
  </w:style>
  <w:style w:type="paragraph" w:styleId="5">
    <w:name w:val="heading 3"/>
    <w:basedOn w:val="1"/>
    <w:next w:val="6"/>
    <w:link w:val="29"/>
    <w:qFormat/>
    <w:uiPriority w:val="99"/>
    <w:pPr>
      <w:keepNext/>
      <w:numPr>
        <w:ilvl w:val="0"/>
        <w:numId w:val="1"/>
      </w:numPr>
      <w:spacing w:line="216" w:lineRule="auto"/>
      <w:outlineLvl w:val="2"/>
    </w:pPr>
    <w:rPr>
      <w:rFonts w:ascii="宋体" w:hAnsi="Calibri" w:cs="宋体"/>
      <w:b/>
      <w:bCs/>
      <w:sz w:val="28"/>
      <w:szCs w:val="28"/>
    </w:rPr>
  </w:style>
  <w:style w:type="paragraph" w:styleId="7">
    <w:name w:val="heading 4"/>
    <w:basedOn w:val="1"/>
    <w:next w:val="1"/>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style>
  <w:style w:type="paragraph" w:customStyle="1" w:styleId="6">
    <w:name w:val="正文缩进1"/>
    <w:basedOn w:val="1"/>
    <w:qFormat/>
    <w:uiPriority w:val="0"/>
    <w:pPr>
      <w:ind w:firstLine="420" w:firstLineChars="200"/>
    </w:pPr>
  </w:style>
  <w:style w:type="paragraph" w:styleId="8">
    <w:name w:val="Body Text"/>
    <w:basedOn w:val="1"/>
    <w:next w:val="1"/>
    <w:link w:val="30"/>
    <w:qFormat/>
    <w:uiPriority w:val="99"/>
  </w:style>
  <w:style w:type="paragraph" w:styleId="9">
    <w:name w:val="Body Text Indent"/>
    <w:basedOn w:val="1"/>
    <w:link w:val="36"/>
    <w:qFormat/>
    <w:uiPriority w:val="99"/>
    <w:pPr>
      <w:adjustRightInd w:val="0"/>
      <w:spacing w:line="360" w:lineRule="auto"/>
      <w:ind w:firstLine="490"/>
      <w:jc w:val="left"/>
    </w:pPr>
    <w:rPr>
      <w:rFonts w:ascii="宋体" w:hAnsi="宋体" w:cs="宋体"/>
      <w:sz w:val="24"/>
      <w:szCs w:val="24"/>
    </w:rPr>
  </w:style>
  <w:style w:type="paragraph" w:styleId="10">
    <w:name w:val="toc 3"/>
    <w:basedOn w:val="1"/>
    <w:next w:val="1"/>
    <w:semiHidden/>
    <w:qFormat/>
    <w:uiPriority w:val="99"/>
    <w:pPr>
      <w:ind w:left="840" w:leftChars="400"/>
    </w:pPr>
  </w:style>
  <w:style w:type="paragraph" w:styleId="11">
    <w:name w:val="Plain Text"/>
    <w:basedOn w:val="1"/>
    <w:next w:val="1"/>
    <w:link w:val="37"/>
    <w:qFormat/>
    <w:uiPriority w:val="99"/>
    <w:rPr>
      <w:rFonts w:ascii="宋体" w:hAnsi="Courier New" w:cs="宋体"/>
    </w:rPr>
  </w:style>
  <w:style w:type="paragraph" w:styleId="12">
    <w:name w:val="Date"/>
    <w:basedOn w:val="1"/>
    <w:next w:val="1"/>
    <w:link w:val="38"/>
    <w:qFormat/>
    <w:uiPriority w:val="99"/>
    <w:pPr>
      <w:ind w:left="100" w:leftChars="2500"/>
    </w:pPr>
    <w:rPr>
      <w:rFonts w:ascii="宋体" w:hAnsi="宋体" w:cs="宋体"/>
      <w:color w:val="000000"/>
      <w:sz w:val="24"/>
      <w:szCs w:val="24"/>
    </w:rPr>
  </w:style>
  <w:style w:type="paragraph" w:styleId="13">
    <w:name w:val="Balloon Text"/>
    <w:basedOn w:val="1"/>
    <w:link w:val="39"/>
    <w:semiHidden/>
    <w:qFormat/>
    <w:uiPriority w:val="99"/>
    <w:rPr>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link w:val="41"/>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16">
    <w:name w:val="toc 1"/>
    <w:basedOn w:val="1"/>
    <w:next w:val="1"/>
    <w:semiHidden/>
    <w:qFormat/>
    <w:uiPriority w:val="99"/>
  </w:style>
  <w:style w:type="paragraph" w:styleId="17">
    <w:name w:val="toc 2"/>
    <w:basedOn w:val="1"/>
    <w:next w:val="1"/>
    <w:semiHidden/>
    <w:qFormat/>
    <w:uiPriority w:val="99"/>
    <w:pPr>
      <w:ind w:left="420" w:leftChars="200"/>
    </w:pPr>
  </w:style>
  <w:style w:type="paragraph" w:styleId="18">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19">
    <w:name w:val="Body Text First Indent"/>
    <w:basedOn w:val="8"/>
    <w:link w:val="42"/>
    <w:qFormat/>
    <w:uiPriority w:val="99"/>
    <w:pPr>
      <w:ind w:firstLine="420" w:firstLineChars="100"/>
    </w:pPr>
  </w:style>
  <w:style w:type="paragraph" w:styleId="20">
    <w:name w:val="Body Text First Indent 2"/>
    <w:basedOn w:val="9"/>
    <w:qFormat/>
    <w:uiPriority w:val="0"/>
    <w:pPr>
      <w:ind w:firstLine="420"/>
    </w:pPr>
    <w:rPr>
      <w:rFonts w:cs="宋体"/>
      <w:sz w:val="21"/>
    </w:rPr>
  </w:style>
  <w:style w:type="table" w:styleId="22">
    <w:name w:val="Table Grid"/>
    <w:basedOn w:val="21"/>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99"/>
    <w:rPr>
      <w:b/>
      <w:bCs/>
    </w:rPr>
  </w:style>
  <w:style w:type="character" w:styleId="25">
    <w:name w:val="page number"/>
    <w:basedOn w:val="23"/>
    <w:qFormat/>
    <w:uiPriority w:val="99"/>
  </w:style>
  <w:style w:type="character" w:styleId="26">
    <w:name w:val="Hyperlink"/>
    <w:basedOn w:val="23"/>
    <w:qFormat/>
    <w:uiPriority w:val="99"/>
    <w:rPr>
      <w:color w:val="0000FF"/>
      <w:u w:val="single"/>
    </w:rPr>
  </w:style>
  <w:style w:type="character" w:customStyle="1" w:styleId="27">
    <w:name w:val="标题 1 Char"/>
    <w:basedOn w:val="23"/>
    <w:link w:val="2"/>
    <w:qFormat/>
    <w:locked/>
    <w:uiPriority w:val="99"/>
    <w:rPr>
      <w:b/>
      <w:bCs/>
      <w:kern w:val="44"/>
      <w:sz w:val="44"/>
      <w:szCs w:val="44"/>
    </w:rPr>
  </w:style>
  <w:style w:type="character" w:customStyle="1" w:styleId="28">
    <w:name w:val="标题 2 Char"/>
    <w:basedOn w:val="23"/>
    <w:link w:val="3"/>
    <w:qFormat/>
    <w:locked/>
    <w:uiPriority w:val="99"/>
    <w:rPr>
      <w:rFonts w:ascii="宋体" w:cs="宋体"/>
      <w:b/>
      <w:bCs/>
      <w:kern w:val="2"/>
      <w:sz w:val="28"/>
      <w:szCs w:val="28"/>
    </w:rPr>
  </w:style>
  <w:style w:type="character" w:customStyle="1" w:styleId="29">
    <w:name w:val="标题 3 Char"/>
    <w:basedOn w:val="23"/>
    <w:link w:val="5"/>
    <w:qFormat/>
    <w:locked/>
    <w:uiPriority w:val="99"/>
    <w:rPr>
      <w:rFonts w:ascii="宋体" w:cs="宋体"/>
      <w:b/>
      <w:bCs/>
      <w:kern w:val="2"/>
      <w:sz w:val="28"/>
      <w:szCs w:val="28"/>
    </w:rPr>
  </w:style>
  <w:style w:type="character" w:customStyle="1" w:styleId="30">
    <w:name w:val="正文文本 Char"/>
    <w:basedOn w:val="23"/>
    <w:link w:val="8"/>
    <w:semiHidden/>
    <w:qFormat/>
    <w:uiPriority w:val="99"/>
    <w:rPr>
      <w:rFonts w:ascii="Times New Roman" w:hAnsi="Times New Roman"/>
      <w:szCs w:val="21"/>
    </w:rPr>
  </w:style>
  <w:style w:type="paragraph" w:customStyle="1" w:styleId="31">
    <w:name w:val="样式 表格正文 + 两端对齐"/>
    <w:basedOn w:val="1"/>
    <w:next w:val="32"/>
    <w:qFormat/>
    <w:uiPriority w:val="99"/>
    <w:pPr>
      <w:spacing w:line="300" w:lineRule="auto"/>
    </w:pPr>
    <w:rPr>
      <w:sz w:val="24"/>
      <w:szCs w:val="24"/>
    </w:rPr>
  </w:style>
  <w:style w:type="paragraph" w:customStyle="1" w:styleId="32">
    <w:name w:val="正文1"/>
    <w:basedOn w:val="1"/>
    <w:next w:val="33"/>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33">
    <w:name w:val="自动更正"/>
    <w:next w:val="34"/>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4">
    <w:name w:val="xl39"/>
    <w:basedOn w:val="1"/>
    <w:next w:val="35"/>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35">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character" w:customStyle="1" w:styleId="36">
    <w:name w:val="正文文本缩进 Char"/>
    <w:basedOn w:val="23"/>
    <w:link w:val="9"/>
    <w:semiHidden/>
    <w:qFormat/>
    <w:uiPriority w:val="99"/>
    <w:rPr>
      <w:rFonts w:ascii="Times New Roman" w:hAnsi="Times New Roman"/>
      <w:szCs w:val="21"/>
    </w:rPr>
  </w:style>
  <w:style w:type="character" w:customStyle="1" w:styleId="37">
    <w:name w:val="纯文本 Char"/>
    <w:basedOn w:val="23"/>
    <w:link w:val="11"/>
    <w:semiHidden/>
    <w:qFormat/>
    <w:uiPriority w:val="99"/>
    <w:rPr>
      <w:rFonts w:ascii="宋体" w:hAnsi="Courier New" w:cs="Courier New"/>
      <w:szCs w:val="21"/>
    </w:rPr>
  </w:style>
  <w:style w:type="character" w:customStyle="1" w:styleId="38">
    <w:name w:val="日期 Char"/>
    <w:basedOn w:val="23"/>
    <w:link w:val="12"/>
    <w:semiHidden/>
    <w:qFormat/>
    <w:uiPriority w:val="99"/>
    <w:rPr>
      <w:rFonts w:ascii="Times New Roman" w:hAnsi="Times New Roman"/>
      <w:szCs w:val="21"/>
    </w:rPr>
  </w:style>
  <w:style w:type="character" w:customStyle="1" w:styleId="39">
    <w:name w:val="批注框文本 Char"/>
    <w:basedOn w:val="23"/>
    <w:link w:val="13"/>
    <w:qFormat/>
    <w:locked/>
    <w:uiPriority w:val="99"/>
    <w:rPr>
      <w:kern w:val="2"/>
      <w:sz w:val="18"/>
      <w:szCs w:val="18"/>
    </w:rPr>
  </w:style>
  <w:style w:type="character" w:customStyle="1" w:styleId="40">
    <w:name w:val="页脚 Char"/>
    <w:basedOn w:val="23"/>
    <w:link w:val="14"/>
    <w:semiHidden/>
    <w:qFormat/>
    <w:uiPriority w:val="99"/>
    <w:rPr>
      <w:rFonts w:ascii="Times New Roman" w:hAnsi="Times New Roman"/>
      <w:sz w:val="18"/>
      <w:szCs w:val="18"/>
    </w:rPr>
  </w:style>
  <w:style w:type="character" w:customStyle="1" w:styleId="41">
    <w:name w:val="页眉 Char"/>
    <w:basedOn w:val="23"/>
    <w:link w:val="15"/>
    <w:semiHidden/>
    <w:qFormat/>
    <w:uiPriority w:val="99"/>
    <w:rPr>
      <w:rFonts w:ascii="Times New Roman" w:hAnsi="Times New Roman"/>
      <w:sz w:val="18"/>
      <w:szCs w:val="18"/>
    </w:rPr>
  </w:style>
  <w:style w:type="character" w:customStyle="1" w:styleId="42">
    <w:name w:val="正文首行缩进 Char"/>
    <w:basedOn w:val="30"/>
    <w:link w:val="19"/>
    <w:semiHidden/>
    <w:qFormat/>
    <w:uiPriority w:val="99"/>
    <w:rPr>
      <w:rFonts w:ascii="Times New Roman" w:hAnsi="Times New Roman"/>
      <w:szCs w:val="21"/>
    </w:rPr>
  </w:style>
  <w:style w:type="paragraph" w:customStyle="1" w:styleId="43">
    <w:name w:val="正文2"/>
    <w:basedOn w:val="1"/>
    <w:qFormat/>
    <w:uiPriority w:val="99"/>
    <w:pPr>
      <w:adjustRightInd w:val="0"/>
      <w:spacing w:before="156" w:line="360" w:lineRule="auto"/>
      <w:ind w:firstLine="510" w:firstLineChars="200"/>
    </w:pPr>
    <w:rPr>
      <w:sz w:val="24"/>
      <w:szCs w:val="24"/>
    </w:rPr>
  </w:style>
  <w:style w:type="paragraph" w:customStyle="1" w:styleId="44">
    <w:name w:val="List Paragraph1"/>
    <w:basedOn w:val="1"/>
    <w:qFormat/>
    <w:uiPriority w:val="99"/>
    <w:pPr>
      <w:widowControl/>
      <w:ind w:firstLine="420" w:firstLineChars="200"/>
      <w:jc w:val="left"/>
    </w:pPr>
    <w:rPr>
      <w:rFonts w:ascii="Calibri" w:hAnsi="Calibri" w:cs="Calibri"/>
    </w:rPr>
  </w:style>
  <w:style w:type="character" w:customStyle="1" w:styleId="45">
    <w:name w:val="style81"/>
    <w:qFormat/>
    <w:uiPriority w:val="99"/>
    <w:rPr>
      <w:sz w:val="20"/>
      <w:szCs w:val="20"/>
    </w:rPr>
  </w:style>
  <w:style w:type="paragraph" w:customStyle="1" w:styleId="46">
    <w:name w:val="列出段落1"/>
    <w:basedOn w:val="1"/>
    <w:qFormat/>
    <w:uiPriority w:val="99"/>
    <w:pPr>
      <w:ind w:firstLine="420"/>
      <w:jc w:val="left"/>
    </w:pPr>
  </w:style>
  <w:style w:type="paragraph" w:customStyle="1" w:styleId="47">
    <w:name w:val="表格"/>
    <w:basedOn w:val="1"/>
    <w:qFormat/>
    <w:uiPriority w:val="99"/>
    <w:pPr>
      <w:autoSpaceDE w:val="0"/>
      <w:autoSpaceDN w:val="0"/>
      <w:jc w:val="center"/>
      <w:textAlignment w:val="baseline"/>
    </w:pPr>
    <w:rPr>
      <w:color w:val="000000"/>
      <w:kern w:val="0"/>
    </w:rPr>
  </w:style>
  <w:style w:type="character" w:customStyle="1" w:styleId="48">
    <w:name w:val="02 Char"/>
    <w:link w:val="49"/>
    <w:qFormat/>
    <w:locked/>
    <w:uiPriority w:val="99"/>
    <w:rPr>
      <w:rFonts w:ascii="宋体" w:cs="宋体"/>
      <w:b/>
      <w:bCs/>
      <w:color w:val="FF0000"/>
      <w:kern w:val="2"/>
      <w:sz w:val="28"/>
      <w:szCs w:val="28"/>
    </w:rPr>
  </w:style>
  <w:style w:type="paragraph" w:customStyle="1" w:styleId="49">
    <w:name w:val="02"/>
    <w:basedOn w:val="3"/>
    <w:link w:val="48"/>
    <w:qFormat/>
    <w:uiPriority w:val="99"/>
    <w:pPr>
      <w:jc w:val="center"/>
    </w:pPr>
    <w:rPr>
      <w:color w:val="FF0000"/>
    </w:rPr>
  </w:style>
  <w:style w:type="character" w:customStyle="1" w:styleId="50">
    <w:name w:val="03 Char"/>
    <w:link w:val="51"/>
    <w:qFormat/>
    <w:locked/>
    <w:uiPriority w:val="99"/>
    <w:rPr>
      <w:rFonts w:ascii="宋体" w:cs="宋体"/>
      <w:b/>
      <w:bCs/>
      <w:kern w:val="2"/>
      <w:sz w:val="28"/>
      <w:szCs w:val="28"/>
    </w:rPr>
  </w:style>
  <w:style w:type="paragraph" w:customStyle="1" w:styleId="51">
    <w:name w:val="03"/>
    <w:basedOn w:val="5"/>
    <w:link w:val="50"/>
    <w:qFormat/>
    <w:uiPriority w:val="99"/>
    <w:pPr>
      <w:numPr>
        <w:ilvl w:val="0"/>
        <w:numId w:val="0"/>
      </w:numPr>
    </w:pPr>
  </w:style>
  <w:style w:type="character" w:customStyle="1" w:styleId="52">
    <w:name w:val="宋体小四 Char"/>
    <w:link w:val="53"/>
    <w:qFormat/>
    <w:locked/>
    <w:uiPriority w:val="99"/>
    <w:rPr>
      <w:rFonts w:ascii="宋体" w:eastAsia="宋体" w:cs="宋体"/>
      <w:kern w:val="2"/>
      <w:sz w:val="24"/>
      <w:szCs w:val="24"/>
    </w:rPr>
  </w:style>
  <w:style w:type="paragraph" w:customStyle="1" w:styleId="53">
    <w:name w:val="宋体小四"/>
    <w:basedOn w:val="1"/>
    <w:link w:val="52"/>
    <w:qFormat/>
    <w:uiPriority w:val="99"/>
    <w:pPr>
      <w:spacing w:line="360" w:lineRule="auto"/>
      <w:ind w:firstLine="480" w:firstLineChars="200"/>
    </w:pPr>
    <w:rPr>
      <w:rFonts w:ascii="宋体" w:hAnsi="宋体" w:cs="宋体"/>
      <w:sz w:val="24"/>
      <w:szCs w:val="24"/>
    </w:rPr>
  </w:style>
  <w:style w:type="character" w:customStyle="1" w:styleId="54">
    <w:name w:val="fontstyle01"/>
    <w:basedOn w:val="23"/>
    <w:qFormat/>
    <w:uiPriority w:val="99"/>
    <w:rPr>
      <w:rFonts w:ascii="宋体" w:eastAsia="宋体" w:cs="宋体"/>
      <w:color w:val="000000"/>
      <w:sz w:val="22"/>
      <w:szCs w:val="22"/>
    </w:rPr>
  </w:style>
  <w:style w:type="paragraph" w:customStyle="1" w:styleId="55">
    <w:name w:val="正文首行缩进2字符"/>
    <w:basedOn w:val="1"/>
    <w:qFormat/>
    <w:uiPriority w:val="99"/>
    <w:pPr>
      <w:spacing w:line="360" w:lineRule="auto"/>
      <w:ind w:firstLine="200" w:firstLineChars="200"/>
    </w:pPr>
  </w:style>
  <w:style w:type="paragraph" w:customStyle="1" w:styleId="56">
    <w:name w:val="居中表格内容标题"/>
    <w:basedOn w:val="57"/>
    <w:qFormat/>
    <w:uiPriority w:val="0"/>
    <w:pPr>
      <w:jc w:val="center"/>
    </w:pPr>
    <w:rPr>
      <w:b/>
    </w:rPr>
  </w:style>
  <w:style w:type="paragraph" w:customStyle="1" w:styleId="57">
    <w:name w:val="居中表格内容"/>
    <w:basedOn w:val="1"/>
    <w:next w:val="1"/>
    <w:qFormat/>
    <w:uiPriority w:val="0"/>
    <w:pPr>
      <w:jc w:val="left"/>
    </w:pPr>
    <w:rPr>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65</Pages>
  <Words>5518</Words>
  <Characters>31454</Characters>
  <Lines>262</Lines>
  <Paragraphs>73</Paragraphs>
  <TotalTime>12</TotalTime>
  <ScaleCrop>false</ScaleCrop>
  <LinksUpToDate>false</LinksUpToDate>
  <CharactersWithSpaces>36899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2020-10-16T03:14:00Z</dcterms:created>
  <dc:creator>陈圣楠</dc:creator>
  <cp:lastModifiedBy>DELL</cp:lastModifiedBy>
  <dcterms:modified xsi:type="dcterms:W3CDTF">2020-11-21T02:41:04Z</dcterms:modified>
  <dc:title>上虞区自然资源变更监测项目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